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0DA0B99" w14:textId="77777777" w:rsidR="00FF616A" w:rsidRPr="007F1616" w:rsidRDefault="00FF616A" w:rsidP="007F1616">
      <w:pPr>
        <w:spacing w:after="0" w:line="240" w:lineRule="auto"/>
        <w:rPr>
          <w:rFonts w:ascii="Century Gothic" w:eastAsia="Times New Roman" w:hAnsi="Century Gothic" w:cs="Arial"/>
          <w:b/>
          <w:bCs/>
          <w:color w:val="000000"/>
          <w:kern w:val="0"/>
          <w:sz w:val="32"/>
          <w:szCs w:val="32"/>
          <w:lang w:eastAsia="en-GB"/>
          <w14:ligatures w14:val="none"/>
        </w:rPr>
      </w:pPr>
      <w:r w:rsidRPr="007F1616">
        <w:rPr>
          <w:rFonts w:ascii="Century Gothic" w:eastAsia="Times New Roman" w:hAnsi="Century Gothic" w:cs="Arial"/>
          <w:b/>
          <w:bCs/>
          <w:color w:val="000000"/>
          <w:kern w:val="0"/>
          <w:sz w:val="32"/>
          <w:szCs w:val="32"/>
          <w:lang w:eastAsia="en-GB"/>
          <w14:ligatures w14:val="none"/>
        </w:rPr>
        <w:t>UNIVERSITY OF WALES TRINITY SAINT DAVID</w:t>
      </w:r>
    </w:p>
    <w:p w14:paraId="27FBDC87" w14:textId="77777777" w:rsidR="00FF616A" w:rsidRPr="007F1616" w:rsidRDefault="00FF616A" w:rsidP="007F1616">
      <w:pPr>
        <w:spacing w:after="0" w:line="240" w:lineRule="auto"/>
        <w:rPr>
          <w:rFonts w:ascii="Century Gothic" w:eastAsia="Times New Roman" w:hAnsi="Century Gothic" w:cs="Arial"/>
          <w:b/>
          <w:bCs/>
          <w:color w:val="000000"/>
          <w:kern w:val="0"/>
          <w:sz w:val="32"/>
          <w:szCs w:val="32"/>
          <w:lang w:eastAsia="en-GB"/>
          <w14:ligatures w14:val="none"/>
        </w:rPr>
      </w:pPr>
      <w:r w:rsidRPr="007F1616">
        <w:rPr>
          <w:rFonts w:ascii="Century Gothic" w:eastAsia="Times New Roman" w:hAnsi="Century Gothic" w:cs="Arial"/>
          <w:b/>
          <w:bCs/>
          <w:color w:val="000000"/>
          <w:kern w:val="0"/>
          <w:sz w:val="32"/>
          <w:szCs w:val="32"/>
          <w:lang w:eastAsia="en-GB"/>
          <w14:ligatures w14:val="none"/>
        </w:rPr>
        <w:t>MASTER OF BUSINESS ADMISTRATION</w:t>
      </w:r>
    </w:p>
    <w:p w14:paraId="0447E8C2" w14:textId="77777777" w:rsidR="00FF616A" w:rsidRPr="007F1616" w:rsidRDefault="00FF616A" w:rsidP="007F1616">
      <w:pPr>
        <w:spacing w:after="0" w:line="240" w:lineRule="auto"/>
        <w:rPr>
          <w:rFonts w:ascii="Century Gothic" w:eastAsia="Times New Roman" w:hAnsi="Century Gothic" w:cs="Arial"/>
          <w:b/>
          <w:bCs/>
          <w:color w:val="000000"/>
          <w:kern w:val="0"/>
          <w:sz w:val="32"/>
          <w:szCs w:val="32"/>
          <w:lang w:eastAsia="en-GB"/>
          <w14:ligatures w14:val="none"/>
        </w:rPr>
      </w:pPr>
      <w:r w:rsidRPr="007F1616">
        <w:rPr>
          <w:rFonts w:ascii="Century Gothic" w:eastAsia="Times New Roman" w:hAnsi="Century Gothic" w:cs="Arial"/>
          <w:b/>
          <w:bCs/>
          <w:color w:val="000000"/>
          <w:kern w:val="0"/>
          <w:sz w:val="32"/>
          <w:szCs w:val="32"/>
          <w:lang w:eastAsia="en-GB"/>
          <w14:ligatures w14:val="none"/>
        </w:rPr>
        <w:t>DISSERTATION</w:t>
      </w:r>
    </w:p>
    <w:p w14:paraId="0E707866" w14:textId="537D1492" w:rsidR="00E378D9" w:rsidRPr="007F1616" w:rsidRDefault="00E378D9" w:rsidP="007F1616">
      <w:pPr>
        <w:spacing w:after="0" w:line="240" w:lineRule="auto"/>
        <w:rPr>
          <w:rFonts w:ascii="Century Gothic" w:eastAsia="Times New Roman" w:hAnsi="Century Gothic" w:cs="Arial"/>
          <w:b/>
          <w:bCs/>
          <w:color w:val="000000"/>
          <w:kern w:val="0"/>
          <w:sz w:val="32"/>
          <w:szCs w:val="32"/>
          <w:lang w:eastAsia="en-GB"/>
          <w14:ligatures w14:val="none"/>
        </w:rPr>
      </w:pPr>
      <w:r w:rsidRPr="007F1616">
        <w:rPr>
          <w:rFonts w:ascii="Century Gothic" w:eastAsia="Times New Roman" w:hAnsi="Century Gothic" w:cs="Arial"/>
          <w:b/>
          <w:bCs/>
          <w:color w:val="000000"/>
          <w:kern w:val="0"/>
          <w:sz w:val="32"/>
          <w:szCs w:val="32"/>
          <w:lang w:eastAsia="en-GB"/>
          <w14:ligatures w14:val="none"/>
        </w:rPr>
        <w:t>BMMB7003/D</w:t>
      </w:r>
    </w:p>
    <w:p w14:paraId="4B370C16" w14:textId="77777777" w:rsidR="00FF616A" w:rsidRPr="007F1616" w:rsidRDefault="00FF616A" w:rsidP="007F1616">
      <w:pPr>
        <w:autoSpaceDE w:val="0"/>
        <w:autoSpaceDN w:val="0"/>
        <w:adjustRightInd w:val="0"/>
        <w:spacing w:after="0" w:line="240" w:lineRule="auto"/>
        <w:rPr>
          <w:rFonts w:ascii="Century Gothic" w:hAnsi="Century Gothic" w:cs="AppleSystemUIFont"/>
          <w:b/>
          <w:bCs/>
          <w:kern w:val="0"/>
          <w:sz w:val="32"/>
          <w:szCs w:val="32"/>
        </w:rPr>
      </w:pPr>
    </w:p>
    <w:p w14:paraId="503D64B7" w14:textId="6CDD7A95" w:rsidR="001B56E5" w:rsidRPr="007F1616" w:rsidRDefault="001B56E5" w:rsidP="007F1616">
      <w:pPr>
        <w:autoSpaceDE w:val="0"/>
        <w:autoSpaceDN w:val="0"/>
        <w:adjustRightInd w:val="0"/>
        <w:spacing w:after="0" w:line="240" w:lineRule="auto"/>
        <w:rPr>
          <w:rFonts w:ascii="Century Gothic" w:hAnsi="Century Gothic" w:cs="AppleSystemUIFont"/>
          <w:b/>
          <w:bCs/>
          <w:kern w:val="0"/>
          <w:sz w:val="32"/>
          <w:szCs w:val="32"/>
        </w:rPr>
      </w:pPr>
      <w:r w:rsidRPr="007F1616">
        <w:rPr>
          <w:rFonts w:ascii="Century Gothic" w:hAnsi="Century Gothic" w:cs="AppleSystemUIFont"/>
          <w:b/>
          <w:bCs/>
          <w:kern w:val="0"/>
          <w:sz w:val="32"/>
          <w:szCs w:val="32"/>
        </w:rPr>
        <w:t xml:space="preserve">Title: </w:t>
      </w:r>
      <w:r w:rsidRPr="007F1616">
        <w:rPr>
          <w:rFonts w:ascii="Century Gothic" w:hAnsi="Century Gothic" w:cs="AppleSystemUIFont"/>
          <w:b/>
          <w:bCs/>
          <w:kern w:val="0"/>
          <w:sz w:val="32"/>
          <w:szCs w:val="32"/>
        </w:rPr>
        <w:t>Ancillary Revenue and Financial Resilience: Virgin Atlantic, European FSCs, and High-Speed Rail (2008–2026)</w:t>
      </w:r>
    </w:p>
    <w:p w14:paraId="5518D0C5" w14:textId="77777777" w:rsidR="007F1616" w:rsidRDefault="007F1616" w:rsidP="007F1616">
      <w:pPr>
        <w:autoSpaceDE w:val="0"/>
        <w:autoSpaceDN w:val="0"/>
        <w:adjustRightInd w:val="0"/>
        <w:spacing w:after="0" w:line="240" w:lineRule="auto"/>
        <w:rPr>
          <w:rFonts w:ascii="Century Gothic" w:hAnsi="Century Gothic" w:cs="Century Gothic"/>
          <w:b/>
          <w:bCs/>
          <w:color w:val="000000"/>
          <w:kern w:val="0"/>
          <w:sz w:val="32"/>
          <w:szCs w:val="32"/>
        </w:rPr>
      </w:pPr>
    </w:p>
    <w:p w14:paraId="3E71D419" w14:textId="0FD0B768" w:rsidR="007F1616" w:rsidRDefault="001B56E5" w:rsidP="007F1616">
      <w:pPr>
        <w:autoSpaceDE w:val="0"/>
        <w:autoSpaceDN w:val="0"/>
        <w:adjustRightInd w:val="0"/>
        <w:spacing w:after="0" w:line="240" w:lineRule="auto"/>
        <w:rPr>
          <w:rFonts w:ascii="Century Gothic" w:hAnsi="Century Gothic" w:cs="Century Gothic"/>
          <w:b/>
          <w:bCs/>
          <w:color w:val="000000"/>
          <w:kern w:val="0"/>
          <w:sz w:val="32"/>
          <w:szCs w:val="32"/>
        </w:rPr>
      </w:pPr>
      <w:r w:rsidRPr="007F1616">
        <w:rPr>
          <w:rFonts w:ascii="Century Gothic" w:hAnsi="Century Gothic" w:cs="Century Gothic"/>
          <w:b/>
          <w:bCs/>
          <w:color w:val="000000"/>
          <w:kern w:val="0"/>
          <w:sz w:val="32"/>
          <w:szCs w:val="32"/>
        </w:rPr>
        <w:t>Name: Tomas Sheehan</w:t>
      </w:r>
    </w:p>
    <w:p w14:paraId="29722080" w14:textId="5E5D5AD0" w:rsidR="00DB54EA" w:rsidRPr="007F1616" w:rsidRDefault="00DB54EA" w:rsidP="007F1616">
      <w:pPr>
        <w:autoSpaceDE w:val="0"/>
        <w:autoSpaceDN w:val="0"/>
        <w:adjustRightInd w:val="0"/>
        <w:spacing w:after="0" w:line="240" w:lineRule="auto"/>
        <w:rPr>
          <w:rFonts w:ascii="Century Gothic" w:hAnsi="Century Gothic" w:cs="Century Gothic"/>
          <w:b/>
          <w:bCs/>
          <w:color w:val="000000"/>
          <w:kern w:val="0"/>
          <w:sz w:val="32"/>
          <w:szCs w:val="32"/>
        </w:rPr>
      </w:pPr>
      <w:r w:rsidRPr="007F1616">
        <w:rPr>
          <w:rFonts w:ascii="Century Gothic" w:hAnsi="Century Gothic" w:cs="Century Gothic"/>
          <w:b/>
          <w:bCs/>
          <w:color w:val="000000"/>
          <w:kern w:val="0"/>
          <w:sz w:val="32"/>
          <w:szCs w:val="32"/>
        </w:rPr>
        <w:t>Student Number: 2234786</w:t>
      </w:r>
    </w:p>
    <w:p w14:paraId="1C5BA503" w14:textId="6D71C23F" w:rsidR="00946B0C" w:rsidRPr="007F1616" w:rsidRDefault="00946B0C" w:rsidP="00DB54EA">
      <w:pPr>
        <w:autoSpaceDE w:val="0"/>
        <w:autoSpaceDN w:val="0"/>
        <w:adjustRightInd w:val="0"/>
        <w:spacing w:after="0" w:line="480" w:lineRule="auto"/>
        <w:ind w:left="960" w:hanging="960"/>
        <w:rPr>
          <w:rFonts w:ascii="Century Gothic" w:hAnsi="Century Gothic" w:cs="Century Gothic"/>
          <w:b/>
          <w:bCs/>
          <w:color w:val="000000"/>
          <w:kern w:val="0"/>
          <w:sz w:val="32"/>
          <w:szCs w:val="32"/>
        </w:rPr>
      </w:pPr>
      <w:r w:rsidRPr="007F1616">
        <w:rPr>
          <w:rFonts w:ascii="Century Gothic" w:hAnsi="Century Gothic" w:cs="Century Gothic"/>
          <w:b/>
          <w:bCs/>
          <w:color w:val="000000"/>
          <w:kern w:val="0"/>
          <w:sz w:val="32"/>
          <w:szCs w:val="32"/>
        </w:rPr>
        <w:t>29</w:t>
      </w:r>
      <w:r w:rsidRPr="007F1616">
        <w:rPr>
          <w:rFonts w:ascii="Century Gothic" w:hAnsi="Century Gothic" w:cs="Century Gothic"/>
          <w:b/>
          <w:bCs/>
          <w:color w:val="000000"/>
          <w:kern w:val="0"/>
          <w:sz w:val="32"/>
          <w:szCs w:val="32"/>
          <w:vertAlign w:val="superscript"/>
        </w:rPr>
        <w:t>th</w:t>
      </w:r>
      <w:r w:rsidRPr="007F1616">
        <w:rPr>
          <w:rFonts w:ascii="Century Gothic" w:hAnsi="Century Gothic" w:cs="Century Gothic"/>
          <w:b/>
          <w:bCs/>
          <w:color w:val="000000"/>
          <w:kern w:val="0"/>
          <w:sz w:val="32"/>
          <w:szCs w:val="32"/>
        </w:rPr>
        <w:t xml:space="preserve"> of September 2026</w:t>
      </w:r>
    </w:p>
    <w:tbl>
      <w:tblPr>
        <w:tblStyle w:val="TableGrid"/>
        <w:tblW w:w="9811" w:type="dxa"/>
        <w:tblInd w:w="24" w:type="dxa"/>
        <w:tblCellMar>
          <w:top w:w="70" w:type="dxa"/>
          <w:left w:w="120" w:type="dxa"/>
        </w:tblCellMar>
        <w:tblLook w:val="04A0" w:firstRow="1" w:lastRow="0" w:firstColumn="1" w:lastColumn="0" w:noHBand="0" w:noVBand="1"/>
      </w:tblPr>
      <w:tblGrid>
        <w:gridCol w:w="10050"/>
      </w:tblGrid>
      <w:tr w:rsidR="00F37CE7" w14:paraId="041F2F30" w14:textId="77777777" w:rsidTr="00507458">
        <w:trPr>
          <w:trHeight w:val="1817"/>
        </w:trPr>
        <w:tc>
          <w:tcPr>
            <w:tcW w:w="9811" w:type="dxa"/>
            <w:tcBorders>
              <w:top w:val="double" w:sz="6" w:space="0" w:color="000000"/>
              <w:left w:val="double" w:sz="6" w:space="0" w:color="000000"/>
              <w:bottom w:val="double" w:sz="6" w:space="0" w:color="000000"/>
              <w:right w:val="double" w:sz="6" w:space="0" w:color="000000"/>
            </w:tcBorders>
          </w:tcPr>
          <w:p w14:paraId="7A03BC76" w14:textId="77777777" w:rsidR="00F37CE7" w:rsidRDefault="00F37CE7" w:rsidP="00507458">
            <w:pPr>
              <w:spacing w:line="259" w:lineRule="auto"/>
            </w:pPr>
          </w:p>
          <w:p w14:paraId="7C61EF61" w14:textId="77777777" w:rsidR="00F37CE7" w:rsidRDefault="00F37CE7" w:rsidP="00507458">
            <w:pPr>
              <w:spacing w:line="259" w:lineRule="auto"/>
              <w:ind w:right="118"/>
              <w:jc w:val="center"/>
            </w:pPr>
            <w:r>
              <w:rPr>
                <w:b/>
              </w:rPr>
              <w:t xml:space="preserve">EXAMINATION OF TAUGHT MASTER'S DEGREE DISSERTATION:  </w:t>
            </w:r>
          </w:p>
          <w:p w14:paraId="54294776" w14:textId="77777777" w:rsidR="00F37CE7" w:rsidRDefault="00F37CE7" w:rsidP="00507458">
            <w:pPr>
              <w:spacing w:line="259" w:lineRule="auto"/>
              <w:ind w:right="58"/>
              <w:jc w:val="center"/>
            </w:pPr>
            <w:r>
              <w:rPr>
                <w:b/>
              </w:rPr>
              <w:t xml:space="preserve"> </w:t>
            </w:r>
          </w:p>
          <w:p w14:paraId="4EA75102" w14:textId="77777777" w:rsidR="00F37CE7" w:rsidRDefault="00F37CE7" w:rsidP="00507458">
            <w:pPr>
              <w:spacing w:line="259" w:lineRule="auto"/>
              <w:ind w:right="119"/>
              <w:jc w:val="center"/>
            </w:pPr>
            <w:r>
              <w:rPr>
                <w:b/>
              </w:rPr>
              <w:t>NOTICE OF CANDIDATURE FORM</w:t>
            </w:r>
            <w:r>
              <w:t xml:space="preserve"> </w:t>
            </w:r>
          </w:p>
          <w:p w14:paraId="03DB9D16" w14:textId="77777777" w:rsidR="00F37CE7" w:rsidRDefault="00F37CE7" w:rsidP="00507458">
            <w:pPr>
              <w:spacing w:line="259" w:lineRule="auto"/>
            </w:pPr>
            <w:r>
              <w:t xml:space="preserve"> </w:t>
            </w:r>
          </w:p>
          <w:p w14:paraId="1B2602ED" w14:textId="77777777" w:rsidR="00F37CE7" w:rsidRDefault="00F37CE7" w:rsidP="00507458">
            <w:pPr>
              <w:spacing w:line="259" w:lineRule="auto"/>
            </w:pPr>
            <w:r>
              <w:t xml:space="preserve">Please complete this form when your dissertation is ready to be submitted for examination.   </w:t>
            </w:r>
          </w:p>
          <w:p w14:paraId="1C4AFED7" w14:textId="77777777" w:rsidR="00F37CE7" w:rsidRDefault="00F37CE7" w:rsidP="00507458">
            <w:pPr>
              <w:spacing w:line="259" w:lineRule="auto"/>
            </w:pPr>
            <w:r>
              <w:t xml:space="preserve"> </w:t>
            </w:r>
          </w:p>
        </w:tc>
      </w:tr>
      <w:tr w:rsidR="00F37CE7" w14:paraId="317992BC" w14:textId="77777777" w:rsidTr="00507458">
        <w:trPr>
          <w:trHeight w:val="4330"/>
        </w:trPr>
        <w:tc>
          <w:tcPr>
            <w:tcW w:w="9811" w:type="dxa"/>
            <w:tcBorders>
              <w:top w:val="double" w:sz="6" w:space="0" w:color="000000"/>
              <w:left w:val="double" w:sz="6" w:space="0" w:color="000000"/>
              <w:bottom w:val="single" w:sz="4" w:space="0" w:color="000000"/>
              <w:right w:val="double" w:sz="6" w:space="0" w:color="000000"/>
            </w:tcBorders>
          </w:tcPr>
          <w:p w14:paraId="3B61F6F1" w14:textId="77777777" w:rsidR="00F37CE7" w:rsidRDefault="00F37CE7" w:rsidP="00507458">
            <w:pPr>
              <w:spacing w:line="259" w:lineRule="auto"/>
            </w:pPr>
            <w:r>
              <w:t xml:space="preserve"> </w:t>
            </w:r>
          </w:p>
          <w:p w14:paraId="3A4BA372" w14:textId="77777777" w:rsidR="0050031F" w:rsidRDefault="00F37CE7" w:rsidP="00507458">
            <w:r>
              <w:t>Surname/Family Name</w:t>
            </w:r>
            <w:r>
              <w:t xml:space="preserve">: </w:t>
            </w:r>
            <w:proofErr w:type="gramStart"/>
            <w:r>
              <w:t>Sheehan</w:t>
            </w:r>
            <w:r>
              <w:t xml:space="preserve"> </w:t>
            </w:r>
            <w:r w:rsidR="0050031F">
              <w:t xml:space="preserve"> </w:t>
            </w:r>
            <w:r>
              <w:t>Date</w:t>
            </w:r>
            <w:proofErr w:type="gramEnd"/>
            <w:r>
              <w:t xml:space="preserve"> of Birth </w:t>
            </w:r>
            <w:r>
              <w:t>05/10/1988</w:t>
            </w:r>
            <w:r>
              <w:t xml:space="preserve">   </w:t>
            </w:r>
          </w:p>
          <w:p w14:paraId="384B3F5D" w14:textId="605865F0" w:rsidR="00F37CE7" w:rsidRDefault="00F37CE7" w:rsidP="00507458">
            <w:r>
              <w:t xml:space="preserve">Forenames (in full) </w:t>
            </w:r>
            <w:r>
              <w:t>Tomas</w:t>
            </w:r>
            <w:r>
              <w:t xml:space="preserve">. </w:t>
            </w:r>
            <w:proofErr w:type="gramStart"/>
            <w:r>
              <w:t>Title .</w:t>
            </w:r>
            <w:proofErr w:type="gramEnd"/>
            <w:r w:rsidR="0050031F">
              <w:t>Mr</w:t>
            </w:r>
            <w:r>
              <w:t xml:space="preserve">.....   </w:t>
            </w:r>
          </w:p>
          <w:p w14:paraId="39CA9506" w14:textId="704E7267" w:rsidR="00F37CE7" w:rsidRDefault="00F37CE7" w:rsidP="00507458">
            <w:pPr>
              <w:spacing w:after="2" w:line="238" w:lineRule="auto"/>
            </w:pPr>
            <w:r>
              <w:t>Institution Number (if known) ................................................................................................................  Title of Degree (</w:t>
            </w:r>
            <w:proofErr w:type="spellStart"/>
            <w:r>
              <w:t>eg</w:t>
            </w:r>
            <w:proofErr w:type="spellEnd"/>
            <w:r>
              <w:t xml:space="preserve"> MA, MSc, MBA etc</w:t>
            </w:r>
            <w:proofErr w:type="gramStart"/>
            <w:r>
              <w:t>)..</w:t>
            </w:r>
            <w:proofErr w:type="gramEnd"/>
            <w:r w:rsidR="0050031F">
              <w:t>MBA</w:t>
            </w:r>
            <w:r>
              <w:t xml:space="preserve">......................................................................................... </w:t>
            </w:r>
          </w:p>
          <w:p w14:paraId="2BC3D089" w14:textId="7499D1FA" w:rsidR="00F37CE7" w:rsidRDefault="00F37CE7" w:rsidP="00507458">
            <w:pPr>
              <w:spacing w:line="239" w:lineRule="auto"/>
              <w:jc w:val="center"/>
            </w:pPr>
            <w:r>
              <w:t>Title of Taught Master's degree scheme followed (</w:t>
            </w:r>
            <w:proofErr w:type="spellStart"/>
            <w:r>
              <w:t>eg</w:t>
            </w:r>
            <w:proofErr w:type="spellEnd"/>
            <w:r>
              <w:t xml:space="preserve"> Equine </w:t>
            </w:r>
            <w:proofErr w:type="gramStart"/>
            <w:r>
              <w:t xml:space="preserve">Studies)  </w:t>
            </w:r>
            <w:r w:rsidR="0050031F">
              <w:t>Master</w:t>
            </w:r>
            <w:proofErr w:type="gramEnd"/>
            <w:r w:rsidR="0050031F">
              <w:t xml:space="preserve"> of Business Administration</w:t>
            </w:r>
            <w:r>
              <w:t>.....................   ..............................................................................................................................................................  Department/School in which study pursued</w:t>
            </w:r>
            <w:proofErr w:type="gramStart"/>
            <w:r>
              <w:t xml:space="preserve"> ..</w:t>
            </w:r>
            <w:proofErr w:type="gramEnd"/>
            <w:r w:rsidR="0050031F">
              <w:t>Business School (Distance)</w:t>
            </w:r>
            <w:r>
              <w:t>................................................  Name of your Supervisor ...</w:t>
            </w:r>
            <w:proofErr w:type="spellStart"/>
            <w:r w:rsidR="00AE1890">
              <w:t>MR</w:t>
            </w:r>
            <w:r>
              <w:t>..</w:t>
            </w:r>
            <w:r w:rsidR="0050031F">
              <w:t>Anthony</w:t>
            </w:r>
            <w:proofErr w:type="spellEnd"/>
            <w:r w:rsidR="0050031F">
              <w:t xml:space="preserve"> </w:t>
            </w:r>
            <w:r w:rsidR="00AE1890">
              <w:t>Burns</w:t>
            </w:r>
            <w:r>
              <w:t>...............................................................................  Full Title of dissertation submitted</w:t>
            </w:r>
            <w:r w:rsidR="00AE1890">
              <w:t>:</w:t>
            </w:r>
            <w:r>
              <w:t xml:space="preserve"> </w:t>
            </w:r>
            <w:r w:rsidR="00AE1890">
              <w:rPr>
                <w:rFonts w:ascii="AppleSystemUIFont" w:hAnsi="AppleSystemUIFont" w:cs="AppleSystemUIFont"/>
                <w:kern w:val="0"/>
                <w:sz w:val="26"/>
                <w:szCs w:val="26"/>
              </w:rPr>
              <w:t>Ancillary Revenue and Financial Resilience: Virgin Atlantic, European FSCs, and High-Speed Rail (2008–2026)</w:t>
            </w:r>
          </w:p>
          <w:p w14:paraId="1223EAF1" w14:textId="77777777" w:rsidR="00F37CE7" w:rsidRDefault="00F37CE7" w:rsidP="00507458">
            <w:pPr>
              <w:spacing w:line="259" w:lineRule="auto"/>
            </w:pPr>
            <w:r>
              <w:t xml:space="preserve"> ..............................................................................................................................................................  </w:t>
            </w:r>
          </w:p>
          <w:p w14:paraId="06F8EADC" w14:textId="77777777" w:rsidR="00F37CE7" w:rsidRDefault="00F37CE7" w:rsidP="00507458">
            <w:pPr>
              <w:spacing w:line="259" w:lineRule="auto"/>
            </w:pPr>
            <w:r>
              <w:t xml:space="preserve">Please indicate that the following will all be submitted along with this form: </w:t>
            </w:r>
          </w:p>
          <w:p w14:paraId="16569C18" w14:textId="77777777" w:rsidR="00F37CE7" w:rsidRDefault="00F37CE7" w:rsidP="00507458">
            <w:pPr>
              <w:spacing w:line="259" w:lineRule="auto"/>
            </w:pPr>
            <w:r>
              <w:t xml:space="preserve"> </w:t>
            </w:r>
          </w:p>
          <w:p w14:paraId="13AEF19B" w14:textId="1C095B27" w:rsidR="00F37CE7" w:rsidRDefault="00F37CE7" w:rsidP="00507458">
            <w:pPr>
              <w:tabs>
                <w:tab w:val="center" w:pos="2868"/>
              </w:tabs>
              <w:spacing w:line="259" w:lineRule="auto"/>
            </w:pPr>
            <w:r>
              <w:tab/>
              <w:t xml:space="preserve">A copy of your dissertation submitted via Turnitin; </w:t>
            </w:r>
            <w:r w:rsidR="00AE1890">
              <w:t>YES</w:t>
            </w:r>
          </w:p>
          <w:p w14:paraId="39777338" w14:textId="77777777" w:rsidR="00F37CE7" w:rsidRDefault="00F37CE7" w:rsidP="00507458">
            <w:pPr>
              <w:spacing w:line="259" w:lineRule="auto"/>
              <w:ind w:left="516"/>
            </w:pPr>
            <w:r>
              <w:t xml:space="preserve"> </w:t>
            </w:r>
          </w:p>
          <w:p w14:paraId="368BEFC1" w14:textId="77777777" w:rsidR="00F37CE7" w:rsidRDefault="00F37CE7" w:rsidP="00507458">
            <w:pPr>
              <w:spacing w:line="259" w:lineRule="auto"/>
            </w:pPr>
            <w:r>
              <w:t xml:space="preserve"> </w:t>
            </w:r>
            <w:r>
              <w:tab/>
              <w:t xml:space="preserve">  </w:t>
            </w:r>
          </w:p>
        </w:tc>
      </w:tr>
    </w:tbl>
    <w:p w14:paraId="10DCE8F4" w14:textId="1DD7C741" w:rsidR="001B56E5" w:rsidRDefault="001B56E5" w:rsidP="00C85C76">
      <w:pPr>
        <w:autoSpaceDE w:val="0"/>
        <w:autoSpaceDN w:val="0"/>
        <w:adjustRightInd w:val="0"/>
        <w:spacing w:after="0" w:line="480" w:lineRule="auto"/>
        <w:ind w:left="960" w:hanging="960"/>
        <w:rPr>
          <w:rFonts w:ascii="Century Gothic" w:hAnsi="Century Gothic" w:cs="Century Gothic"/>
          <w:color w:val="000000"/>
          <w:kern w:val="0"/>
          <w:sz w:val="32"/>
          <w:szCs w:val="32"/>
        </w:rPr>
      </w:pPr>
    </w:p>
    <w:p w14:paraId="3A0B1E16" w14:textId="77777777" w:rsidR="001B56E5" w:rsidRDefault="001B56E5" w:rsidP="00C85C76">
      <w:pPr>
        <w:autoSpaceDE w:val="0"/>
        <w:autoSpaceDN w:val="0"/>
        <w:adjustRightInd w:val="0"/>
        <w:spacing w:after="0" w:line="480" w:lineRule="auto"/>
        <w:ind w:left="960" w:hanging="960"/>
        <w:rPr>
          <w:rFonts w:ascii="Century Gothic" w:hAnsi="Century Gothic" w:cs="Century Gothic"/>
          <w:color w:val="000000"/>
          <w:kern w:val="0"/>
          <w:sz w:val="32"/>
          <w:szCs w:val="32"/>
        </w:rPr>
      </w:pPr>
    </w:p>
    <w:p w14:paraId="7F297EE4" w14:textId="77777777" w:rsidR="001B56E5" w:rsidRDefault="001B56E5" w:rsidP="00C85C76">
      <w:pPr>
        <w:autoSpaceDE w:val="0"/>
        <w:autoSpaceDN w:val="0"/>
        <w:adjustRightInd w:val="0"/>
        <w:spacing w:after="0" w:line="480" w:lineRule="auto"/>
        <w:ind w:left="960" w:hanging="960"/>
        <w:rPr>
          <w:rFonts w:ascii="Century Gothic" w:hAnsi="Century Gothic" w:cs="Century Gothic"/>
          <w:color w:val="000000"/>
          <w:kern w:val="0"/>
          <w:sz w:val="32"/>
          <w:szCs w:val="32"/>
        </w:rPr>
      </w:pPr>
    </w:p>
    <w:p w14:paraId="7931FA5F" w14:textId="77777777" w:rsidR="001B56E5" w:rsidRDefault="001B56E5" w:rsidP="00C85C76">
      <w:pPr>
        <w:autoSpaceDE w:val="0"/>
        <w:autoSpaceDN w:val="0"/>
        <w:adjustRightInd w:val="0"/>
        <w:spacing w:after="0" w:line="480" w:lineRule="auto"/>
        <w:ind w:left="960" w:hanging="960"/>
        <w:rPr>
          <w:rFonts w:ascii="Century Gothic" w:hAnsi="Century Gothic" w:cs="Century Gothic"/>
          <w:color w:val="000000"/>
          <w:kern w:val="0"/>
          <w:sz w:val="32"/>
          <w:szCs w:val="32"/>
        </w:rPr>
      </w:pPr>
    </w:p>
    <w:p w14:paraId="11D2DF18" w14:textId="023A9D20" w:rsidR="001B56E5" w:rsidRPr="00A63A6A" w:rsidRDefault="001B56E5" w:rsidP="00C85C76">
      <w:pPr>
        <w:autoSpaceDE w:val="0"/>
        <w:autoSpaceDN w:val="0"/>
        <w:adjustRightInd w:val="0"/>
        <w:spacing w:after="0" w:line="480" w:lineRule="auto"/>
        <w:ind w:left="960" w:hanging="960"/>
        <w:rPr>
          <w:rFonts w:ascii="Century Gothic" w:hAnsi="Century Gothic" w:cs="Century Gothic"/>
          <w:b/>
          <w:bCs/>
          <w:color w:val="000000"/>
          <w:kern w:val="0"/>
          <w:sz w:val="32"/>
          <w:szCs w:val="32"/>
        </w:rPr>
      </w:pPr>
      <w:r w:rsidRPr="00A63A6A">
        <w:rPr>
          <w:rFonts w:ascii="Century Gothic" w:hAnsi="Century Gothic" w:cs="Century Gothic"/>
          <w:b/>
          <w:bCs/>
          <w:color w:val="000000"/>
          <w:kern w:val="0"/>
          <w:sz w:val="32"/>
          <w:szCs w:val="32"/>
        </w:rPr>
        <w:t>Declaration</w:t>
      </w:r>
      <w:r w:rsidR="00555F44" w:rsidRPr="00A63A6A">
        <w:rPr>
          <w:rFonts w:ascii="Century Gothic" w:hAnsi="Century Gothic" w:cs="Century Gothic"/>
          <w:b/>
          <w:bCs/>
          <w:color w:val="000000"/>
          <w:kern w:val="0"/>
          <w:sz w:val="32"/>
          <w:szCs w:val="32"/>
        </w:rPr>
        <w:t>:</w:t>
      </w:r>
    </w:p>
    <w:p w14:paraId="308AB243" w14:textId="77777777" w:rsidR="00555F44" w:rsidRDefault="00555F44" w:rsidP="00C85C76">
      <w:pPr>
        <w:autoSpaceDE w:val="0"/>
        <w:autoSpaceDN w:val="0"/>
        <w:adjustRightInd w:val="0"/>
        <w:spacing w:after="0" w:line="480" w:lineRule="auto"/>
        <w:ind w:left="960" w:hanging="960"/>
        <w:rPr>
          <w:rFonts w:ascii="Century Gothic" w:hAnsi="Century Gothic" w:cs="Century Gothic"/>
          <w:color w:val="000000"/>
          <w:kern w:val="0"/>
          <w:sz w:val="32"/>
          <w:szCs w:val="32"/>
        </w:rPr>
      </w:pPr>
    </w:p>
    <w:p w14:paraId="3C8A4BDB" w14:textId="77777777" w:rsidR="00D91F45" w:rsidRPr="001519E6" w:rsidRDefault="00D91F45" w:rsidP="00D91F45">
      <w:pPr>
        <w:pStyle w:val="p1"/>
        <w:rPr>
          <w:rFonts w:ascii="Century Gothic" w:hAnsi="Century Gothic"/>
          <w:sz w:val="32"/>
          <w:szCs w:val="32"/>
        </w:rPr>
      </w:pPr>
      <w:r w:rsidRPr="001519E6">
        <w:rPr>
          <w:rFonts w:ascii="Century Gothic" w:hAnsi="Century Gothic"/>
          <w:sz w:val="32"/>
          <w:szCs w:val="32"/>
        </w:rPr>
        <w:t>DECLARATION</w:t>
      </w:r>
    </w:p>
    <w:p w14:paraId="3A1392BF" w14:textId="77777777" w:rsidR="001519E6" w:rsidRPr="001519E6" w:rsidRDefault="001519E6" w:rsidP="00D91F45">
      <w:pPr>
        <w:pStyle w:val="p1"/>
        <w:rPr>
          <w:rFonts w:ascii="Century Gothic" w:hAnsi="Century Gothic"/>
          <w:sz w:val="32"/>
          <w:szCs w:val="32"/>
        </w:rPr>
      </w:pPr>
    </w:p>
    <w:p w14:paraId="208CE4EE" w14:textId="77777777" w:rsidR="00D91F45" w:rsidRPr="001519E6" w:rsidRDefault="00D91F45" w:rsidP="00D91F45">
      <w:pPr>
        <w:pStyle w:val="p1"/>
        <w:rPr>
          <w:rFonts w:ascii="Century Gothic" w:hAnsi="Century Gothic"/>
          <w:sz w:val="32"/>
          <w:szCs w:val="32"/>
        </w:rPr>
      </w:pPr>
      <w:r w:rsidRPr="001519E6">
        <w:rPr>
          <w:rFonts w:ascii="Century Gothic" w:hAnsi="Century Gothic"/>
          <w:sz w:val="32"/>
          <w:szCs w:val="32"/>
        </w:rPr>
        <w:t>This work has not previously been accepted in substance for any degree and is not being</w:t>
      </w:r>
    </w:p>
    <w:p w14:paraId="5837462B" w14:textId="77777777" w:rsidR="00D91F45" w:rsidRPr="001519E6" w:rsidRDefault="00D91F45" w:rsidP="00D91F45">
      <w:pPr>
        <w:pStyle w:val="p1"/>
        <w:rPr>
          <w:rFonts w:ascii="Century Gothic" w:hAnsi="Century Gothic"/>
          <w:sz w:val="32"/>
          <w:szCs w:val="32"/>
        </w:rPr>
      </w:pPr>
      <w:r w:rsidRPr="001519E6">
        <w:rPr>
          <w:rFonts w:ascii="Century Gothic" w:hAnsi="Century Gothic"/>
          <w:sz w:val="32"/>
          <w:szCs w:val="32"/>
        </w:rPr>
        <w:t>concurrently submitted in candidature for any degree.</w:t>
      </w:r>
    </w:p>
    <w:p w14:paraId="5B8BB2F1" w14:textId="4DD7E6C1" w:rsidR="00D91F45" w:rsidRDefault="00D91F45" w:rsidP="00D91F45">
      <w:pPr>
        <w:pStyle w:val="p1"/>
        <w:rPr>
          <w:rFonts w:ascii="Century Gothic" w:hAnsi="Century Gothic"/>
          <w:sz w:val="32"/>
          <w:szCs w:val="32"/>
        </w:rPr>
      </w:pPr>
      <w:r w:rsidRPr="001519E6">
        <w:rPr>
          <w:rFonts w:ascii="Century Gothic" w:hAnsi="Century Gothic"/>
          <w:sz w:val="32"/>
          <w:szCs w:val="32"/>
        </w:rPr>
        <w:t>Signed</w:t>
      </w:r>
      <w:r w:rsidR="005163A9">
        <w:rPr>
          <w:rFonts w:ascii="Century Gothic" w:hAnsi="Century Gothic"/>
          <w:sz w:val="32"/>
          <w:szCs w:val="32"/>
        </w:rPr>
        <w:t>: Tomas Sheehan</w:t>
      </w:r>
      <w:r w:rsidRPr="001519E6">
        <w:rPr>
          <w:rFonts w:ascii="Century Gothic" w:hAnsi="Century Gothic"/>
          <w:sz w:val="32"/>
          <w:szCs w:val="32"/>
        </w:rPr>
        <w:t xml:space="preserve"> (candidate)</w:t>
      </w:r>
    </w:p>
    <w:p w14:paraId="49666F64" w14:textId="0B06275A" w:rsidR="005163A9" w:rsidRDefault="005163A9" w:rsidP="00D91F45">
      <w:pPr>
        <w:pStyle w:val="p1"/>
        <w:rPr>
          <w:rFonts w:ascii="Century Gothic" w:hAnsi="Century Gothic"/>
          <w:sz w:val="32"/>
          <w:szCs w:val="32"/>
        </w:rPr>
      </w:pPr>
      <w:r>
        <w:rPr>
          <w:rFonts w:ascii="Century Gothic" w:hAnsi="Century Gothic"/>
          <w:noProof/>
          <w:sz w:val="32"/>
          <w:szCs w:val="32"/>
          <w14:ligatures w14:val="standardContextual"/>
        </w:rPr>
        <mc:AlternateContent>
          <mc:Choice Requires="wpi">
            <w:drawing>
              <wp:anchor distT="0" distB="0" distL="114300" distR="114300" simplePos="0" relativeHeight="251678720" behindDoc="0" locked="0" layoutInCell="1" allowOverlap="1" wp14:anchorId="3EF52C7E" wp14:editId="51299529">
                <wp:simplePos x="0" y="0"/>
                <wp:positionH relativeFrom="column">
                  <wp:posOffset>359410</wp:posOffset>
                </wp:positionH>
                <wp:positionV relativeFrom="paragraph">
                  <wp:posOffset>67310</wp:posOffset>
                </wp:positionV>
                <wp:extent cx="898525" cy="339725"/>
                <wp:effectExtent l="38100" t="38100" r="3175" b="41275"/>
                <wp:wrapNone/>
                <wp:docPr id="2017386394" name="Ink 21"/>
                <wp:cNvGraphicFramePr/>
                <a:graphic xmlns:a="http://schemas.openxmlformats.org/drawingml/2006/main">
                  <a:graphicData uri="http://schemas.microsoft.com/office/word/2010/wordprocessingInk">
                    <w14:contentPart bwMode="auto" r:id="rId5">
                      <w14:nvContentPartPr>
                        <w14:cNvContentPartPr/>
                      </w14:nvContentPartPr>
                      <w14:xfrm>
                        <a:off x="0" y="0"/>
                        <a:ext cx="898525" cy="339725"/>
                      </w14:xfrm>
                    </w14:contentPart>
                  </a:graphicData>
                </a:graphic>
              </wp:anchor>
            </w:drawing>
          </mc:Choice>
          <mc:Fallback>
            <w:pict>
              <v:shapetype w14:anchorId="360554C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 o:spid="_x0000_s1026" type="#_x0000_t75" style="position:absolute;margin-left:27.6pt;margin-top:4.6pt;width:72.15pt;height:28.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">
                <v:imagedata r:id="rId6" o:title=""/>
              </v:shape>
            </w:pict>
          </mc:Fallback>
        </mc:AlternateContent>
      </w:r>
    </w:p>
    <w:p w14:paraId="288DA5B5" w14:textId="278920F3" w:rsidR="005163A9" w:rsidRPr="001519E6" w:rsidRDefault="005163A9" w:rsidP="00D91F45">
      <w:pPr>
        <w:pStyle w:val="p1"/>
        <w:rPr>
          <w:rFonts w:ascii="Century Gothic" w:hAnsi="Century Gothic"/>
          <w:sz w:val="32"/>
          <w:szCs w:val="32"/>
        </w:rPr>
      </w:pPr>
    </w:p>
    <w:p w14:paraId="195CA0CB" w14:textId="79D4FC53" w:rsidR="00D91F45" w:rsidRDefault="00D91F45" w:rsidP="00D91F45">
      <w:pPr>
        <w:pStyle w:val="p1"/>
        <w:rPr>
          <w:rFonts w:ascii="Century Gothic" w:hAnsi="Century Gothic"/>
          <w:sz w:val="32"/>
          <w:szCs w:val="32"/>
        </w:rPr>
      </w:pPr>
      <w:r w:rsidRPr="001519E6">
        <w:rPr>
          <w:rFonts w:ascii="Century Gothic" w:hAnsi="Century Gothic"/>
          <w:sz w:val="32"/>
          <w:szCs w:val="32"/>
        </w:rPr>
        <w:t>Da</w:t>
      </w:r>
      <w:r w:rsidR="005163A9">
        <w:rPr>
          <w:rFonts w:ascii="Century Gothic" w:hAnsi="Century Gothic"/>
          <w:sz w:val="32"/>
          <w:szCs w:val="32"/>
        </w:rPr>
        <w:t>te 29/09/2026</w:t>
      </w:r>
    </w:p>
    <w:p w14:paraId="257D1261" w14:textId="77777777" w:rsidR="005163A9" w:rsidRPr="001519E6" w:rsidRDefault="005163A9" w:rsidP="00D91F45">
      <w:pPr>
        <w:pStyle w:val="p1"/>
        <w:rPr>
          <w:rFonts w:ascii="Century Gothic" w:hAnsi="Century Gothic"/>
          <w:sz w:val="32"/>
          <w:szCs w:val="32"/>
        </w:rPr>
      </w:pPr>
    </w:p>
    <w:p w14:paraId="11914C0A" w14:textId="77777777" w:rsidR="00D91F45" w:rsidRPr="001519E6" w:rsidRDefault="00D91F45" w:rsidP="00D91F45">
      <w:pPr>
        <w:pStyle w:val="p1"/>
        <w:rPr>
          <w:rFonts w:ascii="Century Gothic" w:hAnsi="Century Gothic"/>
          <w:sz w:val="32"/>
          <w:szCs w:val="32"/>
        </w:rPr>
      </w:pPr>
      <w:r w:rsidRPr="001519E6">
        <w:rPr>
          <w:rFonts w:ascii="Century Gothic" w:hAnsi="Century Gothic"/>
          <w:sz w:val="32"/>
          <w:szCs w:val="32"/>
        </w:rPr>
        <w:t>STATEMENT 1</w:t>
      </w:r>
    </w:p>
    <w:p w14:paraId="0E1EC944" w14:textId="77777777" w:rsidR="00D91F45" w:rsidRPr="001519E6" w:rsidRDefault="00D91F45" w:rsidP="00D91F45">
      <w:pPr>
        <w:pStyle w:val="p1"/>
        <w:rPr>
          <w:rFonts w:ascii="Century Gothic" w:hAnsi="Century Gothic"/>
          <w:sz w:val="32"/>
          <w:szCs w:val="32"/>
        </w:rPr>
      </w:pPr>
      <w:r w:rsidRPr="001519E6">
        <w:rPr>
          <w:rFonts w:ascii="Century Gothic" w:hAnsi="Century Gothic"/>
          <w:sz w:val="32"/>
          <w:szCs w:val="32"/>
        </w:rPr>
        <w:t>This work is the result of my own investigations, except where otherwise stated.</w:t>
      </w:r>
    </w:p>
    <w:p w14:paraId="4E1C00EE" w14:textId="77777777" w:rsidR="00D91F45" w:rsidRPr="001519E6" w:rsidRDefault="00D91F45" w:rsidP="00D91F45">
      <w:pPr>
        <w:pStyle w:val="p1"/>
        <w:rPr>
          <w:rFonts w:ascii="Century Gothic" w:hAnsi="Century Gothic"/>
          <w:sz w:val="32"/>
          <w:szCs w:val="32"/>
        </w:rPr>
      </w:pPr>
      <w:r w:rsidRPr="001519E6">
        <w:rPr>
          <w:rFonts w:ascii="Century Gothic" w:hAnsi="Century Gothic"/>
          <w:sz w:val="32"/>
          <w:szCs w:val="32"/>
        </w:rPr>
        <w:t>Other sources are acknowledged by footnotes giving explicit references. A bibliography</w:t>
      </w:r>
    </w:p>
    <w:p w14:paraId="235C9263" w14:textId="77777777" w:rsidR="00D91F45" w:rsidRPr="001519E6" w:rsidRDefault="00D91F45" w:rsidP="00D91F45">
      <w:pPr>
        <w:pStyle w:val="p1"/>
        <w:rPr>
          <w:rFonts w:ascii="Century Gothic" w:hAnsi="Century Gothic"/>
          <w:sz w:val="32"/>
          <w:szCs w:val="32"/>
        </w:rPr>
      </w:pPr>
      <w:r w:rsidRPr="001519E6">
        <w:rPr>
          <w:rFonts w:ascii="Century Gothic" w:hAnsi="Century Gothic"/>
          <w:sz w:val="32"/>
          <w:szCs w:val="32"/>
        </w:rPr>
        <w:t>is appended.</w:t>
      </w:r>
    </w:p>
    <w:p w14:paraId="3168B755" w14:textId="2ECE4CAE" w:rsidR="00D91F45" w:rsidRDefault="00D91F45" w:rsidP="00D91F45">
      <w:pPr>
        <w:pStyle w:val="p1"/>
        <w:rPr>
          <w:rFonts w:ascii="Century Gothic" w:hAnsi="Century Gothic"/>
          <w:sz w:val="32"/>
          <w:szCs w:val="32"/>
        </w:rPr>
      </w:pPr>
      <w:r w:rsidRPr="001519E6">
        <w:rPr>
          <w:rFonts w:ascii="Century Gothic" w:hAnsi="Century Gothic"/>
          <w:sz w:val="32"/>
          <w:szCs w:val="32"/>
        </w:rPr>
        <w:t>Signed</w:t>
      </w:r>
      <w:r w:rsidR="005163A9">
        <w:rPr>
          <w:rFonts w:ascii="Century Gothic" w:hAnsi="Century Gothic"/>
          <w:sz w:val="32"/>
          <w:szCs w:val="32"/>
        </w:rPr>
        <w:t>: Tomas Sheehan</w:t>
      </w:r>
      <w:r w:rsidRPr="001519E6">
        <w:rPr>
          <w:rFonts w:ascii="Century Gothic" w:hAnsi="Century Gothic"/>
          <w:sz w:val="32"/>
          <w:szCs w:val="32"/>
        </w:rPr>
        <w:t xml:space="preserve"> (candidate)</w:t>
      </w:r>
    </w:p>
    <w:p w14:paraId="6BBAE57E" w14:textId="76A2FBEF" w:rsidR="005163A9" w:rsidRDefault="005163A9" w:rsidP="00D91F45">
      <w:pPr>
        <w:pStyle w:val="p1"/>
        <w:rPr>
          <w:rFonts w:ascii="Century Gothic" w:hAnsi="Century Gothic"/>
          <w:sz w:val="32"/>
          <w:szCs w:val="32"/>
        </w:rPr>
      </w:pPr>
      <w:r>
        <w:rPr>
          <w:rFonts w:ascii="Century Gothic" w:hAnsi="Century Gothic"/>
          <w:noProof/>
          <w:sz w:val="32"/>
          <w:szCs w:val="32"/>
          <w14:ligatures w14:val="standardContextual"/>
        </w:rPr>
        <mc:AlternateContent>
          <mc:Choice Requires="wpi">
            <w:drawing>
              <wp:anchor distT="0" distB="0" distL="114300" distR="114300" simplePos="0" relativeHeight="251665408" behindDoc="0" locked="0" layoutInCell="1" allowOverlap="1" wp14:anchorId="3545C14C" wp14:editId="5AE7A29A">
                <wp:simplePos x="0" y="0"/>
                <wp:positionH relativeFrom="column">
                  <wp:posOffset>735330</wp:posOffset>
                </wp:positionH>
                <wp:positionV relativeFrom="paragraph">
                  <wp:posOffset>3175</wp:posOffset>
                </wp:positionV>
                <wp:extent cx="775970" cy="462280"/>
                <wp:effectExtent l="38100" t="38100" r="0" b="45720"/>
                <wp:wrapNone/>
                <wp:docPr id="1788260969" name="Ink 8"/>
                <wp:cNvGraphicFramePr/>
                <a:graphic xmlns:a="http://schemas.openxmlformats.org/drawingml/2006/main">
                  <a:graphicData uri="http://schemas.microsoft.com/office/word/2010/wordprocessingInk">
                    <w14:contentPart bwMode="auto" r:id="rId7">
                      <w14:nvContentPartPr>
                        <w14:cNvContentPartPr/>
                      </w14:nvContentPartPr>
                      <w14:xfrm>
                        <a:off x="0" y="0"/>
                        <a:ext cx="775970" cy="462280"/>
                      </w14:xfrm>
                    </w14:contentPart>
                  </a:graphicData>
                </a:graphic>
              </wp:anchor>
            </w:drawing>
          </mc:Choice>
          <mc:Fallback>
            <w:pict>
              <v:shape w14:anchorId="5073149B" id="Ink 8" o:spid="_x0000_s1026" type="#_x0000_t75" style="position:absolute;margin-left:57.2pt;margin-top:-.45pt;width:62.5pt;height:37.8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">
                <v:imagedata r:id="rId8" o:title=""/>
              </v:shape>
            </w:pict>
          </mc:Fallback>
        </mc:AlternateContent>
      </w:r>
    </w:p>
    <w:p w14:paraId="1BD0E005" w14:textId="77777777" w:rsidR="005163A9" w:rsidRPr="001519E6" w:rsidRDefault="005163A9" w:rsidP="00D91F45">
      <w:pPr>
        <w:pStyle w:val="p1"/>
        <w:rPr>
          <w:rFonts w:ascii="Century Gothic" w:hAnsi="Century Gothic"/>
          <w:sz w:val="32"/>
          <w:szCs w:val="32"/>
        </w:rPr>
      </w:pPr>
    </w:p>
    <w:p w14:paraId="194E09C7" w14:textId="7AFD3C32" w:rsidR="00D91F45" w:rsidRDefault="00D91F45" w:rsidP="00D91F45">
      <w:pPr>
        <w:pStyle w:val="p1"/>
        <w:rPr>
          <w:rFonts w:ascii="Century Gothic" w:hAnsi="Century Gothic"/>
          <w:sz w:val="32"/>
          <w:szCs w:val="32"/>
        </w:rPr>
      </w:pPr>
      <w:r w:rsidRPr="001519E6">
        <w:rPr>
          <w:rFonts w:ascii="Century Gothic" w:hAnsi="Century Gothic"/>
          <w:sz w:val="32"/>
          <w:szCs w:val="32"/>
        </w:rPr>
        <w:t xml:space="preserve">Date </w:t>
      </w:r>
      <w:r w:rsidR="005163A9">
        <w:rPr>
          <w:rFonts w:ascii="Century Gothic" w:hAnsi="Century Gothic"/>
          <w:sz w:val="32"/>
          <w:szCs w:val="32"/>
        </w:rPr>
        <w:t>29/09/2026</w:t>
      </w:r>
    </w:p>
    <w:p w14:paraId="475DBE84" w14:textId="77777777" w:rsidR="005163A9" w:rsidRPr="001519E6" w:rsidRDefault="005163A9" w:rsidP="00D91F45">
      <w:pPr>
        <w:pStyle w:val="p1"/>
        <w:rPr>
          <w:rFonts w:ascii="Century Gothic" w:hAnsi="Century Gothic"/>
          <w:sz w:val="32"/>
          <w:szCs w:val="32"/>
        </w:rPr>
      </w:pPr>
    </w:p>
    <w:p w14:paraId="61D9DF39" w14:textId="77777777" w:rsidR="00D91F45" w:rsidRPr="001519E6" w:rsidRDefault="00D91F45" w:rsidP="00D91F45">
      <w:pPr>
        <w:pStyle w:val="p1"/>
        <w:rPr>
          <w:rFonts w:ascii="Century Gothic" w:hAnsi="Century Gothic"/>
          <w:sz w:val="32"/>
          <w:szCs w:val="32"/>
        </w:rPr>
      </w:pPr>
      <w:r w:rsidRPr="001519E6">
        <w:rPr>
          <w:rFonts w:ascii="Century Gothic" w:hAnsi="Century Gothic"/>
          <w:sz w:val="32"/>
          <w:szCs w:val="32"/>
        </w:rPr>
        <w:t>STATEMENT 2</w:t>
      </w:r>
    </w:p>
    <w:p w14:paraId="7E5575EE" w14:textId="77777777" w:rsidR="00D91F45" w:rsidRPr="001519E6" w:rsidRDefault="00D91F45" w:rsidP="00D91F45">
      <w:pPr>
        <w:pStyle w:val="p1"/>
        <w:rPr>
          <w:rFonts w:ascii="Century Gothic" w:hAnsi="Century Gothic"/>
          <w:sz w:val="32"/>
          <w:szCs w:val="32"/>
        </w:rPr>
      </w:pPr>
      <w:r w:rsidRPr="001519E6">
        <w:rPr>
          <w:rFonts w:ascii="Century Gothic" w:hAnsi="Century Gothic"/>
          <w:sz w:val="32"/>
          <w:szCs w:val="32"/>
        </w:rPr>
        <w:t>I hereby give consent for my work, if accepted, to be available for photocopying and for</w:t>
      </w:r>
    </w:p>
    <w:p w14:paraId="2F9A1EB4" w14:textId="77777777" w:rsidR="00D91F45" w:rsidRPr="001519E6" w:rsidRDefault="00D91F45" w:rsidP="00D91F45">
      <w:pPr>
        <w:pStyle w:val="p1"/>
        <w:rPr>
          <w:rFonts w:ascii="Century Gothic" w:hAnsi="Century Gothic"/>
          <w:sz w:val="32"/>
          <w:szCs w:val="32"/>
        </w:rPr>
      </w:pPr>
      <w:r w:rsidRPr="001519E6">
        <w:rPr>
          <w:rFonts w:ascii="Century Gothic" w:hAnsi="Century Gothic"/>
          <w:sz w:val="32"/>
          <w:szCs w:val="32"/>
        </w:rPr>
        <w:t>inter-library loan, and for the title and summary to be made available to outside</w:t>
      </w:r>
    </w:p>
    <w:p w14:paraId="4698A0CE" w14:textId="77777777" w:rsidR="00D91F45" w:rsidRPr="001519E6" w:rsidRDefault="00D91F45" w:rsidP="00D91F45">
      <w:pPr>
        <w:pStyle w:val="p1"/>
        <w:rPr>
          <w:rFonts w:ascii="Century Gothic" w:hAnsi="Century Gothic"/>
          <w:sz w:val="32"/>
          <w:szCs w:val="32"/>
        </w:rPr>
      </w:pPr>
      <w:r w:rsidRPr="001519E6">
        <w:rPr>
          <w:rFonts w:ascii="Century Gothic" w:hAnsi="Century Gothic"/>
          <w:sz w:val="32"/>
          <w:szCs w:val="32"/>
        </w:rPr>
        <w:t>organisations.</w:t>
      </w:r>
    </w:p>
    <w:p w14:paraId="685DC843" w14:textId="75766C7F" w:rsidR="00D91F45" w:rsidRDefault="00D91F45" w:rsidP="00D91F45">
      <w:pPr>
        <w:pStyle w:val="p1"/>
        <w:rPr>
          <w:rFonts w:ascii="Century Gothic" w:hAnsi="Century Gothic"/>
          <w:sz w:val="32"/>
          <w:szCs w:val="32"/>
        </w:rPr>
      </w:pPr>
      <w:r w:rsidRPr="001519E6">
        <w:rPr>
          <w:rFonts w:ascii="Century Gothic" w:hAnsi="Century Gothic"/>
          <w:sz w:val="32"/>
          <w:szCs w:val="32"/>
        </w:rPr>
        <w:lastRenderedPageBreak/>
        <w:t>Signed</w:t>
      </w:r>
      <w:r w:rsidR="005163A9">
        <w:rPr>
          <w:rFonts w:ascii="Century Gothic" w:hAnsi="Century Gothic"/>
          <w:sz w:val="32"/>
          <w:szCs w:val="32"/>
        </w:rPr>
        <w:t>: Tomas Sheehan</w:t>
      </w:r>
      <w:r w:rsidRPr="001519E6">
        <w:rPr>
          <w:rFonts w:ascii="Century Gothic" w:hAnsi="Century Gothic"/>
          <w:sz w:val="32"/>
          <w:szCs w:val="32"/>
        </w:rPr>
        <w:t>. (candidate)</w:t>
      </w:r>
    </w:p>
    <w:p w14:paraId="1C669F29" w14:textId="6936384B" w:rsidR="005163A9" w:rsidRDefault="005163A9" w:rsidP="00D91F45">
      <w:pPr>
        <w:pStyle w:val="p1"/>
        <w:rPr>
          <w:rFonts w:ascii="Century Gothic" w:hAnsi="Century Gothic"/>
          <w:sz w:val="32"/>
          <w:szCs w:val="32"/>
        </w:rPr>
      </w:pPr>
    </w:p>
    <w:p w14:paraId="6E7217C0" w14:textId="601A7FB8" w:rsidR="005163A9" w:rsidRDefault="005163A9" w:rsidP="00D91F45">
      <w:pPr>
        <w:pStyle w:val="p1"/>
        <w:rPr>
          <w:rFonts w:ascii="Century Gothic" w:hAnsi="Century Gothic"/>
          <w:sz w:val="32"/>
          <w:szCs w:val="32"/>
        </w:rPr>
      </w:pPr>
      <w:r>
        <w:rPr>
          <w:rFonts w:ascii="Century Gothic" w:hAnsi="Century Gothic"/>
          <w:noProof/>
          <w:sz w:val="32"/>
          <w:szCs w:val="32"/>
          <w14:ligatures w14:val="standardContextual"/>
        </w:rPr>
        <mc:AlternateContent>
          <mc:Choice Requires="wpi">
            <w:drawing>
              <wp:anchor distT="0" distB="0" distL="114300" distR="114300" simplePos="0" relativeHeight="251672576" behindDoc="0" locked="0" layoutInCell="1" allowOverlap="1" wp14:anchorId="343CC723" wp14:editId="50CA241E">
                <wp:simplePos x="0" y="0"/>
                <wp:positionH relativeFrom="column">
                  <wp:posOffset>313055</wp:posOffset>
                </wp:positionH>
                <wp:positionV relativeFrom="paragraph">
                  <wp:posOffset>-132080</wp:posOffset>
                </wp:positionV>
                <wp:extent cx="1145520" cy="479425"/>
                <wp:effectExtent l="25400" t="38100" r="0" b="41275"/>
                <wp:wrapNone/>
                <wp:docPr id="2051621010" name="Ink 15"/>
                <wp:cNvGraphicFramePr/>
                <a:graphic xmlns:a="http://schemas.openxmlformats.org/drawingml/2006/main">
                  <a:graphicData uri="http://schemas.microsoft.com/office/word/2010/wordprocessingInk">
                    <w14:contentPart bwMode="auto" r:id="rId9">
                      <w14:nvContentPartPr>
                        <w14:cNvContentPartPr/>
                      </w14:nvContentPartPr>
                      <w14:xfrm>
                        <a:off x="0" y="0"/>
                        <a:ext cx="1145520" cy="479425"/>
                      </w14:xfrm>
                    </w14:contentPart>
                  </a:graphicData>
                </a:graphic>
              </wp:anchor>
            </w:drawing>
          </mc:Choice>
          <mc:Fallback>
            <w:pict>
              <v:shape w14:anchorId="31571B21" id="Ink 15" o:spid="_x0000_s1026" type="#_x0000_t75" style="position:absolute;margin-left:23.95pt;margin-top:-11.1pt;width:91.65pt;height:39.1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">
                <v:imagedata r:id="rId10" o:title=""/>
              </v:shape>
            </w:pict>
          </mc:Fallback>
        </mc:AlternateContent>
      </w:r>
    </w:p>
    <w:p w14:paraId="4528A50C" w14:textId="77777777" w:rsidR="005163A9" w:rsidRPr="001519E6" w:rsidRDefault="005163A9" w:rsidP="00D91F45">
      <w:pPr>
        <w:pStyle w:val="p1"/>
        <w:rPr>
          <w:rFonts w:ascii="Century Gothic" w:hAnsi="Century Gothic"/>
          <w:sz w:val="32"/>
          <w:szCs w:val="32"/>
        </w:rPr>
      </w:pPr>
    </w:p>
    <w:p w14:paraId="70D8B2D7" w14:textId="5F038FE3" w:rsidR="00D91F45" w:rsidRPr="001519E6" w:rsidRDefault="00D91F45" w:rsidP="00D91F45">
      <w:pPr>
        <w:pStyle w:val="p1"/>
        <w:rPr>
          <w:rFonts w:ascii="Century Gothic" w:hAnsi="Century Gothic"/>
          <w:sz w:val="32"/>
          <w:szCs w:val="32"/>
        </w:rPr>
      </w:pPr>
      <w:r w:rsidRPr="001519E6">
        <w:rPr>
          <w:rFonts w:ascii="Century Gothic" w:hAnsi="Century Gothic"/>
          <w:sz w:val="32"/>
          <w:szCs w:val="32"/>
        </w:rPr>
        <w:t>Date .</w:t>
      </w:r>
      <w:r w:rsidR="005163A9">
        <w:rPr>
          <w:rFonts w:ascii="Century Gothic" w:hAnsi="Century Gothic"/>
          <w:sz w:val="32"/>
          <w:szCs w:val="32"/>
        </w:rPr>
        <w:t>29/09/2026</w:t>
      </w:r>
    </w:p>
    <w:p w14:paraId="5FA47EA3" w14:textId="77777777" w:rsidR="005163A9" w:rsidRDefault="005163A9" w:rsidP="00D91F45">
      <w:pPr>
        <w:pStyle w:val="p1"/>
        <w:rPr>
          <w:rFonts w:ascii="Century Gothic" w:hAnsi="Century Gothic"/>
          <w:b/>
          <w:bCs/>
          <w:sz w:val="32"/>
          <w:szCs w:val="32"/>
        </w:rPr>
      </w:pPr>
    </w:p>
    <w:p w14:paraId="25984E66" w14:textId="7AD702E0" w:rsidR="00555F44" w:rsidRDefault="00555F44" w:rsidP="00C85C76">
      <w:pPr>
        <w:autoSpaceDE w:val="0"/>
        <w:autoSpaceDN w:val="0"/>
        <w:adjustRightInd w:val="0"/>
        <w:spacing w:after="0" w:line="480" w:lineRule="auto"/>
        <w:ind w:left="960" w:hanging="960"/>
        <w:rPr>
          <w:rFonts w:ascii="Century Gothic" w:hAnsi="Century Gothic" w:cs="Century Gothic"/>
          <w:color w:val="000000"/>
          <w:kern w:val="0"/>
          <w:sz w:val="32"/>
          <w:szCs w:val="32"/>
        </w:rPr>
      </w:pPr>
    </w:p>
    <w:p w14:paraId="45408D2C" w14:textId="77777777" w:rsidR="00555F44" w:rsidRDefault="00555F44" w:rsidP="00C85C76">
      <w:pPr>
        <w:autoSpaceDE w:val="0"/>
        <w:autoSpaceDN w:val="0"/>
        <w:adjustRightInd w:val="0"/>
        <w:spacing w:after="0" w:line="480" w:lineRule="auto"/>
        <w:ind w:left="960" w:hanging="960"/>
        <w:rPr>
          <w:rFonts w:ascii="Century Gothic" w:hAnsi="Century Gothic" w:cs="Century Gothic"/>
          <w:color w:val="000000"/>
          <w:kern w:val="0"/>
          <w:sz w:val="32"/>
          <w:szCs w:val="32"/>
        </w:rPr>
      </w:pPr>
    </w:p>
    <w:p w14:paraId="39979CE5"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26"/>
          <w:szCs w:val="26"/>
        </w:rPr>
      </w:pPr>
      <w:r>
        <w:rPr>
          <w:rFonts w:ascii="Century Gothic" w:hAnsi="Century Gothic" w:cs="Century Gothic"/>
          <w:b/>
          <w:bCs/>
          <w:color w:val="000000"/>
          <w:kern w:val="0"/>
          <w:sz w:val="26"/>
          <w:szCs w:val="26"/>
        </w:rPr>
        <w:t>Acknowledgements:</w:t>
      </w:r>
    </w:p>
    <w:p w14:paraId="086ABE4F" w14:textId="0F4B7C78"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26"/>
          <w:szCs w:val="26"/>
        </w:rPr>
        <w:tab/>
        <w:t xml:space="preserve"> I would like to thank my wife, Nicole. Without her none of this would be possible and I wouldn’t be the person that I am today. I am eternally grateful for her support and encouragement over the last few years. I would also like to thank my son, Harrison. Everything I do is for you. Since you were </w:t>
      </w:r>
      <w:r w:rsidR="005163A9">
        <w:rPr>
          <w:rFonts w:ascii="Century Gothic" w:hAnsi="Century Gothic" w:cs="Century Gothic"/>
          <w:color w:val="000000"/>
          <w:kern w:val="0"/>
          <w:sz w:val="26"/>
          <w:szCs w:val="26"/>
        </w:rPr>
        <w:t>born,</w:t>
      </w:r>
      <w:r>
        <w:rPr>
          <w:rFonts w:ascii="Century Gothic" w:hAnsi="Century Gothic" w:cs="Century Gothic"/>
          <w:color w:val="000000"/>
          <w:kern w:val="0"/>
          <w:sz w:val="26"/>
          <w:szCs w:val="26"/>
        </w:rPr>
        <w:t xml:space="preserve"> I have wanted you to see a loving, </w:t>
      </w:r>
      <w:r w:rsidR="005163A9">
        <w:rPr>
          <w:rFonts w:ascii="Century Gothic" w:hAnsi="Century Gothic" w:cs="Century Gothic"/>
          <w:color w:val="000000"/>
          <w:kern w:val="0"/>
          <w:sz w:val="26"/>
          <w:szCs w:val="26"/>
        </w:rPr>
        <w:t>hardworking</w:t>
      </w:r>
      <w:r>
        <w:rPr>
          <w:rFonts w:ascii="Century Gothic" w:hAnsi="Century Gothic" w:cs="Century Gothic"/>
          <w:color w:val="000000"/>
          <w:kern w:val="0"/>
          <w:sz w:val="26"/>
          <w:szCs w:val="26"/>
        </w:rPr>
        <w:t xml:space="preserve"> father and I hope I inspire you the way that you inspire me every day. </w:t>
      </w:r>
    </w:p>
    <w:p w14:paraId="02138A42" w14:textId="77777777" w:rsidR="00C85C76" w:rsidRDefault="00C85C76" w:rsidP="00C85C76">
      <w:pPr>
        <w:autoSpaceDE w:val="0"/>
        <w:autoSpaceDN w:val="0"/>
        <w:adjustRightInd w:val="0"/>
        <w:spacing w:after="0" w:line="480" w:lineRule="auto"/>
        <w:ind w:left="960" w:hanging="960"/>
        <w:rPr>
          <w:rFonts w:ascii="Century Gothic" w:hAnsi="Century Gothic" w:cs="Century Gothic"/>
          <w:color w:val="000000"/>
          <w:kern w:val="0"/>
          <w:sz w:val="32"/>
          <w:szCs w:val="32"/>
        </w:rPr>
      </w:pPr>
    </w:p>
    <w:p w14:paraId="42ABCA3D" w14:textId="77777777" w:rsidR="00C85C76" w:rsidRDefault="00C85C76" w:rsidP="00C85C76">
      <w:pPr>
        <w:autoSpaceDE w:val="0"/>
        <w:autoSpaceDN w:val="0"/>
        <w:adjustRightInd w:val="0"/>
        <w:spacing w:after="0" w:line="480" w:lineRule="auto"/>
        <w:ind w:left="960" w:hanging="960"/>
        <w:rPr>
          <w:rFonts w:ascii="Century Gothic" w:hAnsi="Century Gothic" w:cs="Century Gothic"/>
          <w:b/>
          <w:bCs/>
          <w:color w:val="000000"/>
          <w:kern w:val="0"/>
          <w:sz w:val="26"/>
          <w:szCs w:val="26"/>
        </w:rPr>
      </w:pPr>
      <w:r>
        <w:rPr>
          <w:rFonts w:ascii="Century Gothic" w:hAnsi="Century Gothic" w:cs="Century Gothic"/>
          <w:b/>
          <w:bCs/>
          <w:color w:val="000000"/>
          <w:kern w:val="0"/>
          <w:sz w:val="26"/>
          <w:szCs w:val="26"/>
        </w:rPr>
        <w:t>Abstract:</w:t>
      </w:r>
    </w:p>
    <w:p w14:paraId="537A4BD8"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26"/>
          <w:szCs w:val="26"/>
        </w:rPr>
      </w:pPr>
      <w:r>
        <w:rPr>
          <w:rFonts w:ascii="Century Gothic" w:hAnsi="Century Gothic" w:cs="Century Gothic"/>
          <w:color w:val="000000"/>
          <w:kern w:val="0"/>
          <w:position w:val="2"/>
          <w:sz w:val="26"/>
          <w:szCs w:val="26"/>
        </w:rPr>
        <w:tab/>
        <w:t xml:space="preserve">The COVID-19 pandemic accelerated a structural shift in the commercial models of European premium long-haul airlines, driving an unprecedented reliance on ancillary revenue, unbundled fares, and coalition loyalty ecosystems to secure financial resilience. However, while modern retailing strategies and frameworks like the New Distribution Capability (NDC) offer clear commercial benefits, their </w:t>
      </w:r>
      <w:r>
        <w:rPr>
          <w:rFonts w:ascii="Century Gothic" w:hAnsi="Century Gothic" w:cs="Century Gothic"/>
          <w:color w:val="000000"/>
          <w:kern w:val="0"/>
          <w:position w:val="2"/>
          <w:sz w:val="26"/>
          <w:szCs w:val="26"/>
        </w:rPr>
        <w:lastRenderedPageBreak/>
        <w:t>rapid implementation creates profound friction against legacy IT infrastructure and premium customer expectations. Using Virgin Atlantic as a primary case study, this qualitative, interpretivist study evaluates the operational and strategic realities of this transition. Data was gathered via asynchronous structured questionnaires from a purposive sample of commercial managers, frontline ticketing and contact centre personnel, and a premium consumer, analysed using reflexive thematic analysis.</w:t>
      </w:r>
    </w:p>
    <w:p w14:paraId="15BC8B77" w14:textId="33A5C944"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26"/>
          <w:szCs w:val="26"/>
        </w:rPr>
      </w:pPr>
      <w:r>
        <w:rPr>
          <w:rFonts w:ascii="Century Gothic" w:hAnsi="Century Gothic" w:cs="Century Gothic"/>
          <w:color w:val="000000"/>
          <w:kern w:val="0"/>
          <w:position w:val="2"/>
          <w:sz w:val="26"/>
          <w:szCs w:val="26"/>
        </w:rPr>
        <w:tab/>
        <w:t xml:space="preserve">The findings reveal a severe strategy-execution gap. Top-down mandates for algorithmic fare unbundling and dynamic loyalty pricing successfully generate initial yield and bypass European regulatory constraints, but they consistently erode Customer-Based Brand Equity (CBBE) by triggering perceptions of price unfairness. Crucially, the resulting friction is absorbed entirely by frontline staff. Furthermore, the operational dissonance between modern NDC booking pipelines and legacy Passenger Service Systems (PSS) causes critical servicing bottlenecks during irregular operations (IROPS), degrading the premium service proposition. The study concludes that until airlines align their digital retailing ambitions with robust, modernised capabilities, the financial gains of continuous pricing and unbundling will be heavily </w:t>
      </w:r>
      <w:r>
        <w:rPr>
          <w:rFonts w:ascii="Century Gothic" w:hAnsi="Century Gothic" w:cs="Century Gothic"/>
          <w:color w:val="000000"/>
          <w:kern w:val="0"/>
          <w:position w:val="2"/>
          <w:sz w:val="26"/>
          <w:szCs w:val="26"/>
        </w:rPr>
        <w:lastRenderedPageBreak/>
        <w:t>offset by operational inefficiency, employee burnout, and diminished long-term customer trust.</w:t>
      </w:r>
    </w:p>
    <w:p w14:paraId="7D3F2094"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79D1D17D"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015E8EB1"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2394CD88"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1E9D9AD9"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11D68E06" w14:textId="77777777" w:rsidR="009C3C64" w:rsidRDefault="009C3C64"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508215E6" w14:textId="77777777" w:rsidR="009C3C64" w:rsidRDefault="009C3C64"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6B5AA558" w14:textId="77777777" w:rsidR="009C3C64" w:rsidRDefault="009C3C64"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267CF4B3" w14:textId="77777777" w:rsidR="009C3C64" w:rsidRDefault="009C3C64"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5F0ED573" w14:textId="77777777" w:rsidR="009C3C64" w:rsidRDefault="009C3C64"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70499836" w14:textId="77777777" w:rsidR="009C3C64" w:rsidRDefault="009C3C64"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76A54679" w14:textId="77777777" w:rsidR="009C3C64" w:rsidRDefault="009C3C64"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77D5499C" w14:textId="77777777" w:rsidR="009C3C64" w:rsidRDefault="009C3C64"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62932D73" w14:textId="77777777" w:rsidR="009C3C64" w:rsidRDefault="009C3C64"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0FE5B352" w14:textId="77777777" w:rsidR="009C3C64" w:rsidRDefault="009C3C64"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45F1999C" w14:textId="77777777" w:rsidR="009C3C64" w:rsidRDefault="009C3C64"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1F4A3DE7"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lastRenderedPageBreak/>
        <w:t>Table of Contents:</w:t>
      </w:r>
    </w:p>
    <w:p w14:paraId="7E35988D"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Chapter 1: Introduction</w:t>
      </w:r>
    </w:p>
    <w:p w14:paraId="692A424F"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1.1 Introduction</w:t>
      </w:r>
    </w:p>
    <w:p w14:paraId="153EB422" w14:textId="56A51B60"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1.2 The research aims, objectives and questions</w:t>
      </w:r>
    </w:p>
    <w:p w14:paraId="21913141"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 xml:space="preserve">1.3 Research Questions </w:t>
      </w:r>
    </w:p>
    <w:p w14:paraId="5A1B473B"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1.4 Significance</w:t>
      </w:r>
    </w:p>
    <w:p w14:paraId="63887A3F"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1.5 The limitations</w:t>
      </w:r>
    </w:p>
    <w:p w14:paraId="05C6BE99"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1.6 The structural outline</w:t>
      </w:r>
    </w:p>
    <w:p w14:paraId="348AA2CA"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4593E37E"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Chapter 2: Literature Review</w:t>
      </w:r>
    </w:p>
    <w:p w14:paraId="558B36E2"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2.1 Introduction: the changing airline commercial model</w:t>
      </w:r>
    </w:p>
    <w:p w14:paraId="58C55B56"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2.2 The development of ancillary revenue definition and composition, 2008–2024</w:t>
      </w:r>
    </w:p>
    <w:p w14:paraId="264DC6EA"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2.3 Academic frameworks for valuing frequent flyer programmes</w:t>
      </w:r>
    </w:p>
    <w:p w14:paraId="10D4BC3A"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2.4 Virgin Atlantic’s coalition loyalty model and financial resilience</w:t>
      </w:r>
    </w:p>
    <w:p w14:paraId="4C45BFE8"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lastRenderedPageBreak/>
        <w:t>2.5 European regulatory constraints: the interchange fee cap</w:t>
      </w:r>
    </w:p>
    <w:p w14:paraId="2AE00205"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2.6 European competitor strategies: Avios ecosystems and sustainability premiums</w:t>
      </w:r>
    </w:p>
    <w:p w14:paraId="6EBA5261"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2.7 Premium brand erosion and revenue maximisation: the “Economy light” dilemma</w:t>
      </w:r>
    </w:p>
    <w:p w14:paraId="7CF747E6"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2.8 Consumer psychology and the behavioural economics of unbundling</w:t>
      </w:r>
    </w:p>
    <w:p w14:paraId="358E3BB7"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2.9 Strategic lessons from adjacent transport and hospitality sectors</w:t>
      </w:r>
    </w:p>
    <w:p w14:paraId="2C95AA62"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2.10 The operational friction of modern retail: IROPS and transaction cost economics</w:t>
      </w:r>
    </w:p>
    <w:p w14:paraId="04B62F59"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2.11 Technological constraints: NDC, legacy systems and dynamic pricing</w:t>
      </w:r>
    </w:p>
    <w:p w14:paraId="5C431038"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2.12 AI pricing, personalisation and fairness</w:t>
      </w:r>
    </w:p>
    <w:p w14:paraId="13D2189A"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2.13 Conclusion</w:t>
      </w:r>
    </w:p>
    <w:p w14:paraId="7E0680C4"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5A86E194"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Chapter 3: Methodology</w:t>
      </w:r>
    </w:p>
    <w:p w14:paraId="0388C6B5"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lastRenderedPageBreak/>
        <w:t>3.1 Introduction</w:t>
      </w:r>
    </w:p>
    <w:p w14:paraId="313BBC5C"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3.2 Research Philosophy and Approach</w:t>
      </w:r>
    </w:p>
    <w:p w14:paraId="5BB5EE83"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3.3 Research Design and the Asynchronous qualitative method</w:t>
      </w:r>
    </w:p>
    <w:p w14:paraId="6D8BF04D"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 xml:space="preserve"> 3.4 Purposive Sampling Strategy and Participant Selection</w:t>
      </w:r>
    </w:p>
    <w:p w14:paraId="2C8EBC93"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3.5 Data Analysis Strategy: Reflexive Thematic Analysis</w:t>
      </w:r>
    </w:p>
    <w:p w14:paraId="7AE51DF4"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3.6 Ethical Considerations and Data Governance</w:t>
      </w:r>
    </w:p>
    <w:p w14:paraId="42BB0F94"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3.7 Conclusion</w:t>
      </w:r>
    </w:p>
    <w:p w14:paraId="1D5176DC"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5949A472"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Chapter 4: Findings</w:t>
      </w:r>
    </w:p>
    <w:p w14:paraId="79369109"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4.1 Introduction</w:t>
      </w:r>
    </w:p>
    <w:p w14:paraId="3D670E7D"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4.2 The Boundaries of Premium Unbundling</w:t>
      </w:r>
    </w:p>
    <w:p w14:paraId="35A3B3CB"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4.3 Technological Headaches and Day-to-Day Servicing Issues</w:t>
      </w:r>
    </w:p>
    <w:p w14:paraId="6435392D"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4.4 Coalition Loyalty and Financial Resilience</w:t>
      </w:r>
    </w:p>
    <w:p w14:paraId="68DF69A8"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4.5 Frontline and Consumer Perceptions of the High-Speed Rail Benchmark</w:t>
      </w:r>
    </w:p>
    <w:p w14:paraId="5DE54AF7"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4.6 Conclusion</w:t>
      </w:r>
    </w:p>
    <w:p w14:paraId="4079C603"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1AAE4A97"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Chapter 5: Discussion</w:t>
      </w:r>
    </w:p>
    <w:p w14:paraId="2B70531B"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5.1 Introduction</w:t>
      </w:r>
    </w:p>
    <w:p w14:paraId="0F30FAE5"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5.2 The Basic Economy Dilemma and Customer-Based Brand Equity</w:t>
      </w:r>
    </w:p>
    <w:p w14:paraId="6515CCA0"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5.3 Technological Dissonance and the NDC Transition</w:t>
      </w:r>
    </w:p>
    <w:p w14:paraId="10580120"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5.4 Coalition Loyalty as a Financial Cushion</w:t>
      </w:r>
    </w:p>
    <w:p w14:paraId="1B2FEACA"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5.5 High-Speed Rail as a Comparison</w:t>
      </w:r>
    </w:p>
    <w:p w14:paraId="184F09C6"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5.6 Conclusion</w:t>
      </w:r>
    </w:p>
    <w:p w14:paraId="2B36A1DC"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69EC3FD9"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Chapter 6: Conclusions and Recommendations</w:t>
      </w:r>
    </w:p>
    <w:p w14:paraId="275A5A40"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6.1 Introduction</w:t>
      </w:r>
    </w:p>
    <w:p w14:paraId="50450ABD"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6.2 Overarching Conclusions</w:t>
      </w:r>
    </w:p>
    <w:p w14:paraId="03B9C510"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6.3 Practical Recommendations</w:t>
      </w:r>
    </w:p>
    <w:p w14:paraId="08C9A678"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6.4 Limitations of the Research</w:t>
      </w:r>
    </w:p>
    <w:p w14:paraId="3B041127"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6.5 Avenues for Future Research</w:t>
      </w:r>
    </w:p>
    <w:p w14:paraId="2612CA8E"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2A26C3A7" w14:textId="77777777" w:rsidR="008366BB" w:rsidRDefault="008366BB"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39F164B4" w14:textId="535CCCB9"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roofErr w:type="spellStart"/>
      <w:r>
        <w:rPr>
          <w:rFonts w:ascii="Century Gothic" w:hAnsi="Century Gothic" w:cs="Century Gothic"/>
          <w:b/>
          <w:bCs/>
          <w:color w:val="000000"/>
          <w:kern w:val="0"/>
          <w:sz w:val="32"/>
          <w:szCs w:val="32"/>
        </w:rPr>
        <w:lastRenderedPageBreak/>
        <w:t>Appendecies</w:t>
      </w:r>
      <w:proofErr w:type="spellEnd"/>
    </w:p>
    <w:p w14:paraId="7CB1334A"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References</w:t>
      </w:r>
    </w:p>
    <w:p w14:paraId="35099F49"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4D3081AB"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58EB6844"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5A0BEF2A"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16E2FEC5"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1D547D3F"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4D559DC5"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68927E22"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56FDC9F3"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613942D2"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6CC5606E"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6B115C9C"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141AC83B"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62804723"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6E360365"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292D394C"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70010147"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719AF0F5"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Chapter 1</w:t>
      </w:r>
    </w:p>
    <w:p w14:paraId="601AE40F"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1.1 Introduction</w:t>
      </w:r>
    </w:p>
    <w:p w14:paraId="02ABF37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19A6B6F4"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Commercial airlines operate on tight profit margins and are extremely vulnerable to global economic downturns such as wars, fuel price spikes, and even the weather. But the COVID-19 pandemic was completely different. Overnight, countries were closed to air travel, routes were cancelled, and there was no clear timeline for things to get back to normal. The pandemic caused a collapse in passenger numbers unlike anything the airline industry had ever seen, with global revenue passenger kilometres dropping by 65.9% in 2020 with total international demand down 75.6% (PATA, 2020; IATA, 2021). That sudden loss of income really exposed how fragile the traditional airline business model is the moment core ticket sales dry up.</w:t>
      </w:r>
    </w:p>
    <w:p w14:paraId="2BC56903"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lastRenderedPageBreak/>
        <w:tab/>
        <w:t xml:space="preserve">To survive and eventually rebuild, airlines had to completely rethink how they </w:t>
      </w:r>
      <w:proofErr w:type="gramStart"/>
      <w:r>
        <w:rPr>
          <w:rFonts w:ascii="Century Gothic" w:hAnsi="Century Gothic" w:cs="Century Gothic"/>
          <w:color w:val="000000"/>
          <w:kern w:val="0"/>
          <w:sz w:val="32"/>
          <w:szCs w:val="32"/>
        </w:rPr>
        <w:t>actually make</w:t>
      </w:r>
      <w:proofErr w:type="gramEnd"/>
      <w:r>
        <w:rPr>
          <w:rFonts w:ascii="Century Gothic" w:hAnsi="Century Gothic" w:cs="Century Gothic"/>
          <w:color w:val="000000"/>
          <w:kern w:val="0"/>
          <w:sz w:val="32"/>
          <w:szCs w:val="32"/>
        </w:rPr>
        <w:t xml:space="preserve"> money. Income streams outside the basic flight ticket—ancillary revenue—went from being a nice-to-have bonus to an absolute necessity for long-term survival. By 2024, non-ticket income like upsell/upgrade, seat selection, baggage fees, and loyalty activity had ballooned into a massive (projected) $148.4 billion pillar of airline strategy worldwide (</w:t>
      </w:r>
      <w:proofErr w:type="spellStart"/>
      <w:r>
        <w:rPr>
          <w:rFonts w:ascii="Century Gothic" w:hAnsi="Century Gothic" w:cs="Century Gothic"/>
          <w:color w:val="000000"/>
          <w:kern w:val="0"/>
          <w:sz w:val="32"/>
          <w:szCs w:val="32"/>
        </w:rPr>
        <w:t>IdeaWorksCompany</w:t>
      </w:r>
      <w:proofErr w:type="spellEnd"/>
      <w:r>
        <w:rPr>
          <w:rFonts w:ascii="Century Gothic" w:hAnsi="Century Gothic" w:cs="Century Gothic"/>
          <w:color w:val="000000"/>
          <w:kern w:val="0"/>
          <w:sz w:val="32"/>
          <w:szCs w:val="32"/>
        </w:rPr>
        <w:t>, 2024).</w:t>
      </w:r>
    </w:p>
    <w:p w14:paraId="4F5A75A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Low-cost carriers like Ryanair and EasyJet figured this out years ago, of course, proving that stripping back the fare and charging for extras works incredibly well. However, Ryanair and EasyJet have never positioned themselves as high end premium carriers, whereas there is an expectation that many services are included in the price with traditional </w:t>
      </w:r>
      <w:proofErr w:type="gramStart"/>
      <w:r>
        <w:rPr>
          <w:rFonts w:ascii="Century Gothic" w:hAnsi="Century Gothic" w:cs="Century Gothic"/>
          <w:color w:val="000000"/>
          <w:kern w:val="0"/>
          <w:sz w:val="32"/>
          <w:szCs w:val="32"/>
        </w:rPr>
        <w:t>full service</w:t>
      </w:r>
      <w:proofErr w:type="gramEnd"/>
      <w:r>
        <w:rPr>
          <w:rFonts w:ascii="Century Gothic" w:hAnsi="Century Gothic" w:cs="Century Gothic"/>
          <w:color w:val="000000"/>
          <w:kern w:val="0"/>
          <w:sz w:val="32"/>
          <w:szCs w:val="32"/>
        </w:rPr>
        <w:t xml:space="preserve"> carriers (FSC’s). The pandemic essentially forced traditional FSC’s to look at copying those same tactics just to repair their balance </w:t>
      </w:r>
      <w:r>
        <w:rPr>
          <w:rFonts w:ascii="Century Gothic" w:hAnsi="Century Gothic" w:cs="Century Gothic"/>
          <w:color w:val="000000"/>
          <w:kern w:val="0"/>
          <w:sz w:val="32"/>
          <w:szCs w:val="32"/>
        </w:rPr>
        <w:lastRenderedPageBreak/>
        <w:t xml:space="preserve">sheets. But working for a premium long-haul airline like Virgin Atlantic, leaning into this low-cost model creates a massive dilemma. The challenge isn't just figuring out how to generate a little bit more revenue from each booking; it’s figuring out how to do it without eroding the premium brand value, the service expectations, and the trust that passengers are </w:t>
      </w:r>
      <w:proofErr w:type="gramStart"/>
      <w:r>
        <w:rPr>
          <w:rFonts w:ascii="Century Gothic" w:hAnsi="Century Gothic" w:cs="Century Gothic"/>
          <w:color w:val="000000"/>
          <w:kern w:val="0"/>
          <w:sz w:val="32"/>
          <w:szCs w:val="32"/>
        </w:rPr>
        <w:t>actually paying</w:t>
      </w:r>
      <w:proofErr w:type="gramEnd"/>
      <w:r>
        <w:rPr>
          <w:rFonts w:ascii="Century Gothic" w:hAnsi="Century Gothic" w:cs="Century Gothic"/>
          <w:color w:val="000000"/>
          <w:kern w:val="0"/>
          <w:sz w:val="32"/>
          <w:szCs w:val="32"/>
        </w:rPr>
        <w:t xml:space="preserve"> for and expecting.</w:t>
      </w:r>
    </w:p>
    <w:p w14:paraId="5C6142A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Research shows customers are usually okay with paying extra </w:t>
      </w:r>
      <w:proofErr w:type="gramStart"/>
      <w:r>
        <w:rPr>
          <w:rFonts w:ascii="Century Gothic" w:hAnsi="Century Gothic" w:cs="Century Gothic"/>
          <w:color w:val="000000"/>
          <w:kern w:val="0"/>
          <w:sz w:val="32"/>
          <w:szCs w:val="32"/>
        </w:rPr>
        <w:t>as long as</w:t>
      </w:r>
      <w:proofErr w:type="gramEnd"/>
      <w:r>
        <w:rPr>
          <w:rFonts w:ascii="Century Gothic" w:hAnsi="Century Gothic" w:cs="Century Gothic"/>
          <w:color w:val="000000"/>
          <w:kern w:val="0"/>
          <w:sz w:val="32"/>
          <w:szCs w:val="32"/>
        </w:rPr>
        <w:t xml:space="preserve"> the fees feel fair and transparent (O’Connell and Warnock-Smith, 2013; Warnock-Smith, O’Connell and Maleki, 2015). But FSC customers naturally expect a lot more to be included from the start, particularly when travelling long-haul with a premium airline like Virgin Atlantic. </w:t>
      </w:r>
    </w:p>
    <w:p w14:paraId="1A47654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To make the balancing act even more difficult, European airlines play on a completely different field compared to big US carriers like Delta Air Lines, JetBlue, American Airlines etc. European carriers simply don't have </w:t>
      </w:r>
      <w:r>
        <w:rPr>
          <w:rFonts w:ascii="Century Gothic" w:hAnsi="Century Gothic" w:cs="Century Gothic"/>
          <w:color w:val="000000"/>
          <w:kern w:val="0"/>
          <w:sz w:val="32"/>
          <w:szCs w:val="32"/>
        </w:rPr>
        <w:lastRenderedPageBreak/>
        <w:t xml:space="preserve">the luxury of falling back on hugely lucrative co-branded credit card revenues, because the </w:t>
      </w:r>
      <w:proofErr w:type="gramStart"/>
      <w:r>
        <w:rPr>
          <w:rFonts w:ascii="Century Gothic" w:hAnsi="Century Gothic" w:cs="Century Gothic"/>
          <w:color w:val="000000"/>
          <w:kern w:val="0"/>
          <w:sz w:val="32"/>
          <w:szCs w:val="32"/>
        </w:rPr>
        <w:t>EU’s  caps</w:t>
      </w:r>
      <w:proofErr w:type="gramEnd"/>
      <w:r>
        <w:rPr>
          <w:rFonts w:ascii="Century Gothic" w:hAnsi="Century Gothic" w:cs="Century Gothic"/>
          <w:color w:val="000000"/>
          <w:kern w:val="0"/>
          <w:sz w:val="32"/>
          <w:szCs w:val="32"/>
        </w:rPr>
        <w:t xml:space="preserve"> on those fees (European Commission, 2020). That forces European carriers to get creative, building ancillary and loyalty setups that fit within tighter rules, whilst still making sense for their brand and modern retail systems.</w:t>
      </w:r>
    </w:p>
    <w:p w14:paraId="40050F63"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1D2C2474"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With all that in mind, this study to explores how Virgin Atlantic and similar European FSC’s are </w:t>
      </w:r>
      <w:proofErr w:type="gramStart"/>
      <w:r>
        <w:rPr>
          <w:rFonts w:ascii="Century Gothic" w:hAnsi="Century Gothic" w:cs="Century Gothic"/>
          <w:color w:val="000000"/>
          <w:kern w:val="0"/>
          <w:sz w:val="32"/>
          <w:szCs w:val="32"/>
        </w:rPr>
        <w:t>actually navigating</w:t>
      </w:r>
      <w:proofErr w:type="gramEnd"/>
      <w:r>
        <w:rPr>
          <w:rFonts w:ascii="Century Gothic" w:hAnsi="Century Gothic" w:cs="Century Gothic"/>
          <w:color w:val="000000"/>
          <w:kern w:val="0"/>
          <w:sz w:val="32"/>
          <w:szCs w:val="32"/>
        </w:rPr>
        <w:t xml:space="preserve"> this push for ancillary revenue post-pandemic. I set out to look at how airlines’ commercial models are having to adapt, how loyalty programmes are shifting to help build financial resilience, and how the move towards modern retail technology might help offer genuinely personalised products rather than just stripping it back to bare </w:t>
      </w:r>
      <w:proofErr w:type="gramStart"/>
      <w:r>
        <w:rPr>
          <w:rFonts w:ascii="Century Gothic" w:hAnsi="Century Gothic" w:cs="Century Gothic"/>
          <w:color w:val="000000"/>
          <w:kern w:val="0"/>
          <w:sz w:val="32"/>
          <w:szCs w:val="32"/>
        </w:rPr>
        <w:t>bones, and</w:t>
      </w:r>
      <w:proofErr w:type="gramEnd"/>
      <w:r>
        <w:rPr>
          <w:rFonts w:ascii="Century Gothic" w:hAnsi="Century Gothic" w:cs="Century Gothic"/>
          <w:color w:val="000000"/>
          <w:kern w:val="0"/>
          <w:sz w:val="32"/>
          <w:szCs w:val="32"/>
        </w:rPr>
        <w:t xml:space="preserve"> charging for everything outside of the ticket price. </w:t>
      </w:r>
    </w:p>
    <w:p w14:paraId="417F47A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4AED1036"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lastRenderedPageBreak/>
        <w:t>1.2 The research aims, objectives and questions</w:t>
      </w:r>
    </w:p>
    <w:p w14:paraId="0393BE1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55F01CFF"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The main objectives of the research are as follows: Firstly, a comprehensive review of the existing literature on airline ancillary revenue, comparing how low-cost carriers unbundle fares with the much more cautious approach premium carriers </w:t>
      </w:r>
      <w:proofErr w:type="gramStart"/>
      <w:r>
        <w:rPr>
          <w:rFonts w:ascii="Century Gothic" w:hAnsi="Century Gothic" w:cs="Century Gothic"/>
          <w:color w:val="000000"/>
          <w:kern w:val="0"/>
          <w:sz w:val="32"/>
          <w:szCs w:val="32"/>
        </w:rPr>
        <w:t>have to</w:t>
      </w:r>
      <w:proofErr w:type="gramEnd"/>
      <w:r>
        <w:rPr>
          <w:rFonts w:ascii="Century Gothic" w:hAnsi="Century Gothic" w:cs="Century Gothic"/>
          <w:color w:val="000000"/>
          <w:kern w:val="0"/>
          <w:sz w:val="32"/>
          <w:szCs w:val="32"/>
        </w:rPr>
        <w:t xml:space="preserve"> take. I also wanted to look at High-Speed Rail provider Eurostar for examples of how to bundle products while keeping the customer experience intact.</w:t>
      </w:r>
    </w:p>
    <w:p w14:paraId="779535A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Another key objective is to examine how loyalty programmes work, specifically contrasting the US models used for collateral during COVID-19 with European setups like Virgin Red that </w:t>
      </w:r>
      <w:proofErr w:type="gramStart"/>
      <w:r>
        <w:rPr>
          <w:rFonts w:ascii="Century Gothic" w:hAnsi="Century Gothic" w:cs="Century Gothic"/>
          <w:color w:val="000000"/>
          <w:kern w:val="0"/>
          <w:sz w:val="32"/>
          <w:szCs w:val="32"/>
        </w:rPr>
        <w:t>have to</w:t>
      </w:r>
      <w:proofErr w:type="gramEnd"/>
      <w:r>
        <w:rPr>
          <w:rFonts w:ascii="Century Gothic" w:hAnsi="Century Gothic" w:cs="Century Gothic"/>
          <w:color w:val="000000"/>
          <w:kern w:val="0"/>
          <w:sz w:val="32"/>
          <w:szCs w:val="32"/>
        </w:rPr>
        <w:t xml:space="preserve"> operate under the strict interchange fee caps. As part of that an assessment is needed also needed of the technological hurdles of modern airline retailing—specifically, the real-world friction between legacy Passenger Service Systems (PSS) </w:t>
      </w:r>
      <w:r>
        <w:rPr>
          <w:rFonts w:ascii="Century Gothic" w:hAnsi="Century Gothic" w:cs="Century Gothic"/>
          <w:color w:val="000000"/>
          <w:kern w:val="0"/>
          <w:sz w:val="32"/>
          <w:szCs w:val="32"/>
        </w:rPr>
        <w:lastRenderedPageBreak/>
        <w:t>and newer frameworks like IATA's New Distribution Capability (NDC). Are the ideas outpacing the technological changes needed to implement them successfully?</w:t>
      </w:r>
    </w:p>
    <w:p w14:paraId="323851C3"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35A576B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Finally, my goal was to gather practical insights using a qualitative questionnaire from professionals across commercial management, frontline operations, and a customer perspective. I initially planned to </w:t>
      </w:r>
      <w:proofErr w:type="spellStart"/>
      <w:r>
        <w:rPr>
          <w:rFonts w:ascii="Century Gothic" w:hAnsi="Century Gothic" w:cs="Century Gothic"/>
          <w:color w:val="000000"/>
          <w:kern w:val="0"/>
          <w:sz w:val="32"/>
          <w:szCs w:val="32"/>
        </w:rPr>
        <w:t>to</w:t>
      </w:r>
      <w:proofErr w:type="spellEnd"/>
      <w:r>
        <w:rPr>
          <w:rFonts w:ascii="Century Gothic" w:hAnsi="Century Gothic" w:cs="Century Gothic"/>
          <w:color w:val="000000"/>
          <w:kern w:val="0"/>
          <w:sz w:val="32"/>
          <w:szCs w:val="32"/>
        </w:rPr>
        <w:t xml:space="preserve"> do this by conducting semi-structured interviews, but the 24/7 reality of shift work in aviation made scheduling them practically impossible. By switching to a questionnaire, I was able to gather these real-world perspectives flexibly and had greater uptake in terms of a response. Ultimately, the aim of bringing all this together is to deliver actionable recommendations for growing long-haul ancillary revenue without damaging customer trust or our premium brand identity.</w:t>
      </w:r>
    </w:p>
    <w:p w14:paraId="27C7176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1BD99F9D"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1.3 Research Questions:</w:t>
      </w:r>
    </w:p>
    <w:p w14:paraId="06CD11AC"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This study is guided by the following questions:</w:t>
      </w:r>
    </w:p>
    <w:p w14:paraId="042B997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17AB945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1. How has ancillary revenue developed for Virgin Atlantic and selected European full-service carriers since 2008, and how did the COVID-19 pandemic accelerate the move towards retail-led airline business models?</w:t>
      </w:r>
    </w:p>
    <w:p w14:paraId="2C65CDB4"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2. How do frequent flyer programmes create financial value, and how does Virgin Atlantic’s connection with Virgin Red respond to the limits placed on European loyalty revenue by interchange fee regulation?</w:t>
      </w:r>
    </w:p>
    <w:p w14:paraId="589149E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3. What are the main risks of introducing low-cost carrier-style unbundling within a premium airline brand, and how might full-service carriers avoid weakening customer trust and brand value?</w:t>
      </w:r>
    </w:p>
    <w:p w14:paraId="58CD291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lastRenderedPageBreak/>
        <w:t>4. What limitations do legacy airline systems place on dynamic pricing and personalised offers, and how might NDC and “Offers and Orders” support modern retail?</w:t>
      </w:r>
    </w:p>
    <w:p w14:paraId="51AF2396"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5. What lessons can European airlines take from High-Speed Rail operators in relation to premium product bundling, customer experience and passenger satisfaction?</w:t>
      </w:r>
    </w:p>
    <w:p w14:paraId="46F51A77"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4405336D"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1692C187"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1.4 Significance</w:t>
      </w:r>
    </w:p>
    <w:p w14:paraId="1717253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This study is significant because it brings together three areas that usually get treated in isolation: commercial finance, brand management, and distribution technology. Ancillary revenue is no longer just an add on; it’s the core driving force in airline profitability and resilience.</w:t>
      </w:r>
    </w:p>
    <w:p w14:paraId="6DFBB2A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6C00A9C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lastRenderedPageBreak/>
        <w:tab/>
        <w:t>Most research either focuses on low-cost carriers aggressively unbundling fares or looks at the massive, credit card-backed loyalty schemes used by US airlines. There’s noticeably less research exploring how European FSC’s are supposed to build resilient non-ticket revenue under much tighter regulations. Virgin Atlantic an attractive case study for this because of their push into a broader lifestyle ecosystem through Virgin Red, offering a real-world blueprint for generating value and revenue beyond just flying.</w:t>
      </w:r>
    </w:p>
    <w:p w14:paraId="707ED2BE"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4C67C8E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For an airline like Virgin Atlantic, the stakes for getting ancillary pricing, marketing, and implementation right are huge. Treading a fine line between growing margins without alienating the higher-yield passengers who pay for that illusive, almost unquantifiable ‘little bit extra’ from a premium airline. Get it wrong and customers begin to feel like basic elements of their trip that should be </w:t>
      </w:r>
      <w:r>
        <w:rPr>
          <w:rFonts w:ascii="Century Gothic" w:hAnsi="Century Gothic" w:cs="Century Gothic"/>
          <w:color w:val="000000"/>
          <w:kern w:val="0"/>
          <w:sz w:val="32"/>
          <w:szCs w:val="32"/>
        </w:rPr>
        <w:lastRenderedPageBreak/>
        <w:t>included are now an expensive extra, and this can be extremely damaging to a brand long term. It’s difficult to turn it around when customers start feeling like they are being ripped off. At the same time, as airlines continue to push towards modern retail frameworks like NDC and "Offers and Orders</w:t>
      </w:r>
      <w:proofErr w:type="gramStart"/>
      <w:r>
        <w:rPr>
          <w:rFonts w:ascii="Century Gothic" w:hAnsi="Century Gothic" w:cs="Century Gothic"/>
          <w:color w:val="000000"/>
          <w:kern w:val="0"/>
          <w:sz w:val="32"/>
          <w:szCs w:val="32"/>
        </w:rPr>
        <w:t>",  the</w:t>
      </w:r>
      <w:proofErr w:type="gramEnd"/>
      <w:r>
        <w:rPr>
          <w:rFonts w:ascii="Century Gothic" w:hAnsi="Century Gothic" w:cs="Century Gothic"/>
          <w:color w:val="000000"/>
          <w:kern w:val="0"/>
          <w:sz w:val="32"/>
          <w:szCs w:val="32"/>
        </w:rPr>
        <w:t xml:space="preserve"> tools finally exist to offer genuinely personalised bundles. But this technology shift carries its own risks around pricing transparency and trust. By gathering insights directly from the professionals managing, living, and breathing this day-to-day, I hope to offer practical strategies to navigate this transition smoothly.</w:t>
      </w:r>
    </w:p>
    <w:p w14:paraId="4493CFF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759EF6F9"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1.5 The limitations</w:t>
      </w:r>
    </w:p>
    <w:p w14:paraId="6E75950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This research is designed to be as robust as possible. However, there are some limitations to acknowledge. The main one is commercial confidentiality. Airlines are incredibly secretive about their pricing, loyalty breakage </w:t>
      </w:r>
      <w:r>
        <w:rPr>
          <w:rFonts w:ascii="Century Gothic" w:hAnsi="Century Gothic" w:cs="Century Gothic"/>
          <w:color w:val="000000"/>
          <w:kern w:val="0"/>
          <w:sz w:val="32"/>
          <w:szCs w:val="32"/>
        </w:rPr>
        <w:lastRenderedPageBreak/>
        <w:t xml:space="preserve">rates, and the exact profitability of individual products. Because of this, I've had to rely on public statutory filings, industry reports, and academic literature to build the financial context. </w:t>
      </w:r>
    </w:p>
    <w:p w14:paraId="2FE3475F"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3D35DDE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To fill the operational gaps those public </w:t>
      </w:r>
      <w:proofErr w:type="gramStart"/>
      <w:r>
        <w:rPr>
          <w:rFonts w:ascii="Century Gothic" w:hAnsi="Century Gothic" w:cs="Century Gothic"/>
          <w:color w:val="000000"/>
          <w:kern w:val="0"/>
          <w:sz w:val="32"/>
          <w:szCs w:val="32"/>
        </w:rPr>
        <w:t>documents</w:t>
      </w:r>
      <w:proofErr w:type="gramEnd"/>
      <w:r>
        <w:rPr>
          <w:rFonts w:ascii="Century Gothic" w:hAnsi="Century Gothic" w:cs="Century Gothic"/>
          <w:color w:val="000000"/>
          <w:kern w:val="0"/>
          <w:sz w:val="32"/>
          <w:szCs w:val="32"/>
        </w:rPr>
        <w:t xml:space="preserve"> leave out, I used the qualitative questionnaire. However, this brings in the issue of participant bias. Colleagues might naturally frame strategy in a positive light, or self-censor because of commercial sensitivities. To keep things objective, I’ve made sure to cross-check their answers against secondary data and established academic theory.</w:t>
      </w:r>
    </w:p>
    <w:p w14:paraId="568ED15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4000E79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Strategically, the scope of this project is deliberately narrow, focusing on Virgin Atlantic and European full-service carriers, as such, the findings won't apply to budget airlines or state-owned carriers. </w:t>
      </w:r>
    </w:p>
    <w:p w14:paraId="7DC0890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lastRenderedPageBreak/>
        <w:tab/>
        <w:t>Finally, airline technology is moving incredibly fast right now. While specific IT capabilities might evolve quickly before this is published, the core tension between revenue growth, customer trust, and brand protection will remain relevant.</w:t>
      </w:r>
    </w:p>
    <w:p w14:paraId="5E55CC33"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1C87A7B5"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1.6 The structural outline</w:t>
      </w:r>
    </w:p>
    <w:p w14:paraId="1B3982CE"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The dissertation is broken down into the following six chapters:</w:t>
      </w:r>
    </w:p>
    <w:p w14:paraId="085BC73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43F6738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b/>
          <w:bCs/>
          <w:color w:val="000000"/>
          <w:kern w:val="0"/>
          <w:sz w:val="32"/>
          <w:szCs w:val="32"/>
        </w:rPr>
        <w:t xml:space="preserve"> Chapter One: </w:t>
      </w:r>
      <w:r>
        <w:rPr>
          <w:rFonts w:ascii="Century Gothic" w:hAnsi="Century Gothic" w:cs="Century Gothic"/>
          <w:color w:val="000000"/>
          <w:kern w:val="0"/>
          <w:sz w:val="32"/>
          <w:szCs w:val="32"/>
        </w:rPr>
        <w:t>Introduction – outlines the shift towards ancillary revenue post-COVID, the main research problem, and the project's aims and limitations.</w:t>
      </w:r>
    </w:p>
    <w:p w14:paraId="60BAE71F"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7D416B5F"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w:t>
      </w:r>
      <w:r>
        <w:rPr>
          <w:rFonts w:ascii="Century Gothic" w:hAnsi="Century Gothic" w:cs="Century Gothic"/>
          <w:b/>
          <w:bCs/>
          <w:color w:val="000000"/>
          <w:kern w:val="0"/>
          <w:sz w:val="32"/>
          <w:szCs w:val="32"/>
        </w:rPr>
        <w:t>Chapter Two:</w:t>
      </w:r>
      <w:r>
        <w:rPr>
          <w:rFonts w:ascii="Century Gothic" w:hAnsi="Century Gothic" w:cs="Century Gothic"/>
          <w:color w:val="000000"/>
          <w:kern w:val="0"/>
          <w:sz w:val="32"/>
          <w:szCs w:val="32"/>
        </w:rPr>
        <w:t xml:space="preserve"> Literature Review – looks at how non-ticket revenue has evolved, comparing low-cost unbundling against premium strategies, evaluating loyalty </w:t>
      </w:r>
      <w:r>
        <w:rPr>
          <w:rFonts w:ascii="Century Gothic" w:hAnsi="Century Gothic" w:cs="Century Gothic"/>
          <w:color w:val="000000"/>
          <w:kern w:val="0"/>
          <w:sz w:val="32"/>
          <w:szCs w:val="32"/>
        </w:rPr>
        <w:lastRenderedPageBreak/>
        <w:t>programme finances, and looking at lessons from high-speed rail and modern retail technology.</w:t>
      </w:r>
    </w:p>
    <w:p w14:paraId="51C116E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7799158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b/>
          <w:bCs/>
          <w:color w:val="000000"/>
          <w:kern w:val="0"/>
          <w:sz w:val="32"/>
          <w:szCs w:val="32"/>
        </w:rPr>
        <w:t xml:space="preserve">Chapter Three: </w:t>
      </w:r>
      <w:r>
        <w:rPr>
          <w:rFonts w:ascii="Century Gothic" w:hAnsi="Century Gothic" w:cs="Century Gothic"/>
          <w:color w:val="000000"/>
          <w:kern w:val="0"/>
          <w:sz w:val="32"/>
          <w:szCs w:val="32"/>
        </w:rPr>
        <w:t>Methodology – explains the qualitative approach and detailing why I used a questionnaire as opposed to in person interviews with industry professionals, alongside the ethical considerations and how I analysed the data.</w:t>
      </w:r>
    </w:p>
    <w:p w14:paraId="46DAD16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53A11B16"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b/>
          <w:bCs/>
          <w:color w:val="000000"/>
          <w:kern w:val="0"/>
          <w:sz w:val="32"/>
          <w:szCs w:val="32"/>
        </w:rPr>
        <w:t xml:space="preserve">Chapter Four: </w:t>
      </w:r>
      <w:r>
        <w:rPr>
          <w:rFonts w:ascii="Century Gothic" w:hAnsi="Century Gothic" w:cs="Century Gothic"/>
          <w:color w:val="000000"/>
          <w:kern w:val="0"/>
          <w:sz w:val="32"/>
          <w:szCs w:val="32"/>
        </w:rPr>
        <w:t xml:space="preserve">Findings and Analysis – pulls together the questionnaire responses to show how Virgin Atlantic and its European peers are </w:t>
      </w:r>
      <w:proofErr w:type="gramStart"/>
      <w:r>
        <w:rPr>
          <w:rFonts w:ascii="Century Gothic" w:hAnsi="Century Gothic" w:cs="Century Gothic"/>
          <w:color w:val="000000"/>
          <w:kern w:val="0"/>
          <w:sz w:val="32"/>
          <w:szCs w:val="32"/>
        </w:rPr>
        <w:t>actually executing</w:t>
      </w:r>
      <w:proofErr w:type="gramEnd"/>
      <w:r>
        <w:rPr>
          <w:rFonts w:ascii="Century Gothic" w:hAnsi="Century Gothic" w:cs="Century Gothic"/>
          <w:color w:val="000000"/>
          <w:kern w:val="0"/>
          <w:sz w:val="32"/>
          <w:szCs w:val="32"/>
        </w:rPr>
        <w:t xml:space="preserve"> these commercial strategies in the real world. </w:t>
      </w:r>
    </w:p>
    <w:p w14:paraId="669908AF"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17EF1EC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b/>
          <w:bCs/>
          <w:color w:val="000000"/>
          <w:kern w:val="0"/>
          <w:sz w:val="32"/>
          <w:szCs w:val="32"/>
        </w:rPr>
        <w:t>Chapter Five:</w:t>
      </w:r>
      <w:r>
        <w:rPr>
          <w:rFonts w:ascii="Century Gothic" w:hAnsi="Century Gothic" w:cs="Century Gothic"/>
          <w:color w:val="000000"/>
          <w:kern w:val="0"/>
          <w:sz w:val="32"/>
          <w:szCs w:val="32"/>
        </w:rPr>
        <w:t xml:space="preserve"> Discussion – links those findings back to the literature, questioning whether European carriers are genuinely managing to balance financial resilience with protecting their premium brand.</w:t>
      </w:r>
    </w:p>
    <w:p w14:paraId="4B7CA623"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07FE717F"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b/>
          <w:bCs/>
          <w:color w:val="000000"/>
          <w:kern w:val="0"/>
          <w:sz w:val="32"/>
          <w:szCs w:val="32"/>
        </w:rPr>
        <w:t>Chapter Six:</w:t>
      </w:r>
      <w:r>
        <w:rPr>
          <w:rFonts w:ascii="Century Gothic" w:hAnsi="Century Gothic" w:cs="Century Gothic"/>
          <w:color w:val="000000"/>
          <w:kern w:val="0"/>
          <w:sz w:val="32"/>
          <w:szCs w:val="32"/>
        </w:rPr>
        <w:t xml:space="preserve"> Conclusion – wraps up the research, directly answers the core questions, and offers actionable recommendations for Virgin Atlantic, as well as suggesting areas for future study.</w:t>
      </w:r>
    </w:p>
    <w:p w14:paraId="4754D46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1C644C6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4ED3E9FA"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32C3FE81"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240756CF"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489A02AA"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576507D4"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Chapter 2: Literature Review</w:t>
      </w:r>
    </w:p>
    <w:p w14:paraId="59EA2236"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2.1 Introduction: the changing airline commercial model</w:t>
      </w:r>
    </w:p>
    <w:p w14:paraId="062F556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60ECE7F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Over the past two decades, the global airline industry has fundamentally restructured its commercial model. The traditional, fully bundled fare has increasingly given way to modern retail strategies, where passengers </w:t>
      </w:r>
      <w:r>
        <w:rPr>
          <w:rFonts w:ascii="Century Gothic" w:hAnsi="Century Gothic" w:cs="Century Gothic"/>
          <w:color w:val="000000"/>
          <w:kern w:val="0"/>
          <w:sz w:val="32"/>
          <w:szCs w:val="32"/>
        </w:rPr>
        <w:lastRenderedPageBreak/>
        <w:t>build their journey through selected products and services. While ancillary revenue was initially pioneered by low-cost and ultra-low-cost carriers, it has matured into a critical pillar of profitability and financial resilience across the entire sector.</w:t>
      </w:r>
    </w:p>
    <w:p w14:paraId="7B8C303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Despite this industry-wide shift, the academic literature remains disproportionately focused on two distinct models: low-cost carriers, who were the early adopters of unbundling, and North American full-service airlines, whose massive co-branded credit card partnerships generate vast financial value. This creates a noticeable gap regarding European FSC’s, particularly premium long-haul operators like Virgin Atlantic.</w:t>
      </w:r>
    </w:p>
    <w:p w14:paraId="4C21C7D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European airlines navigate a more restrictive commercial environment. The EU’s Interchange Fee Regulation restricts the profitability of co-branded loyalty cards, denying European carriers the exact same high-margin loyalty models enjoyed by their US counterparts </w:t>
      </w:r>
      <w:r>
        <w:rPr>
          <w:rFonts w:ascii="Century Gothic" w:hAnsi="Century Gothic" w:cs="Century Gothic"/>
          <w:color w:val="000000"/>
          <w:kern w:val="0"/>
          <w:sz w:val="32"/>
          <w:szCs w:val="32"/>
        </w:rPr>
        <w:lastRenderedPageBreak/>
        <w:t>(European Commission, 2019). Consequently, premium long-haul airlines face a complex balancing act: they must drive non-ticket revenue aggressively enough to remain competitive, without eroding the customer trust and brand equity that underpins their premium positioning.</w:t>
      </w:r>
    </w:p>
    <w:p w14:paraId="46FCE05E"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This chapter critically reviews the literature surrounding this balancing act. It traces the evolution of ancillary revenue and the financial capability of frequent flyer programmes, alongside the regulatory issues shaping the European landscape. It then explores the balancing act of revenue maximisation and brand protection, before evaluating the technological constraints of legacy PSS and the shift towards IATA’s modern retail standards by 2030. Finally, it draws comparative lessons from high-speed rail operator, Eurostar, regarding premium product design and customer experience.</w:t>
      </w:r>
    </w:p>
    <w:p w14:paraId="6E385EBF"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0397B51C"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lastRenderedPageBreak/>
        <w:t>2.2 The development of ancillary revenue definition and composition, 2008–2024</w:t>
      </w:r>
    </w:p>
    <w:p w14:paraId="6E0BA00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4F080B5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While it’s difficult to pinpoint exactly when the shift towards reliance on ancillary revenue began, the 2008 global financial crisis certainly accelerated it (Maxim, 2012). Amid shifting fuel costs, reduced passenger demand, and substantial industry losses, established network carriers had to reduce their dependence on basic ticket revenue.</w:t>
      </w:r>
    </w:p>
    <w:p w14:paraId="02A88CD6"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At the time, low-cost carriers were already proving the viability of à la carte pricing in Europe, successfully keeping headline fares low to dominate price comparison engines while driving margins through optional extras like baggage and priority boarding (Wittmer, A. et al, 2012).</w:t>
      </w:r>
    </w:p>
    <w:p w14:paraId="172F9B0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Initially, FSC's were hesitant to unbundle, fearing it would dilute their premium service proposition and </w:t>
      </w:r>
      <w:r>
        <w:rPr>
          <w:rFonts w:ascii="Century Gothic" w:hAnsi="Century Gothic" w:cs="Century Gothic"/>
          <w:color w:val="000000"/>
          <w:kern w:val="0"/>
          <w:sz w:val="32"/>
          <w:szCs w:val="32"/>
        </w:rPr>
        <w:lastRenderedPageBreak/>
        <w:t>damage customer expectations. However, as the financial imperative grew, the definition of ancillary revenue— which for the purposes of this research is defined as income generated beyond the direct flight ticket—began to expand (Mumbower, S., et al, 2022). O’Connell and Warnock-Smith (2013) broke this down into à la carte products, commission-based sales, and frequent flyer activity, while later research mapped its evolution into broader travel ecosystems encompassing insurance, hotels, and airport services.</w:t>
      </w:r>
    </w:p>
    <w:p w14:paraId="185A1DC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Between 2008 and 2024, European legacy carriers incrementally introduced flexible fare structures, such as Virgin Atlantic’s "Economy Light", which allowed them to compete with low-cost rivals on base price while upselling higher-yield bundles to those wanting more flexibility. As noted earlier, the scale of this shift appears in recent industry figures, which estimate global ancillary revenue </w:t>
      </w:r>
      <w:r>
        <w:rPr>
          <w:rFonts w:ascii="Century Gothic" w:hAnsi="Century Gothic" w:cs="Century Gothic"/>
          <w:color w:val="000000"/>
          <w:kern w:val="0"/>
          <w:sz w:val="32"/>
          <w:szCs w:val="32"/>
        </w:rPr>
        <w:lastRenderedPageBreak/>
        <w:t>at roughly $148.4 billion for 2024—confirming it as a central commercial approach rather than a minor extra.</w:t>
      </w:r>
    </w:p>
    <w:p w14:paraId="54343BE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The COVID-19 pandemic acted as the final catalyst, violently accelerating this trend as airlines scrambled to rebuild revenue. For European groups, this resulted in a diversified ancillary mix, contrasting sharply with the credit-card-heavy US model. For Virgin Atlantic, recovery necessitated agility across both non-passenger and digital channels. This included leveraging available aircraft for cargo-only operations—generating £319 million in 2020—and, more recently, investing in modern retail capabilities (Virgin Atlantic, 2021).</w:t>
      </w:r>
    </w:p>
    <w:p w14:paraId="72EB992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Partnerships with platforms like </w:t>
      </w:r>
      <w:proofErr w:type="spellStart"/>
      <w:r>
        <w:rPr>
          <w:rFonts w:ascii="Century Gothic" w:hAnsi="Century Gothic" w:cs="Century Gothic"/>
          <w:color w:val="000000"/>
          <w:kern w:val="0"/>
          <w:sz w:val="32"/>
          <w:szCs w:val="32"/>
        </w:rPr>
        <w:t>Omnevo</w:t>
      </w:r>
      <w:proofErr w:type="spellEnd"/>
      <w:r>
        <w:rPr>
          <w:rFonts w:ascii="Century Gothic" w:hAnsi="Century Gothic" w:cs="Century Gothic"/>
          <w:color w:val="000000"/>
          <w:kern w:val="0"/>
          <w:sz w:val="32"/>
          <w:szCs w:val="32"/>
        </w:rPr>
        <w:t xml:space="preserve"> aim to consolidate duty-free e-commerce, meal pre-ordering, and loyalty redemptions into a single, seamless digital journey (</w:t>
      </w:r>
      <w:proofErr w:type="spellStart"/>
      <w:r>
        <w:rPr>
          <w:rFonts w:ascii="Century Gothic" w:hAnsi="Century Gothic" w:cs="Century Gothic"/>
          <w:color w:val="000000"/>
          <w:kern w:val="0"/>
          <w:sz w:val="32"/>
          <w:szCs w:val="32"/>
        </w:rPr>
        <w:t>Omnevo</w:t>
      </w:r>
      <w:proofErr w:type="spellEnd"/>
      <w:r>
        <w:rPr>
          <w:rFonts w:ascii="Century Gothic" w:hAnsi="Century Gothic" w:cs="Century Gothic"/>
          <w:color w:val="000000"/>
          <w:kern w:val="0"/>
          <w:sz w:val="32"/>
          <w:szCs w:val="32"/>
        </w:rPr>
        <w:t xml:space="preserve">, 2025). Crucially, this signifies a strategic pivot from purely extractive unbundling (charging for previously included items) towards genuine value-added </w:t>
      </w:r>
      <w:r>
        <w:rPr>
          <w:rFonts w:ascii="Century Gothic" w:hAnsi="Century Gothic" w:cs="Century Gothic"/>
          <w:color w:val="000000"/>
          <w:kern w:val="0"/>
          <w:sz w:val="32"/>
          <w:szCs w:val="32"/>
        </w:rPr>
        <w:lastRenderedPageBreak/>
        <w:t>retailing, which is essential for protecting the integrity of a premium brand.</w:t>
      </w:r>
    </w:p>
    <w:p w14:paraId="535F9E3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1645D2F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0FBA200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726C448C"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 </w:t>
      </w:r>
    </w:p>
    <w:p w14:paraId="3E8EA70B"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2.3 Academic frameworks for valuing frequent flyer programmes</w:t>
      </w:r>
    </w:p>
    <w:p w14:paraId="01AB3854"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209C8E23"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The first frequent flyer programmes (FFPs) launched in the late 1970s as marketing mechanisms to drive repeat business (Loyalty &amp; Reward Co, 2024). Modern day FFPs have structurally transformed into independent profit centres. Modern loyalty programmes often operate as high-margin B2B enterprises, primarily generating revenue by selling miles or points to banks, retailers, and other commercial partners (Gao, 2020; Lee-Anant, 2022).</w:t>
      </w:r>
    </w:p>
    <w:p w14:paraId="3105A138" w14:textId="3A79DDC8"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lastRenderedPageBreak/>
        <w:t xml:space="preserve">            The COVID-19 pandemic threw the financial weight of these programmes into focus. The USA’s ban on most foreign passengers entering the country caused a huge problem for Virgin Atlantic. Approximately 75-80% of Virgin’s flights are to the USA. When Virgin’s core passenger operations ground to a halt, they, along with multiple airlines, </w:t>
      </w:r>
      <w:r w:rsidR="00425770">
        <w:rPr>
          <w:rFonts w:ascii="Century Gothic" w:hAnsi="Century Gothic" w:cs="Century Gothic"/>
          <w:color w:val="000000"/>
          <w:kern w:val="0"/>
          <w:sz w:val="32"/>
          <w:szCs w:val="32"/>
        </w:rPr>
        <w:t>had to put up</w:t>
      </w:r>
      <w:r>
        <w:rPr>
          <w:rFonts w:ascii="Century Gothic" w:hAnsi="Century Gothic" w:cs="Century Gothic"/>
          <w:color w:val="000000"/>
          <w:kern w:val="0"/>
          <w:sz w:val="32"/>
          <w:szCs w:val="32"/>
        </w:rPr>
        <w:t xml:space="preserve"> their FFPs as collateral to secure emergency debt financing, definitively proving that loyalty databases are highly liquid financial assets (Gao, 2024; ACC Aviation, 2020; American Airlines, 2021).</w:t>
      </w:r>
    </w:p>
    <w:p w14:paraId="4006BD48" w14:textId="66A78CDF"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However, valuing these programmes academically and commercially presents a challenge. Yi Gao (2020) suggests valuing a loyalty currency by benchmarking the required miles for a reward against its open-market cash equivalent. This is increasingly complex as loyalty ecosystems move beyond simple flight redemptions into wider travel, shopping, and experiential awards. You can get a flight from London to New York for 6,000 points, or </w:t>
      </w:r>
      <w:r>
        <w:rPr>
          <w:rFonts w:ascii="Century Gothic" w:hAnsi="Century Gothic" w:cs="Century Gothic"/>
          <w:color w:val="000000"/>
          <w:kern w:val="0"/>
          <w:sz w:val="32"/>
          <w:szCs w:val="32"/>
        </w:rPr>
        <w:lastRenderedPageBreak/>
        <w:t xml:space="preserve">you can also get a £30 Miller &amp; Carter gift voucher (Virgin Atlantic, 2026; Virgin Red, 2026). It’s difficult to make a straight comparison in value of those two purchases. </w:t>
      </w:r>
      <w:r w:rsidR="00930323">
        <w:rPr>
          <w:rFonts w:ascii="Century Gothic" w:hAnsi="Century Gothic" w:cs="Century Gothic"/>
          <w:color w:val="000000"/>
          <w:kern w:val="0"/>
          <w:sz w:val="32"/>
          <w:szCs w:val="32"/>
        </w:rPr>
        <w:t>F</w:t>
      </w:r>
      <w:r>
        <w:rPr>
          <w:rFonts w:ascii="Century Gothic" w:hAnsi="Century Gothic" w:cs="Century Gothic"/>
          <w:color w:val="000000"/>
          <w:kern w:val="0"/>
          <w:sz w:val="32"/>
          <w:szCs w:val="32"/>
        </w:rPr>
        <w:t xml:space="preserve">rom an airline finance perspective, the true value lies in cash flow and liability management. When airlines sell points to third-party partners, they generate immediate cash. However, under accounting standards like IFRS 15, the airline must defer a portion of this revenue as a liability until the points are </w:t>
      </w:r>
      <w:proofErr w:type="gramStart"/>
      <w:r>
        <w:rPr>
          <w:rFonts w:ascii="Century Gothic" w:hAnsi="Century Gothic" w:cs="Century Gothic"/>
          <w:color w:val="000000"/>
          <w:kern w:val="0"/>
          <w:sz w:val="32"/>
          <w:szCs w:val="32"/>
        </w:rPr>
        <w:t>actually redeemed</w:t>
      </w:r>
      <w:proofErr w:type="gramEnd"/>
      <w:r>
        <w:rPr>
          <w:rFonts w:ascii="Century Gothic" w:hAnsi="Century Gothic" w:cs="Century Gothic"/>
          <w:color w:val="000000"/>
          <w:kern w:val="0"/>
          <w:sz w:val="32"/>
          <w:szCs w:val="32"/>
        </w:rPr>
        <w:t xml:space="preserve"> (ACCA, 2018; Virgin Atlantic, 2021).</w:t>
      </w:r>
    </w:p>
    <w:p w14:paraId="5D984820" w14:textId="4AACEB70"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The profitability of an FFP therefore hinges on the spread between the price at which points are sold to partners and the internal cost of fulfilling the eventual reward, heavily subsidised by "breakage" (points that expire or are never used). For FSCs, mastering this financial mechanic </w:t>
      </w:r>
      <w:r w:rsidR="00C62246">
        <w:rPr>
          <w:rFonts w:ascii="Century Gothic" w:hAnsi="Century Gothic" w:cs="Century Gothic"/>
          <w:color w:val="000000"/>
          <w:kern w:val="0"/>
          <w:sz w:val="32"/>
          <w:szCs w:val="32"/>
        </w:rPr>
        <w:t xml:space="preserve">is </w:t>
      </w:r>
      <w:proofErr w:type="spellStart"/>
      <w:r w:rsidR="00C62246">
        <w:rPr>
          <w:rFonts w:ascii="Century Gothic" w:hAnsi="Century Gothic" w:cs="Century Gothic"/>
          <w:color w:val="000000"/>
          <w:kern w:val="0"/>
          <w:sz w:val="32"/>
          <w:szCs w:val="32"/>
        </w:rPr>
        <w:t>imperitive</w:t>
      </w:r>
      <w:proofErr w:type="spellEnd"/>
      <w:r>
        <w:rPr>
          <w:rFonts w:ascii="Century Gothic" w:hAnsi="Century Gothic" w:cs="Century Gothic"/>
          <w:color w:val="000000"/>
          <w:kern w:val="0"/>
          <w:sz w:val="32"/>
          <w:szCs w:val="32"/>
        </w:rPr>
        <w:t xml:space="preserve">. But as established, the scale at which airlines can exploit this model depends heavily on regional banking regulations, forcing European carriers to </w:t>
      </w:r>
      <w:r>
        <w:rPr>
          <w:rFonts w:ascii="Century Gothic" w:hAnsi="Century Gothic" w:cs="Century Gothic"/>
          <w:color w:val="000000"/>
          <w:kern w:val="0"/>
          <w:sz w:val="32"/>
          <w:szCs w:val="32"/>
        </w:rPr>
        <w:lastRenderedPageBreak/>
        <w:t>engineer different loyalty architectures than their US peers.</w:t>
      </w:r>
    </w:p>
    <w:p w14:paraId="3613CCB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30A16132"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2.4 Virgin Atlantic’s coalition loyalty model and financial resilience</w:t>
      </w:r>
    </w:p>
    <w:p w14:paraId="3A1A976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292F14E6"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The financial power of loyalty assets was demonstrated during Virgin Atlantic’s restructuring at the height of the pandemic. Facing a near-total collapse in passenger volumes in 2020, the airline avoided insolvency through a £1.2 billion solvent recapitalisation under Part 26A of the UK Companies Act (</w:t>
      </w:r>
      <w:proofErr w:type="spellStart"/>
      <w:r>
        <w:rPr>
          <w:rFonts w:ascii="Century Gothic" w:hAnsi="Century Gothic" w:cs="Century Gothic"/>
          <w:color w:val="000000"/>
          <w:kern w:val="0"/>
          <w:sz w:val="32"/>
          <w:szCs w:val="32"/>
        </w:rPr>
        <w:t>Ashfords</w:t>
      </w:r>
      <w:proofErr w:type="spellEnd"/>
      <w:r>
        <w:rPr>
          <w:rFonts w:ascii="Century Gothic" w:hAnsi="Century Gothic" w:cs="Century Gothic"/>
          <w:color w:val="000000"/>
          <w:kern w:val="0"/>
          <w:sz w:val="32"/>
          <w:szCs w:val="32"/>
        </w:rPr>
        <w:t xml:space="preserve">, 2020; Virgin Atlantic, 202). Crucially, the airline’s loyalty programme and its associated intellectual property were successfully used as collateral to secure £170 million in new debt financing from Davidson Kempner (Houlihan Lokey, 2020; Virgin Atlantic, 2020a). This proved that even when </w:t>
      </w:r>
      <w:r>
        <w:rPr>
          <w:rFonts w:ascii="Century Gothic" w:hAnsi="Century Gothic" w:cs="Century Gothic"/>
          <w:color w:val="000000"/>
          <w:kern w:val="0"/>
          <w:sz w:val="32"/>
          <w:szCs w:val="32"/>
        </w:rPr>
        <w:lastRenderedPageBreak/>
        <w:t>aircraft are grounded, the loyalty ecosystem can sustain corporate liquidity.</w:t>
      </w:r>
    </w:p>
    <w:p w14:paraId="0E41842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Virgin Atlantic’s approach to loyalty is structurally distinct from traditional legacy FFPs because of its integration with Virgin Red (Liu, Y., et al, 2026). While Flying Club remains the airline-facing tier programme—managing status and flight-related benefits—Virgin Points operate within the wider Virgin Red coalition (Head for Points, 2025; The Points Guy, 2024). Guo et al. (2023) note that coalition loyalty models expand earning and burning opportunities, significantly driving customer engagement across a wider network of partners (Capizzi et al., 2004; Li, C., et al., 2025).</w:t>
      </w:r>
    </w:p>
    <w:p w14:paraId="0277F31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For a European airline constrained by interchange fee caps, this coalition structure is a necessity. By capturing everyday lifestyle and retail spending across the Virgin Group and its partners, Virgin Atlantic can issue points and generate cash flow without relying on the </w:t>
      </w:r>
      <w:r>
        <w:rPr>
          <w:rFonts w:ascii="Century Gothic" w:hAnsi="Century Gothic" w:cs="Century Gothic"/>
          <w:color w:val="000000"/>
          <w:kern w:val="0"/>
          <w:sz w:val="32"/>
          <w:szCs w:val="32"/>
        </w:rPr>
        <w:lastRenderedPageBreak/>
        <w:t>massive co-branded credit card revenues that dominate the US market. This diversifies revenue and keeps the loyalty ecosystem highly active, even during periods of suppressed travel demand.</w:t>
      </w:r>
    </w:p>
    <w:p w14:paraId="4EB6475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However, operating a coalition model requires careful yield management to protect the perceived value of the currency. This tension was evident in Virgin Atlantic’s 2024 decision to overhaul its reward seat availability (Virgin Atlantic, 2024). By moving towards dynamic pricing—where members can use points for any seat on the aircraft, rather than fighting for limited "reward" inventory—the airline improved the utility of the programme. Yet, dynamic pricing also means high-demand flights cost substantially more points. Managing this balance is the central challenge of using loyalty for long-term financial resilience.</w:t>
      </w:r>
    </w:p>
    <w:p w14:paraId="41DAFFF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0999814B"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lastRenderedPageBreak/>
        <w:t>2.5 European regulatory constraints: the interchange fee cap</w:t>
      </w:r>
    </w:p>
    <w:p w14:paraId="6101CB53"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w:t>
      </w:r>
    </w:p>
    <w:p w14:paraId="1CE20805"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As shown across this study, the main difference between US and European airline loyalty approaches arises from regulatory constraints.</w:t>
      </w:r>
    </w:p>
    <w:p w14:paraId="265A6BA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The EU’s 2015 Interchange Fee Regulation structurally altered the economics of consumer credit cards by capping interchange fees at 0.3% for credit transactions and 0.2% for debit (European Commission, 2019). Historically, these fees bankrolled the generous reward structures of co-branded airline credit cards (Zhao, N., et al., 2019).</w:t>
      </w:r>
    </w:p>
    <w:p w14:paraId="75DFC1B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By capping these fees, the regulation effectively stripped European carriers of the ability to replicate the highly lucrative, credit-card-dominant loyalty models utilised by major North American airlines. Policy reviews by Bird and Bird (2018) and Copenhagen Economics (2020) </w:t>
      </w:r>
      <w:r>
        <w:rPr>
          <w:rFonts w:ascii="Century Gothic" w:hAnsi="Century Gothic" w:cs="Century Gothic"/>
          <w:color w:val="000000"/>
          <w:kern w:val="0"/>
          <w:sz w:val="32"/>
          <w:szCs w:val="32"/>
        </w:rPr>
        <w:lastRenderedPageBreak/>
        <w:t xml:space="preserve">confirmed that the fee caps ‘fundamentally eroded the profitability of reward-based financial </w:t>
      </w:r>
      <w:proofErr w:type="gramStart"/>
      <w:r>
        <w:rPr>
          <w:rFonts w:ascii="Century Gothic" w:hAnsi="Century Gothic" w:cs="Century Gothic"/>
          <w:color w:val="000000"/>
          <w:kern w:val="0"/>
          <w:sz w:val="32"/>
          <w:szCs w:val="32"/>
        </w:rPr>
        <w:t>products’</w:t>
      </w:r>
      <w:proofErr w:type="gramEnd"/>
      <w:r>
        <w:rPr>
          <w:rFonts w:ascii="Century Gothic" w:hAnsi="Century Gothic" w:cs="Century Gothic"/>
          <w:color w:val="000000"/>
          <w:kern w:val="0"/>
          <w:sz w:val="32"/>
          <w:szCs w:val="32"/>
        </w:rPr>
        <w:t>. Rulings by the Court of Justice of the European Union (2018) confirmed that these rules can extend to certain three-party card schemes, impacting premium products like American Express, which airlines have historically relied upon.</w:t>
      </w:r>
    </w:p>
    <w:p w14:paraId="2417C5E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This legislative environment forces European full-service carriers to pivot. Virgin Red's broad lifestyle coalition is a direct strategic response to this constraint, generating loyalty engagement through everyday retail partnerships rather than relying purely on interchange-funded rewards. As a result, European carriers must rely more on additional revenue sources—including branded fares, seat selection, and priority services—to close the commercial gap.</w:t>
      </w:r>
    </w:p>
    <w:p w14:paraId="3F10E85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06AE4A3E"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151516"/>
          <w:kern w:val="0"/>
          <w:sz w:val="32"/>
          <w:szCs w:val="32"/>
        </w:rPr>
        <w:lastRenderedPageBreak/>
        <w:t>2.6 European competitor strategies: Avios ecosystems and sustainability premiums</w:t>
      </w:r>
    </w:p>
    <w:p w14:paraId="6762F0EE"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 </w:t>
      </w:r>
    </w:p>
    <w:p w14:paraId="59C1D47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r>
      <w:r>
        <w:rPr>
          <w:rFonts w:ascii="Century Gothic" w:hAnsi="Century Gothic" w:cs="Century Gothic"/>
          <w:color w:val="151516"/>
          <w:kern w:val="0"/>
          <w:sz w:val="32"/>
          <w:szCs w:val="32"/>
        </w:rPr>
        <w:t>While Virgin Red offers a distinct coalition model, understanding the broader European response to the interchange fee cap requires examining how competing legacy groups have structured their non-ticket portfolios. The most direct comparison is International Airlines Group (IAG) and its Avios ecosystem. Unlike Virgin Points, which connect a single airline to a wider lifestyle brand, Avios operates as a shared currency across British Airways, Iberia, Aer Lingus, Vueling, and Qatar Airways.</w:t>
      </w:r>
    </w:p>
    <w:p w14:paraId="7BFFE82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r>
      <w:r>
        <w:rPr>
          <w:rFonts w:ascii="Century Gothic" w:hAnsi="Century Gothic" w:cs="Century Gothic"/>
          <w:color w:val="151516"/>
          <w:kern w:val="0"/>
          <w:sz w:val="32"/>
          <w:szCs w:val="32"/>
        </w:rPr>
        <w:t xml:space="preserve">From a financial perspective, IAG Loyalty acts less like a traditional frequent flyer programme and more like an independent central bank issuing a fiat currency. By scaling Avios across multiple airlines and vast retail partnerships (including everyday spending channels like Nectar and Uber in the UK), IAG creates massive </w:t>
      </w:r>
      <w:r>
        <w:rPr>
          <w:rFonts w:ascii="Century Gothic" w:hAnsi="Century Gothic" w:cs="Century Gothic"/>
          <w:color w:val="151516"/>
          <w:kern w:val="0"/>
          <w:sz w:val="32"/>
          <w:szCs w:val="32"/>
        </w:rPr>
        <w:lastRenderedPageBreak/>
        <w:t>transactional volume that offsets the margin lost to European credit card fee caps. The literature suggests that multi-partner coalition programmes of this scale benefit from network effects; the currency becomes more valuable to the consumer precisely because it is ubiquitous, which in turn allows the loyalty programme to negotiate stronger rates when selling points to B2B partners.</w:t>
      </w:r>
    </w:p>
    <w:p w14:paraId="237A696D" w14:textId="77777777" w:rsidR="00C85C76" w:rsidRDefault="00C85C76" w:rsidP="00C85C76">
      <w:pPr>
        <w:autoSpaceDE w:val="0"/>
        <w:autoSpaceDN w:val="0"/>
        <w:adjustRightInd w:val="0"/>
        <w:spacing w:after="0" w:line="480" w:lineRule="auto"/>
        <w:rPr>
          <w:rFonts w:ascii="Century Gothic" w:hAnsi="Century Gothic" w:cs="Century Gothic"/>
          <w:color w:val="151516"/>
          <w:kern w:val="0"/>
          <w:sz w:val="32"/>
          <w:szCs w:val="32"/>
        </w:rPr>
      </w:pPr>
      <w:r>
        <w:rPr>
          <w:rFonts w:ascii="Century Gothic" w:hAnsi="Century Gothic" w:cs="Century Gothic"/>
          <w:color w:val="000000"/>
          <w:kern w:val="0"/>
          <w:sz w:val="32"/>
          <w:szCs w:val="32"/>
        </w:rPr>
        <w:tab/>
      </w:r>
      <w:r>
        <w:rPr>
          <w:rFonts w:ascii="Century Gothic" w:hAnsi="Century Gothic" w:cs="Century Gothic"/>
          <w:color w:val="151516"/>
          <w:kern w:val="0"/>
          <w:sz w:val="32"/>
          <w:szCs w:val="32"/>
        </w:rPr>
        <w:t xml:space="preserve">Conversely, the Lufthansa Group provides a prime example of driving premium ancillary revenue through product innovation rather than just loyalty ecosystems. Their introduction of "Green Fares" represents a completely new frontier of upselling, rooted in corporate social responsibility (CSR) (Lufthansa, 2023). Rather than charging for physical comfort or luggage, these fares embed the cost of Sustainable Aviation Fuel (SAF) and carbon offsets directly into the ticket price. </w:t>
      </w:r>
    </w:p>
    <w:p w14:paraId="2A2B501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lastRenderedPageBreak/>
        <w:tab/>
        <w:t>Academic research on consumer willingness to pay for sustainability in aviation has historically shown a gap between what passengers say they want and what they will fund (Cordes et al., 2024). However, Lufthansa’s model successfully targets two specific demographics: corporate clients bound by strict ESG (Environmental, Social, and Governance) reporting requirements, and a growing segment of climate-conscious premium leisure travellers. By packaging sustainability as an ancillary upgrade, European carriers can generate margin on CSR initiatives without relying purely on punitive unbundling.</w:t>
      </w:r>
    </w:p>
    <w:p w14:paraId="5AAC65DC"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 </w:t>
      </w:r>
    </w:p>
    <w:p w14:paraId="22CC8B2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1C033608"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2.7 Premium brand erosion and revenue maximisation: the “Economy light” dilemma</w:t>
      </w:r>
    </w:p>
    <w:p w14:paraId="423C82BC"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2670381F"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Another answer to the lower credit card revenue is bundling fares. Virgin Atlantic’s Economy cabin is divided </w:t>
      </w:r>
      <w:r>
        <w:rPr>
          <w:rFonts w:ascii="Century Gothic" w:hAnsi="Century Gothic" w:cs="Century Gothic"/>
          <w:color w:val="000000"/>
          <w:kern w:val="0"/>
          <w:sz w:val="32"/>
          <w:szCs w:val="32"/>
        </w:rPr>
        <w:lastRenderedPageBreak/>
        <w:t xml:space="preserve">in three, “Economy Light”, “Economy Classic”, and “Economy Delight” to drive yield; customers now </w:t>
      </w:r>
      <w:proofErr w:type="gramStart"/>
      <w:r>
        <w:rPr>
          <w:rFonts w:ascii="Century Gothic" w:hAnsi="Century Gothic" w:cs="Century Gothic"/>
          <w:color w:val="000000"/>
          <w:kern w:val="0"/>
          <w:sz w:val="32"/>
          <w:szCs w:val="32"/>
        </w:rPr>
        <w:t>have to</w:t>
      </w:r>
      <w:proofErr w:type="gramEnd"/>
      <w:r>
        <w:rPr>
          <w:rFonts w:ascii="Century Gothic" w:hAnsi="Century Gothic" w:cs="Century Gothic"/>
          <w:color w:val="000000"/>
          <w:kern w:val="0"/>
          <w:sz w:val="32"/>
          <w:szCs w:val="32"/>
        </w:rPr>
        <w:t xml:space="preserve"> pay for checked baggage or extra leg room. However, for a premium long-haul carrier, aggressive unbundling poses a severe risk to Customer-Based Brand Equity (CBBE) (Wong, P, 2018). </w:t>
      </w:r>
    </w:p>
    <w:p w14:paraId="3A25BE3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Keller (1993) and Aaker (1991, 1996) emphasise that brand equity relies on customer knowledge, perceived quality, and deep-seated brand associations. Premium airline brands are built on the promise of a complete, high-quality service experience. When an airline strips out elements that passengers historically viewed as part of the core fare—such as baggage or seat selection—and resells them, it triggers issues around perceived price fairness (Bolton, </w:t>
      </w:r>
      <w:proofErr w:type="spellStart"/>
      <w:r>
        <w:rPr>
          <w:rFonts w:ascii="Century Gothic" w:hAnsi="Century Gothic" w:cs="Century Gothic"/>
          <w:color w:val="000000"/>
          <w:kern w:val="0"/>
          <w:sz w:val="32"/>
          <w:szCs w:val="32"/>
        </w:rPr>
        <w:t>Warlop</w:t>
      </w:r>
      <w:proofErr w:type="spellEnd"/>
      <w:r>
        <w:rPr>
          <w:rFonts w:ascii="Century Gothic" w:hAnsi="Century Gothic" w:cs="Century Gothic"/>
          <w:color w:val="000000"/>
          <w:kern w:val="0"/>
          <w:sz w:val="32"/>
          <w:szCs w:val="32"/>
        </w:rPr>
        <w:t xml:space="preserve"> and Alba, 2003). Passengers are highly sensitive to these changes; their acceptance of ancillary charges depends entirely on whether the fees feel transparent and genuinely optional, </w:t>
      </w:r>
      <w:r>
        <w:rPr>
          <w:rFonts w:ascii="Century Gothic" w:hAnsi="Century Gothic" w:cs="Century Gothic"/>
          <w:color w:val="000000"/>
          <w:kern w:val="0"/>
          <w:sz w:val="32"/>
          <w:szCs w:val="32"/>
        </w:rPr>
        <w:lastRenderedPageBreak/>
        <w:t xml:space="preserve">rather than a punitive removal of expected value. For a brand like Virgin Atlantic, which trades heavily on a distinctive, service-led experience, leaning too closely to a </w:t>
      </w:r>
      <w:proofErr w:type="gramStart"/>
      <w:r>
        <w:rPr>
          <w:rFonts w:ascii="Century Gothic" w:hAnsi="Century Gothic" w:cs="Century Gothic"/>
          <w:color w:val="000000"/>
          <w:kern w:val="0"/>
          <w:sz w:val="32"/>
          <w:szCs w:val="32"/>
        </w:rPr>
        <w:t>low-cost model risks</w:t>
      </w:r>
      <w:proofErr w:type="gramEnd"/>
      <w:r>
        <w:rPr>
          <w:rFonts w:ascii="Century Gothic" w:hAnsi="Century Gothic" w:cs="Century Gothic"/>
          <w:color w:val="000000"/>
          <w:kern w:val="0"/>
          <w:sz w:val="32"/>
          <w:szCs w:val="32"/>
        </w:rPr>
        <w:t xml:space="preserve"> destroying the exact premium positioning that attracts higher-yield customers.</w:t>
      </w:r>
    </w:p>
    <w:p w14:paraId="54FF7D0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Yet, the literature reveals that unbundled fare classes can be highly effective if deployed strategically as choice architecture, rather than purely as a fee-generation tool. Drawing on the "compromise effect" (Simonson,1989; Dhar and Simonson, 2003), consumers instinctively avoid the most restrictive and most expensive options, gravitating toward a balanced middle. In this context, a stripped-back Economy Light ticket serves as a powerful entry-level anchor on price comparison sites, ultimately designed to push the customer to trade up to standard Economy or Premium Economy.</w:t>
      </w:r>
    </w:p>
    <w:p w14:paraId="686D4E96"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Therefore, for a carrier like Virgin with a strong premium product mix, the commercial value of Economy </w:t>
      </w:r>
      <w:r>
        <w:rPr>
          <w:rFonts w:ascii="Century Gothic" w:hAnsi="Century Gothic" w:cs="Century Gothic"/>
          <w:color w:val="000000"/>
          <w:kern w:val="0"/>
          <w:sz w:val="32"/>
          <w:szCs w:val="32"/>
        </w:rPr>
        <w:lastRenderedPageBreak/>
        <w:t>Light lies more in its ability to steer passengers toward the higher-yield products that align with the brand's premium identity. If handled transparently, this approach protects the customer experience while actively supporting stronger margins.</w:t>
      </w:r>
    </w:p>
    <w:p w14:paraId="446CBBCA" w14:textId="77777777" w:rsidR="00C85C76" w:rsidRDefault="00C85C76" w:rsidP="00C85C76">
      <w:pPr>
        <w:autoSpaceDE w:val="0"/>
        <w:autoSpaceDN w:val="0"/>
        <w:adjustRightInd w:val="0"/>
        <w:spacing w:after="0" w:line="480" w:lineRule="auto"/>
        <w:rPr>
          <w:rFonts w:ascii="Century Gothic" w:hAnsi="Century Gothic" w:cs="Century Gothic"/>
          <w:color w:val="151516"/>
          <w:kern w:val="0"/>
          <w:sz w:val="32"/>
          <w:szCs w:val="32"/>
        </w:rPr>
      </w:pPr>
    </w:p>
    <w:p w14:paraId="1A6D126C"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151516"/>
          <w:kern w:val="0"/>
          <w:sz w:val="32"/>
          <w:szCs w:val="32"/>
        </w:rPr>
        <w:t>2.8 Consumer psychology and the behavioural economics of unbundling</w:t>
      </w:r>
    </w:p>
    <w:p w14:paraId="65686B2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 xml:space="preserve">            The transition toward heavily unbundled fare structures cannot be fully understood through revenue accounting alone; it is fundamentally an exercise in behavioural economics. When FSCs strip previously included services from the base fare, they trigger complex psychological responses. Kahneman and Tversky’s (1979) Prospect Theory, particularly the concept of loss aversion, is highly relevant here. The theory dictates that consumers experience the pain of a financial loss </w:t>
      </w:r>
      <w:r>
        <w:rPr>
          <w:rFonts w:ascii="Century Gothic" w:hAnsi="Century Gothic" w:cs="Century Gothic"/>
          <w:color w:val="151516"/>
          <w:kern w:val="0"/>
          <w:sz w:val="32"/>
          <w:szCs w:val="32"/>
        </w:rPr>
        <w:lastRenderedPageBreak/>
        <w:t>much more acutely than the pleasure of an equivalent gain.</w:t>
      </w:r>
    </w:p>
    <w:p w14:paraId="71E2F681" w14:textId="77777777" w:rsidR="00C85C76" w:rsidRDefault="00C85C76" w:rsidP="00C85C76">
      <w:pPr>
        <w:autoSpaceDE w:val="0"/>
        <w:autoSpaceDN w:val="0"/>
        <w:adjustRightInd w:val="0"/>
        <w:spacing w:after="0" w:line="480" w:lineRule="auto"/>
        <w:rPr>
          <w:rFonts w:ascii="Century Gothic" w:hAnsi="Century Gothic" w:cs="Century Gothic"/>
          <w:color w:val="151516"/>
          <w:kern w:val="0"/>
          <w:sz w:val="32"/>
          <w:szCs w:val="32"/>
        </w:rPr>
      </w:pPr>
      <w:r>
        <w:rPr>
          <w:rFonts w:ascii="Century Gothic" w:hAnsi="Century Gothic" w:cs="Century Gothic"/>
          <w:color w:val="151516"/>
          <w:kern w:val="0"/>
          <w:sz w:val="32"/>
          <w:szCs w:val="32"/>
        </w:rPr>
        <w:t xml:space="preserve">            When an airline introduces an “Economy Light” or “Basic Economy” fare by removing a checked bag or seat selection, the passenger does not always frame this as a "discounted ticket" psychologically. Instead, because of their historical expectations of that </w:t>
      </w:r>
      <w:proofErr w:type="gramStart"/>
      <w:r>
        <w:rPr>
          <w:rFonts w:ascii="Century Gothic" w:hAnsi="Century Gothic" w:cs="Century Gothic"/>
          <w:color w:val="151516"/>
          <w:kern w:val="0"/>
          <w:sz w:val="32"/>
          <w:szCs w:val="32"/>
        </w:rPr>
        <w:t>particular brand</w:t>
      </w:r>
      <w:proofErr w:type="gramEnd"/>
      <w:r>
        <w:rPr>
          <w:rFonts w:ascii="Century Gothic" w:hAnsi="Century Gothic" w:cs="Century Gothic"/>
          <w:color w:val="151516"/>
          <w:kern w:val="0"/>
          <w:sz w:val="32"/>
          <w:szCs w:val="32"/>
        </w:rPr>
        <w:t xml:space="preserve">, they frame it as a loss of a guaranteed service. This is why aggressive unbundling often generates negativity from consumers towards a brand. </w:t>
      </w:r>
    </w:p>
    <w:p w14:paraId="2B17961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ab/>
        <w:t xml:space="preserve">In addition to this, the practice of "drip pricing"—where a low headline fare is gradually inflated by incremental fees during the booking flow—routinely frustrates consumers (Robbert and Roth, 2014; Rupp, 2023). Although drip pricing effectively draws price-sensitive users via price comparison sites or google, behavioural studies suggest it can annoy consumers, </w:t>
      </w:r>
      <w:proofErr w:type="gramStart"/>
      <w:r>
        <w:rPr>
          <w:rFonts w:ascii="Century Gothic" w:hAnsi="Century Gothic" w:cs="Century Gothic"/>
          <w:color w:val="151516"/>
          <w:kern w:val="0"/>
          <w:sz w:val="32"/>
          <w:szCs w:val="32"/>
        </w:rPr>
        <w:lastRenderedPageBreak/>
        <w:t>lowering</w:t>
      </w:r>
      <w:proofErr w:type="gramEnd"/>
      <w:r>
        <w:rPr>
          <w:rFonts w:ascii="Century Gothic" w:hAnsi="Century Gothic" w:cs="Century Gothic"/>
          <w:color w:val="151516"/>
          <w:kern w:val="0"/>
          <w:sz w:val="32"/>
          <w:szCs w:val="32"/>
        </w:rPr>
        <w:t xml:space="preserve"> post-purchase satisfaction and weakening long-term loyalty (Rupp, 2023; Santana et al, 2020).</w:t>
      </w:r>
    </w:p>
    <w:p w14:paraId="42E4F6E6"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 xml:space="preserve">            Service failures can also feed that consumer frustration. The "service recovery paradox" suggests that a well-handled disruption can sometimes leave a customer more loyal than if the failure had never occurred (De Ruyter and </w:t>
      </w:r>
      <w:proofErr w:type="spellStart"/>
      <w:r>
        <w:rPr>
          <w:rFonts w:ascii="Century Gothic" w:hAnsi="Century Gothic" w:cs="Century Gothic"/>
          <w:color w:val="151516"/>
          <w:kern w:val="0"/>
          <w:sz w:val="32"/>
          <w:szCs w:val="32"/>
        </w:rPr>
        <w:t>Wetzels</w:t>
      </w:r>
      <w:proofErr w:type="spellEnd"/>
      <w:r>
        <w:rPr>
          <w:rFonts w:ascii="Century Gothic" w:hAnsi="Century Gothic" w:cs="Century Gothic"/>
          <w:color w:val="151516"/>
          <w:kern w:val="0"/>
          <w:sz w:val="32"/>
          <w:szCs w:val="32"/>
        </w:rPr>
        <w:t xml:space="preserve">, 2000). However, unbundling radically alters this dynamic. If a passenger has paid a specific, itemised £50 fee for an extra-legroom seat, and an aircraft swap deprives them of that seat, the resulting anger is significantly sharper than if the seat had simply been assigned for free. The airline has caused a service failure that wouldn’t otherwise exist. </w:t>
      </w:r>
    </w:p>
    <w:p w14:paraId="64E09E8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 xml:space="preserve">            This dynamic is further complicated by the post-pandemic shift toward "premium leisure" travel. With traditional corporate travel volumes recovering slowly, airlines are increasingly reliant on affluent leisure passengers. This demographic is highly willing to purchase </w:t>
      </w:r>
      <w:r>
        <w:rPr>
          <w:rFonts w:ascii="Century Gothic" w:hAnsi="Century Gothic" w:cs="Century Gothic"/>
          <w:color w:val="151516"/>
          <w:kern w:val="0"/>
          <w:sz w:val="32"/>
          <w:szCs w:val="32"/>
        </w:rPr>
        <w:lastRenderedPageBreak/>
        <w:t>premium ancillaries, but they are spending their own disposable income rather than a corporate budget (Şahin et al, 2026). This means that their expectations for transparency, value, and delivery of those purchased ancillaries are high, making the psychological impact of drip pricing and service failures far more damaging to the brand.</w:t>
      </w:r>
    </w:p>
    <w:p w14:paraId="182EC47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 </w:t>
      </w:r>
    </w:p>
    <w:p w14:paraId="5533C2C6"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151516"/>
          <w:kern w:val="0"/>
          <w:sz w:val="32"/>
          <w:szCs w:val="32"/>
        </w:rPr>
        <w:t>2.9 Strategic lessons from adjacent transport and hospitality sectors</w:t>
      </w:r>
    </w:p>
    <w:p w14:paraId="3DC412F3"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 </w:t>
      </w:r>
    </w:p>
    <w:p w14:paraId="2617D92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            The tension between revenue maximisation and customer trust is not unique to aviation. Premium airlines can draw vital strategic lessons from adjacent transport and hospitality sectors that have already navigated these exact pricing dilemmas.</w:t>
      </w:r>
    </w:p>
    <w:p w14:paraId="7BF1B38E"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w:t>
      </w:r>
      <w:r>
        <w:rPr>
          <w:rFonts w:ascii="Century Gothic" w:hAnsi="Century Gothic" w:cs="Century Gothic"/>
          <w:color w:val="151516"/>
          <w:kern w:val="0"/>
          <w:sz w:val="32"/>
          <w:szCs w:val="32"/>
        </w:rPr>
        <w:t>he high-speed rail operator Eurostar offers a masterclass in premium product design (</w:t>
      </w:r>
      <w:proofErr w:type="spellStart"/>
      <w:r>
        <w:rPr>
          <w:rFonts w:ascii="Century Gothic" w:hAnsi="Century Gothic" w:cs="Century Gothic"/>
          <w:color w:val="151516"/>
          <w:kern w:val="0"/>
          <w:sz w:val="32"/>
          <w:szCs w:val="32"/>
        </w:rPr>
        <w:t>Dobruszkes</w:t>
      </w:r>
      <w:proofErr w:type="spellEnd"/>
      <w:r>
        <w:rPr>
          <w:rFonts w:ascii="Century Gothic" w:hAnsi="Century Gothic" w:cs="Century Gothic"/>
          <w:color w:val="151516"/>
          <w:kern w:val="0"/>
          <w:sz w:val="32"/>
          <w:szCs w:val="32"/>
        </w:rPr>
        <w:t xml:space="preserve"> and </w:t>
      </w:r>
      <w:r>
        <w:rPr>
          <w:rFonts w:ascii="Century Gothic" w:hAnsi="Century Gothic" w:cs="Century Gothic"/>
          <w:color w:val="151516"/>
          <w:kern w:val="0"/>
          <w:sz w:val="32"/>
          <w:szCs w:val="32"/>
        </w:rPr>
        <w:lastRenderedPageBreak/>
        <w:t>Given, 2013).</w:t>
      </w:r>
      <w:r>
        <w:rPr>
          <w:rFonts w:ascii="Century Gothic" w:hAnsi="Century Gothic" w:cs="Century Gothic"/>
          <w:color w:val="000000"/>
          <w:kern w:val="0"/>
          <w:sz w:val="32"/>
          <w:szCs w:val="32"/>
        </w:rPr>
        <w:t xml:space="preserve"> </w:t>
      </w:r>
      <w:r>
        <w:rPr>
          <w:rFonts w:ascii="Century Gothic" w:hAnsi="Century Gothic" w:cs="Century Gothic"/>
          <w:color w:val="151516"/>
          <w:kern w:val="0"/>
          <w:sz w:val="32"/>
          <w:szCs w:val="32"/>
        </w:rPr>
        <w:t xml:space="preserve">Eurostar faces direct competition for short haul travel between the UK and Western Europe (Pagliara, 2012).  Instead of aggressive fare unbundling, Eurostar utilises a tiered class structure (Standard, Standard Premier, Business Premier) that maintains a respectful baseline service, including standard luggage allowances (Eurostar, 2026). Perhaps the main lesson for long-haul aviation is that premium revenue can be effectively generated through value-add upselling. Offering lounge access, superior dining, and enhanced flexibility for an additional fee, rather than penalising “Basic </w:t>
      </w:r>
      <w:proofErr w:type="spellStart"/>
      <w:proofErr w:type="gramStart"/>
      <w:r>
        <w:rPr>
          <w:rFonts w:ascii="Century Gothic" w:hAnsi="Century Gothic" w:cs="Century Gothic"/>
          <w:color w:val="151516"/>
          <w:kern w:val="0"/>
          <w:sz w:val="32"/>
          <w:szCs w:val="32"/>
        </w:rPr>
        <w:t>Economy”passengers</w:t>
      </w:r>
      <w:proofErr w:type="spellEnd"/>
      <w:proofErr w:type="gramEnd"/>
      <w:r>
        <w:rPr>
          <w:rFonts w:ascii="Century Gothic" w:hAnsi="Century Gothic" w:cs="Century Gothic"/>
          <w:color w:val="151516"/>
          <w:kern w:val="0"/>
          <w:sz w:val="32"/>
          <w:szCs w:val="32"/>
        </w:rPr>
        <w:t xml:space="preserve"> by removing perceived necessities. Upselling in Eurostar’s case feel like an optional, exciting, enhancement to the journey, not a fee for basic comfort.</w:t>
      </w:r>
    </w:p>
    <w:p w14:paraId="0282565C"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 xml:space="preserve">            The hospitality sector provides an equally important lesson, particularly regarding loyalty and the limits of drip pricing. Global hotel chains like Marriott and Hilton have </w:t>
      </w:r>
      <w:r>
        <w:rPr>
          <w:rFonts w:ascii="Century Gothic" w:hAnsi="Century Gothic" w:cs="Century Gothic"/>
          <w:color w:val="151516"/>
          <w:kern w:val="0"/>
          <w:sz w:val="32"/>
          <w:szCs w:val="32"/>
        </w:rPr>
        <w:lastRenderedPageBreak/>
        <w:t xml:space="preserve">successfully operated massive, asset-light coalition loyalty programmes for years, mastering the art of lifestyle partnerships. However, the hotel industry also offers a stark regulatory warning regarding ancillary fees. The widespread deployment of mandatory "resort fees" or "destination fees" in the US and Europe—where hotels exclude fixed costs from the headline room rate to appear cheaper on search engines—has triggered massive consumer backlash and intense regulatory scrutiny from bodies like the Federal Trade Commission (FTC, 2017). Law changes have forced hotels and package holiday providers to be more transparent while advertising their prices. </w:t>
      </w:r>
    </w:p>
    <w:p w14:paraId="5D37BFFE"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 xml:space="preserve">            For airlines, the hotel sector's resort fee crisis is a warning. If modern retail strategies and AI-driven pricing algorithms push unbundling too far, blurring the line between optional ancillaries and hidden mandatory costs, it will inevitably invite regulatory intervention. FSCs </w:t>
      </w:r>
      <w:r>
        <w:rPr>
          <w:rFonts w:ascii="Century Gothic" w:hAnsi="Century Gothic" w:cs="Century Gothic"/>
          <w:color w:val="151516"/>
          <w:kern w:val="0"/>
          <w:sz w:val="32"/>
          <w:szCs w:val="32"/>
        </w:rPr>
        <w:lastRenderedPageBreak/>
        <w:t>must therefore ensure that their modern retail environments prioritise genuine choice architecture over deceptive pricing practices.</w:t>
      </w:r>
    </w:p>
    <w:p w14:paraId="3ECD526F"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 </w:t>
      </w:r>
    </w:p>
    <w:p w14:paraId="65E05107"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 </w:t>
      </w:r>
    </w:p>
    <w:p w14:paraId="6991582D"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07F0A000"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3536D7D3"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1402797F"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3DFBA75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7A4ED8BD"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151516"/>
          <w:kern w:val="0"/>
          <w:sz w:val="32"/>
          <w:szCs w:val="32"/>
        </w:rPr>
        <w:t>2.10 The operational friction of modern retail: IROPS and transaction cost economics</w:t>
      </w:r>
    </w:p>
    <w:p w14:paraId="3DDDD6B4"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 </w:t>
      </w:r>
    </w:p>
    <w:p w14:paraId="02827D9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 xml:space="preserve">           One of the other barriers to the industry’s modern retail ambitions is not consumer demand, but sheer operational friction. The shift from traditional ticketing toward IATA’s New Distribution Capability (NDC) and "Offers and Orders" can be analysed through the lens of </w:t>
      </w:r>
      <w:r>
        <w:rPr>
          <w:rFonts w:ascii="Century Gothic" w:hAnsi="Century Gothic" w:cs="Century Gothic"/>
          <w:color w:val="151516"/>
          <w:kern w:val="0"/>
          <w:sz w:val="32"/>
          <w:szCs w:val="32"/>
        </w:rPr>
        <w:lastRenderedPageBreak/>
        <w:t>Transaction Cost Economics (TCE). Airlines are heavily incentivised to push NDC to bypass the high distribution fees charged by legacy Global Distribution Systems (GDS) like Amadeus and Sabre, whilst reclaiming ownership of the customer data.</w:t>
      </w:r>
    </w:p>
    <w:p w14:paraId="631937F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 xml:space="preserve">            However, retailing an ancillary product is different to servicing it. The inadequacies of NDC and modern airline retailing when it comes to servicing bookings with </w:t>
      </w:r>
      <w:proofErr w:type="gramStart"/>
      <w:r>
        <w:rPr>
          <w:rFonts w:ascii="Century Gothic" w:hAnsi="Century Gothic" w:cs="Century Gothic"/>
          <w:color w:val="151516"/>
          <w:kern w:val="0"/>
          <w:sz w:val="32"/>
          <w:szCs w:val="32"/>
        </w:rPr>
        <w:t>ancillaries  is</w:t>
      </w:r>
      <w:proofErr w:type="gramEnd"/>
      <w:r>
        <w:rPr>
          <w:rFonts w:ascii="Century Gothic" w:hAnsi="Century Gothic" w:cs="Century Gothic"/>
          <w:color w:val="151516"/>
          <w:kern w:val="0"/>
          <w:sz w:val="32"/>
          <w:szCs w:val="32"/>
        </w:rPr>
        <w:t xml:space="preserve"> no more apparent than during Irregular Operations (IROPS). Legacy Passenger Service Systems (PSS), despite relying on archaic EDIFACT messaging, are robust when things go wrong (</w:t>
      </w:r>
      <w:proofErr w:type="spellStart"/>
      <w:r>
        <w:rPr>
          <w:rFonts w:ascii="Century Gothic" w:hAnsi="Century Gothic" w:cs="Century Gothic"/>
          <w:color w:val="151516"/>
          <w:kern w:val="0"/>
          <w:sz w:val="32"/>
          <w:szCs w:val="32"/>
        </w:rPr>
        <w:t>Abdelghany</w:t>
      </w:r>
      <w:proofErr w:type="spellEnd"/>
      <w:r>
        <w:rPr>
          <w:rFonts w:ascii="Century Gothic" w:hAnsi="Century Gothic" w:cs="Century Gothic"/>
          <w:color w:val="151516"/>
          <w:kern w:val="0"/>
          <w:sz w:val="32"/>
          <w:szCs w:val="32"/>
        </w:rPr>
        <w:t xml:space="preserve"> and </w:t>
      </w:r>
      <w:proofErr w:type="spellStart"/>
      <w:r>
        <w:rPr>
          <w:rFonts w:ascii="Century Gothic" w:hAnsi="Century Gothic" w:cs="Century Gothic"/>
          <w:color w:val="151516"/>
          <w:kern w:val="0"/>
          <w:sz w:val="32"/>
          <w:szCs w:val="32"/>
        </w:rPr>
        <w:t>Abdelghany</w:t>
      </w:r>
      <w:proofErr w:type="spellEnd"/>
      <w:r>
        <w:rPr>
          <w:rFonts w:ascii="Century Gothic" w:hAnsi="Century Gothic" w:cs="Century Gothic"/>
          <w:color w:val="151516"/>
          <w:kern w:val="0"/>
          <w:sz w:val="32"/>
          <w:szCs w:val="32"/>
        </w:rPr>
        <w:t xml:space="preserve">, 2026). During mass disruption events such as a severe weather, airport closures, or delays causing missed connections, traditional systems allow ticketing and operations control teams to rapidly execute involuntary (INVOL) re-accommodations, reissue tickets, </w:t>
      </w:r>
      <w:r>
        <w:rPr>
          <w:rFonts w:ascii="Century Gothic" w:hAnsi="Century Gothic" w:cs="Century Gothic"/>
          <w:color w:val="151516"/>
          <w:kern w:val="0"/>
          <w:sz w:val="32"/>
          <w:szCs w:val="32"/>
        </w:rPr>
        <w:lastRenderedPageBreak/>
        <w:t>and sync immediately with airport Departure Control Systems (DCS).</w:t>
      </w:r>
    </w:p>
    <w:p w14:paraId="5985C3D8" w14:textId="30F146D1"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 xml:space="preserve">            Order-based systems currently struggle to match this operational resilience. The primary friction point of NDC implementation is post-booking servicing. When an itinerary containing ancillary purchases like pre-ordered meals, seat assignments, extra baggage etc is disrupted, passing those exact entitlements seamlessly over to a new flight, or a partner airline, often doesn’t work. This causes extra frustration for customers and creates workload and friction for front line staff. The </w:t>
      </w:r>
      <w:proofErr w:type="gramStart"/>
      <w:r>
        <w:rPr>
          <w:rFonts w:ascii="Century Gothic" w:hAnsi="Century Gothic" w:cs="Century Gothic"/>
          <w:color w:val="151516"/>
          <w:kern w:val="0"/>
          <w:sz w:val="32"/>
          <w:szCs w:val="32"/>
        </w:rPr>
        <w:t>front line</w:t>
      </w:r>
      <w:proofErr w:type="gramEnd"/>
      <w:r>
        <w:rPr>
          <w:rFonts w:ascii="Century Gothic" w:hAnsi="Century Gothic" w:cs="Century Gothic"/>
          <w:color w:val="151516"/>
          <w:kern w:val="0"/>
          <w:sz w:val="32"/>
          <w:szCs w:val="32"/>
        </w:rPr>
        <w:t xml:space="preserve"> staff are the ones who also </w:t>
      </w:r>
      <w:r w:rsidR="007A22CC">
        <w:rPr>
          <w:rFonts w:ascii="Century Gothic" w:hAnsi="Century Gothic" w:cs="Century Gothic"/>
          <w:color w:val="151516"/>
          <w:kern w:val="0"/>
          <w:sz w:val="32"/>
          <w:szCs w:val="32"/>
        </w:rPr>
        <w:t>bear</w:t>
      </w:r>
      <w:r>
        <w:rPr>
          <w:rFonts w:ascii="Century Gothic" w:hAnsi="Century Gothic" w:cs="Century Gothic"/>
          <w:color w:val="151516"/>
          <w:kern w:val="0"/>
          <w:sz w:val="32"/>
          <w:szCs w:val="32"/>
        </w:rPr>
        <w:t xml:space="preserve"> the brunt of the customer’s complaints despite not having any control over the disruption or the technology.</w:t>
      </w:r>
    </w:p>
    <w:p w14:paraId="7BB72BA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 xml:space="preserve">            For a premium carrier, commercial strategy cannot be decoupled from ground operations and the financial benefits of retailing dynamic, personalised offers are instantly negated if the airline cannot fulfil those offers </w:t>
      </w:r>
      <w:r>
        <w:rPr>
          <w:rFonts w:ascii="Century Gothic" w:hAnsi="Century Gothic" w:cs="Century Gothic"/>
          <w:color w:val="151516"/>
          <w:kern w:val="0"/>
          <w:sz w:val="32"/>
          <w:szCs w:val="32"/>
        </w:rPr>
        <w:lastRenderedPageBreak/>
        <w:t>during a schedule change. If the underlying technology fragments the customer experience the moment a booking needs to be amended, the modern retail strategy will ultimately fail. As such, the successful evolution of airline ancillary revenue depends as much on the operational resilience of the ticketing architecture as it does on the commercial appeal of the product itself.</w:t>
      </w:r>
    </w:p>
    <w:p w14:paraId="3D11AA7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151516"/>
          <w:kern w:val="0"/>
          <w:sz w:val="32"/>
          <w:szCs w:val="32"/>
        </w:rPr>
        <w:t> </w:t>
      </w:r>
    </w:p>
    <w:p w14:paraId="69C63F9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7581ACC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0ACE98AE"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32C3EFDA"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21D55138"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0F998EB7"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2.11 Technological constraints: NDC, legacy systems and dynamic pricing</w:t>
      </w:r>
    </w:p>
    <w:p w14:paraId="1104ACE5"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w:t>
      </w:r>
    </w:p>
    <w:p w14:paraId="7B69795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The industry’s shift from traditional ticketing to modern digital retailing is severely bottlenecked by </w:t>
      </w:r>
      <w:r>
        <w:rPr>
          <w:rFonts w:ascii="Century Gothic" w:hAnsi="Century Gothic" w:cs="Century Gothic"/>
          <w:color w:val="000000"/>
          <w:kern w:val="0"/>
          <w:sz w:val="32"/>
          <w:szCs w:val="32"/>
        </w:rPr>
        <w:lastRenderedPageBreak/>
        <w:t>legacy technology (Gaur, 2026). As mentioned in the previous section, legacy airlines remain anchored to older PSS and EDIFACT messaging, which simply lack the architecture to manage dynamic, personalised product bundles across multiple sales channels. IATA’s New Distribution Capability (NDC) and the broader “Offers and Orders” framework are explicitly designed to dismantle this outdated infrastructure, theoretically allowing airlines to retail rich content with the agility of a modern e-commerce platform (Touraine, 2021).</w:t>
      </w:r>
    </w:p>
    <w:p w14:paraId="18603E7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However, integrating these standards involves compromises and a lot of operational difficulty. For Virgin Atlantic, whose core PSS is housed on the AIR4 platform alongside Delta, building NDC capability requires navigating complex system alignments (Aviator, 2015). Almost every stage of the booking process - from initial booking to cancelling/refunding - is managed on a different background system. In a world where customers </w:t>
      </w:r>
      <w:r>
        <w:rPr>
          <w:rFonts w:ascii="Century Gothic" w:hAnsi="Century Gothic" w:cs="Century Gothic"/>
          <w:color w:val="000000"/>
          <w:kern w:val="0"/>
          <w:sz w:val="32"/>
          <w:szCs w:val="32"/>
        </w:rPr>
        <w:lastRenderedPageBreak/>
        <w:t xml:space="preserve">expect things to happen quickly, a lot of manual workarounds that require human input can cause an erosion of trust in the brand. This is why long term, a switch to the modern retailing framework is attractive and likely to be beneficial to the </w:t>
      </w:r>
      <w:proofErr w:type="gramStart"/>
      <w:r>
        <w:rPr>
          <w:rFonts w:ascii="Century Gothic" w:hAnsi="Century Gothic" w:cs="Century Gothic"/>
          <w:color w:val="000000"/>
          <w:kern w:val="0"/>
          <w:sz w:val="32"/>
          <w:szCs w:val="32"/>
        </w:rPr>
        <w:t>industry as a whole</w:t>
      </w:r>
      <w:proofErr w:type="gramEnd"/>
      <w:r>
        <w:rPr>
          <w:rFonts w:ascii="Century Gothic" w:hAnsi="Century Gothic" w:cs="Century Gothic"/>
          <w:color w:val="000000"/>
          <w:kern w:val="0"/>
          <w:sz w:val="32"/>
          <w:szCs w:val="32"/>
        </w:rPr>
        <w:t xml:space="preserve">. </w:t>
      </w:r>
    </w:p>
    <w:p w14:paraId="3F4948D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797CA311"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2.12 AI pricing, personalisation and fairness</w:t>
      </w:r>
    </w:p>
    <w:p w14:paraId="3D88B524"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409A0A8F"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Alongside distribution system upgrades, airlines are increasingly turning to artificial intelligence to optimise yield and drive ancillary uptake. An example of this is Virgin Atlantic’s partnership with </w:t>
      </w:r>
      <w:proofErr w:type="spellStart"/>
      <w:r>
        <w:rPr>
          <w:rFonts w:ascii="Century Gothic" w:hAnsi="Century Gothic" w:cs="Century Gothic"/>
          <w:color w:val="000000"/>
          <w:kern w:val="0"/>
          <w:sz w:val="32"/>
          <w:szCs w:val="32"/>
        </w:rPr>
        <w:t>Fetcherr</w:t>
      </w:r>
      <w:proofErr w:type="spellEnd"/>
      <w:r>
        <w:rPr>
          <w:rFonts w:ascii="Century Gothic" w:hAnsi="Century Gothic" w:cs="Century Gothic"/>
          <w:color w:val="000000"/>
          <w:kern w:val="0"/>
          <w:sz w:val="32"/>
          <w:szCs w:val="32"/>
        </w:rPr>
        <w:t xml:space="preserve"> which </w:t>
      </w:r>
      <w:proofErr w:type="spellStart"/>
      <w:r>
        <w:rPr>
          <w:rFonts w:ascii="Century Gothic" w:hAnsi="Century Gothic" w:cs="Century Gothic"/>
          <w:color w:val="000000"/>
          <w:kern w:val="0"/>
          <w:sz w:val="32"/>
          <w:szCs w:val="32"/>
        </w:rPr>
        <w:t>utilisises</w:t>
      </w:r>
      <w:proofErr w:type="spellEnd"/>
      <w:r>
        <w:rPr>
          <w:rFonts w:ascii="Century Gothic" w:hAnsi="Century Gothic" w:cs="Century Gothic"/>
          <w:color w:val="000000"/>
          <w:kern w:val="0"/>
          <w:sz w:val="32"/>
          <w:szCs w:val="32"/>
        </w:rPr>
        <w:t xml:space="preserve"> AI to model market conditions and execute rapid, automated fare adjustments far beyond the capabilities of traditional fare-class structures (</w:t>
      </w:r>
      <w:proofErr w:type="spellStart"/>
      <w:r>
        <w:rPr>
          <w:rFonts w:ascii="Century Gothic" w:hAnsi="Century Gothic" w:cs="Century Gothic"/>
          <w:color w:val="000000"/>
          <w:kern w:val="0"/>
          <w:sz w:val="32"/>
          <w:szCs w:val="32"/>
        </w:rPr>
        <w:t>PhocusWire</w:t>
      </w:r>
      <w:proofErr w:type="spellEnd"/>
      <w:r>
        <w:rPr>
          <w:rFonts w:ascii="Century Gothic" w:hAnsi="Century Gothic" w:cs="Century Gothic"/>
          <w:color w:val="000000"/>
          <w:kern w:val="0"/>
          <w:sz w:val="32"/>
          <w:szCs w:val="32"/>
        </w:rPr>
        <w:t>, 2023).</w:t>
      </w:r>
    </w:p>
    <w:p w14:paraId="7093D9A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While algorithmic dynamic pricing based on demand is standard practice, crossing the line into individualised, personalised pricing introduces severe </w:t>
      </w:r>
      <w:r>
        <w:rPr>
          <w:rFonts w:ascii="Century Gothic" w:hAnsi="Century Gothic" w:cs="Century Gothic"/>
          <w:color w:val="000000"/>
          <w:kern w:val="0"/>
          <w:sz w:val="32"/>
          <w:szCs w:val="32"/>
        </w:rPr>
        <w:lastRenderedPageBreak/>
        <w:t xml:space="preserve">commercial and reputational risks. Regulatory bodies are increasingly scrutinising what the Federal Trade Commission terms "surveillance pricing"—altering fares based on an individual's browsing history, device data, or loyalty profile. In Europe, this directly intersects with strict GDPR protections regarding automated profiling and decision-making. From a brand perspective, if premium passengers suspect the airline is </w:t>
      </w:r>
      <w:proofErr w:type="spellStart"/>
      <w:r>
        <w:rPr>
          <w:rFonts w:ascii="Century Gothic" w:hAnsi="Century Gothic" w:cs="Century Gothic"/>
          <w:color w:val="000000"/>
          <w:kern w:val="0"/>
          <w:sz w:val="32"/>
          <w:szCs w:val="32"/>
        </w:rPr>
        <w:t>weaponising</w:t>
      </w:r>
      <w:proofErr w:type="spellEnd"/>
      <w:r>
        <w:rPr>
          <w:rFonts w:ascii="Century Gothic" w:hAnsi="Century Gothic" w:cs="Century Gothic"/>
          <w:color w:val="000000"/>
          <w:kern w:val="0"/>
          <w:sz w:val="32"/>
          <w:szCs w:val="32"/>
        </w:rPr>
        <w:t xml:space="preserve"> their loyalty data to extract higher fares, the resulting erosion of trust will rapidly eclipse any short-term revenue gains. AI must be deployed to enhance product relevance and operational efficiency, not simply as a tool for aggressive price extraction.</w:t>
      </w:r>
    </w:p>
    <w:p w14:paraId="7312B7D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3024500F"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2.13 Conclusion</w:t>
      </w:r>
    </w:p>
    <w:p w14:paraId="7C2020E5"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The literature confirms that ancillary revenue has evolved from purely a low-cost carrier tactic into the commercial bedrock of the wider aviation sector. </w:t>
      </w:r>
      <w:r>
        <w:rPr>
          <w:rFonts w:ascii="Century Gothic" w:hAnsi="Century Gothic" w:cs="Century Gothic"/>
          <w:color w:val="000000"/>
          <w:kern w:val="0"/>
          <w:sz w:val="32"/>
          <w:szCs w:val="32"/>
        </w:rPr>
        <w:lastRenderedPageBreak/>
        <w:t>However, as the industry becomes increasingly reliant on the "premium leisure" demographic, the academic focus has shifted from simple revenue accounting toward the behavioural economics of pricing. Aggressive unbundling and "drip pricing" strategies trigger acute loss aversion, demonstrating that extracting short-term fees can inflict long-term damage on CBBE if passengers feel core services are no longer included without fee.</w:t>
      </w:r>
    </w:p>
    <w:p w14:paraId="779ADC0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For European FSCs, this psychological balancing act is compounded by structural disadvantages. Handicapped by the EU Interchange Fee Regulation, they cannot rely on the highly lucrative, credit-card-driven loyalty models that insulate major North American airlines. This means that European legacy groups are diversifying their commercial architecture in distinct ways. While IAG relies on the sheer macroeconomic scale of its shared Avios ecosystem, and Lufthansa pilots CSR-driven upselling through "Green Fares," Virgin Atlantic is building </w:t>
      </w:r>
      <w:r>
        <w:rPr>
          <w:rFonts w:ascii="Century Gothic" w:hAnsi="Century Gothic" w:cs="Century Gothic"/>
          <w:color w:val="000000"/>
          <w:kern w:val="0"/>
          <w:sz w:val="32"/>
          <w:szCs w:val="32"/>
        </w:rPr>
        <w:lastRenderedPageBreak/>
        <w:t>corporate resilience through the broad retail and lifestyle coalition of Virgin Red.</w:t>
      </w:r>
    </w:p>
    <w:p w14:paraId="0AF8463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As these carriers push for alternative revenue streams, they must learn strategic lessons from adjacent sectors. The widespread consumer and regulatory backlash against hotel "resort fees" serves as a stark reminder of the dangers of deceptive pricing, while high-speed rail operators like Eurostar prove that additional revenue can be generated through genuine value-adding upselling rather than service removal. For airlines navigating the “Economy Light/Basic Economy" dilemma, unbundling must be executed as intelligent choice architecture—steering customers toward upgrades—rather than aggressive cost-cutting.</w:t>
      </w:r>
    </w:p>
    <w:p w14:paraId="71AAC36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            Ultimately, this next phase of commercial growth for the industry depends entirely on overcoming legacy technological constraints. Transitioning to NDC, Offers and Orders, and AI-driven pricing is a commercial necessity, </w:t>
      </w:r>
      <w:r>
        <w:rPr>
          <w:rFonts w:ascii="Century Gothic" w:hAnsi="Century Gothic" w:cs="Century Gothic"/>
          <w:color w:val="000000"/>
          <w:kern w:val="0"/>
          <w:sz w:val="32"/>
          <w:szCs w:val="32"/>
        </w:rPr>
        <w:lastRenderedPageBreak/>
        <w:t>but it introduces severe operational vulnerabilities. As the literature on TCE and IROPS reveals, the financial benefits of retailing dynamic, personalised offers can be negated if the technology cannot fully service those bookings during disruption. The successful evolution of premium airline ancillary revenue requires a strategy where commercial ambition is perfectly matched by ticketing and operational resilience.</w:t>
      </w:r>
    </w:p>
    <w:p w14:paraId="3F1770A8"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 </w:t>
      </w:r>
    </w:p>
    <w:p w14:paraId="0149AAE3"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Chapter 3: Methodology</w:t>
      </w:r>
    </w:p>
    <w:p w14:paraId="022D6F61"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3.1 Introduction</w:t>
      </w:r>
    </w:p>
    <w:p w14:paraId="24169676"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1196F104"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The literature review shows that retail-focused airline models based on ancillary revenue and dynamic loyalty pricing can create tensions between revenue maximisation, legacy technology, and brand perception. Current research predominantly focuses on low-cost carriers and US airlines.</w:t>
      </w:r>
    </w:p>
    <w:p w14:paraId="66A8DDDC"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77543A5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To address this gap, and to fulfil the aim of evaluating the strategic development of ancillary and loyalty models at European FSCs like Virgin Atlantic, this study adopts a qualitative, interpretivist research design. Securing granular financial data regarding ancillary profit, pricing algorithm data, or route-specific profitability is unfeasible, as these figures represent highly guarded, commercially sensitive assets. Instead, the research methodology is designed to capture the nuanced, cross-functional perspectives of the personnel responsible for designing and servicing the airline’s retail propositions, alongside a baseline customer perspective.</w:t>
      </w:r>
    </w:p>
    <w:p w14:paraId="754F160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Primary data was gathered utilising a structured questionnaire completed by a sample of eight participants. To generate a comprehensive evaluation of the research proposition, this sample encompasses three distinct vantage points: frontline operational staff (three </w:t>
      </w:r>
      <w:r>
        <w:rPr>
          <w:rFonts w:ascii="Century Gothic" w:hAnsi="Century Gothic" w:cs="Century Gothic"/>
          <w:color w:val="000000"/>
          <w:kern w:val="0"/>
          <w:sz w:val="32"/>
          <w:szCs w:val="32"/>
        </w:rPr>
        <w:lastRenderedPageBreak/>
        <w:t>participants), commercial and strategic management (four participants), and the customer experience (one participant). This structure provides an illuminating comparison between top-down strategic intent, ground-level operational reality, and baseline consumer perception.</w:t>
      </w:r>
    </w:p>
    <w:p w14:paraId="760D4FD4"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77BC5BE4"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3.2 Research Philosophy and Approach</w:t>
      </w:r>
    </w:p>
    <w:p w14:paraId="101E3EF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In determining the methodological framework for this study, the research design was guided by the epistemological and ontological assumptions that shape the knowledge under examination (Saunders, Lewis and Thornhill, 2019).</w:t>
      </w:r>
    </w:p>
    <w:p w14:paraId="7362CE1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The study explicitly rejects a positivist philosophy. Positivism, which assumes a singular, objective reality that can be measured and reduced to law-like generalisations, is highly effective for quantitative yield-management studies or algorithmic efficiency testing. </w:t>
      </w:r>
      <w:r>
        <w:rPr>
          <w:rFonts w:ascii="Century Gothic" w:hAnsi="Century Gothic" w:cs="Century Gothic"/>
          <w:color w:val="000000"/>
          <w:kern w:val="0"/>
          <w:sz w:val="32"/>
          <w:szCs w:val="32"/>
        </w:rPr>
        <w:lastRenderedPageBreak/>
        <w:t>However, it is fundamentally ill-equipped to address the subjective, deeply human phenomena at the core of this dissertation: the psychological perception of price fairness, the degradation of brand equity, and the daily operational friction experienced by frontline airline personnel.</w:t>
      </w:r>
    </w:p>
    <w:p w14:paraId="7A3FEF52" w14:textId="77777777" w:rsidR="00860731"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As a result, this research adopts an interpretivist epistemological stance. Interpretivism posits that reality is socially constructed and complex, requiring the researcher to understand the subjective meanings that individuals attribute to their environments and actions (Creswell and </w:t>
      </w:r>
      <w:proofErr w:type="spellStart"/>
      <w:r>
        <w:rPr>
          <w:rFonts w:ascii="Century Gothic" w:hAnsi="Century Gothic" w:cs="Century Gothic"/>
          <w:color w:val="000000"/>
          <w:kern w:val="0"/>
          <w:sz w:val="32"/>
          <w:szCs w:val="32"/>
        </w:rPr>
        <w:t>Poth</w:t>
      </w:r>
      <w:proofErr w:type="spellEnd"/>
      <w:r>
        <w:rPr>
          <w:rFonts w:ascii="Century Gothic" w:hAnsi="Century Gothic" w:cs="Century Gothic"/>
          <w:color w:val="000000"/>
          <w:kern w:val="0"/>
          <w:sz w:val="32"/>
          <w:szCs w:val="32"/>
        </w:rPr>
        <w:t xml:space="preserve">, 2018). </w:t>
      </w:r>
      <w:r>
        <w:rPr>
          <w:rFonts w:ascii="Century Gothic" w:hAnsi="Century Gothic" w:cs="Century Gothic"/>
          <w:color w:val="000000"/>
          <w:kern w:val="0"/>
          <w:sz w:val="32"/>
          <w:szCs w:val="32"/>
        </w:rPr>
        <w:tab/>
      </w:r>
      <w:r>
        <w:rPr>
          <w:rFonts w:ascii="Century Gothic" w:hAnsi="Century Gothic" w:cs="Century Gothic"/>
          <w:color w:val="000000"/>
          <w:kern w:val="0"/>
          <w:sz w:val="32"/>
          <w:szCs w:val="32"/>
        </w:rPr>
        <w:tab/>
      </w:r>
    </w:p>
    <w:p w14:paraId="308A31D0" w14:textId="1D239CB8" w:rsidR="00C85C76" w:rsidRDefault="00C85C76" w:rsidP="00860731">
      <w:pPr>
        <w:autoSpaceDE w:val="0"/>
        <w:autoSpaceDN w:val="0"/>
        <w:adjustRightInd w:val="0"/>
        <w:spacing w:after="0" w:line="480" w:lineRule="auto"/>
        <w:ind w:firstLine="720"/>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Within the context of airline commercial strategy, an unbundled “Economy Light/Basic Economy” fare is not just a low fare price point; it is a product that is interpreted entirely differently by a revenue management algorithm, a customer-care service or customer agent handling a grievance, and a passenger feeling penalised at the </w:t>
      </w:r>
      <w:r>
        <w:rPr>
          <w:rFonts w:ascii="Century Gothic" w:hAnsi="Century Gothic" w:cs="Century Gothic"/>
          <w:color w:val="000000"/>
          <w:kern w:val="0"/>
          <w:sz w:val="32"/>
          <w:szCs w:val="32"/>
        </w:rPr>
        <w:lastRenderedPageBreak/>
        <w:t>check in desk. Interpretivism allows the research to capture these three different realities and explore the friction generated when strategic intent collides with frontline implementation, and customer expectations.</w:t>
      </w:r>
    </w:p>
    <w:p w14:paraId="40A5B50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301EBDC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In strict alignment with the interpretivist paradigm, the methodology explicitly acknowledges my proximity as ‘the researcher’ to the research subject matter. I have held leadership, front line, and operational positions within the airline’s customer centre and global ticketing operations. I have also been a customer.  Rather than falsifying a detachment, this insider perspective serves as an important analytical lens. Grounded in direct operational exposure to legacy passenger service systems—such as AXIS, </w:t>
      </w:r>
      <w:proofErr w:type="spellStart"/>
      <w:r>
        <w:rPr>
          <w:rFonts w:ascii="Century Gothic" w:hAnsi="Century Gothic" w:cs="Century Gothic"/>
          <w:color w:val="000000"/>
          <w:kern w:val="0"/>
          <w:sz w:val="32"/>
          <w:szCs w:val="32"/>
        </w:rPr>
        <w:t>VSTerm</w:t>
      </w:r>
      <w:proofErr w:type="spellEnd"/>
      <w:r>
        <w:rPr>
          <w:rFonts w:ascii="Century Gothic" w:hAnsi="Century Gothic" w:cs="Century Gothic"/>
          <w:color w:val="000000"/>
          <w:kern w:val="0"/>
          <w:sz w:val="32"/>
          <w:szCs w:val="32"/>
        </w:rPr>
        <w:t xml:space="preserve">, </w:t>
      </w:r>
      <w:proofErr w:type="spellStart"/>
      <w:r>
        <w:rPr>
          <w:rFonts w:ascii="Century Gothic" w:hAnsi="Century Gothic" w:cs="Century Gothic"/>
          <w:color w:val="000000"/>
          <w:kern w:val="0"/>
          <w:sz w:val="32"/>
          <w:szCs w:val="32"/>
        </w:rPr>
        <w:t>TBox</w:t>
      </w:r>
      <w:proofErr w:type="spellEnd"/>
      <w:r>
        <w:rPr>
          <w:rFonts w:ascii="Century Gothic" w:hAnsi="Century Gothic" w:cs="Century Gothic"/>
          <w:color w:val="000000"/>
          <w:kern w:val="0"/>
          <w:sz w:val="32"/>
          <w:szCs w:val="32"/>
        </w:rPr>
        <w:t xml:space="preserve"> etc, this gives a highly nuanced understanding of practices and issues discussed by the participants. When respondents describe the servicing friction associated with technology or the </w:t>
      </w:r>
      <w:r>
        <w:rPr>
          <w:rFonts w:ascii="Century Gothic" w:hAnsi="Century Gothic" w:cs="Century Gothic"/>
          <w:color w:val="000000"/>
          <w:kern w:val="0"/>
          <w:sz w:val="32"/>
          <w:szCs w:val="32"/>
        </w:rPr>
        <w:lastRenderedPageBreak/>
        <w:t>complexities of passenger re-accommodation during IROPs, the researcher’s background gives a contextually accurate interpretation of the data that an external observer might lack (Costley, Elliott and Gibbs, 2010).</w:t>
      </w:r>
    </w:p>
    <w:p w14:paraId="2663A59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57D5002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Flowing from this interpretivist philosophy, the study employs an inductive research approach. Rather than formulating rigid, predefined hypotheses to test against a dataset (a deductive approach), the research begins with the collection of rich, qualitative data from the sample. Through systematic thematic analysis, the study observes specific patterns and operational challenges within the primary data, progressively building upward to formulate broader strategic conclusions regarding premium airline retailing, brand preservation, and technological integration.</w:t>
      </w:r>
    </w:p>
    <w:p w14:paraId="2172BD25"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49CEEF09"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lastRenderedPageBreak/>
        <w:t>3.3 Research Design and the Asynchronous Qualitative Method</w:t>
      </w:r>
    </w:p>
    <w:p w14:paraId="22B507C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15F76F0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An asynchronous qualitative questionnaire was selected for this study instead of traditional face-to-face or video interviews. While semi-structured interviews are traditionally viewed as the standard vehicle for qualitative inquiry (</w:t>
      </w:r>
      <w:proofErr w:type="spellStart"/>
      <w:r>
        <w:rPr>
          <w:rFonts w:ascii="Century Gothic" w:hAnsi="Century Gothic" w:cs="Century Gothic"/>
          <w:color w:val="000000"/>
          <w:kern w:val="0"/>
          <w:sz w:val="32"/>
          <w:szCs w:val="32"/>
        </w:rPr>
        <w:t>Gubrium</w:t>
      </w:r>
      <w:proofErr w:type="spellEnd"/>
      <w:r>
        <w:rPr>
          <w:rFonts w:ascii="Century Gothic" w:hAnsi="Century Gothic" w:cs="Century Gothic"/>
          <w:color w:val="000000"/>
          <w:kern w:val="0"/>
          <w:sz w:val="32"/>
          <w:szCs w:val="32"/>
        </w:rPr>
        <w:t xml:space="preserve"> et al, 2012), unfortunately, the realities of conducting research within the aviation sector necessitated a highly adaptable approach (Braun, Clarke and Gray, 2017). Initial intentions to conduct interviews were revised when it became evident that operational constraints would severely restrict participation.</w:t>
      </w:r>
    </w:p>
    <w:p w14:paraId="41356F0D" w14:textId="77777777" w:rsidR="00691050"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The primary rationale shift was operational accessibility. Airlines operate on a relentless 24/7 schedule. Frontline contact centre staff and ticketing specialists work rigid, rotating shift patterns, whilst management and commercial teams are frequently </w:t>
      </w:r>
      <w:r>
        <w:rPr>
          <w:rFonts w:ascii="Century Gothic" w:hAnsi="Century Gothic" w:cs="Century Gothic"/>
          <w:color w:val="000000"/>
          <w:kern w:val="0"/>
          <w:sz w:val="32"/>
          <w:szCs w:val="32"/>
        </w:rPr>
        <w:lastRenderedPageBreak/>
        <w:t xml:space="preserve">unavailable for operational reasons. </w:t>
      </w:r>
      <w:r>
        <w:rPr>
          <w:rFonts w:ascii="Century Gothic" w:hAnsi="Century Gothic" w:cs="Century Gothic"/>
          <w:color w:val="000000"/>
          <w:kern w:val="0"/>
          <w:sz w:val="32"/>
          <w:szCs w:val="32"/>
        </w:rPr>
        <w:tab/>
      </w:r>
      <w:r>
        <w:rPr>
          <w:rFonts w:ascii="Century Gothic" w:hAnsi="Century Gothic" w:cs="Century Gothic"/>
          <w:color w:val="000000"/>
          <w:kern w:val="0"/>
          <w:sz w:val="32"/>
          <w:szCs w:val="32"/>
        </w:rPr>
        <w:tab/>
      </w:r>
      <w:r>
        <w:rPr>
          <w:rFonts w:ascii="Century Gothic" w:hAnsi="Century Gothic" w:cs="Century Gothic"/>
          <w:color w:val="000000"/>
          <w:kern w:val="0"/>
          <w:sz w:val="32"/>
          <w:szCs w:val="32"/>
        </w:rPr>
        <w:tab/>
      </w:r>
    </w:p>
    <w:p w14:paraId="506A1E74" w14:textId="792CA7FC" w:rsidR="00C85C76" w:rsidRDefault="00C85C76" w:rsidP="00691050">
      <w:pPr>
        <w:autoSpaceDE w:val="0"/>
        <w:autoSpaceDN w:val="0"/>
        <w:adjustRightInd w:val="0"/>
        <w:spacing w:after="0" w:line="480" w:lineRule="auto"/>
        <w:ind w:firstLine="720"/>
        <w:rPr>
          <w:rFonts w:ascii="Century Gothic" w:hAnsi="Century Gothic" w:cs="Century Gothic"/>
          <w:color w:val="000000"/>
          <w:kern w:val="0"/>
          <w:sz w:val="32"/>
          <w:szCs w:val="32"/>
        </w:rPr>
      </w:pPr>
      <w:r>
        <w:rPr>
          <w:rFonts w:ascii="Century Gothic" w:hAnsi="Century Gothic" w:cs="Century Gothic"/>
          <w:color w:val="000000"/>
          <w:kern w:val="0"/>
          <w:sz w:val="32"/>
          <w:szCs w:val="32"/>
        </w:rPr>
        <w:t>Securing uninterrupted, hour-long slots for interviews proved impossible. Transitioning to a questionnaire removed this barrier, allowing participants to engage with the research in their own time around their shift patterns (James, 2016). Without this flexibility, securing participation from frontline staff and management would have been almost impossible.</w:t>
      </w:r>
    </w:p>
    <w:p w14:paraId="121F1E9C"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It is acknowledged that the questionnaire format introduces specific compromises. The absence of real-time conversation prevents the opportunity to probe interesting statements further, and removes the opportunity for immediate, organic follow-up questioning. </w:t>
      </w:r>
      <w:proofErr w:type="gramStart"/>
      <w:r>
        <w:rPr>
          <w:rFonts w:ascii="Century Gothic" w:hAnsi="Century Gothic" w:cs="Century Gothic"/>
          <w:color w:val="000000"/>
          <w:kern w:val="0"/>
          <w:sz w:val="32"/>
          <w:szCs w:val="32"/>
        </w:rPr>
        <w:t>That being said, the</w:t>
      </w:r>
      <w:proofErr w:type="gramEnd"/>
      <w:r>
        <w:rPr>
          <w:rFonts w:ascii="Century Gothic" w:hAnsi="Century Gothic" w:cs="Century Gothic"/>
          <w:color w:val="000000"/>
          <w:kern w:val="0"/>
          <w:sz w:val="32"/>
          <w:szCs w:val="32"/>
        </w:rPr>
        <w:t xml:space="preserve"> research subject matter is inherently complex and highly technical. The questionnaire format afforded participants the necessary time for reflection, enabling them to articulate considered, detailed responses without the pressure of having to respond </w:t>
      </w:r>
      <w:r>
        <w:rPr>
          <w:rFonts w:ascii="Century Gothic" w:hAnsi="Century Gothic" w:cs="Century Gothic"/>
          <w:color w:val="000000"/>
          <w:kern w:val="0"/>
          <w:sz w:val="32"/>
          <w:szCs w:val="32"/>
        </w:rPr>
        <w:lastRenderedPageBreak/>
        <w:t xml:space="preserve">verbally immediately during interviews (Gibson, 2020). As a result, the depth of technical insight captured in the responses offset the loss of organic follow up questions. Significantly, the responses, while coming from very different perspectives of the operation and customer journey, all generated similar themes. </w:t>
      </w:r>
    </w:p>
    <w:p w14:paraId="4EE611A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Commercial sensitivity heavily influenced the methodological design. Discussing internal revenue targets, pricing strategies, or the technological failures that occur during IROPS can generate a sense of vulnerability among employees. The written format provided a degree of psychological safety that is often absent in recorded, face-to-face environments (Meho, 2006). This separation proved effective in generating candid responses, particularly from frontline agents.</w:t>
      </w:r>
    </w:p>
    <w:p w14:paraId="6B40ECDE"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The research instrument was structured directly around the five primary research questions, utilising open-ended prompts to facilitate detailed answers. </w:t>
      </w:r>
    </w:p>
    <w:p w14:paraId="34CBE46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0D052E17"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3.4 Purposive Sampling Strategy and Participant Selection</w:t>
      </w:r>
    </w:p>
    <w:p w14:paraId="1AC5DB76"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In alignment with the qualitative nature of the study, a purposive sampling strategy was deployed. Purposive sampling forgoes randomisation in favour of deliberately selecting participants who possess direct, experiential knowledge of the subject matter under investigation (Patton, 2015; Hoeber et all, 2017). Given the study’s focus on airline retailing, legacy technology, and commercial strategy, random sampling could have yielded irrelevant data. Meaningful insights required participants with knowledge of the frontline systems and issues. </w:t>
      </w:r>
    </w:p>
    <w:p w14:paraId="3380ECB3"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Ultimately, responses were gathered from a sample of eight participants. The participants were strategically selected to encompass three distinct vantage points, facilitating an analysis of how high-level commercial strategies materialise at the operational level and are perceived by the end consumer:</w:t>
      </w:r>
    </w:p>
    <w:p w14:paraId="740556A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b/>
          <w:bCs/>
          <w:color w:val="000000"/>
          <w:kern w:val="0"/>
          <w:sz w:val="32"/>
          <w:szCs w:val="32"/>
        </w:rPr>
        <w:lastRenderedPageBreak/>
        <w:t>Commercial and Strategic Management (4 participants):</w:t>
      </w:r>
      <w:r>
        <w:rPr>
          <w:rFonts w:ascii="Century Gothic" w:hAnsi="Century Gothic" w:cs="Century Gothic"/>
          <w:color w:val="000000"/>
          <w:kern w:val="0"/>
          <w:sz w:val="32"/>
          <w:szCs w:val="32"/>
        </w:rPr>
        <w:t xml:space="preserve"> </w:t>
      </w:r>
    </w:p>
    <w:p w14:paraId="0BDA5DC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This group comprised individuals responsible for the planning, management, and strategic direction of airline retail and loyalty programmes. Their inclusion was critical for mapping the macro-level business rationale driving unbundling initiatives, NDC deployment, and coalition loyalty expansion.</w:t>
      </w:r>
    </w:p>
    <w:p w14:paraId="534B45D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09C2768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044A392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2E7FE07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b/>
          <w:bCs/>
          <w:color w:val="000000"/>
          <w:kern w:val="0"/>
          <w:sz w:val="32"/>
          <w:szCs w:val="32"/>
        </w:rPr>
        <w:t>Frontline Operational Staff (3 participants)</w:t>
      </w:r>
      <w:r>
        <w:rPr>
          <w:rFonts w:ascii="Century Gothic" w:hAnsi="Century Gothic" w:cs="Century Gothic"/>
          <w:color w:val="000000"/>
          <w:kern w:val="0"/>
          <w:sz w:val="32"/>
          <w:szCs w:val="32"/>
        </w:rPr>
        <w:t xml:space="preserve">: </w:t>
      </w:r>
    </w:p>
    <w:p w14:paraId="7AD317C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This cohort consisted of personnel stationed directly within contact centres and global ticketing operations. Utilising the researcher’s embedded position within Virgin Atlantic, frontline staff of varying experience were recruited to articulate the daily operational realities of these commercial strategies. Their testimonies provided a vital counterbalance to the management perspective, </w:t>
      </w:r>
      <w:r>
        <w:rPr>
          <w:rFonts w:ascii="Century Gothic" w:hAnsi="Century Gothic" w:cs="Century Gothic"/>
          <w:color w:val="000000"/>
          <w:kern w:val="0"/>
          <w:sz w:val="32"/>
          <w:szCs w:val="32"/>
        </w:rPr>
        <w:lastRenderedPageBreak/>
        <w:t>distinctly highlighting the technological friction that occurs when legacy PSS architecture is forced to service modern, unbundled fares during operational disruptions.</w:t>
      </w:r>
    </w:p>
    <w:p w14:paraId="0F436836"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2801A753"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b/>
          <w:bCs/>
          <w:color w:val="000000"/>
          <w:kern w:val="0"/>
          <w:sz w:val="32"/>
          <w:szCs w:val="32"/>
        </w:rPr>
        <w:t>Consumer/Customer View (1 participant):</w:t>
      </w:r>
      <w:r>
        <w:rPr>
          <w:rFonts w:ascii="Century Gothic" w:hAnsi="Century Gothic" w:cs="Century Gothic"/>
          <w:color w:val="000000"/>
          <w:kern w:val="0"/>
          <w:sz w:val="32"/>
          <w:szCs w:val="32"/>
        </w:rPr>
        <w:t xml:space="preserve"> </w:t>
      </w:r>
    </w:p>
    <w:p w14:paraId="627CEE7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 frequent long-haul passenger was included to provide an external perspective. While a single consumer cannot statistically represent the entire customer base (a noted limitation of the sample) this inclusion served to ground the internal strategic data, illustrating how airline pricing and retail strategies are psychologically framed and experienced by the end user.</w:t>
      </w:r>
    </w:p>
    <w:p w14:paraId="6DD5713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306471D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While a sample size of eight is unviable for quantitative or statistical generalisation, qualitative inquiry prioritises contextual depth over sheer volume of responses. Methodological literature indicates that data saturation, the point at which no new data emerges can </w:t>
      </w:r>
      <w:r>
        <w:rPr>
          <w:rFonts w:ascii="Century Gothic" w:hAnsi="Century Gothic" w:cs="Century Gothic"/>
          <w:color w:val="000000"/>
          <w:kern w:val="0"/>
          <w:sz w:val="32"/>
          <w:szCs w:val="32"/>
        </w:rPr>
        <w:lastRenderedPageBreak/>
        <w:t xml:space="preserve">be achieved with as few as six highly knowledgeable participants (Guest, Bunce and Johnson, 2006; </w:t>
      </w:r>
      <w:proofErr w:type="spellStart"/>
      <w:r>
        <w:rPr>
          <w:rFonts w:ascii="Century Gothic" w:hAnsi="Century Gothic" w:cs="Century Gothic"/>
          <w:color w:val="000000"/>
          <w:kern w:val="0"/>
          <w:sz w:val="32"/>
          <w:szCs w:val="32"/>
        </w:rPr>
        <w:t>Malterud</w:t>
      </w:r>
      <w:proofErr w:type="spellEnd"/>
      <w:r>
        <w:rPr>
          <w:rFonts w:ascii="Century Gothic" w:hAnsi="Century Gothic" w:cs="Century Gothic"/>
          <w:color w:val="000000"/>
          <w:kern w:val="0"/>
          <w:sz w:val="32"/>
          <w:szCs w:val="32"/>
        </w:rPr>
        <w:t xml:space="preserve"> et al, 2016; Roberts et al, 2026)). Because the questionnaire demanded highly specific, operational examples, the goal was that these eight responses generated sufficient depth to thoroughly address the research questions.</w:t>
      </w:r>
    </w:p>
    <w:p w14:paraId="186F32EC"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7D0152F5"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Participants were recruited via internal professional networks. Prospective respondents were provided with a comprehensive participant information sheet detailing the study's aims and explicitly confirming the voluntary nature of their involvement. Prior to data collection, explicit, informed consent was secured, alongside the reassurance that participants retained the right to withdraw from the study at any point. All participants signed and returned a consent form. </w:t>
      </w:r>
    </w:p>
    <w:p w14:paraId="36D88F4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2CFE07B0"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lastRenderedPageBreak/>
        <w:t>3.5 Data Analysis Strategy: Reflexive Thematic Analysis</w:t>
      </w:r>
    </w:p>
    <w:p w14:paraId="2879C3CE"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The qualitative data generated by the questionnaire was </w:t>
      </w:r>
      <w:proofErr w:type="spellStart"/>
      <w:r>
        <w:rPr>
          <w:rFonts w:ascii="Century Gothic" w:hAnsi="Century Gothic" w:cs="Century Gothic"/>
          <w:color w:val="000000"/>
          <w:kern w:val="0"/>
          <w:sz w:val="32"/>
          <w:szCs w:val="32"/>
        </w:rPr>
        <w:t>was</w:t>
      </w:r>
      <w:proofErr w:type="spellEnd"/>
      <w:r>
        <w:rPr>
          <w:rFonts w:ascii="Century Gothic" w:hAnsi="Century Gothic" w:cs="Century Gothic"/>
          <w:color w:val="000000"/>
          <w:kern w:val="0"/>
          <w:sz w:val="32"/>
          <w:szCs w:val="32"/>
        </w:rPr>
        <w:t xml:space="preserve"> analysed via Reflexive Thematic Analysis, adhering to the six-phase framework established by Braun and Clarke (</w:t>
      </w:r>
      <w:proofErr w:type="gramStart"/>
      <w:r>
        <w:rPr>
          <w:rFonts w:ascii="Century Gothic" w:hAnsi="Century Gothic" w:cs="Century Gothic"/>
          <w:color w:val="000000"/>
          <w:kern w:val="0"/>
          <w:sz w:val="32"/>
          <w:szCs w:val="32"/>
        </w:rPr>
        <w:t>2022)(</w:t>
      </w:r>
      <w:proofErr w:type="gramEnd"/>
      <w:r>
        <w:rPr>
          <w:rFonts w:ascii="Century Gothic" w:hAnsi="Century Gothic" w:cs="Century Gothic"/>
          <w:color w:val="000000"/>
          <w:kern w:val="0"/>
          <w:sz w:val="32"/>
          <w:szCs w:val="32"/>
        </w:rPr>
        <w:t xml:space="preserve">Terry and Hayfield, 2020). This method was selected for its flexibility and efficacy in identifying and analysing overarching patterns across distinct participant cohorts (Braun and Clarke, 2012; Xu, 2026). </w:t>
      </w:r>
      <w:r>
        <w:rPr>
          <w:rFonts w:ascii="Century Gothic" w:hAnsi="Century Gothic" w:cs="Century Gothic"/>
          <w:color w:val="000000"/>
          <w:kern w:val="0"/>
          <w:sz w:val="32"/>
          <w:szCs w:val="32"/>
        </w:rPr>
        <w:tab/>
      </w:r>
      <w:r>
        <w:rPr>
          <w:rFonts w:ascii="Century Gothic" w:hAnsi="Century Gothic" w:cs="Century Gothic"/>
          <w:color w:val="000000"/>
          <w:kern w:val="0"/>
          <w:sz w:val="32"/>
          <w:szCs w:val="32"/>
        </w:rPr>
        <w:tab/>
      </w:r>
      <w:r>
        <w:rPr>
          <w:rFonts w:ascii="Century Gothic" w:hAnsi="Century Gothic" w:cs="Century Gothic"/>
          <w:color w:val="000000"/>
          <w:kern w:val="0"/>
          <w:sz w:val="32"/>
          <w:szCs w:val="32"/>
        </w:rPr>
        <w:tab/>
      </w:r>
      <w:r>
        <w:rPr>
          <w:rFonts w:ascii="Century Gothic" w:hAnsi="Century Gothic" w:cs="Century Gothic"/>
          <w:color w:val="000000"/>
          <w:kern w:val="0"/>
          <w:sz w:val="32"/>
          <w:szCs w:val="32"/>
        </w:rPr>
        <w:tab/>
      </w:r>
    </w:p>
    <w:p w14:paraId="625979A5"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Alternative frameworks, such as grounded theory or discourse analysis, were too rigid and would not have worked for a written questionnaire. In contrast, thematic analysis provided a robust mechanism for </w:t>
      </w:r>
      <w:proofErr w:type="gramStart"/>
      <w:r>
        <w:rPr>
          <w:rFonts w:ascii="Century Gothic" w:hAnsi="Century Gothic" w:cs="Century Gothic"/>
          <w:color w:val="000000"/>
          <w:kern w:val="0"/>
          <w:sz w:val="32"/>
          <w:szCs w:val="32"/>
        </w:rPr>
        <w:t>comparing and contrasting</w:t>
      </w:r>
      <w:proofErr w:type="gramEnd"/>
      <w:r>
        <w:rPr>
          <w:rFonts w:ascii="Century Gothic" w:hAnsi="Century Gothic" w:cs="Century Gothic"/>
          <w:color w:val="000000"/>
          <w:kern w:val="0"/>
          <w:sz w:val="32"/>
          <w:szCs w:val="32"/>
        </w:rPr>
        <w:t xml:space="preserve"> commercial intent against operational reality.</w:t>
      </w:r>
    </w:p>
    <w:p w14:paraId="1D9C978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1B6E78D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The analytical process commenced with rigorous data familiarisation. Given the researcher’s embedded proximity to airline operations, this phase required a high </w:t>
      </w:r>
      <w:r>
        <w:rPr>
          <w:rFonts w:ascii="Century Gothic" w:hAnsi="Century Gothic" w:cs="Century Gothic"/>
          <w:color w:val="000000"/>
          <w:kern w:val="0"/>
          <w:sz w:val="32"/>
          <w:szCs w:val="32"/>
        </w:rPr>
        <w:lastRenderedPageBreak/>
        <w:t xml:space="preserve">degree of preparation. To reduce the risk of projecting personal operational opinion onto the data, distance was maintained, ensuring interpretations were strictly grounded in the participants' explicit testimonies rather than the </w:t>
      </w:r>
    </w:p>
    <w:p w14:paraId="781F165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The researcher’s (my) professional assumptions and opinions.</w:t>
      </w:r>
    </w:p>
    <w:p w14:paraId="5BA9DF73"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The data was then coded (appendix 1). This process sought to isolate the precise tensions existing between commercial objectives and technological capabilities. For example, participant references to legacy systems and booking interfaces were not merely coded as software tools; they were categorised as operational friction points where modern retail strategies structurally fail during schedule disruptions.  Management responses were also coded around strategic imperatives, such as yield protection and loyalty cost management.</w:t>
      </w:r>
    </w:p>
    <w:p w14:paraId="1EEE2DC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lastRenderedPageBreak/>
        <w:tab/>
        <w:t xml:space="preserve">These coding was then aggregated </w:t>
      </w:r>
      <w:proofErr w:type="gramStart"/>
      <w:r>
        <w:rPr>
          <w:rFonts w:ascii="Century Gothic" w:hAnsi="Century Gothic" w:cs="Century Gothic"/>
          <w:color w:val="000000"/>
          <w:kern w:val="0"/>
          <w:sz w:val="32"/>
          <w:szCs w:val="32"/>
        </w:rPr>
        <w:t>in to</w:t>
      </w:r>
      <w:proofErr w:type="gramEnd"/>
      <w:r>
        <w:rPr>
          <w:rFonts w:ascii="Century Gothic" w:hAnsi="Century Gothic" w:cs="Century Gothic"/>
          <w:color w:val="000000"/>
          <w:kern w:val="0"/>
          <w:sz w:val="32"/>
          <w:szCs w:val="32"/>
        </w:rPr>
        <w:t xml:space="preserve"> broader themes. This involved mapping the strategic ambitions articulated by commercial managers against the systemic realities detailed by frontline staff, highlighting areas of alignment and, more critically, where ambition and reality weren’t quite aligned. These initial themes were then reviewed and refined to ensure they accurately reflected the </w:t>
      </w:r>
      <w:proofErr w:type="gramStart"/>
      <w:r>
        <w:rPr>
          <w:rFonts w:ascii="Century Gothic" w:hAnsi="Century Gothic" w:cs="Century Gothic"/>
          <w:color w:val="000000"/>
          <w:kern w:val="0"/>
          <w:sz w:val="32"/>
          <w:szCs w:val="32"/>
        </w:rPr>
        <w:t>data, and</w:t>
      </w:r>
      <w:proofErr w:type="gramEnd"/>
      <w:r>
        <w:rPr>
          <w:rFonts w:ascii="Century Gothic" w:hAnsi="Century Gothic" w:cs="Century Gothic"/>
          <w:color w:val="000000"/>
          <w:kern w:val="0"/>
          <w:sz w:val="32"/>
          <w:szCs w:val="32"/>
        </w:rPr>
        <w:t xml:space="preserve"> directly addressed the primary research questions.</w:t>
      </w:r>
    </w:p>
    <w:p w14:paraId="325DD29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These themes formed the core structure of the findings They encompassed things like consumer resistance to Economy Light/Basic Economy products, the stabilising financial impact of loyalty coalitions, and the daily friction caused by legacy IT architecture. The final phase involved synthesising this data into the findings chapter, using direct participant quotations to support the academic arguments and base the analysis in lived </w:t>
      </w:r>
      <w:r>
        <w:rPr>
          <w:rFonts w:ascii="Century Gothic" w:hAnsi="Century Gothic" w:cs="Century Gothic"/>
          <w:color w:val="000000"/>
          <w:kern w:val="0"/>
          <w:sz w:val="32"/>
          <w:szCs w:val="32"/>
        </w:rPr>
        <w:lastRenderedPageBreak/>
        <w:t>experience of frontline operational realities (hen wood et all, 2019).</w:t>
      </w:r>
    </w:p>
    <w:p w14:paraId="54652C1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48597FDE"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3.6 Ethical Considerations and Data Governance</w:t>
      </w:r>
    </w:p>
    <w:p w14:paraId="2C8B37C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All primary research activities were carried out in accordance with the ethical guidelines and governance frameworks set by the University of Wales Trinity Saint David. Prior to data collection, formal ethical approval was secured, ensuring the research design adequately protected participant welfare, maintained data integrity, and protected the complex commercial sensitivities inherent in the aviation sector (Bell, Bryman and Harley, 2019).</w:t>
      </w:r>
    </w:p>
    <w:p w14:paraId="73E67AE4"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The primary ethical consideration involved managing the researcher's dual role as both an academic investigator and an employee at Virgin Atlantic (Hannah, 2019). While insider research provides access and contextual awareness, it also introduces risks of bias, </w:t>
      </w:r>
      <w:r>
        <w:rPr>
          <w:rFonts w:ascii="Century Gothic" w:hAnsi="Century Gothic" w:cs="Century Gothic"/>
          <w:color w:val="000000"/>
          <w:kern w:val="0"/>
          <w:sz w:val="32"/>
          <w:szCs w:val="32"/>
        </w:rPr>
        <w:lastRenderedPageBreak/>
        <w:t xml:space="preserve">undue influence, and the complication of workplace hierarchies (Costley, Elliott and Gibbs, 2010). To mitigate these risks, participation was voluntary. Participants were supplied with a detailed information sheet outlining the project’s scope and explicitly confirming that withdrawal from the study would carry no professional repercussions. To prevent any perception of coercion among immediate colleagues or adjacent departments, the research was completed outside of the </w:t>
      </w:r>
      <w:proofErr w:type="gramStart"/>
      <w:r>
        <w:rPr>
          <w:rFonts w:ascii="Century Gothic" w:hAnsi="Century Gothic" w:cs="Century Gothic"/>
          <w:color w:val="000000"/>
          <w:kern w:val="0"/>
          <w:sz w:val="32"/>
          <w:szCs w:val="32"/>
        </w:rPr>
        <w:t>researchers</w:t>
      </w:r>
      <w:proofErr w:type="gramEnd"/>
      <w:r>
        <w:rPr>
          <w:rFonts w:ascii="Century Gothic" w:hAnsi="Century Gothic" w:cs="Century Gothic"/>
          <w:color w:val="000000"/>
          <w:kern w:val="0"/>
          <w:sz w:val="32"/>
          <w:szCs w:val="32"/>
        </w:rPr>
        <w:t xml:space="preserve"> day to day role. </w:t>
      </w:r>
    </w:p>
    <w:p w14:paraId="6C057B3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Participant anonymity was important, particularly given the sensitive nature of the subject matter, which encompassed internal system failures, pricing strategies, and the operational limitations of NDC. To protect participants identities and eliminate professional risk to the respondents, real names and specific job titles were redacted. Instead, broad identifiers (e.g., "Frontline Participant A" or "Commercial Manager B") were utilised </w:t>
      </w:r>
      <w:r>
        <w:rPr>
          <w:rFonts w:ascii="Century Gothic" w:hAnsi="Century Gothic" w:cs="Century Gothic"/>
          <w:color w:val="000000"/>
          <w:kern w:val="0"/>
          <w:sz w:val="32"/>
          <w:szCs w:val="32"/>
        </w:rPr>
        <w:lastRenderedPageBreak/>
        <w:t>throughout the subsequent findings. In highly specialised operational departments, redacting exact roles is the only effective mechanism to prevent deductive disclosure (Saunders, Lewis and Thornhill, 2019).</w:t>
      </w:r>
    </w:p>
    <w:p w14:paraId="4DD392B9" w14:textId="77777777" w:rsidR="00C85C76" w:rsidRDefault="00C85C76" w:rsidP="00AF541B">
      <w:pPr>
        <w:autoSpaceDE w:val="0"/>
        <w:autoSpaceDN w:val="0"/>
        <w:adjustRightInd w:val="0"/>
        <w:spacing w:after="0" w:line="480" w:lineRule="auto"/>
        <w:ind w:firstLine="720"/>
        <w:rPr>
          <w:rFonts w:ascii="Century Gothic" w:hAnsi="Century Gothic" w:cs="Century Gothic"/>
          <w:color w:val="000000"/>
          <w:kern w:val="0"/>
          <w:sz w:val="32"/>
          <w:szCs w:val="32"/>
        </w:rPr>
      </w:pPr>
      <w:r>
        <w:rPr>
          <w:rFonts w:ascii="Century Gothic" w:hAnsi="Century Gothic" w:cs="Century Gothic"/>
          <w:color w:val="000000"/>
          <w:kern w:val="0"/>
          <w:sz w:val="32"/>
          <w:szCs w:val="32"/>
        </w:rPr>
        <w:t>Data protection was executed in strict compliance with UK GDPR frameworks. All questionnaire data was stored on a secure, password-protected, and encrypted personal drive accessible exclusively to the researcher. To maintain absolute separation, no research data was hosted on the airline’s internal shared drives or corporate networks.</w:t>
      </w:r>
    </w:p>
    <w:p w14:paraId="48B0B1A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Finally, a lot of care was taken to exclude commercially sensitive information from the study. While the research scrutinises genuine operational and retail dynamics, highly classified data such as exact figures, private financial targets, and unannounced strategic moves were purposefully left out. The objective remained the critical analysis of broader operational and systems </w:t>
      </w:r>
      <w:r>
        <w:rPr>
          <w:rFonts w:ascii="Century Gothic" w:hAnsi="Century Gothic" w:cs="Century Gothic"/>
          <w:color w:val="000000"/>
          <w:kern w:val="0"/>
          <w:sz w:val="32"/>
          <w:szCs w:val="32"/>
        </w:rPr>
        <w:lastRenderedPageBreak/>
        <w:t>realities, rather than the disclosure of proprietary trade secrets.</w:t>
      </w:r>
    </w:p>
    <w:p w14:paraId="3D9C237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2A09773B"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482FD498"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6DFBB3F7"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3.7 Conclusion</w:t>
      </w:r>
    </w:p>
    <w:p w14:paraId="6C34086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233288F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In summary, this chapter has outlined the qualitative framework employed to address the specific gaps identified in the literature review. By adopting an interpretivist stance, the research design moves beyond the constraints of quantitative revenue accounting to examine the lived realities of modern airline retailing. It captures the friction between high level commercial strategy and ground-level operational execution.</w:t>
      </w:r>
    </w:p>
    <w:p w14:paraId="64BD653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The implementation of a written questionnaire was a necessary adaptation, designed to bypass scheduling constraints of a 24/7 aviation environment. While this </w:t>
      </w:r>
      <w:r>
        <w:rPr>
          <w:rFonts w:ascii="Century Gothic" w:hAnsi="Century Gothic" w:cs="Century Gothic"/>
          <w:color w:val="000000"/>
          <w:kern w:val="0"/>
          <w:sz w:val="32"/>
          <w:szCs w:val="32"/>
        </w:rPr>
        <w:lastRenderedPageBreak/>
        <w:t>approach sacrificed real-time observational dialogue, it successfully enabled the collection of detailed, reflective data from a purposive sample of eight individuals. By bringing together the perspectives of commercial management, frontline operational staff, and the end consumer, the methodology established a balanced, multi-dimensional view of the airline’s commercial objectives.</w:t>
      </w:r>
    </w:p>
    <w:p w14:paraId="50DFCD2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The application of Braun and Clarke’s (2006) Reflexive Thematic Analysis provided a mechanism for processing the qualitative data, enabling the identification of structural tensions within the business. Supported by ethical safeguards and data protection protocols designed to protect anonymity and commercial sensitivity, this methodological framework provides a robust foundation for the study. </w:t>
      </w:r>
    </w:p>
    <w:p w14:paraId="34CD845E"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Having established this structural approach, the findings will be presented in chapter 4, analysing the </w:t>
      </w:r>
      <w:r>
        <w:rPr>
          <w:rFonts w:ascii="Century Gothic" w:hAnsi="Century Gothic" w:cs="Century Gothic"/>
          <w:color w:val="000000"/>
          <w:kern w:val="0"/>
          <w:sz w:val="32"/>
          <w:szCs w:val="32"/>
        </w:rPr>
        <w:lastRenderedPageBreak/>
        <w:t>ongoing operational friction between revenue maximisation, legacy technology infrastructure, and the preservation of premium brand equity.</w:t>
      </w:r>
    </w:p>
    <w:p w14:paraId="4B5BDD05"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1E3ADE9D"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537ADFB0"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2BE434B0"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6CC5FDEE"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Chapter 4: Findings</w:t>
      </w:r>
    </w:p>
    <w:p w14:paraId="02AB83EF"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4.1 Introduction</w:t>
      </w:r>
    </w:p>
    <w:p w14:paraId="08F10DA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This chapter looks at what the analysis of the data </w:t>
      </w:r>
      <w:proofErr w:type="gramStart"/>
      <w:r>
        <w:rPr>
          <w:rFonts w:ascii="Century Gothic" w:hAnsi="Century Gothic" w:cs="Century Gothic"/>
          <w:color w:val="000000"/>
          <w:kern w:val="0"/>
          <w:sz w:val="32"/>
          <w:szCs w:val="32"/>
        </w:rPr>
        <w:t>actually revealed</w:t>
      </w:r>
      <w:proofErr w:type="gramEnd"/>
      <w:r>
        <w:rPr>
          <w:rFonts w:ascii="Century Gothic" w:hAnsi="Century Gothic" w:cs="Century Gothic"/>
          <w:color w:val="000000"/>
          <w:kern w:val="0"/>
          <w:sz w:val="32"/>
          <w:szCs w:val="32"/>
        </w:rPr>
        <w:t xml:space="preserve">. The main goal of the research was to look at how ancillary sales, FFPs, and modern retail technology are evolving in long-haul airlines, focusing specifically on Virgin Atlantic. The findings come directly from the written questionnaires completed by the eight participants. By bringing together the views of commercial managers, frontline staff, and a frequent flyer, the research aimed to get a holistic view of how the </w:t>
      </w:r>
      <w:r>
        <w:rPr>
          <w:rFonts w:ascii="Century Gothic" w:hAnsi="Century Gothic" w:cs="Century Gothic"/>
          <w:color w:val="000000"/>
          <w:kern w:val="0"/>
          <w:sz w:val="32"/>
          <w:szCs w:val="32"/>
        </w:rPr>
        <w:lastRenderedPageBreak/>
        <w:t xml:space="preserve">business operates. Looking at it from these different angles, it clearly shows the day-to-day friction between strategic goals and the limitations posed of older ticketing systems and risk damaging the airline's premium brand. The research gives an insight into the difficulties, as well as positives of these goals. </w:t>
      </w:r>
    </w:p>
    <w:p w14:paraId="55AEA439" w14:textId="3DE7F719" w:rsidR="00C85C76" w:rsidRDefault="00C85C76" w:rsidP="007E5FC0">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r w:rsidR="007E5FC0">
        <w:rPr>
          <w:rFonts w:ascii="Century Gothic" w:hAnsi="Century Gothic" w:cs="Century Gothic"/>
          <w:color w:val="000000"/>
          <w:kern w:val="0"/>
          <w:sz w:val="32"/>
          <w:szCs w:val="32"/>
        </w:rPr>
        <w:tab/>
      </w:r>
      <w:r>
        <w:rPr>
          <w:rFonts w:ascii="Century Gothic" w:hAnsi="Century Gothic" w:cs="Century Gothic"/>
          <w:color w:val="000000"/>
          <w:kern w:val="0"/>
          <w:sz w:val="32"/>
          <w:szCs w:val="32"/>
        </w:rPr>
        <w:t xml:space="preserve">Using Braun and Clarke’s (2006) approach to thematic analysis, the feedback from the questionnaires naturally fell into three </w:t>
      </w:r>
      <w:proofErr w:type="gramStart"/>
      <w:r>
        <w:rPr>
          <w:rFonts w:ascii="Century Gothic" w:hAnsi="Century Gothic" w:cs="Century Gothic"/>
          <w:color w:val="000000"/>
          <w:kern w:val="0"/>
          <w:sz w:val="32"/>
          <w:szCs w:val="32"/>
        </w:rPr>
        <w:t>main</w:t>
      </w:r>
      <w:proofErr w:type="gramEnd"/>
      <w:r>
        <w:rPr>
          <w:rFonts w:ascii="Century Gothic" w:hAnsi="Century Gothic" w:cs="Century Gothic"/>
          <w:color w:val="000000"/>
          <w:kern w:val="0"/>
          <w:sz w:val="32"/>
          <w:szCs w:val="32"/>
        </w:rPr>
        <w:t>, overlapping themes:</w:t>
      </w:r>
    </w:p>
    <w:p w14:paraId="27DF0386"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319701A0"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The Boundaries of Premium Unbundling:</w:t>
      </w:r>
    </w:p>
    <w:p w14:paraId="092617B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This theme looks at the tricky balance between trying to generate extra revenue through unbundled “Economy Light/Basic Economy" fares and risking the premium reputation that a full-service airline like Virgin Atlantic relies on.</w:t>
      </w:r>
    </w:p>
    <w:p w14:paraId="156890F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678EF4A7"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lastRenderedPageBreak/>
        <w:t>Technological Headaches and Day-to-Day Servicing Issues:</w:t>
      </w:r>
    </w:p>
    <w:p w14:paraId="724C941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This covers the real operational struggles frontline ticketing and contact centre staff face on shift. It highlights the disconnect between modern retail technology like NDC and the older booking systems.</w:t>
      </w:r>
    </w:p>
    <w:p w14:paraId="7EDA25FF"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11F09A35"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56588C63"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1E0EA774"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Loyalty Schemes as a Financial Cushion:</w:t>
      </w:r>
    </w:p>
    <w:p w14:paraId="333ADFC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This theme looks at how the airline has moved away from simple frequent flyer miles towards broader loyalty schemes like Virgin Red. It looks at how points are used not just to keep passengers loyal, but to bring in steady, reliable cash to help buffer the business against financial and regulatory pressures.</w:t>
      </w:r>
    </w:p>
    <w:p w14:paraId="74A80945"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6D78817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lastRenderedPageBreak/>
        <w:tab/>
        <w:t>Throughout this chapter, direct quotes from the participants have been used to support these themes. All responses have been kept strictly anonymous with broad labels used for each person to show what area of the business they work in without giving away their identities or any commercially sensitive information.</w:t>
      </w:r>
    </w:p>
    <w:p w14:paraId="430AC31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0EEBFB24"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4.2 The Boundaries of Premium Unbundling</w:t>
      </w:r>
    </w:p>
    <w:p w14:paraId="0E0E521F"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56713206"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The first major theme from the questionnaire feedback is unbundling fares into "Economy Light" or "Basic Economy," and the knock-on effect that has on the airline’s premium reputation and frontline teams. Looking at the responses, there is a clear divide between what management set out to achieve when planning these fares and what frontline staff </w:t>
      </w:r>
      <w:proofErr w:type="gramStart"/>
      <w:r>
        <w:rPr>
          <w:rFonts w:ascii="Century Gothic" w:hAnsi="Century Gothic" w:cs="Century Gothic"/>
          <w:color w:val="000000"/>
          <w:kern w:val="0"/>
          <w:sz w:val="32"/>
          <w:szCs w:val="32"/>
        </w:rPr>
        <w:t>actually deal</w:t>
      </w:r>
      <w:proofErr w:type="gramEnd"/>
      <w:r>
        <w:rPr>
          <w:rFonts w:ascii="Century Gothic" w:hAnsi="Century Gothic" w:cs="Century Gothic"/>
          <w:color w:val="000000"/>
          <w:kern w:val="0"/>
          <w:sz w:val="32"/>
          <w:szCs w:val="32"/>
        </w:rPr>
        <w:t xml:space="preserve"> with when handling frustrated passengers.</w:t>
      </w:r>
    </w:p>
    <w:p w14:paraId="4F98E3F3"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376DBDF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lastRenderedPageBreak/>
        <w:tab/>
        <w:t>From a commercial point of view, the management participants strongly defended unbundled fares. They didn't see it as a greedy cash grab, but simply as a defensive move they had to make to survive online. For full-service airlines, showing up on flight comparison sites is everything. As one manager put it:</w:t>
      </w:r>
    </w:p>
    <w:p w14:paraId="4190B8F3" w14:textId="77777777" w:rsidR="00A51483" w:rsidRDefault="00A51483" w:rsidP="00C85C76">
      <w:pPr>
        <w:autoSpaceDE w:val="0"/>
        <w:autoSpaceDN w:val="0"/>
        <w:adjustRightInd w:val="0"/>
        <w:spacing w:after="0" w:line="480" w:lineRule="auto"/>
        <w:rPr>
          <w:rFonts w:ascii="Century Gothic" w:hAnsi="Century Gothic" w:cs="Century Gothic"/>
          <w:i/>
          <w:iCs/>
          <w:color w:val="000000"/>
          <w:kern w:val="0"/>
          <w:sz w:val="32"/>
          <w:szCs w:val="32"/>
        </w:rPr>
      </w:pPr>
    </w:p>
    <w:p w14:paraId="6DF75545" w14:textId="5122DD4D" w:rsidR="00C85C76" w:rsidRDefault="00C85C76" w:rsidP="00C85C76">
      <w:pPr>
        <w:autoSpaceDE w:val="0"/>
        <w:autoSpaceDN w:val="0"/>
        <w:adjustRightInd w:val="0"/>
        <w:spacing w:after="0" w:line="480" w:lineRule="auto"/>
        <w:rPr>
          <w:rFonts w:ascii="Century Gothic" w:hAnsi="Century Gothic" w:cs="Century Gothic"/>
          <w:i/>
          <w:iCs/>
          <w:color w:val="000000"/>
          <w:kern w:val="0"/>
        </w:rPr>
      </w:pPr>
      <w:r>
        <w:rPr>
          <w:rFonts w:ascii="Century Gothic" w:hAnsi="Century Gothic" w:cs="Century Gothic"/>
          <w:i/>
          <w:iCs/>
          <w:color w:val="000000"/>
          <w:kern w:val="0"/>
        </w:rPr>
        <w:t>"The reality of the modern booking funnel is that if we do not offer a stripped-back ‘Light’ fare, we simply do not feature on the first page of results on Skyscanner or Google Flights. The algorithm demands the absolute lowest baseline price. Our intent isn’t necessarily for the customer to fly on that restrictive ticket. The Light fare acts as an anchor to get them into our retail environment, where we hope the compromise effect naturally encourages an upsell to the 'Classic' or ‘Premium’ tier." (Commercial Manager A)</w:t>
      </w:r>
    </w:p>
    <w:p w14:paraId="448F3AE4" w14:textId="77777777" w:rsidR="00C85C76" w:rsidRDefault="00C85C76" w:rsidP="00C85C76">
      <w:pPr>
        <w:autoSpaceDE w:val="0"/>
        <w:autoSpaceDN w:val="0"/>
        <w:adjustRightInd w:val="0"/>
        <w:spacing w:after="0" w:line="480" w:lineRule="auto"/>
        <w:rPr>
          <w:rFonts w:ascii="Century Gothic" w:hAnsi="Century Gothic" w:cs="Century Gothic"/>
          <w:i/>
          <w:iCs/>
          <w:color w:val="000000"/>
          <w:kern w:val="0"/>
          <w:sz w:val="32"/>
          <w:szCs w:val="32"/>
        </w:rPr>
      </w:pPr>
    </w:p>
    <w:p w14:paraId="45D31C36"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This ties straight back to behavioural ideas like choice architecture and the compromise effect (Simonson, 1989) covered in Chapter 2. The idea is that showing a low, basic fare nudges people to pay a bit more for the standard option. But the feedback shows that when real </w:t>
      </w:r>
      <w:r>
        <w:rPr>
          <w:rFonts w:ascii="Century Gothic" w:hAnsi="Century Gothic" w:cs="Century Gothic"/>
          <w:color w:val="000000"/>
          <w:kern w:val="0"/>
          <w:sz w:val="32"/>
          <w:szCs w:val="32"/>
        </w:rPr>
        <w:lastRenderedPageBreak/>
        <w:t>passengers run into this setup, it clashes with what they expect from a premium airline. The consumer participant was clearly frustrated by this unbundling approach, showing how easily unbundling can chip away at brand loyalty:</w:t>
      </w:r>
    </w:p>
    <w:p w14:paraId="4EEE263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213D340C"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rPr>
      </w:pPr>
      <w:r>
        <w:rPr>
          <w:rFonts w:ascii="Century Gothic" w:hAnsi="Century Gothic" w:cs="Century Gothic"/>
          <w:i/>
          <w:iCs/>
          <w:color w:val="000000"/>
          <w:kern w:val="0"/>
        </w:rPr>
        <w:t>"When I choose a premium airline over a low-cost carrier, I am deliberately paying for peace of mind. I expect the baseline necessities—like bringing a suitcase and sitting with my partner—to be included. When I’m suddenly presented with a drip-feed of extra charges during the booking process, it feels deceptive. It degrades the brand and makes me question why I didn't just fly budget in the first place." (Consumer Participant)</w:t>
      </w:r>
    </w:p>
    <w:p w14:paraId="440273F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i/>
          <w:iCs/>
          <w:color w:val="000000"/>
          <w:kern w:val="0"/>
          <w:sz w:val="32"/>
          <w:szCs w:val="32"/>
        </w:rPr>
        <w:t> </w:t>
      </w:r>
    </w:p>
    <w:p w14:paraId="2D26DE9C"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This consumer feedback highlights the reality of perceived price unfairness (Bolton, </w:t>
      </w:r>
      <w:proofErr w:type="spellStart"/>
      <w:r>
        <w:rPr>
          <w:rFonts w:ascii="Century Gothic" w:hAnsi="Century Gothic" w:cs="Century Gothic"/>
          <w:color w:val="000000"/>
          <w:kern w:val="0"/>
          <w:sz w:val="32"/>
          <w:szCs w:val="32"/>
        </w:rPr>
        <w:t>Warlop</w:t>
      </w:r>
      <w:proofErr w:type="spellEnd"/>
      <w:r>
        <w:rPr>
          <w:rFonts w:ascii="Century Gothic" w:hAnsi="Century Gothic" w:cs="Century Gothic"/>
          <w:color w:val="000000"/>
          <w:kern w:val="0"/>
          <w:sz w:val="32"/>
          <w:szCs w:val="32"/>
        </w:rPr>
        <w:t xml:space="preserve"> and Alba, 2003). When a full-service airline strips away things that used to be included as standard, it can be argued that passengers just see it as being forced in to paying extra rather than getting better value.</w:t>
      </w:r>
    </w:p>
    <w:p w14:paraId="4736DC64"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lastRenderedPageBreak/>
        <w:tab/>
        <w:t>The research showed that it’s not head office that ends up dealing with this frustration, it’s the frontline staff. Participants working in the customer centres and ticketing teams explained that while branded fares might look good on paper, they create a massive amount of stress and extra work on the phones. The problem gets even worse when people book through third-party travel sites, because those sites often strip out all the clear warnings about what is and isn't included in the ticket.</w:t>
      </w:r>
    </w:p>
    <w:p w14:paraId="1EB1BA6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2347CABF" w14:textId="77777777" w:rsidR="00C85C76" w:rsidRDefault="00C85C76" w:rsidP="00C85C76">
      <w:pPr>
        <w:autoSpaceDE w:val="0"/>
        <w:autoSpaceDN w:val="0"/>
        <w:adjustRightInd w:val="0"/>
        <w:spacing w:after="0" w:line="480" w:lineRule="auto"/>
        <w:rPr>
          <w:rFonts w:ascii="Century Gothic" w:hAnsi="Century Gothic" w:cs="Century Gothic"/>
          <w:i/>
          <w:iCs/>
          <w:color w:val="000000"/>
          <w:kern w:val="0"/>
        </w:rPr>
      </w:pPr>
      <w:r>
        <w:rPr>
          <w:rFonts w:ascii="Century Gothic" w:hAnsi="Century Gothic" w:cs="Century Gothic"/>
          <w:i/>
          <w:iCs/>
          <w:color w:val="000000"/>
          <w:kern w:val="0"/>
        </w:rPr>
        <w:t xml:space="preserve">"The fundamental disconnect is that commercial teams see the Light fare as a successful upsell mechanism, but on the frontline, we deal with the fallout when it fails. Passengers book via a TA (Travel Agent), miss the fine print, and then call the centre </w:t>
      </w:r>
      <w:proofErr w:type="gramStart"/>
      <w:r>
        <w:rPr>
          <w:rFonts w:ascii="Century Gothic" w:hAnsi="Century Gothic" w:cs="Century Gothic"/>
          <w:i/>
          <w:iCs/>
          <w:color w:val="000000"/>
          <w:kern w:val="0"/>
        </w:rPr>
        <w:t>absolutely furious</w:t>
      </w:r>
      <w:proofErr w:type="gramEnd"/>
      <w:r>
        <w:rPr>
          <w:rFonts w:ascii="Century Gothic" w:hAnsi="Century Gothic" w:cs="Century Gothic"/>
          <w:i/>
          <w:iCs/>
          <w:color w:val="000000"/>
          <w:kern w:val="0"/>
        </w:rPr>
        <w:t xml:space="preserve"> that they have no baggage allowance. We are the ones who have to absorb that hostility, de-escalate the situation, and attempt to explain complex fare rules, often while navigating legacy systems that make goodwill waivers incredibly difficult to process." (Frontline Participant B)</w:t>
      </w:r>
    </w:p>
    <w:p w14:paraId="1439BB0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r>
    </w:p>
    <w:p w14:paraId="05C8095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lastRenderedPageBreak/>
        <w:tab/>
        <w:t xml:space="preserve">This frontline view points to a real flaw in the unbundling approach. </w:t>
      </w:r>
      <w:proofErr w:type="spellStart"/>
      <w:proofErr w:type="gramStart"/>
      <w:r>
        <w:rPr>
          <w:rFonts w:ascii="Century Gothic" w:hAnsi="Century Gothic" w:cs="Century Gothic"/>
          <w:color w:val="000000"/>
          <w:kern w:val="0"/>
          <w:sz w:val="32"/>
          <w:szCs w:val="32"/>
        </w:rPr>
        <w:t>Airline’s</w:t>
      </w:r>
      <w:proofErr w:type="spellEnd"/>
      <w:proofErr w:type="gramEnd"/>
      <w:r>
        <w:rPr>
          <w:rFonts w:ascii="Century Gothic" w:hAnsi="Century Gothic" w:cs="Century Gothic"/>
          <w:color w:val="000000"/>
          <w:kern w:val="0"/>
          <w:sz w:val="32"/>
          <w:szCs w:val="32"/>
        </w:rPr>
        <w:t xml:space="preserve"> have to be extremely careful with unbundling because being able to advertise a low fare may produce a </w:t>
      </w:r>
      <w:proofErr w:type="gramStart"/>
      <w:r>
        <w:rPr>
          <w:rFonts w:ascii="Century Gothic" w:hAnsi="Century Gothic" w:cs="Century Gothic"/>
          <w:color w:val="000000"/>
          <w:kern w:val="0"/>
          <w:sz w:val="32"/>
          <w:szCs w:val="32"/>
        </w:rPr>
        <w:t>short term</w:t>
      </w:r>
      <w:proofErr w:type="gramEnd"/>
      <w:r>
        <w:rPr>
          <w:rFonts w:ascii="Century Gothic" w:hAnsi="Century Gothic" w:cs="Century Gothic"/>
          <w:color w:val="000000"/>
          <w:kern w:val="0"/>
          <w:sz w:val="32"/>
          <w:szCs w:val="32"/>
        </w:rPr>
        <w:t xml:space="preserve"> win, but it’s difficult to quantify how much an airline loses in the long term by disgruntled customers, and frontline staff potentially suffering burnout from having to deal with the fallout.</w:t>
      </w:r>
    </w:p>
    <w:p w14:paraId="661BA26D"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 </w:t>
      </w:r>
    </w:p>
    <w:p w14:paraId="4D331C8B"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4.3 Technological Headaches and Day-to-Day Servicing Issues</w:t>
      </w:r>
    </w:p>
    <w:p w14:paraId="3CDADE6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The second main theme to emerge from the data highlights a massive practical headache across the business and wider industry: the clash between modern retail plans and the older IT systems. Commercial managers are totally behind the push towards New Distribution Capability (NDC) and dynamic pricing, seeing it as the obvious way forward for airline retail (Daft et al, 2021). But the feedback from frontline staff tells a very </w:t>
      </w:r>
      <w:r>
        <w:rPr>
          <w:rFonts w:ascii="Century Gothic" w:hAnsi="Century Gothic" w:cs="Century Gothic"/>
          <w:color w:val="000000"/>
          <w:kern w:val="0"/>
          <w:sz w:val="32"/>
          <w:szCs w:val="32"/>
        </w:rPr>
        <w:lastRenderedPageBreak/>
        <w:t xml:space="preserve">different story, showing that this changeover causes real grief when you </w:t>
      </w:r>
      <w:proofErr w:type="gramStart"/>
      <w:r>
        <w:rPr>
          <w:rFonts w:ascii="Century Gothic" w:hAnsi="Century Gothic" w:cs="Century Gothic"/>
          <w:color w:val="000000"/>
          <w:kern w:val="0"/>
          <w:sz w:val="32"/>
          <w:szCs w:val="32"/>
        </w:rPr>
        <w:t>actually have</w:t>
      </w:r>
      <w:proofErr w:type="gramEnd"/>
      <w:r>
        <w:rPr>
          <w:rFonts w:ascii="Century Gothic" w:hAnsi="Century Gothic" w:cs="Century Gothic"/>
          <w:color w:val="000000"/>
          <w:kern w:val="0"/>
          <w:sz w:val="32"/>
          <w:szCs w:val="32"/>
        </w:rPr>
        <w:t xml:space="preserve"> to service the bookings day to day.</w:t>
      </w:r>
    </w:p>
    <w:p w14:paraId="33921FEE"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From the commercial side, getting away from the old EDIFACT messaging setup is seen as an absolute necessity if the airline wants to stay competitive. The managers framed NDC and moving to an "Offers and Orders" setup as the only real way to take back control of pricing from third-party travel sites:</w:t>
      </w:r>
    </w:p>
    <w:p w14:paraId="07DFCE7F" w14:textId="77777777" w:rsidR="00C85C76" w:rsidRDefault="00C85C76" w:rsidP="00C85C76">
      <w:pPr>
        <w:autoSpaceDE w:val="0"/>
        <w:autoSpaceDN w:val="0"/>
        <w:adjustRightInd w:val="0"/>
        <w:spacing w:after="0" w:line="480" w:lineRule="auto"/>
        <w:rPr>
          <w:rFonts w:ascii="Century Gothic" w:hAnsi="Century Gothic" w:cs="Century Gothic"/>
          <w:i/>
          <w:iCs/>
          <w:color w:val="000000"/>
          <w:kern w:val="0"/>
          <w:sz w:val="32"/>
          <w:szCs w:val="32"/>
        </w:rPr>
      </w:pPr>
    </w:p>
    <w:p w14:paraId="30019A3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rPr>
      </w:pPr>
      <w:r>
        <w:rPr>
          <w:rFonts w:ascii="Century Gothic" w:hAnsi="Century Gothic" w:cs="Century Gothic"/>
          <w:i/>
          <w:iCs/>
          <w:color w:val="000000"/>
          <w:kern w:val="0"/>
        </w:rPr>
        <w:t>"The legacy EDIFACT infrastructure fundamentally commoditises our product. NDC allows us to distribute rich, dynamically priced, and contextually relevant bundles directly to the consumer, bypassing the rigid alphabetical booking classes of the past. The strategic goal is to transform from a traditional capacity provider into a digital retailer, entirely replacing the PNR and e-ticket with a single, retail-centric Order ID." (Commercial Manager C)</w:t>
      </w:r>
    </w:p>
    <w:p w14:paraId="488696D6"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6E555B9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However, the questionnaire responses give a completely different picture when it comes to the </w:t>
      </w:r>
      <w:r>
        <w:rPr>
          <w:rFonts w:ascii="Century Gothic" w:hAnsi="Century Gothic" w:cs="Century Gothic"/>
          <w:color w:val="000000"/>
          <w:kern w:val="0"/>
          <w:sz w:val="32"/>
          <w:szCs w:val="32"/>
        </w:rPr>
        <w:lastRenderedPageBreak/>
        <w:t xml:space="preserve">practical side. Generating dynamically priced offers when a customer is browsing online works </w:t>
      </w:r>
      <w:proofErr w:type="gramStart"/>
      <w:r>
        <w:rPr>
          <w:rFonts w:ascii="Century Gothic" w:hAnsi="Century Gothic" w:cs="Century Gothic"/>
          <w:color w:val="000000"/>
          <w:kern w:val="0"/>
          <w:sz w:val="32"/>
          <w:szCs w:val="32"/>
        </w:rPr>
        <w:t>fine, but</w:t>
      </w:r>
      <w:proofErr w:type="gramEnd"/>
      <w:r>
        <w:rPr>
          <w:rFonts w:ascii="Century Gothic" w:hAnsi="Century Gothic" w:cs="Century Gothic"/>
          <w:color w:val="000000"/>
          <w:kern w:val="0"/>
          <w:sz w:val="32"/>
          <w:szCs w:val="32"/>
        </w:rPr>
        <w:t xml:space="preserve"> </w:t>
      </w:r>
      <w:proofErr w:type="gramStart"/>
      <w:r>
        <w:rPr>
          <w:rFonts w:ascii="Century Gothic" w:hAnsi="Century Gothic" w:cs="Century Gothic"/>
          <w:color w:val="000000"/>
          <w:kern w:val="0"/>
          <w:sz w:val="32"/>
          <w:szCs w:val="32"/>
        </w:rPr>
        <w:t>actually servicing</w:t>
      </w:r>
      <w:proofErr w:type="gramEnd"/>
      <w:r>
        <w:rPr>
          <w:rFonts w:ascii="Century Gothic" w:hAnsi="Century Gothic" w:cs="Century Gothic"/>
          <w:color w:val="000000"/>
          <w:kern w:val="0"/>
          <w:sz w:val="32"/>
          <w:szCs w:val="32"/>
        </w:rPr>
        <w:t xml:space="preserve"> them after the ticket is bought is where things become difficult. Frontline staff pointed out that trying to service bookings with legacy PSS causes constant issues—especially when IROPs occur, or a passenger simply wants to voluntarily change their flight.</w:t>
      </w:r>
    </w:p>
    <w:p w14:paraId="5BA6C2FC"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The real headache comes down to the clash between modern, web-based retail tools and the clunky systems agents </w:t>
      </w:r>
      <w:proofErr w:type="gramStart"/>
      <w:r>
        <w:rPr>
          <w:rFonts w:ascii="Century Gothic" w:hAnsi="Century Gothic" w:cs="Century Gothic"/>
          <w:color w:val="000000"/>
          <w:kern w:val="0"/>
          <w:sz w:val="32"/>
          <w:szCs w:val="32"/>
        </w:rPr>
        <w:t>have to</w:t>
      </w:r>
      <w:proofErr w:type="gramEnd"/>
      <w:r>
        <w:rPr>
          <w:rFonts w:ascii="Century Gothic" w:hAnsi="Century Gothic" w:cs="Century Gothic"/>
          <w:color w:val="000000"/>
          <w:kern w:val="0"/>
          <w:sz w:val="32"/>
          <w:szCs w:val="32"/>
        </w:rPr>
        <w:t xml:space="preserve"> use to make changes. Staff specifically called out the daily frustration of jumping between completely different platforms—like Amadeus, alongside graphical overlays like </w:t>
      </w:r>
      <w:proofErr w:type="spellStart"/>
      <w:r>
        <w:rPr>
          <w:rFonts w:ascii="Century Gothic" w:hAnsi="Century Gothic" w:cs="Century Gothic"/>
          <w:color w:val="000000"/>
          <w:kern w:val="0"/>
          <w:sz w:val="32"/>
          <w:szCs w:val="32"/>
        </w:rPr>
        <w:t>TBox</w:t>
      </w:r>
      <w:proofErr w:type="spellEnd"/>
      <w:r>
        <w:rPr>
          <w:rFonts w:ascii="Century Gothic" w:hAnsi="Century Gothic" w:cs="Century Gothic"/>
          <w:color w:val="000000"/>
          <w:kern w:val="0"/>
          <w:sz w:val="32"/>
          <w:szCs w:val="32"/>
        </w:rPr>
        <w:t>, AXIS, and VS Term—just to fix bookings that have dynamically priced extras attached.</w:t>
      </w:r>
    </w:p>
    <w:p w14:paraId="27931A63" w14:textId="77777777" w:rsidR="00C85C76" w:rsidRDefault="00C85C76" w:rsidP="00C85C76">
      <w:pPr>
        <w:autoSpaceDE w:val="0"/>
        <w:autoSpaceDN w:val="0"/>
        <w:adjustRightInd w:val="0"/>
        <w:spacing w:after="0" w:line="480" w:lineRule="auto"/>
        <w:rPr>
          <w:rFonts w:ascii="Century Gothic" w:hAnsi="Century Gothic" w:cs="Century Gothic"/>
          <w:i/>
          <w:iCs/>
          <w:color w:val="000000"/>
          <w:kern w:val="0"/>
        </w:rPr>
      </w:pPr>
    </w:p>
    <w:p w14:paraId="5167FD7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rPr>
      </w:pPr>
      <w:r>
        <w:rPr>
          <w:rFonts w:ascii="Century Gothic" w:hAnsi="Century Gothic" w:cs="Century Gothic"/>
          <w:i/>
          <w:iCs/>
          <w:color w:val="000000"/>
          <w:kern w:val="0"/>
        </w:rPr>
        <w:t xml:space="preserve">"Management celebrates the rollout of dynamic pricing and complex branded bundles, but they aren't the ones trying to manually rebuild a ticket during a massive weather disruption. When a passenger’s flight is cancelled, </w:t>
      </w:r>
      <w:r>
        <w:rPr>
          <w:rFonts w:ascii="Century Gothic" w:hAnsi="Century Gothic" w:cs="Century Gothic"/>
          <w:i/>
          <w:iCs/>
          <w:color w:val="000000"/>
          <w:kern w:val="0"/>
        </w:rPr>
        <w:lastRenderedPageBreak/>
        <w:t xml:space="preserve">and we need to re-accommodate them to comply with EC261 regulations, the legacy systems simply cannot handle the NDC-generated ancillaries. We find ourselves bouncing between Amadeus command-line entries, </w:t>
      </w:r>
      <w:proofErr w:type="spellStart"/>
      <w:r>
        <w:rPr>
          <w:rFonts w:ascii="Century Gothic" w:hAnsi="Century Gothic" w:cs="Century Gothic"/>
          <w:i/>
          <w:iCs/>
          <w:color w:val="000000"/>
          <w:kern w:val="0"/>
        </w:rPr>
        <w:t>TBox</w:t>
      </w:r>
      <w:proofErr w:type="spellEnd"/>
      <w:r>
        <w:rPr>
          <w:rFonts w:ascii="Century Gothic" w:hAnsi="Century Gothic" w:cs="Century Gothic"/>
          <w:i/>
          <w:iCs/>
          <w:color w:val="000000"/>
          <w:kern w:val="0"/>
        </w:rPr>
        <w:t>, and AXIS just to try and re-associate an Electronic Miscellaneous Document (EMD) for a dynamically priced seat or extra bag to a new PNR. It is highly manual, error-prone, and incredibly time-consuming." (Frontline Participant A)</w:t>
      </w:r>
    </w:p>
    <w:p w14:paraId="1D738C3C"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74D790A4" w14:textId="77777777" w:rsidR="00C85C76" w:rsidRDefault="00C85C76" w:rsidP="00830967">
      <w:pPr>
        <w:autoSpaceDE w:val="0"/>
        <w:autoSpaceDN w:val="0"/>
        <w:adjustRightInd w:val="0"/>
        <w:spacing w:after="0" w:line="480" w:lineRule="auto"/>
        <w:ind w:firstLine="720"/>
        <w:rPr>
          <w:rFonts w:ascii="Century Gothic" w:hAnsi="Century Gothic" w:cs="Century Gothic"/>
          <w:color w:val="000000"/>
          <w:kern w:val="0"/>
          <w:sz w:val="32"/>
          <w:szCs w:val="32"/>
        </w:rPr>
      </w:pPr>
      <w:r>
        <w:rPr>
          <w:rFonts w:ascii="Century Gothic" w:hAnsi="Century Gothic" w:cs="Century Gothic"/>
          <w:color w:val="000000"/>
          <w:kern w:val="0"/>
          <w:sz w:val="32"/>
          <w:szCs w:val="32"/>
        </w:rPr>
        <w:t>This feedback directly correlates to Westermann (2013) and Vinod (2026). This technology clash doesn't just slow things down behind the scenes, it directly impacts the premium experience customers think they're paying for. Another frontline colleague explained how this constant system battle leaves staff on the back foot when trying to help people:</w:t>
      </w:r>
    </w:p>
    <w:p w14:paraId="0CD4E24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5DF9C3FD" w14:textId="77777777" w:rsidR="00C85C76" w:rsidRDefault="00C85C76" w:rsidP="00C85C76">
      <w:pPr>
        <w:autoSpaceDE w:val="0"/>
        <w:autoSpaceDN w:val="0"/>
        <w:adjustRightInd w:val="0"/>
        <w:spacing w:after="0" w:line="480" w:lineRule="auto"/>
        <w:rPr>
          <w:rFonts w:ascii="Century Gothic" w:hAnsi="Century Gothic" w:cs="Century Gothic"/>
          <w:i/>
          <w:iCs/>
          <w:color w:val="000000"/>
          <w:kern w:val="0"/>
        </w:rPr>
      </w:pPr>
      <w:r>
        <w:rPr>
          <w:rFonts w:ascii="Century Gothic" w:hAnsi="Century Gothic" w:cs="Century Gothic"/>
          <w:i/>
          <w:iCs/>
          <w:color w:val="000000"/>
          <w:kern w:val="0"/>
        </w:rPr>
        <w:t xml:space="preserve">"The customer assumes that because they bought a seamless bundle on the website, our internal systems must reflect that simplicity. They don't understand why a simple date change on a 'Classic' fare takes twenty minutes on the phone. The system throws ticketing sync errors because the original ancillary was dynamically priced in VS Term, but the new flight requires a manual override. We spend more time fighting our own legacy </w:t>
      </w:r>
      <w:r>
        <w:rPr>
          <w:rFonts w:ascii="Century Gothic" w:hAnsi="Century Gothic" w:cs="Century Gothic"/>
          <w:i/>
          <w:iCs/>
          <w:color w:val="000000"/>
          <w:kern w:val="0"/>
        </w:rPr>
        <w:lastRenderedPageBreak/>
        <w:t>architecture than we do actually servicing the passenger." (Frontline Participant C)</w:t>
      </w:r>
    </w:p>
    <w:p w14:paraId="51E0A6F6"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32721458" w14:textId="77777777" w:rsidR="00C85C76" w:rsidRDefault="00C85C76" w:rsidP="00830967">
      <w:pPr>
        <w:autoSpaceDE w:val="0"/>
        <w:autoSpaceDN w:val="0"/>
        <w:adjustRightInd w:val="0"/>
        <w:spacing w:after="0" w:line="480" w:lineRule="auto"/>
        <w:ind w:firstLine="720"/>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Across the responses, the technology gap is probably the biggest day-to-day hinderance to Virgin Atlantic’s retail plans. Until the industry </w:t>
      </w:r>
      <w:proofErr w:type="gramStart"/>
      <w:r>
        <w:rPr>
          <w:rFonts w:ascii="Century Gothic" w:hAnsi="Century Gothic" w:cs="Century Gothic"/>
          <w:color w:val="000000"/>
          <w:kern w:val="0"/>
          <w:sz w:val="32"/>
          <w:szCs w:val="32"/>
        </w:rPr>
        <w:t>actually manages</w:t>
      </w:r>
      <w:proofErr w:type="gramEnd"/>
      <w:r>
        <w:rPr>
          <w:rFonts w:ascii="Century Gothic" w:hAnsi="Century Gothic" w:cs="Century Gothic"/>
          <w:color w:val="000000"/>
          <w:kern w:val="0"/>
          <w:sz w:val="32"/>
          <w:szCs w:val="32"/>
        </w:rPr>
        <w:t xml:space="preserve"> to move completely over to "Offers and Orders" and moves on from old PNRs and EMDs, airlines are stuck in an awkward halfway house. In the meantime, frontline teams must manage the disconnect by relying on manual workarounds </w:t>
      </w:r>
      <w:proofErr w:type="gramStart"/>
      <w:r>
        <w:rPr>
          <w:rFonts w:ascii="Century Gothic" w:hAnsi="Century Gothic" w:cs="Century Gothic"/>
          <w:color w:val="000000"/>
          <w:kern w:val="0"/>
          <w:sz w:val="32"/>
          <w:szCs w:val="32"/>
        </w:rPr>
        <w:t>in order to</w:t>
      </w:r>
      <w:proofErr w:type="gramEnd"/>
      <w:r>
        <w:rPr>
          <w:rFonts w:ascii="Century Gothic" w:hAnsi="Century Gothic" w:cs="Century Gothic"/>
          <w:color w:val="000000"/>
          <w:kern w:val="0"/>
          <w:sz w:val="32"/>
          <w:szCs w:val="32"/>
        </w:rPr>
        <w:t xml:space="preserve"> assist customers effectively.</w:t>
      </w:r>
    </w:p>
    <w:p w14:paraId="5D8339C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0E4D5268"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4.4 Coalition Loyalty and Financial Resilience</w:t>
      </w:r>
    </w:p>
    <w:p w14:paraId="475F069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238CD28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The third main from the responses is how the airline’s FFP has changed. As covered in previous chapters, UK and European hindered compared to US carriers because of strict caps on card interchange fees, which makes co-</w:t>
      </w:r>
      <w:r>
        <w:rPr>
          <w:rFonts w:ascii="Century Gothic" w:hAnsi="Century Gothic" w:cs="Century Gothic"/>
          <w:color w:val="000000"/>
          <w:kern w:val="0"/>
          <w:sz w:val="32"/>
          <w:szCs w:val="32"/>
        </w:rPr>
        <w:lastRenderedPageBreak/>
        <w:t>branded credit cards far less lucrative for a European airline. The questionnaire responses show that Virgin Atlantic has tried to get around these rules by moving away from a traditional frequent flyer scheme and pushing into a broader loyalty model tied up with Virgin Red.</w:t>
      </w:r>
    </w:p>
    <w:p w14:paraId="6C747E2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4C19399F" w14:textId="77777777" w:rsidR="00C85C76" w:rsidRDefault="00C85C76" w:rsidP="00830967">
      <w:pPr>
        <w:autoSpaceDE w:val="0"/>
        <w:autoSpaceDN w:val="0"/>
        <w:adjustRightInd w:val="0"/>
        <w:spacing w:after="0" w:line="480" w:lineRule="auto"/>
        <w:ind w:firstLine="720"/>
        <w:rPr>
          <w:rFonts w:ascii="Century Gothic" w:hAnsi="Century Gothic" w:cs="Century Gothic"/>
          <w:color w:val="000000"/>
          <w:kern w:val="0"/>
          <w:sz w:val="32"/>
          <w:szCs w:val="32"/>
        </w:rPr>
      </w:pPr>
      <w:r>
        <w:rPr>
          <w:rFonts w:ascii="Century Gothic" w:hAnsi="Century Gothic" w:cs="Century Gothic"/>
          <w:color w:val="000000"/>
          <w:kern w:val="0"/>
          <w:sz w:val="32"/>
          <w:szCs w:val="32"/>
        </w:rPr>
        <w:t>From a commercial viewpoint, the managers view the change as a vital way to keep cash rolling into the business. By letting people earn points through everyday spending rather than just flying, the airline creates a handy financial safety net. One of the managers explained the business logic behind it:</w:t>
      </w:r>
    </w:p>
    <w:p w14:paraId="7EC4684B" w14:textId="77777777" w:rsidR="00C85C76" w:rsidRDefault="00C85C76" w:rsidP="00C85C76">
      <w:pPr>
        <w:autoSpaceDE w:val="0"/>
        <w:autoSpaceDN w:val="0"/>
        <w:adjustRightInd w:val="0"/>
        <w:spacing w:after="0" w:line="480" w:lineRule="auto"/>
        <w:rPr>
          <w:rFonts w:ascii="Century Gothic" w:hAnsi="Century Gothic" w:cs="Century Gothic"/>
          <w:i/>
          <w:iCs/>
          <w:color w:val="000000"/>
          <w:kern w:val="0"/>
        </w:rPr>
      </w:pPr>
    </w:p>
    <w:p w14:paraId="4FE1F5C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rPr>
      </w:pPr>
      <w:r>
        <w:rPr>
          <w:rFonts w:ascii="Century Gothic" w:hAnsi="Century Gothic" w:cs="Century Gothic"/>
          <w:i/>
          <w:iCs/>
          <w:color w:val="000000"/>
          <w:kern w:val="0"/>
        </w:rPr>
        <w:t xml:space="preserve">"The reality of the European regulatory environment means we cannot rely solely on financial services for loyalty revenue in the way US carriers do. Integrating Flying Club with Virgin Red allows us to drive B2B cash flows through everyday terrestrial retail—supermarkets, energy providers, and high-street partners. During cyclical downturns or demand shocks, our passengers </w:t>
      </w:r>
      <w:r>
        <w:rPr>
          <w:rFonts w:ascii="Century Gothic" w:hAnsi="Century Gothic" w:cs="Century Gothic"/>
          <w:i/>
          <w:iCs/>
          <w:color w:val="000000"/>
          <w:kern w:val="0"/>
        </w:rPr>
        <w:lastRenderedPageBreak/>
        <w:t>might stop flying, but they do not stop interacting with the Virgin Points currency. That continuous engagement generates vital, pre-funded liquidity that insulates the core aviation operation." (Commercial Manager B)</w:t>
      </w:r>
    </w:p>
    <w:p w14:paraId="2A9F197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34A14805" w14:textId="77777777" w:rsidR="00C85C76" w:rsidRDefault="00C85C76" w:rsidP="00830967">
      <w:pPr>
        <w:autoSpaceDE w:val="0"/>
        <w:autoSpaceDN w:val="0"/>
        <w:adjustRightInd w:val="0"/>
        <w:spacing w:after="0" w:line="480" w:lineRule="auto"/>
        <w:ind w:firstLine="720"/>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This analysis fits well with the ideas discussed in Chapter 2 about how loyalty partnerships help bring in steady cash from outside sources. But the questionnaire feedback also highlights a real downside: while this setup is great for bringing in continuous revenue for the business, it ends up complicating how valuable and exclusive the points </w:t>
      </w:r>
      <w:proofErr w:type="gramStart"/>
      <w:r>
        <w:rPr>
          <w:rFonts w:ascii="Century Gothic" w:hAnsi="Century Gothic" w:cs="Century Gothic"/>
          <w:color w:val="000000"/>
          <w:kern w:val="0"/>
          <w:sz w:val="32"/>
          <w:szCs w:val="32"/>
        </w:rPr>
        <w:t>actually feel</w:t>
      </w:r>
      <w:proofErr w:type="gramEnd"/>
      <w:r>
        <w:rPr>
          <w:rFonts w:ascii="Century Gothic" w:hAnsi="Century Gothic" w:cs="Century Gothic"/>
          <w:color w:val="000000"/>
          <w:kern w:val="0"/>
          <w:sz w:val="32"/>
          <w:szCs w:val="32"/>
        </w:rPr>
        <w:t xml:space="preserve"> to the customer, particularly around dynamic pricing (</w:t>
      </w:r>
      <w:proofErr w:type="spellStart"/>
      <w:r>
        <w:rPr>
          <w:rFonts w:ascii="Century Gothic" w:hAnsi="Century Gothic" w:cs="Century Gothic"/>
          <w:color w:val="000000"/>
          <w:kern w:val="0"/>
          <w:sz w:val="32"/>
          <w:szCs w:val="32"/>
        </w:rPr>
        <w:t>Stourm</w:t>
      </w:r>
      <w:proofErr w:type="spellEnd"/>
      <w:r>
        <w:rPr>
          <w:rFonts w:ascii="Century Gothic" w:hAnsi="Century Gothic" w:cs="Century Gothic"/>
          <w:color w:val="000000"/>
          <w:kern w:val="0"/>
          <w:sz w:val="32"/>
          <w:szCs w:val="32"/>
        </w:rPr>
        <w:t xml:space="preserve"> and Bradlow, 2022).</w:t>
      </w:r>
    </w:p>
    <w:p w14:paraId="2A54B47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0E9C3278" w14:textId="77777777" w:rsidR="00C85C76" w:rsidRDefault="00C85C76" w:rsidP="00830967">
      <w:pPr>
        <w:autoSpaceDE w:val="0"/>
        <w:autoSpaceDN w:val="0"/>
        <w:adjustRightInd w:val="0"/>
        <w:spacing w:after="0" w:line="480" w:lineRule="auto"/>
        <w:ind w:firstLine="720"/>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The responses show that making points easier to earn needs to be balanced against how easy they are to spend—especially now that reward flight pricing is dynamic. The consumer participant pointed out how annoying it has become to </w:t>
      </w:r>
      <w:proofErr w:type="gramStart"/>
      <w:r>
        <w:rPr>
          <w:rFonts w:ascii="Century Gothic" w:hAnsi="Century Gothic" w:cs="Century Gothic"/>
          <w:color w:val="000000"/>
          <w:kern w:val="0"/>
          <w:sz w:val="32"/>
          <w:szCs w:val="32"/>
        </w:rPr>
        <w:t>actually book</w:t>
      </w:r>
      <w:proofErr w:type="gramEnd"/>
      <w:r>
        <w:rPr>
          <w:rFonts w:ascii="Century Gothic" w:hAnsi="Century Gothic" w:cs="Century Gothic"/>
          <w:color w:val="000000"/>
          <w:kern w:val="0"/>
          <w:sz w:val="32"/>
          <w:szCs w:val="32"/>
        </w:rPr>
        <w:t xml:space="preserve"> a reward seat:</w:t>
      </w:r>
    </w:p>
    <w:p w14:paraId="1948D50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1A212032" w14:textId="77777777" w:rsidR="00C85C76" w:rsidRDefault="00C85C76" w:rsidP="00C85C76">
      <w:pPr>
        <w:autoSpaceDE w:val="0"/>
        <w:autoSpaceDN w:val="0"/>
        <w:adjustRightInd w:val="0"/>
        <w:spacing w:after="0" w:line="480" w:lineRule="auto"/>
        <w:rPr>
          <w:rFonts w:ascii="Century Gothic" w:hAnsi="Century Gothic" w:cs="Century Gothic"/>
          <w:i/>
          <w:iCs/>
          <w:color w:val="000000"/>
          <w:kern w:val="0"/>
        </w:rPr>
      </w:pPr>
      <w:r>
        <w:rPr>
          <w:rFonts w:ascii="Century Gothic" w:hAnsi="Century Gothic" w:cs="Century Gothic"/>
          <w:i/>
          <w:iCs/>
          <w:color w:val="000000"/>
          <w:kern w:val="0"/>
        </w:rPr>
        <w:lastRenderedPageBreak/>
        <w:t xml:space="preserve">"It has certainly become easier to earn Virgin Points on my daily shopping, which is a positive. But when I </w:t>
      </w:r>
      <w:proofErr w:type="gramStart"/>
      <w:r>
        <w:rPr>
          <w:rFonts w:ascii="Century Gothic" w:hAnsi="Century Gothic" w:cs="Century Gothic"/>
          <w:i/>
          <w:iCs/>
          <w:color w:val="000000"/>
          <w:kern w:val="0"/>
        </w:rPr>
        <w:t>actually try</w:t>
      </w:r>
      <w:proofErr w:type="gramEnd"/>
      <w:r>
        <w:rPr>
          <w:rFonts w:ascii="Century Gothic" w:hAnsi="Century Gothic" w:cs="Century Gothic"/>
          <w:i/>
          <w:iCs/>
          <w:color w:val="000000"/>
          <w:kern w:val="0"/>
        </w:rPr>
        <w:t xml:space="preserve"> to redeem those points for a premium cabin flight, the dynamic pricing often inflates the cost to a level that feels unattainable. It creates a sense of inflation; the currency is easier to acquire, but it feels like its actual purchasing power for the core product—flying—has been diluted." (Consumer Participant)</w:t>
      </w:r>
    </w:p>
    <w:p w14:paraId="03DCEFE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4DEC9E00" w14:textId="77777777" w:rsidR="00C85C76" w:rsidRDefault="00C85C76" w:rsidP="00830967">
      <w:pPr>
        <w:autoSpaceDE w:val="0"/>
        <w:autoSpaceDN w:val="0"/>
        <w:adjustRightInd w:val="0"/>
        <w:spacing w:after="0" w:line="480" w:lineRule="auto"/>
        <w:ind w:firstLine="720"/>
        <w:rPr>
          <w:rFonts w:ascii="Century Gothic" w:hAnsi="Century Gothic" w:cs="Century Gothic"/>
          <w:color w:val="000000"/>
          <w:kern w:val="0"/>
          <w:sz w:val="32"/>
          <w:szCs w:val="32"/>
        </w:rPr>
      </w:pPr>
      <w:r>
        <w:rPr>
          <w:rFonts w:ascii="Century Gothic" w:hAnsi="Century Gothic" w:cs="Century Gothic"/>
          <w:color w:val="000000"/>
          <w:kern w:val="0"/>
          <w:sz w:val="32"/>
          <w:szCs w:val="32"/>
        </w:rPr>
        <w:t>Frontline customer service staff backed this up, mentioning that juggling both the traditional Flying Club expectations and the newer setup often leads to difficult calls:</w:t>
      </w:r>
    </w:p>
    <w:p w14:paraId="0976567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1BE005B9" w14:textId="77777777" w:rsidR="00C85C76" w:rsidRDefault="00C85C76" w:rsidP="00C85C76">
      <w:pPr>
        <w:autoSpaceDE w:val="0"/>
        <w:autoSpaceDN w:val="0"/>
        <w:adjustRightInd w:val="0"/>
        <w:spacing w:after="0" w:line="480" w:lineRule="auto"/>
        <w:rPr>
          <w:rFonts w:ascii="Century Gothic" w:hAnsi="Century Gothic" w:cs="Century Gothic"/>
          <w:i/>
          <w:iCs/>
          <w:color w:val="000000"/>
          <w:kern w:val="0"/>
        </w:rPr>
      </w:pPr>
      <w:r>
        <w:rPr>
          <w:rFonts w:ascii="Century Gothic" w:hAnsi="Century Gothic" w:cs="Century Gothic"/>
          <w:i/>
          <w:iCs/>
          <w:color w:val="000000"/>
          <w:kern w:val="0"/>
        </w:rPr>
        <w:t>"We field a significant volume of calls from long-tenure Flying Club members who feel the programme has shifted its focus away from rewarding loyal flyers toward mass-market retail accumulation. Explaining why a reward seat that historically cost 50,000 points is now dynamically priced at double that amount requires careful handling. We have to defend a commercial pricing algorithm while trying to preserve the member’s emotional connection to the brand." (Frontline Participant B)</w:t>
      </w:r>
    </w:p>
    <w:p w14:paraId="7C4852A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7D981008" w14:textId="77777777" w:rsidR="00C85C76" w:rsidRDefault="00C85C76" w:rsidP="00830967">
      <w:pPr>
        <w:autoSpaceDE w:val="0"/>
        <w:autoSpaceDN w:val="0"/>
        <w:adjustRightInd w:val="0"/>
        <w:spacing w:after="0" w:line="480" w:lineRule="auto"/>
        <w:ind w:firstLine="720"/>
        <w:rPr>
          <w:rFonts w:ascii="Century Gothic" w:hAnsi="Century Gothic" w:cs="Century Gothic"/>
          <w:color w:val="000000"/>
          <w:kern w:val="0"/>
          <w:sz w:val="32"/>
          <w:szCs w:val="32"/>
        </w:rPr>
      </w:pPr>
      <w:r>
        <w:rPr>
          <w:rFonts w:ascii="Century Gothic" w:hAnsi="Century Gothic" w:cs="Century Gothic"/>
          <w:color w:val="000000"/>
          <w:kern w:val="0"/>
          <w:sz w:val="32"/>
          <w:szCs w:val="32"/>
        </w:rPr>
        <w:lastRenderedPageBreak/>
        <w:t xml:space="preserve">Looking at the overall picture, while moving the FFP to Virgin Red </w:t>
      </w:r>
      <w:proofErr w:type="gramStart"/>
      <w:r>
        <w:rPr>
          <w:rFonts w:ascii="Century Gothic" w:hAnsi="Century Gothic" w:cs="Century Gothic"/>
          <w:color w:val="000000"/>
          <w:kern w:val="0"/>
          <w:sz w:val="32"/>
          <w:szCs w:val="32"/>
        </w:rPr>
        <w:t>definitely makes</w:t>
      </w:r>
      <w:proofErr w:type="gramEnd"/>
      <w:r>
        <w:rPr>
          <w:rFonts w:ascii="Century Gothic" w:hAnsi="Century Gothic" w:cs="Century Gothic"/>
          <w:color w:val="000000"/>
          <w:kern w:val="0"/>
          <w:sz w:val="32"/>
          <w:szCs w:val="32"/>
        </w:rPr>
        <w:t xml:space="preserve"> sense financially for the airline, keeping it running smoothly over the long term is a bit of a balancing act. The business needs to keep pushing points out through high-street partners to bring in steady commercial cash, but at the same time, it can't let flight redemptions get so expensive that regular flyers feel the currency has become practically worthless or that reward flights are unobtainable. </w:t>
      </w:r>
    </w:p>
    <w:p w14:paraId="4DABFFA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5A7BE0DE"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5D6E82C2"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4.5 Frontline and Consumer Perceptions of the High-Speed Rail Benchmark</w:t>
      </w:r>
    </w:p>
    <w:p w14:paraId="739B2BB5"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22E8B9C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European high-speed rail as a good example of how to tier products properly. Unlike the unbundling seen in airline “Economy Light/Basic Economy" tickets, operators like Eurostar tend to add value as you move up the tiers, </w:t>
      </w:r>
      <w:r>
        <w:rPr>
          <w:rFonts w:ascii="Century Gothic" w:hAnsi="Century Gothic" w:cs="Century Gothic"/>
          <w:color w:val="000000"/>
          <w:kern w:val="0"/>
          <w:sz w:val="32"/>
          <w:szCs w:val="32"/>
        </w:rPr>
        <w:lastRenderedPageBreak/>
        <w:t>meaning even their cheapest ticket still comes with a lot and feels fair. The questionnaire tested this comparison against the real-world experiences of both the passenger and the staff running the airline day to day.</w:t>
      </w:r>
    </w:p>
    <w:p w14:paraId="552C379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1C5DD1C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xml:space="preserve">The consumer participant’s answers </w:t>
      </w:r>
      <w:proofErr w:type="gramStart"/>
      <w:r>
        <w:rPr>
          <w:rFonts w:ascii="Century Gothic" w:hAnsi="Century Gothic" w:cs="Century Gothic"/>
          <w:color w:val="000000"/>
          <w:kern w:val="0"/>
          <w:sz w:val="32"/>
          <w:szCs w:val="32"/>
        </w:rPr>
        <w:t>definitely backed</w:t>
      </w:r>
      <w:proofErr w:type="gramEnd"/>
      <w:r>
        <w:rPr>
          <w:rFonts w:ascii="Century Gothic" w:hAnsi="Century Gothic" w:cs="Century Gothic"/>
          <w:color w:val="000000"/>
          <w:kern w:val="0"/>
          <w:sz w:val="32"/>
          <w:szCs w:val="32"/>
        </w:rPr>
        <w:t xml:space="preserve"> up the idea that rail gets the customer experience right by avoiding that feeling of being penalised. When comparing airline unbundling to rail travel, they pointed out the huge difference in what feels included from day one:</w:t>
      </w:r>
    </w:p>
    <w:p w14:paraId="5645C065" w14:textId="77777777" w:rsidR="00C85C76" w:rsidRDefault="00C85C76" w:rsidP="00C85C76">
      <w:pPr>
        <w:autoSpaceDE w:val="0"/>
        <w:autoSpaceDN w:val="0"/>
        <w:adjustRightInd w:val="0"/>
        <w:spacing w:after="0" w:line="480" w:lineRule="auto"/>
        <w:rPr>
          <w:rFonts w:ascii="Century Gothic" w:hAnsi="Century Gothic" w:cs="Century Gothic"/>
          <w:i/>
          <w:iCs/>
          <w:color w:val="000000"/>
          <w:kern w:val="0"/>
        </w:rPr>
      </w:pPr>
    </w:p>
    <w:p w14:paraId="4CF2BB42" w14:textId="77777777" w:rsidR="00C85C76" w:rsidRDefault="00C85C76" w:rsidP="00C85C76">
      <w:pPr>
        <w:autoSpaceDE w:val="0"/>
        <w:autoSpaceDN w:val="0"/>
        <w:adjustRightInd w:val="0"/>
        <w:spacing w:after="0" w:line="480" w:lineRule="auto"/>
        <w:rPr>
          <w:rFonts w:ascii="Century Gothic" w:hAnsi="Century Gothic" w:cs="Century Gothic"/>
          <w:i/>
          <w:iCs/>
          <w:color w:val="000000"/>
          <w:kern w:val="0"/>
        </w:rPr>
      </w:pPr>
      <w:r>
        <w:rPr>
          <w:rFonts w:ascii="Century Gothic" w:hAnsi="Century Gothic" w:cs="Century Gothic"/>
          <w:i/>
          <w:iCs/>
          <w:color w:val="000000"/>
          <w:kern w:val="0"/>
        </w:rPr>
        <w:t>"If I book a standard class ticket on Eurostar, I know I’m getting the most basic seat, but I am still treated like a passenger, not a logistical problem. I can bring my suitcase, and I know I have a guaranteed space. When I book a 'Light' fare on a premium airline, the constant warnings about what I am not allowed to do, or the fees I will face at the gate if my cabin bag is a centimetre too wide, make the experience feel inherently hostile before I even reach the airport. The rail model feels like a genuine choice; the airline model feels like a trap." (Consumer Participant)</w:t>
      </w:r>
    </w:p>
    <w:p w14:paraId="1706A14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7465F383"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This highlights how rail manages to protect its brand image simply by making the booking feel fair. The customer feels like they're choosing an option rather than being trapped in to paying extra charges.</w:t>
      </w:r>
    </w:p>
    <w:p w14:paraId="063BD6D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However, when I put this rail comparison to the frontline staff, they had a more practical take on it. They understood why passengers prefer the rail setup, but they were also quick to point out physical and operational reasons why airlines simply can’t copy it outright.</w:t>
      </w:r>
    </w:p>
    <w:p w14:paraId="3A30CD5F" w14:textId="77777777" w:rsidR="00C85C76" w:rsidRDefault="00C85C76" w:rsidP="00413619">
      <w:pPr>
        <w:autoSpaceDE w:val="0"/>
        <w:autoSpaceDN w:val="0"/>
        <w:adjustRightInd w:val="0"/>
        <w:spacing w:after="0" w:line="480" w:lineRule="auto"/>
        <w:ind w:firstLine="720"/>
        <w:rPr>
          <w:rFonts w:ascii="Century Gothic" w:hAnsi="Century Gothic" w:cs="Century Gothic"/>
          <w:color w:val="000000"/>
          <w:kern w:val="0"/>
          <w:sz w:val="32"/>
          <w:szCs w:val="32"/>
        </w:rPr>
      </w:pPr>
      <w:r>
        <w:rPr>
          <w:rFonts w:ascii="Century Gothic" w:hAnsi="Century Gothic" w:cs="Century Gothic"/>
          <w:color w:val="000000"/>
          <w:kern w:val="0"/>
          <w:sz w:val="32"/>
          <w:szCs w:val="32"/>
        </w:rPr>
        <w:t>Frontline staff pointed out that strict rules on baggage and boarding aren't just there to squeeze extra fees out of people—they are essential for getting flights away on time and keeping weight limits in check:</w:t>
      </w:r>
    </w:p>
    <w:p w14:paraId="7D4398C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25497113" w14:textId="77777777" w:rsidR="00C85C76" w:rsidRDefault="00C85C76" w:rsidP="00C85C76">
      <w:pPr>
        <w:autoSpaceDE w:val="0"/>
        <w:autoSpaceDN w:val="0"/>
        <w:adjustRightInd w:val="0"/>
        <w:spacing w:after="0" w:line="480" w:lineRule="auto"/>
        <w:rPr>
          <w:rFonts w:ascii="Century Gothic" w:hAnsi="Century Gothic" w:cs="Century Gothic"/>
          <w:i/>
          <w:iCs/>
          <w:color w:val="000000"/>
          <w:kern w:val="0"/>
        </w:rPr>
      </w:pPr>
      <w:r>
        <w:rPr>
          <w:rFonts w:ascii="Century Gothic" w:hAnsi="Century Gothic" w:cs="Century Gothic"/>
          <w:i/>
          <w:iCs/>
          <w:color w:val="000000"/>
          <w:kern w:val="0"/>
        </w:rPr>
        <w:t xml:space="preserve">"It is easy to look at the rail industry and say airlines should just include a 20kg bag in the baseline fare to keep customers happy. But a train doesn't burn exponentially more fuel to carry that weight, and a train manager isn't racing against a 60-minute turnaround window at a congested gate. When </w:t>
      </w:r>
      <w:r>
        <w:rPr>
          <w:rFonts w:ascii="Century Gothic" w:hAnsi="Century Gothic" w:cs="Century Gothic"/>
          <w:i/>
          <w:iCs/>
          <w:color w:val="000000"/>
          <w:kern w:val="0"/>
        </w:rPr>
        <w:lastRenderedPageBreak/>
        <w:t>passengers bring oversized bags on a Light fare because they feel 'entitled' to it on a premium carrier, we run out of overhead locker space. That leads to gate-checking, which delays the outbound slot, which costs the airline a fortune. We enforce the unbundled rules strictly because the physical reality of a Boeing or Airbus demands it, not just because the commercial team wants the ancillary fee." (Frontline Participant A)</w:t>
      </w:r>
    </w:p>
    <w:p w14:paraId="0D83AAC4"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0F3AD1E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This frontline view clearly shows where the rail comparison </w:t>
      </w:r>
      <w:proofErr w:type="gramStart"/>
      <w:r>
        <w:rPr>
          <w:rFonts w:ascii="Century Gothic" w:hAnsi="Century Gothic" w:cs="Century Gothic"/>
          <w:color w:val="000000"/>
          <w:kern w:val="0"/>
          <w:sz w:val="32"/>
          <w:szCs w:val="32"/>
        </w:rPr>
        <w:t>falls down</w:t>
      </w:r>
      <w:proofErr w:type="gramEnd"/>
      <w:r>
        <w:rPr>
          <w:rFonts w:ascii="Century Gothic" w:hAnsi="Century Gothic" w:cs="Century Gothic"/>
          <w:color w:val="000000"/>
          <w:kern w:val="0"/>
          <w:sz w:val="32"/>
          <w:szCs w:val="32"/>
        </w:rPr>
        <w:t>. The commercial managers agreed, pointing out that while airlines could do a lot better with how they present these fares, the generous baggage approach of trains just doesn't work with the basic economics and physics of flying long-haul.</w:t>
      </w:r>
    </w:p>
    <w:p w14:paraId="5E938DA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5DAEB18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Putting these views together points to a clear middle ground. If airlines want to sell basic fares without damaging their premium name, they need to present them better. They need to make the fares feel less restrictive and make the optional extras genuinely feel </w:t>
      </w:r>
      <w:r>
        <w:rPr>
          <w:rFonts w:ascii="Century Gothic" w:hAnsi="Century Gothic" w:cs="Century Gothic"/>
          <w:color w:val="000000"/>
          <w:kern w:val="0"/>
          <w:sz w:val="32"/>
          <w:szCs w:val="32"/>
        </w:rPr>
        <w:lastRenderedPageBreak/>
        <w:t>worth it. Frontline staff need the tools to manage objections effectively.</w:t>
      </w:r>
    </w:p>
    <w:p w14:paraId="11DDBB8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026ED21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707EF68D"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4.6 Conclusion</w:t>
      </w:r>
    </w:p>
    <w:p w14:paraId="51C56786"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1D216A74"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The responses in this chapter highlight a real clash at the core of the premium airline business. While commercial strategy and academic literature often make the move towards modern airline retailing sound like a straightforward rollout of new tech and clever pricing, the reality on the ground is not as clearcut. Comparing feedback from commercial managers, frontline ticketing and contact centre teams, and a passenger, the responses show the difficulties that occur when management ambition meet day-to-day operations.</w:t>
      </w:r>
    </w:p>
    <w:p w14:paraId="25FDB7C3"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First, pushing for extra ancillary revenue through unbundled “Economy Light/Basic Economy” fares is </w:t>
      </w:r>
      <w:r>
        <w:rPr>
          <w:rFonts w:ascii="Century Gothic" w:hAnsi="Century Gothic" w:cs="Century Gothic"/>
          <w:color w:val="000000"/>
          <w:kern w:val="0"/>
          <w:sz w:val="32"/>
          <w:szCs w:val="32"/>
        </w:rPr>
        <w:lastRenderedPageBreak/>
        <w:t xml:space="preserve">clearly something airlines </w:t>
      </w:r>
      <w:proofErr w:type="gramStart"/>
      <w:r>
        <w:rPr>
          <w:rFonts w:ascii="Century Gothic" w:hAnsi="Century Gothic" w:cs="Century Gothic"/>
          <w:color w:val="000000"/>
          <w:kern w:val="0"/>
          <w:sz w:val="32"/>
          <w:szCs w:val="32"/>
        </w:rPr>
        <w:t>have to</w:t>
      </w:r>
      <w:proofErr w:type="gramEnd"/>
      <w:r>
        <w:rPr>
          <w:rFonts w:ascii="Century Gothic" w:hAnsi="Century Gothic" w:cs="Century Gothic"/>
          <w:color w:val="000000"/>
          <w:kern w:val="0"/>
          <w:sz w:val="32"/>
          <w:szCs w:val="32"/>
        </w:rPr>
        <w:t xml:space="preserve"> do just to appear on search engines. But doing so pushes the limits of what customers expect from a premium brand. This is exasperated when customers book cheaper deals through TA websites.</w:t>
      </w:r>
    </w:p>
    <w:p w14:paraId="117F829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Legacy technology has a negative impact. Overall, management, and frontline staff are behind the push to modernise offerings through NDC and dynamic pricing to get, but trying to implement these modern web offers into older PSS causes massive headaches when customers call up to service their bookings. Manual workarounds just to rebook to a different date drags out handling times and severely impacts the premium experience customers paid for.</w:t>
      </w:r>
    </w:p>
    <w:p w14:paraId="63C1B105"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Thirdly, shifting the loyalty scheme towards a Virgin Red coalition model </w:t>
      </w:r>
      <w:proofErr w:type="gramStart"/>
      <w:r>
        <w:rPr>
          <w:rFonts w:ascii="Century Gothic" w:hAnsi="Century Gothic" w:cs="Century Gothic"/>
          <w:color w:val="000000"/>
          <w:kern w:val="0"/>
          <w:sz w:val="32"/>
          <w:szCs w:val="32"/>
        </w:rPr>
        <w:t>definitely helps</w:t>
      </w:r>
      <w:proofErr w:type="gramEnd"/>
      <w:r>
        <w:rPr>
          <w:rFonts w:ascii="Century Gothic" w:hAnsi="Century Gothic" w:cs="Century Gothic"/>
          <w:color w:val="000000"/>
          <w:kern w:val="0"/>
          <w:sz w:val="32"/>
          <w:szCs w:val="32"/>
        </w:rPr>
        <w:t xml:space="preserve"> address the strict EU limits on credit card interchange fees, bringing in dependable cash through everyday high-street retail </w:t>
      </w:r>
      <w:r>
        <w:rPr>
          <w:rFonts w:ascii="Century Gothic" w:hAnsi="Century Gothic" w:cs="Century Gothic"/>
          <w:color w:val="000000"/>
          <w:kern w:val="0"/>
          <w:sz w:val="32"/>
          <w:szCs w:val="32"/>
        </w:rPr>
        <w:lastRenderedPageBreak/>
        <w:t xml:space="preserve">partners. But the responses </w:t>
      </w:r>
      <w:proofErr w:type="gramStart"/>
      <w:r>
        <w:rPr>
          <w:rFonts w:ascii="Century Gothic" w:hAnsi="Century Gothic" w:cs="Century Gothic"/>
          <w:color w:val="000000"/>
          <w:kern w:val="0"/>
          <w:sz w:val="32"/>
          <w:szCs w:val="32"/>
        </w:rPr>
        <w:t>shows</w:t>
      </w:r>
      <w:proofErr w:type="gramEnd"/>
      <w:r>
        <w:rPr>
          <w:rFonts w:ascii="Century Gothic" w:hAnsi="Century Gothic" w:cs="Century Gothic"/>
          <w:color w:val="000000"/>
          <w:kern w:val="0"/>
          <w:sz w:val="32"/>
          <w:szCs w:val="32"/>
        </w:rPr>
        <w:t xml:space="preserve"> there’s a catch: if dynamic pricing keeps pushing the points cost of reward flights up, regular flyers lose trust and the points start to feel a bit devalued. Lastly, looking at high-speed rail proved that while airlines could certainly learn from rail's clearer, more customer friendly way of presenting fares, they are still stuck with the physical weight, cabin space, and turnaround pressures of flying an aircraft.</w:t>
      </w:r>
    </w:p>
    <w:p w14:paraId="18B108A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Taken together, these findings show that modern airlines are heavily shaped by day-to-day operational realities and customer reactions. Chapter 5 will now link these findings back to the existing literature, discussing what all this means in practice and answering the main research questions.</w:t>
      </w:r>
    </w:p>
    <w:p w14:paraId="5AA691F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433B7924"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5BA338F0"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Chapter 5: Discussion</w:t>
      </w:r>
    </w:p>
    <w:p w14:paraId="1FCC2761"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 5.1 Introduction</w:t>
      </w:r>
    </w:p>
    <w:p w14:paraId="760F860F"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lastRenderedPageBreak/>
        <w:t> </w:t>
      </w:r>
    </w:p>
    <w:p w14:paraId="4C96D4C6"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The main aim of this dissertation is to critically evaluate the strategic evolution of ancillary revenue, loyalty models, and retailing technology within the European premium long-haul aviation sector, using Virgin Atlantic as the primary contextual lens. Chapter 2 established that the academic literature surrounding these commercial transitions has historically been dominated by two distinct subjects: the unbundling strategies pioneered by ultra-low-cost carriers like Ryanair and EasyJet, and the highly lucrative, unregulated credit-card loyalty models of North American legacy airlines. As a result, a gap existed regarding how European FSCs navigate this transition, particularly given their exposure to stringent regulatory constraints and the necessity of preserving CBBE.</w:t>
      </w:r>
    </w:p>
    <w:p w14:paraId="516D9C5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r>
        <w:rPr>
          <w:rFonts w:ascii="Century Gothic" w:hAnsi="Century Gothic" w:cs="Century Gothic"/>
          <w:color w:val="000000"/>
          <w:kern w:val="0"/>
          <w:sz w:val="32"/>
          <w:szCs w:val="32"/>
        </w:rPr>
        <w:tab/>
        <w:t xml:space="preserve">Chapter 4 addressed this gap by capturing the qualitative, operational realities of the staff responsible for </w:t>
      </w:r>
      <w:r>
        <w:rPr>
          <w:rFonts w:ascii="Century Gothic" w:hAnsi="Century Gothic" w:cs="Century Gothic"/>
          <w:color w:val="000000"/>
          <w:kern w:val="0"/>
          <w:sz w:val="32"/>
          <w:szCs w:val="32"/>
        </w:rPr>
        <w:lastRenderedPageBreak/>
        <w:t>designing, executing, and servicing these commercial strategies. The findings revealed that tension between the top-down mandate for revenue maximisation and digital transformation frequently collides with ground-level technological constraints and the expectations of the premium consumer.</w:t>
      </w:r>
    </w:p>
    <w:p w14:paraId="7513FC2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r>
        <w:rPr>
          <w:rFonts w:ascii="Century Gothic" w:hAnsi="Century Gothic" w:cs="Century Gothic"/>
          <w:color w:val="000000"/>
          <w:kern w:val="0"/>
          <w:sz w:val="32"/>
          <w:szCs w:val="32"/>
        </w:rPr>
        <w:tab/>
        <w:t>This chapter aims to connect the findings with the theoretical frameworks established in the literature review to directly answer the study's central research questions. By placing the lived experiences of frontline staff, commercial management, and consumers into analysis against established academic theory, the discussion constructs a multidimensional evaluation of modern airline retailing.</w:t>
      </w:r>
    </w:p>
    <w:p w14:paraId="1ABDBE7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7C3F86CE"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The chapter is structured to unpack the three dominant themes identified in the findings. S</w:t>
      </w:r>
    </w:p>
    <w:p w14:paraId="2C238EE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6B2E6712"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lastRenderedPageBreak/>
        <w:t>5.2 The Basic Economy Dilemma and Customer-Based Brand Equity</w:t>
      </w:r>
    </w:p>
    <w:p w14:paraId="6E3502F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r>
        <w:rPr>
          <w:rFonts w:ascii="Century Gothic" w:hAnsi="Century Gothic" w:cs="Century Gothic"/>
          <w:color w:val="000000"/>
          <w:kern w:val="0"/>
          <w:sz w:val="32"/>
          <w:szCs w:val="32"/>
        </w:rPr>
        <w:tab/>
        <w:t>The thematic analysis of the responses presented in Chapter 4 highlight a fundamental issue in the implementation of premium airline retailing: the strategic mechanisms designed to maximise short-term ancillary revenue frequently operate in direct opposition to the psychological constructs that sustain long-term CBBE.</w:t>
      </w:r>
    </w:p>
    <w:p w14:paraId="02C0A1DE"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r>
        <w:rPr>
          <w:rFonts w:ascii="Century Gothic" w:hAnsi="Century Gothic" w:cs="Century Gothic"/>
          <w:color w:val="000000"/>
          <w:kern w:val="0"/>
          <w:sz w:val="32"/>
          <w:szCs w:val="32"/>
        </w:rPr>
        <w:tab/>
        <w:t xml:space="preserve">From a strategic perspective, the qualitative data confirms that commercial management views the unbundled “Economy Light" or "Basic Economy" fare primarily as an algorithmic necessity. Driven by the transparency of digital metasearch engines, European legacy carriers are compelled to offer a stripped-back baseline product to maintain visual parity with low-cost carriers. The management responses strongly align with the behavioural economic principles of the compromise </w:t>
      </w:r>
      <w:proofErr w:type="spellStart"/>
      <w:r>
        <w:rPr>
          <w:rFonts w:ascii="Century Gothic" w:hAnsi="Century Gothic" w:cs="Century Gothic"/>
          <w:color w:val="000000"/>
          <w:kern w:val="0"/>
          <w:sz w:val="32"/>
          <w:szCs w:val="32"/>
        </w:rPr>
        <w:t>effe</w:t>
      </w:r>
      <w:proofErr w:type="spellEnd"/>
      <w:r>
        <w:rPr>
          <w:rFonts w:ascii="Century Gothic" w:hAnsi="Century Gothic" w:cs="Century Gothic"/>
          <w:color w:val="000000"/>
          <w:kern w:val="0"/>
          <w:sz w:val="32"/>
          <w:szCs w:val="32"/>
        </w:rPr>
        <w:t xml:space="preserve"> (Simonson,1989) (Dhar and Simonson, 2003). Within </w:t>
      </w:r>
      <w:r>
        <w:rPr>
          <w:rFonts w:ascii="Century Gothic" w:hAnsi="Century Gothic" w:cs="Century Gothic"/>
          <w:color w:val="000000"/>
          <w:kern w:val="0"/>
          <w:sz w:val="32"/>
          <w:szCs w:val="32"/>
        </w:rPr>
        <w:lastRenderedPageBreak/>
        <w:t xml:space="preserve">this framework, the highly restrictive “Light” fare functions as a commercial anchor; its purpose is less about widespread adoption and more about manipulating choice architecture to make the subsequent upsell to a "Classic" inclusive tier appear inherently reasonable and </w:t>
      </w:r>
      <w:proofErr w:type="gramStart"/>
      <w:r>
        <w:rPr>
          <w:rFonts w:ascii="Century Gothic" w:hAnsi="Century Gothic" w:cs="Century Gothic"/>
          <w:color w:val="000000"/>
          <w:kern w:val="0"/>
          <w:sz w:val="32"/>
          <w:szCs w:val="32"/>
        </w:rPr>
        <w:t>value-driven</w:t>
      </w:r>
      <w:proofErr w:type="gramEnd"/>
      <w:r>
        <w:rPr>
          <w:rFonts w:ascii="Century Gothic" w:hAnsi="Century Gothic" w:cs="Century Gothic"/>
          <w:color w:val="000000"/>
          <w:kern w:val="0"/>
          <w:sz w:val="32"/>
          <w:szCs w:val="32"/>
        </w:rPr>
        <w:t>.</w:t>
      </w:r>
    </w:p>
    <w:p w14:paraId="330E822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r>
        <w:rPr>
          <w:rFonts w:ascii="Century Gothic" w:hAnsi="Century Gothic" w:cs="Century Gothic"/>
          <w:color w:val="000000"/>
          <w:kern w:val="0"/>
          <w:sz w:val="32"/>
          <w:szCs w:val="32"/>
        </w:rPr>
        <w:tab/>
        <w:t xml:space="preserve">However, when subjected to the lived reality of the consumer, the findings mirror the warnings present in the literature regarding perceived price fairness (Bolton, </w:t>
      </w:r>
      <w:proofErr w:type="spellStart"/>
      <w:r>
        <w:rPr>
          <w:rFonts w:ascii="Century Gothic" w:hAnsi="Century Gothic" w:cs="Century Gothic"/>
          <w:color w:val="000000"/>
          <w:kern w:val="0"/>
          <w:sz w:val="32"/>
          <w:szCs w:val="32"/>
        </w:rPr>
        <w:t>Warlop</w:t>
      </w:r>
      <w:proofErr w:type="spellEnd"/>
      <w:r>
        <w:rPr>
          <w:rFonts w:ascii="Century Gothic" w:hAnsi="Century Gothic" w:cs="Century Gothic"/>
          <w:color w:val="000000"/>
          <w:kern w:val="0"/>
          <w:sz w:val="32"/>
          <w:szCs w:val="32"/>
        </w:rPr>
        <w:t xml:space="preserve"> and Alba, 2003). For a premium carrier, brand equity is deeply entrenched in associations of reliability, hospitality, and frictionless travel (Aaker, 1991; Keller, 1993). The consumer response illustrates that when an airline partitions prices by removing things that used to be included, passengers do not evaluate the transaction as a neutral, voluntary upsell. Instead, they evaluate the new unbundled fare against their historical perception of a premium brand. The resulting psychological reactance </w:t>
      </w:r>
      <w:r>
        <w:rPr>
          <w:rFonts w:ascii="Century Gothic" w:hAnsi="Century Gothic" w:cs="Century Gothic"/>
          <w:color w:val="000000"/>
          <w:kern w:val="0"/>
          <w:sz w:val="32"/>
          <w:szCs w:val="32"/>
        </w:rPr>
        <w:lastRenderedPageBreak/>
        <w:t>transforms the purchasing experience from an aspirational hospitality interaction into a defensive commercial negotiation, corroborating the findings of Sarker, Mohd-Any and Kausar (2020).</w:t>
      </w:r>
    </w:p>
    <w:p w14:paraId="4EA447CC"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This dissertation adds to the existing literature by highlighting where this psychological friction is ultimately absorbed. The academic discourse has historically evaluated price partitioning through the lenses of consumer choice modelling or algorithmic yield generation. Yet, the primary data from frontline participants reveals that the true cost of unbundling is that customers can become disillusioned with the brand while frontline staff bear the brunt of customer frustration.</w:t>
      </w:r>
    </w:p>
    <w:p w14:paraId="0F6332F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r>
        <w:rPr>
          <w:rFonts w:ascii="Century Gothic" w:hAnsi="Century Gothic" w:cs="Century Gothic"/>
          <w:color w:val="000000"/>
          <w:kern w:val="0"/>
          <w:sz w:val="32"/>
          <w:szCs w:val="32"/>
        </w:rPr>
        <w:tab/>
        <w:t xml:space="preserve">Fare transparency is often diluted further when passengers book through third-party TAs, passengers frequently arrive at the customer centre or the airport terminal unaware of the restrictions of their ticket. The findings demonstrate that frontline staff absorb the hostility </w:t>
      </w:r>
      <w:r>
        <w:rPr>
          <w:rFonts w:ascii="Century Gothic" w:hAnsi="Century Gothic" w:cs="Century Gothic"/>
          <w:color w:val="000000"/>
          <w:kern w:val="0"/>
          <w:sz w:val="32"/>
          <w:szCs w:val="32"/>
        </w:rPr>
        <w:lastRenderedPageBreak/>
        <w:t>generated by this channel discrepancy. The commercial success of the unbundled fare does carry a hidden, difficult to quantify downside: increased contact-centre handle times, emotional toll for ground staff and passengers, and the danger of interactions with passengers becoming hostile through no fault of the staff. It shows that there is a fine line when it comes to getting unbundling fares right.</w:t>
      </w:r>
    </w:p>
    <w:p w14:paraId="6BA780C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14052C7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25878B9A"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5.3 Technological Dissonance and the NDC Transition</w:t>
      </w:r>
    </w:p>
    <w:p w14:paraId="5C03598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078E6DEF"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The findings detail the operational friction between modern retail algorithms and legacy distribution architecture provide an important contribution to the academic </w:t>
      </w:r>
      <w:proofErr w:type="gramStart"/>
      <w:r>
        <w:rPr>
          <w:rFonts w:ascii="Century Gothic" w:hAnsi="Century Gothic" w:cs="Century Gothic"/>
          <w:color w:val="000000"/>
          <w:kern w:val="0"/>
          <w:sz w:val="32"/>
          <w:szCs w:val="32"/>
        </w:rPr>
        <w:t>literature  on</w:t>
      </w:r>
      <w:proofErr w:type="gramEnd"/>
      <w:r>
        <w:rPr>
          <w:rFonts w:ascii="Century Gothic" w:hAnsi="Century Gothic" w:cs="Century Gothic"/>
          <w:color w:val="000000"/>
          <w:kern w:val="0"/>
          <w:sz w:val="32"/>
          <w:szCs w:val="32"/>
        </w:rPr>
        <w:t xml:space="preserve"> airline technology. While the literature correctly identifies the New Distribution Capability (NDC) as the catalyst for modern airline </w:t>
      </w:r>
      <w:r>
        <w:rPr>
          <w:rFonts w:ascii="Century Gothic" w:hAnsi="Century Gothic" w:cs="Century Gothic"/>
          <w:color w:val="000000"/>
          <w:kern w:val="0"/>
          <w:sz w:val="32"/>
          <w:szCs w:val="32"/>
        </w:rPr>
        <w:lastRenderedPageBreak/>
        <w:t xml:space="preserve">merchandising (IATA, 2021; Vinod, 2026), the primary data exposes a profound paradox: the airline industry has successfully modernised the </w:t>
      </w:r>
      <w:r>
        <w:rPr>
          <w:rFonts w:ascii="Century Gothic" w:hAnsi="Century Gothic" w:cs="Century Gothic"/>
          <w:i/>
          <w:iCs/>
          <w:color w:val="000000"/>
          <w:kern w:val="0"/>
          <w:sz w:val="32"/>
          <w:szCs w:val="32"/>
        </w:rPr>
        <w:t>shopping</w:t>
      </w:r>
      <w:r>
        <w:rPr>
          <w:rFonts w:ascii="Century Gothic" w:hAnsi="Century Gothic" w:cs="Century Gothic"/>
          <w:color w:val="000000"/>
          <w:kern w:val="0"/>
          <w:sz w:val="32"/>
          <w:szCs w:val="32"/>
        </w:rPr>
        <w:t xml:space="preserve"> and </w:t>
      </w:r>
      <w:r>
        <w:rPr>
          <w:rFonts w:ascii="Century Gothic" w:hAnsi="Century Gothic" w:cs="Century Gothic"/>
          <w:i/>
          <w:iCs/>
          <w:color w:val="000000"/>
          <w:kern w:val="0"/>
          <w:sz w:val="32"/>
          <w:szCs w:val="32"/>
        </w:rPr>
        <w:t>booking</w:t>
      </w:r>
      <w:r>
        <w:rPr>
          <w:rFonts w:ascii="Century Gothic" w:hAnsi="Century Gothic" w:cs="Century Gothic"/>
          <w:color w:val="000000"/>
          <w:kern w:val="0"/>
          <w:sz w:val="32"/>
          <w:szCs w:val="32"/>
        </w:rPr>
        <w:t xml:space="preserve"> phases of the consumer journey, but has thus far, failed to modernise the post-booking </w:t>
      </w:r>
      <w:r>
        <w:rPr>
          <w:rFonts w:ascii="Century Gothic" w:hAnsi="Century Gothic" w:cs="Century Gothic"/>
          <w:i/>
          <w:iCs/>
          <w:color w:val="000000"/>
          <w:kern w:val="0"/>
          <w:sz w:val="32"/>
          <w:szCs w:val="32"/>
        </w:rPr>
        <w:t>servicing</w:t>
      </w:r>
      <w:r>
        <w:rPr>
          <w:rFonts w:ascii="Century Gothic" w:hAnsi="Century Gothic" w:cs="Century Gothic"/>
          <w:color w:val="000000"/>
          <w:kern w:val="0"/>
          <w:sz w:val="32"/>
          <w:szCs w:val="32"/>
        </w:rPr>
        <w:t xml:space="preserve"> infrastructure.</w:t>
      </w:r>
    </w:p>
    <w:p w14:paraId="7E1C0DC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r>
        <w:rPr>
          <w:rFonts w:ascii="Century Gothic" w:hAnsi="Century Gothic" w:cs="Century Gothic"/>
          <w:color w:val="000000"/>
          <w:kern w:val="0"/>
          <w:sz w:val="32"/>
          <w:szCs w:val="32"/>
        </w:rPr>
        <w:tab/>
        <w:t>The strategic rationale for NDC implementation, as highlighted by the commercial management participants, aligns perfectly with the existing literature. To escape the commoditisation enforced by the legacy EDIFACT standard, European network carriers must shift to more modern systems so that dynamically priced bundles that go directly to the consumer can be successfully managed post booking.</w:t>
      </w:r>
    </w:p>
    <w:p w14:paraId="1549DF6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r>
        <w:rPr>
          <w:rFonts w:ascii="Century Gothic" w:hAnsi="Century Gothic" w:cs="Century Gothic"/>
          <w:color w:val="000000"/>
          <w:kern w:val="0"/>
          <w:sz w:val="32"/>
          <w:szCs w:val="32"/>
        </w:rPr>
        <w:tab/>
        <w:t xml:space="preserve">However, the data from frontline operational staff highlights a critical systemic vulnerability that theoretical financial models consistently overlook. The empirical findings provide validate Westermann’s (2021) assertion that integrating modern, continuous dynamic pricing into </w:t>
      </w:r>
      <w:r>
        <w:rPr>
          <w:rFonts w:ascii="Century Gothic" w:hAnsi="Century Gothic" w:cs="Century Gothic"/>
          <w:color w:val="000000"/>
          <w:kern w:val="0"/>
          <w:sz w:val="32"/>
          <w:szCs w:val="32"/>
        </w:rPr>
        <w:lastRenderedPageBreak/>
        <w:t>legacy PSS creates a big disconnection between strategy and reality. The data demonstrates that while an airline can generate a highly complex, dynamically priced ancillary bundle via a digital storefront, the moment that booking requires modification the modern retail architecture collapses back into the rigid constraints of PNRs and EMDs.</w:t>
      </w:r>
    </w:p>
    <w:p w14:paraId="4E0CC80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r>
        <w:rPr>
          <w:rFonts w:ascii="Century Gothic" w:hAnsi="Century Gothic" w:cs="Century Gothic"/>
          <w:color w:val="000000"/>
          <w:kern w:val="0"/>
          <w:sz w:val="32"/>
          <w:szCs w:val="32"/>
        </w:rPr>
        <w:tab/>
        <w:t xml:space="preserve">This study reveals that the burden of bridging this technological gap falls entirely upon the airline's customer centre and operational staff. The frontline responses detail the daily necessity of navigating disparate systems—forcing synchronisation between modern graphical overlays like AXIS and traditional </w:t>
      </w:r>
      <w:proofErr w:type="spellStart"/>
      <w:r>
        <w:rPr>
          <w:rFonts w:ascii="Century Gothic" w:hAnsi="Century Gothic" w:cs="Century Gothic"/>
          <w:color w:val="000000"/>
          <w:kern w:val="0"/>
          <w:sz w:val="32"/>
          <w:szCs w:val="32"/>
        </w:rPr>
        <w:t>VSTerm</w:t>
      </w:r>
      <w:proofErr w:type="spellEnd"/>
      <w:r>
        <w:rPr>
          <w:rFonts w:ascii="Century Gothic" w:hAnsi="Century Gothic" w:cs="Century Gothic"/>
          <w:color w:val="000000"/>
          <w:kern w:val="0"/>
          <w:sz w:val="32"/>
          <w:szCs w:val="32"/>
        </w:rPr>
        <w:t xml:space="preserve"> or Amadeus command-line interfaces—merely to reissue a ticket. This finding is highly significant. It demonstrates that the strategic ambition of commercial revenue management has fundamentally outpaced the underlying technological infrastructure required to support it.</w:t>
      </w:r>
    </w:p>
    <w:p w14:paraId="5B62FC0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lastRenderedPageBreak/>
        <w:t> </w:t>
      </w:r>
      <w:r>
        <w:rPr>
          <w:rFonts w:ascii="Century Gothic" w:hAnsi="Century Gothic" w:cs="Century Gothic"/>
          <w:color w:val="000000"/>
          <w:kern w:val="0"/>
          <w:sz w:val="32"/>
          <w:szCs w:val="32"/>
        </w:rPr>
        <w:tab/>
        <w:t>This means that technology clash also ends up eroding the brand. Customers expect a premium airline to resolve queries quickly and smoothly when they want to change a date or when IROPs happen.  When frontline staff are having to use manual workarounds just to get around system errors, the customer could easily perceive this as the staff member doesn’t know what they are doing, and this can impact brand perception negatively. Until the industry properly shifts over to "Offers and Orders" and moves away from PNRs and e-tickets, premium carriers are stuck in a messy transition. For now, any extra revenue generated through dynamic pricing is being offset to an extent by longer call times, extra costs, and added pressure on the customer centre.</w:t>
      </w:r>
    </w:p>
    <w:p w14:paraId="7F6A7A1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7A861B74" w14:textId="77777777" w:rsidR="0080199B" w:rsidRDefault="0080199B"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51AD715B" w14:textId="77777777" w:rsidR="0080199B" w:rsidRDefault="0080199B"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60385E0F" w14:textId="77777777" w:rsidR="0080199B" w:rsidRDefault="0080199B"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32D9D7DC" w14:textId="05E29344"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lastRenderedPageBreak/>
        <w:t>5.4 Coalition Loyalty as a Financial Cushion</w:t>
      </w:r>
    </w:p>
    <w:p w14:paraId="6A3AEC2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7182C78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This dissertation has covered in depth how European airlines have had to adapt to a different set of financial rules compared to the US. American airlines make huge amounts of money from co-branded credit cards, practically turning their loyalty schemes into banks. European airlines like Virgin Atlantic can't do that because of the EU cap on consumer credit card interchange fees at 0.3% (European Commission, 2019).</w:t>
      </w:r>
    </w:p>
    <w:p w14:paraId="412E19D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The responses show that moving Virgin Atlantic Flying Club into the broader Virgin Red setup was a direct answer to this cap. By letting people earn points on day-to-day spending like supermarket shops or energy bills, the airline </w:t>
      </w:r>
      <w:proofErr w:type="gramStart"/>
      <w:r>
        <w:rPr>
          <w:rFonts w:ascii="Century Gothic" w:hAnsi="Century Gothic" w:cs="Century Gothic"/>
          <w:color w:val="000000"/>
          <w:kern w:val="0"/>
          <w:sz w:val="32"/>
          <w:szCs w:val="32"/>
        </w:rPr>
        <w:t>opens up</w:t>
      </w:r>
      <w:proofErr w:type="gramEnd"/>
      <w:r>
        <w:rPr>
          <w:rFonts w:ascii="Century Gothic" w:hAnsi="Century Gothic" w:cs="Century Gothic"/>
          <w:color w:val="000000"/>
          <w:kern w:val="0"/>
          <w:sz w:val="32"/>
          <w:szCs w:val="32"/>
        </w:rPr>
        <w:t xml:space="preserve"> steady B2B cash streams from non-travel partners. This gives the business a reliable financial safety net when flying demand drops.</w:t>
      </w:r>
    </w:p>
    <w:p w14:paraId="20A2B1D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lastRenderedPageBreak/>
        <w:tab/>
        <w:t xml:space="preserve">The catch is that this creates a real conflict with customer trust and the brand. When the points cost of a reward seat shoots up, loyal passengers to Virgin feel their hard-earned points have been quietly devalued. This ties straight into Agency Theory: members save up points expecting them to keep a steady, predictable value, and when dynamic pricing moves the goalposts, that trust is broken (Chun, 2020). Just like with unbundled fares, it is the frontline staff that </w:t>
      </w:r>
      <w:proofErr w:type="gramStart"/>
      <w:r>
        <w:rPr>
          <w:rFonts w:ascii="Century Gothic" w:hAnsi="Century Gothic" w:cs="Century Gothic"/>
          <w:color w:val="000000"/>
          <w:kern w:val="0"/>
          <w:sz w:val="32"/>
          <w:szCs w:val="32"/>
        </w:rPr>
        <w:t>have to</w:t>
      </w:r>
      <w:proofErr w:type="gramEnd"/>
      <w:r>
        <w:rPr>
          <w:rFonts w:ascii="Century Gothic" w:hAnsi="Century Gothic" w:cs="Century Gothic"/>
          <w:color w:val="000000"/>
          <w:kern w:val="0"/>
          <w:sz w:val="32"/>
          <w:szCs w:val="32"/>
        </w:rPr>
        <w:t xml:space="preserve"> deal with the brunt of the customer’s frustrations. They </w:t>
      </w:r>
      <w:proofErr w:type="gramStart"/>
      <w:r>
        <w:rPr>
          <w:rFonts w:ascii="Century Gothic" w:hAnsi="Century Gothic" w:cs="Century Gothic"/>
          <w:color w:val="000000"/>
          <w:kern w:val="0"/>
          <w:sz w:val="32"/>
          <w:szCs w:val="32"/>
        </w:rPr>
        <w:t>have to</w:t>
      </w:r>
      <w:proofErr w:type="gramEnd"/>
      <w:r>
        <w:rPr>
          <w:rFonts w:ascii="Century Gothic" w:hAnsi="Century Gothic" w:cs="Century Gothic"/>
          <w:color w:val="000000"/>
          <w:kern w:val="0"/>
          <w:sz w:val="32"/>
          <w:szCs w:val="32"/>
        </w:rPr>
        <w:t xml:space="preserve"> defend the algorithmic pricing while simultaneously trying to minimise brand damage.</w:t>
      </w:r>
    </w:p>
    <w:p w14:paraId="1C8E33D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r>
      <w:proofErr w:type="gramStart"/>
      <w:r>
        <w:rPr>
          <w:rFonts w:ascii="Century Gothic" w:hAnsi="Century Gothic" w:cs="Century Gothic"/>
          <w:color w:val="000000"/>
          <w:kern w:val="0"/>
          <w:sz w:val="32"/>
          <w:szCs w:val="32"/>
        </w:rPr>
        <w:t>So</w:t>
      </w:r>
      <w:proofErr w:type="gramEnd"/>
      <w:r>
        <w:rPr>
          <w:rFonts w:ascii="Century Gothic" w:hAnsi="Century Gothic" w:cs="Century Gothic"/>
          <w:color w:val="000000"/>
          <w:kern w:val="0"/>
          <w:sz w:val="32"/>
          <w:szCs w:val="32"/>
        </w:rPr>
        <w:t xml:space="preserve"> while Virgin Red does generate a significant revenue stream while also giving customers the option of using their points outside of Virgin Atlantic, it's a tricky balancing act. If the airline lets dynamic pricing push reward flights too high, it risks alienating frequent flyers that love the brand.</w:t>
      </w:r>
    </w:p>
    <w:p w14:paraId="1666AC2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7BE7E641"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5.5 High-Speed Rail as a Comparison</w:t>
      </w:r>
    </w:p>
    <w:p w14:paraId="0A793664"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672847A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Comparing airlines to high-speed rail like Eurostar gave a useful example of how to tier products in a more customer friendly way. The feedback from the passenger confirmed that rail avoids that feeling of being caught out. Even on a basic rail ticket, you can still bring </w:t>
      </w:r>
      <w:proofErr w:type="gramStart"/>
      <w:r>
        <w:rPr>
          <w:rFonts w:ascii="Century Gothic" w:hAnsi="Century Gothic" w:cs="Century Gothic"/>
          <w:color w:val="000000"/>
          <w:kern w:val="0"/>
          <w:sz w:val="32"/>
          <w:szCs w:val="32"/>
        </w:rPr>
        <w:t>luggage</w:t>
      </w:r>
      <w:proofErr w:type="gramEnd"/>
      <w:r>
        <w:rPr>
          <w:rFonts w:ascii="Century Gothic" w:hAnsi="Century Gothic" w:cs="Century Gothic"/>
          <w:color w:val="000000"/>
          <w:kern w:val="0"/>
          <w:sz w:val="32"/>
          <w:szCs w:val="32"/>
        </w:rPr>
        <w:t xml:space="preserve"> and you don't face the possibility of being charged more at check in. As such paying more for a better ticket feels like an actual upgrade rather than an escape from a stripped-back product.</w:t>
      </w:r>
    </w:p>
    <w:p w14:paraId="0F51F41E"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However, the frontline feedback showed why airlines can't simply copy the train model. The strict baggage rules on a basic airline ticket aren't just an excuse to charge extra; they are basic operational necessities. A train doesn't burn significantly more fuel carrying heavier luggage, and a train manager isn't racing a strict 60-</w:t>
      </w:r>
      <w:r>
        <w:rPr>
          <w:rFonts w:ascii="Century Gothic" w:hAnsi="Century Gothic" w:cs="Century Gothic"/>
          <w:color w:val="000000"/>
          <w:kern w:val="0"/>
          <w:sz w:val="32"/>
          <w:szCs w:val="32"/>
        </w:rPr>
        <w:lastRenderedPageBreak/>
        <w:t xml:space="preserve">minute turnaround. On an aircraft, every extra kilo </w:t>
      </w:r>
      <w:proofErr w:type="gramStart"/>
      <w:r>
        <w:rPr>
          <w:rFonts w:ascii="Century Gothic" w:hAnsi="Century Gothic" w:cs="Century Gothic"/>
          <w:color w:val="000000"/>
          <w:kern w:val="0"/>
          <w:sz w:val="32"/>
          <w:szCs w:val="32"/>
        </w:rPr>
        <w:t>hits</w:t>
      </w:r>
      <w:proofErr w:type="gramEnd"/>
      <w:r>
        <w:rPr>
          <w:rFonts w:ascii="Century Gothic" w:hAnsi="Century Gothic" w:cs="Century Gothic"/>
          <w:color w:val="000000"/>
          <w:kern w:val="0"/>
          <w:sz w:val="32"/>
          <w:szCs w:val="32"/>
        </w:rPr>
        <w:t xml:space="preserve"> fuel burn, weight-and-balance limits, and turnaround times. When too many passengers bring oversized cabin bags lockers fill up, bags </w:t>
      </w:r>
      <w:proofErr w:type="gramStart"/>
      <w:r>
        <w:rPr>
          <w:rFonts w:ascii="Century Gothic" w:hAnsi="Century Gothic" w:cs="Century Gothic"/>
          <w:color w:val="000000"/>
          <w:kern w:val="0"/>
          <w:sz w:val="32"/>
          <w:szCs w:val="32"/>
        </w:rPr>
        <w:t>have to</w:t>
      </w:r>
      <w:proofErr w:type="gramEnd"/>
      <w:r>
        <w:rPr>
          <w:rFonts w:ascii="Century Gothic" w:hAnsi="Century Gothic" w:cs="Century Gothic"/>
          <w:color w:val="000000"/>
          <w:kern w:val="0"/>
          <w:sz w:val="32"/>
          <w:szCs w:val="32"/>
        </w:rPr>
        <w:t xml:space="preserve"> be checked at the gate, and the flight misses its slot. Missing a slot can have severe financial consequences for an airline. </w:t>
      </w:r>
    </w:p>
    <w:p w14:paraId="560ECE95"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This means airlines can’t copy the generous luggage rules of rail, but they can copy how rail presents the choices to the customer. Instead of making the basic fare feel restrictive, the booking flow could frame it as a clear starting point where upgrading offers real, positive benefits. Not everyone would pay extra to use the lounge, but having that as an option on a “light” fare could </w:t>
      </w:r>
      <w:proofErr w:type="gramStart"/>
      <w:r>
        <w:rPr>
          <w:rFonts w:ascii="Century Gothic" w:hAnsi="Century Gothic" w:cs="Century Gothic"/>
          <w:color w:val="000000"/>
          <w:kern w:val="0"/>
          <w:sz w:val="32"/>
          <w:szCs w:val="32"/>
        </w:rPr>
        <w:t>definitely generate</w:t>
      </w:r>
      <w:proofErr w:type="gramEnd"/>
      <w:r>
        <w:rPr>
          <w:rFonts w:ascii="Century Gothic" w:hAnsi="Century Gothic" w:cs="Century Gothic"/>
          <w:color w:val="000000"/>
          <w:kern w:val="0"/>
          <w:sz w:val="32"/>
          <w:szCs w:val="32"/>
        </w:rPr>
        <w:t xml:space="preserve"> more of a premium brand feeling.</w:t>
      </w:r>
    </w:p>
    <w:p w14:paraId="1118000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7C2AC66F" w14:textId="77777777" w:rsidR="0080199B" w:rsidRDefault="0080199B"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27A01230" w14:textId="77777777" w:rsidR="0080199B" w:rsidRDefault="0080199B"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1F4DA0C2" w14:textId="77777777" w:rsidR="0080199B" w:rsidRDefault="0080199B"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60C4B99E" w14:textId="42E67CC6"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lastRenderedPageBreak/>
        <w:t>5.6 Conclusion</w:t>
      </w:r>
    </w:p>
    <w:p w14:paraId="7611D66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255A74B3"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Pulling the findings together with the literature shows that modern airline retailing is far more complex than just offering low prices on a screen. Unbundled fares get the airline seen on price-comparison sites, NDC aims to make the booking process easier and more modern, and Virgin Red brings in steady non-flying cash around interchange caps. Strategically, all three moves make sense on paper.</w:t>
      </w:r>
    </w:p>
    <w:p w14:paraId="1A3BBDB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The key conclusion from the research, though, is that the strain of these commercial strategies is being pushed almost entirely onto frontline customer centre and ticketing staff. Frontline agents are the ones dealing with angry calls over unbundled baggage rules, they are using clunky workarounds to fix bookings in older PSS systems during disruption, and customer service teams are left explaining why dynamic reward seats have suddenly jumped in points.</w:t>
      </w:r>
    </w:p>
    <w:p w14:paraId="00E8C76F"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lastRenderedPageBreak/>
        <w:tab/>
        <w:t>Ultimately, airline pricing and retail ambitions have outpaced the IT systems needed to service them and what customers expect from a premium carrier. Airlines can't keep relying on frontline staff to patch over these cracks through manual effort which is why IATA is pushing towards modernisation, but this will take time.</w:t>
      </w:r>
    </w:p>
    <w:p w14:paraId="7D378D2A"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 </w:t>
      </w:r>
    </w:p>
    <w:p w14:paraId="572F8C07"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 </w:t>
      </w:r>
    </w:p>
    <w:p w14:paraId="561BD304"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Chapter 6: Conclusions and Recommendations</w:t>
      </w:r>
    </w:p>
    <w:p w14:paraId="047B1E91"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6.1 Introduction</w:t>
      </w:r>
    </w:p>
    <w:p w14:paraId="0250598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5F88248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This study set out to look at how commercial strategies are evolving in European premium long-haul aviation, focusing on the shift towards modern retail models, unbundled ancillaries, and coalition loyalty schemes like Virgin Red. By stepping away from pure financial theory and looking at what </w:t>
      </w:r>
      <w:proofErr w:type="gramStart"/>
      <w:r>
        <w:rPr>
          <w:rFonts w:ascii="Century Gothic" w:hAnsi="Century Gothic" w:cs="Century Gothic"/>
          <w:color w:val="000000"/>
          <w:kern w:val="0"/>
          <w:sz w:val="32"/>
          <w:szCs w:val="32"/>
        </w:rPr>
        <w:t>actually happens</w:t>
      </w:r>
      <w:proofErr w:type="gramEnd"/>
      <w:r>
        <w:rPr>
          <w:rFonts w:ascii="Century Gothic" w:hAnsi="Century Gothic" w:cs="Century Gothic"/>
          <w:color w:val="000000"/>
          <w:kern w:val="0"/>
          <w:sz w:val="32"/>
          <w:szCs w:val="32"/>
        </w:rPr>
        <w:t xml:space="preserve"> day to day at an airline, the aim was to understand the </w:t>
      </w:r>
      <w:r>
        <w:rPr>
          <w:rFonts w:ascii="Century Gothic" w:hAnsi="Century Gothic" w:cs="Century Gothic"/>
          <w:color w:val="000000"/>
          <w:kern w:val="0"/>
          <w:sz w:val="32"/>
          <w:szCs w:val="32"/>
        </w:rPr>
        <w:lastRenderedPageBreak/>
        <w:t>real issues caused when corporate revenue targets clash with older IT systems and customer expectations of a premium brand.</w:t>
      </w:r>
    </w:p>
    <w:p w14:paraId="04EE32A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This project brought out the practical realities of making these strategies work through qualitative data gathering via a questionnaire. While modern retail tools and NDC are commercially necessary, their rollout is clearly causing issues. The mismatch between dynamic offers and older booking systems creates major servicing bottlenecks daily during normal booking servicing and during disruption. The frustration caused by </w:t>
      </w:r>
      <w:proofErr w:type="spellStart"/>
      <w:r>
        <w:rPr>
          <w:rFonts w:ascii="Century Gothic" w:hAnsi="Century Gothic" w:cs="Century Gothic"/>
          <w:color w:val="000000"/>
          <w:kern w:val="0"/>
          <w:sz w:val="32"/>
          <w:szCs w:val="32"/>
        </w:rPr>
        <w:t>unbunded</w:t>
      </w:r>
      <w:proofErr w:type="spellEnd"/>
      <w:r>
        <w:rPr>
          <w:rFonts w:ascii="Century Gothic" w:hAnsi="Century Gothic" w:cs="Century Gothic"/>
          <w:color w:val="000000"/>
          <w:kern w:val="0"/>
          <w:sz w:val="32"/>
          <w:szCs w:val="32"/>
        </w:rPr>
        <w:t xml:space="preserve"> fares ends up falling directly on frontline customer teams, turning what should be a welcoming service interaction into an awkward conversation about fees.</w:t>
      </w:r>
    </w:p>
    <w:p w14:paraId="4118FDF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This final chapter brings those points together. Section 6.2 summarises the core conclusions answering the main research questions, Section 6.3 offers practical recommendations for airline management, Section 6.4 </w:t>
      </w:r>
      <w:r>
        <w:rPr>
          <w:rFonts w:ascii="Century Gothic" w:hAnsi="Century Gothic" w:cs="Century Gothic"/>
          <w:color w:val="000000"/>
          <w:kern w:val="0"/>
          <w:sz w:val="32"/>
          <w:szCs w:val="32"/>
        </w:rPr>
        <w:lastRenderedPageBreak/>
        <w:t>covers the honest limitations of the research, and Section 6.5 outlines useful areas for future study.</w:t>
      </w:r>
    </w:p>
    <w:p w14:paraId="76D3BE66"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343C4ECF"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6.2 Overarching Conclusions</w:t>
      </w:r>
    </w:p>
    <w:p w14:paraId="08A8298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364CE63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The three main conclusions of the research are:</w:t>
      </w:r>
    </w:p>
    <w:p w14:paraId="3F28E09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1E3BD59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1. Unbundled fares are commercially essential, but the operational cost is hidden. Stripping back baseline tickets to an "Economy Light/Basic </w:t>
      </w:r>
      <w:proofErr w:type="gramStart"/>
      <w:r>
        <w:rPr>
          <w:rFonts w:ascii="Century Gothic" w:hAnsi="Century Gothic" w:cs="Century Gothic"/>
          <w:color w:val="000000"/>
          <w:kern w:val="0"/>
          <w:sz w:val="32"/>
          <w:szCs w:val="32"/>
        </w:rPr>
        <w:t>Economy“ fare</w:t>
      </w:r>
      <w:proofErr w:type="gramEnd"/>
      <w:r>
        <w:rPr>
          <w:rFonts w:ascii="Century Gothic" w:hAnsi="Century Gothic" w:cs="Century Gothic"/>
          <w:color w:val="000000"/>
          <w:kern w:val="0"/>
          <w:sz w:val="32"/>
          <w:szCs w:val="32"/>
        </w:rPr>
        <w:t xml:space="preserve"> is one of the main ways a full-service carrier can feature near the top of flight comparison sites. However, doing so can negatively impact what customers expect from a premium airline. The cost of this setup isn't </w:t>
      </w:r>
      <w:proofErr w:type="gramStart"/>
      <w:r>
        <w:rPr>
          <w:rFonts w:ascii="Century Gothic" w:hAnsi="Century Gothic" w:cs="Century Gothic"/>
          <w:color w:val="000000"/>
          <w:kern w:val="0"/>
          <w:sz w:val="32"/>
          <w:szCs w:val="32"/>
        </w:rPr>
        <w:t>avoided,</w:t>
      </w:r>
      <w:proofErr w:type="gramEnd"/>
      <w:r>
        <w:rPr>
          <w:rFonts w:ascii="Century Gothic" w:hAnsi="Century Gothic" w:cs="Century Gothic"/>
          <w:color w:val="000000"/>
          <w:kern w:val="0"/>
          <w:sz w:val="32"/>
          <w:szCs w:val="32"/>
        </w:rPr>
        <w:t xml:space="preserve"> it is simply passed down to frontline teams.</w:t>
      </w:r>
    </w:p>
    <w:p w14:paraId="787D130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715027A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2. Retail ambitions have outpaced the systems needed to service them. The shift away from old EDIFACT </w:t>
      </w:r>
      <w:r>
        <w:rPr>
          <w:rFonts w:ascii="Century Gothic" w:hAnsi="Century Gothic" w:cs="Century Gothic"/>
          <w:color w:val="000000"/>
          <w:kern w:val="0"/>
          <w:sz w:val="32"/>
          <w:szCs w:val="32"/>
        </w:rPr>
        <w:lastRenderedPageBreak/>
        <w:t xml:space="preserve">messaging to NDC is promising and it works fine when selling a ticket online, but it falls down the moment a booking needs altering. Trying to service a PNR within older PSS (PSS and having to jump between booking systems, reward systems, </w:t>
      </w:r>
      <w:proofErr w:type="spellStart"/>
      <w:r>
        <w:rPr>
          <w:rFonts w:ascii="Century Gothic" w:hAnsi="Century Gothic" w:cs="Century Gothic"/>
          <w:color w:val="000000"/>
          <w:kern w:val="0"/>
          <w:sz w:val="32"/>
          <w:szCs w:val="32"/>
        </w:rPr>
        <w:t>TBox</w:t>
      </w:r>
      <w:proofErr w:type="spellEnd"/>
      <w:r>
        <w:rPr>
          <w:rFonts w:ascii="Century Gothic" w:hAnsi="Century Gothic" w:cs="Century Gothic"/>
          <w:color w:val="000000"/>
          <w:kern w:val="0"/>
          <w:sz w:val="32"/>
          <w:szCs w:val="32"/>
        </w:rPr>
        <w:t xml:space="preserve">, </w:t>
      </w:r>
      <w:proofErr w:type="spellStart"/>
      <w:r>
        <w:rPr>
          <w:rFonts w:ascii="Century Gothic" w:hAnsi="Century Gothic" w:cs="Century Gothic"/>
          <w:color w:val="000000"/>
          <w:kern w:val="0"/>
          <w:sz w:val="32"/>
          <w:szCs w:val="32"/>
        </w:rPr>
        <w:t>VSTerm</w:t>
      </w:r>
      <w:proofErr w:type="spellEnd"/>
      <w:r>
        <w:rPr>
          <w:rFonts w:ascii="Century Gothic" w:hAnsi="Century Gothic" w:cs="Century Gothic"/>
          <w:color w:val="000000"/>
          <w:kern w:val="0"/>
          <w:sz w:val="32"/>
          <w:szCs w:val="32"/>
        </w:rPr>
        <w:t xml:space="preserve"> and AXIS, causes frequent errors during the rebooking process, as well as during flight cancellations and bad weather. As a result, the airline's premium service relies heavily on frontline staff spending time on manual workarounds just to service bookings or provide a price for a date change.</w:t>
      </w:r>
    </w:p>
    <w:p w14:paraId="2B0EBE70"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6FAC9724"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3. Coalition loyalty generates valuable income, but risks turning off regular flyers. Partnering with Virgin Red helps work around strict EU credit card interchange caps by letting people earn points on everyday high-street spending. While this brings in reliable B2B cash flow, using dynamic pricing to manage the points liability means reward seats often require far more points than they used </w:t>
      </w:r>
      <w:r>
        <w:rPr>
          <w:rFonts w:ascii="Century Gothic" w:hAnsi="Century Gothic" w:cs="Century Gothic"/>
          <w:color w:val="000000"/>
          <w:kern w:val="0"/>
          <w:sz w:val="32"/>
          <w:szCs w:val="32"/>
        </w:rPr>
        <w:lastRenderedPageBreak/>
        <w:t xml:space="preserve">to. This breaks the unspoken trust regular flyers have in the programme, and frontline agents are left trying to defend changing algorithms to disappointed members. </w:t>
      </w:r>
    </w:p>
    <w:p w14:paraId="4B2F32B8" w14:textId="4590612F"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Ultimately, premium airlines</w:t>
      </w:r>
      <w:r w:rsidR="00F63D68">
        <w:rPr>
          <w:rFonts w:ascii="Century Gothic" w:hAnsi="Century Gothic" w:cs="Century Gothic"/>
          <w:color w:val="000000"/>
          <w:kern w:val="0"/>
          <w:sz w:val="32"/>
          <w:szCs w:val="32"/>
        </w:rPr>
        <w:t xml:space="preserve"> like Virgin Atlantic,</w:t>
      </w:r>
      <w:r>
        <w:rPr>
          <w:rFonts w:ascii="Century Gothic" w:hAnsi="Century Gothic" w:cs="Century Gothic"/>
          <w:color w:val="000000"/>
          <w:kern w:val="0"/>
          <w:sz w:val="32"/>
          <w:szCs w:val="32"/>
        </w:rPr>
        <w:t xml:space="preserve"> find themselves in an uncomfortable transition period. The commercial strategy of acting like a modern online retailer has run ahead of the technology available to implement it successfully. Until the industry completes the move to a full "Offers and Orders" framework, it is the patience and system know-how of frontline staff holding </w:t>
      </w:r>
      <w:r w:rsidR="00F63D68">
        <w:rPr>
          <w:rFonts w:ascii="Century Gothic" w:hAnsi="Century Gothic" w:cs="Century Gothic"/>
          <w:color w:val="000000"/>
          <w:kern w:val="0"/>
          <w:sz w:val="32"/>
          <w:szCs w:val="32"/>
        </w:rPr>
        <w:t>that helps bridge the gap and keep things together.</w:t>
      </w:r>
    </w:p>
    <w:p w14:paraId="6CB9933C"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26524F32"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6.3 Practical Recommendations</w:t>
      </w:r>
    </w:p>
    <w:p w14:paraId="3EB5084E"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420C7BB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To tackle </w:t>
      </w:r>
      <w:proofErr w:type="gramStart"/>
      <w:r>
        <w:rPr>
          <w:rFonts w:ascii="Century Gothic" w:hAnsi="Century Gothic" w:cs="Century Gothic"/>
          <w:color w:val="000000"/>
          <w:kern w:val="0"/>
          <w:sz w:val="32"/>
          <w:szCs w:val="32"/>
        </w:rPr>
        <w:t>this</w:t>
      </w:r>
      <w:proofErr w:type="gramEnd"/>
      <w:r>
        <w:rPr>
          <w:rFonts w:ascii="Century Gothic" w:hAnsi="Century Gothic" w:cs="Century Gothic"/>
          <w:color w:val="000000"/>
          <w:kern w:val="0"/>
          <w:sz w:val="32"/>
          <w:szCs w:val="32"/>
        </w:rPr>
        <w:t xml:space="preserve"> disconnect between commercial planning and daily reality, airline leadership should focus on the following steps.</w:t>
      </w:r>
    </w:p>
    <w:p w14:paraId="73F2099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2766F352"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lastRenderedPageBreak/>
        <w:t>Technological Fixes and Supporting Frontline Staff</w:t>
      </w:r>
    </w:p>
    <w:p w14:paraId="3391683B"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6C58784C"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Automate disruption servicing: Until legacy PNRs and e-tickets are completely gone, invest in software that automatically re-links dynamically priced extras (EMDs) when flights are cancelled, rather than making agents do it manually.</w:t>
      </w:r>
    </w:p>
    <w:p w14:paraId="190BE5C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Streamline systems: Advisors </w:t>
      </w:r>
      <w:proofErr w:type="gramStart"/>
      <w:r>
        <w:rPr>
          <w:rFonts w:ascii="Century Gothic" w:hAnsi="Century Gothic" w:cs="Century Gothic"/>
          <w:color w:val="000000"/>
          <w:kern w:val="0"/>
          <w:sz w:val="32"/>
          <w:szCs w:val="32"/>
        </w:rPr>
        <w:t>have to</w:t>
      </w:r>
      <w:proofErr w:type="gramEnd"/>
      <w:r>
        <w:rPr>
          <w:rFonts w:ascii="Century Gothic" w:hAnsi="Century Gothic" w:cs="Century Gothic"/>
          <w:color w:val="000000"/>
          <w:kern w:val="0"/>
          <w:sz w:val="32"/>
          <w:szCs w:val="32"/>
        </w:rPr>
        <w:t xml:space="preserve"> jump back and forth between several different systems and departments to get a price for a date change quote. Streamlining the process would make things easier for the staff, but more importantly would improve the customer experience significantly. </w:t>
      </w:r>
    </w:p>
    <w:p w14:paraId="787B1254"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247B1734"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Improving How Fares Are Sold Online</w:t>
      </w:r>
    </w:p>
    <w:p w14:paraId="2135F4F1"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2E028D3B" w14:textId="542403DB"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Hold third-party </w:t>
      </w:r>
      <w:r w:rsidR="009859D8">
        <w:rPr>
          <w:rFonts w:ascii="Century Gothic" w:hAnsi="Century Gothic" w:cs="Century Gothic"/>
          <w:color w:val="000000"/>
          <w:kern w:val="0"/>
          <w:sz w:val="32"/>
          <w:szCs w:val="32"/>
        </w:rPr>
        <w:t>travel agent web</w:t>
      </w:r>
      <w:r>
        <w:rPr>
          <w:rFonts w:ascii="Century Gothic" w:hAnsi="Century Gothic" w:cs="Century Gothic"/>
          <w:color w:val="000000"/>
          <w:kern w:val="0"/>
          <w:sz w:val="32"/>
          <w:szCs w:val="32"/>
        </w:rPr>
        <w:t xml:space="preserve">sites to account: A lot of the issues frontline staff face comes from online </w:t>
      </w:r>
      <w:r>
        <w:rPr>
          <w:rFonts w:ascii="Century Gothic" w:hAnsi="Century Gothic" w:cs="Century Gothic"/>
          <w:color w:val="000000"/>
          <w:kern w:val="0"/>
          <w:sz w:val="32"/>
          <w:szCs w:val="32"/>
        </w:rPr>
        <w:lastRenderedPageBreak/>
        <w:t>travel agencies hiding fare and baggage rules. The airline should advocate for third-party sellers to make baggage and fare restrictions completely obvious</w:t>
      </w:r>
      <w:r w:rsidR="009859D8">
        <w:rPr>
          <w:rFonts w:ascii="Century Gothic" w:hAnsi="Century Gothic" w:cs="Century Gothic"/>
          <w:color w:val="000000"/>
          <w:kern w:val="0"/>
          <w:sz w:val="32"/>
          <w:szCs w:val="32"/>
        </w:rPr>
        <w:t xml:space="preserve"> and transparent</w:t>
      </w:r>
      <w:r>
        <w:rPr>
          <w:rFonts w:ascii="Century Gothic" w:hAnsi="Century Gothic" w:cs="Century Gothic"/>
          <w:color w:val="000000"/>
          <w:kern w:val="0"/>
          <w:sz w:val="32"/>
          <w:szCs w:val="32"/>
        </w:rPr>
        <w:t xml:space="preserve"> before checkout.</w:t>
      </w:r>
    </w:p>
    <w:p w14:paraId="32F0D572" w14:textId="0405DE06"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Present basic fares more positively: Re-structure the cabin offerings so that cheapest “Economy Light” ticket feels like a clear starting point rather than an </w:t>
      </w:r>
      <w:r w:rsidR="009859D8">
        <w:rPr>
          <w:rFonts w:ascii="Century Gothic" w:hAnsi="Century Gothic" w:cs="Century Gothic"/>
          <w:color w:val="000000"/>
          <w:kern w:val="0"/>
          <w:sz w:val="32"/>
          <w:szCs w:val="32"/>
        </w:rPr>
        <w:t>inferior, restrictive product</w:t>
      </w:r>
      <w:r>
        <w:rPr>
          <w:rFonts w:ascii="Century Gothic" w:hAnsi="Century Gothic" w:cs="Century Gothic"/>
          <w:color w:val="000000"/>
          <w:kern w:val="0"/>
          <w:sz w:val="32"/>
          <w:szCs w:val="32"/>
        </w:rPr>
        <w:t>. Highlighting the perks of moving up to a standard ticket—</w:t>
      </w:r>
      <w:proofErr w:type="gramStart"/>
      <w:r>
        <w:rPr>
          <w:rFonts w:ascii="Century Gothic" w:hAnsi="Century Gothic" w:cs="Century Gothic"/>
          <w:color w:val="000000"/>
          <w:kern w:val="0"/>
          <w:sz w:val="32"/>
          <w:szCs w:val="32"/>
        </w:rPr>
        <w:t>similar to</w:t>
      </w:r>
      <w:proofErr w:type="gramEnd"/>
      <w:r>
        <w:rPr>
          <w:rFonts w:ascii="Century Gothic" w:hAnsi="Century Gothic" w:cs="Century Gothic"/>
          <w:color w:val="000000"/>
          <w:kern w:val="0"/>
          <w:sz w:val="32"/>
          <w:szCs w:val="32"/>
        </w:rPr>
        <w:t xml:space="preserve"> Eurostar - would help the customer feel like they are making a sensible choice rather than being penalised.</w:t>
      </w:r>
    </w:p>
    <w:p w14:paraId="5C39350D"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19B52E3C"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Balancing Loyalty Points and Redemptions</w:t>
      </w:r>
    </w:p>
    <w:p w14:paraId="56BB6699"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6E5BDB43" w14:textId="0D30838C"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Set sensible limits on reward pricing: While this feels like a move backwards, to stop points feeling worthless, the airline could introduce a </w:t>
      </w:r>
      <w:proofErr w:type="gramStart"/>
      <w:r>
        <w:rPr>
          <w:rFonts w:ascii="Century Gothic" w:hAnsi="Century Gothic" w:cs="Century Gothic"/>
          <w:color w:val="000000"/>
          <w:kern w:val="0"/>
          <w:sz w:val="32"/>
          <w:szCs w:val="32"/>
        </w:rPr>
        <w:t>clear point ceilings</w:t>
      </w:r>
      <w:proofErr w:type="gramEnd"/>
      <w:r>
        <w:rPr>
          <w:rFonts w:ascii="Century Gothic" w:hAnsi="Century Gothic" w:cs="Century Gothic"/>
          <w:color w:val="000000"/>
          <w:kern w:val="0"/>
          <w:sz w:val="32"/>
          <w:szCs w:val="32"/>
        </w:rPr>
        <w:t xml:space="preserve"> or guarantee a set number of seats at fixed rates for </w:t>
      </w:r>
      <w:r>
        <w:rPr>
          <w:rFonts w:ascii="Century Gothic" w:hAnsi="Century Gothic" w:cs="Century Gothic"/>
          <w:color w:val="000000"/>
          <w:kern w:val="0"/>
          <w:sz w:val="32"/>
          <w:szCs w:val="32"/>
        </w:rPr>
        <w:lastRenderedPageBreak/>
        <w:t xml:space="preserve">“Premium” and “Upper Class” cabins. It would make redemption costs more predictable and give members a clear, consistent idea of what their points are </w:t>
      </w:r>
      <w:proofErr w:type="gramStart"/>
      <w:r>
        <w:rPr>
          <w:rFonts w:ascii="Century Gothic" w:hAnsi="Century Gothic" w:cs="Century Gothic"/>
          <w:color w:val="000000"/>
          <w:kern w:val="0"/>
          <w:sz w:val="32"/>
          <w:szCs w:val="32"/>
        </w:rPr>
        <w:t>actually worth</w:t>
      </w:r>
      <w:proofErr w:type="gramEnd"/>
      <w:r>
        <w:rPr>
          <w:rFonts w:ascii="Century Gothic" w:hAnsi="Century Gothic" w:cs="Century Gothic"/>
          <w:color w:val="000000"/>
          <w:kern w:val="0"/>
          <w:sz w:val="32"/>
          <w:szCs w:val="32"/>
        </w:rPr>
        <w:t xml:space="preserve">. This would help retain long-term loyalty and cut down on the negative calls staff </w:t>
      </w:r>
      <w:proofErr w:type="gramStart"/>
      <w:r>
        <w:rPr>
          <w:rFonts w:ascii="Century Gothic" w:hAnsi="Century Gothic" w:cs="Century Gothic"/>
          <w:color w:val="000000"/>
          <w:kern w:val="0"/>
          <w:sz w:val="32"/>
          <w:szCs w:val="32"/>
        </w:rPr>
        <w:t>have to</w:t>
      </w:r>
      <w:proofErr w:type="gramEnd"/>
      <w:r>
        <w:rPr>
          <w:rFonts w:ascii="Century Gothic" w:hAnsi="Century Gothic" w:cs="Century Gothic"/>
          <w:color w:val="000000"/>
          <w:kern w:val="0"/>
          <w:sz w:val="32"/>
          <w:szCs w:val="32"/>
        </w:rPr>
        <w:t xml:space="preserve"> </w:t>
      </w:r>
      <w:r w:rsidR="007378E5">
        <w:rPr>
          <w:rFonts w:ascii="Century Gothic" w:hAnsi="Century Gothic" w:cs="Century Gothic"/>
          <w:color w:val="000000"/>
          <w:kern w:val="0"/>
          <w:sz w:val="32"/>
          <w:szCs w:val="32"/>
        </w:rPr>
        <w:t>deal with</w:t>
      </w:r>
      <w:r>
        <w:rPr>
          <w:rFonts w:ascii="Century Gothic" w:hAnsi="Century Gothic" w:cs="Century Gothic"/>
          <w:color w:val="000000"/>
          <w:kern w:val="0"/>
          <w:sz w:val="32"/>
          <w:szCs w:val="32"/>
        </w:rPr>
        <w:t xml:space="preserve"> when point</w:t>
      </w:r>
      <w:r w:rsidR="007378E5">
        <w:rPr>
          <w:rFonts w:ascii="Century Gothic" w:hAnsi="Century Gothic" w:cs="Century Gothic"/>
          <w:color w:val="000000"/>
          <w:kern w:val="0"/>
          <w:sz w:val="32"/>
          <w:szCs w:val="32"/>
        </w:rPr>
        <w:t>s</w:t>
      </w:r>
      <w:r>
        <w:rPr>
          <w:rFonts w:ascii="Century Gothic" w:hAnsi="Century Gothic" w:cs="Century Gothic"/>
          <w:color w:val="000000"/>
          <w:kern w:val="0"/>
          <w:sz w:val="32"/>
          <w:szCs w:val="32"/>
        </w:rPr>
        <w:t xml:space="preserve"> prices spike. This would also help reduce average handling time which</w:t>
      </w:r>
      <w:r w:rsidR="007378E5">
        <w:rPr>
          <w:rFonts w:ascii="Century Gothic" w:hAnsi="Century Gothic" w:cs="Century Gothic"/>
          <w:color w:val="000000"/>
          <w:kern w:val="0"/>
          <w:sz w:val="32"/>
          <w:szCs w:val="32"/>
        </w:rPr>
        <w:t xml:space="preserve"> would lower costs and </w:t>
      </w:r>
      <w:r>
        <w:rPr>
          <w:rFonts w:ascii="Century Gothic" w:hAnsi="Century Gothic" w:cs="Century Gothic"/>
          <w:color w:val="000000"/>
          <w:kern w:val="0"/>
          <w:sz w:val="32"/>
          <w:szCs w:val="32"/>
        </w:rPr>
        <w:t xml:space="preserve">provide a better overall experience for the customer. </w:t>
      </w:r>
    </w:p>
    <w:p w14:paraId="54F797D1"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p>
    <w:p w14:paraId="39881E25" w14:textId="77777777" w:rsidR="00C85C76" w:rsidRDefault="00C85C76" w:rsidP="00C85C76">
      <w:pPr>
        <w:autoSpaceDE w:val="0"/>
        <w:autoSpaceDN w:val="0"/>
        <w:adjustRightInd w:val="0"/>
        <w:spacing w:after="0" w:line="480" w:lineRule="auto"/>
        <w:rPr>
          <w:rFonts w:ascii="Century Gothic" w:hAnsi="Century Gothic" w:cs="Century Gothic"/>
          <w:b/>
          <w:bCs/>
          <w:color w:val="000000"/>
          <w:kern w:val="0"/>
          <w:sz w:val="32"/>
          <w:szCs w:val="32"/>
        </w:rPr>
      </w:pPr>
      <w:r>
        <w:rPr>
          <w:rFonts w:ascii="Century Gothic" w:hAnsi="Century Gothic" w:cs="Century Gothic"/>
          <w:b/>
          <w:bCs/>
          <w:color w:val="000000"/>
          <w:kern w:val="0"/>
          <w:sz w:val="32"/>
          <w:szCs w:val="32"/>
        </w:rPr>
        <w:t>6.4 Limitations of the Research</w:t>
      </w:r>
    </w:p>
    <w:p w14:paraId="35F9368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34AD9EA7"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Sample size and reach: Using a purposive sample of eight people was sensible for pulling out detailed, qualitative operational insights, but it obviously cannot claim to speak for the entire aviation industry or every customer. The focus was specifically on a European long-haul airline; the findings won't neatly apply to budget </w:t>
      </w:r>
      <w:r>
        <w:rPr>
          <w:rFonts w:ascii="Century Gothic" w:hAnsi="Century Gothic" w:cs="Century Gothic"/>
          <w:color w:val="000000"/>
          <w:kern w:val="0"/>
          <w:sz w:val="32"/>
          <w:szCs w:val="32"/>
        </w:rPr>
        <w:lastRenderedPageBreak/>
        <w:t xml:space="preserve">carriers or US airlines operating under completely different credit card regulations. </w:t>
      </w:r>
    </w:p>
    <w:p w14:paraId="03AC3CB2"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Questionnaire format: Relying on a written questionnaire was the only realistic way to work around 24/7 airline shift patterns. While it gave the participants space and time to write honest, considered answers, it did mean that it wasn’t possible to follow up on interesting points or probe ambiguous answers in real time like in an interview.</w:t>
      </w:r>
    </w:p>
    <w:p w14:paraId="01A12BD8"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Researcher bias: My experience of working in many roles at many levels within Virgin Atlantic was a huge help for getting access to experienced colleagues. While I kept this in mind and followed reflexive steps during coding, my everyday experience naturally influenced how I looked at the data to an extent.</w:t>
      </w:r>
    </w:p>
    <w:p w14:paraId="1F1BB345"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r>
        <w:rPr>
          <w:rFonts w:ascii="Century Gothic" w:hAnsi="Century Gothic" w:cs="Century Gothic"/>
          <w:color w:val="000000"/>
          <w:kern w:val="0"/>
          <w:sz w:val="32"/>
          <w:szCs w:val="32"/>
        </w:rPr>
        <w:tab/>
        <w:t xml:space="preserve">A snapshot in time: This study catches the airline during an awkward transition period between old distribution tools and newer NDC setups. As systems </w:t>
      </w:r>
      <w:r>
        <w:rPr>
          <w:rFonts w:ascii="Century Gothic" w:hAnsi="Century Gothic" w:cs="Century Gothic"/>
          <w:color w:val="000000"/>
          <w:kern w:val="0"/>
          <w:sz w:val="32"/>
          <w:szCs w:val="32"/>
        </w:rPr>
        <w:lastRenderedPageBreak/>
        <w:t xml:space="preserve">inevitably modernise over the next decade, some of the specific headaches and pain points highlighted here will likely be removed </w:t>
      </w:r>
      <w:proofErr w:type="gramStart"/>
      <w:r>
        <w:rPr>
          <w:rFonts w:ascii="Century Gothic" w:hAnsi="Century Gothic" w:cs="Century Gothic"/>
          <w:color w:val="000000"/>
          <w:kern w:val="0"/>
          <w:sz w:val="32"/>
          <w:szCs w:val="32"/>
        </w:rPr>
        <w:t>completely, or</w:t>
      </w:r>
      <w:proofErr w:type="gramEnd"/>
      <w:r>
        <w:rPr>
          <w:rFonts w:ascii="Century Gothic" w:hAnsi="Century Gothic" w:cs="Century Gothic"/>
          <w:color w:val="000000"/>
          <w:kern w:val="0"/>
          <w:sz w:val="32"/>
          <w:szCs w:val="32"/>
        </w:rPr>
        <w:t xml:space="preserve"> be replaced by new ones.</w:t>
      </w:r>
    </w:p>
    <w:p w14:paraId="04B92195" w14:textId="77777777" w:rsidR="00C85C76" w:rsidRDefault="00C85C76" w:rsidP="00C85C76">
      <w:pPr>
        <w:autoSpaceDE w:val="0"/>
        <w:autoSpaceDN w:val="0"/>
        <w:adjustRightInd w:val="0"/>
        <w:spacing w:after="0" w:line="480" w:lineRule="auto"/>
        <w:rPr>
          <w:rFonts w:ascii="Century Gothic" w:hAnsi="Century Gothic" w:cs="Century Gothic"/>
          <w:color w:val="000000"/>
          <w:kern w:val="0"/>
          <w:sz w:val="32"/>
          <w:szCs w:val="32"/>
        </w:rPr>
      </w:pPr>
    </w:p>
    <w:p w14:paraId="4D4A02FE"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r>
        <w:rPr>
          <w:rFonts w:ascii="Century Gothic" w:hAnsi="Century Gothic" w:cs="Century Gothic"/>
          <w:b/>
          <w:bCs/>
          <w:color w:val="000000"/>
          <w:kern w:val="0"/>
          <w:position w:val="2"/>
          <w:sz w:val="32"/>
          <w:szCs w:val="32"/>
        </w:rPr>
        <w:t>6.5 Avenues for Future Research</w:t>
      </w:r>
    </w:p>
    <w:p w14:paraId="2B61B2C3"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r>
        <w:rPr>
          <w:rFonts w:ascii="Century Gothic" w:hAnsi="Century Gothic" w:cs="Century Gothic"/>
          <w:color w:val="000000"/>
          <w:kern w:val="0"/>
          <w:position w:val="2"/>
          <w:sz w:val="32"/>
          <w:szCs w:val="32"/>
        </w:rPr>
        <w:tab/>
        <w:t>While this study provides insight into the commercial transition of the premium aviation sector, the systemic tensions identified—specifically the friction between revenue maximisation, legacy technology, and brand protection—are not isolated to airlines. The findings reveal broader structural challenges applicable to any asset-heavy, legacy-service industry attempting to digitise its retail footprint. As a result, future research can apply themes to address macro-level business challenges across wider sectors.</w:t>
      </w:r>
    </w:p>
    <w:p w14:paraId="6D0E7D03" w14:textId="77777777" w:rsidR="003C0088" w:rsidRDefault="00C85C76" w:rsidP="003C008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r>
        <w:rPr>
          <w:rFonts w:ascii="Century Gothic" w:hAnsi="Century Gothic" w:cs="Century Gothic"/>
          <w:color w:val="000000"/>
          <w:kern w:val="0"/>
          <w:position w:val="2"/>
          <w:sz w:val="32"/>
          <w:szCs w:val="32"/>
        </w:rPr>
        <w:lastRenderedPageBreak/>
        <w:tab/>
        <w:t>The COVID-19 pandemic served as a catalyst for commercial restructuring in the airline industry, but it is part of a broader spectrum of macroeconomic shocks, including sustained inflation pressure</w:t>
      </w:r>
      <w:r w:rsidR="003C0088">
        <w:rPr>
          <w:rFonts w:ascii="Century Gothic" w:hAnsi="Century Gothic" w:cs="Century Gothic"/>
          <w:color w:val="000000"/>
          <w:kern w:val="0"/>
          <w:position w:val="2"/>
          <w:sz w:val="32"/>
          <w:szCs w:val="32"/>
        </w:rPr>
        <w:t xml:space="preserve"> caused by wars, political uncertainty,</w:t>
      </w:r>
      <w:r>
        <w:rPr>
          <w:rFonts w:ascii="Century Gothic" w:hAnsi="Century Gothic" w:cs="Century Gothic"/>
          <w:color w:val="000000"/>
          <w:kern w:val="0"/>
          <w:position w:val="2"/>
          <w:sz w:val="32"/>
          <w:szCs w:val="32"/>
        </w:rPr>
        <w:t xml:space="preserve"> and shifting regulatory frameworks.</w:t>
      </w:r>
      <w:r w:rsidR="003C0088">
        <w:rPr>
          <w:rFonts w:ascii="Century Gothic" w:hAnsi="Century Gothic" w:cs="Century Gothic"/>
          <w:color w:val="000000"/>
          <w:kern w:val="0"/>
          <w:position w:val="2"/>
          <w:sz w:val="32"/>
          <w:szCs w:val="32"/>
        </w:rPr>
        <w:t xml:space="preserve">       </w:t>
      </w:r>
    </w:p>
    <w:p w14:paraId="5E13B4F6" w14:textId="5FDEDC4A" w:rsidR="00C85C76" w:rsidRDefault="003C0088" w:rsidP="003C008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r>
        <w:rPr>
          <w:rFonts w:ascii="Century Gothic" w:hAnsi="Century Gothic" w:cs="Century Gothic"/>
          <w:color w:val="000000"/>
          <w:kern w:val="0"/>
          <w:position w:val="2"/>
          <w:sz w:val="32"/>
          <w:szCs w:val="32"/>
        </w:rPr>
        <w:tab/>
      </w:r>
      <w:r w:rsidR="00C85C76">
        <w:rPr>
          <w:rFonts w:ascii="Century Gothic" w:hAnsi="Century Gothic" w:cs="Century Gothic"/>
          <w:color w:val="000000"/>
          <w:kern w:val="0"/>
          <w:position w:val="2"/>
          <w:sz w:val="32"/>
          <w:szCs w:val="32"/>
        </w:rPr>
        <w:t>Future research should undertake a cross-sectional comparative analysis of how other premium, capital-intensive sectors such as global hospitality, cruise lines, and international rail, restructure their core commercial models in response to systemic crises. Investigating how these adjacent industries balance emergency yield generation with the long-term preservation of CBBE would yield critical insights into corporate resilience.</w:t>
      </w:r>
    </w:p>
    <w:p w14:paraId="35121E34"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r>
        <w:rPr>
          <w:rFonts w:ascii="Century Gothic" w:hAnsi="Century Gothic" w:cs="Century Gothic"/>
          <w:color w:val="000000"/>
          <w:kern w:val="0"/>
          <w:position w:val="2"/>
          <w:sz w:val="32"/>
          <w:szCs w:val="32"/>
        </w:rPr>
        <w:tab/>
        <w:t xml:space="preserve">This study highlighted a severe disconnect between executive-level modern retail strategies and frontline operational capabilities. Future research should investigate this strategy/execution gap on a broader, </w:t>
      </w:r>
      <w:r>
        <w:rPr>
          <w:rFonts w:ascii="Century Gothic" w:hAnsi="Century Gothic" w:cs="Century Gothic"/>
          <w:color w:val="000000"/>
          <w:kern w:val="0"/>
          <w:position w:val="2"/>
          <w:sz w:val="32"/>
          <w:szCs w:val="32"/>
        </w:rPr>
        <w:lastRenderedPageBreak/>
        <w:t xml:space="preserve">cross-industry scale. A </w:t>
      </w:r>
      <w:proofErr w:type="gramStart"/>
      <w:r>
        <w:rPr>
          <w:rFonts w:ascii="Century Gothic" w:hAnsi="Century Gothic" w:cs="Century Gothic"/>
          <w:color w:val="000000"/>
          <w:kern w:val="0"/>
          <w:position w:val="2"/>
          <w:sz w:val="32"/>
          <w:szCs w:val="32"/>
        </w:rPr>
        <w:t>study tracking organisations</w:t>
      </w:r>
      <w:proofErr w:type="gramEnd"/>
      <w:r>
        <w:rPr>
          <w:rFonts w:ascii="Century Gothic" w:hAnsi="Century Gothic" w:cs="Century Gothic"/>
          <w:color w:val="000000"/>
          <w:kern w:val="0"/>
          <w:position w:val="2"/>
          <w:sz w:val="32"/>
          <w:szCs w:val="32"/>
        </w:rPr>
        <w:t xml:space="preserve"> as they attempt to decouple from legacy IT infrastructures, examining the transaction cost economics of these transitions and the hidden operational friction absorbed by frontline staff, would provide high-value, actionable frameworks for executive change management.</w:t>
      </w:r>
    </w:p>
    <w:p w14:paraId="131D8CC1"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r>
        <w:rPr>
          <w:rFonts w:ascii="Century Gothic" w:hAnsi="Century Gothic" w:cs="Century Gothic"/>
          <w:color w:val="000000"/>
          <w:kern w:val="0"/>
          <w:position w:val="2"/>
          <w:sz w:val="32"/>
          <w:szCs w:val="32"/>
        </w:rPr>
        <w:tab/>
        <w:t xml:space="preserve">As algorithmic and continuous pricing models proliferate across the broader travel, retail, and service sectors, there is a critical need for research into the boundaries of consumer tolerance. Future studies should evaluate the psychological tipping point where hyper-personalised, AI-driven dynamic pricing transitions from a perceived value-add to perceived algorithmic exploitation. This research should explicitly integrate emerging regulatory pressures (such as GDPR profiling restrictions and FTC surveillance pricing probes) to define </w:t>
      </w:r>
      <w:r>
        <w:rPr>
          <w:rFonts w:ascii="Century Gothic" w:hAnsi="Century Gothic" w:cs="Century Gothic"/>
          <w:color w:val="000000"/>
          <w:kern w:val="0"/>
          <w:position w:val="2"/>
          <w:sz w:val="32"/>
          <w:szCs w:val="32"/>
        </w:rPr>
        <w:lastRenderedPageBreak/>
        <w:t>sustainable pricing architectures for premium brands (GDPR, 2026; FTC, 2025).</w:t>
      </w:r>
    </w:p>
    <w:p w14:paraId="6FAD961C"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r>
        <w:rPr>
          <w:rFonts w:ascii="Century Gothic" w:hAnsi="Century Gothic" w:cs="Century Gothic"/>
          <w:color w:val="000000"/>
          <w:kern w:val="0"/>
          <w:position w:val="2"/>
          <w:sz w:val="32"/>
          <w:szCs w:val="32"/>
        </w:rPr>
        <w:tab/>
        <w:t>The strategic use of loyalty programmes to bypass financial regulations (such as the EU interchange fee cap) and generate B2B cash flow warrants extensive investigation beyond aviation. Future research should examine the macroeconomic function of coalition loyalty ecosystems as alternative corporate liquidity buffers. Investigating how non-financial corporations use these digital currencies to insulate their core operations against cyclical demand shocks would significantly advance contemporary corporate finance and strategy literature.</w:t>
      </w:r>
    </w:p>
    <w:p w14:paraId="7164B3BE"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r>
        <w:rPr>
          <w:rFonts w:ascii="Century Gothic" w:hAnsi="Century Gothic" w:cs="Century Gothic"/>
          <w:color w:val="000000"/>
          <w:kern w:val="0"/>
          <w:position w:val="2"/>
          <w:sz w:val="32"/>
          <w:szCs w:val="32"/>
        </w:rPr>
        <w:tab/>
        <w:t xml:space="preserve">Ultimately, this study demonstrates that the post-pandemic recovery of the European premium aviation sector is about far more than simply recovering passenger volumes; it is almost an identity shift. Airlines are attempting to transition from traditional capacity </w:t>
      </w:r>
      <w:r>
        <w:rPr>
          <w:rFonts w:ascii="Century Gothic" w:hAnsi="Century Gothic" w:cs="Century Gothic"/>
          <w:color w:val="000000"/>
          <w:kern w:val="0"/>
          <w:position w:val="2"/>
          <w:sz w:val="32"/>
          <w:szCs w:val="32"/>
        </w:rPr>
        <w:lastRenderedPageBreak/>
        <w:t xml:space="preserve">providers into agile, digital retailers. However, as the lived experiences of frontline workers reveal, commercial ambition has temporarily outrun technological and operational reality. Until the industry can fully align its modern pricing algorithms with robust, resilient servicing infrastructure, the burden of this transition will continue to fall on the frontline staff and the patience of the premium consumer. </w:t>
      </w:r>
    </w:p>
    <w:p w14:paraId="3F507EBA"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r>
        <w:rPr>
          <w:rFonts w:ascii="Century Gothic" w:hAnsi="Century Gothic" w:cs="Century Gothic"/>
          <w:color w:val="000000"/>
          <w:kern w:val="0"/>
          <w:position w:val="2"/>
          <w:sz w:val="32"/>
          <w:szCs w:val="32"/>
        </w:rPr>
        <w:tab/>
        <w:t>For Virgin Atlantic and other European FSCs, the path to long-term financial resilience does not lie purely in extracting more revenue from every seat, but in ensuring that the digital retail experience genuinely matches the premium hospitality they promise on the ground.</w:t>
      </w:r>
    </w:p>
    <w:p w14:paraId="0E1A8568"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2A7CA679"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0B0B3292"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479FD0DF"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591CDFF0"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43C7EDBA"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67F7D5DB"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p>
    <w:p w14:paraId="74F96330"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p>
    <w:p w14:paraId="4281BA84"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p>
    <w:p w14:paraId="12D39C04"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p>
    <w:p w14:paraId="4EA733BF"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p>
    <w:p w14:paraId="3B19E582" w14:textId="77777777" w:rsidR="00CC049A" w:rsidRDefault="00CC049A"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p>
    <w:p w14:paraId="233C6711" w14:textId="77777777" w:rsidR="00CC049A" w:rsidRDefault="00CC049A"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p>
    <w:p w14:paraId="4E98994E" w14:textId="77777777" w:rsidR="00CC049A" w:rsidRDefault="00CC049A"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p>
    <w:p w14:paraId="1DFC8A7D" w14:textId="77777777" w:rsidR="00CC049A" w:rsidRDefault="00CC049A"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p>
    <w:p w14:paraId="1282ACDD" w14:textId="77777777" w:rsidR="00CC049A" w:rsidRDefault="00CC049A"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p>
    <w:p w14:paraId="5D6EB44D" w14:textId="7C598CFC"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r>
        <w:rPr>
          <w:rFonts w:ascii="Century Gothic" w:hAnsi="Century Gothic" w:cs="Century Gothic"/>
          <w:b/>
          <w:bCs/>
          <w:color w:val="000000"/>
          <w:kern w:val="0"/>
          <w:position w:val="2"/>
          <w:sz w:val="32"/>
          <w:szCs w:val="32"/>
        </w:rPr>
        <w:lastRenderedPageBreak/>
        <w:t>Appendices:</w:t>
      </w:r>
    </w:p>
    <w:p w14:paraId="47BE4D49" w14:textId="24540D41" w:rsidR="00C85C76" w:rsidRDefault="00CC049A"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r>
        <w:rPr>
          <w:rFonts w:ascii="Century Gothic" w:hAnsi="Century Gothic" w:cs="Century Gothic"/>
          <w:b/>
          <w:bCs/>
          <w:color w:val="000000"/>
          <w:kern w:val="0"/>
          <w:position w:val="2"/>
          <w:sz w:val="32"/>
          <w:szCs w:val="32"/>
        </w:rPr>
        <w:t xml:space="preserve">Appendix 1: </w:t>
      </w:r>
      <w:r w:rsidR="00C85C76">
        <w:rPr>
          <w:rFonts w:ascii="Century Gothic" w:hAnsi="Century Gothic" w:cs="Century Gothic"/>
          <w:b/>
          <w:bCs/>
          <w:color w:val="000000"/>
          <w:kern w:val="0"/>
          <w:position w:val="2"/>
          <w:sz w:val="32"/>
          <w:szCs w:val="32"/>
        </w:rPr>
        <w:t>Thematic analysis Table</w:t>
      </w:r>
      <w:r w:rsidR="00C85C76">
        <w:rPr>
          <w:rFonts w:ascii="Century Gothic" w:hAnsi="Century Gothic" w:cs="Century Gothic"/>
          <w:b/>
          <w:bCs/>
          <w:color w:val="000000"/>
          <w:kern w:val="0"/>
          <w:position w:val="2"/>
          <w:sz w:val="32"/>
          <w:szCs w:val="32"/>
        </w:rPr>
        <w:t>:</w:t>
      </w:r>
      <w:r w:rsidR="00C85C76">
        <w:rPr>
          <w:rFonts w:ascii="Century Gothic" w:hAnsi="Century Gothic" w:cs="Century Gothic"/>
          <w:b/>
          <w:bCs/>
          <w:color w:val="000000"/>
          <w:kern w:val="0"/>
          <w:position w:val="2"/>
          <w:sz w:val="32"/>
          <w:szCs w:val="32"/>
        </w:rPr>
        <w:t xml:space="preserve"> </w:t>
      </w:r>
    </w:p>
    <w:tbl>
      <w:tblPr>
        <w:tblW w:w="0" w:type="auto"/>
        <w:tblCellMar>
          <w:left w:w="0" w:type="dxa"/>
          <w:right w:w="0" w:type="dxa"/>
        </w:tblCellMar>
        <w:tblLook w:val="04A0" w:firstRow="1" w:lastRow="0" w:firstColumn="1" w:lastColumn="0" w:noHBand="0" w:noVBand="1"/>
      </w:tblPr>
      <w:tblGrid>
        <w:gridCol w:w="1459"/>
        <w:gridCol w:w="3615"/>
      </w:tblGrid>
      <w:tr w:rsidR="00C85C76" w:rsidRPr="00C85C76" w14:paraId="4224D73A" w14:textId="77777777">
        <w:trPr>
          <w:trHeight w:val="465"/>
        </w:trPr>
        <w:tc>
          <w:tcPr>
            <w:tcW w:w="121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08DB019E"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b/>
                <w:bCs/>
                <w:color w:val="23414B"/>
                <w:kern w:val="0"/>
                <w:sz w:val="20"/>
                <w:szCs w:val="20"/>
                <w:lang w:eastAsia="en-GB"/>
                <w14:ligatures w14:val="none"/>
              </w:rPr>
              <w:t>Meaning area</w:t>
            </w:r>
          </w:p>
        </w:tc>
        <w:tc>
          <w:tcPr>
            <w:tcW w:w="361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14:paraId="54D9C9F0"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b/>
                <w:bCs/>
                <w:color w:val="23414B"/>
                <w:kern w:val="0"/>
                <w:sz w:val="20"/>
                <w:szCs w:val="20"/>
                <w:lang w:eastAsia="en-GB"/>
                <w14:ligatures w14:val="none"/>
              </w:rPr>
              <w:t>Initial codes</w:t>
            </w:r>
          </w:p>
        </w:tc>
      </w:tr>
      <w:tr w:rsidR="00C85C76" w:rsidRPr="00C85C76" w14:paraId="58A4E4FB" w14:textId="77777777">
        <w:trPr>
          <w:trHeight w:val="660"/>
        </w:trPr>
        <w:tc>
          <w:tcPr>
            <w:tcW w:w="1215" w:type="dxa"/>
            <w:tcBorders>
              <w:top w:val="single" w:sz="6" w:space="0" w:color="000000"/>
              <w:left w:val="single" w:sz="6" w:space="0" w:color="000000"/>
              <w:bottom w:val="single" w:sz="6" w:space="0" w:color="000000"/>
              <w:right w:val="single" w:sz="6" w:space="0" w:color="000000"/>
            </w:tcBorders>
            <w:shd w:val="clear" w:color="auto" w:fill="F7F9FA"/>
            <w:tcMar>
              <w:top w:w="120" w:type="dxa"/>
              <w:left w:w="120" w:type="dxa"/>
              <w:bottom w:w="120" w:type="dxa"/>
              <w:right w:w="120" w:type="dxa"/>
            </w:tcMar>
            <w:hideMark/>
          </w:tcPr>
          <w:p w14:paraId="1A619A26"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Brand identity</w:t>
            </w:r>
          </w:p>
        </w:tc>
        <w:tc>
          <w:tcPr>
            <w:tcW w:w="3615" w:type="dxa"/>
            <w:tcBorders>
              <w:top w:val="single" w:sz="6" w:space="0" w:color="000000"/>
              <w:left w:val="single" w:sz="6" w:space="0" w:color="000000"/>
              <w:bottom w:val="single" w:sz="6" w:space="0" w:color="000000"/>
              <w:right w:val="single" w:sz="6" w:space="0" w:color="000000"/>
            </w:tcBorders>
            <w:shd w:val="clear" w:color="auto" w:fill="F7F9FA"/>
            <w:tcMar>
              <w:top w:w="120" w:type="dxa"/>
              <w:left w:w="120" w:type="dxa"/>
              <w:bottom w:w="120" w:type="dxa"/>
              <w:right w:w="120" w:type="dxa"/>
            </w:tcMar>
            <w:hideMark/>
          </w:tcPr>
          <w:p w14:paraId="2D63619F"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Friendly service; consistency; people-first culture; fun; distinctiveness; challenging convention</w:t>
            </w:r>
          </w:p>
        </w:tc>
      </w:tr>
      <w:tr w:rsidR="00C85C76" w:rsidRPr="00C85C76" w14:paraId="0640A168" w14:textId="77777777">
        <w:trPr>
          <w:trHeight w:val="660"/>
        </w:trPr>
        <w:tc>
          <w:tcPr>
            <w:tcW w:w="1215"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48F15151"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Premium positioning</w:t>
            </w:r>
          </w:p>
        </w:tc>
        <w:tc>
          <w:tcPr>
            <w:tcW w:w="3615"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6CC96BFC"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Exclusivity; scarcity of premium experience; premium-leisure shift; experience-led value</w:t>
            </w:r>
          </w:p>
        </w:tc>
      </w:tr>
      <w:tr w:rsidR="00C85C76" w:rsidRPr="00C85C76" w14:paraId="4BBF2F97" w14:textId="77777777">
        <w:trPr>
          <w:trHeight w:val="660"/>
        </w:trPr>
        <w:tc>
          <w:tcPr>
            <w:tcW w:w="1215" w:type="dxa"/>
            <w:tcBorders>
              <w:top w:val="single" w:sz="6" w:space="0" w:color="000000"/>
              <w:left w:val="single" w:sz="6" w:space="0" w:color="000000"/>
              <w:bottom w:val="single" w:sz="6" w:space="0" w:color="000000"/>
              <w:right w:val="single" w:sz="6" w:space="0" w:color="000000"/>
            </w:tcBorders>
            <w:shd w:val="clear" w:color="auto" w:fill="F7F9FA"/>
            <w:tcMar>
              <w:top w:w="120" w:type="dxa"/>
              <w:left w:w="120" w:type="dxa"/>
              <w:bottom w:w="120" w:type="dxa"/>
              <w:right w:w="120" w:type="dxa"/>
            </w:tcMar>
            <w:hideMark/>
          </w:tcPr>
          <w:p w14:paraId="787CB3D2"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Product architecture</w:t>
            </w:r>
          </w:p>
        </w:tc>
        <w:tc>
          <w:tcPr>
            <w:tcW w:w="3615" w:type="dxa"/>
            <w:tcBorders>
              <w:top w:val="single" w:sz="6" w:space="0" w:color="000000"/>
              <w:left w:val="single" w:sz="6" w:space="0" w:color="000000"/>
              <w:bottom w:val="single" w:sz="6" w:space="0" w:color="000000"/>
              <w:right w:val="single" w:sz="6" w:space="0" w:color="000000"/>
            </w:tcBorders>
            <w:shd w:val="clear" w:color="auto" w:fill="F7F9FA"/>
            <w:tcMar>
              <w:top w:w="120" w:type="dxa"/>
              <w:left w:w="120" w:type="dxa"/>
              <w:bottom w:w="120" w:type="dxa"/>
              <w:right w:w="120" w:type="dxa"/>
            </w:tcMar>
            <w:hideMark/>
          </w:tcPr>
          <w:p w14:paraId="630B8376"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Additional cabin tier; differentiated experience; premium upsell; rejection of excessive low-entry unbundling</w:t>
            </w:r>
          </w:p>
        </w:tc>
      </w:tr>
      <w:tr w:rsidR="00C85C76" w:rsidRPr="00C85C76" w14:paraId="7B0FAD1F" w14:textId="77777777">
        <w:trPr>
          <w:trHeight w:val="660"/>
        </w:trPr>
        <w:tc>
          <w:tcPr>
            <w:tcW w:w="1215"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00919903"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Loyalty economics</w:t>
            </w:r>
          </w:p>
        </w:tc>
        <w:tc>
          <w:tcPr>
            <w:tcW w:w="3615"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6CA7C3CE"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Coalition partnerships; points utilisation; access to premium travel; perceived redemption value</w:t>
            </w:r>
          </w:p>
        </w:tc>
      </w:tr>
      <w:tr w:rsidR="00C85C76" w:rsidRPr="00C85C76" w14:paraId="53D6E4B3" w14:textId="77777777">
        <w:trPr>
          <w:trHeight w:val="435"/>
        </w:trPr>
        <w:tc>
          <w:tcPr>
            <w:tcW w:w="1215" w:type="dxa"/>
            <w:tcBorders>
              <w:top w:val="single" w:sz="6" w:space="0" w:color="000000"/>
              <w:left w:val="single" w:sz="6" w:space="0" w:color="000000"/>
              <w:bottom w:val="single" w:sz="6" w:space="0" w:color="000000"/>
              <w:right w:val="single" w:sz="6" w:space="0" w:color="000000"/>
            </w:tcBorders>
            <w:shd w:val="clear" w:color="auto" w:fill="F7F9FA"/>
            <w:tcMar>
              <w:top w:w="120" w:type="dxa"/>
              <w:left w:w="120" w:type="dxa"/>
              <w:bottom w:w="120" w:type="dxa"/>
              <w:right w:w="120" w:type="dxa"/>
            </w:tcMar>
            <w:hideMark/>
          </w:tcPr>
          <w:p w14:paraId="23716A3C"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Included service</w:t>
            </w:r>
          </w:p>
        </w:tc>
        <w:tc>
          <w:tcPr>
            <w:tcW w:w="3615" w:type="dxa"/>
            <w:tcBorders>
              <w:top w:val="single" w:sz="6" w:space="0" w:color="000000"/>
              <w:left w:val="single" w:sz="6" w:space="0" w:color="000000"/>
              <w:bottom w:val="single" w:sz="6" w:space="0" w:color="000000"/>
              <w:right w:val="single" w:sz="6" w:space="0" w:color="000000"/>
            </w:tcBorders>
            <w:shd w:val="clear" w:color="auto" w:fill="F7F9FA"/>
            <w:tcMar>
              <w:top w:w="120" w:type="dxa"/>
              <w:left w:w="120" w:type="dxa"/>
              <w:bottom w:w="120" w:type="dxa"/>
              <w:right w:w="120" w:type="dxa"/>
            </w:tcMar>
            <w:hideMark/>
          </w:tcPr>
          <w:p w14:paraId="51054FE5"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Service floor; baggage inclusion; ASA inclusion; protection of core expectations</w:t>
            </w:r>
          </w:p>
        </w:tc>
      </w:tr>
      <w:tr w:rsidR="00C85C76" w:rsidRPr="00C85C76" w14:paraId="5CF5B3CD" w14:textId="77777777">
        <w:trPr>
          <w:trHeight w:val="660"/>
        </w:trPr>
        <w:tc>
          <w:tcPr>
            <w:tcW w:w="1215"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76107F11"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Service recovery</w:t>
            </w:r>
          </w:p>
        </w:tc>
        <w:tc>
          <w:tcPr>
            <w:tcW w:w="3615"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71E7996C"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Paid-product disappointment; seat-position value; inadequacy of “like-for-like” responses; loyalty damage</w:t>
            </w:r>
          </w:p>
        </w:tc>
      </w:tr>
      <w:tr w:rsidR="00C85C76" w:rsidRPr="00C85C76" w14:paraId="62DA6EAA" w14:textId="77777777">
        <w:trPr>
          <w:trHeight w:val="660"/>
        </w:trPr>
        <w:tc>
          <w:tcPr>
            <w:tcW w:w="1215" w:type="dxa"/>
            <w:tcBorders>
              <w:top w:val="single" w:sz="6" w:space="0" w:color="000000"/>
              <w:left w:val="single" w:sz="6" w:space="0" w:color="000000"/>
              <w:bottom w:val="single" w:sz="6" w:space="0" w:color="000000"/>
              <w:right w:val="single" w:sz="6" w:space="0" w:color="000000"/>
            </w:tcBorders>
            <w:shd w:val="clear" w:color="auto" w:fill="F7F9FA"/>
            <w:tcMar>
              <w:top w:w="120" w:type="dxa"/>
              <w:left w:w="120" w:type="dxa"/>
              <w:bottom w:w="120" w:type="dxa"/>
              <w:right w:w="120" w:type="dxa"/>
            </w:tcMar>
            <w:hideMark/>
          </w:tcPr>
          <w:p w14:paraId="58FFAB25"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Pricing fairness</w:t>
            </w:r>
          </w:p>
        </w:tc>
        <w:tc>
          <w:tcPr>
            <w:tcW w:w="3615" w:type="dxa"/>
            <w:tcBorders>
              <w:top w:val="single" w:sz="6" w:space="0" w:color="000000"/>
              <w:left w:val="single" w:sz="6" w:space="0" w:color="000000"/>
              <w:bottom w:val="single" w:sz="6" w:space="0" w:color="000000"/>
              <w:right w:val="single" w:sz="6" w:space="0" w:color="000000"/>
            </w:tcBorders>
            <w:shd w:val="clear" w:color="auto" w:fill="F7F9FA"/>
            <w:tcMar>
              <w:top w:w="120" w:type="dxa"/>
              <w:left w:w="120" w:type="dxa"/>
              <w:bottom w:w="120" w:type="dxa"/>
              <w:right w:w="120" w:type="dxa"/>
            </w:tcMar>
            <w:hideMark/>
          </w:tcPr>
          <w:p w14:paraId="635584F4"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Dynamic-price opacity; rapid price movement; perceived inflation; customer distrust; empty-flight paradox</w:t>
            </w:r>
          </w:p>
        </w:tc>
      </w:tr>
      <w:tr w:rsidR="00C85C76" w:rsidRPr="00C85C76" w14:paraId="4A05D7E0" w14:textId="77777777">
        <w:trPr>
          <w:trHeight w:val="660"/>
        </w:trPr>
        <w:tc>
          <w:tcPr>
            <w:tcW w:w="1215"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70D44A6B"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Transparency and trust</w:t>
            </w:r>
          </w:p>
        </w:tc>
        <w:tc>
          <w:tcPr>
            <w:tcW w:w="3615"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1B37E2D5"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Up-front total cost; explicit exclusions; family-travel disclosure; avoidance of hidden fees</w:t>
            </w:r>
          </w:p>
        </w:tc>
      </w:tr>
      <w:tr w:rsidR="00C85C76" w:rsidRPr="00C85C76" w14:paraId="369FA3D3" w14:textId="77777777">
        <w:trPr>
          <w:trHeight w:val="660"/>
        </w:trPr>
        <w:tc>
          <w:tcPr>
            <w:tcW w:w="1215" w:type="dxa"/>
            <w:tcBorders>
              <w:top w:val="single" w:sz="6" w:space="0" w:color="000000"/>
              <w:left w:val="single" w:sz="6" w:space="0" w:color="000000"/>
              <w:bottom w:val="single" w:sz="6" w:space="0" w:color="000000"/>
              <w:right w:val="single" w:sz="6" w:space="0" w:color="000000"/>
            </w:tcBorders>
            <w:shd w:val="clear" w:color="auto" w:fill="F7F9FA"/>
            <w:tcMar>
              <w:top w:w="120" w:type="dxa"/>
              <w:left w:w="120" w:type="dxa"/>
              <w:bottom w:w="120" w:type="dxa"/>
              <w:right w:w="120" w:type="dxa"/>
            </w:tcMar>
            <w:hideMark/>
          </w:tcPr>
          <w:p w14:paraId="5D3785B0"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Omnichannel experience</w:t>
            </w:r>
          </w:p>
        </w:tc>
        <w:tc>
          <w:tcPr>
            <w:tcW w:w="3615" w:type="dxa"/>
            <w:tcBorders>
              <w:top w:val="single" w:sz="6" w:space="0" w:color="000000"/>
              <w:left w:val="single" w:sz="6" w:space="0" w:color="000000"/>
              <w:bottom w:val="single" w:sz="6" w:space="0" w:color="000000"/>
              <w:right w:val="single" w:sz="6" w:space="0" w:color="000000"/>
            </w:tcBorders>
            <w:shd w:val="clear" w:color="auto" w:fill="F7F9FA"/>
            <w:tcMar>
              <w:top w:w="120" w:type="dxa"/>
              <w:left w:w="120" w:type="dxa"/>
              <w:bottom w:w="120" w:type="dxa"/>
              <w:right w:w="120" w:type="dxa"/>
            </w:tcMar>
            <w:hideMark/>
          </w:tcPr>
          <w:p w14:paraId="36109E8F" w14:textId="77777777" w:rsidR="00C85C76" w:rsidRPr="00C85C76" w:rsidRDefault="00C85C76" w:rsidP="00C85C76">
            <w:pPr>
              <w:spacing w:after="0" w:line="240" w:lineRule="auto"/>
              <w:rPr>
                <w:rFonts w:ascii="Times New Roman" w:eastAsia="Times New Roman" w:hAnsi="Times New Roman" w:cs="Times New Roman"/>
                <w:kern w:val="0"/>
                <w:lang w:eastAsia="en-GB"/>
                <w14:ligatures w14:val="none"/>
              </w:rPr>
            </w:pPr>
            <w:r w:rsidRPr="00C85C76">
              <w:rPr>
                <w:rFonts w:ascii="Helvetica Neue" w:eastAsia="Times New Roman" w:hAnsi="Helvetica Neue" w:cs="Times New Roman"/>
                <w:color w:val="181E2A"/>
                <w:kern w:val="0"/>
                <w:sz w:val="20"/>
                <w:szCs w:val="20"/>
                <w:lang w:eastAsia="en-GB"/>
                <w14:ligatures w14:val="none"/>
              </w:rPr>
              <w:t>Consistency across channels; moderate agreement that channel consistency matters</w:t>
            </w:r>
          </w:p>
        </w:tc>
      </w:tr>
    </w:tbl>
    <w:p w14:paraId="48436B9B"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5D83E97B"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44F561E7" w14:textId="7FF8A069" w:rsidR="00C85C76" w:rsidRPr="00CC049A" w:rsidRDefault="00CC049A"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r w:rsidRPr="00CC049A">
        <w:rPr>
          <w:rFonts w:ascii="Century Gothic" w:hAnsi="Century Gothic" w:cs="Century Gothic"/>
          <w:b/>
          <w:bCs/>
          <w:color w:val="000000"/>
          <w:kern w:val="0"/>
          <w:position w:val="2"/>
          <w:sz w:val="32"/>
          <w:szCs w:val="32"/>
        </w:rPr>
        <w:lastRenderedPageBreak/>
        <w:t xml:space="preserve">Appendix 2: </w:t>
      </w:r>
      <w:r w:rsidR="00C85C76" w:rsidRPr="00CC049A">
        <w:rPr>
          <w:rFonts w:ascii="Century Gothic" w:hAnsi="Century Gothic" w:cs="Century Gothic"/>
          <w:b/>
          <w:bCs/>
          <w:color w:val="000000"/>
          <w:kern w:val="0"/>
          <w:position w:val="2"/>
          <w:sz w:val="32"/>
          <w:szCs w:val="32"/>
        </w:rPr>
        <w:t xml:space="preserve">Ethics Form </w:t>
      </w:r>
    </w:p>
    <w:p w14:paraId="11D9ED91" w14:textId="77777777" w:rsidR="00897D6D" w:rsidRDefault="00897D6D">
      <w:pPr>
        <w:spacing w:after="167" w:line="259" w:lineRule="auto"/>
        <w:ind w:right="27"/>
        <w:jc w:val="center"/>
      </w:pPr>
      <w:r>
        <w:rPr>
          <w:rFonts w:ascii="Arial" w:eastAsia="Arial" w:hAnsi="Arial" w:cs="Arial"/>
          <w:b/>
        </w:rPr>
        <w:t xml:space="preserve">APPLICATION FOR ETHICAL APPROVAL </w:t>
      </w:r>
    </w:p>
    <w:p w14:paraId="707B7DDC" w14:textId="77777777" w:rsidR="00897D6D" w:rsidRDefault="00897D6D">
      <w:pPr>
        <w:spacing w:after="151" w:line="259" w:lineRule="auto"/>
        <w:ind w:left="-5"/>
      </w:pPr>
      <w:proofErr w:type="gramStart"/>
      <w:r>
        <w:rPr>
          <w:rFonts w:ascii="Arial" w:eastAsia="Arial" w:hAnsi="Arial" w:cs="Arial"/>
          <w:b/>
        </w:rPr>
        <w:t>In order for</w:t>
      </w:r>
      <w:proofErr w:type="gramEnd"/>
      <w:r>
        <w:rPr>
          <w:rFonts w:ascii="Arial" w:eastAsia="Arial" w:hAnsi="Arial" w:cs="Arial"/>
          <w:b/>
        </w:rPr>
        <w:t xml:space="preserve"> research to result in benefit and minimise risk of harm, it must be conducted ethically.  </w:t>
      </w:r>
    </w:p>
    <w:p w14:paraId="4C9844E0" w14:textId="77777777" w:rsidR="00897D6D" w:rsidRDefault="00897D6D">
      <w:pPr>
        <w:ind w:left="-5"/>
      </w:pPr>
      <w:r>
        <w:t xml:space="preserve">The University follows the OECD Frascati manual definition of </w:t>
      </w:r>
      <w:r>
        <w:rPr>
          <w:rFonts w:ascii="Arial" w:eastAsia="Arial" w:hAnsi="Arial" w:cs="Arial"/>
          <w:b/>
        </w:rPr>
        <w:t>research activity</w:t>
      </w:r>
      <w:r>
        <w:t xml:space="preserve">: “creative work undertaken on a systematic basis in order to increase the stock of knowledge, including knowledge of man, culture and society, and the use of this stock of knowledge to devise new applications”. As such </w:t>
      </w:r>
      <w:proofErr w:type="gramStart"/>
      <w:r>
        <w:t>this covers activities</w:t>
      </w:r>
      <w:proofErr w:type="gramEnd"/>
      <w:r>
        <w:t xml:space="preserve"> undertaken by members of staff, postgraduate research students, and both taught postgraduate and undergraduate students working on dissertations/projects. </w:t>
      </w:r>
    </w:p>
    <w:p w14:paraId="08972B0E" w14:textId="77777777" w:rsidR="00897D6D" w:rsidRDefault="00897D6D">
      <w:pPr>
        <w:ind w:left="-5"/>
      </w:pPr>
      <w:r>
        <w:t xml:space="preserve">The individual undertaking the research activity is known as the “principal researcher”. </w:t>
      </w:r>
    </w:p>
    <w:p w14:paraId="2A5B7E38" w14:textId="77777777" w:rsidR="00897D6D" w:rsidRDefault="00897D6D">
      <w:pPr>
        <w:spacing w:after="207" w:line="259" w:lineRule="auto"/>
        <w:ind w:left="-5"/>
      </w:pPr>
      <w:r>
        <w:rPr>
          <w:rFonts w:ascii="Arial" w:eastAsia="Arial" w:hAnsi="Arial" w:cs="Arial"/>
          <w:b/>
        </w:rPr>
        <w:t>This form</w:t>
      </w:r>
      <w:r>
        <w:t xml:space="preserve"> </w:t>
      </w:r>
      <w:r>
        <w:rPr>
          <w:rFonts w:ascii="Arial" w:eastAsia="Arial" w:hAnsi="Arial" w:cs="Arial"/>
          <w:b/>
        </w:rPr>
        <w:t>must be completed and approved prior to undertaking any research activity.</w:t>
      </w:r>
      <w:r>
        <w:t xml:space="preserve">  </w:t>
      </w:r>
    </w:p>
    <w:tbl>
      <w:tblPr>
        <w:tblStyle w:val="TableGrid"/>
        <w:tblpPr w:vertAnchor="page" w:horzAnchor="page" w:tblpX="725" w:tblpY="12731"/>
        <w:tblOverlap w:val="never"/>
        <w:tblW w:w="10467" w:type="dxa"/>
        <w:tblInd w:w="0" w:type="dxa"/>
        <w:tblCellMar>
          <w:top w:w="72" w:type="dxa"/>
          <w:left w:w="85" w:type="dxa"/>
          <w:right w:w="35" w:type="dxa"/>
        </w:tblCellMar>
        <w:tblLook w:val="04A0" w:firstRow="1" w:lastRow="0" w:firstColumn="1" w:lastColumn="0" w:noHBand="0" w:noVBand="1"/>
      </w:tblPr>
      <w:tblGrid>
        <w:gridCol w:w="496"/>
        <w:gridCol w:w="1612"/>
        <w:gridCol w:w="3270"/>
        <w:gridCol w:w="1695"/>
        <w:gridCol w:w="3394"/>
      </w:tblGrid>
      <w:tr w:rsidR="00897D6D" w14:paraId="29AF8A24" w14:textId="77777777">
        <w:trPr>
          <w:trHeight w:val="1060"/>
        </w:trPr>
        <w:tc>
          <w:tcPr>
            <w:tcW w:w="49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30604C9" w14:textId="77777777" w:rsidR="00897D6D" w:rsidRDefault="00897D6D">
            <w:pPr>
              <w:spacing w:line="259" w:lineRule="auto"/>
            </w:pPr>
            <w:r>
              <w:t>1</w:t>
            </w:r>
          </w:p>
        </w:tc>
        <w:tc>
          <w:tcPr>
            <w:tcW w:w="161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8F24FB6" w14:textId="77777777" w:rsidR="00897D6D" w:rsidRDefault="00897D6D">
            <w:pPr>
              <w:spacing w:line="259" w:lineRule="auto"/>
            </w:pPr>
            <w:r>
              <w:t>Indicative title:</w:t>
            </w:r>
          </w:p>
        </w:tc>
        <w:tc>
          <w:tcPr>
            <w:tcW w:w="8359" w:type="dxa"/>
            <w:gridSpan w:val="3"/>
            <w:tcBorders>
              <w:top w:val="single" w:sz="4" w:space="0" w:color="7F7F7F"/>
              <w:left w:val="single" w:sz="4" w:space="0" w:color="7F7F7F"/>
              <w:bottom w:val="single" w:sz="4" w:space="0" w:color="7F7F7F"/>
              <w:right w:val="single" w:sz="4" w:space="0" w:color="7F7F7F"/>
            </w:tcBorders>
          </w:tcPr>
          <w:p w14:paraId="32E8D7E7" w14:textId="77777777" w:rsidR="00897D6D" w:rsidRDefault="00897D6D">
            <w:pPr>
              <w:spacing w:line="259" w:lineRule="auto"/>
            </w:pPr>
            <w:r>
              <w:rPr>
                <w:rFonts w:ascii="Times New Roman" w:eastAsia="Times New Roman" w:hAnsi="Times New Roman" w:cs="Times New Roman"/>
                <w:sz w:val="24"/>
              </w:rPr>
              <w:t>The Strategic Evolution of Ancillary Revenue Models and Their Contribution to Financial Resilience in the Post-Pandemic Market: A Case Study of Virgin Atlantic and European FSCs (2020–2025)</w:t>
            </w:r>
          </w:p>
        </w:tc>
      </w:tr>
      <w:tr w:rsidR="00897D6D" w14:paraId="5FF41551" w14:textId="77777777">
        <w:trPr>
          <w:trHeight w:val="643"/>
        </w:trPr>
        <w:tc>
          <w:tcPr>
            <w:tcW w:w="49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E535D05" w14:textId="77777777" w:rsidR="00897D6D" w:rsidRDefault="00897D6D">
            <w:pPr>
              <w:spacing w:line="259" w:lineRule="auto"/>
            </w:pPr>
            <w:r>
              <w:t>2</w:t>
            </w:r>
          </w:p>
        </w:tc>
        <w:tc>
          <w:tcPr>
            <w:tcW w:w="1612" w:type="dxa"/>
            <w:tcBorders>
              <w:top w:val="single" w:sz="4" w:space="0" w:color="7F7F7F"/>
              <w:left w:val="single" w:sz="4" w:space="0" w:color="7F7F7F"/>
              <w:bottom w:val="single" w:sz="4" w:space="0" w:color="7F7F7F"/>
              <w:right w:val="single" w:sz="4" w:space="0" w:color="7F7F7F"/>
            </w:tcBorders>
            <w:shd w:val="clear" w:color="auto" w:fill="F2F2F2"/>
          </w:tcPr>
          <w:p w14:paraId="6F246FC4" w14:textId="77777777" w:rsidR="00897D6D" w:rsidRDefault="00897D6D">
            <w:pPr>
              <w:spacing w:line="259" w:lineRule="auto"/>
            </w:pPr>
            <w:r>
              <w:t>Proposed start date:</w:t>
            </w:r>
          </w:p>
        </w:tc>
        <w:tc>
          <w:tcPr>
            <w:tcW w:w="3270" w:type="dxa"/>
            <w:tcBorders>
              <w:top w:val="single" w:sz="4" w:space="0" w:color="7F7F7F"/>
              <w:left w:val="single" w:sz="4" w:space="0" w:color="7F7F7F"/>
              <w:bottom w:val="single" w:sz="4" w:space="0" w:color="7F7F7F"/>
              <w:right w:val="single" w:sz="4" w:space="0" w:color="7F7F7F"/>
            </w:tcBorders>
            <w:vAlign w:val="center"/>
          </w:tcPr>
          <w:p w14:paraId="63E0A212" w14:textId="77777777" w:rsidR="00897D6D" w:rsidRDefault="00897D6D">
            <w:pPr>
              <w:spacing w:line="259" w:lineRule="auto"/>
            </w:pPr>
            <w:r>
              <w:t>03/10/2025</w:t>
            </w:r>
          </w:p>
        </w:tc>
        <w:tc>
          <w:tcPr>
            <w:tcW w:w="1695" w:type="dxa"/>
            <w:tcBorders>
              <w:top w:val="single" w:sz="4" w:space="0" w:color="7F7F7F"/>
              <w:left w:val="single" w:sz="4" w:space="0" w:color="7F7F7F"/>
              <w:bottom w:val="single" w:sz="4" w:space="0" w:color="7F7F7F"/>
              <w:right w:val="single" w:sz="4" w:space="0" w:color="7F7F7F"/>
            </w:tcBorders>
            <w:shd w:val="clear" w:color="auto" w:fill="F2F2F2"/>
          </w:tcPr>
          <w:p w14:paraId="3BB66DB9" w14:textId="77777777" w:rsidR="00897D6D" w:rsidRDefault="00897D6D">
            <w:pPr>
              <w:spacing w:line="259" w:lineRule="auto"/>
            </w:pPr>
            <w:r>
              <w:t>Proposed end date:</w:t>
            </w:r>
          </w:p>
        </w:tc>
        <w:tc>
          <w:tcPr>
            <w:tcW w:w="3394" w:type="dxa"/>
            <w:tcBorders>
              <w:top w:val="single" w:sz="4" w:space="0" w:color="7F7F7F"/>
              <w:left w:val="single" w:sz="4" w:space="0" w:color="7F7F7F"/>
              <w:bottom w:val="single" w:sz="4" w:space="0" w:color="7F7F7F"/>
              <w:right w:val="single" w:sz="4" w:space="0" w:color="7F7F7F"/>
            </w:tcBorders>
            <w:vAlign w:val="center"/>
          </w:tcPr>
          <w:p w14:paraId="609C1C3C" w14:textId="77777777" w:rsidR="00897D6D" w:rsidRDefault="00897D6D">
            <w:pPr>
              <w:spacing w:line="259" w:lineRule="auto"/>
            </w:pPr>
            <w:r>
              <w:t>30/06/2026</w:t>
            </w:r>
          </w:p>
        </w:tc>
      </w:tr>
    </w:tbl>
    <w:p w14:paraId="31E2B75E" w14:textId="77777777" w:rsidR="00897D6D" w:rsidRDefault="00897D6D">
      <w:pPr>
        <w:spacing w:after="3" w:line="259" w:lineRule="auto"/>
        <w:ind w:left="-5"/>
      </w:pPr>
      <w:r>
        <w:rPr>
          <w:rFonts w:ascii="Arial" w:eastAsia="Arial" w:hAnsi="Arial" w:cs="Arial"/>
          <w:b/>
        </w:rPr>
        <w:t xml:space="preserve">SECTION A: About You (Principal Researcher) </w:t>
      </w:r>
    </w:p>
    <w:tbl>
      <w:tblPr>
        <w:tblStyle w:val="TableGrid"/>
        <w:tblW w:w="9237" w:type="dxa"/>
        <w:tblInd w:w="8" w:type="dxa"/>
        <w:tblCellMar>
          <w:top w:w="95" w:type="dxa"/>
          <w:left w:w="88" w:type="dxa"/>
          <w:bottom w:w="88" w:type="dxa"/>
          <w:right w:w="115" w:type="dxa"/>
        </w:tblCellMar>
        <w:tblLook w:val="04A0" w:firstRow="1" w:lastRow="0" w:firstColumn="1" w:lastColumn="0" w:noHBand="0" w:noVBand="1"/>
      </w:tblPr>
      <w:tblGrid>
        <w:gridCol w:w="494"/>
        <w:gridCol w:w="2876"/>
        <w:gridCol w:w="5867"/>
      </w:tblGrid>
      <w:tr w:rsidR="00897D6D" w14:paraId="7EFEB4D3" w14:textId="77777777" w:rsidTr="00455741">
        <w:trPr>
          <w:trHeight w:val="441"/>
        </w:trPr>
        <w:tc>
          <w:tcPr>
            <w:tcW w:w="494" w:type="dxa"/>
            <w:tcBorders>
              <w:top w:val="single" w:sz="6" w:space="0" w:color="3F3F3F"/>
              <w:left w:val="single" w:sz="6" w:space="0" w:color="3F3F3F"/>
              <w:bottom w:val="single" w:sz="6" w:space="0" w:color="3F3F3F"/>
              <w:right w:val="single" w:sz="6" w:space="0" w:color="3F3F3F"/>
            </w:tcBorders>
            <w:shd w:val="clear" w:color="auto" w:fill="F2F2F2"/>
          </w:tcPr>
          <w:p w14:paraId="61A15D0D" w14:textId="77777777" w:rsidR="00897D6D" w:rsidRDefault="00897D6D">
            <w:pPr>
              <w:spacing w:line="259" w:lineRule="auto"/>
            </w:pPr>
            <w:r>
              <w:t>1</w:t>
            </w:r>
          </w:p>
        </w:tc>
        <w:tc>
          <w:tcPr>
            <w:tcW w:w="2876" w:type="dxa"/>
            <w:tcBorders>
              <w:top w:val="single" w:sz="6" w:space="0" w:color="3F3F3F"/>
              <w:left w:val="single" w:sz="6" w:space="0" w:color="3F3F3F"/>
              <w:bottom w:val="single" w:sz="6" w:space="0" w:color="3F3F3F"/>
              <w:right w:val="single" w:sz="6" w:space="0" w:color="3F3F3F"/>
            </w:tcBorders>
            <w:shd w:val="clear" w:color="auto" w:fill="F2F2F2"/>
          </w:tcPr>
          <w:p w14:paraId="067B95A4" w14:textId="77777777" w:rsidR="00897D6D" w:rsidRDefault="00897D6D">
            <w:pPr>
              <w:spacing w:line="259" w:lineRule="auto"/>
            </w:pPr>
            <w:r>
              <w:t>Full Name:</w:t>
            </w:r>
          </w:p>
        </w:tc>
        <w:tc>
          <w:tcPr>
            <w:tcW w:w="5867" w:type="dxa"/>
            <w:tcBorders>
              <w:top w:val="single" w:sz="6" w:space="0" w:color="3F3F3F"/>
              <w:left w:val="single" w:sz="6" w:space="0" w:color="3F3F3F"/>
              <w:bottom w:val="single" w:sz="6" w:space="0" w:color="3F3F3F"/>
              <w:right w:val="single" w:sz="6" w:space="0" w:color="3F3F3F"/>
            </w:tcBorders>
          </w:tcPr>
          <w:p w14:paraId="4E2866DB" w14:textId="77777777" w:rsidR="00897D6D" w:rsidRDefault="00897D6D">
            <w:pPr>
              <w:spacing w:line="259" w:lineRule="auto"/>
            </w:pPr>
            <w:r>
              <w:t>Tomas Sheehan</w:t>
            </w:r>
          </w:p>
        </w:tc>
      </w:tr>
      <w:tr w:rsidR="00897D6D" w14:paraId="1494CD5B" w14:textId="77777777" w:rsidTr="00455741">
        <w:trPr>
          <w:trHeight w:val="651"/>
        </w:trPr>
        <w:tc>
          <w:tcPr>
            <w:tcW w:w="494"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0C6BF79E" w14:textId="77777777" w:rsidR="00897D6D" w:rsidRDefault="00897D6D">
            <w:pPr>
              <w:spacing w:line="259" w:lineRule="auto"/>
            </w:pPr>
            <w:r>
              <w:t>2</w:t>
            </w:r>
          </w:p>
        </w:tc>
        <w:tc>
          <w:tcPr>
            <w:tcW w:w="2876"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250730B5" w14:textId="77777777" w:rsidR="00897D6D" w:rsidRDefault="00897D6D">
            <w:pPr>
              <w:spacing w:line="259" w:lineRule="auto"/>
            </w:pPr>
            <w:r>
              <w:t>Student Number:</w:t>
            </w:r>
          </w:p>
        </w:tc>
        <w:tc>
          <w:tcPr>
            <w:tcW w:w="5867" w:type="dxa"/>
            <w:tcBorders>
              <w:top w:val="single" w:sz="6" w:space="0" w:color="3F3F3F"/>
              <w:left w:val="single" w:sz="6" w:space="0" w:color="3F3F3F"/>
              <w:bottom w:val="single" w:sz="6" w:space="0" w:color="3F3F3F"/>
              <w:right w:val="single" w:sz="6" w:space="0" w:color="3F3F3F"/>
            </w:tcBorders>
            <w:vAlign w:val="bottom"/>
          </w:tcPr>
          <w:p w14:paraId="1FE44E19" w14:textId="77777777" w:rsidR="00897D6D" w:rsidRDefault="00897D6D">
            <w:pPr>
              <w:spacing w:line="259" w:lineRule="auto"/>
            </w:pPr>
            <w:r>
              <w:t>2234786</w:t>
            </w:r>
          </w:p>
        </w:tc>
      </w:tr>
      <w:tr w:rsidR="00897D6D" w14:paraId="34136C10" w14:textId="77777777" w:rsidTr="00455741">
        <w:trPr>
          <w:trHeight w:val="516"/>
        </w:trPr>
        <w:tc>
          <w:tcPr>
            <w:tcW w:w="494"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2B96DF59" w14:textId="77777777" w:rsidR="00897D6D" w:rsidRDefault="00897D6D">
            <w:pPr>
              <w:spacing w:line="259" w:lineRule="auto"/>
            </w:pPr>
            <w:r>
              <w:t>3</w:t>
            </w:r>
          </w:p>
        </w:tc>
        <w:tc>
          <w:tcPr>
            <w:tcW w:w="2876"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56031127" w14:textId="77777777" w:rsidR="00897D6D" w:rsidRDefault="00897D6D">
            <w:pPr>
              <w:spacing w:line="259" w:lineRule="auto"/>
            </w:pPr>
            <w:r>
              <w:t>Email address:</w:t>
            </w:r>
          </w:p>
        </w:tc>
        <w:tc>
          <w:tcPr>
            <w:tcW w:w="5867" w:type="dxa"/>
            <w:tcBorders>
              <w:top w:val="single" w:sz="6" w:space="0" w:color="3F3F3F"/>
              <w:left w:val="single" w:sz="6" w:space="0" w:color="3F3F3F"/>
              <w:bottom w:val="single" w:sz="6" w:space="0" w:color="3F3F3F"/>
              <w:right w:val="single" w:sz="6" w:space="0" w:color="3F3F3F"/>
            </w:tcBorders>
            <w:vAlign w:val="center"/>
          </w:tcPr>
          <w:p w14:paraId="4EB5EB5F" w14:textId="77777777" w:rsidR="00897D6D" w:rsidRDefault="00897D6D">
            <w:pPr>
              <w:spacing w:line="259" w:lineRule="auto"/>
            </w:pPr>
            <w:r>
              <w:rPr>
                <w:color w:val="0000FF"/>
                <w:u w:val="single" w:color="0000FF"/>
              </w:rPr>
              <w:t>2234786@student.uwtsd.ac.uk</w:t>
            </w:r>
          </w:p>
        </w:tc>
      </w:tr>
      <w:tr w:rsidR="00897D6D" w14:paraId="0AC6016C" w14:textId="77777777" w:rsidTr="00455741">
        <w:trPr>
          <w:trHeight w:val="552"/>
        </w:trPr>
        <w:tc>
          <w:tcPr>
            <w:tcW w:w="494"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68255F67" w14:textId="77777777" w:rsidR="00897D6D" w:rsidRDefault="00897D6D">
            <w:pPr>
              <w:spacing w:line="259" w:lineRule="auto"/>
            </w:pPr>
            <w:r>
              <w:t>4</w:t>
            </w:r>
          </w:p>
        </w:tc>
        <w:tc>
          <w:tcPr>
            <w:tcW w:w="2876"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7CC9D818" w14:textId="77777777" w:rsidR="00897D6D" w:rsidRDefault="00897D6D">
            <w:pPr>
              <w:spacing w:line="259" w:lineRule="auto"/>
            </w:pPr>
            <w:r>
              <w:t>Programme of Study:</w:t>
            </w:r>
          </w:p>
        </w:tc>
        <w:tc>
          <w:tcPr>
            <w:tcW w:w="5867" w:type="dxa"/>
            <w:tcBorders>
              <w:top w:val="single" w:sz="6" w:space="0" w:color="3F3F3F"/>
              <w:left w:val="single" w:sz="6" w:space="0" w:color="3F3F3F"/>
              <w:bottom w:val="single" w:sz="6" w:space="0" w:color="3F3F3F"/>
              <w:right w:val="single" w:sz="6" w:space="0" w:color="3F3F3F"/>
            </w:tcBorders>
            <w:vAlign w:val="center"/>
          </w:tcPr>
          <w:p w14:paraId="6673FD37" w14:textId="77777777" w:rsidR="00897D6D" w:rsidRDefault="00897D6D">
            <w:pPr>
              <w:spacing w:line="259" w:lineRule="auto"/>
            </w:pPr>
            <w:r>
              <w:t xml:space="preserve">Master of Business Administration </w:t>
            </w:r>
          </w:p>
        </w:tc>
      </w:tr>
      <w:tr w:rsidR="00897D6D" w14:paraId="7E963317" w14:textId="77777777" w:rsidTr="00455741">
        <w:trPr>
          <w:trHeight w:val="560"/>
        </w:trPr>
        <w:tc>
          <w:tcPr>
            <w:tcW w:w="494"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693148ED" w14:textId="77777777" w:rsidR="00897D6D" w:rsidRDefault="00897D6D">
            <w:pPr>
              <w:spacing w:line="259" w:lineRule="auto"/>
            </w:pPr>
            <w:r>
              <w:t>5</w:t>
            </w:r>
          </w:p>
        </w:tc>
        <w:tc>
          <w:tcPr>
            <w:tcW w:w="2876"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22C78AE2" w14:textId="77777777" w:rsidR="00897D6D" w:rsidRDefault="00897D6D">
            <w:pPr>
              <w:spacing w:line="259" w:lineRule="auto"/>
            </w:pPr>
            <w:r>
              <w:t>Supervisor:</w:t>
            </w:r>
          </w:p>
        </w:tc>
        <w:tc>
          <w:tcPr>
            <w:tcW w:w="5867" w:type="dxa"/>
            <w:tcBorders>
              <w:top w:val="single" w:sz="6" w:space="0" w:color="3F3F3F"/>
              <w:left w:val="single" w:sz="6" w:space="0" w:color="3F3F3F"/>
              <w:bottom w:val="single" w:sz="6" w:space="0" w:color="3F3F3F"/>
              <w:right w:val="single" w:sz="6" w:space="0" w:color="3F3F3F"/>
            </w:tcBorders>
            <w:vAlign w:val="center"/>
          </w:tcPr>
          <w:p w14:paraId="5C27D153" w14:textId="77777777" w:rsidR="00897D6D" w:rsidRDefault="00897D6D">
            <w:pPr>
              <w:spacing w:line="259" w:lineRule="auto"/>
            </w:pPr>
            <w:r>
              <w:t>Anthony Burns</w:t>
            </w:r>
          </w:p>
        </w:tc>
      </w:tr>
    </w:tbl>
    <w:p w14:paraId="633306AB" w14:textId="77777777" w:rsidR="00897D6D" w:rsidRDefault="00897D6D">
      <w:pPr>
        <w:spacing w:after="3" w:line="259" w:lineRule="auto"/>
        <w:ind w:left="-5"/>
      </w:pPr>
      <w:r>
        <w:rPr>
          <w:rFonts w:ascii="Arial" w:eastAsia="Arial" w:hAnsi="Arial" w:cs="Arial"/>
          <w:b/>
        </w:rPr>
        <w:t xml:space="preserve">SECTION B:  Internal and External Ethical Guidance Materials </w:t>
      </w:r>
    </w:p>
    <w:tbl>
      <w:tblPr>
        <w:tblStyle w:val="TableGrid"/>
        <w:tblW w:w="10452" w:type="dxa"/>
        <w:tblInd w:w="5" w:type="dxa"/>
        <w:tblCellMar>
          <w:top w:w="72" w:type="dxa"/>
          <w:left w:w="85" w:type="dxa"/>
          <w:right w:w="95" w:type="dxa"/>
        </w:tblCellMar>
        <w:tblLook w:val="04A0" w:firstRow="1" w:lastRow="0" w:firstColumn="1" w:lastColumn="0" w:noHBand="0" w:noVBand="1"/>
      </w:tblPr>
      <w:tblGrid>
        <w:gridCol w:w="560"/>
        <w:gridCol w:w="8761"/>
        <w:gridCol w:w="1131"/>
      </w:tblGrid>
      <w:tr w:rsidR="00897D6D" w14:paraId="3F2BA6E1" w14:textId="77777777">
        <w:trPr>
          <w:trHeight w:val="1363"/>
        </w:trPr>
        <w:tc>
          <w:tcPr>
            <w:tcW w:w="560" w:type="dxa"/>
            <w:tcBorders>
              <w:top w:val="single" w:sz="4" w:space="0" w:color="7F7F7F"/>
              <w:left w:val="single" w:sz="4" w:space="0" w:color="7F7F7F"/>
              <w:bottom w:val="single" w:sz="4" w:space="0" w:color="7F7F7F"/>
              <w:right w:val="single" w:sz="4" w:space="0" w:color="7F7F7F"/>
            </w:tcBorders>
          </w:tcPr>
          <w:p w14:paraId="3793BDFD" w14:textId="77777777" w:rsidR="00897D6D" w:rsidRDefault="00897D6D">
            <w:pPr>
              <w:spacing w:after="160" w:line="259" w:lineRule="auto"/>
            </w:pPr>
          </w:p>
        </w:tc>
        <w:tc>
          <w:tcPr>
            <w:tcW w:w="9891" w:type="dxa"/>
            <w:gridSpan w:val="2"/>
            <w:tcBorders>
              <w:top w:val="single" w:sz="4" w:space="0" w:color="7F7F7F"/>
              <w:left w:val="single" w:sz="4" w:space="0" w:color="7F7F7F"/>
              <w:bottom w:val="single" w:sz="4" w:space="0" w:color="7F7F7F"/>
              <w:right w:val="single" w:sz="4" w:space="0" w:color="7F7F7F"/>
            </w:tcBorders>
            <w:shd w:val="clear" w:color="auto" w:fill="F2F2F2"/>
          </w:tcPr>
          <w:p w14:paraId="39EC7405" w14:textId="77777777" w:rsidR="00897D6D" w:rsidRDefault="00897D6D">
            <w:pPr>
              <w:spacing w:line="259" w:lineRule="auto"/>
            </w:pPr>
            <w:r>
              <w:t xml:space="preserve">Please list the core ethical guidance documents that have been referred to during the completion of this form (including any discipline-specific codes of research ethics, location-specific </w:t>
            </w:r>
            <w:proofErr w:type="spellStart"/>
            <w:r>
              <w:t>dodes</w:t>
            </w:r>
            <w:proofErr w:type="spellEnd"/>
            <w:r>
              <w:t xml:space="preserve"> of research ethics, </w:t>
            </w:r>
            <w:proofErr w:type="gramStart"/>
            <w:r>
              <w:t>and also</w:t>
            </w:r>
            <w:proofErr w:type="gramEnd"/>
            <w:r>
              <w:t xml:space="preserve"> any specific ethical guidance relating to the proposed methodology).  Please tick to confirm that your research proposal adheres to these codes and guidelines. You may add rows to this table if needed.</w:t>
            </w:r>
          </w:p>
        </w:tc>
      </w:tr>
      <w:tr w:rsidR="00897D6D" w14:paraId="3658FCAE" w14:textId="77777777">
        <w:trPr>
          <w:trHeight w:val="430"/>
        </w:trPr>
        <w:tc>
          <w:tcPr>
            <w:tcW w:w="560" w:type="dxa"/>
            <w:tcBorders>
              <w:top w:val="single" w:sz="4" w:space="0" w:color="7F7F7F"/>
              <w:left w:val="single" w:sz="4" w:space="0" w:color="7F7F7F"/>
              <w:bottom w:val="single" w:sz="4" w:space="0" w:color="7F7F7F"/>
              <w:right w:val="single" w:sz="4" w:space="0" w:color="7F7F7F"/>
            </w:tcBorders>
          </w:tcPr>
          <w:p w14:paraId="08ADCF06" w14:textId="77777777" w:rsidR="00897D6D" w:rsidRDefault="00897D6D">
            <w:pPr>
              <w:spacing w:line="259" w:lineRule="auto"/>
            </w:pPr>
            <w:r>
              <w:t>1</w:t>
            </w:r>
          </w:p>
        </w:tc>
        <w:tc>
          <w:tcPr>
            <w:tcW w:w="8760" w:type="dxa"/>
            <w:tcBorders>
              <w:top w:val="single" w:sz="4" w:space="0" w:color="7F7F7F"/>
              <w:left w:val="single" w:sz="4" w:space="0" w:color="7F7F7F"/>
              <w:bottom w:val="single" w:sz="4" w:space="0" w:color="7F7F7F"/>
              <w:right w:val="single" w:sz="4" w:space="0" w:color="7F7F7F"/>
            </w:tcBorders>
          </w:tcPr>
          <w:p w14:paraId="0EEBBF06" w14:textId="77777777" w:rsidR="00897D6D" w:rsidRDefault="00897D6D">
            <w:pPr>
              <w:spacing w:line="259" w:lineRule="auto"/>
            </w:pPr>
            <w:r>
              <w:rPr>
                <w:rFonts w:ascii="Arial" w:eastAsia="Arial" w:hAnsi="Arial" w:cs="Arial"/>
                <w:b/>
              </w:rPr>
              <w:t>UWTSD Research Ethics &amp; Integrity Code of Practice</w:t>
            </w:r>
          </w:p>
        </w:tc>
        <w:tc>
          <w:tcPr>
            <w:tcW w:w="1131" w:type="dxa"/>
            <w:tcBorders>
              <w:top w:val="single" w:sz="4" w:space="0" w:color="7F7F7F"/>
              <w:left w:val="single" w:sz="4" w:space="0" w:color="7F7F7F"/>
              <w:bottom w:val="single" w:sz="4" w:space="0" w:color="7F7F7F"/>
              <w:right w:val="single" w:sz="4" w:space="0" w:color="7F7F7F"/>
            </w:tcBorders>
            <w:shd w:val="clear" w:color="auto" w:fill="BFBFBF"/>
          </w:tcPr>
          <w:p w14:paraId="050BF23F" w14:textId="77777777" w:rsidR="00897D6D" w:rsidRDefault="00897D6D">
            <w:pPr>
              <w:spacing w:line="259" w:lineRule="auto"/>
              <w:jc w:val="center"/>
            </w:pPr>
            <w:r>
              <w:rPr>
                <w:rFonts w:ascii="Arial" w:eastAsia="Arial" w:hAnsi="Arial" w:cs="Arial"/>
                <w:b/>
              </w:rPr>
              <w:t>X</w:t>
            </w:r>
          </w:p>
        </w:tc>
      </w:tr>
      <w:tr w:rsidR="00897D6D" w14:paraId="69A9E88A" w14:textId="77777777">
        <w:trPr>
          <w:trHeight w:val="430"/>
        </w:trPr>
        <w:tc>
          <w:tcPr>
            <w:tcW w:w="560" w:type="dxa"/>
            <w:tcBorders>
              <w:top w:val="single" w:sz="4" w:space="0" w:color="7F7F7F"/>
              <w:left w:val="single" w:sz="4" w:space="0" w:color="7F7F7F"/>
              <w:bottom w:val="single" w:sz="4" w:space="0" w:color="7F7F7F"/>
              <w:right w:val="single" w:sz="4" w:space="0" w:color="7F7F7F"/>
            </w:tcBorders>
          </w:tcPr>
          <w:p w14:paraId="0EE275FB" w14:textId="77777777" w:rsidR="00897D6D" w:rsidRDefault="00897D6D">
            <w:pPr>
              <w:spacing w:line="259" w:lineRule="auto"/>
            </w:pPr>
            <w:r>
              <w:t>2</w:t>
            </w:r>
          </w:p>
        </w:tc>
        <w:tc>
          <w:tcPr>
            <w:tcW w:w="8760" w:type="dxa"/>
            <w:tcBorders>
              <w:top w:val="single" w:sz="4" w:space="0" w:color="7F7F7F"/>
              <w:left w:val="single" w:sz="4" w:space="0" w:color="7F7F7F"/>
              <w:bottom w:val="single" w:sz="4" w:space="0" w:color="7F7F7F"/>
              <w:right w:val="single" w:sz="4" w:space="0" w:color="7F7F7F"/>
            </w:tcBorders>
          </w:tcPr>
          <w:p w14:paraId="20D4DEB3" w14:textId="77777777" w:rsidR="00897D6D" w:rsidRDefault="00897D6D">
            <w:pPr>
              <w:spacing w:line="259" w:lineRule="auto"/>
            </w:pPr>
            <w:r>
              <w:rPr>
                <w:rFonts w:ascii="Arial" w:eastAsia="Arial" w:hAnsi="Arial" w:cs="Arial"/>
                <w:b/>
              </w:rPr>
              <w:t>UWTSD Research Data Management Policy</w:t>
            </w:r>
          </w:p>
        </w:tc>
        <w:tc>
          <w:tcPr>
            <w:tcW w:w="1131" w:type="dxa"/>
            <w:tcBorders>
              <w:top w:val="single" w:sz="4" w:space="0" w:color="7F7F7F"/>
              <w:left w:val="single" w:sz="4" w:space="0" w:color="7F7F7F"/>
              <w:bottom w:val="single" w:sz="4" w:space="0" w:color="7F7F7F"/>
              <w:right w:val="single" w:sz="4" w:space="0" w:color="7F7F7F"/>
            </w:tcBorders>
            <w:shd w:val="clear" w:color="auto" w:fill="BFBFBF"/>
          </w:tcPr>
          <w:p w14:paraId="21703B91" w14:textId="77777777" w:rsidR="00897D6D" w:rsidRDefault="00897D6D">
            <w:pPr>
              <w:spacing w:line="259" w:lineRule="auto"/>
              <w:jc w:val="center"/>
            </w:pPr>
            <w:r>
              <w:rPr>
                <w:rFonts w:ascii="Arial" w:eastAsia="Arial" w:hAnsi="Arial" w:cs="Arial"/>
                <w:b/>
              </w:rPr>
              <w:t>X</w:t>
            </w:r>
          </w:p>
        </w:tc>
      </w:tr>
    </w:tbl>
    <w:p w14:paraId="364ADF2F" w14:textId="77777777" w:rsidR="00897D6D" w:rsidRDefault="00897D6D">
      <w:pPr>
        <w:spacing w:after="3" w:line="259" w:lineRule="auto"/>
        <w:ind w:left="-5"/>
      </w:pPr>
      <w:r>
        <w:rPr>
          <w:rFonts w:ascii="Arial" w:eastAsia="Arial" w:hAnsi="Arial" w:cs="Arial"/>
          <w:b/>
        </w:rPr>
        <w:t xml:space="preserve">SECTION C: Details of Research Activity </w:t>
      </w:r>
    </w:p>
    <w:p w14:paraId="7160DADF" w14:textId="77777777" w:rsidR="00897D6D" w:rsidRDefault="00897D6D">
      <w:pPr>
        <w:spacing w:after="0" w:line="259" w:lineRule="auto"/>
        <w:ind w:left="-720" w:right="14"/>
      </w:pPr>
    </w:p>
    <w:tbl>
      <w:tblPr>
        <w:tblStyle w:val="TableGrid"/>
        <w:tblW w:w="10467" w:type="dxa"/>
        <w:tblInd w:w="10" w:type="dxa"/>
        <w:tblCellMar>
          <w:top w:w="72" w:type="dxa"/>
          <w:left w:w="90" w:type="dxa"/>
          <w:right w:w="46" w:type="dxa"/>
        </w:tblCellMar>
        <w:tblLook w:val="04A0" w:firstRow="1" w:lastRow="0" w:firstColumn="1" w:lastColumn="0" w:noHBand="0" w:noVBand="1"/>
      </w:tblPr>
      <w:tblGrid>
        <w:gridCol w:w="497"/>
        <w:gridCol w:w="9970"/>
      </w:tblGrid>
      <w:tr w:rsidR="00897D6D" w14:paraId="5195BADB" w14:textId="77777777">
        <w:trPr>
          <w:trHeight w:val="2928"/>
        </w:trPr>
        <w:tc>
          <w:tcPr>
            <w:tcW w:w="497" w:type="dxa"/>
            <w:tcBorders>
              <w:top w:val="single" w:sz="4" w:space="0" w:color="7F7F7F"/>
              <w:left w:val="single" w:sz="8" w:space="0" w:color="000000"/>
              <w:bottom w:val="single" w:sz="8" w:space="0" w:color="000000"/>
              <w:right w:val="single" w:sz="8" w:space="0" w:color="000000"/>
            </w:tcBorders>
          </w:tcPr>
          <w:p w14:paraId="2BB9A42F" w14:textId="77777777" w:rsidR="00897D6D" w:rsidRDefault="00897D6D">
            <w:pPr>
              <w:spacing w:after="160" w:line="259" w:lineRule="auto"/>
            </w:pPr>
          </w:p>
        </w:tc>
        <w:tc>
          <w:tcPr>
            <w:tcW w:w="9971" w:type="dxa"/>
            <w:tcBorders>
              <w:top w:val="single" w:sz="4" w:space="0" w:color="7F7F7F"/>
              <w:left w:val="single" w:sz="8" w:space="0" w:color="000000"/>
              <w:bottom w:val="single" w:sz="8" w:space="0" w:color="000000"/>
              <w:right w:val="single" w:sz="8" w:space="0" w:color="000000"/>
            </w:tcBorders>
            <w:shd w:val="clear" w:color="auto" w:fill="F2F2F2"/>
          </w:tcPr>
          <w:p w14:paraId="0BDC6CA1" w14:textId="77777777" w:rsidR="00897D6D" w:rsidRDefault="00897D6D">
            <w:pPr>
              <w:spacing w:after="87" w:line="259" w:lineRule="auto"/>
            </w:pPr>
            <w:r>
              <w:rPr>
                <w:rFonts w:ascii="Arial" w:eastAsia="Arial" w:hAnsi="Arial" w:cs="Arial"/>
                <w:b/>
              </w:rPr>
              <w:t xml:space="preserve">Introduction to the Research (maximum 300 words in each section) </w:t>
            </w:r>
          </w:p>
          <w:p w14:paraId="22400FE4" w14:textId="77777777" w:rsidR="00897D6D" w:rsidRDefault="00897D6D">
            <w:pPr>
              <w:spacing w:after="110"/>
            </w:pPr>
            <w:r>
              <w:rPr>
                <w:rFonts w:ascii="Arial" w:eastAsia="Arial" w:hAnsi="Arial" w:cs="Arial"/>
                <w:b/>
              </w:rPr>
              <w:t xml:space="preserve">Ensure that you write for a </w:t>
            </w:r>
            <w:r>
              <w:rPr>
                <w:rFonts w:ascii="Arial" w:eastAsia="Arial" w:hAnsi="Arial" w:cs="Arial"/>
                <w:b/>
                <w:u w:val="single" w:color="000000"/>
              </w:rPr>
              <w:t>Non-Specialist Audience</w:t>
            </w:r>
            <w:r>
              <w:rPr>
                <w:rFonts w:ascii="Arial" w:eastAsia="Arial" w:hAnsi="Arial" w:cs="Arial"/>
                <w:b/>
              </w:rPr>
              <w:t xml:space="preserve"> when outlining your response to the three points below: </w:t>
            </w:r>
          </w:p>
          <w:p w14:paraId="0EAE6889" w14:textId="77777777" w:rsidR="00897D6D" w:rsidRDefault="00897D6D">
            <w:pPr>
              <w:numPr>
                <w:ilvl w:val="0"/>
                <w:numId w:val="1"/>
              </w:numPr>
              <w:spacing w:line="259" w:lineRule="auto"/>
              <w:ind w:hanging="360"/>
            </w:pPr>
            <w:r>
              <w:rPr>
                <w:rFonts w:ascii="Arial" w:eastAsia="Arial" w:hAnsi="Arial" w:cs="Arial"/>
                <w:i/>
              </w:rPr>
              <w:t xml:space="preserve">Purpose of Research Activity </w:t>
            </w:r>
          </w:p>
          <w:p w14:paraId="53ED06EA" w14:textId="77777777" w:rsidR="00897D6D" w:rsidRDefault="00897D6D">
            <w:pPr>
              <w:numPr>
                <w:ilvl w:val="0"/>
                <w:numId w:val="1"/>
              </w:numPr>
              <w:spacing w:line="259" w:lineRule="auto"/>
              <w:ind w:hanging="360"/>
            </w:pPr>
            <w:r>
              <w:rPr>
                <w:rFonts w:ascii="Arial" w:eastAsia="Arial" w:hAnsi="Arial" w:cs="Arial"/>
                <w:i/>
              </w:rPr>
              <w:t xml:space="preserve">Proposed Research Question </w:t>
            </w:r>
          </w:p>
          <w:p w14:paraId="472F3339" w14:textId="77777777" w:rsidR="00897D6D" w:rsidRDefault="00897D6D">
            <w:pPr>
              <w:numPr>
                <w:ilvl w:val="0"/>
                <w:numId w:val="1"/>
              </w:numPr>
              <w:spacing w:line="259" w:lineRule="auto"/>
              <w:ind w:hanging="360"/>
            </w:pPr>
            <w:r>
              <w:rPr>
                <w:rFonts w:ascii="Arial" w:eastAsia="Arial" w:hAnsi="Arial" w:cs="Arial"/>
                <w:i/>
              </w:rPr>
              <w:t xml:space="preserve">Aims of Research Activity </w:t>
            </w:r>
          </w:p>
          <w:p w14:paraId="78CCE0FA" w14:textId="77777777" w:rsidR="00897D6D" w:rsidRDefault="00897D6D">
            <w:pPr>
              <w:numPr>
                <w:ilvl w:val="0"/>
                <w:numId w:val="1"/>
              </w:numPr>
              <w:spacing w:line="259" w:lineRule="auto"/>
              <w:ind w:hanging="360"/>
            </w:pPr>
            <w:r>
              <w:rPr>
                <w:rFonts w:ascii="Arial" w:eastAsia="Arial" w:hAnsi="Arial" w:cs="Arial"/>
                <w:i/>
              </w:rPr>
              <w:t xml:space="preserve">Objectives of Research Activity </w:t>
            </w:r>
          </w:p>
          <w:p w14:paraId="66DFDDC4" w14:textId="77777777" w:rsidR="00897D6D" w:rsidRDefault="00897D6D">
            <w:pPr>
              <w:spacing w:after="76" w:line="259" w:lineRule="auto"/>
            </w:pPr>
            <w:r>
              <w:t xml:space="preserve">Demonstrate, briefly, how </w:t>
            </w:r>
            <w:r>
              <w:rPr>
                <w:rFonts w:ascii="Arial" w:eastAsia="Arial" w:hAnsi="Arial" w:cs="Arial"/>
                <w:b/>
                <w:u w:val="single" w:color="000000"/>
              </w:rPr>
              <w:t>Existing Research</w:t>
            </w:r>
            <w:r>
              <w:t xml:space="preserve"> has informed the proposed activity and explain </w:t>
            </w:r>
          </w:p>
          <w:p w14:paraId="354B874A" w14:textId="77777777" w:rsidR="00897D6D" w:rsidRDefault="00897D6D">
            <w:pPr>
              <w:numPr>
                <w:ilvl w:val="0"/>
                <w:numId w:val="1"/>
              </w:numPr>
              <w:spacing w:line="259" w:lineRule="auto"/>
              <w:ind w:hanging="360"/>
            </w:pPr>
            <w:r>
              <w:rPr>
                <w:rFonts w:ascii="Arial" w:eastAsia="Arial" w:hAnsi="Arial" w:cs="Arial"/>
                <w:i/>
              </w:rPr>
              <w:t xml:space="preserve">What the research activity will add to the body of knowledge  </w:t>
            </w:r>
          </w:p>
          <w:p w14:paraId="2D91E89E" w14:textId="77777777" w:rsidR="00897D6D" w:rsidRDefault="00897D6D">
            <w:pPr>
              <w:numPr>
                <w:ilvl w:val="0"/>
                <w:numId w:val="1"/>
              </w:numPr>
              <w:spacing w:line="259" w:lineRule="auto"/>
              <w:ind w:hanging="360"/>
            </w:pPr>
            <w:r>
              <w:rPr>
                <w:rFonts w:ascii="Arial" w:eastAsia="Arial" w:hAnsi="Arial" w:cs="Arial"/>
                <w:i/>
              </w:rPr>
              <w:t xml:space="preserve">How it addresses an area of importance. </w:t>
            </w:r>
          </w:p>
        </w:tc>
      </w:tr>
      <w:tr w:rsidR="00897D6D" w14:paraId="6FA71CB1" w14:textId="77777777">
        <w:trPr>
          <w:trHeight w:val="6494"/>
        </w:trPr>
        <w:tc>
          <w:tcPr>
            <w:tcW w:w="497" w:type="dxa"/>
            <w:tcBorders>
              <w:top w:val="single" w:sz="8" w:space="0" w:color="000000"/>
              <w:left w:val="single" w:sz="8" w:space="0" w:color="000000"/>
              <w:bottom w:val="single" w:sz="8" w:space="0" w:color="000000"/>
              <w:right w:val="single" w:sz="8" w:space="0" w:color="000000"/>
            </w:tcBorders>
            <w:vAlign w:val="center"/>
          </w:tcPr>
          <w:p w14:paraId="782E4C01" w14:textId="77777777" w:rsidR="00897D6D" w:rsidRDefault="00897D6D">
            <w:pPr>
              <w:spacing w:line="259" w:lineRule="auto"/>
            </w:pPr>
            <w:r>
              <w:t>3</w:t>
            </w:r>
          </w:p>
        </w:tc>
        <w:tc>
          <w:tcPr>
            <w:tcW w:w="9971" w:type="dxa"/>
            <w:tcBorders>
              <w:top w:val="single" w:sz="8" w:space="0" w:color="000000"/>
              <w:left w:val="single" w:sz="8" w:space="0" w:color="000000"/>
              <w:bottom w:val="single" w:sz="8" w:space="0" w:color="000000"/>
              <w:right w:val="single" w:sz="8" w:space="0" w:color="000000"/>
            </w:tcBorders>
          </w:tcPr>
          <w:p w14:paraId="2326CA83" w14:textId="77777777" w:rsidR="00897D6D" w:rsidRDefault="00897D6D">
            <w:pPr>
              <w:spacing w:after="18" w:line="259" w:lineRule="auto"/>
            </w:pPr>
            <w:r>
              <w:rPr>
                <w:rFonts w:ascii="Arial" w:eastAsia="Arial" w:hAnsi="Arial" w:cs="Arial"/>
                <w:b/>
              </w:rPr>
              <w:t xml:space="preserve">Purpose of Research Activity </w:t>
            </w:r>
          </w:p>
          <w:p w14:paraId="2233B8B7" w14:textId="77777777" w:rsidR="00897D6D" w:rsidRDefault="00897D6D">
            <w:pPr>
              <w:spacing w:after="240" w:line="259" w:lineRule="auto"/>
            </w:pPr>
            <w:r>
              <w:rPr>
                <w:rFonts w:ascii="Times New Roman" w:eastAsia="Times New Roman" w:hAnsi="Times New Roman" w:cs="Times New Roman"/>
                <w:sz w:val="24"/>
              </w:rPr>
              <w:t xml:space="preserve">This research examines how Virgin Atlantic and selected European full-service carriers (FSCs) have evolved their ancillary revenue (AR) models following the COVID-19 pandemic, and how these strategies have contributed to financial resilience, liquidity generation, and competitive positioning. The airline industry experienced unprecedented disruption during 2020–2021, exposing structural dependencies on fare revenue and prompting carriers to expand and diversify AR streams. </w:t>
            </w:r>
          </w:p>
          <w:p w14:paraId="35421601" w14:textId="77777777" w:rsidR="00897D6D" w:rsidRDefault="00897D6D">
            <w:pPr>
              <w:spacing w:after="240" w:line="259" w:lineRule="auto"/>
            </w:pPr>
            <w:r>
              <w:rPr>
                <w:rFonts w:ascii="Times New Roman" w:eastAsia="Times New Roman" w:hAnsi="Times New Roman" w:cs="Times New Roman"/>
                <w:sz w:val="24"/>
              </w:rPr>
              <w:t xml:space="preserve">The purpose of this study is to understand the strategic, technological, and brand-related factors shaping AR development in the post-pandemic period, with particular focus on the unique challenges faced by long-haul, premium-positioned airlines. This includes analysing the balance between AR monetisation and brand equity protection, understanding the changing role of loyalty programmes, and assessing how digital retailing maturity affects revenue optimisation. </w:t>
            </w:r>
          </w:p>
          <w:p w14:paraId="4352EFD1" w14:textId="77777777" w:rsidR="00897D6D" w:rsidRDefault="00897D6D">
            <w:pPr>
              <w:spacing w:after="1118" w:line="259" w:lineRule="auto"/>
              <w:ind w:right="20"/>
            </w:pPr>
            <w:r>
              <w:rPr>
                <w:rFonts w:ascii="Times New Roman" w:eastAsia="Times New Roman" w:hAnsi="Times New Roman" w:cs="Times New Roman"/>
                <w:sz w:val="24"/>
              </w:rPr>
              <w:t xml:space="preserve">By gathering insights directly from commercial and revenue management professionals, the research aims to generate academically robust and commercially actionable knowledge. The findings will support Virgin Atlantic and comparable FSCs in evaluating and strengthening their ancillary strategies in a structurally altered market environment. </w:t>
            </w:r>
          </w:p>
          <w:p w14:paraId="5FC6FB64" w14:textId="77777777" w:rsidR="00897D6D" w:rsidRDefault="00897D6D">
            <w:pPr>
              <w:spacing w:line="259" w:lineRule="auto"/>
            </w:pPr>
            <w:r>
              <w:rPr>
                <w:color w:val="808080"/>
                <w:sz w:val="18"/>
              </w:rPr>
              <w:t>(this box should expand as you type)</w:t>
            </w:r>
          </w:p>
        </w:tc>
      </w:tr>
      <w:tr w:rsidR="00897D6D" w14:paraId="3DBC6BE4" w14:textId="77777777">
        <w:trPr>
          <w:trHeight w:val="4954"/>
        </w:trPr>
        <w:tc>
          <w:tcPr>
            <w:tcW w:w="497" w:type="dxa"/>
            <w:tcBorders>
              <w:top w:val="single" w:sz="8" w:space="0" w:color="000000"/>
              <w:left w:val="single" w:sz="8" w:space="0" w:color="000000"/>
              <w:bottom w:val="single" w:sz="8" w:space="0" w:color="000000"/>
              <w:right w:val="single" w:sz="8" w:space="0" w:color="000000"/>
            </w:tcBorders>
            <w:vAlign w:val="center"/>
          </w:tcPr>
          <w:p w14:paraId="7904ABAE" w14:textId="77777777" w:rsidR="00897D6D" w:rsidRDefault="00897D6D">
            <w:pPr>
              <w:spacing w:line="259" w:lineRule="auto"/>
            </w:pPr>
            <w:r>
              <w:lastRenderedPageBreak/>
              <w:t>4</w:t>
            </w:r>
          </w:p>
        </w:tc>
        <w:tc>
          <w:tcPr>
            <w:tcW w:w="9971" w:type="dxa"/>
            <w:tcBorders>
              <w:top w:val="single" w:sz="8" w:space="0" w:color="000000"/>
              <w:left w:val="single" w:sz="8" w:space="0" w:color="000000"/>
              <w:bottom w:val="single" w:sz="8" w:space="0" w:color="000000"/>
              <w:right w:val="single" w:sz="8" w:space="0" w:color="000000"/>
            </w:tcBorders>
          </w:tcPr>
          <w:p w14:paraId="433B3C4E" w14:textId="77777777" w:rsidR="00897D6D" w:rsidRDefault="00897D6D">
            <w:pPr>
              <w:spacing w:after="18" w:line="259" w:lineRule="auto"/>
            </w:pPr>
            <w:r>
              <w:rPr>
                <w:rFonts w:ascii="Arial" w:eastAsia="Arial" w:hAnsi="Arial" w:cs="Arial"/>
                <w:b/>
              </w:rPr>
              <w:t xml:space="preserve">Research Question </w:t>
            </w:r>
          </w:p>
          <w:p w14:paraId="52854D2F" w14:textId="77777777" w:rsidR="00897D6D" w:rsidRDefault="00897D6D">
            <w:pPr>
              <w:numPr>
                <w:ilvl w:val="0"/>
                <w:numId w:val="2"/>
              </w:numPr>
              <w:spacing w:after="29" w:line="234" w:lineRule="auto"/>
              <w:ind w:hanging="640"/>
            </w:pPr>
            <w:r>
              <w:rPr>
                <w:rFonts w:ascii="Times New Roman" w:eastAsia="Times New Roman" w:hAnsi="Times New Roman" w:cs="Times New Roman"/>
                <w:color w:val="1A1B1D"/>
                <w:sz w:val="24"/>
              </w:rPr>
              <w:t xml:space="preserve">How </w:t>
            </w:r>
            <w:proofErr w:type="gramStart"/>
            <w:r>
              <w:rPr>
                <w:rFonts w:ascii="Times New Roman" w:eastAsia="Times New Roman" w:hAnsi="Times New Roman" w:cs="Times New Roman"/>
                <w:color w:val="1A1B1D"/>
                <w:sz w:val="24"/>
              </w:rPr>
              <w:t>has</w:t>
            </w:r>
            <w:proofErr w:type="gramEnd"/>
            <w:r>
              <w:rPr>
                <w:rFonts w:ascii="Times New Roman" w:eastAsia="Times New Roman" w:hAnsi="Times New Roman" w:cs="Times New Roman"/>
                <w:color w:val="1A1B1D"/>
                <w:sz w:val="24"/>
              </w:rPr>
              <w:t xml:space="preserve"> the definition and composition of ancillary revenue evolved for Virgin Atlantic and     major European FSCs since 2008, particularly with the emergence of new categories post-COVID?</w:t>
            </w:r>
            <w:r>
              <w:rPr>
                <w:rFonts w:ascii="Times New Roman" w:eastAsia="Times New Roman" w:hAnsi="Times New Roman" w:cs="Times New Roman"/>
                <w:color w:val="1A1B1D"/>
                <w:sz w:val="36"/>
              </w:rPr>
              <w:t xml:space="preserve"> </w:t>
            </w:r>
          </w:p>
          <w:p w14:paraId="5EEEDD89" w14:textId="77777777" w:rsidR="00897D6D" w:rsidRDefault="00897D6D">
            <w:pPr>
              <w:numPr>
                <w:ilvl w:val="0"/>
                <w:numId w:val="2"/>
              </w:numPr>
              <w:spacing w:line="275" w:lineRule="auto"/>
              <w:ind w:hanging="640"/>
            </w:pPr>
            <w:r>
              <w:rPr>
                <w:rFonts w:ascii="Times New Roman" w:eastAsia="Times New Roman" w:hAnsi="Times New Roman" w:cs="Times New Roman"/>
                <w:color w:val="1A1B1D"/>
                <w:sz w:val="24"/>
              </w:rPr>
              <w:t xml:space="preserve">What strategic lessons can be drawn from the ancillary revenue model and service bundling approach of long-haul rail operators (e.g., Eurostar) that are applicable to Virgin Atlantic's long-haul strategy? </w:t>
            </w:r>
          </w:p>
          <w:p w14:paraId="0CB5CC54" w14:textId="77777777" w:rsidR="00897D6D" w:rsidRDefault="00897D6D">
            <w:pPr>
              <w:numPr>
                <w:ilvl w:val="0"/>
                <w:numId w:val="2"/>
              </w:numPr>
              <w:spacing w:line="246" w:lineRule="auto"/>
              <w:ind w:hanging="640"/>
            </w:pPr>
            <w:r>
              <w:rPr>
                <w:rFonts w:ascii="Times New Roman" w:eastAsia="Times New Roman" w:hAnsi="Times New Roman" w:cs="Times New Roman"/>
                <w:color w:val="1A1B1D"/>
                <w:sz w:val="24"/>
              </w:rPr>
              <w:t xml:space="preserve">What is the established academic framework for valuing a frequent flyer programme (FFP), and how have FFP sales and other key ancillary categories driven Virgin Atlantic's </w:t>
            </w:r>
            <w:proofErr w:type="spellStart"/>
            <w:r>
              <w:rPr>
                <w:rFonts w:ascii="Times New Roman" w:eastAsia="Times New Roman" w:hAnsi="Times New Roman" w:cs="Times New Roman"/>
                <w:color w:val="1A1B1D"/>
                <w:sz w:val="24"/>
              </w:rPr>
              <w:t>postpandemic</w:t>
            </w:r>
            <w:proofErr w:type="spellEnd"/>
            <w:r>
              <w:rPr>
                <w:rFonts w:ascii="Times New Roman" w:eastAsia="Times New Roman" w:hAnsi="Times New Roman" w:cs="Times New Roman"/>
                <w:color w:val="1A1B1D"/>
                <w:sz w:val="24"/>
              </w:rPr>
              <w:t xml:space="preserve"> ARPP growth and financial resilience compared to competitors?</w:t>
            </w:r>
            <w:r>
              <w:rPr>
                <w:rFonts w:ascii="Times New Roman" w:eastAsia="Times New Roman" w:hAnsi="Times New Roman" w:cs="Times New Roman"/>
                <w:color w:val="1A1B1D"/>
                <w:sz w:val="36"/>
              </w:rPr>
              <w:t xml:space="preserve"> </w:t>
            </w:r>
          </w:p>
          <w:p w14:paraId="356C7A26" w14:textId="77777777" w:rsidR="00897D6D" w:rsidRDefault="00897D6D">
            <w:pPr>
              <w:numPr>
                <w:ilvl w:val="0"/>
                <w:numId w:val="2"/>
              </w:numPr>
              <w:spacing w:after="796" w:line="246" w:lineRule="auto"/>
              <w:ind w:hanging="640"/>
            </w:pPr>
            <w:r>
              <w:rPr>
                <w:rFonts w:ascii="Times New Roman" w:eastAsia="Times New Roman" w:hAnsi="Times New Roman" w:cs="Times New Roman"/>
                <w:color w:val="1A1B1D"/>
                <w:sz w:val="24"/>
              </w:rPr>
              <w:t>What are the perceived risks and trade-offs of implementing LCC-style à la carte fees for a premium brand like Virgin Atlantic, and what technological barriers limit its ability to dynamically price and personalise ancillary offers?</w:t>
            </w:r>
            <w:r>
              <w:rPr>
                <w:rFonts w:ascii="Times New Roman" w:eastAsia="Times New Roman" w:hAnsi="Times New Roman" w:cs="Times New Roman"/>
                <w:color w:val="1A1B1D"/>
                <w:sz w:val="36"/>
              </w:rPr>
              <w:t xml:space="preserve"> </w:t>
            </w:r>
          </w:p>
          <w:p w14:paraId="1D96D029" w14:textId="77777777" w:rsidR="00897D6D" w:rsidRDefault="00897D6D">
            <w:pPr>
              <w:spacing w:line="259" w:lineRule="auto"/>
            </w:pPr>
            <w:r>
              <w:rPr>
                <w:sz w:val="18"/>
              </w:rPr>
              <w:t>(this box should expand as you type)</w:t>
            </w:r>
          </w:p>
        </w:tc>
      </w:tr>
    </w:tbl>
    <w:p w14:paraId="0083F01C" w14:textId="77777777" w:rsidR="00897D6D" w:rsidRDefault="00897D6D">
      <w:pPr>
        <w:spacing w:after="0" w:line="259" w:lineRule="auto"/>
        <w:ind w:left="-720" w:right="14"/>
      </w:pPr>
    </w:p>
    <w:tbl>
      <w:tblPr>
        <w:tblStyle w:val="TableGrid"/>
        <w:tblW w:w="10467" w:type="dxa"/>
        <w:tblInd w:w="10" w:type="dxa"/>
        <w:tblCellMar>
          <w:top w:w="77" w:type="dxa"/>
          <w:left w:w="90" w:type="dxa"/>
          <w:right w:w="36" w:type="dxa"/>
        </w:tblCellMar>
        <w:tblLook w:val="04A0" w:firstRow="1" w:lastRow="0" w:firstColumn="1" w:lastColumn="0" w:noHBand="0" w:noVBand="1"/>
      </w:tblPr>
      <w:tblGrid>
        <w:gridCol w:w="497"/>
        <w:gridCol w:w="9970"/>
      </w:tblGrid>
      <w:tr w:rsidR="00897D6D" w14:paraId="72CE781F" w14:textId="77777777">
        <w:trPr>
          <w:trHeight w:val="4594"/>
        </w:trPr>
        <w:tc>
          <w:tcPr>
            <w:tcW w:w="497" w:type="dxa"/>
            <w:tcBorders>
              <w:top w:val="single" w:sz="8" w:space="0" w:color="000000"/>
              <w:left w:val="single" w:sz="8" w:space="0" w:color="000000"/>
              <w:bottom w:val="single" w:sz="8" w:space="0" w:color="000000"/>
              <w:right w:val="single" w:sz="8" w:space="0" w:color="000000"/>
            </w:tcBorders>
            <w:vAlign w:val="center"/>
          </w:tcPr>
          <w:p w14:paraId="609F1353" w14:textId="77777777" w:rsidR="00897D6D" w:rsidRDefault="00897D6D">
            <w:pPr>
              <w:spacing w:line="259" w:lineRule="auto"/>
            </w:pPr>
            <w:r>
              <w:t>5</w:t>
            </w:r>
          </w:p>
        </w:tc>
        <w:tc>
          <w:tcPr>
            <w:tcW w:w="9971" w:type="dxa"/>
            <w:tcBorders>
              <w:top w:val="single" w:sz="8" w:space="0" w:color="000000"/>
              <w:left w:val="single" w:sz="8" w:space="0" w:color="000000"/>
              <w:bottom w:val="single" w:sz="8" w:space="0" w:color="000000"/>
              <w:right w:val="single" w:sz="8" w:space="0" w:color="000000"/>
            </w:tcBorders>
          </w:tcPr>
          <w:p w14:paraId="51B536FC" w14:textId="77777777" w:rsidR="00897D6D" w:rsidRDefault="00897D6D">
            <w:pPr>
              <w:spacing w:after="222" w:line="259" w:lineRule="auto"/>
            </w:pPr>
            <w:r>
              <w:rPr>
                <w:rFonts w:ascii="Arial" w:eastAsia="Arial" w:hAnsi="Arial" w:cs="Arial"/>
                <w:b/>
              </w:rPr>
              <w:t xml:space="preserve">Aims of Research Activity </w:t>
            </w:r>
          </w:p>
          <w:p w14:paraId="300B5311" w14:textId="77777777" w:rsidR="00897D6D" w:rsidRDefault="00897D6D">
            <w:pPr>
              <w:spacing w:after="240" w:line="243" w:lineRule="auto"/>
            </w:pPr>
            <w:r>
              <w:rPr>
                <w:sz w:val="24"/>
              </w:rPr>
              <w:t xml:space="preserve">The primary aim is to critically evaluate the strategic evolution and implementation of ancillary revenue models by Virgin Atlantic and selected European FSCs (2020–2025), and to assess the extent to which these strategies support financial resilience and competitive advantage. </w:t>
            </w:r>
          </w:p>
          <w:p w14:paraId="3D7E6DC5" w14:textId="77777777" w:rsidR="00897D6D" w:rsidRDefault="00897D6D">
            <w:pPr>
              <w:spacing w:after="240" w:line="243" w:lineRule="auto"/>
            </w:pPr>
            <w:r>
              <w:rPr>
                <w:sz w:val="24"/>
              </w:rPr>
              <w:t xml:space="preserve">A further aim is to explore the operational, technological, and brand-related barriers that influence ancillary product development, dynamic pricing capability and loyalty monetisation within a premium long-haul context. </w:t>
            </w:r>
          </w:p>
          <w:p w14:paraId="3645FA0E" w14:textId="77777777" w:rsidR="00897D6D" w:rsidRDefault="00897D6D">
            <w:pPr>
              <w:spacing w:after="415" w:line="243" w:lineRule="auto"/>
            </w:pPr>
            <w:r>
              <w:rPr>
                <w:sz w:val="24"/>
              </w:rPr>
              <w:t xml:space="preserve">Finally, the study aims to produce evidence-based recommendations for Virgin Atlantic for optimising its ancillary portfolio while protecting brand equity and improving long-term yield performance. </w:t>
            </w:r>
          </w:p>
          <w:p w14:paraId="3596BC9C" w14:textId="77777777" w:rsidR="00897D6D" w:rsidRDefault="00897D6D">
            <w:pPr>
              <w:spacing w:line="259" w:lineRule="auto"/>
            </w:pPr>
            <w:r>
              <w:rPr>
                <w:color w:val="808080"/>
                <w:sz w:val="18"/>
              </w:rPr>
              <w:t>(this box should expand as you type)</w:t>
            </w:r>
          </w:p>
        </w:tc>
      </w:tr>
      <w:tr w:rsidR="00897D6D" w14:paraId="47F02F84" w14:textId="77777777">
        <w:trPr>
          <w:trHeight w:val="5314"/>
        </w:trPr>
        <w:tc>
          <w:tcPr>
            <w:tcW w:w="497" w:type="dxa"/>
            <w:tcBorders>
              <w:top w:val="single" w:sz="8" w:space="0" w:color="000000"/>
              <w:left w:val="single" w:sz="8" w:space="0" w:color="000000"/>
              <w:bottom w:val="single" w:sz="8" w:space="0" w:color="000000"/>
              <w:right w:val="single" w:sz="8" w:space="0" w:color="000000"/>
            </w:tcBorders>
            <w:vAlign w:val="center"/>
          </w:tcPr>
          <w:p w14:paraId="75E33A17" w14:textId="77777777" w:rsidR="00897D6D" w:rsidRDefault="00897D6D">
            <w:pPr>
              <w:spacing w:line="259" w:lineRule="auto"/>
            </w:pPr>
            <w:r>
              <w:lastRenderedPageBreak/>
              <w:t>6</w:t>
            </w:r>
          </w:p>
        </w:tc>
        <w:tc>
          <w:tcPr>
            <w:tcW w:w="9971" w:type="dxa"/>
            <w:tcBorders>
              <w:top w:val="single" w:sz="8" w:space="0" w:color="000000"/>
              <w:left w:val="single" w:sz="8" w:space="0" w:color="000000"/>
              <w:bottom w:val="single" w:sz="8" w:space="0" w:color="000000"/>
              <w:right w:val="single" w:sz="8" w:space="0" w:color="000000"/>
            </w:tcBorders>
          </w:tcPr>
          <w:p w14:paraId="293875B9" w14:textId="77777777" w:rsidR="00897D6D" w:rsidRDefault="00897D6D">
            <w:pPr>
              <w:spacing w:after="742" w:line="259" w:lineRule="auto"/>
            </w:pPr>
            <w:r>
              <w:rPr>
                <w:rFonts w:ascii="Arial" w:eastAsia="Arial" w:hAnsi="Arial" w:cs="Arial"/>
                <w:b/>
              </w:rPr>
              <w:t xml:space="preserve">Objectives of Research Activity </w:t>
            </w:r>
          </w:p>
          <w:p w14:paraId="76090D4D" w14:textId="77777777" w:rsidR="00897D6D" w:rsidRDefault="00897D6D">
            <w:pPr>
              <w:numPr>
                <w:ilvl w:val="0"/>
                <w:numId w:val="3"/>
              </w:numPr>
              <w:spacing w:after="233" w:line="250" w:lineRule="auto"/>
              <w:ind w:hanging="500"/>
            </w:pPr>
            <w:r>
              <w:rPr>
                <w:sz w:val="24"/>
              </w:rPr>
              <w:t xml:space="preserve">To critically review academic and industry literature on ancillary revenue, loyalty economics, and airline retail strategy. </w:t>
            </w:r>
          </w:p>
          <w:p w14:paraId="54502DAB" w14:textId="77777777" w:rsidR="00897D6D" w:rsidRDefault="00897D6D">
            <w:pPr>
              <w:numPr>
                <w:ilvl w:val="0"/>
                <w:numId w:val="3"/>
              </w:numPr>
              <w:spacing w:after="233" w:line="250" w:lineRule="auto"/>
              <w:ind w:hanging="500"/>
            </w:pPr>
            <w:r>
              <w:rPr>
                <w:sz w:val="24"/>
              </w:rPr>
              <w:t xml:space="preserve">To contrast LCC ancillary models with post-pandemic FSC strategies, focusing on the European regulatory environment. </w:t>
            </w:r>
          </w:p>
          <w:p w14:paraId="22F4EC23" w14:textId="77777777" w:rsidR="00897D6D" w:rsidRDefault="00897D6D">
            <w:pPr>
              <w:numPr>
                <w:ilvl w:val="0"/>
                <w:numId w:val="3"/>
              </w:numPr>
              <w:spacing w:after="233" w:line="250" w:lineRule="auto"/>
              <w:ind w:hanging="500"/>
            </w:pPr>
            <w:r>
              <w:rPr>
                <w:sz w:val="24"/>
              </w:rPr>
              <w:t xml:space="preserve">To conduct semi-structured interviews with airline commercial and revenue management professionals. </w:t>
            </w:r>
          </w:p>
          <w:p w14:paraId="2913CD96" w14:textId="77777777" w:rsidR="00897D6D" w:rsidRDefault="00897D6D">
            <w:pPr>
              <w:numPr>
                <w:ilvl w:val="0"/>
                <w:numId w:val="3"/>
              </w:numPr>
              <w:spacing w:after="227" w:line="259" w:lineRule="auto"/>
              <w:ind w:hanging="500"/>
            </w:pPr>
            <w:r>
              <w:rPr>
                <w:sz w:val="24"/>
              </w:rPr>
              <w:t xml:space="preserve">To analyse findings to identify patterns, risks, opportunities, and capability gaps. </w:t>
            </w:r>
          </w:p>
          <w:p w14:paraId="77C2C948" w14:textId="77777777" w:rsidR="00897D6D" w:rsidRDefault="00897D6D">
            <w:pPr>
              <w:numPr>
                <w:ilvl w:val="0"/>
                <w:numId w:val="3"/>
              </w:numPr>
              <w:spacing w:after="407" w:line="250" w:lineRule="auto"/>
              <w:ind w:hanging="500"/>
            </w:pPr>
            <w:r>
              <w:rPr>
                <w:sz w:val="24"/>
              </w:rPr>
              <w:t xml:space="preserve">To formulate practical recommendations for Virgin Atlantic to support financial resilience and protect premium brand equity. </w:t>
            </w:r>
          </w:p>
          <w:p w14:paraId="06B0CE8A" w14:textId="77777777" w:rsidR="00897D6D" w:rsidRDefault="00897D6D">
            <w:pPr>
              <w:spacing w:line="259" w:lineRule="auto"/>
            </w:pPr>
            <w:r>
              <w:rPr>
                <w:color w:val="808080"/>
                <w:sz w:val="18"/>
              </w:rPr>
              <w:t>(this box should expand as you type)</w:t>
            </w:r>
          </w:p>
        </w:tc>
      </w:tr>
      <w:tr w:rsidR="00897D6D" w14:paraId="17769D35" w14:textId="77777777">
        <w:trPr>
          <w:trHeight w:val="1733"/>
        </w:trPr>
        <w:tc>
          <w:tcPr>
            <w:tcW w:w="497" w:type="dxa"/>
            <w:tcBorders>
              <w:top w:val="single" w:sz="8" w:space="0" w:color="000000"/>
              <w:left w:val="single" w:sz="8" w:space="0" w:color="000000"/>
              <w:bottom w:val="single" w:sz="8" w:space="0" w:color="000000"/>
              <w:right w:val="single" w:sz="8" w:space="0" w:color="000000"/>
            </w:tcBorders>
          </w:tcPr>
          <w:p w14:paraId="645BBB4F" w14:textId="77777777" w:rsidR="00897D6D" w:rsidRDefault="00897D6D">
            <w:pPr>
              <w:spacing w:after="160" w:line="259" w:lineRule="auto"/>
            </w:pPr>
          </w:p>
        </w:tc>
        <w:tc>
          <w:tcPr>
            <w:tcW w:w="9971" w:type="dxa"/>
            <w:tcBorders>
              <w:top w:val="single" w:sz="8" w:space="0" w:color="000000"/>
              <w:left w:val="single" w:sz="8" w:space="0" w:color="000000"/>
              <w:bottom w:val="single" w:sz="8" w:space="0" w:color="000000"/>
              <w:right w:val="single" w:sz="8" w:space="0" w:color="000000"/>
            </w:tcBorders>
            <w:shd w:val="clear" w:color="auto" w:fill="F2F2F2"/>
          </w:tcPr>
          <w:p w14:paraId="2E2DB62B" w14:textId="77777777" w:rsidR="00897D6D" w:rsidRDefault="00897D6D">
            <w:pPr>
              <w:spacing w:after="87" w:line="259" w:lineRule="auto"/>
            </w:pPr>
            <w:r>
              <w:rPr>
                <w:rFonts w:ascii="Arial" w:eastAsia="Arial" w:hAnsi="Arial" w:cs="Arial"/>
                <w:b/>
              </w:rPr>
              <w:t xml:space="preserve">Proposed data collection methods (maximum 600 words) </w:t>
            </w:r>
          </w:p>
          <w:p w14:paraId="2AB25BC0" w14:textId="77777777" w:rsidR="00897D6D" w:rsidRDefault="00897D6D">
            <w:pPr>
              <w:spacing w:line="259" w:lineRule="auto"/>
            </w:pPr>
            <w:r>
              <w:t xml:space="preserve">Provide </w:t>
            </w:r>
            <w:proofErr w:type="gramStart"/>
            <w:r>
              <w:t>a brief summary</w:t>
            </w:r>
            <w:proofErr w:type="gramEnd"/>
            <w:r>
              <w:t xml:space="preserve"> of all the methods that </w:t>
            </w:r>
            <w:r>
              <w:rPr>
                <w:rFonts w:ascii="Arial" w:eastAsia="Arial" w:hAnsi="Arial" w:cs="Arial"/>
                <w:b/>
              </w:rPr>
              <w:t>may</w:t>
            </w:r>
            <w: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proofErr w:type="gramStart"/>
            <w:r>
              <w:t>here, but</w:t>
            </w:r>
            <w:proofErr w:type="gramEnd"/>
            <w:r>
              <w:t xml:space="preserve"> should instead describe how you intend to collect the data necessary for you to complete your project.</w:t>
            </w:r>
          </w:p>
        </w:tc>
      </w:tr>
      <w:tr w:rsidR="00897D6D" w14:paraId="72FE1F40" w14:textId="77777777">
        <w:trPr>
          <w:trHeight w:val="7094"/>
        </w:trPr>
        <w:tc>
          <w:tcPr>
            <w:tcW w:w="497" w:type="dxa"/>
            <w:tcBorders>
              <w:top w:val="single" w:sz="8" w:space="0" w:color="000000"/>
              <w:left w:val="single" w:sz="8" w:space="0" w:color="000000"/>
              <w:bottom w:val="single" w:sz="8" w:space="0" w:color="000000"/>
              <w:right w:val="single" w:sz="8" w:space="0" w:color="000000"/>
            </w:tcBorders>
            <w:vAlign w:val="center"/>
          </w:tcPr>
          <w:p w14:paraId="3C79C688" w14:textId="77777777" w:rsidR="00897D6D" w:rsidRDefault="00897D6D">
            <w:pPr>
              <w:spacing w:line="259" w:lineRule="auto"/>
            </w:pPr>
            <w:r>
              <w:lastRenderedPageBreak/>
              <w:t>7</w:t>
            </w:r>
          </w:p>
        </w:tc>
        <w:tc>
          <w:tcPr>
            <w:tcW w:w="9971" w:type="dxa"/>
            <w:tcBorders>
              <w:top w:val="single" w:sz="8" w:space="0" w:color="000000"/>
              <w:left w:val="single" w:sz="8" w:space="0" w:color="000000"/>
              <w:bottom w:val="single" w:sz="8" w:space="0" w:color="000000"/>
              <w:right w:val="single" w:sz="8" w:space="0" w:color="000000"/>
            </w:tcBorders>
          </w:tcPr>
          <w:p w14:paraId="26C225CD" w14:textId="77777777" w:rsidR="00897D6D" w:rsidRDefault="00897D6D">
            <w:pPr>
              <w:spacing w:after="240" w:line="259" w:lineRule="auto"/>
            </w:pPr>
            <w:r>
              <w:rPr>
                <w:rFonts w:ascii="Times New Roman" w:eastAsia="Times New Roman" w:hAnsi="Times New Roman" w:cs="Times New Roman"/>
                <w:sz w:val="24"/>
              </w:rPr>
              <w:t xml:space="preserve">Data will be collected using semi-structured interviews with airline commercial staff, revenue management personnel, and ancillary product specialists. These interviews will explore professional perspectives on ancillary strategy evolution, technological constraints, brand considerations, and post-pandemic commercial adaptation. </w:t>
            </w:r>
          </w:p>
          <w:p w14:paraId="0130ED83" w14:textId="77777777" w:rsidR="00897D6D" w:rsidRDefault="00897D6D">
            <w:pPr>
              <w:spacing w:after="240" w:line="259" w:lineRule="auto"/>
            </w:pPr>
            <w:r>
              <w:rPr>
                <w:rFonts w:ascii="Times New Roman" w:eastAsia="Times New Roman" w:hAnsi="Times New Roman" w:cs="Times New Roman"/>
                <w:sz w:val="24"/>
              </w:rPr>
              <w:t xml:space="preserve">Interviews will be conducted online (e.g., Teams/Zoom) or via telephone. With participant consent, audio recordings will be taken solely for transcription and analysis. No video recordings will be used unless explicitly approved. Audio files will be stored securely in encrypted, password-protected folders. </w:t>
            </w:r>
          </w:p>
          <w:p w14:paraId="4D146B5E" w14:textId="77777777" w:rsidR="00897D6D" w:rsidRDefault="00897D6D">
            <w:pPr>
              <w:spacing w:after="240" w:line="259" w:lineRule="auto"/>
            </w:pPr>
            <w:r>
              <w:rPr>
                <w:rFonts w:ascii="Times New Roman" w:eastAsia="Times New Roman" w:hAnsi="Times New Roman" w:cs="Times New Roman"/>
                <w:sz w:val="24"/>
              </w:rPr>
              <w:t xml:space="preserve">Supplementary secondary data will include: </w:t>
            </w:r>
          </w:p>
          <w:p w14:paraId="2367D882" w14:textId="77777777" w:rsidR="00897D6D" w:rsidRDefault="00897D6D">
            <w:pPr>
              <w:numPr>
                <w:ilvl w:val="0"/>
                <w:numId w:val="4"/>
              </w:numPr>
              <w:spacing w:after="246" w:line="259" w:lineRule="auto"/>
              <w:ind w:hanging="500"/>
            </w:pPr>
            <w:r>
              <w:rPr>
                <w:rFonts w:ascii="Times New Roman" w:eastAsia="Times New Roman" w:hAnsi="Times New Roman" w:cs="Times New Roman"/>
                <w:sz w:val="24"/>
              </w:rPr>
              <w:t xml:space="preserve">Industry reports (IATA, CAPA, </w:t>
            </w:r>
            <w:proofErr w:type="spellStart"/>
            <w:r>
              <w:rPr>
                <w:rFonts w:ascii="Times New Roman" w:eastAsia="Times New Roman" w:hAnsi="Times New Roman" w:cs="Times New Roman"/>
                <w:sz w:val="24"/>
              </w:rPr>
              <w:t>IdeaWorksCompany</w:t>
            </w:r>
            <w:proofErr w:type="spellEnd"/>
            <w:r>
              <w:rPr>
                <w:rFonts w:ascii="Times New Roman" w:eastAsia="Times New Roman" w:hAnsi="Times New Roman" w:cs="Times New Roman"/>
                <w:sz w:val="24"/>
              </w:rPr>
              <w:t xml:space="preserve">) </w:t>
            </w:r>
          </w:p>
          <w:p w14:paraId="61E9AC9F" w14:textId="77777777" w:rsidR="00897D6D" w:rsidRDefault="00897D6D">
            <w:pPr>
              <w:numPr>
                <w:ilvl w:val="0"/>
                <w:numId w:val="4"/>
              </w:numPr>
              <w:spacing w:after="246" w:line="259" w:lineRule="auto"/>
              <w:ind w:hanging="500"/>
            </w:pPr>
            <w:r>
              <w:rPr>
                <w:rFonts w:ascii="Times New Roman" w:eastAsia="Times New Roman" w:hAnsi="Times New Roman" w:cs="Times New Roman"/>
                <w:sz w:val="24"/>
              </w:rPr>
              <w:t xml:space="preserve">Public airline financial statements </w:t>
            </w:r>
          </w:p>
          <w:p w14:paraId="5C902ED8" w14:textId="77777777" w:rsidR="00897D6D" w:rsidRDefault="00897D6D">
            <w:pPr>
              <w:numPr>
                <w:ilvl w:val="0"/>
                <w:numId w:val="4"/>
              </w:numPr>
              <w:spacing w:after="246" w:line="259" w:lineRule="auto"/>
              <w:ind w:hanging="500"/>
            </w:pPr>
            <w:r>
              <w:rPr>
                <w:rFonts w:ascii="Times New Roman" w:eastAsia="Times New Roman" w:hAnsi="Times New Roman" w:cs="Times New Roman"/>
                <w:sz w:val="24"/>
              </w:rPr>
              <w:t xml:space="preserve">Regulatory documents (e.g., EU interchange fee regulations) </w:t>
            </w:r>
          </w:p>
          <w:p w14:paraId="22620191" w14:textId="77777777" w:rsidR="00897D6D" w:rsidRDefault="00897D6D">
            <w:pPr>
              <w:numPr>
                <w:ilvl w:val="0"/>
                <w:numId w:val="4"/>
              </w:numPr>
              <w:spacing w:after="246" w:line="259" w:lineRule="auto"/>
              <w:ind w:hanging="500"/>
            </w:pPr>
            <w:r>
              <w:rPr>
                <w:rFonts w:ascii="Times New Roman" w:eastAsia="Times New Roman" w:hAnsi="Times New Roman" w:cs="Times New Roman"/>
                <w:sz w:val="24"/>
              </w:rPr>
              <w:t xml:space="preserve">Academic literature </w:t>
            </w:r>
          </w:p>
          <w:p w14:paraId="24E2DD23" w14:textId="77777777" w:rsidR="00897D6D" w:rsidRDefault="00897D6D">
            <w:pPr>
              <w:spacing w:after="158" w:line="259" w:lineRule="auto"/>
            </w:pPr>
            <w:r>
              <w:rPr>
                <w:rFonts w:ascii="Times New Roman" w:eastAsia="Times New Roman" w:hAnsi="Times New Roman" w:cs="Times New Roman"/>
                <w:sz w:val="24"/>
              </w:rPr>
              <w:t xml:space="preserve">Data will be analysed thematically. No observational, experimental, or intrusive methods will be used. The research is low risk and involves only professional adults discussing non-sensitive commercial topics. </w:t>
            </w:r>
          </w:p>
          <w:p w14:paraId="2E4A49CE" w14:textId="77777777" w:rsidR="00897D6D" w:rsidRDefault="00897D6D">
            <w:pPr>
              <w:spacing w:line="259" w:lineRule="auto"/>
            </w:pPr>
            <w:r>
              <w:rPr>
                <w:color w:val="808080"/>
                <w:sz w:val="18"/>
              </w:rPr>
              <w:t>(this box should expand as you type)</w:t>
            </w:r>
          </w:p>
        </w:tc>
      </w:tr>
    </w:tbl>
    <w:p w14:paraId="1A01DC07" w14:textId="77777777" w:rsidR="00897D6D" w:rsidRDefault="00897D6D">
      <w:pPr>
        <w:spacing w:after="3" w:line="259" w:lineRule="auto"/>
        <w:ind w:left="-5"/>
      </w:pPr>
      <w:r>
        <w:rPr>
          <w:rFonts w:ascii="Arial" w:eastAsia="Arial" w:hAnsi="Arial" w:cs="Arial"/>
          <w:b/>
        </w:rPr>
        <w:t xml:space="preserve">SECTION D: Scope of Research Activity </w:t>
      </w:r>
    </w:p>
    <w:tbl>
      <w:tblPr>
        <w:tblStyle w:val="TableGrid"/>
        <w:tblW w:w="10450" w:type="dxa"/>
        <w:tblInd w:w="5" w:type="dxa"/>
        <w:tblCellMar>
          <w:top w:w="72" w:type="dxa"/>
          <w:left w:w="85" w:type="dxa"/>
          <w:right w:w="58" w:type="dxa"/>
        </w:tblCellMar>
        <w:tblLook w:val="04A0" w:firstRow="1" w:lastRow="0" w:firstColumn="1" w:lastColumn="0" w:noHBand="0" w:noVBand="1"/>
      </w:tblPr>
      <w:tblGrid>
        <w:gridCol w:w="562"/>
        <w:gridCol w:w="8226"/>
        <w:gridCol w:w="846"/>
        <w:gridCol w:w="816"/>
      </w:tblGrid>
      <w:tr w:rsidR="00897D6D" w14:paraId="2CBEBF4D" w14:textId="77777777">
        <w:trPr>
          <w:trHeight w:val="558"/>
        </w:trPr>
        <w:tc>
          <w:tcPr>
            <w:tcW w:w="562" w:type="dxa"/>
            <w:tcBorders>
              <w:top w:val="single" w:sz="4" w:space="0" w:color="7F7F7F"/>
              <w:left w:val="single" w:sz="4" w:space="0" w:color="7F7F7F"/>
              <w:bottom w:val="single" w:sz="4" w:space="0" w:color="7F7F7F"/>
              <w:right w:val="single" w:sz="4" w:space="0" w:color="7F7F7F"/>
            </w:tcBorders>
          </w:tcPr>
          <w:p w14:paraId="5462C318" w14:textId="77777777" w:rsidR="00897D6D" w:rsidRDefault="00897D6D">
            <w:pPr>
              <w:spacing w:after="160" w:line="259" w:lineRule="auto"/>
            </w:pPr>
          </w:p>
        </w:tc>
        <w:tc>
          <w:tcPr>
            <w:tcW w:w="822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BE365A7" w14:textId="77777777" w:rsidR="00897D6D" w:rsidRDefault="00897D6D">
            <w:pPr>
              <w:spacing w:line="259" w:lineRule="auto"/>
            </w:pPr>
            <w:r>
              <w:rPr>
                <w:rFonts w:ascii="Arial" w:eastAsia="Arial" w:hAnsi="Arial" w:cs="Arial"/>
                <w:b/>
              </w:rPr>
              <w:t>Will the research activity include:</w:t>
            </w:r>
          </w:p>
        </w:tc>
        <w:tc>
          <w:tcPr>
            <w:tcW w:w="84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DBFB421" w14:textId="77777777" w:rsidR="00897D6D" w:rsidRDefault="00897D6D">
            <w:pPr>
              <w:spacing w:line="259" w:lineRule="auto"/>
              <w:ind w:left="118"/>
            </w:pPr>
            <w:r>
              <w:rPr>
                <w:rFonts w:ascii="Arial" w:eastAsia="Arial" w:hAnsi="Arial" w:cs="Arial"/>
                <w:b/>
              </w:rPr>
              <w:t>YES</w:t>
            </w:r>
          </w:p>
        </w:tc>
        <w:tc>
          <w:tcPr>
            <w:tcW w:w="81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E6DFE3A" w14:textId="77777777" w:rsidR="00897D6D" w:rsidRDefault="00897D6D">
            <w:pPr>
              <w:spacing w:line="259" w:lineRule="auto"/>
              <w:ind w:left="158"/>
            </w:pPr>
            <w:r>
              <w:rPr>
                <w:rFonts w:ascii="Arial" w:eastAsia="Arial" w:hAnsi="Arial" w:cs="Arial"/>
                <w:b/>
              </w:rPr>
              <w:t>NO</w:t>
            </w:r>
          </w:p>
        </w:tc>
      </w:tr>
      <w:tr w:rsidR="00897D6D" w14:paraId="1CED0DB3" w14:textId="77777777">
        <w:trPr>
          <w:trHeight w:val="439"/>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2CBDCAB6" w14:textId="77777777" w:rsidR="00897D6D" w:rsidRDefault="00897D6D">
            <w:pPr>
              <w:spacing w:line="259" w:lineRule="auto"/>
            </w:pPr>
            <w:r>
              <w:t>1</w:t>
            </w:r>
          </w:p>
        </w:tc>
        <w:tc>
          <w:tcPr>
            <w:tcW w:w="8226" w:type="dxa"/>
            <w:tcBorders>
              <w:top w:val="single" w:sz="4" w:space="0" w:color="7F7F7F"/>
              <w:left w:val="single" w:sz="4" w:space="0" w:color="7F7F7F"/>
              <w:bottom w:val="single" w:sz="4" w:space="0" w:color="7F7F7F"/>
              <w:right w:val="single" w:sz="4" w:space="0" w:color="7F7F7F"/>
            </w:tcBorders>
            <w:shd w:val="clear" w:color="auto" w:fill="F2F2F2"/>
          </w:tcPr>
          <w:p w14:paraId="08166483" w14:textId="77777777" w:rsidR="00897D6D" w:rsidRDefault="00897D6D">
            <w:pPr>
              <w:spacing w:line="259" w:lineRule="auto"/>
            </w:pPr>
            <w:r>
              <w:t>Use of a questionnaire or similar research instrument?</w:t>
            </w:r>
          </w:p>
        </w:tc>
        <w:tc>
          <w:tcPr>
            <w:tcW w:w="846" w:type="dxa"/>
            <w:tcBorders>
              <w:top w:val="single" w:sz="4" w:space="0" w:color="7F7F7F"/>
              <w:left w:val="single" w:sz="4" w:space="0" w:color="7F7F7F"/>
              <w:bottom w:val="single" w:sz="4" w:space="0" w:color="7F7F7F"/>
              <w:right w:val="single" w:sz="4" w:space="0" w:color="7F7F7F"/>
            </w:tcBorders>
            <w:shd w:val="clear" w:color="auto" w:fill="BFBFBF"/>
          </w:tcPr>
          <w:p w14:paraId="5E1AB880" w14:textId="77777777" w:rsidR="00897D6D" w:rsidRDefault="00897D6D">
            <w:pPr>
              <w:spacing w:line="259" w:lineRule="auto"/>
              <w:ind w:right="27"/>
              <w:jc w:val="center"/>
            </w:pPr>
            <w:r>
              <w:rPr>
                <w:rFonts w:ascii="Arial" w:eastAsia="Arial" w:hAnsi="Arial" w:cs="Arial"/>
                <w:b/>
              </w:rPr>
              <w:t>X</w:t>
            </w:r>
          </w:p>
        </w:tc>
        <w:tc>
          <w:tcPr>
            <w:tcW w:w="81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224E835" w14:textId="77777777" w:rsidR="00897D6D" w:rsidRDefault="00897D6D">
            <w:pPr>
              <w:spacing w:line="259" w:lineRule="auto"/>
              <w:ind w:left="232"/>
            </w:pPr>
            <w:r>
              <w:rPr>
                <w:rFonts w:ascii="Calibri" w:eastAsia="Calibri" w:hAnsi="Calibri" w:cs="Calibri"/>
              </w:rPr>
              <w:t>☐</w:t>
            </w:r>
          </w:p>
        </w:tc>
      </w:tr>
      <w:tr w:rsidR="00897D6D" w14:paraId="746970F5" w14:textId="77777777">
        <w:trPr>
          <w:trHeight w:val="439"/>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4D335AB4" w14:textId="77777777" w:rsidR="00897D6D" w:rsidRDefault="00897D6D">
            <w:pPr>
              <w:spacing w:line="259" w:lineRule="auto"/>
            </w:pPr>
            <w:r>
              <w:t>2</w:t>
            </w:r>
          </w:p>
        </w:tc>
        <w:tc>
          <w:tcPr>
            <w:tcW w:w="8226" w:type="dxa"/>
            <w:tcBorders>
              <w:top w:val="single" w:sz="4" w:space="0" w:color="7F7F7F"/>
              <w:left w:val="single" w:sz="4" w:space="0" w:color="7F7F7F"/>
              <w:bottom w:val="single" w:sz="4" w:space="0" w:color="7F7F7F"/>
              <w:right w:val="single" w:sz="4" w:space="0" w:color="7F7F7F"/>
            </w:tcBorders>
            <w:shd w:val="clear" w:color="auto" w:fill="F2F2F2"/>
          </w:tcPr>
          <w:p w14:paraId="462B7A97" w14:textId="77777777" w:rsidR="00897D6D" w:rsidRDefault="00897D6D">
            <w:pPr>
              <w:spacing w:line="259" w:lineRule="auto"/>
            </w:pPr>
            <w:r>
              <w:t>Use of interviews?</w:t>
            </w:r>
          </w:p>
        </w:tc>
        <w:tc>
          <w:tcPr>
            <w:tcW w:w="846" w:type="dxa"/>
            <w:tcBorders>
              <w:top w:val="single" w:sz="4" w:space="0" w:color="7F7F7F"/>
              <w:left w:val="single" w:sz="4" w:space="0" w:color="7F7F7F"/>
              <w:bottom w:val="single" w:sz="4" w:space="0" w:color="7F7F7F"/>
              <w:right w:val="single" w:sz="4" w:space="0" w:color="7F7F7F"/>
            </w:tcBorders>
            <w:shd w:val="clear" w:color="auto" w:fill="BFBFBF"/>
          </w:tcPr>
          <w:p w14:paraId="0D0ACC79" w14:textId="77777777" w:rsidR="00897D6D" w:rsidRDefault="00897D6D">
            <w:pPr>
              <w:spacing w:line="259" w:lineRule="auto"/>
              <w:ind w:right="27"/>
              <w:jc w:val="center"/>
            </w:pPr>
            <w:r>
              <w:rPr>
                <w:rFonts w:ascii="Arial" w:eastAsia="Arial" w:hAnsi="Arial" w:cs="Arial"/>
                <w:b/>
              </w:rPr>
              <w:t>X</w:t>
            </w:r>
          </w:p>
        </w:tc>
        <w:tc>
          <w:tcPr>
            <w:tcW w:w="81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252FAB9" w14:textId="77777777" w:rsidR="00897D6D" w:rsidRDefault="00897D6D">
            <w:pPr>
              <w:spacing w:line="259" w:lineRule="auto"/>
              <w:ind w:left="232"/>
            </w:pPr>
            <w:r>
              <w:rPr>
                <w:rFonts w:ascii="Calibri" w:eastAsia="Calibri" w:hAnsi="Calibri" w:cs="Calibri"/>
              </w:rPr>
              <w:t>☐</w:t>
            </w:r>
          </w:p>
        </w:tc>
      </w:tr>
      <w:tr w:rsidR="00897D6D" w14:paraId="3E1B2F71" w14:textId="77777777">
        <w:trPr>
          <w:trHeight w:val="439"/>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0C1F5A79" w14:textId="77777777" w:rsidR="00897D6D" w:rsidRDefault="00897D6D">
            <w:pPr>
              <w:spacing w:line="259" w:lineRule="auto"/>
            </w:pPr>
            <w:r>
              <w:t>3</w:t>
            </w:r>
          </w:p>
        </w:tc>
        <w:tc>
          <w:tcPr>
            <w:tcW w:w="8226" w:type="dxa"/>
            <w:tcBorders>
              <w:top w:val="single" w:sz="4" w:space="0" w:color="7F7F7F"/>
              <w:left w:val="single" w:sz="4" w:space="0" w:color="7F7F7F"/>
              <w:bottom w:val="single" w:sz="4" w:space="0" w:color="7F7F7F"/>
              <w:right w:val="single" w:sz="4" w:space="0" w:color="7F7F7F"/>
            </w:tcBorders>
            <w:shd w:val="clear" w:color="auto" w:fill="F2F2F2"/>
          </w:tcPr>
          <w:p w14:paraId="29DE83FD" w14:textId="77777777" w:rsidR="00897D6D" w:rsidRDefault="00897D6D">
            <w:pPr>
              <w:spacing w:line="259" w:lineRule="auto"/>
            </w:pPr>
            <w:r>
              <w:t>Use of focus groups?</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87A44F2" w14:textId="77777777" w:rsidR="00897D6D" w:rsidRDefault="00897D6D">
            <w:pPr>
              <w:spacing w:line="259" w:lineRule="auto"/>
              <w:ind w:left="247"/>
            </w:pPr>
            <w:r>
              <w:rPr>
                <w:rFonts w:ascii="Calibri" w:eastAsia="Calibri" w:hAnsi="Calibri" w:cs="Calibri"/>
              </w:rPr>
              <w:t>☐</w:t>
            </w: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65B3CF0E" w14:textId="77777777" w:rsidR="00897D6D" w:rsidRDefault="00897D6D">
            <w:pPr>
              <w:spacing w:line="259" w:lineRule="auto"/>
              <w:ind w:right="27"/>
              <w:jc w:val="center"/>
            </w:pPr>
            <w:r>
              <w:rPr>
                <w:rFonts w:ascii="Arial" w:eastAsia="Arial" w:hAnsi="Arial" w:cs="Arial"/>
                <w:b/>
              </w:rPr>
              <w:t>X</w:t>
            </w:r>
          </w:p>
        </w:tc>
      </w:tr>
      <w:tr w:rsidR="00897D6D" w14:paraId="2B294E89" w14:textId="77777777">
        <w:trPr>
          <w:trHeight w:val="430"/>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33F7D659" w14:textId="77777777" w:rsidR="00897D6D" w:rsidRDefault="00897D6D">
            <w:pPr>
              <w:spacing w:line="259" w:lineRule="auto"/>
            </w:pPr>
            <w:r>
              <w:t>4</w:t>
            </w:r>
          </w:p>
        </w:tc>
        <w:tc>
          <w:tcPr>
            <w:tcW w:w="8226" w:type="dxa"/>
            <w:tcBorders>
              <w:top w:val="single" w:sz="4" w:space="0" w:color="7F7F7F"/>
              <w:left w:val="single" w:sz="4" w:space="0" w:color="7F7F7F"/>
              <w:bottom w:val="single" w:sz="4" w:space="0" w:color="7F7F7F"/>
              <w:right w:val="single" w:sz="4" w:space="0" w:color="7F7F7F"/>
            </w:tcBorders>
            <w:shd w:val="clear" w:color="auto" w:fill="F2F2F2"/>
          </w:tcPr>
          <w:p w14:paraId="45E6D512" w14:textId="77777777" w:rsidR="00897D6D" w:rsidRDefault="00897D6D">
            <w:pPr>
              <w:spacing w:line="259" w:lineRule="auto"/>
            </w:pPr>
            <w:r>
              <w:t xml:space="preserve">Use of participant diaries? </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388EAFB" w14:textId="77777777" w:rsidR="00897D6D" w:rsidRDefault="00897D6D">
            <w:pPr>
              <w:spacing w:line="259" w:lineRule="auto"/>
              <w:ind w:left="247"/>
            </w:pPr>
            <w:r>
              <w:rPr>
                <w:rFonts w:ascii="Calibri" w:eastAsia="Calibri" w:hAnsi="Calibri" w:cs="Calibri"/>
              </w:rPr>
              <w:t>☐</w:t>
            </w: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76AB780C" w14:textId="77777777" w:rsidR="00897D6D" w:rsidRDefault="00897D6D">
            <w:pPr>
              <w:spacing w:line="259" w:lineRule="auto"/>
              <w:ind w:right="27"/>
              <w:jc w:val="center"/>
            </w:pPr>
            <w:r>
              <w:rPr>
                <w:rFonts w:ascii="Arial" w:eastAsia="Arial" w:hAnsi="Arial" w:cs="Arial"/>
                <w:b/>
              </w:rPr>
              <w:t>X</w:t>
            </w:r>
          </w:p>
        </w:tc>
      </w:tr>
      <w:tr w:rsidR="00897D6D" w14:paraId="039AAF11" w14:textId="77777777">
        <w:trPr>
          <w:trHeight w:val="430"/>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6AB6A014" w14:textId="77777777" w:rsidR="00897D6D" w:rsidRDefault="00897D6D">
            <w:pPr>
              <w:spacing w:line="259" w:lineRule="auto"/>
            </w:pPr>
            <w:r>
              <w:t>5</w:t>
            </w:r>
          </w:p>
        </w:tc>
        <w:tc>
          <w:tcPr>
            <w:tcW w:w="8226" w:type="dxa"/>
            <w:tcBorders>
              <w:top w:val="single" w:sz="4" w:space="0" w:color="7F7F7F"/>
              <w:left w:val="single" w:sz="4" w:space="0" w:color="7F7F7F"/>
              <w:bottom w:val="single" w:sz="4" w:space="0" w:color="7F7F7F"/>
              <w:right w:val="single" w:sz="4" w:space="0" w:color="7F7F7F"/>
            </w:tcBorders>
            <w:shd w:val="clear" w:color="auto" w:fill="F2F2F2"/>
          </w:tcPr>
          <w:p w14:paraId="7B2815F3" w14:textId="77777777" w:rsidR="00897D6D" w:rsidRDefault="00897D6D">
            <w:pPr>
              <w:spacing w:line="259" w:lineRule="auto"/>
            </w:pPr>
            <w:r>
              <w:t>Use of video or audio recording?</w:t>
            </w:r>
          </w:p>
        </w:tc>
        <w:tc>
          <w:tcPr>
            <w:tcW w:w="846" w:type="dxa"/>
            <w:tcBorders>
              <w:top w:val="single" w:sz="4" w:space="0" w:color="7F7F7F"/>
              <w:left w:val="single" w:sz="4" w:space="0" w:color="7F7F7F"/>
              <w:bottom w:val="single" w:sz="4" w:space="0" w:color="7F7F7F"/>
              <w:right w:val="single" w:sz="4" w:space="0" w:color="7F7F7F"/>
            </w:tcBorders>
            <w:shd w:val="clear" w:color="auto" w:fill="BFBFBF"/>
          </w:tcPr>
          <w:p w14:paraId="4BDF00B1" w14:textId="77777777" w:rsidR="00897D6D" w:rsidRDefault="00897D6D">
            <w:pPr>
              <w:spacing w:line="259" w:lineRule="auto"/>
              <w:ind w:right="27"/>
              <w:jc w:val="center"/>
            </w:pPr>
            <w:r>
              <w:rPr>
                <w:rFonts w:ascii="Arial" w:eastAsia="Arial" w:hAnsi="Arial" w:cs="Arial"/>
                <w:b/>
              </w:rPr>
              <w:t>X</w:t>
            </w:r>
          </w:p>
        </w:tc>
        <w:tc>
          <w:tcPr>
            <w:tcW w:w="81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52A520E" w14:textId="77777777" w:rsidR="00897D6D" w:rsidRDefault="00897D6D">
            <w:pPr>
              <w:spacing w:line="259" w:lineRule="auto"/>
              <w:ind w:left="232"/>
            </w:pPr>
            <w:r>
              <w:rPr>
                <w:rFonts w:ascii="Calibri" w:eastAsia="Calibri" w:hAnsi="Calibri" w:cs="Calibri"/>
              </w:rPr>
              <w:t>☐</w:t>
            </w:r>
          </w:p>
        </w:tc>
      </w:tr>
      <w:tr w:rsidR="00897D6D" w14:paraId="1A8A8EBA" w14:textId="77777777">
        <w:trPr>
          <w:trHeight w:val="430"/>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603AD9B1" w14:textId="77777777" w:rsidR="00897D6D" w:rsidRDefault="00897D6D">
            <w:pPr>
              <w:spacing w:line="259" w:lineRule="auto"/>
            </w:pPr>
            <w:r>
              <w:t>6</w:t>
            </w:r>
          </w:p>
        </w:tc>
        <w:tc>
          <w:tcPr>
            <w:tcW w:w="8226" w:type="dxa"/>
            <w:tcBorders>
              <w:top w:val="single" w:sz="4" w:space="0" w:color="7F7F7F"/>
              <w:left w:val="single" w:sz="4" w:space="0" w:color="7F7F7F"/>
              <w:bottom w:val="single" w:sz="4" w:space="0" w:color="7F7F7F"/>
              <w:right w:val="single" w:sz="4" w:space="0" w:color="7F7F7F"/>
            </w:tcBorders>
            <w:shd w:val="clear" w:color="auto" w:fill="F2F2F2"/>
          </w:tcPr>
          <w:p w14:paraId="4CBE562F" w14:textId="77777777" w:rsidR="00897D6D" w:rsidRDefault="00897D6D">
            <w:pPr>
              <w:spacing w:line="259" w:lineRule="auto"/>
            </w:pPr>
            <w:r>
              <w:t>Use of computer-generated log files?</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CFD1EB8" w14:textId="77777777" w:rsidR="00897D6D" w:rsidRDefault="00897D6D">
            <w:pPr>
              <w:spacing w:line="259" w:lineRule="auto"/>
              <w:ind w:left="247"/>
            </w:pPr>
            <w:r>
              <w:rPr>
                <w:rFonts w:ascii="Calibri" w:eastAsia="Calibri" w:hAnsi="Calibri" w:cs="Calibri"/>
              </w:rPr>
              <w:t>☐</w:t>
            </w: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559043EC" w14:textId="77777777" w:rsidR="00897D6D" w:rsidRDefault="00897D6D">
            <w:pPr>
              <w:spacing w:line="259" w:lineRule="auto"/>
              <w:ind w:right="27"/>
              <w:jc w:val="center"/>
            </w:pPr>
            <w:r>
              <w:rPr>
                <w:rFonts w:ascii="Arial" w:eastAsia="Arial" w:hAnsi="Arial" w:cs="Arial"/>
                <w:b/>
              </w:rPr>
              <w:t>X</w:t>
            </w:r>
          </w:p>
        </w:tc>
      </w:tr>
      <w:tr w:rsidR="00897D6D" w14:paraId="7C0C6CE7" w14:textId="77777777">
        <w:trPr>
          <w:trHeight w:val="439"/>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50922ED1" w14:textId="77777777" w:rsidR="00897D6D" w:rsidRDefault="00897D6D">
            <w:pPr>
              <w:spacing w:line="259" w:lineRule="auto"/>
            </w:pPr>
            <w:r>
              <w:t>7</w:t>
            </w:r>
          </w:p>
        </w:tc>
        <w:tc>
          <w:tcPr>
            <w:tcW w:w="8226" w:type="dxa"/>
            <w:tcBorders>
              <w:top w:val="single" w:sz="4" w:space="0" w:color="7F7F7F"/>
              <w:left w:val="single" w:sz="4" w:space="0" w:color="7F7F7F"/>
              <w:bottom w:val="single" w:sz="4" w:space="0" w:color="7F7F7F"/>
              <w:right w:val="single" w:sz="4" w:space="0" w:color="7F7F7F"/>
            </w:tcBorders>
            <w:shd w:val="clear" w:color="auto" w:fill="F2F2F2"/>
          </w:tcPr>
          <w:p w14:paraId="131AD914" w14:textId="77777777" w:rsidR="00897D6D" w:rsidRDefault="00897D6D">
            <w:pPr>
              <w:spacing w:line="259" w:lineRule="auto"/>
            </w:pPr>
            <w:r>
              <w:t>Participant observation with their knowledge?</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8067CE1" w14:textId="77777777" w:rsidR="00897D6D" w:rsidRDefault="00897D6D">
            <w:pPr>
              <w:spacing w:line="259" w:lineRule="auto"/>
              <w:ind w:left="247"/>
            </w:pPr>
            <w:r>
              <w:rPr>
                <w:rFonts w:ascii="Calibri" w:eastAsia="Calibri" w:hAnsi="Calibri" w:cs="Calibri"/>
              </w:rPr>
              <w:t>☐</w:t>
            </w: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7BF18872" w14:textId="77777777" w:rsidR="00897D6D" w:rsidRDefault="00897D6D">
            <w:pPr>
              <w:spacing w:line="259" w:lineRule="auto"/>
              <w:ind w:right="27"/>
              <w:jc w:val="center"/>
            </w:pPr>
            <w:r>
              <w:rPr>
                <w:rFonts w:ascii="Arial" w:eastAsia="Arial" w:hAnsi="Arial" w:cs="Arial"/>
                <w:b/>
              </w:rPr>
              <w:t>X</w:t>
            </w:r>
          </w:p>
        </w:tc>
      </w:tr>
      <w:tr w:rsidR="00897D6D" w14:paraId="52C85058" w14:textId="77777777">
        <w:trPr>
          <w:trHeight w:val="430"/>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03BAE4EA" w14:textId="77777777" w:rsidR="00897D6D" w:rsidRDefault="00897D6D">
            <w:pPr>
              <w:spacing w:line="259" w:lineRule="auto"/>
            </w:pPr>
            <w:r>
              <w:t>8</w:t>
            </w:r>
          </w:p>
        </w:tc>
        <w:tc>
          <w:tcPr>
            <w:tcW w:w="8226" w:type="dxa"/>
            <w:tcBorders>
              <w:top w:val="single" w:sz="4" w:space="0" w:color="7F7F7F"/>
              <w:left w:val="single" w:sz="4" w:space="0" w:color="7F7F7F"/>
              <w:bottom w:val="single" w:sz="4" w:space="0" w:color="7F7F7F"/>
              <w:right w:val="single" w:sz="4" w:space="0" w:color="7F7F7F"/>
            </w:tcBorders>
            <w:shd w:val="clear" w:color="auto" w:fill="F2F2F2"/>
          </w:tcPr>
          <w:p w14:paraId="33EC9663" w14:textId="77777777" w:rsidR="00897D6D" w:rsidRDefault="00897D6D">
            <w:pPr>
              <w:spacing w:line="259" w:lineRule="auto"/>
            </w:pPr>
            <w:r>
              <w:t>Participant observation without their knowledge?</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6522258" w14:textId="77777777" w:rsidR="00897D6D" w:rsidRDefault="00897D6D">
            <w:pPr>
              <w:spacing w:line="259" w:lineRule="auto"/>
              <w:ind w:left="247"/>
            </w:pPr>
            <w:r>
              <w:rPr>
                <w:rFonts w:ascii="Calibri" w:eastAsia="Calibri" w:hAnsi="Calibri" w:cs="Calibri"/>
              </w:rPr>
              <w:t>☐</w:t>
            </w: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67FC3D4B" w14:textId="77777777" w:rsidR="00897D6D" w:rsidRDefault="00897D6D">
            <w:pPr>
              <w:spacing w:line="259" w:lineRule="auto"/>
              <w:ind w:right="27"/>
              <w:jc w:val="center"/>
            </w:pPr>
            <w:r>
              <w:rPr>
                <w:rFonts w:ascii="Arial" w:eastAsia="Arial" w:hAnsi="Arial" w:cs="Arial"/>
                <w:b/>
              </w:rPr>
              <w:t>X</w:t>
            </w:r>
          </w:p>
        </w:tc>
      </w:tr>
      <w:tr w:rsidR="00897D6D" w14:paraId="13722813" w14:textId="77777777">
        <w:trPr>
          <w:trHeight w:val="643"/>
        </w:trPr>
        <w:tc>
          <w:tcPr>
            <w:tcW w:w="56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9BF2199" w14:textId="77777777" w:rsidR="00897D6D" w:rsidRDefault="00897D6D">
            <w:pPr>
              <w:spacing w:line="259" w:lineRule="auto"/>
            </w:pPr>
            <w:r>
              <w:t>9</w:t>
            </w:r>
          </w:p>
        </w:tc>
        <w:tc>
          <w:tcPr>
            <w:tcW w:w="8226" w:type="dxa"/>
            <w:tcBorders>
              <w:top w:val="single" w:sz="4" w:space="0" w:color="7F7F7F"/>
              <w:left w:val="single" w:sz="4" w:space="0" w:color="7F7F7F"/>
              <w:bottom w:val="single" w:sz="4" w:space="0" w:color="7F7F7F"/>
              <w:right w:val="single" w:sz="4" w:space="0" w:color="7F7F7F"/>
            </w:tcBorders>
            <w:shd w:val="clear" w:color="auto" w:fill="F2F2F2"/>
          </w:tcPr>
          <w:p w14:paraId="6478DE6B" w14:textId="77777777" w:rsidR="00897D6D" w:rsidRDefault="00897D6D">
            <w:pPr>
              <w:spacing w:line="259" w:lineRule="auto"/>
            </w:pPr>
            <w:r>
              <w:t>Access to personal or confidential information without the participants’ specific consent?</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BF9A809" w14:textId="77777777" w:rsidR="00897D6D" w:rsidRDefault="00897D6D">
            <w:pPr>
              <w:spacing w:line="259" w:lineRule="auto"/>
              <w:ind w:left="247"/>
            </w:pPr>
            <w:r>
              <w:rPr>
                <w:rFonts w:ascii="Calibri" w:eastAsia="Calibri" w:hAnsi="Calibri" w:cs="Calibri"/>
              </w:rPr>
              <w:t>☐</w:t>
            </w:r>
          </w:p>
        </w:tc>
        <w:tc>
          <w:tcPr>
            <w:tcW w:w="81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3B009BC" w14:textId="77777777" w:rsidR="00897D6D" w:rsidRDefault="00897D6D">
            <w:pPr>
              <w:spacing w:line="259" w:lineRule="auto"/>
              <w:ind w:right="27"/>
              <w:jc w:val="center"/>
            </w:pPr>
            <w:r>
              <w:rPr>
                <w:rFonts w:ascii="Arial" w:eastAsia="Arial" w:hAnsi="Arial" w:cs="Arial"/>
                <w:b/>
              </w:rPr>
              <w:t>X</w:t>
            </w:r>
          </w:p>
        </w:tc>
      </w:tr>
      <w:tr w:rsidR="00897D6D" w14:paraId="6730E831" w14:textId="77777777">
        <w:trPr>
          <w:trHeight w:val="643"/>
        </w:trPr>
        <w:tc>
          <w:tcPr>
            <w:tcW w:w="56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D780BEA" w14:textId="77777777" w:rsidR="00897D6D" w:rsidRDefault="00897D6D">
            <w:pPr>
              <w:spacing w:line="259" w:lineRule="auto"/>
            </w:pPr>
            <w:r>
              <w:t>10</w:t>
            </w:r>
          </w:p>
        </w:tc>
        <w:tc>
          <w:tcPr>
            <w:tcW w:w="8226" w:type="dxa"/>
            <w:tcBorders>
              <w:top w:val="single" w:sz="4" w:space="0" w:color="7F7F7F"/>
              <w:left w:val="single" w:sz="4" w:space="0" w:color="7F7F7F"/>
              <w:bottom w:val="single" w:sz="4" w:space="0" w:color="7F7F7F"/>
              <w:right w:val="single" w:sz="4" w:space="0" w:color="7F7F7F"/>
            </w:tcBorders>
            <w:shd w:val="clear" w:color="auto" w:fill="F2F2F2"/>
          </w:tcPr>
          <w:p w14:paraId="216DCD87" w14:textId="77777777" w:rsidR="00897D6D" w:rsidRDefault="00897D6D">
            <w:pPr>
              <w:spacing w:line="259" w:lineRule="auto"/>
            </w:pPr>
            <w:r>
              <w:t>Administration of any questions, test stimuli, presentation that may be experienced as physically, mentally or emotionally harmful / offensive?</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C726C64" w14:textId="77777777" w:rsidR="00897D6D" w:rsidRDefault="00897D6D">
            <w:pPr>
              <w:spacing w:line="259" w:lineRule="auto"/>
              <w:ind w:left="247"/>
            </w:pPr>
            <w:r>
              <w:rPr>
                <w:rFonts w:ascii="Calibri" w:eastAsia="Calibri" w:hAnsi="Calibri" w:cs="Calibri"/>
              </w:rPr>
              <w:t>☐</w:t>
            </w:r>
          </w:p>
        </w:tc>
        <w:tc>
          <w:tcPr>
            <w:tcW w:w="81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CB50296" w14:textId="77777777" w:rsidR="00897D6D" w:rsidRDefault="00897D6D">
            <w:pPr>
              <w:spacing w:line="259" w:lineRule="auto"/>
              <w:ind w:right="27"/>
              <w:jc w:val="center"/>
            </w:pPr>
            <w:r>
              <w:rPr>
                <w:rFonts w:ascii="Arial" w:eastAsia="Arial" w:hAnsi="Arial" w:cs="Arial"/>
                <w:b/>
              </w:rPr>
              <w:t>X</w:t>
            </w:r>
          </w:p>
        </w:tc>
      </w:tr>
      <w:tr w:rsidR="00897D6D" w14:paraId="4BBF9E51" w14:textId="77777777">
        <w:trPr>
          <w:trHeight w:val="430"/>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5A488660" w14:textId="77777777" w:rsidR="00897D6D" w:rsidRDefault="00897D6D">
            <w:pPr>
              <w:spacing w:line="259" w:lineRule="auto"/>
            </w:pPr>
            <w:r>
              <w:lastRenderedPageBreak/>
              <w:t>11</w:t>
            </w:r>
          </w:p>
        </w:tc>
        <w:tc>
          <w:tcPr>
            <w:tcW w:w="8226" w:type="dxa"/>
            <w:tcBorders>
              <w:top w:val="single" w:sz="4" w:space="0" w:color="7F7F7F"/>
              <w:left w:val="single" w:sz="4" w:space="0" w:color="7F7F7F"/>
              <w:bottom w:val="single" w:sz="4" w:space="0" w:color="7F7F7F"/>
              <w:right w:val="single" w:sz="4" w:space="0" w:color="7F7F7F"/>
            </w:tcBorders>
            <w:shd w:val="clear" w:color="auto" w:fill="F2F2F2"/>
          </w:tcPr>
          <w:p w14:paraId="2B580444" w14:textId="77777777" w:rsidR="00897D6D" w:rsidRDefault="00897D6D">
            <w:pPr>
              <w:spacing w:line="259" w:lineRule="auto"/>
            </w:pPr>
            <w:r>
              <w:t>Performance of any acts which may cause embarrassment or affect self-esteem?</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AA8740D" w14:textId="77777777" w:rsidR="00897D6D" w:rsidRDefault="00897D6D">
            <w:pPr>
              <w:spacing w:line="259" w:lineRule="auto"/>
              <w:ind w:left="247"/>
            </w:pPr>
            <w:r>
              <w:rPr>
                <w:rFonts w:ascii="Calibri" w:eastAsia="Calibri" w:hAnsi="Calibri" w:cs="Calibri"/>
              </w:rPr>
              <w:t>☐</w:t>
            </w: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5B78FE46" w14:textId="77777777" w:rsidR="00897D6D" w:rsidRDefault="00897D6D">
            <w:pPr>
              <w:spacing w:line="259" w:lineRule="auto"/>
              <w:ind w:right="27"/>
              <w:jc w:val="center"/>
            </w:pPr>
            <w:r>
              <w:rPr>
                <w:rFonts w:ascii="Arial" w:eastAsia="Arial" w:hAnsi="Arial" w:cs="Arial"/>
                <w:b/>
              </w:rPr>
              <w:t>X</w:t>
            </w:r>
          </w:p>
        </w:tc>
      </w:tr>
      <w:tr w:rsidR="00897D6D" w14:paraId="14BCE294" w14:textId="77777777">
        <w:trPr>
          <w:trHeight w:val="430"/>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11296FEE" w14:textId="77777777" w:rsidR="00897D6D" w:rsidRDefault="00897D6D">
            <w:pPr>
              <w:spacing w:line="259" w:lineRule="auto"/>
            </w:pPr>
            <w:r>
              <w:t>12</w:t>
            </w:r>
          </w:p>
        </w:tc>
        <w:tc>
          <w:tcPr>
            <w:tcW w:w="8226" w:type="dxa"/>
            <w:tcBorders>
              <w:top w:val="single" w:sz="4" w:space="0" w:color="7F7F7F"/>
              <w:left w:val="single" w:sz="4" w:space="0" w:color="7F7F7F"/>
              <w:bottom w:val="single" w:sz="4" w:space="0" w:color="7F7F7F"/>
              <w:right w:val="single" w:sz="4" w:space="0" w:color="7F7F7F"/>
            </w:tcBorders>
            <w:shd w:val="clear" w:color="auto" w:fill="F2F2F2"/>
          </w:tcPr>
          <w:p w14:paraId="7DB7C384" w14:textId="77777777" w:rsidR="00897D6D" w:rsidRDefault="00897D6D">
            <w:pPr>
              <w:spacing w:line="259" w:lineRule="auto"/>
            </w:pPr>
            <w:r>
              <w:t>Investigation of participants involved in illegal activities?</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DD498CA" w14:textId="77777777" w:rsidR="00897D6D" w:rsidRDefault="00897D6D">
            <w:pPr>
              <w:spacing w:line="259" w:lineRule="auto"/>
              <w:ind w:left="247"/>
            </w:pPr>
            <w:r>
              <w:rPr>
                <w:rFonts w:ascii="Calibri" w:eastAsia="Calibri" w:hAnsi="Calibri" w:cs="Calibri"/>
              </w:rPr>
              <w:t>☐</w:t>
            </w: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2FF63E32" w14:textId="77777777" w:rsidR="00897D6D" w:rsidRDefault="00897D6D">
            <w:pPr>
              <w:spacing w:line="259" w:lineRule="auto"/>
              <w:ind w:right="27"/>
              <w:jc w:val="center"/>
            </w:pPr>
            <w:r>
              <w:rPr>
                <w:rFonts w:ascii="Arial" w:eastAsia="Arial" w:hAnsi="Arial" w:cs="Arial"/>
                <w:b/>
              </w:rPr>
              <w:t>X</w:t>
            </w:r>
          </w:p>
        </w:tc>
      </w:tr>
      <w:tr w:rsidR="00897D6D" w14:paraId="294D0918" w14:textId="77777777">
        <w:trPr>
          <w:trHeight w:val="430"/>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2D4CF626" w14:textId="77777777" w:rsidR="00897D6D" w:rsidRDefault="00897D6D">
            <w:pPr>
              <w:spacing w:line="259" w:lineRule="auto"/>
            </w:pPr>
            <w:r>
              <w:t>13</w:t>
            </w:r>
          </w:p>
        </w:tc>
        <w:tc>
          <w:tcPr>
            <w:tcW w:w="8226" w:type="dxa"/>
            <w:tcBorders>
              <w:top w:val="single" w:sz="4" w:space="0" w:color="7F7F7F"/>
              <w:left w:val="single" w:sz="4" w:space="0" w:color="7F7F7F"/>
              <w:bottom w:val="single" w:sz="4" w:space="0" w:color="7F7F7F"/>
              <w:right w:val="single" w:sz="4" w:space="0" w:color="7F7F7F"/>
            </w:tcBorders>
            <w:shd w:val="clear" w:color="auto" w:fill="F2F2F2"/>
          </w:tcPr>
          <w:p w14:paraId="7C8BD3FC" w14:textId="77777777" w:rsidR="00897D6D" w:rsidRDefault="00897D6D">
            <w:pPr>
              <w:spacing w:line="259" w:lineRule="auto"/>
            </w:pPr>
            <w:r>
              <w:t>Use of procedures that involve deception?</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B5075FE" w14:textId="77777777" w:rsidR="00897D6D" w:rsidRDefault="00897D6D">
            <w:pPr>
              <w:spacing w:line="259" w:lineRule="auto"/>
              <w:ind w:left="247"/>
            </w:pPr>
            <w:r>
              <w:rPr>
                <w:rFonts w:ascii="Calibri" w:eastAsia="Calibri" w:hAnsi="Calibri" w:cs="Calibri"/>
              </w:rPr>
              <w:t>☐</w:t>
            </w: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78CB4618" w14:textId="77777777" w:rsidR="00897D6D" w:rsidRDefault="00897D6D">
            <w:pPr>
              <w:spacing w:line="259" w:lineRule="auto"/>
              <w:ind w:right="27"/>
              <w:jc w:val="center"/>
            </w:pPr>
            <w:r>
              <w:rPr>
                <w:rFonts w:ascii="Arial" w:eastAsia="Arial" w:hAnsi="Arial" w:cs="Arial"/>
                <w:b/>
              </w:rPr>
              <w:t>X</w:t>
            </w:r>
          </w:p>
        </w:tc>
      </w:tr>
      <w:tr w:rsidR="00897D6D" w14:paraId="7EBE41C6" w14:textId="77777777">
        <w:trPr>
          <w:trHeight w:val="430"/>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0B62B9A9" w14:textId="77777777" w:rsidR="00897D6D" w:rsidRDefault="00897D6D">
            <w:pPr>
              <w:spacing w:line="259" w:lineRule="auto"/>
            </w:pPr>
            <w:r>
              <w:t>14</w:t>
            </w:r>
          </w:p>
        </w:tc>
        <w:tc>
          <w:tcPr>
            <w:tcW w:w="8226" w:type="dxa"/>
            <w:tcBorders>
              <w:top w:val="single" w:sz="4" w:space="0" w:color="7F7F7F"/>
              <w:left w:val="single" w:sz="4" w:space="0" w:color="7F7F7F"/>
              <w:bottom w:val="single" w:sz="4" w:space="0" w:color="7F7F7F"/>
              <w:right w:val="single" w:sz="4" w:space="0" w:color="7F7F7F"/>
            </w:tcBorders>
            <w:shd w:val="clear" w:color="auto" w:fill="F2F2F2"/>
          </w:tcPr>
          <w:p w14:paraId="657936FF" w14:textId="77777777" w:rsidR="00897D6D" w:rsidRDefault="00897D6D">
            <w:pPr>
              <w:spacing w:line="259" w:lineRule="auto"/>
            </w:pPr>
            <w:r>
              <w:t>Administration of any substance, agent or placebo?</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63FD416" w14:textId="77777777" w:rsidR="00897D6D" w:rsidRDefault="00897D6D">
            <w:pPr>
              <w:spacing w:line="259" w:lineRule="auto"/>
              <w:ind w:left="247"/>
            </w:pPr>
            <w:r>
              <w:rPr>
                <w:rFonts w:ascii="Calibri" w:eastAsia="Calibri" w:hAnsi="Calibri" w:cs="Calibri"/>
              </w:rPr>
              <w:t>☐</w:t>
            </w: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09B84F13" w14:textId="77777777" w:rsidR="00897D6D" w:rsidRDefault="00897D6D">
            <w:pPr>
              <w:spacing w:line="259" w:lineRule="auto"/>
              <w:ind w:right="27"/>
              <w:jc w:val="center"/>
            </w:pPr>
            <w:r>
              <w:rPr>
                <w:rFonts w:ascii="Arial" w:eastAsia="Arial" w:hAnsi="Arial" w:cs="Arial"/>
                <w:b/>
              </w:rPr>
              <w:t>X</w:t>
            </w:r>
          </w:p>
        </w:tc>
      </w:tr>
      <w:tr w:rsidR="00897D6D" w14:paraId="2BBE3AD0" w14:textId="77777777">
        <w:trPr>
          <w:trHeight w:val="430"/>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63EE39C5" w14:textId="77777777" w:rsidR="00897D6D" w:rsidRDefault="00897D6D">
            <w:pPr>
              <w:spacing w:line="259" w:lineRule="auto"/>
            </w:pPr>
            <w:r>
              <w:t>15</w:t>
            </w:r>
          </w:p>
        </w:tc>
        <w:tc>
          <w:tcPr>
            <w:tcW w:w="8226" w:type="dxa"/>
            <w:tcBorders>
              <w:top w:val="single" w:sz="4" w:space="0" w:color="7F7F7F"/>
              <w:left w:val="single" w:sz="4" w:space="0" w:color="7F7F7F"/>
              <w:bottom w:val="single" w:sz="4" w:space="0" w:color="7F7F7F"/>
              <w:right w:val="single" w:sz="4" w:space="0" w:color="7F7F7F"/>
            </w:tcBorders>
            <w:shd w:val="clear" w:color="auto" w:fill="F2F2F2"/>
          </w:tcPr>
          <w:p w14:paraId="452B2989" w14:textId="77777777" w:rsidR="00897D6D" w:rsidRDefault="00897D6D">
            <w:pPr>
              <w:spacing w:line="259" w:lineRule="auto"/>
            </w:pPr>
            <w:r>
              <w:t>Working with live vertebrate animals?</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3E546FC" w14:textId="77777777" w:rsidR="00897D6D" w:rsidRDefault="00897D6D">
            <w:pPr>
              <w:spacing w:line="259" w:lineRule="auto"/>
              <w:ind w:left="247"/>
            </w:pPr>
            <w:r>
              <w:rPr>
                <w:rFonts w:ascii="Calibri" w:eastAsia="Calibri" w:hAnsi="Calibri" w:cs="Calibri"/>
              </w:rPr>
              <w:t>☐</w:t>
            </w: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2DE0FFB3" w14:textId="77777777" w:rsidR="00897D6D" w:rsidRDefault="00897D6D">
            <w:pPr>
              <w:spacing w:line="259" w:lineRule="auto"/>
              <w:ind w:left="30"/>
              <w:jc w:val="center"/>
            </w:pPr>
            <w:r>
              <w:rPr>
                <w:rFonts w:ascii="Arial" w:eastAsia="Arial" w:hAnsi="Arial" w:cs="Arial"/>
                <w:b/>
              </w:rPr>
              <w:t>X</w:t>
            </w:r>
          </w:p>
        </w:tc>
      </w:tr>
      <w:tr w:rsidR="00897D6D" w14:paraId="4DD77CD1" w14:textId="77777777">
        <w:trPr>
          <w:trHeight w:val="430"/>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3BE30DA9" w14:textId="77777777" w:rsidR="00897D6D" w:rsidRDefault="00897D6D">
            <w:pPr>
              <w:spacing w:line="259" w:lineRule="auto"/>
            </w:pPr>
            <w:r>
              <w:t>16</w:t>
            </w:r>
          </w:p>
        </w:tc>
        <w:tc>
          <w:tcPr>
            <w:tcW w:w="8226" w:type="dxa"/>
            <w:tcBorders>
              <w:top w:val="single" w:sz="4" w:space="0" w:color="7F7F7F"/>
              <w:left w:val="single" w:sz="4" w:space="0" w:color="7F7F7F"/>
              <w:bottom w:val="single" w:sz="4" w:space="0" w:color="7F7F7F"/>
              <w:right w:val="single" w:sz="4" w:space="0" w:color="7F7F7F"/>
            </w:tcBorders>
            <w:shd w:val="clear" w:color="auto" w:fill="F2F2F2"/>
          </w:tcPr>
          <w:p w14:paraId="108FECE8" w14:textId="77777777" w:rsidR="00897D6D" w:rsidRDefault="00897D6D">
            <w:pPr>
              <w:spacing w:line="259" w:lineRule="auto"/>
            </w:pPr>
            <w:r>
              <w:t>Procedures that may have a negative impact on the environment?</w:t>
            </w:r>
          </w:p>
        </w:tc>
        <w:tc>
          <w:tcPr>
            <w:tcW w:w="84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C8031F5" w14:textId="77777777" w:rsidR="00897D6D" w:rsidRDefault="00897D6D">
            <w:pPr>
              <w:spacing w:line="259" w:lineRule="auto"/>
              <w:ind w:left="247"/>
            </w:pPr>
            <w:r>
              <w:rPr>
                <w:rFonts w:ascii="Calibri" w:eastAsia="Calibri" w:hAnsi="Calibri" w:cs="Calibri"/>
              </w:rPr>
              <w:t>☐</w:t>
            </w:r>
          </w:p>
        </w:tc>
        <w:tc>
          <w:tcPr>
            <w:tcW w:w="816" w:type="dxa"/>
            <w:tcBorders>
              <w:top w:val="single" w:sz="4" w:space="0" w:color="7F7F7F"/>
              <w:left w:val="single" w:sz="4" w:space="0" w:color="7F7F7F"/>
              <w:bottom w:val="single" w:sz="4" w:space="0" w:color="7F7F7F"/>
              <w:right w:val="single" w:sz="4" w:space="0" w:color="7F7F7F"/>
            </w:tcBorders>
            <w:shd w:val="clear" w:color="auto" w:fill="BFBFBF"/>
          </w:tcPr>
          <w:p w14:paraId="5D096E40" w14:textId="77777777" w:rsidR="00897D6D" w:rsidRDefault="00897D6D">
            <w:pPr>
              <w:spacing w:line="259" w:lineRule="auto"/>
              <w:ind w:left="30"/>
              <w:jc w:val="center"/>
            </w:pPr>
            <w:r>
              <w:rPr>
                <w:rFonts w:ascii="Arial" w:eastAsia="Arial" w:hAnsi="Arial" w:cs="Arial"/>
                <w:b/>
              </w:rPr>
              <w:t>X</w:t>
            </w:r>
          </w:p>
        </w:tc>
      </w:tr>
      <w:tr w:rsidR="00897D6D" w14:paraId="09F5143E" w14:textId="77777777">
        <w:trPr>
          <w:trHeight w:val="643"/>
        </w:trPr>
        <w:tc>
          <w:tcPr>
            <w:tcW w:w="56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EDC4985" w14:textId="77777777" w:rsidR="00897D6D" w:rsidRDefault="00897D6D">
            <w:pPr>
              <w:spacing w:line="259" w:lineRule="auto"/>
            </w:pPr>
            <w:r>
              <w:t>17</w:t>
            </w:r>
          </w:p>
        </w:tc>
        <w:tc>
          <w:tcPr>
            <w:tcW w:w="8226" w:type="dxa"/>
            <w:tcBorders>
              <w:top w:val="single" w:sz="4" w:space="0" w:color="7F7F7F"/>
              <w:left w:val="single" w:sz="4" w:space="0" w:color="7F7F7F"/>
              <w:bottom w:val="single" w:sz="4" w:space="0" w:color="7F7F7F"/>
              <w:right w:val="single" w:sz="4" w:space="0" w:color="7F7F7F"/>
            </w:tcBorders>
            <w:shd w:val="clear" w:color="auto" w:fill="F2F2F2"/>
          </w:tcPr>
          <w:p w14:paraId="43FD6D3A" w14:textId="77777777" w:rsidR="00897D6D" w:rsidRDefault="00897D6D">
            <w:pPr>
              <w:spacing w:line="259" w:lineRule="auto"/>
            </w:pPr>
            <w:r>
              <w:t>Other primary data collection methods. Please indicate the type of data collection method(s) below.</w:t>
            </w:r>
          </w:p>
        </w:tc>
        <w:tc>
          <w:tcPr>
            <w:tcW w:w="846" w:type="dxa"/>
            <w:vMerge w:val="restart"/>
            <w:tcBorders>
              <w:top w:val="single" w:sz="4" w:space="0" w:color="7F7F7F"/>
              <w:left w:val="single" w:sz="4" w:space="0" w:color="7F7F7F"/>
              <w:bottom w:val="single" w:sz="4" w:space="0" w:color="7F7F7F"/>
              <w:right w:val="single" w:sz="4" w:space="0" w:color="7F7F7F"/>
            </w:tcBorders>
            <w:shd w:val="clear" w:color="auto" w:fill="BFBFBF"/>
            <w:vAlign w:val="center"/>
          </w:tcPr>
          <w:p w14:paraId="6C5411D9" w14:textId="77777777" w:rsidR="00897D6D" w:rsidRDefault="00897D6D">
            <w:pPr>
              <w:spacing w:line="259" w:lineRule="auto"/>
              <w:ind w:left="247"/>
            </w:pPr>
            <w:r>
              <w:rPr>
                <w:rFonts w:ascii="Calibri" w:eastAsia="Calibri" w:hAnsi="Calibri" w:cs="Calibri"/>
              </w:rPr>
              <w:t>☐</w:t>
            </w:r>
          </w:p>
        </w:tc>
        <w:tc>
          <w:tcPr>
            <w:tcW w:w="816" w:type="dxa"/>
            <w:vMerge w:val="restart"/>
            <w:tcBorders>
              <w:top w:val="single" w:sz="4" w:space="0" w:color="7F7F7F"/>
              <w:left w:val="single" w:sz="4" w:space="0" w:color="7F7F7F"/>
              <w:bottom w:val="single" w:sz="4" w:space="0" w:color="7F7F7F"/>
              <w:right w:val="single" w:sz="4" w:space="0" w:color="7F7F7F"/>
            </w:tcBorders>
            <w:shd w:val="clear" w:color="auto" w:fill="BFBFBF"/>
            <w:vAlign w:val="center"/>
          </w:tcPr>
          <w:p w14:paraId="703DB27B" w14:textId="77777777" w:rsidR="00897D6D" w:rsidRDefault="00897D6D">
            <w:pPr>
              <w:spacing w:line="259" w:lineRule="auto"/>
              <w:ind w:left="30"/>
              <w:jc w:val="center"/>
            </w:pPr>
            <w:r>
              <w:rPr>
                <w:rFonts w:ascii="Arial" w:eastAsia="Arial" w:hAnsi="Arial" w:cs="Arial"/>
                <w:b/>
              </w:rPr>
              <w:t>X</w:t>
            </w:r>
          </w:p>
        </w:tc>
      </w:tr>
      <w:tr w:rsidR="00897D6D" w14:paraId="14499FBF" w14:textId="77777777">
        <w:trPr>
          <w:trHeight w:val="1284"/>
        </w:trPr>
        <w:tc>
          <w:tcPr>
            <w:tcW w:w="562" w:type="dxa"/>
            <w:tcBorders>
              <w:top w:val="single" w:sz="4" w:space="0" w:color="7F7F7F"/>
              <w:left w:val="single" w:sz="4" w:space="0" w:color="7F7F7F"/>
              <w:bottom w:val="single" w:sz="4" w:space="0" w:color="7F7F7F"/>
              <w:right w:val="single" w:sz="4" w:space="0" w:color="7F7F7F"/>
            </w:tcBorders>
          </w:tcPr>
          <w:p w14:paraId="1A16563C" w14:textId="77777777" w:rsidR="00897D6D" w:rsidRDefault="00897D6D">
            <w:pPr>
              <w:spacing w:after="160" w:line="259" w:lineRule="auto"/>
            </w:pPr>
          </w:p>
        </w:tc>
        <w:tc>
          <w:tcPr>
            <w:tcW w:w="8226" w:type="dxa"/>
            <w:tcBorders>
              <w:top w:val="single" w:sz="4" w:space="0" w:color="7F7F7F"/>
              <w:left w:val="single" w:sz="4" w:space="0" w:color="7F7F7F"/>
              <w:bottom w:val="single" w:sz="4" w:space="0" w:color="7F7F7F"/>
              <w:right w:val="single" w:sz="4" w:space="0" w:color="7F7F7F"/>
            </w:tcBorders>
          </w:tcPr>
          <w:p w14:paraId="65F6E8C0" w14:textId="77777777" w:rsidR="00897D6D" w:rsidRDefault="00897D6D">
            <w:pPr>
              <w:spacing w:after="617" w:line="259" w:lineRule="auto"/>
            </w:pPr>
            <w:r>
              <w:t xml:space="preserve">Details of any other primary data collection method: </w:t>
            </w:r>
          </w:p>
          <w:p w14:paraId="4C4C0D5A" w14:textId="77777777" w:rsidR="00897D6D" w:rsidRDefault="00897D6D">
            <w:pPr>
              <w:spacing w:line="259" w:lineRule="auto"/>
            </w:pPr>
            <w:r>
              <w:rPr>
                <w:sz w:val="18"/>
              </w:rPr>
              <w:t>(this box should expand as you type)</w:t>
            </w:r>
          </w:p>
        </w:tc>
        <w:tc>
          <w:tcPr>
            <w:tcW w:w="0" w:type="auto"/>
            <w:vMerge/>
            <w:tcBorders>
              <w:top w:val="nil"/>
              <w:left w:val="single" w:sz="4" w:space="0" w:color="7F7F7F"/>
              <w:bottom w:val="single" w:sz="4" w:space="0" w:color="7F7F7F"/>
              <w:right w:val="single" w:sz="4" w:space="0" w:color="7F7F7F"/>
            </w:tcBorders>
          </w:tcPr>
          <w:p w14:paraId="1CA91C59" w14:textId="77777777" w:rsidR="00897D6D" w:rsidRDefault="00897D6D">
            <w:pPr>
              <w:spacing w:after="160" w:line="259" w:lineRule="auto"/>
            </w:pPr>
          </w:p>
        </w:tc>
        <w:tc>
          <w:tcPr>
            <w:tcW w:w="0" w:type="auto"/>
            <w:vMerge/>
            <w:tcBorders>
              <w:top w:val="nil"/>
              <w:left w:val="single" w:sz="4" w:space="0" w:color="7F7F7F"/>
              <w:bottom w:val="single" w:sz="4" w:space="0" w:color="7F7F7F"/>
              <w:right w:val="single" w:sz="4" w:space="0" w:color="7F7F7F"/>
            </w:tcBorders>
          </w:tcPr>
          <w:p w14:paraId="1EB15654" w14:textId="77777777" w:rsidR="00897D6D" w:rsidRDefault="00897D6D">
            <w:pPr>
              <w:spacing w:after="160" w:line="259" w:lineRule="auto"/>
            </w:pPr>
          </w:p>
        </w:tc>
      </w:tr>
    </w:tbl>
    <w:p w14:paraId="678223F2" w14:textId="77777777" w:rsidR="00897D6D" w:rsidRDefault="00897D6D">
      <w:pPr>
        <w:ind w:left="-5"/>
      </w:pPr>
      <w:r>
        <w:t xml:space="preserve">If you have ticked NO to every </w:t>
      </w:r>
      <w:proofErr w:type="gramStart"/>
      <w:r>
        <w:t>question</w:t>
      </w:r>
      <w:proofErr w:type="gramEnd"/>
      <w:r>
        <w:t xml:space="preserve"> then the research activity is (ethically) low risk and you may skip section E and continue to section F. </w:t>
      </w:r>
    </w:p>
    <w:tbl>
      <w:tblPr>
        <w:tblStyle w:val="TableGrid"/>
        <w:tblpPr w:vertAnchor="page" w:horzAnchor="page" w:tblpX="725" w:tblpY="13727"/>
        <w:tblOverlap w:val="never"/>
        <w:tblW w:w="10451" w:type="dxa"/>
        <w:tblInd w:w="0" w:type="dxa"/>
        <w:tblCellMar>
          <w:top w:w="72" w:type="dxa"/>
          <w:left w:w="85" w:type="dxa"/>
          <w:right w:w="115" w:type="dxa"/>
        </w:tblCellMar>
        <w:tblLook w:val="04A0" w:firstRow="1" w:lastRow="0" w:firstColumn="1" w:lastColumn="0" w:noHBand="0" w:noVBand="1"/>
      </w:tblPr>
      <w:tblGrid>
        <w:gridCol w:w="562"/>
        <w:gridCol w:w="3256"/>
        <w:gridCol w:w="6633"/>
      </w:tblGrid>
      <w:tr w:rsidR="00897D6D" w14:paraId="38923C7F" w14:textId="77777777">
        <w:trPr>
          <w:trHeight w:val="883"/>
        </w:trPr>
        <w:tc>
          <w:tcPr>
            <w:tcW w:w="562" w:type="dxa"/>
            <w:tcBorders>
              <w:top w:val="single" w:sz="4" w:space="0" w:color="7F7F7F"/>
              <w:left w:val="single" w:sz="4" w:space="0" w:color="7F7F7F"/>
              <w:bottom w:val="single" w:sz="4" w:space="0" w:color="7F7F7F"/>
              <w:right w:val="single" w:sz="4" w:space="0" w:color="7F7F7F"/>
            </w:tcBorders>
          </w:tcPr>
          <w:p w14:paraId="06A9F8A6" w14:textId="77777777" w:rsidR="00897D6D" w:rsidRDefault="00897D6D">
            <w:pPr>
              <w:spacing w:after="160" w:line="259" w:lineRule="auto"/>
            </w:pPr>
          </w:p>
        </w:tc>
        <w:tc>
          <w:tcPr>
            <w:tcW w:w="9889" w:type="dxa"/>
            <w:gridSpan w:val="2"/>
            <w:tcBorders>
              <w:top w:val="single" w:sz="4" w:space="0" w:color="7F7F7F"/>
              <w:left w:val="single" w:sz="4" w:space="0" w:color="7F7F7F"/>
              <w:bottom w:val="single" w:sz="4" w:space="0" w:color="7F7F7F"/>
              <w:right w:val="single" w:sz="4" w:space="0" w:color="7F7F7F"/>
            </w:tcBorders>
            <w:shd w:val="clear" w:color="auto" w:fill="F2F2F2"/>
          </w:tcPr>
          <w:p w14:paraId="41B4A3D7" w14:textId="77777777" w:rsidR="00897D6D" w:rsidRDefault="00897D6D">
            <w:pPr>
              <w:spacing w:line="259" w:lineRule="auto"/>
            </w:pPr>
            <w:r>
              <w:rPr>
                <w:rFonts w:ascii="Arial" w:eastAsia="Arial" w:hAnsi="Arial" w:cs="Arial"/>
                <w:b/>
              </w:rPr>
              <w:t xml:space="preserve">Participant numbers and source </w:t>
            </w:r>
          </w:p>
          <w:p w14:paraId="49FE3709" w14:textId="77777777" w:rsidR="00897D6D" w:rsidRDefault="00897D6D">
            <w:pPr>
              <w:spacing w:line="259" w:lineRule="auto"/>
            </w:pPr>
            <w:r>
              <w:t xml:space="preserve">Provide an estimate of the expected number of participants. How will you identify participants and how will they be recruited? </w:t>
            </w:r>
          </w:p>
        </w:tc>
      </w:tr>
      <w:tr w:rsidR="00897D6D" w14:paraId="56476309" w14:textId="77777777">
        <w:trPr>
          <w:trHeight w:val="883"/>
        </w:trPr>
        <w:tc>
          <w:tcPr>
            <w:tcW w:w="56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D27A103" w14:textId="77777777" w:rsidR="00897D6D" w:rsidRDefault="00897D6D">
            <w:pPr>
              <w:spacing w:line="259" w:lineRule="auto"/>
              <w:ind w:left="74"/>
            </w:pPr>
            <w:r>
              <w:lastRenderedPageBreak/>
              <w:t>10</w:t>
            </w:r>
          </w:p>
        </w:tc>
        <w:tc>
          <w:tcPr>
            <w:tcW w:w="3256" w:type="dxa"/>
            <w:tcBorders>
              <w:top w:val="single" w:sz="4" w:space="0" w:color="7F7F7F"/>
              <w:left w:val="single" w:sz="4" w:space="0" w:color="7F7F7F"/>
              <w:bottom w:val="single" w:sz="4" w:space="0" w:color="7F7F7F"/>
              <w:right w:val="single" w:sz="4" w:space="0" w:color="7F7F7F"/>
            </w:tcBorders>
            <w:shd w:val="clear" w:color="auto" w:fill="F2F2F2"/>
          </w:tcPr>
          <w:p w14:paraId="5458D7DD" w14:textId="77777777" w:rsidR="00897D6D" w:rsidRDefault="00897D6D">
            <w:pPr>
              <w:spacing w:line="259" w:lineRule="auto"/>
            </w:pPr>
            <w:r>
              <w:t xml:space="preserve">How many participants are expected? </w:t>
            </w:r>
          </w:p>
        </w:tc>
        <w:tc>
          <w:tcPr>
            <w:tcW w:w="6633" w:type="dxa"/>
            <w:tcBorders>
              <w:top w:val="single" w:sz="4" w:space="0" w:color="7F7F7F"/>
              <w:left w:val="single" w:sz="4" w:space="0" w:color="7F7F7F"/>
              <w:bottom w:val="single" w:sz="4" w:space="0" w:color="7F7F7F"/>
              <w:right w:val="single" w:sz="4" w:space="0" w:color="7F7F7F"/>
            </w:tcBorders>
          </w:tcPr>
          <w:p w14:paraId="6F5E2913" w14:textId="77777777" w:rsidR="00897D6D" w:rsidRDefault="00897D6D">
            <w:pPr>
              <w:spacing w:after="177" w:line="259" w:lineRule="auto"/>
            </w:pPr>
            <w:r>
              <w:t xml:space="preserve">6-10 </w:t>
            </w:r>
          </w:p>
          <w:p w14:paraId="0A5ABE68" w14:textId="77777777" w:rsidR="00897D6D" w:rsidRDefault="00897D6D">
            <w:pPr>
              <w:spacing w:line="259" w:lineRule="auto"/>
            </w:pPr>
            <w:r>
              <w:rPr>
                <w:rFonts w:ascii="Arial" w:eastAsia="Arial" w:hAnsi="Arial" w:cs="Arial"/>
                <w:i/>
                <w:color w:val="808080"/>
                <w:sz w:val="18"/>
              </w:rPr>
              <w:t>(this box should expand as you type)</w:t>
            </w:r>
          </w:p>
        </w:tc>
      </w:tr>
    </w:tbl>
    <w:p w14:paraId="0BAF4683" w14:textId="77777777" w:rsidR="00897D6D" w:rsidRDefault="00897D6D">
      <w:pPr>
        <w:ind w:left="-5"/>
      </w:pPr>
      <w:r>
        <w:t xml:space="preserve">If YES to any question, then no research activity should be undertaken until full ethical approval has been obtained.  </w:t>
      </w:r>
    </w:p>
    <w:p w14:paraId="5E30B4D4" w14:textId="77777777" w:rsidR="00897D6D" w:rsidRDefault="00897D6D">
      <w:pPr>
        <w:spacing w:after="3" w:line="259" w:lineRule="auto"/>
        <w:ind w:left="-5"/>
      </w:pPr>
      <w:r>
        <w:rPr>
          <w:rFonts w:ascii="Arial" w:eastAsia="Arial" w:hAnsi="Arial" w:cs="Arial"/>
          <w:b/>
        </w:rPr>
        <w:t xml:space="preserve">SECTION E: Intended Participants </w:t>
      </w:r>
    </w:p>
    <w:tbl>
      <w:tblPr>
        <w:tblStyle w:val="TableGrid"/>
        <w:tblW w:w="10450" w:type="dxa"/>
        <w:tblInd w:w="5" w:type="dxa"/>
        <w:tblCellMar>
          <w:top w:w="72" w:type="dxa"/>
          <w:left w:w="85" w:type="dxa"/>
          <w:bottom w:w="85" w:type="dxa"/>
          <w:right w:w="113" w:type="dxa"/>
        </w:tblCellMar>
        <w:tblLook w:val="04A0" w:firstRow="1" w:lastRow="0" w:firstColumn="1" w:lastColumn="0" w:noHBand="0" w:noVBand="1"/>
      </w:tblPr>
      <w:tblGrid>
        <w:gridCol w:w="562"/>
        <w:gridCol w:w="8216"/>
        <w:gridCol w:w="850"/>
        <w:gridCol w:w="822"/>
      </w:tblGrid>
      <w:tr w:rsidR="00897D6D" w14:paraId="0A695F86" w14:textId="77777777">
        <w:trPr>
          <w:trHeight w:val="643"/>
        </w:trPr>
        <w:tc>
          <w:tcPr>
            <w:tcW w:w="562" w:type="dxa"/>
            <w:tcBorders>
              <w:top w:val="single" w:sz="4" w:space="0" w:color="7F7F7F"/>
              <w:left w:val="single" w:sz="4" w:space="0" w:color="7F7F7F"/>
              <w:bottom w:val="single" w:sz="4" w:space="0" w:color="7F7F7F"/>
              <w:right w:val="single" w:sz="4" w:space="0" w:color="7F7F7F"/>
            </w:tcBorders>
          </w:tcPr>
          <w:p w14:paraId="0D960D6C" w14:textId="77777777" w:rsidR="00897D6D" w:rsidRDefault="00897D6D">
            <w:pPr>
              <w:spacing w:after="160" w:line="259" w:lineRule="auto"/>
            </w:pPr>
          </w:p>
        </w:tc>
        <w:tc>
          <w:tcPr>
            <w:tcW w:w="8216" w:type="dxa"/>
            <w:tcBorders>
              <w:top w:val="single" w:sz="4" w:space="0" w:color="7F7F7F"/>
              <w:left w:val="single" w:sz="4" w:space="0" w:color="7F7F7F"/>
              <w:bottom w:val="single" w:sz="4" w:space="0" w:color="7F7F7F"/>
              <w:right w:val="single" w:sz="4" w:space="0" w:color="7F7F7F"/>
            </w:tcBorders>
            <w:shd w:val="clear" w:color="auto" w:fill="F2F2F2"/>
          </w:tcPr>
          <w:p w14:paraId="508DAAFF" w14:textId="77777777" w:rsidR="00897D6D" w:rsidRDefault="00897D6D">
            <w:pPr>
              <w:spacing w:line="259" w:lineRule="auto"/>
            </w:pPr>
            <w:r>
              <w:rPr>
                <w:rFonts w:ascii="Arial" w:eastAsia="Arial" w:hAnsi="Arial" w:cs="Arial"/>
                <w:b/>
              </w:rPr>
              <w:t>Who are the intended participants:</w:t>
            </w:r>
          </w:p>
        </w:tc>
        <w:tc>
          <w:tcPr>
            <w:tcW w:w="850"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65E5CC68" w14:textId="77777777" w:rsidR="00897D6D" w:rsidRDefault="00897D6D">
            <w:pPr>
              <w:spacing w:line="259" w:lineRule="auto"/>
              <w:ind w:left="120"/>
            </w:pPr>
            <w:r>
              <w:rPr>
                <w:rFonts w:ascii="Arial" w:eastAsia="Arial" w:hAnsi="Arial" w:cs="Arial"/>
                <w:b/>
              </w:rPr>
              <w:t>YES</w:t>
            </w:r>
          </w:p>
        </w:tc>
        <w:tc>
          <w:tcPr>
            <w:tcW w:w="822"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3BDF8E78" w14:textId="77777777" w:rsidR="00897D6D" w:rsidRDefault="00897D6D">
            <w:pPr>
              <w:spacing w:line="259" w:lineRule="auto"/>
              <w:ind w:left="161"/>
            </w:pPr>
            <w:r>
              <w:rPr>
                <w:rFonts w:ascii="Arial" w:eastAsia="Arial" w:hAnsi="Arial" w:cs="Arial"/>
                <w:b/>
              </w:rPr>
              <w:t>NO</w:t>
            </w:r>
          </w:p>
        </w:tc>
      </w:tr>
      <w:tr w:rsidR="00897D6D" w14:paraId="28C860A5" w14:textId="77777777">
        <w:trPr>
          <w:trHeight w:val="439"/>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07824790" w14:textId="77777777" w:rsidR="00897D6D" w:rsidRDefault="00897D6D">
            <w:pPr>
              <w:spacing w:line="259" w:lineRule="auto"/>
              <w:ind w:left="135"/>
            </w:pPr>
            <w:r>
              <w:t>1</w:t>
            </w:r>
          </w:p>
        </w:tc>
        <w:tc>
          <w:tcPr>
            <w:tcW w:w="8216" w:type="dxa"/>
            <w:tcBorders>
              <w:top w:val="single" w:sz="4" w:space="0" w:color="7F7F7F"/>
              <w:left w:val="single" w:sz="4" w:space="0" w:color="7F7F7F"/>
              <w:bottom w:val="single" w:sz="4" w:space="0" w:color="7F7F7F"/>
              <w:right w:val="single" w:sz="4" w:space="0" w:color="7F7F7F"/>
            </w:tcBorders>
            <w:shd w:val="clear" w:color="auto" w:fill="F2F2F2"/>
          </w:tcPr>
          <w:p w14:paraId="2C00156A" w14:textId="77777777" w:rsidR="00897D6D" w:rsidRDefault="00897D6D">
            <w:pPr>
              <w:spacing w:line="259" w:lineRule="auto"/>
            </w:pPr>
            <w:r>
              <w:t>Students or staff at the University?</w:t>
            </w:r>
          </w:p>
        </w:tc>
        <w:tc>
          <w:tcPr>
            <w:tcW w:w="85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A423C88" w14:textId="77777777" w:rsidR="00897D6D" w:rsidRDefault="00897D6D">
            <w:pPr>
              <w:spacing w:line="259" w:lineRule="auto"/>
              <w:ind w:left="249"/>
            </w:pPr>
            <w:r>
              <w:rPr>
                <w:rFonts w:ascii="Calibri" w:eastAsia="Calibri" w:hAnsi="Calibri" w:cs="Calibri"/>
              </w:rPr>
              <w:t>☐</w:t>
            </w:r>
          </w:p>
        </w:tc>
        <w:tc>
          <w:tcPr>
            <w:tcW w:w="822" w:type="dxa"/>
            <w:tcBorders>
              <w:top w:val="single" w:sz="4" w:space="0" w:color="7F7F7F"/>
              <w:left w:val="single" w:sz="4" w:space="0" w:color="7F7F7F"/>
              <w:bottom w:val="single" w:sz="4" w:space="0" w:color="7F7F7F"/>
              <w:right w:val="single" w:sz="4" w:space="0" w:color="7F7F7F"/>
            </w:tcBorders>
            <w:shd w:val="clear" w:color="auto" w:fill="BFBFBF"/>
          </w:tcPr>
          <w:p w14:paraId="7A18E9A5" w14:textId="77777777" w:rsidR="00897D6D" w:rsidRDefault="00897D6D">
            <w:pPr>
              <w:spacing w:line="259" w:lineRule="auto"/>
              <w:ind w:left="28"/>
              <w:jc w:val="center"/>
            </w:pPr>
            <w:r>
              <w:rPr>
                <w:rFonts w:ascii="Arial" w:eastAsia="Arial" w:hAnsi="Arial" w:cs="Arial"/>
                <w:b/>
              </w:rPr>
              <w:t>X</w:t>
            </w:r>
          </w:p>
        </w:tc>
      </w:tr>
      <w:tr w:rsidR="00897D6D" w14:paraId="037F47C3" w14:textId="77777777">
        <w:trPr>
          <w:trHeight w:val="430"/>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2A305D9A" w14:textId="77777777" w:rsidR="00897D6D" w:rsidRDefault="00897D6D">
            <w:pPr>
              <w:spacing w:line="259" w:lineRule="auto"/>
              <w:ind w:left="135"/>
            </w:pPr>
            <w:r>
              <w:t>2</w:t>
            </w:r>
          </w:p>
        </w:tc>
        <w:tc>
          <w:tcPr>
            <w:tcW w:w="8216" w:type="dxa"/>
            <w:tcBorders>
              <w:top w:val="single" w:sz="4" w:space="0" w:color="7F7F7F"/>
              <w:left w:val="single" w:sz="4" w:space="0" w:color="7F7F7F"/>
              <w:bottom w:val="single" w:sz="4" w:space="0" w:color="7F7F7F"/>
              <w:right w:val="single" w:sz="4" w:space="0" w:color="7F7F7F"/>
            </w:tcBorders>
            <w:shd w:val="clear" w:color="auto" w:fill="F2F2F2"/>
          </w:tcPr>
          <w:p w14:paraId="1C83B79C" w14:textId="77777777" w:rsidR="00897D6D" w:rsidRDefault="00897D6D">
            <w:pPr>
              <w:spacing w:line="259" w:lineRule="auto"/>
            </w:pPr>
            <w:r>
              <w:t>Adults (over the age of 18 and competent to give consent)?</w:t>
            </w:r>
          </w:p>
        </w:tc>
        <w:tc>
          <w:tcPr>
            <w:tcW w:w="850" w:type="dxa"/>
            <w:tcBorders>
              <w:top w:val="single" w:sz="4" w:space="0" w:color="7F7F7F"/>
              <w:left w:val="single" w:sz="4" w:space="0" w:color="7F7F7F"/>
              <w:bottom w:val="single" w:sz="4" w:space="0" w:color="7F7F7F"/>
              <w:right w:val="single" w:sz="4" w:space="0" w:color="7F7F7F"/>
            </w:tcBorders>
            <w:shd w:val="clear" w:color="auto" w:fill="BFBFBF"/>
          </w:tcPr>
          <w:p w14:paraId="0427AD46" w14:textId="77777777" w:rsidR="00897D6D" w:rsidRDefault="00897D6D">
            <w:pPr>
              <w:spacing w:line="259" w:lineRule="auto"/>
              <w:ind w:left="28"/>
              <w:jc w:val="center"/>
            </w:pPr>
            <w:r>
              <w:rPr>
                <w:rFonts w:ascii="Arial" w:eastAsia="Arial" w:hAnsi="Arial" w:cs="Arial"/>
                <w:b/>
              </w:rPr>
              <w:t>X</w:t>
            </w:r>
          </w:p>
        </w:tc>
        <w:tc>
          <w:tcPr>
            <w:tcW w:w="822"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12F027E" w14:textId="77777777" w:rsidR="00897D6D" w:rsidRDefault="00897D6D">
            <w:pPr>
              <w:spacing w:line="259" w:lineRule="auto"/>
              <w:ind w:left="235"/>
            </w:pPr>
            <w:r>
              <w:rPr>
                <w:rFonts w:ascii="Calibri" w:eastAsia="Calibri" w:hAnsi="Calibri" w:cs="Calibri"/>
              </w:rPr>
              <w:t>☐</w:t>
            </w:r>
          </w:p>
        </w:tc>
      </w:tr>
      <w:tr w:rsidR="00897D6D" w14:paraId="5F5E7CAE" w14:textId="77777777">
        <w:trPr>
          <w:trHeight w:val="439"/>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44F0A8DB" w14:textId="77777777" w:rsidR="00897D6D" w:rsidRDefault="00897D6D">
            <w:pPr>
              <w:spacing w:line="259" w:lineRule="auto"/>
              <w:ind w:left="135"/>
            </w:pPr>
            <w:r>
              <w:t>3</w:t>
            </w:r>
          </w:p>
        </w:tc>
        <w:tc>
          <w:tcPr>
            <w:tcW w:w="8216" w:type="dxa"/>
            <w:tcBorders>
              <w:top w:val="single" w:sz="4" w:space="0" w:color="7F7F7F"/>
              <w:left w:val="single" w:sz="4" w:space="0" w:color="7F7F7F"/>
              <w:bottom w:val="single" w:sz="4" w:space="0" w:color="7F7F7F"/>
              <w:right w:val="single" w:sz="4" w:space="0" w:color="7F7F7F"/>
            </w:tcBorders>
            <w:shd w:val="clear" w:color="auto" w:fill="F2F2F2"/>
          </w:tcPr>
          <w:p w14:paraId="5F8AB48F" w14:textId="77777777" w:rsidR="00897D6D" w:rsidRDefault="00897D6D">
            <w:pPr>
              <w:spacing w:line="259" w:lineRule="auto"/>
            </w:pPr>
            <w:r>
              <w:t>Vulnerable adults?</w:t>
            </w:r>
          </w:p>
        </w:tc>
        <w:tc>
          <w:tcPr>
            <w:tcW w:w="85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73DAFC2" w14:textId="77777777" w:rsidR="00897D6D" w:rsidRDefault="00897D6D">
            <w:pPr>
              <w:spacing w:line="259" w:lineRule="auto"/>
              <w:ind w:left="249"/>
            </w:pPr>
            <w:r>
              <w:rPr>
                <w:rFonts w:ascii="Calibri" w:eastAsia="Calibri" w:hAnsi="Calibri" w:cs="Calibri"/>
              </w:rPr>
              <w:t>☐</w:t>
            </w:r>
          </w:p>
        </w:tc>
        <w:tc>
          <w:tcPr>
            <w:tcW w:w="822" w:type="dxa"/>
            <w:tcBorders>
              <w:top w:val="single" w:sz="4" w:space="0" w:color="7F7F7F"/>
              <w:left w:val="single" w:sz="4" w:space="0" w:color="7F7F7F"/>
              <w:bottom w:val="single" w:sz="4" w:space="0" w:color="7F7F7F"/>
              <w:right w:val="single" w:sz="4" w:space="0" w:color="7F7F7F"/>
            </w:tcBorders>
            <w:shd w:val="clear" w:color="auto" w:fill="BFBFBF"/>
          </w:tcPr>
          <w:p w14:paraId="448C8F33" w14:textId="77777777" w:rsidR="00897D6D" w:rsidRDefault="00897D6D">
            <w:pPr>
              <w:spacing w:line="259" w:lineRule="auto"/>
              <w:ind w:left="28"/>
              <w:jc w:val="center"/>
            </w:pPr>
            <w:r>
              <w:rPr>
                <w:rFonts w:ascii="Arial" w:eastAsia="Arial" w:hAnsi="Arial" w:cs="Arial"/>
                <w:b/>
              </w:rPr>
              <w:t>X</w:t>
            </w:r>
          </w:p>
        </w:tc>
      </w:tr>
      <w:tr w:rsidR="00897D6D" w14:paraId="234167E7" w14:textId="77777777">
        <w:trPr>
          <w:trHeight w:val="643"/>
        </w:trPr>
        <w:tc>
          <w:tcPr>
            <w:tcW w:w="56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6E2014B" w14:textId="77777777" w:rsidR="00897D6D" w:rsidRDefault="00897D6D">
            <w:pPr>
              <w:spacing w:line="259" w:lineRule="auto"/>
              <w:ind w:left="135"/>
            </w:pPr>
            <w:r>
              <w:t>4</w:t>
            </w:r>
          </w:p>
        </w:tc>
        <w:tc>
          <w:tcPr>
            <w:tcW w:w="8216" w:type="dxa"/>
            <w:tcBorders>
              <w:top w:val="single" w:sz="4" w:space="0" w:color="7F7F7F"/>
              <w:left w:val="single" w:sz="4" w:space="0" w:color="7F7F7F"/>
              <w:bottom w:val="single" w:sz="4" w:space="0" w:color="7F7F7F"/>
              <w:right w:val="single" w:sz="4" w:space="0" w:color="7F7F7F"/>
            </w:tcBorders>
            <w:shd w:val="clear" w:color="auto" w:fill="F2F2F2"/>
          </w:tcPr>
          <w:p w14:paraId="67586B2B" w14:textId="77777777" w:rsidR="00897D6D" w:rsidRDefault="00897D6D">
            <w:pPr>
              <w:spacing w:line="259" w:lineRule="auto"/>
            </w:pPr>
            <w:r>
              <w:t>Children and Young People under the age of 18? (Consent from Parent, Carer or Guardian will be required)</w:t>
            </w:r>
          </w:p>
        </w:tc>
        <w:tc>
          <w:tcPr>
            <w:tcW w:w="85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614310E" w14:textId="77777777" w:rsidR="00897D6D" w:rsidRDefault="00897D6D">
            <w:pPr>
              <w:spacing w:line="259" w:lineRule="auto"/>
              <w:ind w:left="249"/>
            </w:pPr>
            <w:r>
              <w:rPr>
                <w:rFonts w:ascii="Calibri" w:eastAsia="Calibri" w:hAnsi="Calibri" w:cs="Calibri"/>
              </w:rPr>
              <w:t>☐</w:t>
            </w:r>
          </w:p>
        </w:tc>
        <w:tc>
          <w:tcPr>
            <w:tcW w:w="822"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FAAB729" w14:textId="77777777" w:rsidR="00897D6D" w:rsidRDefault="00897D6D">
            <w:pPr>
              <w:spacing w:line="259" w:lineRule="auto"/>
              <w:ind w:left="28"/>
              <w:jc w:val="center"/>
            </w:pPr>
            <w:r>
              <w:rPr>
                <w:rFonts w:ascii="Arial" w:eastAsia="Arial" w:hAnsi="Arial" w:cs="Arial"/>
                <w:b/>
              </w:rPr>
              <w:t>X</w:t>
            </w:r>
          </w:p>
        </w:tc>
      </w:tr>
      <w:tr w:rsidR="00897D6D" w14:paraId="41158452" w14:textId="77777777">
        <w:trPr>
          <w:trHeight w:val="430"/>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1F3BD1C0" w14:textId="77777777" w:rsidR="00897D6D" w:rsidRDefault="00897D6D">
            <w:pPr>
              <w:spacing w:line="259" w:lineRule="auto"/>
              <w:ind w:left="135"/>
            </w:pPr>
            <w:r>
              <w:t>5</w:t>
            </w:r>
          </w:p>
        </w:tc>
        <w:tc>
          <w:tcPr>
            <w:tcW w:w="8216" w:type="dxa"/>
            <w:tcBorders>
              <w:top w:val="single" w:sz="4" w:space="0" w:color="7F7F7F"/>
              <w:left w:val="single" w:sz="4" w:space="0" w:color="7F7F7F"/>
              <w:bottom w:val="single" w:sz="4" w:space="0" w:color="7F7F7F"/>
              <w:right w:val="single" w:sz="4" w:space="0" w:color="7F7F7F"/>
            </w:tcBorders>
            <w:shd w:val="clear" w:color="auto" w:fill="F2F2F2"/>
          </w:tcPr>
          <w:p w14:paraId="54EA7B81" w14:textId="77777777" w:rsidR="00897D6D" w:rsidRDefault="00897D6D">
            <w:pPr>
              <w:spacing w:line="259" w:lineRule="auto"/>
            </w:pPr>
            <w:r>
              <w:t>Prisoners?</w:t>
            </w:r>
          </w:p>
        </w:tc>
        <w:tc>
          <w:tcPr>
            <w:tcW w:w="85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290EC04" w14:textId="77777777" w:rsidR="00897D6D" w:rsidRDefault="00897D6D">
            <w:pPr>
              <w:spacing w:line="259" w:lineRule="auto"/>
              <w:ind w:left="249"/>
            </w:pPr>
            <w:r>
              <w:rPr>
                <w:rFonts w:ascii="Calibri" w:eastAsia="Calibri" w:hAnsi="Calibri" w:cs="Calibri"/>
              </w:rPr>
              <w:t>☐</w:t>
            </w:r>
          </w:p>
        </w:tc>
        <w:tc>
          <w:tcPr>
            <w:tcW w:w="822" w:type="dxa"/>
            <w:tcBorders>
              <w:top w:val="single" w:sz="4" w:space="0" w:color="7F7F7F"/>
              <w:left w:val="single" w:sz="4" w:space="0" w:color="7F7F7F"/>
              <w:bottom w:val="single" w:sz="4" w:space="0" w:color="7F7F7F"/>
              <w:right w:val="single" w:sz="4" w:space="0" w:color="7F7F7F"/>
            </w:tcBorders>
            <w:shd w:val="clear" w:color="auto" w:fill="BFBFBF"/>
          </w:tcPr>
          <w:p w14:paraId="4CBB1B5C" w14:textId="77777777" w:rsidR="00897D6D" w:rsidRDefault="00897D6D">
            <w:pPr>
              <w:spacing w:line="259" w:lineRule="auto"/>
              <w:ind w:left="28"/>
              <w:jc w:val="center"/>
            </w:pPr>
            <w:r>
              <w:rPr>
                <w:rFonts w:ascii="Arial" w:eastAsia="Arial" w:hAnsi="Arial" w:cs="Arial"/>
                <w:b/>
              </w:rPr>
              <w:t>X</w:t>
            </w:r>
          </w:p>
        </w:tc>
      </w:tr>
      <w:tr w:rsidR="00897D6D" w14:paraId="32EEED7C" w14:textId="77777777">
        <w:trPr>
          <w:trHeight w:val="439"/>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718206D7" w14:textId="77777777" w:rsidR="00897D6D" w:rsidRDefault="00897D6D">
            <w:pPr>
              <w:spacing w:line="259" w:lineRule="auto"/>
              <w:ind w:left="135"/>
            </w:pPr>
            <w:r>
              <w:t>6</w:t>
            </w:r>
          </w:p>
        </w:tc>
        <w:tc>
          <w:tcPr>
            <w:tcW w:w="8216" w:type="dxa"/>
            <w:tcBorders>
              <w:top w:val="single" w:sz="4" w:space="0" w:color="7F7F7F"/>
              <w:left w:val="single" w:sz="4" w:space="0" w:color="7F7F7F"/>
              <w:bottom w:val="single" w:sz="4" w:space="0" w:color="7F7F7F"/>
              <w:right w:val="single" w:sz="4" w:space="0" w:color="7F7F7F"/>
            </w:tcBorders>
            <w:shd w:val="clear" w:color="auto" w:fill="F2F2F2"/>
          </w:tcPr>
          <w:p w14:paraId="244D6A22" w14:textId="77777777" w:rsidR="00897D6D" w:rsidRDefault="00897D6D">
            <w:pPr>
              <w:spacing w:line="259" w:lineRule="auto"/>
            </w:pPr>
            <w:r>
              <w:t>Young offenders?</w:t>
            </w:r>
          </w:p>
        </w:tc>
        <w:tc>
          <w:tcPr>
            <w:tcW w:w="85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8ED4FC6" w14:textId="77777777" w:rsidR="00897D6D" w:rsidRDefault="00897D6D">
            <w:pPr>
              <w:spacing w:line="259" w:lineRule="auto"/>
              <w:ind w:left="249"/>
            </w:pPr>
            <w:r>
              <w:rPr>
                <w:rFonts w:ascii="Calibri" w:eastAsia="Calibri" w:hAnsi="Calibri" w:cs="Calibri"/>
              </w:rPr>
              <w:t>☐</w:t>
            </w:r>
          </w:p>
        </w:tc>
        <w:tc>
          <w:tcPr>
            <w:tcW w:w="822" w:type="dxa"/>
            <w:tcBorders>
              <w:top w:val="single" w:sz="4" w:space="0" w:color="7F7F7F"/>
              <w:left w:val="single" w:sz="4" w:space="0" w:color="7F7F7F"/>
              <w:bottom w:val="single" w:sz="4" w:space="0" w:color="7F7F7F"/>
              <w:right w:val="single" w:sz="4" w:space="0" w:color="7F7F7F"/>
            </w:tcBorders>
            <w:shd w:val="clear" w:color="auto" w:fill="BFBFBF"/>
          </w:tcPr>
          <w:p w14:paraId="531A4C53" w14:textId="77777777" w:rsidR="00897D6D" w:rsidRDefault="00897D6D">
            <w:pPr>
              <w:spacing w:line="259" w:lineRule="auto"/>
              <w:ind w:left="28"/>
              <w:jc w:val="center"/>
            </w:pPr>
            <w:r>
              <w:rPr>
                <w:rFonts w:ascii="Arial" w:eastAsia="Arial" w:hAnsi="Arial" w:cs="Arial"/>
                <w:b/>
              </w:rPr>
              <w:t>X</w:t>
            </w:r>
          </w:p>
        </w:tc>
      </w:tr>
      <w:tr w:rsidR="00897D6D" w14:paraId="0E038BCD" w14:textId="77777777">
        <w:trPr>
          <w:trHeight w:val="643"/>
        </w:trPr>
        <w:tc>
          <w:tcPr>
            <w:tcW w:w="56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3198604" w14:textId="77777777" w:rsidR="00897D6D" w:rsidRDefault="00897D6D">
            <w:pPr>
              <w:spacing w:line="259" w:lineRule="auto"/>
              <w:ind w:left="135"/>
            </w:pPr>
            <w:r>
              <w:t>7</w:t>
            </w:r>
          </w:p>
        </w:tc>
        <w:tc>
          <w:tcPr>
            <w:tcW w:w="8216" w:type="dxa"/>
            <w:tcBorders>
              <w:top w:val="single" w:sz="4" w:space="0" w:color="7F7F7F"/>
              <w:left w:val="single" w:sz="4" w:space="0" w:color="7F7F7F"/>
              <w:bottom w:val="single" w:sz="4" w:space="0" w:color="7F7F7F"/>
              <w:right w:val="single" w:sz="4" w:space="0" w:color="7F7F7F"/>
            </w:tcBorders>
            <w:shd w:val="clear" w:color="auto" w:fill="F2F2F2"/>
          </w:tcPr>
          <w:p w14:paraId="5537045E" w14:textId="77777777" w:rsidR="00897D6D" w:rsidRDefault="00897D6D">
            <w:pPr>
              <w:spacing w:line="259" w:lineRule="auto"/>
            </w:pPr>
            <w:r>
              <w:t>Those who could be considered to have a particularly dependent relationship with the investigator or a gatekeeper?</w:t>
            </w:r>
          </w:p>
        </w:tc>
        <w:tc>
          <w:tcPr>
            <w:tcW w:w="85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AAF7DD7" w14:textId="77777777" w:rsidR="00897D6D" w:rsidRDefault="00897D6D">
            <w:pPr>
              <w:spacing w:line="259" w:lineRule="auto"/>
              <w:ind w:left="249"/>
            </w:pPr>
            <w:r>
              <w:rPr>
                <w:rFonts w:ascii="Calibri" w:eastAsia="Calibri" w:hAnsi="Calibri" w:cs="Calibri"/>
              </w:rPr>
              <w:t>☐</w:t>
            </w:r>
          </w:p>
        </w:tc>
        <w:tc>
          <w:tcPr>
            <w:tcW w:w="822"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97B65F6" w14:textId="77777777" w:rsidR="00897D6D" w:rsidRDefault="00897D6D">
            <w:pPr>
              <w:spacing w:line="259" w:lineRule="auto"/>
              <w:ind w:left="28"/>
              <w:jc w:val="center"/>
            </w:pPr>
            <w:r>
              <w:rPr>
                <w:rFonts w:ascii="Arial" w:eastAsia="Arial" w:hAnsi="Arial" w:cs="Arial"/>
                <w:b/>
              </w:rPr>
              <w:t>X</w:t>
            </w:r>
          </w:p>
        </w:tc>
      </w:tr>
      <w:tr w:rsidR="00897D6D" w14:paraId="75CE7EA1" w14:textId="77777777">
        <w:trPr>
          <w:trHeight w:val="430"/>
        </w:trPr>
        <w:tc>
          <w:tcPr>
            <w:tcW w:w="562" w:type="dxa"/>
            <w:tcBorders>
              <w:top w:val="single" w:sz="4" w:space="0" w:color="7F7F7F"/>
              <w:left w:val="single" w:sz="4" w:space="0" w:color="7F7F7F"/>
              <w:bottom w:val="single" w:sz="4" w:space="0" w:color="7F7F7F"/>
              <w:right w:val="single" w:sz="4" w:space="0" w:color="7F7F7F"/>
            </w:tcBorders>
            <w:shd w:val="clear" w:color="auto" w:fill="F2F2F2"/>
          </w:tcPr>
          <w:p w14:paraId="3916ED7F" w14:textId="77777777" w:rsidR="00897D6D" w:rsidRDefault="00897D6D">
            <w:pPr>
              <w:spacing w:line="259" w:lineRule="auto"/>
              <w:ind w:left="135"/>
            </w:pPr>
            <w:r>
              <w:t>8</w:t>
            </w:r>
          </w:p>
        </w:tc>
        <w:tc>
          <w:tcPr>
            <w:tcW w:w="8216" w:type="dxa"/>
            <w:tcBorders>
              <w:top w:val="single" w:sz="4" w:space="0" w:color="7F7F7F"/>
              <w:left w:val="single" w:sz="4" w:space="0" w:color="7F7F7F"/>
              <w:bottom w:val="single" w:sz="4" w:space="0" w:color="7F7F7F"/>
              <w:right w:val="single" w:sz="4" w:space="0" w:color="7F7F7F"/>
            </w:tcBorders>
            <w:shd w:val="clear" w:color="auto" w:fill="F2F2F2"/>
          </w:tcPr>
          <w:p w14:paraId="3FA1F98D" w14:textId="77777777" w:rsidR="00897D6D" w:rsidRDefault="00897D6D">
            <w:pPr>
              <w:spacing w:line="259" w:lineRule="auto"/>
            </w:pPr>
            <w:r>
              <w:t>People engaged in illegal activities?</w:t>
            </w:r>
          </w:p>
        </w:tc>
        <w:tc>
          <w:tcPr>
            <w:tcW w:w="850"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3EF7CF3" w14:textId="77777777" w:rsidR="00897D6D" w:rsidRDefault="00897D6D">
            <w:pPr>
              <w:spacing w:line="259" w:lineRule="auto"/>
              <w:ind w:left="249"/>
            </w:pPr>
            <w:r>
              <w:rPr>
                <w:rFonts w:ascii="Calibri" w:eastAsia="Calibri" w:hAnsi="Calibri" w:cs="Calibri"/>
              </w:rPr>
              <w:t>☐</w:t>
            </w:r>
          </w:p>
        </w:tc>
        <w:tc>
          <w:tcPr>
            <w:tcW w:w="822" w:type="dxa"/>
            <w:tcBorders>
              <w:top w:val="single" w:sz="4" w:space="0" w:color="7F7F7F"/>
              <w:left w:val="single" w:sz="4" w:space="0" w:color="7F7F7F"/>
              <w:bottom w:val="single" w:sz="4" w:space="0" w:color="7F7F7F"/>
              <w:right w:val="single" w:sz="4" w:space="0" w:color="7F7F7F"/>
            </w:tcBorders>
            <w:shd w:val="clear" w:color="auto" w:fill="BFBFBF"/>
          </w:tcPr>
          <w:p w14:paraId="5599513D" w14:textId="77777777" w:rsidR="00897D6D" w:rsidRDefault="00897D6D">
            <w:pPr>
              <w:spacing w:line="259" w:lineRule="auto"/>
              <w:ind w:left="28"/>
              <w:jc w:val="center"/>
            </w:pPr>
            <w:r>
              <w:rPr>
                <w:rFonts w:ascii="Arial" w:eastAsia="Arial" w:hAnsi="Arial" w:cs="Arial"/>
                <w:b/>
              </w:rPr>
              <w:t>X</w:t>
            </w:r>
          </w:p>
        </w:tc>
      </w:tr>
      <w:tr w:rsidR="00897D6D" w14:paraId="56B17D91" w14:textId="77777777">
        <w:trPr>
          <w:trHeight w:val="883"/>
        </w:trPr>
        <w:tc>
          <w:tcPr>
            <w:tcW w:w="56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DDCCECB" w14:textId="77777777" w:rsidR="00897D6D" w:rsidRDefault="00897D6D">
            <w:pPr>
              <w:spacing w:line="259" w:lineRule="auto"/>
              <w:ind w:left="135"/>
            </w:pPr>
            <w:r>
              <w:t>9</w:t>
            </w:r>
          </w:p>
        </w:tc>
        <w:tc>
          <w:tcPr>
            <w:tcW w:w="8216" w:type="dxa"/>
            <w:tcBorders>
              <w:top w:val="single" w:sz="4" w:space="0" w:color="7F7F7F"/>
              <w:left w:val="single" w:sz="4" w:space="0" w:color="7F7F7F"/>
              <w:bottom w:val="single" w:sz="4" w:space="0" w:color="7F7F7F"/>
              <w:right w:val="single" w:sz="4" w:space="0" w:color="7F7F7F"/>
            </w:tcBorders>
            <w:shd w:val="clear" w:color="auto" w:fill="F2F2F2"/>
          </w:tcPr>
          <w:p w14:paraId="6AF5EF3A" w14:textId="77777777" w:rsidR="00897D6D" w:rsidRDefault="00897D6D">
            <w:pPr>
              <w:spacing w:line="259" w:lineRule="auto"/>
            </w:pPr>
            <w:r>
              <w:t xml:space="preserve">Others. Please indicate the participants below, and specifically any group who may be unable to give consent. </w:t>
            </w:r>
          </w:p>
        </w:tc>
        <w:tc>
          <w:tcPr>
            <w:tcW w:w="850" w:type="dxa"/>
            <w:vMerge w:val="restart"/>
            <w:tcBorders>
              <w:top w:val="single" w:sz="4" w:space="0" w:color="7F7F7F"/>
              <w:left w:val="single" w:sz="4" w:space="0" w:color="7F7F7F"/>
              <w:bottom w:val="single" w:sz="4" w:space="0" w:color="7F7F7F"/>
              <w:right w:val="single" w:sz="4" w:space="0" w:color="7F7F7F"/>
            </w:tcBorders>
            <w:shd w:val="clear" w:color="auto" w:fill="BFBFBF"/>
            <w:vAlign w:val="center"/>
          </w:tcPr>
          <w:p w14:paraId="77E767B9" w14:textId="77777777" w:rsidR="00897D6D" w:rsidRDefault="00897D6D">
            <w:pPr>
              <w:spacing w:line="259" w:lineRule="auto"/>
              <w:ind w:left="249"/>
            </w:pPr>
            <w:r>
              <w:rPr>
                <w:rFonts w:ascii="Calibri" w:eastAsia="Calibri" w:hAnsi="Calibri" w:cs="Calibri"/>
              </w:rPr>
              <w:t>☐</w:t>
            </w:r>
          </w:p>
        </w:tc>
        <w:tc>
          <w:tcPr>
            <w:tcW w:w="822" w:type="dxa"/>
            <w:vMerge w:val="restart"/>
            <w:tcBorders>
              <w:top w:val="single" w:sz="4" w:space="0" w:color="7F7F7F"/>
              <w:left w:val="single" w:sz="4" w:space="0" w:color="7F7F7F"/>
              <w:bottom w:val="single" w:sz="4" w:space="0" w:color="7F7F7F"/>
              <w:right w:val="single" w:sz="4" w:space="0" w:color="7F7F7F"/>
            </w:tcBorders>
            <w:shd w:val="clear" w:color="auto" w:fill="BFBFBF"/>
            <w:vAlign w:val="center"/>
          </w:tcPr>
          <w:p w14:paraId="03831461" w14:textId="77777777" w:rsidR="00897D6D" w:rsidRDefault="00897D6D">
            <w:pPr>
              <w:spacing w:line="259" w:lineRule="auto"/>
              <w:ind w:left="28"/>
              <w:jc w:val="center"/>
            </w:pPr>
            <w:r>
              <w:rPr>
                <w:rFonts w:ascii="Arial" w:eastAsia="Arial" w:hAnsi="Arial" w:cs="Arial"/>
                <w:b/>
              </w:rPr>
              <w:t>X</w:t>
            </w:r>
          </w:p>
        </w:tc>
      </w:tr>
      <w:tr w:rsidR="00897D6D" w14:paraId="2112FE4C" w14:textId="77777777">
        <w:trPr>
          <w:trHeight w:val="1544"/>
        </w:trPr>
        <w:tc>
          <w:tcPr>
            <w:tcW w:w="562" w:type="dxa"/>
            <w:tcBorders>
              <w:top w:val="single" w:sz="4" w:space="0" w:color="7F7F7F"/>
              <w:left w:val="single" w:sz="4" w:space="0" w:color="7F7F7F"/>
              <w:bottom w:val="single" w:sz="4" w:space="0" w:color="7F7F7F"/>
              <w:right w:val="single" w:sz="4" w:space="0" w:color="7F7F7F"/>
            </w:tcBorders>
          </w:tcPr>
          <w:p w14:paraId="722B0395" w14:textId="77777777" w:rsidR="00897D6D" w:rsidRDefault="00897D6D">
            <w:pPr>
              <w:spacing w:after="160" w:line="259" w:lineRule="auto"/>
            </w:pPr>
          </w:p>
        </w:tc>
        <w:tc>
          <w:tcPr>
            <w:tcW w:w="8216" w:type="dxa"/>
            <w:tcBorders>
              <w:top w:val="single" w:sz="4" w:space="0" w:color="7F7F7F"/>
              <w:left w:val="single" w:sz="4" w:space="0" w:color="7F7F7F"/>
              <w:bottom w:val="single" w:sz="4" w:space="0" w:color="7F7F7F"/>
              <w:right w:val="single" w:sz="4" w:space="0" w:color="7F7F7F"/>
            </w:tcBorders>
          </w:tcPr>
          <w:p w14:paraId="77355826" w14:textId="77777777" w:rsidR="00897D6D" w:rsidRDefault="00897D6D">
            <w:pPr>
              <w:spacing w:line="259" w:lineRule="auto"/>
            </w:pPr>
            <w:r>
              <w:t xml:space="preserve">Details of any other participant groups: </w:t>
            </w:r>
          </w:p>
          <w:p w14:paraId="54838EBB" w14:textId="77777777" w:rsidR="00897D6D" w:rsidRDefault="00897D6D">
            <w:pPr>
              <w:spacing w:after="190"/>
            </w:pPr>
            <w:r>
              <w:rPr>
                <w:color w:val="00B050"/>
              </w:rPr>
              <w:t>Complete this only if your participants cannot give consent. This includes animals. If students choose individuals under the age of 18 and or vulnerable individuals, a DBS (Disclosure and Barring Service) check is essential.</w:t>
            </w:r>
            <w:r>
              <w:rPr>
                <w:sz w:val="20"/>
              </w:rPr>
              <w:t xml:space="preserve"> </w:t>
            </w:r>
          </w:p>
          <w:p w14:paraId="56078F8C" w14:textId="77777777" w:rsidR="00897D6D" w:rsidRDefault="00897D6D">
            <w:pPr>
              <w:spacing w:line="259" w:lineRule="auto"/>
            </w:pPr>
            <w:r>
              <w:rPr>
                <w:color w:val="808080"/>
                <w:sz w:val="18"/>
              </w:rPr>
              <w:t>(this box should expand as you type)</w:t>
            </w:r>
          </w:p>
        </w:tc>
        <w:tc>
          <w:tcPr>
            <w:tcW w:w="0" w:type="auto"/>
            <w:vMerge/>
            <w:tcBorders>
              <w:top w:val="nil"/>
              <w:left w:val="single" w:sz="4" w:space="0" w:color="7F7F7F"/>
              <w:bottom w:val="single" w:sz="4" w:space="0" w:color="7F7F7F"/>
              <w:right w:val="single" w:sz="4" w:space="0" w:color="7F7F7F"/>
            </w:tcBorders>
          </w:tcPr>
          <w:p w14:paraId="7B1AD21C" w14:textId="77777777" w:rsidR="00897D6D" w:rsidRDefault="00897D6D">
            <w:pPr>
              <w:spacing w:after="160" w:line="259" w:lineRule="auto"/>
            </w:pPr>
          </w:p>
        </w:tc>
        <w:tc>
          <w:tcPr>
            <w:tcW w:w="0" w:type="auto"/>
            <w:vMerge/>
            <w:tcBorders>
              <w:top w:val="nil"/>
              <w:left w:val="single" w:sz="4" w:space="0" w:color="7F7F7F"/>
              <w:bottom w:val="single" w:sz="4" w:space="0" w:color="7F7F7F"/>
              <w:right w:val="single" w:sz="4" w:space="0" w:color="7F7F7F"/>
            </w:tcBorders>
          </w:tcPr>
          <w:p w14:paraId="4EFB7DB9" w14:textId="77777777" w:rsidR="00897D6D" w:rsidRDefault="00897D6D">
            <w:pPr>
              <w:spacing w:after="160" w:line="259" w:lineRule="auto"/>
            </w:pPr>
          </w:p>
        </w:tc>
      </w:tr>
    </w:tbl>
    <w:tbl>
      <w:tblPr>
        <w:tblStyle w:val="TableGrid"/>
        <w:tblpPr w:vertAnchor="page" w:horzAnchor="page" w:tblpX="725" w:tblpY="12465"/>
        <w:tblOverlap w:val="never"/>
        <w:tblW w:w="10455" w:type="dxa"/>
        <w:tblInd w:w="0" w:type="dxa"/>
        <w:tblCellMar>
          <w:top w:w="72" w:type="dxa"/>
          <w:left w:w="85" w:type="dxa"/>
          <w:bottom w:w="85" w:type="dxa"/>
          <w:right w:w="86" w:type="dxa"/>
        </w:tblCellMar>
        <w:tblLook w:val="04A0" w:firstRow="1" w:lastRow="0" w:firstColumn="1" w:lastColumn="0" w:noHBand="0" w:noVBand="1"/>
      </w:tblPr>
      <w:tblGrid>
        <w:gridCol w:w="560"/>
        <w:gridCol w:w="7068"/>
        <w:gridCol w:w="989"/>
        <w:gridCol w:w="849"/>
        <w:gridCol w:w="989"/>
      </w:tblGrid>
      <w:tr w:rsidR="00897D6D" w14:paraId="456E45C1" w14:textId="77777777">
        <w:trPr>
          <w:trHeight w:val="583"/>
        </w:trPr>
        <w:tc>
          <w:tcPr>
            <w:tcW w:w="560" w:type="dxa"/>
            <w:tcBorders>
              <w:top w:val="single" w:sz="4" w:space="0" w:color="7F7F7F"/>
              <w:left w:val="single" w:sz="4" w:space="0" w:color="7F7F7F"/>
              <w:bottom w:val="single" w:sz="4" w:space="0" w:color="7F7F7F"/>
              <w:right w:val="single" w:sz="4" w:space="0" w:color="7F7F7F"/>
            </w:tcBorders>
          </w:tcPr>
          <w:p w14:paraId="70B26626" w14:textId="77777777" w:rsidR="00897D6D" w:rsidRDefault="00897D6D">
            <w:pPr>
              <w:spacing w:after="160" w:line="259" w:lineRule="auto"/>
            </w:pPr>
          </w:p>
        </w:tc>
        <w:tc>
          <w:tcPr>
            <w:tcW w:w="706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705B705" w14:textId="77777777" w:rsidR="00897D6D" w:rsidRDefault="00897D6D">
            <w:pPr>
              <w:spacing w:line="259" w:lineRule="auto"/>
            </w:pPr>
            <w:r>
              <w:rPr>
                <w:rFonts w:ascii="Arial" w:eastAsia="Arial" w:hAnsi="Arial" w:cs="Arial"/>
                <w:b/>
              </w:rPr>
              <w:t>Information for participants:</w:t>
            </w:r>
          </w:p>
        </w:tc>
        <w:tc>
          <w:tcPr>
            <w:tcW w:w="989"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014AEDFF" w14:textId="77777777" w:rsidR="00897D6D" w:rsidRDefault="00897D6D">
            <w:pPr>
              <w:spacing w:line="259" w:lineRule="auto"/>
              <w:ind w:left="189"/>
            </w:pPr>
            <w:r>
              <w:rPr>
                <w:rFonts w:ascii="Arial" w:eastAsia="Arial" w:hAnsi="Arial" w:cs="Arial"/>
                <w:b/>
              </w:rPr>
              <w:t>YES</w:t>
            </w:r>
          </w:p>
        </w:tc>
        <w:tc>
          <w:tcPr>
            <w:tcW w:w="849"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32990570" w14:textId="77777777" w:rsidR="00897D6D" w:rsidRDefault="00897D6D">
            <w:pPr>
              <w:spacing w:line="259" w:lineRule="auto"/>
              <w:ind w:left="174"/>
            </w:pPr>
            <w:r>
              <w:rPr>
                <w:rFonts w:ascii="Arial" w:eastAsia="Arial" w:hAnsi="Arial" w:cs="Arial"/>
                <w:b/>
              </w:rPr>
              <w:t>NO</w:t>
            </w:r>
          </w:p>
        </w:tc>
        <w:tc>
          <w:tcPr>
            <w:tcW w:w="989"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33725D33" w14:textId="77777777" w:rsidR="00897D6D" w:rsidRDefault="00897D6D">
            <w:pPr>
              <w:spacing w:line="259" w:lineRule="auto"/>
              <w:ind w:left="1"/>
              <w:jc w:val="center"/>
            </w:pPr>
            <w:r>
              <w:rPr>
                <w:rFonts w:ascii="Arial" w:eastAsia="Arial" w:hAnsi="Arial" w:cs="Arial"/>
                <w:b/>
              </w:rPr>
              <w:t>N/A</w:t>
            </w:r>
          </w:p>
        </w:tc>
      </w:tr>
      <w:tr w:rsidR="00897D6D" w14:paraId="367CA8CA" w14:textId="77777777">
        <w:trPr>
          <w:trHeight w:val="439"/>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3276E59A" w14:textId="77777777" w:rsidR="00897D6D" w:rsidRDefault="00897D6D">
            <w:pPr>
              <w:spacing w:line="259" w:lineRule="auto"/>
              <w:ind w:left="73"/>
            </w:pPr>
            <w:r>
              <w:t>24</w:t>
            </w:r>
          </w:p>
        </w:tc>
        <w:tc>
          <w:tcPr>
            <w:tcW w:w="7068" w:type="dxa"/>
            <w:tcBorders>
              <w:top w:val="single" w:sz="4" w:space="0" w:color="7F7F7F"/>
              <w:left w:val="single" w:sz="4" w:space="0" w:color="7F7F7F"/>
              <w:bottom w:val="single" w:sz="4" w:space="0" w:color="7F7F7F"/>
              <w:right w:val="single" w:sz="4" w:space="0" w:color="7F7F7F"/>
            </w:tcBorders>
            <w:shd w:val="clear" w:color="auto" w:fill="F2F2F2"/>
          </w:tcPr>
          <w:p w14:paraId="16531712" w14:textId="77777777" w:rsidR="00897D6D" w:rsidRDefault="00897D6D">
            <w:pPr>
              <w:spacing w:line="259" w:lineRule="auto"/>
            </w:pPr>
            <w:r>
              <w:t>Will participants be paid?</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CA8C404" w14:textId="77777777" w:rsidR="00897D6D" w:rsidRDefault="00897D6D">
            <w:pPr>
              <w:spacing w:line="259" w:lineRule="auto"/>
              <w:ind w:left="1"/>
              <w:jc w:val="center"/>
            </w:pPr>
            <w:r>
              <w:rPr>
                <w:rFonts w:ascii="Calibri" w:eastAsia="Calibri" w:hAnsi="Calibri" w:cs="Calibri"/>
              </w:rPr>
              <w:t>☐</w:t>
            </w:r>
          </w:p>
        </w:tc>
        <w:tc>
          <w:tcPr>
            <w:tcW w:w="849" w:type="dxa"/>
            <w:tcBorders>
              <w:top w:val="single" w:sz="4" w:space="0" w:color="7F7F7F"/>
              <w:left w:val="single" w:sz="4" w:space="0" w:color="7F7F7F"/>
              <w:bottom w:val="single" w:sz="4" w:space="0" w:color="7F7F7F"/>
              <w:right w:val="single" w:sz="4" w:space="0" w:color="7F7F7F"/>
            </w:tcBorders>
            <w:shd w:val="clear" w:color="auto" w:fill="BFBFBF"/>
          </w:tcPr>
          <w:p w14:paraId="417482F4" w14:textId="77777777" w:rsidR="00897D6D" w:rsidRDefault="00897D6D">
            <w:pPr>
              <w:spacing w:line="259" w:lineRule="auto"/>
              <w:ind w:left="1"/>
              <w:jc w:val="center"/>
            </w:pPr>
            <w:r>
              <w:rPr>
                <w:rFonts w:ascii="Arial" w:eastAsia="Arial" w:hAnsi="Arial" w:cs="Arial"/>
                <w:b/>
              </w:rPr>
              <w:t>X</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DD098A4" w14:textId="77777777" w:rsidR="00897D6D" w:rsidRDefault="00897D6D">
            <w:pPr>
              <w:spacing w:line="259" w:lineRule="auto"/>
              <w:ind w:left="1"/>
              <w:jc w:val="center"/>
            </w:pPr>
            <w:r>
              <w:rPr>
                <w:rFonts w:ascii="Calibri" w:eastAsia="Calibri" w:hAnsi="Calibri" w:cs="Calibri"/>
              </w:rPr>
              <w:t>☐</w:t>
            </w:r>
          </w:p>
        </w:tc>
      </w:tr>
      <w:tr w:rsidR="00897D6D" w14:paraId="1BA2E6A6" w14:textId="77777777">
        <w:trPr>
          <w:trHeight w:val="430"/>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676425B9" w14:textId="77777777" w:rsidR="00897D6D" w:rsidRDefault="00897D6D">
            <w:pPr>
              <w:spacing w:line="259" w:lineRule="auto"/>
              <w:ind w:left="73"/>
            </w:pPr>
            <w:r>
              <w:t>25</w:t>
            </w:r>
          </w:p>
        </w:tc>
        <w:tc>
          <w:tcPr>
            <w:tcW w:w="7068" w:type="dxa"/>
            <w:tcBorders>
              <w:top w:val="single" w:sz="4" w:space="0" w:color="7F7F7F"/>
              <w:left w:val="single" w:sz="4" w:space="0" w:color="7F7F7F"/>
              <w:bottom w:val="single" w:sz="4" w:space="0" w:color="7F7F7F"/>
              <w:right w:val="single" w:sz="4" w:space="0" w:color="7F7F7F"/>
            </w:tcBorders>
            <w:shd w:val="clear" w:color="auto" w:fill="F2F2F2"/>
          </w:tcPr>
          <w:p w14:paraId="080809F8" w14:textId="77777777" w:rsidR="00897D6D" w:rsidRDefault="00897D6D">
            <w:pPr>
              <w:spacing w:line="259" w:lineRule="auto"/>
            </w:pPr>
            <w:r>
              <w:t>Is specialist electrical or other equipment to be used with participants?</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77327D1" w14:textId="77777777" w:rsidR="00897D6D" w:rsidRDefault="00897D6D">
            <w:pPr>
              <w:spacing w:line="259" w:lineRule="auto"/>
              <w:ind w:left="1"/>
              <w:jc w:val="center"/>
            </w:pPr>
            <w:r>
              <w:rPr>
                <w:rFonts w:ascii="Calibri" w:eastAsia="Calibri" w:hAnsi="Calibri" w:cs="Calibri"/>
              </w:rPr>
              <w:t>☐</w:t>
            </w:r>
          </w:p>
        </w:tc>
        <w:tc>
          <w:tcPr>
            <w:tcW w:w="849" w:type="dxa"/>
            <w:tcBorders>
              <w:top w:val="single" w:sz="4" w:space="0" w:color="7F7F7F"/>
              <w:left w:val="single" w:sz="4" w:space="0" w:color="7F7F7F"/>
              <w:bottom w:val="single" w:sz="4" w:space="0" w:color="7F7F7F"/>
              <w:right w:val="single" w:sz="4" w:space="0" w:color="7F7F7F"/>
            </w:tcBorders>
            <w:shd w:val="clear" w:color="auto" w:fill="BFBFBF"/>
          </w:tcPr>
          <w:p w14:paraId="57CB43A8" w14:textId="77777777" w:rsidR="00897D6D" w:rsidRDefault="00897D6D">
            <w:pPr>
              <w:spacing w:line="259" w:lineRule="auto"/>
              <w:ind w:left="1"/>
              <w:jc w:val="center"/>
            </w:pPr>
            <w:r>
              <w:rPr>
                <w:rFonts w:ascii="Arial" w:eastAsia="Arial" w:hAnsi="Arial" w:cs="Arial"/>
                <w:b/>
              </w:rPr>
              <w:t>X</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BEF6FDB" w14:textId="77777777" w:rsidR="00897D6D" w:rsidRDefault="00897D6D">
            <w:pPr>
              <w:spacing w:line="259" w:lineRule="auto"/>
              <w:ind w:left="1"/>
              <w:jc w:val="center"/>
            </w:pPr>
            <w:r>
              <w:rPr>
                <w:rFonts w:ascii="Calibri" w:eastAsia="Calibri" w:hAnsi="Calibri" w:cs="Calibri"/>
              </w:rPr>
              <w:t>☐</w:t>
            </w:r>
          </w:p>
        </w:tc>
      </w:tr>
      <w:tr w:rsidR="00897D6D" w14:paraId="57BCCF3E" w14:textId="77777777">
        <w:trPr>
          <w:trHeight w:val="6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37729B9" w14:textId="77777777" w:rsidR="00897D6D" w:rsidRDefault="00897D6D">
            <w:pPr>
              <w:spacing w:line="259" w:lineRule="auto"/>
              <w:ind w:left="73"/>
            </w:pPr>
            <w:r>
              <w:t>26</w:t>
            </w:r>
          </w:p>
        </w:tc>
        <w:tc>
          <w:tcPr>
            <w:tcW w:w="7068" w:type="dxa"/>
            <w:tcBorders>
              <w:top w:val="single" w:sz="4" w:space="0" w:color="7F7F7F"/>
              <w:left w:val="single" w:sz="4" w:space="0" w:color="7F7F7F"/>
              <w:bottom w:val="single" w:sz="4" w:space="0" w:color="7F7F7F"/>
              <w:right w:val="single" w:sz="4" w:space="0" w:color="7F7F7F"/>
            </w:tcBorders>
            <w:shd w:val="clear" w:color="auto" w:fill="F2F2F2"/>
          </w:tcPr>
          <w:p w14:paraId="1D88799F" w14:textId="77777777" w:rsidR="00897D6D" w:rsidRDefault="00897D6D">
            <w:pPr>
              <w:spacing w:line="259" w:lineRule="auto"/>
            </w:pPr>
            <w:r>
              <w:t>Are there any financial or other interests to the investigator or University arising from this study?</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7AE9351" w14:textId="77777777" w:rsidR="00897D6D" w:rsidRDefault="00897D6D">
            <w:pPr>
              <w:spacing w:line="259" w:lineRule="auto"/>
              <w:ind w:left="1"/>
              <w:jc w:val="center"/>
            </w:pPr>
            <w:r>
              <w:rPr>
                <w:rFonts w:ascii="Calibri" w:eastAsia="Calibri" w:hAnsi="Calibri" w:cs="Calibri"/>
              </w:rPr>
              <w:t>☐</w:t>
            </w:r>
          </w:p>
        </w:tc>
        <w:tc>
          <w:tcPr>
            <w:tcW w:w="84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F565A00" w14:textId="77777777" w:rsidR="00897D6D" w:rsidRDefault="00897D6D">
            <w:pPr>
              <w:spacing w:line="259" w:lineRule="auto"/>
              <w:ind w:left="1"/>
              <w:jc w:val="center"/>
            </w:pPr>
            <w:r>
              <w:rPr>
                <w:rFonts w:ascii="Arial" w:eastAsia="Arial" w:hAnsi="Arial" w:cs="Arial"/>
                <w:b/>
              </w:rPr>
              <w:t>X</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EC78818" w14:textId="77777777" w:rsidR="00897D6D" w:rsidRDefault="00897D6D">
            <w:pPr>
              <w:spacing w:line="259" w:lineRule="auto"/>
              <w:ind w:left="1"/>
              <w:jc w:val="center"/>
            </w:pPr>
            <w:r>
              <w:rPr>
                <w:rFonts w:ascii="Calibri" w:eastAsia="Calibri" w:hAnsi="Calibri" w:cs="Calibri"/>
              </w:rPr>
              <w:t>☐</w:t>
            </w:r>
          </w:p>
        </w:tc>
      </w:tr>
      <w:tr w:rsidR="00897D6D" w14:paraId="7DFE6207" w14:textId="77777777">
        <w:trPr>
          <w:trHeight w:val="6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1676527" w14:textId="77777777" w:rsidR="00897D6D" w:rsidRDefault="00897D6D">
            <w:pPr>
              <w:spacing w:line="259" w:lineRule="auto"/>
              <w:ind w:left="73"/>
            </w:pPr>
            <w:r>
              <w:lastRenderedPageBreak/>
              <w:t>27</w:t>
            </w:r>
          </w:p>
        </w:tc>
        <w:tc>
          <w:tcPr>
            <w:tcW w:w="7068" w:type="dxa"/>
            <w:tcBorders>
              <w:top w:val="single" w:sz="4" w:space="0" w:color="7F7F7F"/>
              <w:left w:val="single" w:sz="4" w:space="0" w:color="7F7F7F"/>
              <w:bottom w:val="single" w:sz="4" w:space="0" w:color="7F7F7F"/>
              <w:right w:val="single" w:sz="4" w:space="0" w:color="7F7F7F"/>
            </w:tcBorders>
            <w:shd w:val="clear" w:color="auto" w:fill="F2F2F2"/>
          </w:tcPr>
          <w:p w14:paraId="76A044A8" w14:textId="77777777" w:rsidR="00897D6D" w:rsidRDefault="00897D6D">
            <w:pPr>
              <w:spacing w:line="259" w:lineRule="auto"/>
            </w:pPr>
            <w:r>
              <w:t>Will the research activity involve deliberately misleading participants in any way, or the partial or full concealment of the specific study aims?</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D76E9C6" w14:textId="77777777" w:rsidR="00897D6D" w:rsidRDefault="00897D6D">
            <w:pPr>
              <w:spacing w:line="259" w:lineRule="auto"/>
              <w:ind w:left="1"/>
              <w:jc w:val="center"/>
            </w:pPr>
            <w:r>
              <w:rPr>
                <w:rFonts w:ascii="Calibri" w:eastAsia="Calibri" w:hAnsi="Calibri" w:cs="Calibri"/>
              </w:rPr>
              <w:t>☐</w:t>
            </w:r>
          </w:p>
        </w:tc>
        <w:tc>
          <w:tcPr>
            <w:tcW w:w="84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5F34930" w14:textId="77777777" w:rsidR="00897D6D" w:rsidRDefault="00897D6D">
            <w:pPr>
              <w:spacing w:line="259" w:lineRule="auto"/>
              <w:ind w:left="1"/>
              <w:jc w:val="center"/>
            </w:pPr>
            <w:r>
              <w:rPr>
                <w:rFonts w:ascii="Arial" w:eastAsia="Arial" w:hAnsi="Arial" w:cs="Arial"/>
                <w:b/>
              </w:rPr>
              <w:t>X</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14BA4CE" w14:textId="77777777" w:rsidR="00897D6D" w:rsidRDefault="00897D6D">
            <w:pPr>
              <w:spacing w:line="259" w:lineRule="auto"/>
              <w:ind w:left="1"/>
              <w:jc w:val="center"/>
            </w:pPr>
            <w:r>
              <w:rPr>
                <w:rFonts w:ascii="Calibri" w:eastAsia="Calibri" w:hAnsi="Calibri" w:cs="Calibri"/>
              </w:rPr>
              <w:t>☐</w:t>
            </w:r>
          </w:p>
        </w:tc>
      </w:tr>
      <w:tr w:rsidR="00897D6D" w14:paraId="5693B866" w14:textId="77777777">
        <w:trPr>
          <w:trHeight w:val="403"/>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230395AA" w14:textId="77777777" w:rsidR="00897D6D" w:rsidRDefault="00897D6D">
            <w:pPr>
              <w:spacing w:line="259" w:lineRule="auto"/>
              <w:ind w:left="73"/>
            </w:pPr>
            <w:r>
              <w:t>28</w:t>
            </w:r>
          </w:p>
        </w:tc>
        <w:tc>
          <w:tcPr>
            <w:tcW w:w="7068" w:type="dxa"/>
            <w:tcBorders>
              <w:top w:val="single" w:sz="4" w:space="0" w:color="7F7F7F"/>
              <w:left w:val="single" w:sz="4" w:space="0" w:color="7F7F7F"/>
              <w:bottom w:val="single" w:sz="4" w:space="0" w:color="7F7F7F"/>
              <w:right w:val="nil"/>
            </w:tcBorders>
            <w:shd w:val="clear" w:color="auto" w:fill="F2F2F2"/>
          </w:tcPr>
          <w:p w14:paraId="5B915C9E" w14:textId="77777777" w:rsidR="00897D6D" w:rsidRDefault="00897D6D">
            <w:pPr>
              <w:spacing w:line="259" w:lineRule="auto"/>
            </w:pPr>
            <w:r>
              <w:t>If YES</w:t>
            </w:r>
            <w:r>
              <w:rPr>
                <w:rFonts w:ascii="Arial" w:eastAsia="Arial" w:hAnsi="Arial" w:cs="Arial"/>
                <w:b/>
              </w:rPr>
              <w:t xml:space="preserve"> </w:t>
            </w:r>
            <w:r>
              <w:t xml:space="preserve">to any question, please provide full details </w:t>
            </w:r>
          </w:p>
        </w:tc>
        <w:tc>
          <w:tcPr>
            <w:tcW w:w="989" w:type="dxa"/>
            <w:tcBorders>
              <w:top w:val="single" w:sz="4" w:space="0" w:color="7F7F7F"/>
              <w:left w:val="nil"/>
              <w:bottom w:val="single" w:sz="4" w:space="0" w:color="7F7F7F"/>
              <w:right w:val="nil"/>
            </w:tcBorders>
            <w:shd w:val="clear" w:color="auto" w:fill="F2F2F2"/>
          </w:tcPr>
          <w:p w14:paraId="729B0CA3" w14:textId="77777777" w:rsidR="00897D6D" w:rsidRDefault="00897D6D">
            <w:pPr>
              <w:spacing w:after="160" w:line="259" w:lineRule="auto"/>
            </w:pPr>
          </w:p>
        </w:tc>
        <w:tc>
          <w:tcPr>
            <w:tcW w:w="849" w:type="dxa"/>
            <w:tcBorders>
              <w:top w:val="single" w:sz="4" w:space="0" w:color="7F7F7F"/>
              <w:left w:val="nil"/>
              <w:bottom w:val="single" w:sz="4" w:space="0" w:color="7F7F7F"/>
              <w:right w:val="nil"/>
            </w:tcBorders>
            <w:shd w:val="clear" w:color="auto" w:fill="F2F2F2"/>
          </w:tcPr>
          <w:p w14:paraId="4140B0FE" w14:textId="77777777" w:rsidR="00897D6D" w:rsidRDefault="00897D6D">
            <w:pPr>
              <w:spacing w:after="160" w:line="259" w:lineRule="auto"/>
            </w:pPr>
          </w:p>
        </w:tc>
        <w:tc>
          <w:tcPr>
            <w:tcW w:w="989" w:type="dxa"/>
            <w:tcBorders>
              <w:top w:val="single" w:sz="4" w:space="0" w:color="7F7F7F"/>
              <w:left w:val="nil"/>
              <w:bottom w:val="single" w:sz="4" w:space="0" w:color="7F7F7F"/>
              <w:right w:val="single" w:sz="4" w:space="0" w:color="7F7F7F"/>
            </w:tcBorders>
            <w:shd w:val="clear" w:color="auto" w:fill="F2F2F2"/>
          </w:tcPr>
          <w:p w14:paraId="69D2C9C7" w14:textId="77777777" w:rsidR="00897D6D" w:rsidRDefault="00897D6D">
            <w:pPr>
              <w:spacing w:after="160" w:line="259" w:lineRule="auto"/>
            </w:pPr>
          </w:p>
        </w:tc>
      </w:tr>
    </w:tbl>
    <w:tbl>
      <w:tblPr>
        <w:tblStyle w:val="TableGrid"/>
        <w:tblpPr w:vertAnchor="text" w:tblpX="5"/>
        <w:tblOverlap w:val="never"/>
        <w:tblW w:w="10451" w:type="dxa"/>
        <w:tblInd w:w="0" w:type="dxa"/>
        <w:tblCellMar>
          <w:top w:w="109" w:type="dxa"/>
          <w:left w:w="85" w:type="dxa"/>
          <w:bottom w:w="85" w:type="dxa"/>
          <w:right w:w="82" w:type="dxa"/>
        </w:tblCellMar>
        <w:tblLook w:val="04A0" w:firstRow="1" w:lastRow="0" w:firstColumn="1" w:lastColumn="0" w:noHBand="0" w:noVBand="1"/>
      </w:tblPr>
      <w:tblGrid>
        <w:gridCol w:w="562"/>
        <w:gridCol w:w="3256"/>
        <w:gridCol w:w="6633"/>
      </w:tblGrid>
      <w:tr w:rsidR="00897D6D" w14:paraId="700A2346" w14:textId="77777777">
        <w:trPr>
          <w:trHeight w:val="1684"/>
        </w:trPr>
        <w:tc>
          <w:tcPr>
            <w:tcW w:w="56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C160A7A" w14:textId="77777777" w:rsidR="00897D6D" w:rsidRDefault="00897D6D">
            <w:pPr>
              <w:spacing w:line="259" w:lineRule="auto"/>
              <w:ind w:left="82"/>
            </w:pPr>
            <w:r>
              <w:t>11</w:t>
            </w:r>
          </w:p>
        </w:tc>
        <w:tc>
          <w:tcPr>
            <w:tcW w:w="3256" w:type="dxa"/>
            <w:tcBorders>
              <w:top w:val="single" w:sz="4" w:space="0" w:color="7F7F7F"/>
              <w:left w:val="single" w:sz="4" w:space="0" w:color="7F7F7F"/>
              <w:bottom w:val="single" w:sz="4" w:space="0" w:color="7F7F7F"/>
              <w:right w:val="single" w:sz="4" w:space="0" w:color="7F7F7F"/>
            </w:tcBorders>
            <w:shd w:val="clear" w:color="auto" w:fill="F2F2F2"/>
          </w:tcPr>
          <w:p w14:paraId="749CD9F6" w14:textId="77777777" w:rsidR="00897D6D" w:rsidRDefault="00897D6D">
            <w:pPr>
              <w:spacing w:line="259" w:lineRule="auto"/>
            </w:pPr>
            <w:r>
              <w:t xml:space="preserve">Who will the participants be? </w:t>
            </w:r>
          </w:p>
        </w:tc>
        <w:tc>
          <w:tcPr>
            <w:tcW w:w="6633" w:type="dxa"/>
            <w:tcBorders>
              <w:top w:val="single" w:sz="4" w:space="0" w:color="7F7F7F"/>
              <w:left w:val="single" w:sz="4" w:space="0" w:color="7F7F7F"/>
              <w:bottom w:val="single" w:sz="4" w:space="0" w:color="7F7F7F"/>
              <w:right w:val="single" w:sz="4" w:space="0" w:color="7F7F7F"/>
            </w:tcBorders>
            <w:vAlign w:val="bottom"/>
          </w:tcPr>
          <w:p w14:paraId="4062A4EF" w14:textId="77777777" w:rsidR="00897D6D" w:rsidRDefault="00897D6D">
            <w:pPr>
              <w:spacing w:after="175" w:line="243" w:lineRule="auto"/>
            </w:pPr>
            <w:r>
              <w:rPr>
                <w:sz w:val="24"/>
              </w:rPr>
              <w:t xml:space="preserve">Professionals working in airline commercial, strategy, ancillary revenue, revenue management or digital retailing roles. </w:t>
            </w:r>
          </w:p>
          <w:p w14:paraId="235E3453" w14:textId="77777777" w:rsidR="00897D6D" w:rsidRDefault="00897D6D">
            <w:pPr>
              <w:spacing w:line="259" w:lineRule="auto"/>
            </w:pPr>
            <w:r>
              <w:rPr>
                <w:rFonts w:ascii="Arial" w:eastAsia="Arial" w:hAnsi="Arial" w:cs="Arial"/>
                <w:i/>
                <w:color w:val="808080"/>
                <w:sz w:val="18"/>
              </w:rPr>
              <w:t>(this box should expand as you type)</w:t>
            </w:r>
          </w:p>
        </w:tc>
      </w:tr>
      <w:tr w:rsidR="00897D6D" w14:paraId="636001CF" w14:textId="77777777">
        <w:trPr>
          <w:trHeight w:val="1804"/>
        </w:trPr>
        <w:tc>
          <w:tcPr>
            <w:tcW w:w="56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FF82D70" w14:textId="77777777" w:rsidR="00897D6D" w:rsidRDefault="00897D6D">
            <w:pPr>
              <w:spacing w:line="259" w:lineRule="auto"/>
              <w:ind w:left="74"/>
            </w:pPr>
            <w:r>
              <w:t>12</w:t>
            </w:r>
          </w:p>
        </w:tc>
        <w:tc>
          <w:tcPr>
            <w:tcW w:w="325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EF40903" w14:textId="77777777" w:rsidR="00897D6D" w:rsidRDefault="00897D6D">
            <w:pPr>
              <w:spacing w:line="259" w:lineRule="auto"/>
            </w:pPr>
            <w:r>
              <w:t>How will you identify the participants?</w:t>
            </w:r>
          </w:p>
        </w:tc>
        <w:tc>
          <w:tcPr>
            <w:tcW w:w="6633" w:type="dxa"/>
            <w:tcBorders>
              <w:top w:val="single" w:sz="4" w:space="0" w:color="7F7F7F"/>
              <w:left w:val="single" w:sz="4" w:space="0" w:color="7F7F7F"/>
              <w:bottom w:val="single" w:sz="4" w:space="0" w:color="7F7F7F"/>
              <w:right w:val="single" w:sz="4" w:space="0" w:color="7F7F7F"/>
            </w:tcBorders>
          </w:tcPr>
          <w:p w14:paraId="730AA46F" w14:textId="77777777" w:rsidR="00897D6D" w:rsidRDefault="00897D6D">
            <w:pPr>
              <w:spacing w:after="157" w:line="260" w:lineRule="auto"/>
            </w:pPr>
            <w:r>
              <w:rPr>
                <w:rFonts w:ascii="Times New Roman" w:eastAsia="Times New Roman" w:hAnsi="Times New Roman" w:cs="Times New Roman"/>
                <w:sz w:val="24"/>
              </w:rPr>
              <w:t>Participants will be recruited via professional networking platforms (e.g., LinkedIn), industry contacts, and referrals within Virgin Atlantic’s commercial teams. Recruitment will be voluntary and based on informed consent.</w:t>
            </w:r>
            <w:r>
              <w:rPr>
                <w:sz w:val="24"/>
              </w:rPr>
              <w:t xml:space="preserve"> </w:t>
            </w:r>
          </w:p>
          <w:p w14:paraId="7A532930" w14:textId="77777777" w:rsidR="00897D6D" w:rsidRDefault="00897D6D">
            <w:pPr>
              <w:spacing w:line="259" w:lineRule="auto"/>
            </w:pPr>
            <w:r>
              <w:rPr>
                <w:rFonts w:ascii="Arial" w:eastAsia="Arial" w:hAnsi="Arial" w:cs="Arial"/>
                <w:i/>
                <w:color w:val="808080"/>
                <w:sz w:val="18"/>
              </w:rPr>
              <w:t>(this box should expand as you type)</w:t>
            </w:r>
          </w:p>
        </w:tc>
      </w:tr>
    </w:tbl>
    <w:p w14:paraId="75324746" w14:textId="77777777" w:rsidR="00897D6D" w:rsidRDefault="00897D6D">
      <w:pPr>
        <w:spacing w:after="3538" w:line="259" w:lineRule="auto"/>
        <w:ind w:left="-720" w:right="35"/>
      </w:pPr>
    </w:p>
    <w:tbl>
      <w:tblPr>
        <w:tblStyle w:val="TableGrid"/>
        <w:tblW w:w="10455" w:type="dxa"/>
        <w:tblInd w:w="5" w:type="dxa"/>
        <w:tblCellMar>
          <w:top w:w="72" w:type="dxa"/>
          <w:left w:w="85" w:type="dxa"/>
          <w:right w:w="115" w:type="dxa"/>
        </w:tblCellMar>
        <w:tblLook w:val="04A0" w:firstRow="1" w:lastRow="0" w:firstColumn="1" w:lastColumn="0" w:noHBand="0" w:noVBand="1"/>
      </w:tblPr>
      <w:tblGrid>
        <w:gridCol w:w="560"/>
        <w:gridCol w:w="7068"/>
        <w:gridCol w:w="989"/>
        <w:gridCol w:w="849"/>
        <w:gridCol w:w="989"/>
      </w:tblGrid>
      <w:tr w:rsidR="00897D6D" w14:paraId="35DD9C64" w14:textId="77777777">
        <w:trPr>
          <w:trHeight w:val="583"/>
        </w:trPr>
        <w:tc>
          <w:tcPr>
            <w:tcW w:w="560" w:type="dxa"/>
            <w:tcBorders>
              <w:top w:val="single" w:sz="4" w:space="0" w:color="7F7F7F"/>
              <w:left w:val="single" w:sz="4" w:space="0" w:color="7F7F7F"/>
              <w:bottom w:val="single" w:sz="4" w:space="0" w:color="7F7F7F"/>
              <w:right w:val="single" w:sz="4" w:space="0" w:color="7F7F7F"/>
            </w:tcBorders>
          </w:tcPr>
          <w:p w14:paraId="24E549E8" w14:textId="77777777" w:rsidR="00897D6D" w:rsidRDefault="00897D6D">
            <w:pPr>
              <w:spacing w:after="160" w:line="259" w:lineRule="auto"/>
            </w:pPr>
          </w:p>
        </w:tc>
        <w:tc>
          <w:tcPr>
            <w:tcW w:w="7068" w:type="dxa"/>
            <w:tcBorders>
              <w:top w:val="single" w:sz="4" w:space="0" w:color="7F7F7F"/>
              <w:left w:val="single" w:sz="4" w:space="0" w:color="7F7F7F"/>
              <w:bottom w:val="single" w:sz="4" w:space="0" w:color="7F7F7F"/>
              <w:right w:val="single" w:sz="4" w:space="0" w:color="7F7F7F"/>
            </w:tcBorders>
            <w:shd w:val="clear" w:color="auto" w:fill="F2F2F2"/>
          </w:tcPr>
          <w:p w14:paraId="0B511E54" w14:textId="77777777" w:rsidR="00897D6D" w:rsidRDefault="00897D6D">
            <w:pPr>
              <w:spacing w:line="259" w:lineRule="auto"/>
            </w:pPr>
            <w:r>
              <w:rPr>
                <w:rFonts w:ascii="Arial" w:eastAsia="Arial" w:hAnsi="Arial" w:cs="Arial"/>
                <w:b/>
              </w:rPr>
              <w:t>Information for participants:</w:t>
            </w:r>
          </w:p>
        </w:tc>
        <w:tc>
          <w:tcPr>
            <w:tcW w:w="989"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42053636" w14:textId="77777777" w:rsidR="00897D6D" w:rsidRDefault="00897D6D">
            <w:pPr>
              <w:spacing w:line="259" w:lineRule="auto"/>
              <w:ind w:left="189"/>
            </w:pPr>
            <w:r>
              <w:rPr>
                <w:rFonts w:ascii="Arial" w:eastAsia="Arial" w:hAnsi="Arial" w:cs="Arial"/>
                <w:b/>
              </w:rPr>
              <w:t>YES</w:t>
            </w:r>
          </w:p>
        </w:tc>
        <w:tc>
          <w:tcPr>
            <w:tcW w:w="849"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5CFD8A36" w14:textId="77777777" w:rsidR="00897D6D" w:rsidRDefault="00897D6D">
            <w:pPr>
              <w:spacing w:line="259" w:lineRule="auto"/>
              <w:ind w:left="174"/>
            </w:pPr>
            <w:r>
              <w:rPr>
                <w:rFonts w:ascii="Arial" w:eastAsia="Arial" w:hAnsi="Arial" w:cs="Arial"/>
                <w:b/>
              </w:rPr>
              <w:t>NO</w:t>
            </w:r>
          </w:p>
        </w:tc>
        <w:tc>
          <w:tcPr>
            <w:tcW w:w="989"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05AC163C" w14:textId="77777777" w:rsidR="00897D6D" w:rsidRDefault="00897D6D">
            <w:pPr>
              <w:spacing w:line="259" w:lineRule="auto"/>
              <w:ind w:left="30"/>
              <w:jc w:val="center"/>
            </w:pPr>
            <w:r>
              <w:rPr>
                <w:rFonts w:ascii="Arial" w:eastAsia="Arial" w:hAnsi="Arial" w:cs="Arial"/>
                <w:b/>
              </w:rPr>
              <w:t>N/A</w:t>
            </w:r>
          </w:p>
        </w:tc>
      </w:tr>
      <w:tr w:rsidR="00897D6D" w14:paraId="3BD2DF29" w14:textId="77777777">
        <w:trPr>
          <w:trHeight w:val="6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1C582B2" w14:textId="77777777" w:rsidR="00897D6D" w:rsidRDefault="00897D6D">
            <w:pPr>
              <w:spacing w:line="259" w:lineRule="auto"/>
              <w:ind w:left="73"/>
            </w:pPr>
            <w:r>
              <w:t>13</w:t>
            </w:r>
          </w:p>
        </w:tc>
        <w:tc>
          <w:tcPr>
            <w:tcW w:w="7068" w:type="dxa"/>
            <w:tcBorders>
              <w:top w:val="single" w:sz="4" w:space="0" w:color="7F7F7F"/>
              <w:left w:val="single" w:sz="4" w:space="0" w:color="7F7F7F"/>
              <w:bottom w:val="single" w:sz="4" w:space="0" w:color="7F7F7F"/>
              <w:right w:val="single" w:sz="4" w:space="0" w:color="7F7F7F"/>
            </w:tcBorders>
            <w:shd w:val="clear" w:color="auto" w:fill="F2F2F2"/>
          </w:tcPr>
          <w:p w14:paraId="61339C63" w14:textId="77777777" w:rsidR="00897D6D" w:rsidRDefault="00897D6D">
            <w:pPr>
              <w:spacing w:line="259" w:lineRule="auto"/>
            </w:pPr>
            <w:r>
              <w:t>Will you describe the main research procedures to participants in advance, so that they are informed about what to expect?</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40364E0" w14:textId="77777777" w:rsidR="00897D6D" w:rsidRDefault="00897D6D">
            <w:pPr>
              <w:spacing w:line="259" w:lineRule="auto"/>
              <w:ind w:left="30"/>
              <w:jc w:val="center"/>
            </w:pPr>
            <w:r>
              <w:rPr>
                <w:rFonts w:ascii="Arial" w:eastAsia="Arial" w:hAnsi="Arial" w:cs="Arial"/>
                <w:b/>
              </w:rPr>
              <w:t>X</w:t>
            </w:r>
          </w:p>
        </w:tc>
        <w:tc>
          <w:tcPr>
            <w:tcW w:w="84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1418FDC" w14:textId="77777777" w:rsidR="00897D6D" w:rsidRDefault="00897D6D">
            <w:pPr>
              <w:spacing w:line="259" w:lineRule="auto"/>
              <w:ind w:left="248"/>
            </w:pPr>
            <w:r>
              <w:rPr>
                <w:rFonts w:ascii="Calibri" w:eastAsia="Calibri" w:hAnsi="Calibri" w:cs="Calibri"/>
              </w:rPr>
              <w:t>☐</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B38C463" w14:textId="77777777" w:rsidR="00897D6D" w:rsidRDefault="00897D6D">
            <w:pPr>
              <w:spacing w:line="259" w:lineRule="auto"/>
              <w:ind w:left="30"/>
              <w:jc w:val="center"/>
            </w:pPr>
            <w:r>
              <w:rPr>
                <w:rFonts w:ascii="Calibri" w:eastAsia="Calibri" w:hAnsi="Calibri" w:cs="Calibri"/>
              </w:rPr>
              <w:t>☐</w:t>
            </w:r>
          </w:p>
        </w:tc>
      </w:tr>
      <w:tr w:rsidR="00897D6D" w14:paraId="0F821DCA" w14:textId="77777777">
        <w:trPr>
          <w:trHeight w:val="430"/>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23C7EF87" w14:textId="77777777" w:rsidR="00897D6D" w:rsidRDefault="00897D6D">
            <w:pPr>
              <w:spacing w:line="259" w:lineRule="auto"/>
              <w:ind w:left="73"/>
            </w:pPr>
            <w:r>
              <w:t>14</w:t>
            </w:r>
          </w:p>
        </w:tc>
        <w:tc>
          <w:tcPr>
            <w:tcW w:w="7068" w:type="dxa"/>
            <w:tcBorders>
              <w:top w:val="single" w:sz="4" w:space="0" w:color="7F7F7F"/>
              <w:left w:val="single" w:sz="4" w:space="0" w:color="7F7F7F"/>
              <w:bottom w:val="single" w:sz="4" w:space="0" w:color="7F7F7F"/>
              <w:right w:val="single" w:sz="4" w:space="0" w:color="7F7F7F"/>
            </w:tcBorders>
            <w:shd w:val="clear" w:color="auto" w:fill="F2F2F2"/>
          </w:tcPr>
          <w:p w14:paraId="483CDA65" w14:textId="77777777" w:rsidR="00897D6D" w:rsidRDefault="00897D6D">
            <w:pPr>
              <w:spacing w:line="259" w:lineRule="auto"/>
            </w:pPr>
            <w:r>
              <w:t>Will you tell participants that their participation is voluntary?</w:t>
            </w:r>
          </w:p>
        </w:tc>
        <w:tc>
          <w:tcPr>
            <w:tcW w:w="989" w:type="dxa"/>
            <w:tcBorders>
              <w:top w:val="single" w:sz="4" w:space="0" w:color="7F7F7F"/>
              <w:left w:val="single" w:sz="4" w:space="0" w:color="7F7F7F"/>
              <w:bottom w:val="single" w:sz="4" w:space="0" w:color="7F7F7F"/>
              <w:right w:val="single" w:sz="4" w:space="0" w:color="7F7F7F"/>
            </w:tcBorders>
            <w:shd w:val="clear" w:color="auto" w:fill="BFBFBF"/>
          </w:tcPr>
          <w:p w14:paraId="6193320D" w14:textId="77777777" w:rsidR="00897D6D" w:rsidRDefault="00897D6D">
            <w:pPr>
              <w:spacing w:line="259" w:lineRule="auto"/>
              <w:ind w:left="30"/>
              <w:jc w:val="center"/>
            </w:pPr>
            <w:r>
              <w:rPr>
                <w:rFonts w:ascii="Arial" w:eastAsia="Arial" w:hAnsi="Arial" w:cs="Arial"/>
                <w:b/>
              </w:rPr>
              <w:t>X</w:t>
            </w:r>
          </w:p>
        </w:tc>
        <w:tc>
          <w:tcPr>
            <w:tcW w:w="84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6F402FF" w14:textId="77777777" w:rsidR="00897D6D" w:rsidRDefault="00897D6D">
            <w:pPr>
              <w:spacing w:line="259" w:lineRule="auto"/>
              <w:ind w:left="248"/>
            </w:pPr>
            <w:r>
              <w:rPr>
                <w:rFonts w:ascii="Calibri" w:eastAsia="Calibri" w:hAnsi="Calibri" w:cs="Calibri"/>
              </w:rPr>
              <w:t>☐</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A23EE84" w14:textId="77777777" w:rsidR="00897D6D" w:rsidRDefault="00897D6D">
            <w:pPr>
              <w:spacing w:line="259" w:lineRule="auto"/>
              <w:ind w:left="30"/>
              <w:jc w:val="center"/>
            </w:pPr>
            <w:r>
              <w:rPr>
                <w:rFonts w:ascii="Calibri" w:eastAsia="Calibri" w:hAnsi="Calibri" w:cs="Calibri"/>
              </w:rPr>
              <w:t>☐</w:t>
            </w:r>
          </w:p>
        </w:tc>
      </w:tr>
      <w:tr w:rsidR="00897D6D" w14:paraId="79D2374B" w14:textId="77777777">
        <w:trPr>
          <w:trHeight w:val="439"/>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0DBD8E13" w14:textId="77777777" w:rsidR="00897D6D" w:rsidRDefault="00897D6D">
            <w:pPr>
              <w:spacing w:line="259" w:lineRule="auto"/>
              <w:ind w:left="73"/>
            </w:pPr>
            <w:r>
              <w:t>15</w:t>
            </w:r>
          </w:p>
        </w:tc>
        <w:tc>
          <w:tcPr>
            <w:tcW w:w="7068" w:type="dxa"/>
            <w:tcBorders>
              <w:top w:val="single" w:sz="4" w:space="0" w:color="7F7F7F"/>
              <w:left w:val="single" w:sz="4" w:space="0" w:color="7F7F7F"/>
              <w:bottom w:val="single" w:sz="4" w:space="0" w:color="7F7F7F"/>
              <w:right w:val="single" w:sz="4" w:space="0" w:color="7F7F7F"/>
            </w:tcBorders>
            <w:shd w:val="clear" w:color="auto" w:fill="F2F2F2"/>
          </w:tcPr>
          <w:p w14:paraId="3C003184" w14:textId="77777777" w:rsidR="00897D6D" w:rsidRDefault="00897D6D">
            <w:pPr>
              <w:spacing w:line="259" w:lineRule="auto"/>
            </w:pPr>
            <w:r>
              <w:t>Will you obtain written consent for participation?</w:t>
            </w:r>
          </w:p>
        </w:tc>
        <w:tc>
          <w:tcPr>
            <w:tcW w:w="989" w:type="dxa"/>
            <w:tcBorders>
              <w:top w:val="single" w:sz="4" w:space="0" w:color="7F7F7F"/>
              <w:left w:val="single" w:sz="4" w:space="0" w:color="7F7F7F"/>
              <w:bottom w:val="single" w:sz="4" w:space="0" w:color="7F7F7F"/>
              <w:right w:val="single" w:sz="4" w:space="0" w:color="7F7F7F"/>
            </w:tcBorders>
            <w:shd w:val="clear" w:color="auto" w:fill="BFBFBF"/>
          </w:tcPr>
          <w:p w14:paraId="6E785AC9" w14:textId="77777777" w:rsidR="00897D6D" w:rsidRDefault="00897D6D">
            <w:pPr>
              <w:spacing w:line="259" w:lineRule="auto"/>
              <w:ind w:left="30"/>
              <w:jc w:val="center"/>
            </w:pPr>
            <w:r>
              <w:rPr>
                <w:rFonts w:ascii="Arial" w:eastAsia="Arial" w:hAnsi="Arial" w:cs="Arial"/>
                <w:b/>
              </w:rPr>
              <w:t>X</w:t>
            </w:r>
          </w:p>
        </w:tc>
        <w:tc>
          <w:tcPr>
            <w:tcW w:w="84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A3FB5F3" w14:textId="77777777" w:rsidR="00897D6D" w:rsidRDefault="00897D6D">
            <w:pPr>
              <w:spacing w:line="259" w:lineRule="auto"/>
              <w:ind w:left="248"/>
            </w:pPr>
            <w:r>
              <w:rPr>
                <w:rFonts w:ascii="Calibri" w:eastAsia="Calibri" w:hAnsi="Calibri" w:cs="Calibri"/>
              </w:rPr>
              <w:t>☐</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933F888" w14:textId="77777777" w:rsidR="00897D6D" w:rsidRDefault="00897D6D">
            <w:pPr>
              <w:spacing w:line="259" w:lineRule="auto"/>
              <w:ind w:left="30"/>
              <w:jc w:val="center"/>
            </w:pPr>
            <w:r>
              <w:rPr>
                <w:rFonts w:ascii="Calibri" w:eastAsia="Calibri" w:hAnsi="Calibri" w:cs="Calibri"/>
              </w:rPr>
              <w:t>☐</w:t>
            </w:r>
          </w:p>
        </w:tc>
      </w:tr>
      <w:tr w:rsidR="00897D6D" w14:paraId="1A203728" w14:textId="77777777">
        <w:trPr>
          <w:trHeight w:val="6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0A039CD" w14:textId="77777777" w:rsidR="00897D6D" w:rsidRDefault="00897D6D">
            <w:pPr>
              <w:spacing w:line="259" w:lineRule="auto"/>
              <w:ind w:left="73"/>
            </w:pPr>
            <w:r>
              <w:t>16</w:t>
            </w:r>
          </w:p>
        </w:tc>
        <w:tc>
          <w:tcPr>
            <w:tcW w:w="7068" w:type="dxa"/>
            <w:tcBorders>
              <w:top w:val="single" w:sz="4" w:space="0" w:color="7F7F7F"/>
              <w:left w:val="single" w:sz="4" w:space="0" w:color="7F7F7F"/>
              <w:bottom w:val="single" w:sz="4" w:space="0" w:color="7F7F7F"/>
              <w:right w:val="single" w:sz="4" w:space="0" w:color="7F7F7F"/>
            </w:tcBorders>
            <w:shd w:val="clear" w:color="auto" w:fill="F2F2F2"/>
          </w:tcPr>
          <w:p w14:paraId="6DD62332" w14:textId="77777777" w:rsidR="00897D6D" w:rsidRDefault="00897D6D">
            <w:pPr>
              <w:spacing w:line="259" w:lineRule="auto"/>
            </w:pPr>
            <w:r>
              <w:t>Will you explain to participants that refusal to participate in the research will not affect their treatment or education (if relevant)?</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B111812" w14:textId="77777777" w:rsidR="00897D6D" w:rsidRDefault="00897D6D">
            <w:pPr>
              <w:spacing w:line="259" w:lineRule="auto"/>
              <w:ind w:left="30"/>
              <w:jc w:val="center"/>
            </w:pPr>
            <w:r>
              <w:rPr>
                <w:rFonts w:ascii="Arial" w:eastAsia="Arial" w:hAnsi="Arial" w:cs="Arial"/>
                <w:b/>
              </w:rPr>
              <w:t>X</w:t>
            </w:r>
          </w:p>
        </w:tc>
        <w:tc>
          <w:tcPr>
            <w:tcW w:w="84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9D53B62" w14:textId="77777777" w:rsidR="00897D6D" w:rsidRDefault="00897D6D">
            <w:pPr>
              <w:spacing w:line="259" w:lineRule="auto"/>
              <w:ind w:left="248"/>
            </w:pPr>
            <w:r>
              <w:rPr>
                <w:rFonts w:ascii="Calibri" w:eastAsia="Calibri" w:hAnsi="Calibri" w:cs="Calibri"/>
              </w:rPr>
              <w:t>☐</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4541E6E" w14:textId="77777777" w:rsidR="00897D6D" w:rsidRDefault="00897D6D">
            <w:pPr>
              <w:spacing w:line="259" w:lineRule="auto"/>
              <w:ind w:left="30"/>
              <w:jc w:val="center"/>
            </w:pPr>
            <w:r>
              <w:rPr>
                <w:rFonts w:ascii="Calibri" w:eastAsia="Calibri" w:hAnsi="Calibri" w:cs="Calibri"/>
              </w:rPr>
              <w:t>☐</w:t>
            </w:r>
          </w:p>
        </w:tc>
      </w:tr>
      <w:tr w:rsidR="00897D6D" w14:paraId="0809E5B1" w14:textId="77777777">
        <w:trPr>
          <w:trHeight w:val="6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0F0C129" w14:textId="77777777" w:rsidR="00897D6D" w:rsidRDefault="00897D6D">
            <w:pPr>
              <w:spacing w:line="259" w:lineRule="auto"/>
              <w:ind w:left="73"/>
            </w:pPr>
            <w:r>
              <w:t>17</w:t>
            </w:r>
          </w:p>
        </w:tc>
        <w:tc>
          <w:tcPr>
            <w:tcW w:w="7068" w:type="dxa"/>
            <w:tcBorders>
              <w:top w:val="single" w:sz="4" w:space="0" w:color="7F7F7F"/>
              <w:left w:val="single" w:sz="4" w:space="0" w:color="7F7F7F"/>
              <w:bottom w:val="single" w:sz="4" w:space="0" w:color="7F7F7F"/>
              <w:right w:val="single" w:sz="4" w:space="0" w:color="7F7F7F"/>
            </w:tcBorders>
            <w:shd w:val="clear" w:color="auto" w:fill="F2F2F2"/>
          </w:tcPr>
          <w:p w14:paraId="0F2F349D" w14:textId="77777777" w:rsidR="00897D6D" w:rsidRDefault="00897D6D">
            <w:pPr>
              <w:spacing w:line="259" w:lineRule="auto"/>
            </w:pPr>
            <w:r>
              <w:t>If the research is observational, will you ask participants for their consent to being observed?</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1022209" w14:textId="77777777" w:rsidR="00897D6D" w:rsidRDefault="00897D6D">
            <w:pPr>
              <w:spacing w:line="259" w:lineRule="auto"/>
              <w:ind w:left="30"/>
              <w:jc w:val="center"/>
            </w:pPr>
            <w:r>
              <w:rPr>
                <w:rFonts w:ascii="Arial" w:eastAsia="Arial" w:hAnsi="Arial" w:cs="Arial"/>
                <w:b/>
              </w:rPr>
              <w:t>X</w:t>
            </w:r>
          </w:p>
        </w:tc>
        <w:tc>
          <w:tcPr>
            <w:tcW w:w="84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9E0732E" w14:textId="77777777" w:rsidR="00897D6D" w:rsidRDefault="00897D6D">
            <w:pPr>
              <w:spacing w:line="259" w:lineRule="auto"/>
              <w:ind w:left="248"/>
            </w:pPr>
            <w:r>
              <w:rPr>
                <w:rFonts w:ascii="Calibri" w:eastAsia="Calibri" w:hAnsi="Calibri" w:cs="Calibri"/>
              </w:rPr>
              <w:t>☐</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2AFA997" w14:textId="77777777" w:rsidR="00897D6D" w:rsidRDefault="00897D6D">
            <w:pPr>
              <w:spacing w:line="259" w:lineRule="auto"/>
              <w:ind w:left="30"/>
              <w:jc w:val="center"/>
            </w:pPr>
            <w:r>
              <w:rPr>
                <w:rFonts w:ascii="Calibri" w:eastAsia="Calibri" w:hAnsi="Calibri" w:cs="Calibri"/>
              </w:rPr>
              <w:t>☐</w:t>
            </w:r>
          </w:p>
        </w:tc>
      </w:tr>
      <w:tr w:rsidR="00897D6D" w14:paraId="03CCDD31" w14:textId="77777777">
        <w:trPr>
          <w:trHeight w:val="6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EBD76FD" w14:textId="77777777" w:rsidR="00897D6D" w:rsidRDefault="00897D6D">
            <w:pPr>
              <w:spacing w:line="259" w:lineRule="auto"/>
              <w:ind w:left="73"/>
            </w:pPr>
            <w:r>
              <w:t>18</w:t>
            </w:r>
          </w:p>
        </w:tc>
        <w:tc>
          <w:tcPr>
            <w:tcW w:w="7068" w:type="dxa"/>
            <w:tcBorders>
              <w:top w:val="single" w:sz="4" w:space="0" w:color="7F7F7F"/>
              <w:left w:val="single" w:sz="4" w:space="0" w:color="7F7F7F"/>
              <w:bottom w:val="single" w:sz="4" w:space="0" w:color="7F7F7F"/>
              <w:right w:val="single" w:sz="4" w:space="0" w:color="7F7F7F"/>
            </w:tcBorders>
            <w:shd w:val="clear" w:color="auto" w:fill="F2F2F2"/>
          </w:tcPr>
          <w:p w14:paraId="458AB0E2" w14:textId="77777777" w:rsidR="00897D6D" w:rsidRDefault="00897D6D">
            <w:pPr>
              <w:spacing w:line="259" w:lineRule="auto"/>
            </w:pPr>
            <w:r>
              <w:t>Will you tell participants that they may withdraw from the research at any time and for any reason?</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4B0BA5F" w14:textId="77777777" w:rsidR="00897D6D" w:rsidRDefault="00897D6D">
            <w:pPr>
              <w:spacing w:line="259" w:lineRule="auto"/>
              <w:ind w:left="30"/>
              <w:jc w:val="center"/>
            </w:pPr>
            <w:r>
              <w:rPr>
                <w:rFonts w:ascii="Arial" w:eastAsia="Arial" w:hAnsi="Arial" w:cs="Arial"/>
                <w:b/>
              </w:rPr>
              <w:t>X</w:t>
            </w:r>
          </w:p>
        </w:tc>
        <w:tc>
          <w:tcPr>
            <w:tcW w:w="84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AEABA69" w14:textId="77777777" w:rsidR="00897D6D" w:rsidRDefault="00897D6D">
            <w:pPr>
              <w:spacing w:line="259" w:lineRule="auto"/>
              <w:ind w:left="248"/>
            </w:pPr>
            <w:r>
              <w:rPr>
                <w:rFonts w:ascii="Calibri" w:eastAsia="Calibri" w:hAnsi="Calibri" w:cs="Calibri"/>
              </w:rPr>
              <w:t>☐</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9FE1733" w14:textId="77777777" w:rsidR="00897D6D" w:rsidRDefault="00897D6D">
            <w:pPr>
              <w:spacing w:line="259" w:lineRule="auto"/>
              <w:ind w:left="30"/>
              <w:jc w:val="center"/>
            </w:pPr>
            <w:r>
              <w:rPr>
                <w:rFonts w:ascii="Calibri" w:eastAsia="Calibri" w:hAnsi="Calibri" w:cs="Calibri"/>
              </w:rPr>
              <w:t>☐</w:t>
            </w:r>
          </w:p>
        </w:tc>
      </w:tr>
      <w:tr w:rsidR="00897D6D" w14:paraId="5668EA4D" w14:textId="77777777">
        <w:trPr>
          <w:trHeight w:val="6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54E5639" w14:textId="77777777" w:rsidR="00897D6D" w:rsidRDefault="00897D6D">
            <w:pPr>
              <w:spacing w:line="259" w:lineRule="auto"/>
              <w:ind w:left="73"/>
            </w:pPr>
            <w:r>
              <w:lastRenderedPageBreak/>
              <w:t>19</w:t>
            </w:r>
          </w:p>
        </w:tc>
        <w:tc>
          <w:tcPr>
            <w:tcW w:w="7068" w:type="dxa"/>
            <w:tcBorders>
              <w:top w:val="single" w:sz="4" w:space="0" w:color="7F7F7F"/>
              <w:left w:val="single" w:sz="4" w:space="0" w:color="7F7F7F"/>
              <w:bottom w:val="single" w:sz="4" w:space="0" w:color="7F7F7F"/>
              <w:right w:val="single" w:sz="4" w:space="0" w:color="7F7F7F"/>
            </w:tcBorders>
            <w:shd w:val="clear" w:color="auto" w:fill="F2F2F2"/>
          </w:tcPr>
          <w:p w14:paraId="094EB61B" w14:textId="77777777" w:rsidR="00897D6D" w:rsidRDefault="00897D6D">
            <w:pPr>
              <w:spacing w:line="259" w:lineRule="auto"/>
            </w:pPr>
            <w:r>
              <w:t>With questionnaires, will you give participants the option of omitting questions they do not want to answer?</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BACE4C7" w14:textId="77777777" w:rsidR="00897D6D" w:rsidRDefault="00897D6D">
            <w:pPr>
              <w:spacing w:line="259" w:lineRule="auto"/>
              <w:ind w:left="30"/>
              <w:jc w:val="center"/>
            </w:pPr>
            <w:r>
              <w:rPr>
                <w:rFonts w:ascii="Arial" w:eastAsia="Arial" w:hAnsi="Arial" w:cs="Arial"/>
                <w:b/>
              </w:rPr>
              <w:t>X</w:t>
            </w:r>
          </w:p>
        </w:tc>
        <w:tc>
          <w:tcPr>
            <w:tcW w:w="84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2D17E43" w14:textId="77777777" w:rsidR="00897D6D" w:rsidRDefault="00897D6D">
            <w:pPr>
              <w:spacing w:line="259" w:lineRule="auto"/>
              <w:ind w:left="248"/>
            </w:pPr>
            <w:r>
              <w:rPr>
                <w:rFonts w:ascii="Calibri" w:eastAsia="Calibri" w:hAnsi="Calibri" w:cs="Calibri"/>
              </w:rPr>
              <w:t>☐</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9E58D41" w14:textId="77777777" w:rsidR="00897D6D" w:rsidRDefault="00897D6D">
            <w:pPr>
              <w:spacing w:line="259" w:lineRule="auto"/>
              <w:ind w:left="30"/>
              <w:jc w:val="center"/>
            </w:pPr>
            <w:r>
              <w:rPr>
                <w:rFonts w:ascii="Calibri" w:eastAsia="Calibri" w:hAnsi="Calibri" w:cs="Calibri"/>
              </w:rPr>
              <w:t>☐</w:t>
            </w:r>
          </w:p>
        </w:tc>
      </w:tr>
      <w:tr w:rsidR="00897D6D" w14:paraId="4EEF02C0" w14:textId="77777777">
        <w:trPr>
          <w:trHeight w:val="6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1F17733" w14:textId="77777777" w:rsidR="00897D6D" w:rsidRDefault="00897D6D">
            <w:pPr>
              <w:spacing w:line="259" w:lineRule="auto"/>
              <w:ind w:left="73"/>
            </w:pPr>
            <w:r>
              <w:t>20</w:t>
            </w:r>
          </w:p>
        </w:tc>
        <w:tc>
          <w:tcPr>
            <w:tcW w:w="7068" w:type="dxa"/>
            <w:tcBorders>
              <w:top w:val="single" w:sz="4" w:space="0" w:color="7F7F7F"/>
              <w:left w:val="single" w:sz="4" w:space="0" w:color="7F7F7F"/>
              <w:bottom w:val="single" w:sz="4" w:space="0" w:color="7F7F7F"/>
              <w:right w:val="single" w:sz="4" w:space="0" w:color="7F7F7F"/>
            </w:tcBorders>
            <w:shd w:val="clear" w:color="auto" w:fill="F2F2F2"/>
          </w:tcPr>
          <w:p w14:paraId="7776903A" w14:textId="77777777" w:rsidR="00897D6D" w:rsidRDefault="00897D6D">
            <w:pPr>
              <w:spacing w:line="259" w:lineRule="auto"/>
            </w:pPr>
            <w:r>
              <w:t>Will you tell participants that their data will be treated with full confidentiality and that, if published, it will not be identifiable as theirs?</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A8803D3" w14:textId="77777777" w:rsidR="00897D6D" w:rsidRDefault="00897D6D">
            <w:pPr>
              <w:spacing w:line="259" w:lineRule="auto"/>
              <w:ind w:left="30"/>
              <w:jc w:val="center"/>
            </w:pPr>
            <w:r>
              <w:rPr>
                <w:rFonts w:ascii="Arial" w:eastAsia="Arial" w:hAnsi="Arial" w:cs="Arial"/>
                <w:b/>
              </w:rPr>
              <w:t>X</w:t>
            </w:r>
          </w:p>
        </w:tc>
        <w:tc>
          <w:tcPr>
            <w:tcW w:w="84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F0767C7" w14:textId="77777777" w:rsidR="00897D6D" w:rsidRDefault="00897D6D">
            <w:pPr>
              <w:spacing w:line="259" w:lineRule="auto"/>
              <w:ind w:left="248"/>
            </w:pPr>
            <w:r>
              <w:rPr>
                <w:rFonts w:ascii="Calibri" w:eastAsia="Calibri" w:hAnsi="Calibri" w:cs="Calibri"/>
              </w:rPr>
              <w:t>☐</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A252AFE" w14:textId="77777777" w:rsidR="00897D6D" w:rsidRDefault="00897D6D">
            <w:pPr>
              <w:spacing w:line="259" w:lineRule="auto"/>
              <w:ind w:left="30"/>
              <w:jc w:val="center"/>
            </w:pPr>
            <w:r>
              <w:rPr>
                <w:rFonts w:ascii="Calibri" w:eastAsia="Calibri" w:hAnsi="Calibri" w:cs="Calibri"/>
              </w:rPr>
              <w:t>☐</w:t>
            </w:r>
          </w:p>
        </w:tc>
      </w:tr>
      <w:tr w:rsidR="00897D6D" w14:paraId="575891D1" w14:textId="77777777">
        <w:trPr>
          <w:trHeight w:val="6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2496D98" w14:textId="77777777" w:rsidR="00897D6D" w:rsidRDefault="00897D6D">
            <w:pPr>
              <w:spacing w:line="259" w:lineRule="auto"/>
              <w:ind w:left="73"/>
            </w:pPr>
            <w:r>
              <w:t>21</w:t>
            </w:r>
          </w:p>
        </w:tc>
        <w:tc>
          <w:tcPr>
            <w:tcW w:w="7068" w:type="dxa"/>
            <w:tcBorders>
              <w:top w:val="single" w:sz="4" w:space="0" w:color="7F7F7F"/>
              <w:left w:val="single" w:sz="4" w:space="0" w:color="7F7F7F"/>
              <w:bottom w:val="single" w:sz="4" w:space="0" w:color="7F7F7F"/>
              <w:right w:val="single" w:sz="4" w:space="0" w:color="7F7F7F"/>
            </w:tcBorders>
            <w:shd w:val="clear" w:color="auto" w:fill="F2F2F2"/>
          </w:tcPr>
          <w:p w14:paraId="15FE4500" w14:textId="77777777" w:rsidR="00897D6D" w:rsidRDefault="00897D6D">
            <w:pPr>
              <w:spacing w:line="259" w:lineRule="auto"/>
            </w:pPr>
            <w:r>
              <w:t>Will you debrief participants at the end of their participation, in a way appropriate to the type of research undertaken?</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6A9D03D" w14:textId="77777777" w:rsidR="00897D6D" w:rsidRDefault="00897D6D">
            <w:pPr>
              <w:spacing w:line="259" w:lineRule="auto"/>
              <w:ind w:left="30"/>
              <w:jc w:val="center"/>
            </w:pPr>
            <w:r>
              <w:rPr>
                <w:rFonts w:ascii="Arial" w:eastAsia="Arial" w:hAnsi="Arial" w:cs="Arial"/>
                <w:b/>
              </w:rPr>
              <w:t>X</w:t>
            </w:r>
          </w:p>
        </w:tc>
        <w:tc>
          <w:tcPr>
            <w:tcW w:w="84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BA699B0" w14:textId="77777777" w:rsidR="00897D6D" w:rsidRDefault="00897D6D">
            <w:pPr>
              <w:spacing w:line="259" w:lineRule="auto"/>
              <w:ind w:left="248"/>
            </w:pPr>
            <w:r>
              <w:rPr>
                <w:rFonts w:ascii="Calibri" w:eastAsia="Calibri" w:hAnsi="Calibri" w:cs="Calibri"/>
              </w:rPr>
              <w:t>☐</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162D37F" w14:textId="77777777" w:rsidR="00897D6D" w:rsidRDefault="00897D6D">
            <w:pPr>
              <w:spacing w:line="259" w:lineRule="auto"/>
              <w:ind w:left="30"/>
              <w:jc w:val="center"/>
            </w:pPr>
            <w:r>
              <w:rPr>
                <w:rFonts w:ascii="Calibri" w:eastAsia="Calibri" w:hAnsi="Calibri" w:cs="Calibri"/>
              </w:rPr>
              <w:t>☐</w:t>
            </w:r>
          </w:p>
        </w:tc>
      </w:tr>
      <w:tr w:rsidR="00897D6D" w14:paraId="5926307C" w14:textId="77777777">
        <w:trPr>
          <w:trHeight w:val="403"/>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7BDEE13A" w14:textId="77777777" w:rsidR="00897D6D" w:rsidRDefault="00897D6D">
            <w:pPr>
              <w:spacing w:line="259" w:lineRule="auto"/>
              <w:ind w:left="73"/>
            </w:pPr>
            <w:r>
              <w:t>22</w:t>
            </w:r>
          </w:p>
        </w:tc>
        <w:tc>
          <w:tcPr>
            <w:tcW w:w="9895" w:type="dxa"/>
            <w:gridSpan w:val="4"/>
            <w:tcBorders>
              <w:top w:val="single" w:sz="4" w:space="0" w:color="7F7F7F"/>
              <w:left w:val="single" w:sz="4" w:space="0" w:color="7F7F7F"/>
              <w:bottom w:val="single" w:sz="4" w:space="0" w:color="7F7F7F"/>
              <w:right w:val="single" w:sz="4" w:space="0" w:color="7F7F7F"/>
            </w:tcBorders>
            <w:shd w:val="clear" w:color="auto" w:fill="F2F2F2"/>
          </w:tcPr>
          <w:p w14:paraId="30737A43" w14:textId="77777777" w:rsidR="00897D6D" w:rsidRDefault="00897D6D">
            <w:pPr>
              <w:spacing w:line="259" w:lineRule="auto"/>
            </w:pPr>
            <w:r>
              <w:t>If NO</w:t>
            </w:r>
            <w:r>
              <w:rPr>
                <w:rFonts w:ascii="Arial" w:eastAsia="Arial" w:hAnsi="Arial" w:cs="Arial"/>
                <w:b/>
              </w:rPr>
              <w:t xml:space="preserve"> </w:t>
            </w:r>
            <w:r>
              <w:t xml:space="preserve">to any of above questions, please give an explanation </w:t>
            </w:r>
          </w:p>
        </w:tc>
      </w:tr>
      <w:tr w:rsidR="00897D6D" w14:paraId="7D531C35" w14:textId="77777777">
        <w:trPr>
          <w:trHeight w:val="844"/>
        </w:trPr>
        <w:tc>
          <w:tcPr>
            <w:tcW w:w="560" w:type="dxa"/>
            <w:tcBorders>
              <w:top w:val="single" w:sz="4" w:space="0" w:color="7F7F7F"/>
              <w:left w:val="single" w:sz="4" w:space="0" w:color="7F7F7F"/>
              <w:bottom w:val="single" w:sz="4" w:space="0" w:color="7F7F7F"/>
              <w:right w:val="single" w:sz="4" w:space="0" w:color="7F7F7F"/>
            </w:tcBorders>
          </w:tcPr>
          <w:p w14:paraId="291EDE37" w14:textId="77777777" w:rsidR="00897D6D" w:rsidRDefault="00897D6D">
            <w:pPr>
              <w:spacing w:after="160" w:line="259" w:lineRule="auto"/>
            </w:pPr>
          </w:p>
        </w:tc>
        <w:tc>
          <w:tcPr>
            <w:tcW w:w="9895" w:type="dxa"/>
            <w:gridSpan w:val="4"/>
            <w:tcBorders>
              <w:top w:val="single" w:sz="4" w:space="0" w:color="7F7F7F"/>
              <w:left w:val="single" w:sz="4" w:space="0" w:color="7F7F7F"/>
              <w:bottom w:val="single" w:sz="4" w:space="0" w:color="7F7F7F"/>
              <w:right w:val="single" w:sz="4" w:space="0" w:color="7F7F7F"/>
            </w:tcBorders>
          </w:tcPr>
          <w:p w14:paraId="203F9D4E" w14:textId="77777777" w:rsidR="00897D6D" w:rsidRDefault="00897D6D">
            <w:pPr>
              <w:spacing w:after="156" w:line="259" w:lineRule="auto"/>
            </w:pPr>
            <w:r>
              <w:rPr>
                <w:color w:val="00B050"/>
              </w:rPr>
              <w:t xml:space="preserve">You should be able to tick YES for </w:t>
            </w:r>
            <w:proofErr w:type="gramStart"/>
            <w:r>
              <w:rPr>
                <w:color w:val="00B050"/>
              </w:rPr>
              <w:t>all of</w:t>
            </w:r>
            <w:proofErr w:type="gramEnd"/>
            <w:r>
              <w:rPr>
                <w:color w:val="00B050"/>
              </w:rPr>
              <w:t xml:space="preserve"> these questions. If not, then explain why not in this box.</w:t>
            </w:r>
            <w:r>
              <w:rPr>
                <w:color w:val="00B050"/>
                <w:sz w:val="24"/>
              </w:rPr>
              <w:t xml:space="preserve"> </w:t>
            </w:r>
          </w:p>
          <w:p w14:paraId="43826B17" w14:textId="77777777" w:rsidR="00897D6D" w:rsidRDefault="00897D6D">
            <w:pPr>
              <w:spacing w:line="259" w:lineRule="auto"/>
            </w:pPr>
            <w:r>
              <w:rPr>
                <w:rFonts w:ascii="Arial" w:eastAsia="Arial" w:hAnsi="Arial" w:cs="Arial"/>
                <w:i/>
                <w:color w:val="808080"/>
                <w:sz w:val="18"/>
              </w:rPr>
              <w:t>(this box should expand as you type)</w:t>
            </w:r>
          </w:p>
        </w:tc>
      </w:tr>
      <w:tr w:rsidR="00897D6D" w14:paraId="69364E96" w14:textId="77777777">
        <w:trPr>
          <w:trHeight w:val="1324"/>
        </w:trPr>
        <w:tc>
          <w:tcPr>
            <w:tcW w:w="560" w:type="dxa"/>
            <w:tcBorders>
              <w:top w:val="single" w:sz="4" w:space="0" w:color="7F7F7F"/>
              <w:left w:val="single" w:sz="4" w:space="0" w:color="7F7F7F"/>
              <w:bottom w:val="single" w:sz="4" w:space="0" w:color="7F7F7F"/>
              <w:right w:val="single" w:sz="4" w:space="0" w:color="7F7F7F"/>
            </w:tcBorders>
          </w:tcPr>
          <w:p w14:paraId="786E08B3" w14:textId="77777777" w:rsidR="00897D6D" w:rsidRDefault="00897D6D">
            <w:pPr>
              <w:spacing w:after="160" w:line="259" w:lineRule="auto"/>
            </w:pPr>
          </w:p>
        </w:tc>
        <w:tc>
          <w:tcPr>
            <w:tcW w:w="9895" w:type="dxa"/>
            <w:gridSpan w:val="4"/>
            <w:tcBorders>
              <w:top w:val="single" w:sz="4" w:space="0" w:color="7F7F7F"/>
              <w:left w:val="single" w:sz="4" w:space="0" w:color="7F7F7F"/>
              <w:bottom w:val="single" w:sz="4" w:space="0" w:color="7F7F7F"/>
              <w:right w:val="single" w:sz="4" w:space="0" w:color="7F7F7F"/>
            </w:tcBorders>
          </w:tcPr>
          <w:p w14:paraId="3050A700" w14:textId="77777777" w:rsidR="00897D6D" w:rsidRDefault="00897D6D">
            <w:pPr>
              <w:spacing w:after="194" w:line="226" w:lineRule="auto"/>
            </w:pPr>
            <w:r>
              <w:rPr>
                <w:color w:val="00B050"/>
              </w:rPr>
              <w:t xml:space="preserve">You should be able to tick NO for most of these questions. For any cases that you have ticked YES then provide details in this box. If you are using cameras/voice recorders to record </w:t>
            </w:r>
            <w:proofErr w:type="gramStart"/>
            <w:r>
              <w:rPr>
                <w:color w:val="00B050"/>
              </w:rPr>
              <w:t>interviews</w:t>
            </w:r>
            <w:proofErr w:type="gramEnd"/>
            <w:r>
              <w:rPr>
                <w:color w:val="00B050"/>
              </w:rPr>
              <w:t xml:space="preserve"> then please state that in this box.</w:t>
            </w:r>
            <w:r>
              <w:rPr>
                <w:color w:val="00B050"/>
                <w:sz w:val="24"/>
              </w:rPr>
              <w:t xml:space="preserve"> </w:t>
            </w:r>
          </w:p>
          <w:p w14:paraId="21237B1A" w14:textId="77777777" w:rsidR="00897D6D" w:rsidRDefault="00897D6D">
            <w:pPr>
              <w:spacing w:line="259" w:lineRule="auto"/>
            </w:pPr>
            <w:r>
              <w:rPr>
                <w:rFonts w:ascii="Arial" w:eastAsia="Arial" w:hAnsi="Arial" w:cs="Arial"/>
                <w:i/>
                <w:color w:val="808080"/>
                <w:sz w:val="18"/>
              </w:rPr>
              <w:t>(this box should expand as you type)</w:t>
            </w:r>
          </w:p>
        </w:tc>
      </w:tr>
    </w:tbl>
    <w:p w14:paraId="6371CEE5" w14:textId="77777777" w:rsidR="00897D6D" w:rsidRDefault="00897D6D">
      <w:pPr>
        <w:spacing w:after="3" w:line="259" w:lineRule="auto"/>
        <w:ind w:left="-5"/>
      </w:pPr>
      <w:r>
        <w:rPr>
          <w:rFonts w:ascii="Arial" w:eastAsia="Arial" w:hAnsi="Arial" w:cs="Arial"/>
          <w:b/>
        </w:rPr>
        <w:t xml:space="preserve">SECTION F: Anticipated Risks </w:t>
      </w:r>
    </w:p>
    <w:tbl>
      <w:tblPr>
        <w:tblStyle w:val="TableGrid"/>
        <w:tblW w:w="10465" w:type="dxa"/>
        <w:tblInd w:w="5" w:type="dxa"/>
        <w:tblCellMar>
          <w:top w:w="72" w:type="dxa"/>
          <w:left w:w="85" w:type="dxa"/>
          <w:right w:w="19" w:type="dxa"/>
        </w:tblCellMar>
        <w:tblLook w:val="04A0" w:firstRow="1" w:lastRow="0" w:firstColumn="1" w:lastColumn="0" w:noHBand="0" w:noVBand="1"/>
      </w:tblPr>
      <w:tblGrid>
        <w:gridCol w:w="593"/>
        <w:gridCol w:w="4965"/>
        <w:gridCol w:w="4907"/>
      </w:tblGrid>
      <w:tr w:rsidR="00897D6D" w14:paraId="3DFFDA36" w14:textId="77777777">
        <w:trPr>
          <w:trHeight w:val="643"/>
        </w:trPr>
        <w:tc>
          <w:tcPr>
            <w:tcW w:w="593" w:type="dxa"/>
            <w:tcBorders>
              <w:top w:val="single" w:sz="4" w:space="0" w:color="7F7F7F"/>
              <w:left w:val="single" w:sz="4" w:space="0" w:color="7F7F7F"/>
              <w:bottom w:val="single" w:sz="4" w:space="0" w:color="7F7F7F"/>
              <w:right w:val="single" w:sz="4" w:space="0" w:color="7F7F7F"/>
            </w:tcBorders>
          </w:tcPr>
          <w:p w14:paraId="201B1171" w14:textId="77777777" w:rsidR="00897D6D" w:rsidRDefault="00897D6D">
            <w:pPr>
              <w:spacing w:after="160" w:line="259" w:lineRule="auto"/>
            </w:pPr>
          </w:p>
        </w:tc>
        <w:tc>
          <w:tcPr>
            <w:tcW w:w="9872" w:type="dxa"/>
            <w:gridSpan w:val="2"/>
            <w:tcBorders>
              <w:top w:val="single" w:sz="4" w:space="0" w:color="7F7F7F"/>
              <w:left w:val="single" w:sz="4" w:space="0" w:color="7F7F7F"/>
              <w:bottom w:val="single" w:sz="4" w:space="0" w:color="7F7F7F"/>
              <w:right w:val="single" w:sz="4" w:space="0" w:color="7F7F7F"/>
            </w:tcBorders>
            <w:shd w:val="clear" w:color="auto" w:fill="F2F2F2"/>
          </w:tcPr>
          <w:p w14:paraId="4978E541" w14:textId="77777777" w:rsidR="00897D6D" w:rsidRDefault="00897D6D">
            <w:pPr>
              <w:spacing w:line="259" w:lineRule="auto"/>
            </w:pPr>
            <w:r>
              <w:rPr>
                <w:rFonts w:ascii="Arial" w:eastAsia="Arial" w:hAnsi="Arial" w:cs="Arial"/>
                <w:b/>
              </w:rPr>
              <w:t xml:space="preserve">Outline any anticipated risks that may adversely affect any of the participants, the researchers and/or the University, and the steps that will be taken to address them.  </w:t>
            </w:r>
          </w:p>
        </w:tc>
      </w:tr>
      <w:tr w:rsidR="00897D6D" w14:paraId="733503DA" w14:textId="77777777">
        <w:trPr>
          <w:trHeight w:val="1123"/>
        </w:trPr>
        <w:tc>
          <w:tcPr>
            <w:tcW w:w="59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B631D2A" w14:textId="77777777" w:rsidR="00897D6D" w:rsidRDefault="00897D6D">
            <w:pPr>
              <w:spacing w:line="259" w:lineRule="auto"/>
              <w:ind w:left="150"/>
            </w:pPr>
            <w:r>
              <w:t>1</w:t>
            </w:r>
          </w:p>
        </w:tc>
        <w:tc>
          <w:tcPr>
            <w:tcW w:w="9872" w:type="dxa"/>
            <w:gridSpan w:val="2"/>
            <w:tcBorders>
              <w:top w:val="single" w:sz="4" w:space="0" w:color="7F7F7F"/>
              <w:left w:val="single" w:sz="4" w:space="0" w:color="7F7F7F"/>
              <w:bottom w:val="single" w:sz="4" w:space="0" w:color="7F7F7F"/>
              <w:right w:val="single" w:sz="4" w:space="0" w:color="7F7F7F"/>
            </w:tcBorders>
            <w:shd w:val="clear" w:color="auto" w:fill="F2F2F2"/>
          </w:tcPr>
          <w:p w14:paraId="44629C0A" w14:textId="77777777" w:rsidR="00897D6D" w:rsidRDefault="00897D6D">
            <w:pPr>
              <w:spacing w:line="259" w:lineRule="auto"/>
            </w:pPr>
            <w:r>
              <w:rPr>
                <w:rFonts w:ascii="Arial" w:eastAsia="Arial" w:hAnsi="Arial" w:cs="Arial"/>
                <w:b/>
              </w:rPr>
              <w:t>Risks to participants</w:t>
            </w:r>
            <w:r>
              <w:t xml:space="preserve"> </w:t>
            </w:r>
          </w:p>
          <w:p w14:paraId="160905ED" w14:textId="77777777" w:rsidR="00897D6D" w:rsidRDefault="00897D6D">
            <w:pPr>
              <w:spacing w:line="259" w:lineRule="auto"/>
              <w:ind w:right="45"/>
            </w:pPr>
            <w:r>
              <w:t xml:space="preserve">For example: sector-specific health &amp; safety, emotional distress, financial disclosure, physical harm, transfer of personal data, sensitive organisational information. If you have identified in section D that there are no </w:t>
            </w:r>
            <w:proofErr w:type="gramStart"/>
            <w:r>
              <w:t>participants</w:t>
            </w:r>
            <w:proofErr w:type="gramEnd"/>
            <w:r>
              <w:t xml:space="preserve"> then enter N/A and go skip to question 3.</w:t>
            </w:r>
          </w:p>
        </w:tc>
      </w:tr>
      <w:tr w:rsidR="00897D6D" w14:paraId="16C9D329" w14:textId="77777777">
        <w:trPr>
          <w:trHeight w:val="3164"/>
        </w:trPr>
        <w:tc>
          <w:tcPr>
            <w:tcW w:w="593" w:type="dxa"/>
            <w:tcBorders>
              <w:top w:val="single" w:sz="4" w:space="0" w:color="7F7F7F"/>
              <w:left w:val="single" w:sz="4" w:space="0" w:color="7F7F7F"/>
              <w:bottom w:val="single" w:sz="4" w:space="0" w:color="7F7F7F"/>
              <w:right w:val="single" w:sz="4" w:space="0" w:color="7F7F7F"/>
            </w:tcBorders>
          </w:tcPr>
          <w:p w14:paraId="53E1A939" w14:textId="77777777" w:rsidR="00897D6D" w:rsidRDefault="00897D6D">
            <w:pPr>
              <w:spacing w:after="160" w:line="259" w:lineRule="auto"/>
            </w:pPr>
          </w:p>
        </w:tc>
        <w:tc>
          <w:tcPr>
            <w:tcW w:w="4965" w:type="dxa"/>
            <w:tcBorders>
              <w:top w:val="single" w:sz="4" w:space="0" w:color="7F7F7F"/>
              <w:left w:val="single" w:sz="4" w:space="0" w:color="7F7F7F"/>
              <w:bottom w:val="single" w:sz="4" w:space="0" w:color="7F7F7F"/>
              <w:right w:val="single" w:sz="4" w:space="0" w:color="7F7F7F"/>
            </w:tcBorders>
          </w:tcPr>
          <w:p w14:paraId="1325C042" w14:textId="77777777" w:rsidR="00897D6D" w:rsidRDefault="00897D6D">
            <w:pPr>
              <w:spacing w:after="18" w:line="259" w:lineRule="auto"/>
            </w:pPr>
            <w:r>
              <w:t xml:space="preserve">Risk to participants: </w:t>
            </w:r>
          </w:p>
          <w:p w14:paraId="2A4D6192" w14:textId="77777777" w:rsidR="00897D6D" w:rsidRDefault="00897D6D">
            <w:pPr>
              <w:numPr>
                <w:ilvl w:val="0"/>
                <w:numId w:val="5"/>
              </w:numPr>
              <w:spacing w:after="237" w:line="262" w:lineRule="auto"/>
              <w:ind w:hanging="500"/>
            </w:pPr>
            <w:r>
              <w:rPr>
                <w:rFonts w:ascii="Times New Roman" w:eastAsia="Times New Roman" w:hAnsi="Times New Roman" w:cs="Times New Roman"/>
                <w:sz w:val="24"/>
              </w:rPr>
              <w:t xml:space="preserve">Minimal risk: interviews may touch on commercially sensitive topics or professional opinions. </w:t>
            </w:r>
          </w:p>
          <w:p w14:paraId="75A4DD5A" w14:textId="77777777" w:rsidR="00897D6D" w:rsidRDefault="00897D6D">
            <w:pPr>
              <w:numPr>
                <w:ilvl w:val="0"/>
                <w:numId w:val="5"/>
              </w:numPr>
              <w:spacing w:after="148" w:line="267" w:lineRule="auto"/>
              <w:ind w:hanging="500"/>
            </w:pPr>
            <w:r>
              <w:rPr>
                <w:rFonts w:ascii="Times New Roman" w:eastAsia="Times New Roman" w:hAnsi="Times New Roman" w:cs="Times New Roman"/>
                <w:sz w:val="24"/>
              </w:rPr>
              <w:t>Low risk of discomfort discussing organisational strategy.</w:t>
            </w:r>
            <w:r>
              <w:rPr>
                <w:sz w:val="24"/>
              </w:rPr>
              <w:t xml:space="preserve"> </w:t>
            </w:r>
          </w:p>
          <w:p w14:paraId="50CCB231" w14:textId="77777777" w:rsidR="00897D6D" w:rsidRDefault="00897D6D">
            <w:pPr>
              <w:spacing w:line="259" w:lineRule="auto"/>
            </w:pPr>
            <w:r>
              <w:rPr>
                <w:rFonts w:ascii="Arial" w:eastAsia="Arial" w:hAnsi="Arial" w:cs="Arial"/>
                <w:i/>
                <w:color w:val="808080"/>
                <w:sz w:val="18"/>
              </w:rPr>
              <w:t>(this box should expand as you type)</w:t>
            </w:r>
          </w:p>
        </w:tc>
        <w:tc>
          <w:tcPr>
            <w:tcW w:w="4907" w:type="dxa"/>
            <w:tcBorders>
              <w:top w:val="single" w:sz="4" w:space="0" w:color="7F7F7F"/>
              <w:left w:val="single" w:sz="4" w:space="0" w:color="7F7F7F"/>
              <w:bottom w:val="single" w:sz="4" w:space="0" w:color="7F7F7F"/>
              <w:right w:val="single" w:sz="4" w:space="0" w:color="7F7F7F"/>
            </w:tcBorders>
          </w:tcPr>
          <w:p w14:paraId="57DCDC3D" w14:textId="77777777" w:rsidR="00897D6D" w:rsidRDefault="00897D6D">
            <w:pPr>
              <w:spacing w:after="567" w:line="259" w:lineRule="auto"/>
            </w:pPr>
            <w:r>
              <w:rPr>
                <w:rFonts w:ascii="Arial" w:eastAsia="Arial" w:hAnsi="Arial" w:cs="Arial"/>
                <w:i/>
                <w:sz w:val="18"/>
              </w:rPr>
              <w:t xml:space="preserve">How you will mitigate the risk to participants: </w:t>
            </w:r>
          </w:p>
          <w:p w14:paraId="4EF9F337" w14:textId="77777777" w:rsidR="00897D6D" w:rsidRDefault="00897D6D">
            <w:pPr>
              <w:numPr>
                <w:ilvl w:val="0"/>
                <w:numId w:val="6"/>
              </w:numPr>
              <w:spacing w:after="235" w:line="259" w:lineRule="auto"/>
              <w:ind w:hanging="500"/>
            </w:pPr>
            <w:r>
              <w:rPr>
                <w:sz w:val="24"/>
              </w:rPr>
              <w:t xml:space="preserve">Participants may skip any question. </w:t>
            </w:r>
          </w:p>
          <w:p w14:paraId="65F463C3" w14:textId="77777777" w:rsidR="00897D6D" w:rsidRDefault="00897D6D">
            <w:pPr>
              <w:numPr>
                <w:ilvl w:val="0"/>
                <w:numId w:val="6"/>
              </w:numPr>
              <w:spacing w:after="236" w:line="252" w:lineRule="auto"/>
              <w:ind w:hanging="500"/>
            </w:pPr>
            <w:r>
              <w:rPr>
                <w:sz w:val="24"/>
              </w:rPr>
              <w:t xml:space="preserve">No identifiable organisational data will be published. </w:t>
            </w:r>
          </w:p>
          <w:p w14:paraId="6BA4276C" w14:textId="77777777" w:rsidR="00897D6D" w:rsidRDefault="00897D6D">
            <w:pPr>
              <w:numPr>
                <w:ilvl w:val="0"/>
                <w:numId w:val="6"/>
              </w:numPr>
              <w:spacing w:after="404" w:line="259" w:lineRule="auto"/>
              <w:ind w:hanging="500"/>
            </w:pPr>
            <w:r>
              <w:rPr>
                <w:sz w:val="24"/>
              </w:rPr>
              <w:t xml:space="preserve">All data will be anonymised. </w:t>
            </w:r>
          </w:p>
          <w:p w14:paraId="1389568B" w14:textId="77777777" w:rsidR="00897D6D" w:rsidRDefault="00897D6D">
            <w:pPr>
              <w:spacing w:line="259" w:lineRule="auto"/>
            </w:pPr>
            <w:r>
              <w:rPr>
                <w:rFonts w:ascii="Arial" w:eastAsia="Arial" w:hAnsi="Arial" w:cs="Arial"/>
                <w:i/>
                <w:color w:val="808080"/>
                <w:sz w:val="18"/>
              </w:rPr>
              <w:t>(this box should expand as you type)</w:t>
            </w:r>
          </w:p>
        </w:tc>
      </w:tr>
      <w:tr w:rsidR="00897D6D" w14:paraId="077AC527" w14:textId="77777777">
        <w:trPr>
          <w:trHeight w:val="1603"/>
        </w:trPr>
        <w:tc>
          <w:tcPr>
            <w:tcW w:w="59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7B69C5E" w14:textId="77777777" w:rsidR="00897D6D" w:rsidRDefault="00897D6D">
            <w:pPr>
              <w:spacing w:line="259" w:lineRule="auto"/>
              <w:ind w:left="150"/>
            </w:pPr>
            <w:r>
              <w:t>2</w:t>
            </w:r>
          </w:p>
        </w:tc>
        <w:tc>
          <w:tcPr>
            <w:tcW w:w="9872" w:type="dxa"/>
            <w:gridSpan w:val="2"/>
            <w:tcBorders>
              <w:top w:val="single" w:sz="4" w:space="0" w:color="7F7F7F"/>
              <w:left w:val="single" w:sz="4" w:space="0" w:color="7F7F7F"/>
              <w:bottom w:val="single" w:sz="4" w:space="0" w:color="7F7F7F"/>
              <w:right w:val="single" w:sz="4" w:space="0" w:color="7F7F7F"/>
            </w:tcBorders>
            <w:shd w:val="clear" w:color="auto" w:fill="F2F2F2"/>
          </w:tcPr>
          <w:p w14:paraId="13999F23" w14:textId="77777777" w:rsidR="00897D6D" w:rsidRDefault="00897D6D">
            <w:pPr>
              <w:spacing w:line="259" w:lineRule="auto"/>
              <w:ind w:right="63"/>
            </w:pPr>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 xml:space="preserve">where applicable, consent procedures should make it clear that if something potentially or </w:t>
            </w:r>
            <w:proofErr w:type="gramStart"/>
            <w:r>
              <w:rPr>
                <w:color w:val="161616"/>
              </w:rPr>
              <w:t>actually illegal</w:t>
            </w:r>
            <w:proofErr w:type="gramEnd"/>
            <w:r>
              <w:rPr>
                <w:color w:val="161616"/>
              </w:rPr>
              <w:t xml:space="preserve"> is discovered </w:t>
            </w:r>
            <w:proofErr w:type="gramStart"/>
            <w:r>
              <w:rPr>
                <w:color w:val="161616"/>
              </w:rPr>
              <w:t>in the course of</w:t>
            </w:r>
            <w:proofErr w:type="gramEnd"/>
            <w:r>
              <w:rPr>
                <w:color w:val="161616"/>
              </w:rPr>
              <w:t xml:space="preserve"> a project, it may need to be disclosed to the proper authorities</w:t>
            </w:r>
          </w:p>
        </w:tc>
      </w:tr>
      <w:tr w:rsidR="00897D6D" w14:paraId="74DC244B" w14:textId="77777777">
        <w:trPr>
          <w:trHeight w:val="1364"/>
        </w:trPr>
        <w:tc>
          <w:tcPr>
            <w:tcW w:w="593" w:type="dxa"/>
            <w:tcBorders>
              <w:top w:val="single" w:sz="4" w:space="0" w:color="7F7F7F"/>
              <w:left w:val="single" w:sz="4" w:space="0" w:color="7F7F7F"/>
              <w:bottom w:val="single" w:sz="4" w:space="0" w:color="7F7F7F"/>
              <w:right w:val="single" w:sz="4" w:space="0" w:color="7F7F7F"/>
            </w:tcBorders>
          </w:tcPr>
          <w:p w14:paraId="0BEA2EEE" w14:textId="77777777" w:rsidR="00897D6D" w:rsidRDefault="00897D6D">
            <w:pPr>
              <w:spacing w:after="160" w:line="259" w:lineRule="auto"/>
            </w:pPr>
          </w:p>
        </w:tc>
        <w:tc>
          <w:tcPr>
            <w:tcW w:w="9872" w:type="dxa"/>
            <w:gridSpan w:val="2"/>
            <w:tcBorders>
              <w:top w:val="single" w:sz="4" w:space="0" w:color="7F7F7F"/>
              <w:left w:val="single" w:sz="4" w:space="0" w:color="7F7F7F"/>
              <w:bottom w:val="single" w:sz="4" w:space="0" w:color="7F7F7F"/>
              <w:right w:val="single" w:sz="4" w:space="0" w:color="7F7F7F"/>
            </w:tcBorders>
            <w:vAlign w:val="bottom"/>
          </w:tcPr>
          <w:p w14:paraId="3217180F" w14:textId="77777777" w:rsidR="00897D6D" w:rsidRDefault="00897D6D">
            <w:pPr>
              <w:spacing w:after="397" w:line="259" w:lineRule="auto"/>
            </w:pPr>
            <w:r>
              <w:rPr>
                <w:sz w:val="24"/>
              </w:rPr>
              <w:t xml:space="preserve">None expected. Interviews relate to commercial strategy, not personal or sensitive matters. </w:t>
            </w:r>
          </w:p>
          <w:p w14:paraId="3B02C8BF" w14:textId="77777777" w:rsidR="00897D6D" w:rsidRDefault="00897D6D">
            <w:pPr>
              <w:spacing w:line="259" w:lineRule="auto"/>
            </w:pPr>
            <w:r>
              <w:rPr>
                <w:rFonts w:ascii="Arial" w:eastAsia="Arial" w:hAnsi="Arial" w:cs="Arial"/>
                <w:i/>
                <w:color w:val="808080"/>
                <w:sz w:val="18"/>
              </w:rPr>
              <w:t>(this box should expand as you type)</w:t>
            </w:r>
          </w:p>
        </w:tc>
      </w:tr>
      <w:tr w:rsidR="00897D6D" w14:paraId="4BB2AD12" w14:textId="77777777">
        <w:trPr>
          <w:trHeight w:val="883"/>
        </w:trPr>
        <w:tc>
          <w:tcPr>
            <w:tcW w:w="59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C695A71" w14:textId="77777777" w:rsidR="00897D6D" w:rsidRDefault="00897D6D">
            <w:pPr>
              <w:spacing w:line="259" w:lineRule="auto"/>
              <w:ind w:left="150"/>
            </w:pPr>
            <w:r>
              <w:lastRenderedPageBreak/>
              <w:t>3</w:t>
            </w:r>
          </w:p>
        </w:tc>
        <w:tc>
          <w:tcPr>
            <w:tcW w:w="9872" w:type="dxa"/>
            <w:gridSpan w:val="2"/>
            <w:tcBorders>
              <w:top w:val="single" w:sz="4" w:space="0" w:color="7F7F7F"/>
              <w:left w:val="single" w:sz="4" w:space="0" w:color="7F7F7F"/>
              <w:bottom w:val="single" w:sz="4" w:space="0" w:color="7F7F7F"/>
              <w:right w:val="single" w:sz="4" w:space="0" w:color="7F7F7F"/>
            </w:tcBorders>
            <w:shd w:val="clear" w:color="auto" w:fill="F2F2F2"/>
          </w:tcPr>
          <w:p w14:paraId="30BF6B02" w14:textId="77777777" w:rsidR="00897D6D" w:rsidRDefault="00897D6D">
            <w:pPr>
              <w:spacing w:line="259" w:lineRule="auto"/>
            </w:pPr>
            <w:r>
              <w:rPr>
                <w:rFonts w:ascii="Arial" w:eastAsia="Arial" w:hAnsi="Arial" w:cs="Arial"/>
                <w:b/>
              </w:rPr>
              <w:t>Risks to the investigator</w:t>
            </w:r>
            <w:r>
              <w:t xml:space="preserve"> </w:t>
            </w:r>
          </w:p>
          <w:p w14:paraId="3A78E9EB" w14:textId="77777777" w:rsidR="00897D6D" w:rsidRDefault="00897D6D">
            <w:pPr>
              <w:spacing w:line="259" w:lineRule="auto"/>
            </w:pPr>
            <w:r>
              <w:t>For example: personal health &amp; safety, physical harm, emotional distress, risk of accusation of harm/impropriety, conflict of interest</w:t>
            </w:r>
          </w:p>
        </w:tc>
      </w:tr>
      <w:tr w:rsidR="00897D6D" w14:paraId="277CDE3D" w14:textId="77777777">
        <w:trPr>
          <w:trHeight w:val="3964"/>
        </w:trPr>
        <w:tc>
          <w:tcPr>
            <w:tcW w:w="593" w:type="dxa"/>
            <w:tcBorders>
              <w:top w:val="single" w:sz="4" w:space="0" w:color="7F7F7F"/>
              <w:left w:val="single" w:sz="4" w:space="0" w:color="7F7F7F"/>
              <w:bottom w:val="single" w:sz="4" w:space="0" w:color="7F7F7F"/>
              <w:right w:val="single" w:sz="4" w:space="0" w:color="7F7F7F"/>
            </w:tcBorders>
          </w:tcPr>
          <w:p w14:paraId="20A65712" w14:textId="77777777" w:rsidR="00897D6D" w:rsidRDefault="00897D6D">
            <w:pPr>
              <w:spacing w:after="160" w:line="259" w:lineRule="auto"/>
            </w:pPr>
          </w:p>
        </w:tc>
        <w:tc>
          <w:tcPr>
            <w:tcW w:w="4965" w:type="dxa"/>
            <w:tcBorders>
              <w:top w:val="single" w:sz="4" w:space="0" w:color="7F7F7F"/>
              <w:left w:val="single" w:sz="4" w:space="0" w:color="7F7F7F"/>
              <w:bottom w:val="single" w:sz="4" w:space="0" w:color="7F7F7F"/>
              <w:right w:val="single" w:sz="4" w:space="0" w:color="7F7F7F"/>
            </w:tcBorders>
          </w:tcPr>
          <w:p w14:paraId="2867049D" w14:textId="77777777" w:rsidR="00897D6D" w:rsidRDefault="00897D6D">
            <w:pPr>
              <w:spacing w:after="18" w:line="259" w:lineRule="auto"/>
            </w:pPr>
            <w:r>
              <w:t xml:space="preserve">Risk to the investigator. </w:t>
            </w:r>
          </w:p>
          <w:p w14:paraId="1328C1EC" w14:textId="77777777" w:rsidR="00897D6D" w:rsidRDefault="00897D6D">
            <w:pPr>
              <w:spacing w:after="918" w:line="259" w:lineRule="auto"/>
              <w:ind w:right="16"/>
            </w:pPr>
            <w:r>
              <w:rPr>
                <w:rFonts w:ascii="Times New Roman" w:eastAsia="Times New Roman" w:hAnsi="Times New Roman" w:cs="Times New Roman"/>
                <w:sz w:val="24"/>
              </w:rPr>
              <w:t xml:space="preserve">Risk of misunderstanding or reputational concerns when speaking with industry professionals. </w:t>
            </w:r>
          </w:p>
          <w:p w14:paraId="1DA427C5" w14:textId="77777777" w:rsidR="00897D6D" w:rsidRDefault="00897D6D">
            <w:pPr>
              <w:spacing w:line="259" w:lineRule="auto"/>
            </w:pPr>
            <w:r>
              <w:rPr>
                <w:rFonts w:ascii="Arial" w:eastAsia="Arial" w:hAnsi="Arial" w:cs="Arial"/>
                <w:i/>
                <w:color w:val="808080"/>
                <w:sz w:val="18"/>
              </w:rPr>
              <w:t>(this box should expand as you type)</w:t>
            </w:r>
          </w:p>
        </w:tc>
        <w:tc>
          <w:tcPr>
            <w:tcW w:w="4907" w:type="dxa"/>
            <w:tcBorders>
              <w:top w:val="single" w:sz="4" w:space="0" w:color="7F7F7F"/>
              <w:left w:val="single" w:sz="4" w:space="0" w:color="7F7F7F"/>
              <w:bottom w:val="single" w:sz="4" w:space="0" w:color="7F7F7F"/>
              <w:right w:val="single" w:sz="4" w:space="0" w:color="7F7F7F"/>
            </w:tcBorders>
          </w:tcPr>
          <w:p w14:paraId="3D966A69" w14:textId="77777777" w:rsidR="00897D6D" w:rsidRDefault="00897D6D">
            <w:pPr>
              <w:spacing w:after="47" w:line="259" w:lineRule="auto"/>
            </w:pPr>
            <w:r>
              <w:rPr>
                <w:rFonts w:ascii="Arial" w:eastAsia="Arial" w:hAnsi="Arial" w:cs="Arial"/>
                <w:i/>
                <w:sz w:val="18"/>
              </w:rPr>
              <w:t xml:space="preserve">How you will mitigate the risk to the investigator: </w:t>
            </w:r>
          </w:p>
          <w:p w14:paraId="4E7D20AD" w14:textId="77777777" w:rsidR="00897D6D" w:rsidRDefault="00897D6D">
            <w:pPr>
              <w:numPr>
                <w:ilvl w:val="0"/>
                <w:numId w:val="7"/>
              </w:numPr>
              <w:spacing w:after="235" w:line="259" w:lineRule="auto"/>
              <w:ind w:hanging="500"/>
            </w:pPr>
            <w:r>
              <w:rPr>
                <w:sz w:val="24"/>
              </w:rPr>
              <w:t xml:space="preserve">Maintain professional conduct. </w:t>
            </w:r>
          </w:p>
          <w:p w14:paraId="315B6138" w14:textId="77777777" w:rsidR="00897D6D" w:rsidRDefault="00897D6D">
            <w:pPr>
              <w:numPr>
                <w:ilvl w:val="0"/>
                <w:numId w:val="7"/>
              </w:numPr>
              <w:spacing w:after="236" w:line="252" w:lineRule="auto"/>
              <w:ind w:hanging="500"/>
            </w:pPr>
            <w:r>
              <w:rPr>
                <w:sz w:val="24"/>
              </w:rPr>
              <w:t xml:space="preserve">Avoid collecting sensitive company data. </w:t>
            </w:r>
          </w:p>
          <w:p w14:paraId="19AD690E" w14:textId="77777777" w:rsidR="00897D6D" w:rsidRDefault="00897D6D">
            <w:pPr>
              <w:numPr>
                <w:ilvl w:val="0"/>
                <w:numId w:val="7"/>
              </w:numPr>
              <w:spacing w:after="1445" w:line="252" w:lineRule="auto"/>
              <w:ind w:hanging="500"/>
            </w:pPr>
            <w:r>
              <w:rPr>
                <w:sz w:val="24"/>
              </w:rPr>
              <w:t xml:space="preserve">Conduct interviews online for personal safety.  </w:t>
            </w:r>
          </w:p>
          <w:p w14:paraId="2CA3EB0B" w14:textId="77777777" w:rsidR="00897D6D" w:rsidRDefault="00897D6D">
            <w:pPr>
              <w:spacing w:line="259" w:lineRule="auto"/>
            </w:pPr>
            <w:r>
              <w:rPr>
                <w:rFonts w:ascii="Arial" w:eastAsia="Arial" w:hAnsi="Arial" w:cs="Arial"/>
                <w:i/>
                <w:color w:val="808080"/>
                <w:sz w:val="18"/>
              </w:rPr>
              <w:t>(this box should expand as you type)</w:t>
            </w:r>
          </w:p>
        </w:tc>
      </w:tr>
      <w:tr w:rsidR="00897D6D" w14:paraId="3BAA7A54" w14:textId="77777777">
        <w:trPr>
          <w:trHeight w:val="643"/>
        </w:trPr>
        <w:tc>
          <w:tcPr>
            <w:tcW w:w="59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C668A72" w14:textId="77777777" w:rsidR="00897D6D" w:rsidRDefault="00897D6D">
            <w:pPr>
              <w:spacing w:line="259" w:lineRule="auto"/>
              <w:ind w:left="150"/>
            </w:pPr>
            <w:r>
              <w:t>4</w:t>
            </w:r>
          </w:p>
        </w:tc>
        <w:tc>
          <w:tcPr>
            <w:tcW w:w="9872" w:type="dxa"/>
            <w:gridSpan w:val="2"/>
            <w:tcBorders>
              <w:top w:val="single" w:sz="4" w:space="0" w:color="7F7F7F"/>
              <w:left w:val="single" w:sz="4" w:space="0" w:color="7F7F7F"/>
              <w:bottom w:val="single" w:sz="4" w:space="0" w:color="7F7F7F"/>
              <w:right w:val="single" w:sz="4" w:space="0" w:color="7F7F7F"/>
            </w:tcBorders>
            <w:shd w:val="clear" w:color="auto" w:fill="F2F2F2"/>
          </w:tcPr>
          <w:p w14:paraId="04DA31C7" w14:textId="77777777" w:rsidR="00897D6D" w:rsidRDefault="00897D6D">
            <w:pPr>
              <w:spacing w:line="259" w:lineRule="auto"/>
            </w:pPr>
            <w:r>
              <w:rPr>
                <w:rFonts w:ascii="Arial" w:eastAsia="Arial" w:hAnsi="Arial" w:cs="Arial"/>
                <w:b/>
              </w:rPr>
              <w:t>University/institutional risks</w:t>
            </w:r>
            <w:r>
              <w:t xml:space="preserve"> </w:t>
            </w:r>
          </w:p>
          <w:p w14:paraId="41B4443C" w14:textId="77777777" w:rsidR="00897D6D" w:rsidRDefault="00897D6D">
            <w:pPr>
              <w:spacing w:line="259" w:lineRule="auto"/>
            </w:pPr>
            <w:r>
              <w:t>For example: adverse publicity, financial loss, data protection</w:t>
            </w:r>
          </w:p>
        </w:tc>
      </w:tr>
      <w:tr w:rsidR="00897D6D" w14:paraId="25C2AFFF" w14:textId="77777777">
        <w:trPr>
          <w:trHeight w:val="4264"/>
        </w:trPr>
        <w:tc>
          <w:tcPr>
            <w:tcW w:w="593" w:type="dxa"/>
            <w:tcBorders>
              <w:top w:val="single" w:sz="4" w:space="0" w:color="7F7F7F"/>
              <w:left w:val="single" w:sz="4" w:space="0" w:color="7F7F7F"/>
              <w:bottom w:val="single" w:sz="4" w:space="0" w:color="7F7F7F"/>
              <w:right w:val="single" w:sz="4" w:space="0" w:color="7F7F7F"/>
            </w:tcBorders>
          </w:tcPr>
          <w:p w14:paraId="1623BBC4" w14:textId="77777777" w:rsidR="00897D6D" w:rsidRDefault="00897D6D">
            <w:pPr>
              <w:spacing w:after="160" w:line="259" w:lineRule="auto"/>
            </w:pPr>
          </w:p>
        </w:tc>
        <w:tc>
          <w:tcPr>
            <w:tcW w:w="4965" w:type="dxa"/>
            <w:tcBorders>
              <w:top w:val="single" w:sz="4" w:space="0" w:color="7F7F7F"/>
              <w:left w:val="single" w:sz="4" w:space="0" w:color="7F7F7F"/>
              <w:bottom w:val="single" w:sz="4" w:space="0" w:color="7F7F7F"/>
              <w:right w:val="single" w:sz="4" w:space="0" w:color="7F7F7F"/>
            </w:tcBorders>
          </w:tcPr>
          <w:p w14:paraId="73E6FA1C" w14:textId="77777777" w:rsidR="00897D6D" w:rsidRDefault="00897D6D">
            <w:pPr>
              <w:spacing w:line="259" w:lineRule="auto"/>
            </w:pPr>
            <w:r>
              <w:t xml:space="preserve">Risk to the University: </w:t>
            </w:r>
          </w:p>
          <w:p w14:paraId="7F15EEF1" w14:textId="77777777" w:rsidR="00897D6D" w:rsidRDefault="00897D6D">
            <w:pPr>
              <w:spacing w:after="18" w:line="259" w:lineRule="auto"/>
            </w:pPr>
            <w:r>
              <w:rPr>
                <w:color w:val="00B050"/>
              </w:rPr>
              <w:t xml:space="preserve">. </w:t>
            </w:r>
          </w:p>
          <w:p w14:paraId="077C8D9D" w14:textId="77777777" w:rsidR="00897D6D" w:rsidRDefault="00897D6D">
            <w:pPr>
              <w:spacing w:after="155" w:line="262" w:lineRule="auto"/>
            </w:pPr>
            <w:r>
              <w:rPr>
                <w:rFonts w:ascii="Times New Roman" w:eastAsia="Times New Roman" w:hAnsi="Times New Roman" w:cs="Times New Roman"/>
                <w:sz w:val="24"/>
              </w:rPr>
              <w:t>Potential reputational risk if confidentiality is breached</w:t>
            </w:r>
            <w:r>
              <w:rPr>
                <w:sz w:val="24"/>
              </w:rPr>
              <w:t xml:space="preserve"> </w:t>
            </w:r>
          </w:p>
          <w:p w14:paraId="50516F77" w14:textId="77777777" w:rsidR="00897D6D" w:rsidRDefault="00897D6D">
            <w:pPr>
              <w:spacing w:line="259" w:lineRule="auto"/>
            </w:pPr>
            <w:r>
              <w:rPr>
                <w:rFonts w:ascii="Arial" w:eastAsia="Arial" w:hAnsi="Arial" w:cs="Arial"/>
                <w:i/>
                <w:color w:val="808080"/>
                <w:sz w:val="18"/>
              </w:rPr>
              <w:t>(this box should expand as you type)</w:t>
            </w:r>
          </w:p>
        </w:tc>
        <w:tc>
          <w:tcPr>
            <w:tcW w:w="4907" w:type="dxa"/>
            <w:tcBorders>
              <w:top w:val="single" w:sz="4" w:space="0" w:color="7F7F7F"/>
              <w:left w:val="single" w:sz="4" w:space="0" w:color="7F7F7F"/>
              <w:bottom w:val="single" w:sz="4" w:space="0" w:color="7F7F7F"/>
              <w:right w:val="single" w:sz="4" w:space="0" w:color="7F7F7F"/>
            </w:tcBorders>
          </w:tcPr>
          <w:p w14:paraId="5F2E013E" w14:textId="77777777" w:rsidR="00897D6D" w:rsidRDefault="00897D6D">
            <w:pPr>
              <w:spacing w:after="598" w:line="259" w:lineRule="auto"/>
            </w:pPr>
            <w:r>
              <w:rPr>
                <w:rFonts w:ascii="Arial" w:eastAsia="Arial" w:hAnsi="Arial" w:cs="Arial"/>
                <w:i/>
                <w:sz w:val="18"/>
              </w:rPr>
              <w:t xml:space="preserve">How you will mitigate the risk to the University: </w:t>
            </w:r>
          </w:p>
          <w:p w14:paraId="02F29FA3" w14:textId="77777777" w:rsidR="00897D6D" w:rsidRDefault="00897D6D">
            <w:pPr>
              <w:numPr>
                <w:ilvl w:val="0"/>
                <w:numId w:val="8"/>
              </w:numPr>
              <w:spacing w:after="246" w:line="259" w:lineRule="auto"/>
              <w:ind w:hanging="500"/>
            </w:pPr>
            <w:r>
              <w:rPr>
                <w:rFonts w:ascii="Times New Roman" w:eastAsia="Times New Roman" w:hAnsi="Times New Roman" w:cs="Times New Roman"/>
                <w:sz w:val="24"/>
              </w:rPr>
              <w:t xml:space="preserve">Strict anonymisation. </w:t>
            </w:r>
          </w:p>
          <w:p w14:paraId="30E2EA36" w14:textId="77777777" w:rsidR="00897D6D" w:rsidRDefault="00897D6D">
            <w:pPr>
              <w:numPr>
                <w:ilvl w:val="0"/>
                <w:numId w:val="8"/>
              </w:numPr>
              <w:spacing w:after="246" w:line="259" w:lineRule="auto"/>
              <w:ind w:hanging="500"/>
            </w:pPr>
            <w:r>
              <w:rPr>
                <w:rFonts w:ascii="Times New Roman" w:eastAsia="Times New Roman" w:hAnsi="Times New Roman" w:cs="Times New Roman"/>
                <w:sz w:val="24"/>
              </w:rPr>
              <w:t xml:space="preserve">No company confidential data collected. </w:t>
            </w:r>
          </w:p>
          <w:p w14:paraId="0C3FE3BA" w14:textId="77777777" w:rsidR="00897D6D" w:rsidRDefault="00897D6D">
            <w:pPr>
              <w:numPr>
                <w:ilvl w:val="0"/>
                <w:numId w:val="8"/>
              </w:numPr>
              <w:spacing w:after="1704" w:line="259" w:lineRule="auto"/>
              <w:ind w:hanging="500"/>
            </w:pPr>
            <w:r>
              <w:rPr>
                <w:rFonts w:ascii="Times New Roman" w:eastAsia="Times New Roman" w:hAnsi="Times New Roman" w:cs="Times New Roman"/>
                <w:sz w:val="24"/>
              </w:rPr>
              <w:t xml:space="preserve">Ethical best practices followed. </w:t>
            </w:r>
          </w:p>
          <w:p w14:paraId="0A101357" w14:textId="77777777" w:rsidR="00897D6D" w:rsidRDefault="00897D6D">
            <w:pPr>
              <w:spacing w:line="259" w:lineRule="auto"/>
            </w:pPr>
            <w:r>
              <w:rPr>
                <w:rFonts w:ascii="Arial" w:eastAsia="Arial" w:hAnsi="Arial" w:cs="Arial"/>
                <w:i/>
                <w:color w:val="808080"/>
                <w:sz w:val="18"/>
              </w:rPr>
              <w:t>(this box should expand as you type)</w:t>
            </w:r>
          </w:p>
        </w:tc>
      </w:tr>
      <w:tr w:rsidR="00897D6D" w14:paraId="67467A83" w14:textId="77777777">
        <w:trPr>
          <w:trHeight w:val="643"/>
        </w:trPr>
        <w:tc>
          <w:tcPr>
            <w:tcW w:w="59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8E696BD" w14:textId="77777777" w:rsidR="00897D6D" w:rsidRDefault="00897D6D">
            <w:pPr>
              <w:spacing w:line="259" w:lineRule="auto"/>
              <w:ind w:left="150"/>
            </w:pPr>
            <w:r>
              <w:t>5</w:t>
            </w:r>
          </w:p>
        </w:tc>
        <w:tc>
          <w:tcPr>
            <w:tcW w:w="9872" w:type="dxa"/>
            <w:gridSpan w:val="2"/>
            <w:tcBorders>
              <w:top w:val="single" w:sz="4" w:space="0" w:color="7F7F7F"/>
              <w:left w:val="single" w:sz="4" w:space="0" w:color="7F7F7F"/>
              <w:bottom w:val="single" w:sz="4" w:space="0" w:color="7F7F7F"/>
              <w:right w:val="single" w:sz="4" w:space="0" w:color="7F7F7F"/>
            </w:tcBorders>
            <w:shd w:val="clear" w:color="auto" w:fill="F2F2F2"/>
          </w:tcPr>
          <w:p w14:paraId="0131A6FB" w14:textId="77777777" w:rsidR="00897D6D" w:rsidRDefault="00897D6D">
            <w:pPr>
              <w:spacing w:line="259" w:lineRule="auto"/>
            </w:pPr>
            <w:r>
              <w:rPr>
                <w:rFonts w:ascii="Arial" w:eastAsia="Arial" w:hAnsi="Arial" w:cs="Arial"/>
                <w:b/>
              </w:rPr>
              <w:t>Environmental risks</w:t>
            </w:r>
            <w:r>
              <w:t xml:space="preserve"> </w:t>
            </w:r>
          </w:p>
          <w:p w14:paraId="68DFA83F" w14:textId="77777777" w:rsidR="00897D6D" w:rsidRDefault="00897D6D">
            <w:pPr>
              <w:spacing w:line="259" w:lineRule="auto"/>
            </w:pPr>
            <w:r>
              <w:t>For example: accidental spillage of pollutants, damage to local ecosystems</w:t>
            </w:r>
          </w:p>
        </w:tc>
      </w:tr>
      <w:tr w:rsidR="00897D6D" w14:paraId="5C6D4C5A" w14:textId="77777777">
        <w:trPr>
          <w:trHeight w:val="1564"/>
        </w:trPr>
        <w:tc>
          <w:tcPr>
            <w:tcW w:w="593" w:type="dxa"/>
            <w:tcBorders>
              <w:top w:val="single" w:sz="4" w:space="0" w:color="7F7F7F"/>
              <w:left w:val="single" w:sz="4" w:space="0" w:color="7F7F7F"/>
              <w:bottom w:val="single" w:sz="4" w:space="0" w:color="7F7F7F"/>
              <w:right w:val="single" w:sz="4" w:space="0" w:color="7F7F7F"/>
            </w:tcBorders>
          </w:tcPr>
          <w:p w14:paraId="15D6E209" w14:textId="77777777" w:rsidR="00897D6D" w:rsidRDefault="00897D6D">
            <w:pPr>
              <w:spacing w:after="160" w:line="259" w:lineRule="auto"/>
            </w:pPr>
          </w:p>
        </w:tc>
        <w:tc>
          <w:tcPr>
            <w:tcW w:w="4965" w:type="dxa"/>
            <w:tcBorders>
              <w:top w:val="single" w:sz="4" w:space="0" w:color="7F7F7F"/>
              <w:left w:val="single" w:sz="4" w:space="0" w:color="7F7F7F"/>
              <w:bottom w:val="single" w:sz="4" w:space="0" w:color="7F7F7F"/>
              <w:right w:val="single" w:sz="4" w:space="0" w:color="7F7F7F"/>
            </w:tcBorders>
          </w:tcPr>
          <w:p w14:paraId="6FAA4311" w14:textId="77777777" w:rsidR="00897D6D" w:rsidRDefault="00897D6D">
            <w:pPr>
              <w:spacing w:after="207" w:line="259" w:lineRule="auto"/>
            </w:pPr>
            <w:r>
              <w:t xml:space="preserve">Risk to the environment: </w:t>
            </w:r>
          </w:p>
          <w:p w14:paraId="71DBCE2C" w14:textId="77777777" w:rsidR="00897D6D" w:rsidRDefault="00897D6D">
            <w:pPr>
              <w:spacing w:after="417" w:line="259" w:lineRule="auto"/>
            </w:pPr>
            <w:r>
              <w:t xml:space="preserve">None - desk based research. Remote interviews. </w:t>
            </w:r>
          </w:p>
          <w:p w14:paraId="18815683" w14:textId="77777777" w:rsidR="00897D6D" w:rsidRDefault="00897D6D">
            <w:pPr>
              <w:spacing w:line="259" w:lineRule="auto"/>
            </w:pPr>
            <w:r>
              <w:rPr>
                <w:rFonts w:ascii="Arial" w:eastAsia="Arial" w:hAnsi="Arial" w:cs="Arial"/>
                <w:i/>
                <w:color w:val="808080"/>
                <w:sz w:val="18"/>
              </w:rPr>
              <w:t>(this box should expand as you type)</w:t>
            </w:r>
          </w:p>
        </w:tc>
        <w:tc>
          <w:tcPr>
            <w:tcW w:w="4907" w:type="dxa"/>
            <w:tcBorders>
              <w:top w:val="single" w:sz="4" w:space="0" w:color="7F7F7F"/>
              <w:left w:val="single" w:sz="4" w:space="0" w:color="7F7F7F"/>
              <w:bottom w:val="single" w:sz="4" w:space="0" w:color="7F7F7F"/>
              <w:right w:val="single" w:sz="4" w:space="0" w:color="7F7F7F"/>
            </w:tcBorders>
          </w:tcPr>
          <w:p w14:paraId="34E0A20D" w14:textId="77777777" w:rsidR="00897D6D" w:rsidRDefault="00897D6D">
            <w:pPr>
              <w:spacing w:after="696" w:line="259" w:lineRule="auto"/>
            </w:pPr>
            <w:r>
              <w:rPr>
                <w:rFonts w:ascii="Arial" w:eastAsia="Arial" w:hAnsi="Arial" w:cs="Arial"/>
                <w:i/>
                <w:sz w:val="18"/>
              </w:rPr>
              <w:t xml:space="preserve">How you will mitigate the risk to environment: </w:t>
            </w:r>
          </w:p>
          <w:p w14:paraId="28B5AAFC" w14:textId="77777777" w:rsidR="00897D6D" w:rsidRDefault="00897D6D">
            <w:pPr>
              <w:spacing w:line="259" w:lineRule="auto"/>
            </w:pPr>
            <w:r>
              <w:rPr>
                <w:rFonts w:ascii="Arial" w:eastAsia="Arial" w:hAnsi="Arial" w:cs="Arial"/>
                <w:i/>
                <w:color w:val="808080"/>
                <w:sz w:val="18"/>
              </w:rPr>
              <w:t>(this box should expand as you type)</w:t>
            </w:r>
          </w:p>
        </w:tc>
      </w:tr>
    </w:tbl>
    <w:p w14:paraId="68170B7C" w14:textId="77777777" w:rsidR="00897D6D" w:rsidRDefault="00897D6D">
      <w:pPr>
        <w:spacing w:after="207" w:line="259" w:lineRule="auto"/>
        <w:ind w:left="-5"/>
      </w:pPr>
      <w:r>
        <w:rPr>
          <w:rFonts w:ascii="Arial" w:eastAsia="Arial" w:hAnsi="Arial" w:cs="Arial"/>
          <w:b/>
        </w:rPr>
        <w:t xml:space="preserve">SECTION G: Feedback, Consent and Confidentiality </w:t>
      </w:r>
    </w:p>
    <w:p w14:paraId="57207860" w14:textId="77777777" w:rsidR="00897D6D" w:rsidRDefault="00897D6D">
      <w:pPr>
        <w:spacing w:after="29"/>
        <w:ind w:left="-5"/>
      </w:pPr>
      <w:r>
        <w:t xml:space="preserve">If you have identified in section D that there are no </w:t>
      </w:r>
      <w:proofErr w:type="gramStart"/>
      <w:r>
        <w:t>participants</w:t>
      </w:r>
      <w:proofErr w:type="gramEnd"/>
      <w:r>
        <w:t xml:space="preserve"> then enter skip this section and continue to section H. </w:t>
      </w:r>
    </w:p>
    <w:tbl>
      <w:tblPr>
        <w:tblStyle w:val="TableGrid"/>
        <w:tblW w:w="10519" w:type="dxa"/>
        <w:tblInd w:w="5" w:type="dxa"/>
        <w:tblCellMar>
          <w:top w:w="63" w:type="dxa"/>
          <w:left w:w="85" w:type="dxa"/>
          <w:right w:w="30" w:type="dxa"/>
        </w:tblCellMar>
        <w:tblLook w:val="04A0" w:firstRow="1" w:lastRow="0" w:firstColumn="1" w:lastColumn="0" w:noHBand="0" w:noVBand="1"/>
      </w:tblPr>
      <w:tblGrid>
        <w:gridCol w:w="596"/>
        <w:gridCol w:w="9923"/>
      </w:tblGrid>
      <w:tr w:rsidR="00897D6D" w14:paraId="63DA21AE" w14:textId="77777777">
        <w:trPr>
          <w:trHeight w:val="643"/>
        </w:trPr>
        <w:tc>
          <w:tcPr>
            <w:tcW w:w="596" w:type="dxa"/>
            <w:tcBorders>
              <w:top w:val="single" w:sz="4" w:space="0" w:color="7F7F7F"/>
              <w:left w:val="single" w:sz="4" w:space="0" w:color="7F7F7F"/>
              <w:bottom w:val="single" w:sz="4" w:space="0" w:color="7F7F7F"/>
              <w:right w:val="single" w:sz="4" w:space="0" w:color="7F7F7F"/>
            </w:tcBorders>
            <w:shd w:val="clear" w:color="auto" w:fill="F2F2F2"/>
          </w:tcPr>
          <w:p w14:paraId="13B6DD09" w14:textId="77777777" w:rsidR="00897D6D" w:rsidRDefault="00897D6D">
            <w:pPr>
              <w:spacing w:line="259" w:lineRule="auto"/>
            </w:pPr>
            <w:r>
              <w:lastRenderedPageBreak/>
              <w:t>1</w:t>
            </w:r>
          </w:p>
        </w:tc>
        <w:tc>
          <w:tcPr>
            <w:tcW w:w="9923" w:type="dxa"/>
            <w:tcBorders>
              <w:top w:val="single" w:sz="4" w:space="0" w:color="7F7F7F"/>
              <w:left w:val="single" w:sz="4" w:space="0" w:color="7F7F7F"/>
              <w:bottom w:val="single" w:sz="4" w:space="0" w:color="7F7F7F"/>
              <w:right w:val="single" w:sz="4" w:space="0" w:color="7F7F7F"/>
            </w:tcBorders>
            <w:shd w:val="clear" w:color="auto" w:fill="F2F2F2"/>
          </w:tcPr>
          <w:p w14:paraId="694A53CC" w14:textId="77777777" w:rsidR="00897D6D" w:rsidRDefault="00897D6D">
            <w:pPr>
              <w:spacing w:line="259" w:lineRule="auto"/>
            </w:pPr>
            <w:r>
              <w:rPr>
                <w:rFonts w:ascii="Arial" w:eastAsia="Arial" w:hAnsi="Arial" w:cs="Arial"/>
                <w:b/>
              </w:rPr>
              <w:t>Feedback</w:t>
            </w:r>
            <w:r>
              <w:t xml:space="preserve"> </w:t>
            </w:r>
          </w:p>
          <w:p w14:paraId="637D956B" w14:textId="77777777" w:rsidR="00897D6D" w:rsidRDefault="00897D6D">
            <w:pPr>
              <w:spacing w:line="259" w:lineRule="auto"/>
            </w:pPr>
            <w:r>
              <w:t xml:space="preserve">What de-briefing and feedback will be provided to participants, how will this be done and when? </w:t>
            </w:r>
          </w:p>
        </w:tc>
      </w:tr>
      <w:tr w:rsidR="00897D6D" w14:paraId="44679713" w14:textId="77777777">
        <w:trPr>
          <w:trHeight w:val="1964"/>
        </w:trPr>
        <w:tc>
          <w:tcPr>
            <w:tcW w:w="596" w:type="dxa"/>
            <w:tcBorders>
              <w:top w:val="single" w:sz="4" w:space="0" w:color="7F7F7F"/>
              <w:left w:val="single" w:sz="4" w:space="0" w:color="7F7F7F"/>
              <w:bottom w:val="single" w:sz="4" w:space="0" w:color="7F7F7F"/>
              <w:right w:val="single" w:sz="4" w:space="0" w:color="7F7F7F"/>
            </w:tcBorders>
          </w:tcPr>
          <w:p w14:paraId="424AFB0F" w14:textId="77777777" w:rsidR="00897D6D" w:rsidRDefault="00897D6D">
            <w:pPr>
              <w:spacing w:after="160" w:line="259" w:lineRule="auto"/>
            </w:pPr>
          </w:p>
        </w:tc>
        <w:tc>
          <w:tcPr>
            <w:tcW w:w="9923" w:type="dxa"/>
            <w:tcBorders>
              <w:top w:val="single" w:sz="4" w:space="0" w:color="7F7F7F"/>
              <w:left w:val="single" w:sz="4" w:space="0" w:color="7F7F7F"/>
              <w:bottom w:val="single" w:sz="4" w:space="0" w:color="7F7F7F"/>
              <w:right w:val="single" w:sz="4" w:space="0" w:color="7F7F7F"/>
            </w:tcBorders>
          </w:tcPr>
          <w:p w14:paraId="518E4909" w14:textId="77777777" w:rsidR="00897D6D" w:rsidRDefault="00897D6D">
            <w:pPr>
              <w:spacing w:line="259" w:lineRule="auto"/>
            </w:pPr>
            <w:r>
              <w:rPr>
                <w:color w:val="00B050"/>
              </w:rPr>
              <w:t>.</w:t>
            </w:r>
            <w:r>
              <w:rPr>
                <w:color w:val="00B050"/>
                <w:sz w:val="24"/>
              </w:rPr>
              <w:t xml:space="preserve"> </w:t>
            </w:r>
          </w:p>
          <w:p w14:paraId="5A94CF43" w14:textId="77777777" w:rsidR="00897D6D" w:rsidRDefault="00897D6D">
            <w:pPr>
              <w:spacing w:after="678" w:line="259" w:lineRule="auto"/>
            </w:pPr>
            <w:r>
              <w:rPr>
                <w:rFonts w:ascii="Times New Roman" w:eastAsia="Times New Roman" w:hAnsi="Times New Roman" w:cs="Times New Roman"/>
                <w:sz w:val="24"/>
              </w:rPr>
              <w:t xml:space="preserve">Participants will be offered </w:t>
            </w:r>
            <w:proofErr w:type="gramStart"/>
            <w:r>
              <w:rPr>
                <w:rFonts w:ascii="Times New Roman" w:eastAsia="Times New Roman" w:hAnsi="Times New Roman" w:cs="Times New Roman"/>
                <w:sz w:val="24"/>
              </w:rPr>
              <w:t>a brief summary</w:t>
            </w:r>
            <w:proofErr w:type="gramEnd"/>
            <w:r>
              <w:rPr>
                <w:rFonts w:ascii="Times New Roman" w:eastAsia="Times New Roman" w:hAnsi="Times New Roman" w:cs="Times New Roman"/>
                <w:sz w:val="24"/>
              </w:rPr>
              <w:t xml:space="preserve"> of findings via email upon project completion or may contact a dedicated email address for updates. </w:t>
            </w:r>
          </w:p>
          <w:p w14:paraId="19E013E2" w14:textId="77777777" w:rsidR="00897D6D" w:rsidRDefault="00897D6D">
            <w:pPr>
              <w:spacing w:line="259" w:lineRule="auto"/>
            </w:pPr>
            <w:r>
              <w:rPr>
                <w:rFonts w:ascii="Arial" w:eastAsia="Arial" w:hAnsi="Arial" w:cs="Arial"/>
                <w:i/>
                <w:color w:val="808080"/>
                <w:sz w:val="18"/>
              </w:rPr>
              <w:t>(this box should expand as you type)</w:t>
            </w:r>
          </w:p>
        </w:tc>
      </w:tr>
      <w:tr w:rsidR="00897D6D" w14:paraId="6087B2B5" w14:textId="77777777">
        <w:trPr>
          <w:trHeight w:val="1363"/>
        </w:trPr>
        <w:tc>
          <w:tcPr>
            <w:tcW w:w="596" w:type="dxa"/>
            <w:tcBorders>
              <w:top w:val="single" w:sz="4" w:space="0" w:color="7F7F7F"/>
              <w:left w:val="single" w:sz="4" w:space="0" w:color="7F7F7F"/>
              <w:bottom w:val="single" w:sz="4" w:space="0" w:color="7F7F7F"/>
              <w:right w:val="single" w:sz="4" w:space="0" w:color="7F7F7F"/>
            </w:tcBorders>
            <w:shd w:val="clear" w:color="auto" w:fill="F2F2F2"/>
          </w:tcPr>
          <w:p w14:paraId="551B82CD" w14:textId="77777777" w:rsidR="00897D6D" w:rsidRDefault="00897D6D">
            <w:pPr>
              <w:spacing w:line="259" w:lineRule="auto"/>
            </w:pPr>
            <w:r>
              <w:t>2</w:t>
            </w:r>
          </w:p>
        </w:tc>
        <w:tc>
          <w:tcPr>
            <w:tcW w:w="9923" w:type="dxa"/>
            <w:tcBorders>
              <w:top w:val="single" w:sz="4" w:space="0" w:color="7F7F7F"/>
              <w:left w:val="single" w:sz="4" w:space="0" w:color="7F7F7F"/>
              <w:bottom w:val="single" w:sz="4" w:space="0" w:color="7F7F7F"/>
              <w:right w:val="single" w:sz="4" w:space="0" w:color="7F7F7F"/>
            </w:tcBorders>
            <w:shd w:val="clear" w:color="auto" w:fill="F2F2F2"/>
          </w:tcPr>
          <w:p w14:paraId="1B75D694" w14:textId="77777777" w:rsidR="00897D6D" w:rsidRDefault="00897D6D">
            <w:pPr>
              <w:spacing w:line="259" w:lineRule="auto"/>
            </w:pPr>
            <w:r>
              <w:rPr>
                <w:rFonts w:ascii="Arial" w:eastAsia="Arial" w:hAnsi="Arial" w:cs="Arial"/>
                <w:b/>
              </w:rPr>
              <w:t>Informed consent</w:t>
            </w:r>
            <w:r>
              <w:t xml:space="preserve"> </w:t>
            </w:r>
          </w:p>
          <w:p w14:paraId="12B5B905" w14:textId="77777777" w:rsidR="00897D6D" w:rsidRDefault="00897D6D">
            <w:pPr>
              <w:spacing w:line="259" w:lineRule="auto"/>
            </w:pPr>
            <w: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97D6D" w14:paraId="53FFD138" w14:textId="77777777">
        <w:trPr>
          <w:trHeight w:val="1964"/>
        </w:trPr>
        <w:tc>
          <w:tcPr>
            <w:tcW w:w="596" w:type="dxa"/>
            <w:tcBorders>
              <w:top w:val="single" w:sz="4" w:space="0" w:color="7F7F7F"/>
              <w:left w:val="single" w:sz="4" w:space="0" w:color="7F7F7F"/>
              <w:bottom w:val="single" w:sz="4" w:space="0" w:color="7F7F7F"/>
              <w:right w:val="single" w:sz="4" w:space="0" w:color="7F7F7F"/>
            </w:tcBorders>
          </w:tcPr>
          <w:p w14:paraId="50DFA4F1" w14:textId="77777777" w:rsidR="00897D6D" w:rsidRDefault="00897D6D">
            <w:pPr>
              <w:spacing w:after="160" w:line="259" w:lineRule="auto"/>
            </w:pPr>
          </w:p>
        </w:tc>
        <w:tc>
          <w:tcPr>
            <w:tcW w:w="9923" w:type="dxa"/>
            <w:tcBorders>
              <w:top w:val="single" w:sz="4" w:space="0" w:color="7F7F7F"/>
              <w:left w:val="single" w:sz="4" w:space="0" w:color="7F7F7F"/>
              <w:bottom w:val="single" w:sz="4" w:space="0" w:color="7F7F7F"/>
              <w:right w:val="single" w:sz="4" w:space="0" w:color="7F7F7F"/>
            </w:tcBorders>
            <w:vAlign w:val="bottom"/>
          </w:tcPr>
          <w:p w14:paraId="2EC78D90" w14:textId="77777777" w:rsidR="00897D6D" w:rsidRDefault="00897D6D">
            <w:pPr>
              <w:spacing w:after="678" w:line="259" w:lineRule="auto"/>
            </w:pPr>
            <w:r>
              <w:rPr>
                <w:rFonts w:ascii="Times New Roman" w:eastAsia="Times New Roman" w:hAnsi="Times New Roman" w:cs="Times New Roman"/>
                <w:sz w:val="24"/>
              </w:rPr>
              <w:t xml:space="preserve">Participants will receive an information sheet outlining purpose, methods, confidentiality, storage, and withdrawal rights. Consent will be obtained in writing before interviews commence. </w:t>
            </w:r>
          </w:p>
          <w:p w14:paraId="388EA940" w14:textId="77777777" w:rsidR="00897D6D" w:rsidRDefault="00897D6D">
            <w:pPr>
              <w:spacing w:line="259" w:lineRule="auto"/>
            </w:pPr>
            <w:r>
              <w:rPr>
                <w:rFonts w:ascii="Arial" w:eastAsia="Arial" w:hAnsi="Arial" w:cs="Arial"/>
                <w:i/>
                <w:color w:val="808080"/>
                <w:sz w:val="18"/>
              </w:rPr>
              <w:t>(this box should expand as you type)</w:t>
            </w:r>
          </w:p>
        </w:tc>
      </w:tr>
      <w:tr w:rsidR="00897D6D" w14:paraId="6ADEA97D" w14:textId="77777777">
        <w:trPr>
          <w:trHeight w:val="883"/>
        </w:trPr>
        <w:tc>
          <w:tcPr>
            <w:tcW w:w="596" w:type="dxa"/>
            <w:tcBorders>
              <w:top w:val="single" w:sz="4" w:space="0" w:color="7F7F7F"/>
              <w:left w:val="single" w:sz="4" w:space="0" w:color="7F7F7F"/>
              <w:bottom w:val="single" w:sz="4" w:space="0" w:color="7F7F7F"/>
              <w:right w:val="single" w:sz="4" w:space="0" w:color="7F7F7F"/>
            </w:tcBorders>
            <w:shd w:val="clear" w:color="auto" w:fill="F2F2F2"/>
          </w:tcPr>
          <w:p w14:paraId="180A2A70" w14:textId="77777777" w:rsidR="00897D6D" w:rsidRDefault="00897D6D">
            <w:pPr>
              <w:spacing w:line="259" w:lineRule="auto"/>
            </w:pPr>
            <w:r>
              <w:t>3</w:t>
            </w:r>
          </w:p>
        </w:tc>
        <w:tc>
          <w:tcPr>
            <w:tcW w:w="9923" w:type="dxa"/>
            <w:tcBorders>
              <w:top w:val="single" w:sz="4" w:space="0" w:color="7F7F7F"/>
              <w:left w:val="single" w:sz="4" w:space="0" w:color="7F7F7F"/>
              <w:bottom w:val="single" w:sz="4" w:space="0" w:color="7F7F7F"/>
              <w:right w:val="single" w:sz="4" w:space="0" w:color="7F7F7F"/>
            </w:tcBorders>
            <w:shd w:val="clear" w:color="auto" w:fill="F2F2F2"/>
          </w:tcPr>
          <w:p w14:paraId="590ABD0A" w14:textId="77777777" w:rsidR="00897D6D" w:rsidRDefault="00897D6D">
            <w:pPr>
              <w:spacing w:line="259" w:lineRule="auto"/>
            </w:pPr>
            <w:r>
              <w:rPr>
                <w:rFonts w:ascii="Arial" w:eastAsia="Arial" w:hAnsi="Arial" w:cs="Arial"/>
                <w:b/>
              </w:rPr>
              <w:t xml:space="preserve">Confidentiality / Anonymity </w:t>
            </w:r>
          </w:p>
          <w:p w14:paraId="0C0304DF" w14:textId="77777777" w:rsidR="00897D6D" w:rsidRDefault="00897D6D">
            <w:pPr>
              <w:spacing w:line="259" w:lineRule="auto"/>
            </w:pPr>
            <w:r>
              <w:t xml:space="preserve">Set out how anonymity of participants and confidentiality will be ensured in any outputs. If anonymity is not being offered, explain why this is the case. </w:t>
            </w:r>
          </w:p>
        </w:tc>
      </w:tr>
      <w:tr w:rsidR="00897D6D" w14:paraId="1445C1CB" w14:textId="77777777">
        <w:trPr>
          <w:trHeight w:val="1724"/>
        </w:trPr>
        <w:tc>
          <w:tcPr>
            <w:tcW w:w="596" w:type="dxa"/>
            <w:tcBorders>
              <w:top w:val="single" w:sz="4" w:space="0" w:color="7F7F7F"/>
              <w:left w:val="single" w:sz="4" w:space="0" w:color="7F7F7F"/>
              <w:bottom w:val="single" w:sz="4" w:space="0" w:color="7F7F7F"/>
              <w:right w:val="single" w:sz="4" w:space="0" w:color="7F7F7F"/>
            </w:tcBorders>
          </w:tcPr>
          <w:p w14:paraId="7B190F60" w14:textId="77777777" w:rsidR="00897D6D" w:rsidRDefault="00897D6D">
            <w:pPr>
              <w:spacing w:after="160" w:line="259" w:lineRule="auto"/>
            </w:pPr>
          </w:p>
        </w:tc>
        <w:tc>
          <w:tcPr>
            <w:tcW w:w="9923" w:type="dxa"/>
            <w:tcBorders>
              <w:top w:val="single" w:sz="4" w:space="0" w:color="7F7F7F"/>
              <w:left w:val="single" w:sz="4" w:space="0" w:color="7F7F7F"/>
              <w:bottom w:val="single" w:sz="4" w:space="0" w:color="7F7F7F"/>
              <w:right w:val="single" w:sz="4" w:space="0" w:color="7F7F7F"/>
            </w:tcBorders>
          </w:tcPr>
          <w:p w14:paraId="0B6FD688" w14:textId="77777777" w:rsidR="00897D6D" w:rsidRDefault="00897D6D">
            <w:pPr>
              <w:spacing w:after="678" w:line="259" w:lineRule="auto"/>
            </w:pPr>
            <w:r>
              <w:rPr>
                <w:rFonts w:ascii="Times New Roman" w:eastAsia="Times New Roman" w:hAnsi="Times New Roman" w:cs="Times New Roman"/>
                <w:sz w:val="24"/>
              </w:rPr>
              <w:t xml:space="preserve">All personal data will be anonymised. Names, roles, or company identifiers will not appear in the dissertation or outputs without explicit permission. Unique participant codes will be used. </w:t>
            </w:r>
          </w:p>
          <w:p w14:paraId="5C85CE3C" w14:textId="77777777" w:rsidR="00897D6D" w:rsidRDefault="00897D6D">
            <w:pPr>
              <w:spacing w:line="259" w:lineRule="auto"/>
            </w:pPr>
            <w:r>
              <w:rPr>
                <w:rFonts w:ascii="Arial" w:eastAsia="Arial" w:hAnsi="Arial" w:cs="Arial"/>
                <w:i/>
                <w:color w:val="808080"/>
                <w:sz w:val="18"/>
              </w:rPr>
              <w:t>(this box should expand as you type)</w:t>
            </w:r>
          </w:p>
        </w:tc>
      </w:tr>
    </w:tbl>
    <w:tbl>
      <w:tblPr>
        <w:tblStyle w:val="TableGrid"/>
        <w:tblpPr w:vertAnchor="page" w:horzAnchor="page" w:tblpX="725" w:tblpY="14331"/>
        <w:tblOverlap w:val="never"/>
        <w:tblW w:w="10456" w:type="dxa"/>
        <w:tblInd w:w="0" w:type="dxa"/>
        <w:tblCellMar>
          <w:top w:w="72" w:type="dxa"/>
          <w:left w:w="85" w:type="dxa"/>
          <w:right w:w="61" w:type="dxa"/>
        </w:tblCellMar>
        <w:tblLook w:val="04A0" w:firstRow="1" w:lastRow="0" w:firstColumn="1" w:lastColumn="0" w:noHBand="0" w:noVBand="1"/>
      </w:tblPr>
      <w:tblGrid>
        <w:gridCol w:w="560"/>
        <w:gridCol w:w="7884"/>
        <w:gridCol w:w="989"/>
        <w:gridCol w:w="1023"/>
      </w:tblGrid>
      <w:tr w:rsidR="00897D6D" w14:paraId="489FB6BD" w14:textId="77777777">
        <w:trPr>
          <w:trHeight w:val="643"/>
        </w:trPr>
        <w:tc>
          <w:tcPr>
            <w:tcW w:w="560" w:type="dxa"/>
            <w:tcBorders>
              <w:top w:val="single" w:sz="4" w:space="0" w:color="7F7F7F"/>
              <w:left w:val="single" w:sz="4" w:space="0" w:color="7F7F7F"/>
              <w:bottom w:val="single" w:sz="4" w:space="0" w:color="7F7F7F"/>
              <w:right w:val="single" w:sz="4" w:space="0" w:color="7F7F7F"/>
            </w:tcBorders>
          </w:tcPr>
          <w:p w14:paraId="53285519" w14:textId="77777777" w:rsidR="00897D6D" w:rsidRDefault="00897D6D">
            <w:pPr>
              <w:spacing w:after="160" w:line="259" w:lineRule="auto"/>
            </w:pPr>
          </w:p>
        </w:tc>
        <w:tc>
          <w:tcPr>
            <w:tcW w:w="7883" w:type="dxa"/>
            <w:tcBorders>
              <w:top w:val="single" w:sz="4" w:space="0" w:color="7F7F7F"/>
              <w:left w:val="single" w:sz="4" w:space="0" w:color="7F7F7F"/>
              <w:bottom w:val="single" w:sz="4" w:space="0" w:color="7F7F7F"/>
              <w:right w:val="single" w:sz="4" w:space="0" w:color="7F7F7F"/>
            </w:tcBorders>
            <w:shd w:val="clear" w:color="auto" w:fill="F2F2F2"/>
          </w:tcPr>
          <w:p w14:paraId="4D557D71" w14:textId="77777777" w:rsidR="00897D6D" w:rsidRDefault="00897D6D">
            <w:pPr>
              <w:spacing w:line="259" w:lineRule="auto"/>
            </w:pPr>
            <w:r>
              <w:rPr>
                <w:rFonts w:ascii="Arial" w:eastAsia="Arial" w:hAnsi="Arial" w:cs="Arial"/>
                <w:b/>
              </w:rPr>
              <w:t>Will data from the research activity (collected data, drafts of the thesis, or materials for publication) be stored in any of the following ways?</w:t>
            </w:r>
          </w:p>
        </w:tc>
        <w:tc>
          <w:tcPr>
            <w:tcW w:w="989" w:type="dxa"/>
            <w:tcBorders>
              <w:top w:val="single" w:sz="4" w:space="0" w:color="7F7F7F"/>
              <w:left w:val="single" w:sz="4" w:space="0" w:color="7F7F7F"/>
              <w:bottom w:val="single" w:sz="4" w:space="0" w:color="7F7F7F"/>
              <w:right w:val="single" w:sz="4" w:space="0" w:color="7F7F7F"/>
            </w:tcBorders>
            <w:shd w:val="clear" w:color="auto" w:fill="F2F2F2"/>
          </w:tcPr>
          <w:p w14:paraId="63BA3E53" w14:textId="77777777" w:rsidR="00897D6D" w:rsidRDefault="00897D6D">
            <w:pPr>
              <w:spacing w:line="259" w:lineRule="auto"/>
              <w:ind w:left="190"/>
            </w:pPr>
            <w:r>
              <w:rPr>
                <w:rFonts w:ascii="Arial" w:eastAsia="Arial" w:hAnsi="Arial" w:cs="Arial"/>
                <w:b/>
              </w:rPr>
              <w:t>YES</w:t>
            </w:r>
          </w:p>
        </w:tc>
        <w:tc>
          <w:tcPr>
            <w:tcW w:w="1023" w:type="dxa"/>
            <w:tcBorders>
              <w:top w:val="single" w:sz="4" w:space="0" w:color="7F7F7F"/>
              <w:left w:val="single" w:sz="4" w:space="0" w:color="7F7F7F"/>
              <w:bottom w:val="single" w:sz="4" w:space="0" w:color="7F7F7F"/>
              <w:right w:val="single" w:sz="4" w:space="0" w:color="7F7F7F"/>
            </w:tcBorders>
            <w:shd w:val="clear" w:color="auto" w:fill="F2F2F2"/>
          </w:tcPr>
          <w:p w14:paraId="7AF5F407" w14:textId="77777777" w:rsidR="00897D6D" w:rsidRDefault="00897D6D">
            <w:pPr>
              <w:spacing w:line="259" w:lineRule="auto"/>
              <w:ind w:right="24"/>
              <w:jc w:val="center"/>
            </w:pPr>
            <w:r>
              <w:rPr>
                <w:rFonts w:ascii="Arial" w:eastAsia="Arial" w:hAnsi="Arial" w:cs="Arial"/>
                <w:b/>
              </w:rPr>
              <w:t>NO</w:t>
            </w:r>
          </w:p>
        </w:tc>
      </w:tr>
      <w:tr w:rsidR="00897D6D" w14:paraId="266699B7" w14:textId="77777777">
        <w:trPr>
          <w:trHeight w:val="439"/>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323256CA" w14:textId="77777777" w:rsidR="00897D6D" w:rsidRDefault="00897D6D">
            <w:pPr>
              <w:spacing w:line="259" w:lineRule="auto"/>
              <w:ind w:left="134"/>
            </w:pPr>
            <w:r>
              <w:lastRenderedPageBreak/>
              <w:t>5</w:t>
            </w:r>
          </w:p>
        </w:tc>
        <w:tc>
          <w:tcPr>
            <w:tcW w:w="7883" w:type="dxa"/>
            <w:tcBorders>
              <w:top w:val="single" w:sz="4" w:space="0" w:color="7F7F7F"/>
              <w:left w:val="single" w:sz="4" w:space="0" w:color="7F7F7F"/>
              <w:bottom w:val="single" w:sz="4" w:space="0" w:color="7F7F7F"/>
              <w:right w:val="single" w:sz="4" w:space="0" w:color="7F7F7F"/>
            </w:tcBorders>
            <w:shd w:val="clear" w:color="auto" w:fill="F2F2F2"/>
          </w:tcPr>
          <w:p w14:paraId="50384CF6" w14:textId="77777777" w:rsidR="00897D6D" w:rsidRDefault="00897D6D">
            <w:pPr>
              <w:spacing w:line="259" w:lineRule="auto"/>
            </w:pPr>
            <w:r>
              <w:t>Manual files (i.e. in paper form)?</w:t>
            </w:r>
          </w:p>
        </w:tc>
        <w:tc>
          <w:tcPr>
            <w:tcW w:w="989" w:type="dxa"/>
            <w:tcBorders>
              <w:top w:val="single" w:sz="4" w:space="0" w:color="7F7F7F"/>
              <w:left w:val="single" w:sz="4" w:space="0" w:color="7F7F7F"/>
              <w:bottom w:val="single" w:sz="4" w:space="0" w:color="7F7F7F"/>
              <w:right w:val="single" w:sz="4" w:space="0" w:color="7F7F7F"/>
            </w:tcBorders>
            <w:shd w:val="clear" w:color="auto" w:fill="BFBFBF"/>
          </w:tcPr>
          <w:p w14:paraId="1AED6172" w14:textId="77777777" w:rsidR="00897D6D" w:rsidRDefault="00897D6D">
            <w:pPr>
              <w:spacing w:line="259" w:lineRule="auto"/>
              <w:ind w:right="24"/>
              <w:jc w:val="center"/>
            </w:pPr>
            <w:r>
              <w:rPr>
                <w:rFonts w:ascii="Calibri" w:eastAsia="Calibri" w:hAnsi="Calibri" w:cs="Calibri"/>
              </w:rPr>
              <w:t>☐</w:t>
            </w:r>
          </w:p>
        </w:tc>
        <w:tc>
          <w:tcPr>
            <w:tcW w:w="1023" w:type="dxa"/>
            <w:tcBorders>
              <w:top w:val="single" w:sz="4" w:space="0" w:color="7F7F7F"/>
              <w:left w:val="single" w:sz="4" w:space="0" w:color="7F7F7F"/>
              <w:bottom w:val="single" w:sz="4" w:space="0" w:color="7F7F7F"/>
              <w:right w:val="single" w:sz="4" w:space="0" w:color="7F7F7F"/>
            </w:tcBorders>
            <w:shd w:val="clear" w:color="auto" w:fill="BFBFBF"/>
          </w:tcPr>
          <w:p w14:paraId="1FC0115B" w14:textId="77777777" w:rsidR="00897D6D" w:rsidRDefault="00897D6D">
            <w:pPr>
              <w:spacing w:line="259" w:lineRule="auto"/>
              <w:ind w:right="24"/>
              <w:jc w:val="center"/>
            </w:pPr>
            <w:r>
              <w:t>X</w:t>
            </w:r>
          </w:p>
        </w:tc>
      </w:tr>
      <w:tr w:rsidR="00897D6D" w14:paraId="1937B325" w14:textId="77777777">
        <w:trPr>
          <w:trHeight w:val="430"/>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4923CA29" w14:textId="77777777" w:rsidR="00897D6D" w:rsidRDefault="00897D6D">
            <w:pPr>
              <w:spacing w:line="259" w:lineRule="auto"/>
              <w:ind w:left="134"/>
            </w:pPr>
            <w:r>
              <w:t>6</w:t>
            </w:r>
          </w:p>
        </w:tc>
        <w:tc>
          <w:tcPr>
            <w:tcW w:w="7883" w:type="dxa"/>
            <w:tcBorders>
              <w:top w:val="single" w:sz="4" w:space="0" w:color="7F7F7F"/>
              <w:left w:val="single" w:sz="4" w:space="0" w:color="7F7F7F"/>
              <w:bottom w:val="single" w:sz="4" w:space="0" w:color="7F7F7F"/>
              <w:right w:val="single" w:sz="4" w:space="0" w:color="7F7F7F"/>
            </w:tcBorders>
            <w:shd w:val="clear" w:color="auto" w:fill="F2F2F2"/>
          </w:tcPr>
          <w:p w14:paraId="7D0F6813" w14:textId="77777777" w:rsidR="00897D6D" w:rsidRDefault="00897D6D">
            <w:pPr>
              <w:spacing w:line="259" w:lineRule="auto"/>
            </w:pPr>
            <w:r>
              <w:t>University computers?</w:t>
            </w:r>
          </w:p>
        </w:tc>
        <w:tc>
          <w:tcPr>
            <w:tcW w:w="989" w:type="dxa"/>
            <w:tcBorders>
              <w:top w:val="single" w:sz="4" w:space="0" w:color="7F7F7F"/>
              <w:left w:val="single" w:sz="4" w:space="0" w:color="7F7F7F"/>
              <w:bottom w:val="single" w:sz="4" w:space="0" w:color="7F7F7F"/>
              <w:right w:val="single" w:sz="4" w:space="0" w:color="7F7F7F"/>
            </w:tcBorders>
            <w:shd w:val="clear" w:color="auto" w:fill="BFBFBF"/>
          </w:tcPr>
          <w:p w14:paraId="5318914B" w14:textId="77777777" w:rsidR="00897D6D" w:rsidRDefault="00897D6D">
            <w:pPr>
              <w:spacing w:line="259" w:lineRule="auto"/>
              <w:ind w:right="24"/>
              <w:jc w:val="center"/>
            </w:pPr>
            <w:r>
              <w:rPr>
                <w:rFonts w:ascii="Calibri" w:eastAsia="Calibri" w:hAnsi="Calibri" w:cs="Calibri"/>
              </w:rPr>
              <w:t>☐</w:t>
            </w:r>
          </w:p>
        </w:tc>
        <w:tc>
          <w:tcPr>
            <w:tcW w:w="1023" w:type="dxa"/>
            <w:tcBorders>
              <w:top w:val="single" w:sz="4" w:space="0" w:color="7F7F7F"/>
              <w:left w:val="single" w:sz="4" w:space="0" w:color="7F7F7F"/>
              <w:bottom w:val="single" w:sz="4" w:space="0" w:color="7F7F7F"/>
              <w:right w:val="single" w:sz="4" w:space="0" w:color="7F7F7F"/>
            </w:tcBorders>
            <w:shd w:val="clear" w:color="auto" w:fill="BFBFBF"/>
          </w:tcPr>
          <w:p w14:paraId="708AD5C4" w14:textId="77777777" w:rsidR="00897D6D" w:rsidRDefault="00897D6D">
            <w:pPr>
              <w:spacing w:line="259" w:lineRule="auto"/>
              <w:ind w:right="24"/>
              <w:jc w:val="center"/>
            </w:pPr>
            <w:r>
              <w:rPr>
                <w:rFonts w:ascii="Arial" w:eastAsia="Arial" w:hAnsi="Arial" w:cs="Arial"/>
                <w:b/>
              </w:rPr>
              <w:t>X</w:t>
            </w:r>
          </w:p>
        </w:tc>
      </w:tr>
    </w:tbl>
    <w:p w14:paraId="08E05E59" w14:textId="77777777" w:rsidR="00897D6D" w:rsidRDefault="00897D6D">
      <w:pPr>
        <w:spacing w:after="3" w:line="259" w:lineRule="auto"/>
        <w:ind w:left="-5"/>
      </w:pPr>
      <w:r>
        <w:rPr>
          <w:rFonts w:ascii="Arial" w:eastAsia="Arial" w:hAnsi="Arial" w:cs="Arial"/>
          <w:b/>
        </w:rPr>
        <w:t xml:space="preserve">SECTION H: Data Protection and Storage </w:t>
      </w:r>
    </w:p>
    <w:tbl>
      <w:tblPr>
        <w:tblStyle w:val="TableGrid"/>
        <w:tblW w:w="10456" w:type="dxa"/>
        <w:tblInd w:w="5" w:type="dxa"/>
        <w:tblCellMar>
          <w:top w:w="72" w:type="dxa"/>
          <w:left w:w="85" w:type="dxa"/>
          <w:bottom w:w="85" w:type="dxa"/>
          <w:right w:w="115" w:type="dxa"/>
        </w:tblCellMar>
        <w:tblLook w:val="04A0" w:firstRow="1" w:lastRow="0" w:firstColumn="1" w:lastColumn="0" w:noHBand="0" w:noVBand="1"/>
      </w:tblPr>
      <w:tblGrid>
        <w:gridCol w:w="565"/>
        <w:gridCol w:w="7879"/>
        <w:gridCol w:w="989"/>
        <w:gridCol w:w="1023"/>
      </w:tblGrid>
      <w:tr w:rsidR="00897D6D" w14:paraId="160C7E8D" w14:textId="77777777">
        <w:trPr>
          <w:trHeight w:val="883"/>
        </w:trPr>
        <w:tc>
          <w:tcPr>
            <w:tcW w:w="565" w:type="dxa"/>
            <w:tcBorders>
              <w:top w:val="single" w:sz="4" w:space="0" w:color="7F7F7F"/>
              <w:left w:val="single" w:sz="4" w:space="0" w:color="7F7F7F"/>
              <w:bottom w:val="single" w:sz="4" w:space="0" w:color="7F7F7F"/>
              <w:right w:val="single" w:sz="4" w:space="0" w:color="7F7F7F"/>
            </w:tcBorders>
          </w:tcPr>
          <w:p w14:paraId="22902FE3" w14:textId="77777777" w:rsidR="00897D6D" w:rsidRDefault="00897D6D">
            <w:pPr>
              <w:spacing w:after="160" w:line="259" w:lineRule="auto"/>
            </w:pPr>
          </w:p>
        </w:tc>
        <w:tc>
          <w:tcPr>
            <w:tcW w:w="7880" w:type="dxa"/>
            <w:tcBorders>
              <w:top w:val="single" w:sz="4" w:space="0" w:color="7F7F7F"/>
              <w:left w:val="single" w:sz="4" w:space="0" w:color="7F7F7F"/>
              <w:bottom w:val="single" w:sz="4" w:space="0" w:color="7F7F7F"/>
              <w:right w:val="single" w:sz="4" w:space="0" w:color="7F7F7F"/>
            </w:tcBorders>
            <w:shd w:val="clear" w:color="auto" w:fill="F2F2F2"/>
          </w:tcPr>
          <w:p w14:paraId="1089C9BF" w14:textId="77777777" w:rsidR="00897D6D" w:rsidRDefault="00897D6D">
            <w:pPr>
              <w:spacing w:line="259" w:lineRule="auto"/>
            </w:pPr>
            <w:r>
              <w:t xml:space="preserve">Does the research activity involve personal data (as defined by the General </w:t>
            </w:r>
          </w:p>
          <w:p w14:paraId="110D534C" w14:textId="77777777" w:rsidR="00897D6D" w:rsidRDefault="00897D6D">
            <w:pPr>
              <w:spacing w:line="259" w:lineRule="auto"/>
            </w:pPr>
            <w:r>
              <w:t>Data Protection Regulation 2016 “GDPR” and the Data Protection Act 2018 “DPA”)?</w:t>
            </w:r>
          </w:p>
        </w:tc>
        <w:tc>
          <w:tcPr>
            <w:tcW w:w="989"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74132D9" w14:textId="77777777" w:rsidR="00897D6D" w:rsidRDefault="00897D6D">
            <w:pPr>
              <w:spacing w:line="259" w:lineRule="auto"/>
              <w:ind w:left="189"/>
            </w:pPr>
            <w:r>
              <w:rPr>
                <w:rFonts w:ascii="Arial" w:eastAsia="Arial" w:hAnsi="Arial" w:cs="Arial"/>
                <w:b/>
              </w:rPr>
              <w:t>YES</w:t>
            </w:r>
          </w:p>
        </w:tc>
        <w:tc>
          <w:tcPr>
            <w:tcW w:w="102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B487711" w14:textId="77777777" w:rsidR="00897D6D" w:rsidRDefault="00897D6D">
            <w:pPr>
              <w:spacing w:line="259" w:lineRule="auto"/>
              <w:ind w:left="30"/>
              <w:jc w:val="center"/>
            </w:pPr>
            <w:r>
              <w:rPr>
                <w:rFonts w:ascii="Arial" w:eastAsia="Arial" w:hAnsi="Arial" w:cs="Arial"/>
                <w:b/>
              </w:rPr>
              <w:t>NO</w:t>
            </w:r>
          </w:p>
        </w:tc>
      </w:tr>
      <w:tr w:rsidR="00897D6D" w14:paraId="588A26A2" w14:textId="77777777">
        <w:trPr>
          <w:trHeight w:val="2323"/>
        </w:trPr>
        <w:tc>
          <w:tcPr>
            <w:tcW w:w="565"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85FA39D" w14:textId="77777777" w:rsidR="00897D6D" w:rsidRDefault="00897D6D">
            <w:pPr>
              <w:spacing w:line="259" w:lineRule="auto"/>
              <w:ind w:left="136"/>
            </w:pPr>
            <w:r>
              <w:t>1</w:t>
            </w:r>
          </w:p>
        </w:tc>
        <w:tc>
          <w:tcPr>
            <w:tcW w:w="7880" w:type="dxa"/>
            <w:tcBorders>
              <w:top w:val="single" w:sz="4" w:space="0" w:color="7F7F7F"/>
              <w:left w:val="single" w:sz="4" w:space="0" w:color="7F7F7F"/>
              <w:bottom w:val="single" w:sz="4" w:space="0" w:color="7F7F7F"/>
              <w:right w:val="single" w:sz="4" w:space="0" w:color="7F7F7F"/>
            </w:tcBorders>
            <w:shd w:val="clear" w:color="auto" w:fill="F2F2F2"/>
          </w:tcPr>
          <w:p w14:paraId="0814A750" w14:textId="77777777" w:rsidR="00897D6D" w:rsidRDefault="00897D6D">
            <w:pPr>
              <w:spacing w:line="259" w:lineRule="auto"/>
              <w:ind w:left="567" w:right="480"/>
            </w:pPr>
            <w:r>
              <w:rPr>
                <w:rFonts w:ascii="Arial" w:eastAsia="Arial" w:hAnsi="Arial" w:cs="Arial"/>
                <w:b/>
                <w:i/>
              </w:rPr>
              <w:t>“Personal data”</w:t>
            </w:r>
            <w:r>
              <w:rPr>
                <w:rFonts w:ascii="Arial" w:eastAsia="Arial" w:hAnsi="Arial" w:cs="Arial"/>
                <w:i/>
              </w:rPr>
              <w:t xml:space="preserve"> </w:t>
            </w:r>
            <w:r>
              <w:rPr>
                <w:rFonts w:ascii="Arial" w:eastAsia="Arial" w:hAnsi="Arial" w:cs="Arial"/>
                <w:i/>
                <w:color w:val="333333"/>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eastAsia="Arial" w:hAnsi="Arial" w:cs="Arial"/>
                <w:i/>
                <w:color w:val="333333"/>
              </w:rPr>
              <w:t>is considered to be</w:t>
            </w:r>
            <w:proofErr w:type="gramEnd"/>
            <w:r>
              <w:rPr>
                <w:rFonts w:ascii="Arial" w:eastAsia="Arial" w:hAnsi="Arial" w:cs="Arial"/>
                <w:i/>
                <w:color w:val="333333"/>
              </w:rPr>
              <w:t xml:space="preserve"> personal data.</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B63637C" w14:textId="77777777" w:rsidR="00897D6D" w:rsidRDefault="00897D6D">
            <w:pPr>
              <w:spacing w:line="259" w:lineRule="auto"/>
              <w:ind w:left="30"/>
              <w:jc w:val="center"/>
            </w:pPr>
            <w:r>
              <w:rPr>
                <w:rFonts w:ascii="Arial" w:eastAsia="Arial" w:hAnsi="Arial" w:cs="Arial"/>
                <w:b/>
              </w:rPr>
              <w:t>X</w:t>
            </w:r>
          </w:p>
        </w:tc>
        <w:tc>
          <w:tcPr>
            <w:tcW w:w="102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EEC4118" w14:textId="77777777" w:rsidR="00897D6D" w:rsidRDefault="00897D6D">
            <w:pPr>
              <w:spacing w:line="259" w:lineRule="auto"/>
              <w:ind w:left="30"/>
              <w:jc w:val="center"/>
            </w:pPr>
            <w:r>
              <w:rPr>
                <w:rFonts w:ascii="Calibri" w:eastAsia="Calibri" w:hAnsi="Calibri" w:cs="Calibri"/>
              </w:rPr>
              <w:t>☐</w:t>
            </w:r>
          </w:p>
        </w:tc>
      </w:tr>
      <w:tr w:rsidR="00897D6D" w14:paraId="6BB4BFD8" w14:textId="77777777">
        <w:trPr>
          <w:trHeight w:val="413"/>
        </w:trPr>
        <w:tc>
          <w:tcPr>
            <w:tcW w:w="565" w:type="dxa"/>
            <w:tcBorders>
              <w:top w:val="single" w:sz="4" w:space="0" w:color="7F7F7F"/>
              <w:left w:val="single" w:sz="4" w:space="0" w:color="7F7F7F"/>
              <w:bottom w:val="single" w:sz="4" w:space="0" w:color="7F7F7F"/>
              <w:right w:val="single" w:sz="4" w:space="0" w:color="7F7F7F"/>
            </w:tcBorders>
          </w:tcPr>
          <w:p w14:paraId="46F90ACA" w14:textId="77777777" w:rsidR="00897D6D" w:rsidRDefault="00897D6D">
            <w:pPr>
              <w:spacing w:after="160" w:line="259" w:lineRule="auto"/>
            </w:pPr>
          </w:p>
        </w:tc>
        <w:tc>
          <w:tcPr>
            <w:tcW w:w="9891" w:type="dxa"/>
            <w:gridSpan w:val="3"/>
            <w:tcBorders>
              <w:top w:val="single" w:sz="4" w:space="0" w:color="7F7F7F"/>
              <w:left w:val="single" w:sz="4" w:space="0" w:color="7F7F7F"/>
              <w:bottom w:val="single" w:sz="4" w:space="0" w:color="7F7F7F"/>
              <w:right w:val="single" w:sz="4" w:space="0" w:color="7F7F7F"/>
            </w:tcBorders>
            <w:shd w:val="clear" w:color="auto" w:fill="F2F2F2"/>
          </w:tcPr>
          <w:p w14:paraId="5B1FBD79" w14:textId="77777777" w:rsidR="00897D6D" w:rsidRDefault="00897D6D">
            <w:pPr>
              <w:spacing w:line="259" w:lineRule="auto"/>
            </w:pPr>
            <w:r>
              <w:t>If YES, provide a</w:t>
            </w:r>
            <w:r>
              <w:rPr>
                <w:rFonts w:ascii="Arial" w:eastAsia="Arial" w:hAnsi="Arial" w:cs="Arial"/>
                <w:b/>
              </w:rPr>
              <w:t xml:space="preserve"> </w:t>
            </w:r>
            <w:r>
              <w:t>description of the data and explain why this data needs to be collected:</w:t>
            </w:r>
          </w:p>
        </w:tc>
      </w:tr>
      <w:tr w:rsidR="00897D6D" w14:paraId="23B30B58" w14:textId="77777777">
        <w:trPr>
          <w:trHeight w:val="904"/>
        </w:trPr>
        <w:tc>
          <w:tcPr>
            <w:tcW w:w="565" w:type="dxa"/>
            <w:tcBorders>
              <w:top w:val="single" w:sz="4" w:space="0" w:color="7F7F7F"/>
              <w:left w:val="single" w:sz="4" w:space="0" w:color="7F7F7F"/>
              <w:bottom w:val="single" w:sz="4" w:space="0" w:color="7F7F7F"/>
              <w:right w:val="single" w:sz="4" w:space="0" w:color="7F7F7F"/>
            </w:tcBorders>
            <w:vAlign w:val="center"/>
          </w:tcPr>
          <w:p w14:paraId="1030A919" w14:textId="77777777" w:rsidR="00897D6D" w:rsidRDefault="00897D6D">
            <w:pPr>
              <w:spacing w:line="259" w:lineRule="auto"/>
              <w:ind w:left="136"/>
            </w:pPr>
            <w:r>
              <w:t>2</w:t>
            </w:r>
          </w:p>
        </w:tc>
        <w:tc>
          <w:tcPr>
            <w:tcW w:w="9891" w:type="dxa"/>
            <w:gridSpan w:val="3"/>
            <w:tcBorders>
              <w:top w:val="single" w:sz="4" w:space="0" w:color="7F7F7F"/>
              <w:left w:val="single" w:sz="4" w:space="0" w:color="7F7F7F"/>
              <w:bottom w:val="single" w:sz="4" w:space="0" w:color="7F7F7F"/>
              <w:right w:val="single" w:sz="4" w:space="0" w:color="7F7F7F"/>
            </w:tcBorders>
          </w:tcPr>
          <w:p w14:paraId="35D3DFA7" w14:textId="77777777" w:rsidR="00897D6D" w:rsidRDefault="00897D6D">
            <w:pPr>
              <w:spacing w:after="158" w:line="259" w:lineRule="auto"/>
            </w:pPr>
            <w:r>
              <w:rPr>
                <w:rFonts w:ascii="Times New Roman" w:eastAsia="Times New Roman" w:hAnsi="Times New Roman" w:cs="Times New Roman"/>
                <w:sz w:val="24"/>
              </w:rPr>
              <w:t xml:space="preserve">Audio recordings, interview transcripts, consent forms, pseudonymised thematic notes. </w:t>
            </w:r>
          </w:p>
          <w:p w14:paraId="1C37CCA8" w14:textId="77777777" w:rsidR="00897D6D" w:rsidRDefault="00897D6D">
            <w:pPr>
              <w:spacing w:line="259" w:lineRule="auto"/>
            </w:pPr>
            <w:r>
              <w:rPr>
                <w:rFonts w:ascii="Arial" w:eastAsia="Arial" w:hAnsi="Arial" w:cs="Arial"/>
                <w:i/>
                <w:color w:val="808080"/>
                <w:sz w:val="18"/>
              </w:rPr>
              <w:t>(this box should expand as you type)</w:t>
            </w:r>
          </w:p>
        </w:tc>
      </w:tr>
      <w:tr w:rsidR="00897D6D" w14:paraId="7CF2F0D4" w14:textId="77777777">
        <w:trPr>
          <w:trHeight w:val="413"/>
        </w:trPr>
        <w:tc>
          <w:tcPr>
            <w:tcW w:w="565" w:type="dxa"/>
            <w:tcBorders>
              <w:top w:val="single" w:sz="4" w:space="0" w:color="7F7F7F"/>
              <w:left w:val="single" w:sz="4" w:space="0" w:color="7F7F7F"/>
              <w:bottom w:val="single" w:sz="4" w:space="0" w:color="7F7F7F"/>
              <w:right w:val="single" w:sz="4" w:space="0" w:color="7F7F7F"/>
            </w:tcBorders>
          </w:tcPr>
          <w:p w14:paraId="26C6FF4B" w14:textId="77777777" w:rsidR="00897D6D" w:rsidRDefault="00897D6D">
            <w:pPr>
              <w:spacing w:after="160" w:line="259" w:lineRule="auto"/>
            </w:pPr>
          </w:p>
        </w:tc>
        <w:tc>
          <w:tcPr>
            <w:tcW w:w="7880" w:type="dxa"/>
            <w:tcBorders>
              <w:top w:val="single" w:sz="4" w:space="0" w:color="7F7F7F"/>
              <w:left w:val="single" w:sz="4" w:space="0" w:color="7F7F7F"/>
              <w:bottom w:val="single" w:sz="4" w:space="0" w:color="7F7F7F"/>
              <w:right w:val="single" w:sz="4" w:space="0" w:color="7F7F7F"/>
            </w:tcBorders>
            <w:shd w:val="clear" w:color="auto" w:fill="F2F2F2"/>
          </w:tcPr>
          <w:p w14:paraId="3B3CAF4C" w14:textId="77777777" w:rsidR="00897D6D" w:rsidRDefault="00897D6D">
            <w:pPr>
              <w:spacing w:line="259" w:lineRule="auto"/>
            </w:pPr>
            <w:r>
              <w:t>Does it involve special category data (as defined by the GDPR)?</w:t>
            </w:r>
          </w:p>
        </w:tc>
        <w:tc>
          <w:tcPr>
            <w:tcW w:w="989" w:type="dxa"/>
            <w:tcBorders>
              <w:top w:val="single" w:sz="4" w:space="0" w:color="7F7F7F"/>
              <w:left w:val="single" w:sz="4" w:space="0" w:color="7F7F7F"/>
              <w:bottom w:val="single" w:sz="4" w:space="0" w:color="7F7F7F"/>
              <w:right w:val="single" w:sz="4" w:space="0" w:color="7F7F7F"/>
            </w:tcBorders>
            <w:shd w:val="clear" w:color="auto" w:fill="F2F2F2"/>
          </w:tcPr>
          <w:p w14:paraId="221DC24A" w14:textId="77777777" w:rsidR="00897D6D" w:rsidRDefault="00897D6D">
            <w:pPr>
              <w:spacing w:line="259" w:lineRule="auto"/>
              <w:ind w:left="189"/>
            </w:pPr>
            <w:r>
              <w:rPr>
                <w:rFonts w:ascii="Arial" w:eastAsia="Arial" w:hAnsi="Arial" w:cs="Arial"/>
                <w:b/>
              </w:rPr>
              <w:t>YES</w:t>
            </w:r>
          </w:p>
        </w:tc>
        <w:tc>
          <w:tcPr>
            <w:tcW w:w="1023" w:type="dxa"/>
            <w:tcBorders>
              <w:top w:val="single" w:sz="4" w:space="0" w:color="7F7F7F"/>
              <w:left w:val="single" w:sz="4" w:space="0" w:color="7F7F7F"/>
              <w:bottom w:val="single" w:sz="4" w:space="0" w:color="7F7F7F"/>
              <w:right w:val="single" w:sz="4" w:space="0" w:color="7F7F7F"/>
            </w:tcBorders>
            <w:shd w:val="clear" w:color="auto" w:fill="F2F2F2"/>
          </w:tcPr>
          <w:p w14:paraId="6AB355E4" w14:textId="77777777" w:rsidR="00897D6D" w:rsidRDefault="00897D6D">
            <w:pPr>
              <w:spacing w:line="259" w:lineRule="auto"/>
              <w:ind w:left="30"/>
              <w:jc w:val="center"/>
            </w:pPr>
            <w:r>
              <w:rPr>
                <w:rFonts w:ascii="Arial" w:eastAsia="Arial" w:hAnsi="Arial" w:cs="Arial"/>
                <w:b/>
              </w:rPr>
              <w:t>NO</w:t>
            </w:r>
          </w:p>
        </w:tc>
      </w:tr>
      <w:tr w:rsidR="00897D6D" w14:paraId="71FAD01B" w14:textId="77777777">
        <w:trPr>
          <w:trHeight w:val="2583"/>
        </w:trPr>
        <w:tc>
          <w:tcPr>
            <w:tcW w:w="565"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F0DEF87" w14:textId="77777777" w:rsidR="00897D6D" w:rsidRDefault="00897D6D">
            <w:pPr>
              <w:spacing w:line="259" w:lineRule="auto"/>
              <w:ind w:left="30"/>
              <w:jc w:val="center"/>
            </w:pPr>
            <w:r>
              <w:rPr>
                <w:sz w:val="20"/>
              </w:rPr>
              <w:t>3</w:t>
            </w:r>
          </w:p>
        </w:tc>
        <w:tc>
          <w:tcPr>
            <w:tcW w:w="7880" w:type="dxa"/>
            <w:tcBorders>
              <w:top w:val="single" w:sz="4" w:space="0" w:color="7F7F7F"/>
              <w:left w:val="single" w:sz="4" w:space="0" w:color="7F7F7F"/>
              <w:bottom w:val="single" w:sz="4" w:space="0" w:color="7F7F7F"/>
              <w:right w:val="single" w:sz="4" w:space="0" w:color="7F7F7F"/>
            </w:tcBorders>
            <w:shd w:val="clear" w:color="auto" w:fill="F2F2F2"/>
          </w:tcPr>
          <w:p w14:paraId="24AAC0EC" w14:textId="77777777" w:rsidR="00897D6D" w:rsidRDefault="00897D6D">
            <w:pPr>
              <w:spacing w:after="4" w:line="222" w:lineRule="auto"/>
              <w:ind w:left="567" w:right="931"/>
            </w:pPr>
            <w:r>
              <w:rPr>
                <w:rFonts w:ascii="Arial" w:eastAsia="Arial" w:hAnsi="Arial" w:cs="Arial"/>
                <w:b/>
                <w:i/>
                <w:sz w:val="20"/>
              </w:rPr>
              <w:t>“Special category data”</w:t>
            </w:r>
            <w:r>
              <w:rPr>
                <w:rFonts w:ascii="Arial" w:eastAsia="Arial" w:hAnsi="Arial" w:cs="Arial"/>
                <w:i/>
                <w:sz w:val="20"/>
              </w:rPr>
              <w:t xml:space="preserve"> means sensitive personal data consisting of information as to the data subjects’ –</w:t>
            </w:r>
            <w:r>
              <w:rPr>
                <w:rFonts w:ascii="Times New Roman" w:eastAsia="Times New Roman" w:hAnsi="Times New Roman" w:cs="Times New Roman"/>
                <w:sz w:val="24"/>
              </w:rPr>
              <w:t xml:space="preserve"> </w:t>
            </w:r>
            <w:r>
              <w:rPr>
                <w:rFonts w:ascii="Arial" w:eastAsia="Arial" w:hAnsi="Arial" w:cs="Arial"/>
                <w:i/>
                <w:sz w:val="20"/>
              </w:rPr>
              <w:t>(a) racial or ethnic origin,</w:t>
            </w:r>
            <w:r>
              <w:rPr>
                <w:rFonts w:ascii="Times New Roman" w:eastAsia="Times New Roman" w:hAnsi="Times New Roman" w:cs="Times New Roman"/>
                <w:sz w:val="24"/>
              </w:rPr>
              <w:t xml:space="preserve"> </w:t>
            </w:r>
          </w:p>
          <w:p w14:paraId="45B7DE06" w14:textId="77777777" w:rsidR="00897D6D" w:rsidRDefault="00897D6D">
            <w:pPr>
              <w:spacing w:line="259" w:lineRule="auto"/>
              <w:ind w:left="1134"/>
            </w:pPr>
            <w:r>
              <w:rPr>
                <w:rFonts w:ascii="Arial" w:eastAsia="Arial" w:hAnsi="Arial" w:cs="Arial"/>
                <w:i/>
                <w:sz w:val="20"/>
              </w:rPr>
              <w:t>(b) political opinions,</w:t>
            </w:r>
            <w:r>
              <w:rPr>
                <w:rFonts w:ascii="Times New Roman" w:eastAsia="Times New Roman" w:hAnsi="Times New Roman" w:cs="Times New Roman"/>
                <w:sz w:val="24"/>
              </w:rPr>
              <w:t xml:space="preserve"> </w:t>
            </w:r>
          </w:p>
          <w:p w14:paraId="39CD602D" w14:textId="77777777" w:rsidR="00897D6D" w:rsidRDefault="00897D6D">
            <w:pPr>
              <w:spacing w:line="259" w:lineRule="auto"/>
              <w:ind w:left="1134"/>
            </w:pPr>
            <w:r>
              <w:rPr>
                <w:rFonts w:ascii="Arial" w:eastAsia="Arial" w:hAnsi="Arial" w:cs="Arial"/>
                <w:i/>
                <w:sz w:val="20"/>
              </w:rPr>
              <w:t>(</w:t>
            </w:r>
            <w:proofErr w:type="gramStart"/>
            <w:r>
              <w:rPr>
                <w:rFonts w:ascii="Arial" w:eastAsia="Arial" w:hAnsi="Arial" w:cs="Arial"/>
                <w:i/>
                <w:sz w:val="20"/>
              </w:rPr>
              <w:t>c )</w:t>
            </w:r>
            <w:proofErr w:type="gramEnd"/>
            <w:r>
              <w:rPr>
                <w:rFonts w:ascii="Arial" w:eastAsia="Arial" w:hAnsi="Arial" w:cs="Arial"/>
                <w:i/>
                <w:sz w:val="20"/>
              </w:rPr>
              <w:t xml:space="preserve"> religious beliefs or other beliefs of a similar nature,</w:t>
            </w:r>
            <w:r>
              <w:rPr>
                <w:rFonts w:ascii="Times New Roman" w:eastAsia="Times New Roman" w:hAnsi="Times New Roman" w:cs="Times New Roman"/>
                <w:sz w:val="24"/>
              </w:rPr>
              <w:t xml:space="preserve"> </w:t>
            </w:r>
          </w:p>
          <w:p w14:paraId="16EF6994" w14:textId="77777777" w:rsidR="00897D6D" w:rsidRDefault="00897D6D">
            <w:pPr>
              <w:numPr>
                <w:ilvl w:val="0"/>
                <w:numId w:val="9"/>
              </w:numPr>
              <w:spacing w:after="4" w:line="259" w:lineRule="auto"/>
              <w:ind w:hanging="300"/>
            </w:pPr>
            <w:r>
              <w:rPr>
                <w:rFonts w:ascii="Arial" w:eastAsia="Arial" w:hAnsi="Arial" w:cs="Arial"/>
                <w:i/>
                <w:sz w:val="20"/>
              </w:rPr>
              <w:t xml:space="preserve">membership of a trade union (within the meaning of the Trade </w:t>
            </w:r>
          </w:p>
          <w:p w14:paraId="79B21453" w14:textId="77777777" w:rsidR="00897D6D" w:rsidRDefault="00897D6D">
            <w:pPr>
              <w:spacing w:line="259" w:lineRule="auto"/>
              <w:ind w:left="1134"/>
            </w:pPr>
            <w:r>
              <w:rPr>
                <w:rFonts w:ascii="Arial" w:eastAsia="Arial" w:hAnsi="Arial" w:cs="Arial"/>
                <w:i/>
                <w:sz w:val="20"/>
              </w:rPr>
              <w:t>Union and Labour Relations (Consolidation) Act 1992),</w:t>
            </w:r>
            <w:r>
              <w:rPr>
                <w:rFonts w:ascii="Times New Roman" w:eastAsia="Times New Roman" w:hAnsi="Times New Roman" w:cs="Times New Roman"/>
                <w:sz w:val="24"/>
              </w:rPr>
              <w:t xml:space="preserve"> </w:t>
            </w:r>
          </w:p>
          <w:p w14:paraId="3FC2B1E2" w14:textId="77777777" w:rsidR="00897D6D" w:rsidRDefault="00897D6D">
            <w:pPr>
              <w:numPr>
                <w:ilvl w:val="0"/>
                <w:numId w:val="9"/>
              </w:numPr>
              <w:spacing w:line="259" w:lineRule="auto"/>
              <w:ind w:hanging="300"/>
            </w:pPr>
            <w:r>
              <w:rPr>
                <w:rFonts w:ascii="Arial" w:eastAsia="Arial" w:hAnsi="Arial" w:cs="Arial"/>
                <w:i/>
                <w:sz w:val="20"/>
              </w:rPr>
              <w:t>physical or mental health or condition,</w:t>
            </w:r>
            <w:r>
              <w:rPr>
                <w:rFonts w:ascii="Times New Roman" w:eastAsia="Times New Roman" w:hAnsi="Times New Roman" w:cs="Times New Roman"/>
                <w:sz w:val="24"/>
              </w:rPr>
              <w:t xml:space="preserve"> </w:t>
            </w:r>
          </w:p>
          <w:p w14:paraId="2B2EFD00" w14:textId="77777777" w:rsidR="00897D6D" w:rsidRDefault="00897D6D">
            <w:pPr>
              <w:numPr>
                <w:ilvl w:val="0"/>
                <w:numId w:val="9"/>
              </w:numPr>
              <w:spacing w:line="259" w:lineRule="auto"/>
              <w:ind w:hanging="300"/>
            </w:pPr>
            <w:r>
              <w:rPr>
                <w:rFonts w:ascii="Arial" w:eastAsia="Arial" w:hAnsi="Arial" w:cs="Arial"/>
                <w:i/>
                <w:sz w:val="20"/>
              </w:rPr>
              <w:t>sexual life,</w:t>
            </w:r>
            <w:r>
              <w:rPr>
                <w:rFonts w:ascii="Times New Roman" w:eastAsia="Times New Roman" w:hAnsi="Times New Roman" w:cs="Times New Roman"/>
                <w:sz w:val="24"/>
              </w:rPr>
              <w:t xml:space="preserve"> </w:t>
            </w:r>
          </w:p>
          <w:p w14:paraId="44ACB0EE" w14:textId="77777777" w:rsidR="00897D6D" w:rsidRDefault="00897D6D">
            <w:pPr>
              <w:numPr>
                <w:ilvl w:val="0"/>
                <w:numId w:val="9"/>
              </w:numPr>
              <w:spacing w:line="259" w:lineRule="auto"/>
              <w:ind w:hanging="300"/>
            </w:pPr>
            <w:r>
              <w:rPr>
                <w:rFonts w:ascii="Arial" w:eastAsia="Arial" w:hAnsi="Arial" w:cs="Arial"/>
                <w:i/>
                <w:sz w:val="20"/>
              </w:rPr>
              <w:t>genetics,</w:t>
            </w:r>
            <w:r>
              <w:rPr>
                <w:rFonts w:ascii="Times New Roman" w:eastAsia="Times New Roman" w:hAnsi="Times New Roman" w:cs="Times New Roman"/>
                <w:sz w:val="24"/>
              </w:rPr>
              <w:t xml:space="preserve"> </w:t>
            </w:r>
          </w:p>
          <w:p w14:paraId="300C82B0" w14:textId="77777777" w:rsidR="00897D6D" w:rsidRDefault="00897D6D">
            <w:pPr>
              <w:numPr>
                <w:ilvl w:val="0"/>
                <w:numId w:val="9"/>
              </w:numPr>
              <w:spacing w:line="259" w:lineRule="auto"/>
              <w:ind w:hanging="300"/>
            </w:pPr>
            <w:r>
              <w:rPr>
                <w:rFonts w:ascii="Arial" w:eastAsia="Arial" w:hAnsi="Arial" w:cs="Arial"/>
                <w:i/>
                <w:sz w:val="20"/>
              </w:rPr>
              <w:t>biometric data (as used for ID purposes),</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bottom"/>
          </w:tcPr>
          <w:p w14:paraId="6AFE66D0" w14:textId="77777777" w:rsidR="00897D6D" w:rsidRDefault="00897D6D">
            <w:pPr>
              <w:spacing w:line="259" w:lineRule="auto"/>
              <w:ind w:left="30"/>
              <w:jc w:val="center"/>
            </w:pPr>
            <w:r>
              <w:rPr>
                <w:rFonts w:ascii="Calibri" w:eastAsia="Calibri" w:hAnsi="Calibri" w:cs="Calibri"/>
              </w:rPr>
              <w:t>☐</w:t>
            </w:r>
          </w:p>
        </w:tc>
        <w:tc>
          <w:tcPr>
            <w:tcW w:w="1023" w:type="dxa"/>
            <w:tcBorders>
              <w:top w:val="single" w:sz="4" w:space="0" w:color="7F7F7F"/>
              <w:left w:val="single" w:sz="4" w:space="0" w:color="7F7F7F"/>
              <w:bottom w:val="single" w:sz="4" w:space="0" w:color="7F7F7F"/>
              <w:right w:val="single" w:sz="4" w:space="0" w:color="7F7F7F"/>
            </w:tcBorders>
            <w:shd w:val="clear" w:color="auto" w:fill="BFBFBF"/>
            <w:vAlign w:val="bottom"/>
          </w:tcPr>
          <w:p w14:paraId="3CBB2157" w14:textId="77777777" w:rsidR="00897D6D" w:rsidRDefault="00897D6D">
            <w:pPr>
              <w:spacing w:line="259" w:lineRule="auto"/>
              <w:ind w:left="30"/>
              <w:jc w:val="center"/>
            </w:pPr>
            <w:r>
              <w:rPr>
                <w:rFonts w:ascii="Arial" w:eastAsia="Arial" w:hAnsi="Arial" w:cs="Arial"/>
                <w:b/>
              </w:rPr>
              <w:t>X</w:t>
            </w:r>
          </w:p>
        </w:tc>
      </w:tr>
      <w:tr w:rsidR="00897D6D" w14:paraId="166661A0" w14:textId="77777777">
        <w:trPr>
          <w:trHeight w:val="643"/>
        </w:trPr>
        <w:tc>
          <w:tcPr>
            <w:tcW w:w="565" w:type="dxa"/>
            <w:tcBorders>
              <w:top w:val="single" w:sz="4" w:space="0" w:color="7F7F7F"/>
              <w:left w:val="single" w:sz="4" w:space="0" w:color="7F7F7F"/>
              <w:bottom w:val="single" w:sz="4" w:space="0" w:color="7F7F7F"/>
              <w:right w:val="single" w:sz="4" w:space="0" w:color="7F7F7F"/>
            </w:tcBorders>
          </w:tcPr>
          <w:p w14:paraId="3E0EA348" w14:textId="77777777" w:rsidR="00897D6D" w:rsidRDefault="00897D6D">
            <w:pPr>
              <w:spacing w:after="160" w:line="259" w:lineRule="auto"/>
            </w:pPr>
          </w:p>
        </w:tc>
        <w:tc>
          <w:tcPr>
            <w:tcW w:w="9891" w:type="dxa"/>
            <w:gridSpan w:val="3"/>
            <w:tcBorders>
              <w:top w:val="single" w:sz="4" w:space="0" w:color="7F7F7F"/>
              <w:left w:val="single" w:sz="4" w:space="0" w:color="7F7F7F"/>
              <w:bottom w:val="single" w:sz="4" w:space="0" w:color="7F7F7F"/>
              <w:right w:val="single" w:sz="4" w:space="0" w:color="7F7F7F"/>
            </w:tcBorders>
            <w:shd w:val="clear" w:color="auto" w:fill="F2F2F2"/>
          </w:tcPr>
          <w:p w14:paraId="529AC437" w14:textId="77777777" w:rsidR="00897D6D" w:rsidRDefault="00897D6D">
            <w:pPr>
              <w:spacing w:line="259" w:lineRule="auto"/>
            </w:pPr>
            <w:r>
              <w:t>If YES, provide a</w:t>
            </w:r>
            <w:r>
              <w:rPr>
                <w:rFonts w:ascii="Arial" w:eastAsia="Arial" w:hAnsi="Arial" w:cs="Arial"/>
                <w:b/>
              </w:rPr>
              <w:t xml:space="preserve"> </w:t>
            </w:r>
            <w:r>
              <w:t>description of the special category data and explain why this data needs to be collected:</w:t>
            </w:r>
          </w:p>
        </w:tc>
      </w:tr>
      <w:tr w:rsidR="00897D6D" w14:paraId="2E6E8399" w14:textId="77777777">
        <w:trPr>
          <w:trHeight w:val="1564"/>
        </w:trPr>
        <w:tc>
          <w:tcPr>
            <w:tcW w:w="565" w:type="dxa"/>
            <w:tcBorders>
              <w:top w:val="single" w:sz="4" w:space="0" w:color="7F7F7F"/>
              <w:left w:val="single" w:sz="4" w:space="0" w:color="7F7F7F"/>
              <w:bottom w:val="single" w:sz="4" w:space="0" w:color="7F7F7F"/>
              <w:right w:val="single" w:sz="4" w:space="0" w:color="7F7F7F"/>
            </w:tcBorders>
            <w:vAlign w:val="center"/>
          </w:tcPr>
          <w:p w14:paraId="70BC0353" w14:textId="77777777" w:rsidR="00897D6D" w:rsidRDefault="00897D6D">
            <w:pPr>
              <w:spacing w:line="259" w:lineRule="auto"/>
              <w:ind w:left="136"/>
            </w:pPr>
            <w:r>
              <w:t>4</w:t>
            </w:r>
          </w:p>
        </w:tc>
        <w:tc>
          <w:tcPr>
            <w:tcW w:w="9891" w:type="dxa"/>
            <w:gridSpan w:val="3"/>
            <w:tcBorders>
              <w:top w:val="single" w:sz="4" w:space="0" w:color="7F7F7F"/>
              <w:left w:val="single" w:sz="4" w:space="0" w:color="7F7F7F"/>
              <w:bottom w:val="single" w:sz="4" w:space="0" w:color="7F7F7F"/>
              <w:right w:val="single" w:sz="4" w:space="0" w:color="7F7F7F"/>
            </w:tcBorders>
          </w:tcPr>
          <w:p w14:paraId="77D87CF0" w14:textId="77777777" w:rsidR="00897D6D" w:rsidRDefault="00897D6D">
            <w:pPr>
              <w:spacing w:after="676" w:line="224" w:lineRule="auto"/>
            </w:pPr>
            <w:r>
              <w:rPr>
                <w:color w:val="00B050"/>
              </w:rPr>
              <w:t>What counts as ‘sensitive’ will differ between cultures. Any information on behaviour that is not in accordance with cultural norms would count as sensitive personal data.</w:t>
            </w:r>
            <w:r>
              <w:rPr>
                <w:color w:val="00B050"/>
                <w:sz w:val="24"/>
              </w:rPr>
              <w:t xml:space="preserve"> </w:t>
            </w:r>
          </w:p>
          <w:p w14:paraId="473DF1B5" w14:textId="77777777" w:rsidR="00897D6D" w:rsidRDefault="00897D6D">
            <w:pPr>
              <w:spacing w:line="259" w:lineRule="auto"/>
            </w:pPr>
            <w:r>
              <w:rPr>
                <w:rFonts w:ascii="Arial" w:eastAsia="Arial" w:hAnsi="Arial" w:cs="Arial"/>
                <w:i/>
                <w:color w:val="808080"/>
                <w:sz w:val="18"/>
              </w:rPr>
              <w:t>(this box should expand as you type)</w:t>
            </w:r>
          </w:p>
        </w:tc>
      </w:tr>
    </w:tbl>
    <w:p w14:paraId="60BB4C10" w14:textId="77777777" w:rsidR="00897D6D" w:rsidRDefault="00897D6D">
      <w:pPr>
        <w:spacing w:after="0" w:line="259" w:lineRule="auto"/>
        <w:ind w:left="-720" w:right="30"/>
      </w:pPr>
    </w:p>
    <w:tbl>
      <w:tblPr>
        <w:tblStyle w:val="TableGrid"/>
        <w:tblW w:w="10456" w:type="dxa"/>
        <w:tblInd w:w="5" w:type="dxa"/>
        <w:tblCellMar>
          <w:top w:w="72" w:type="dxa"/>
          <w:left w:w="85" w:type="dxa"/>
          <w:right w:w="51" w:type="dxa"/>
        </w:tblCellMar>
        <w:tblLook w:val="04A0" w:firstRow="1" w:lastRow="0" w:firstColumn="1" w:lastColumn="0" w:noHBand="0" w:noVBand="1"/>
      </w:tblPr>
      <w:tblGrid>
        <w:gridCol w:w="560"/>
        <w:gridCol w:w="7884"/>
        <w:gridCol w:w="989"/>
        <w:gridCol w:w="1023"/>
      </w:tblGrid>
      <w:tr w:rsidR="00897D6D" w14:paraId="53B3A6E9" w14:textId="77777777">
        <w:trPr>
          <w:trHeight w:val="439"/>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0C61E698" w14:textId="77777777" w:rsidR="00897D6D" w:rsidRDefault="00897D6D">
            <w:pPr>
              <w:spacing w:line="259" w:lineRule="auto"/>
              <w:ind w:left="134"/>
            </w:pPr>
            <w:r>
              <w:t>7</w:t>
            </w:r>
          </w:p>
        </w:tc>
        <w:tc>
          <w:tcPr>
            <w:tcW w:w="7883" w:type="dxa"/>
            <w:tcBorders>
              <w:top w:val="single" w:sz="4" w:space="0" w:color="7F7F7F"/>
              <w:left w:val="single" w:sz="4" w:space="0" w:color="7F7F7F"/>
              <w:bottom w:val="single" w:sz="4" w:space="0" w:color="7F7F7F"/>
              <w:right w:val="single" w:sz="4" w:space="0" w:color="7F7F7F"/>
            </w:tcBorders>
            <w:shd w:val="clear" w:color="auto" w:fill="F2F2F2"/>
          </w:tcPr>
          <w:p w14:paraId="22D81476" w14:textId="77777777" w:rsidR="00897D6D" w:rsidRDefault="00897D6D">
            <w:pPr>
              <w:spacing w:line="259" w:lineRule="auto"/>
            </w:pPr>
            <w:r>
              <w:t>Private company computers?</w:t>
            </w:r>
          </w:p>
        </w:tc>
        <w:tc>
          <w:tcPr>
            <w:tcW w:w="989" w:type="dxa"/>
            <w:tcBorders>
              <w:top w:val="single" w:sz="4" w:space="0" w:color="7F7F7F"/>
              <w:left w:val="single" w:sz="4" w:space="0" w:color="7F7F7F"/>
              <w:bottom w:val="single" w:sz="4" w:space="0" w:color="7F7F7F"/>
              <w:right w:val="single" w:sz="4" w:space="0" w:color="7F7F7F"/>
            </w:tcBorders>
            <w:shd w:val="clear" w:color="auto" w:fill="BFBFBF"/>
          </w:tcPr>
          <w:p w14:paraId="5695B208" w14:textId="77777777" w:rsidR="00897D6D" w:rsidRDefault="00897D6D">
            <w:pPr>
              <w:spacing w:line="259" w:lineRule="auto"/>
              <w:ind w:left="30"/>
              <w:jc w:val="center"/>
            </w:pPr>
            <w:r>
              <w:rPr>
                <w:rFonts w:ascii="Calibri" w:eastAsia="Calibri" w:hAnsi="Calibri" w:cs="Calibri"/>
              </w:rPr>
              <w:t>☐</w:t>
            </w:r>
          </w:p>
        </w:tc>
        <w:tc>
          <w:tcPr>
            <w:tcW w:w="1023" w:type="dxa"/>
            <w:tcBorders>
              <w:top w:val="single" w:sz="4" w:space="0" w:color="7F7F7F"/>
              <w:left w:val="single" w:sz="4" w:space="0" w:color="7F7F7F"/>
              <w:bottom w:val="single" w:sz="4" w:space="0" w:color="7F7F7F"/>
              <w:right w:val="single" w:sz="4" w:space="0" w:color="7F7F7F"/>
            </w:tcBorders>
            <w:shd w:val="clear" w:color="auto" w:fill="BFBFBF"/>
          </w:tcPr>
          <w:p w14:paraId="47DBBB77" w14:textId="77777777" w:rsidR="00897D6D" w:rsidRDefault="00897D6D">
            <w:pPr>
              <w:spacing w:line="259" w:lineRule="auto"/>
              <w:ind w:left="30"/>
              <w:jc w:val="center"/>
            </w:pPr>
            <w:r>
              <w:rPr>
                <w:rFonts w:ascii="Arial" w:eastAsia="Arial" w:hAnsi="Arial" w:cs="Arial"/>
                <w:b/>
              </w:rPr>
              <w:t>X</w:t>
            </w:r>
          </w:p>
        </w:tc>
      </w:tr>
      <w:tr w:rsidR="00897D6D" w14:paraId="24195AB5" w14:textId="77777777">
        <w:trPr>
          <w:trHeight w:val="430"/>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2E171AF4" w14:textId="77777777" w:rsidR="00897D6D" w:rsidRDefault="00897D6D">
            <w:pPr>
              <w:spacing w:line="259" w:lineRule="auto"/>
              <w:ind w:left="134"/>
            </w:pPr>
            <w:r>
              <w:lastRenderedPageBreak/>
              <w:t>8</w:t>
            </w:r>
          </w:p>
        </w:tc>
        <w:tc>
          <w:tcPr>
            <w:tcW w:w="7883" w:type="dxa"/>
            <w:tcBorders>
              <w:top w:val="single" w:sz="4" w:space="0" w:color="7F7F7F"/>
              <w:left w:val="single" w:sz="4" w:space="0" w:color="7F7F7F"/>
              <w:bottom w:val="single" w:sz="4" w:space="0" w:color="7F7F7F"/>
              <w:right w:val="single" w:sz="4" w:space="0" w:color="7F7F7F"/>
            </w:tcBorders>
            <w:shd w:val="clear" w:color="auto" w:fill="F2F2F2"/>
          </w:tcPr>
          <w:p w14:paraId="4771C21B" w14:textId="77777777" w:rsidR="00897D6D" w:rsidRDefault="00897D6D">
            <w:pPr>
              <w:spacing w:line="259" w:lineRule="auto"/>
            </w:pPr>
            <w:r>
              <w:t>Home or other personal computers?</w:t>
            </w:r>
          </w:p>
        </w:tc>
        <w:tc>
          <w:tcPr>
            <w:tcW w:w="989" w:type="dxa"/>
            <w:tcBorders>
              <w:top w:val="single" w:sz="4" w:space="0" w:color="7F7F7F"/>
              <w:left w:val="single" w:sz="4" w:space="0" w:color="7F7F7F"/>
              <w:bottom w:val="single" w:sz="4" w:space="0" w:color="7F7F7F"/>
              <w:right w:val="single" w:sz="4" w:space="0" w:color="7F7F7F"/>
            </w:tcBorders>
            <w:shd w:val="clear" w:color="auto" w:fill="BFBFBF"/>
          </w:tcPr>
          <w:p w14:paraId="723059E0" w14:textId="77777777" w:rsidR="00897D6D" w:rsidRDefault="00897D6D">
            <w:pPr>
              <w:spacing w:line="259" w:lineRule="auto"/>
              <w:ind w:left="30"/>
              <w:jc w:val="center"/>
            </w:pPr>
            <w:r>
              <w:rPr>
                <w:rFonts w:ascii="Arial" w:eastAsia="Arial" w:hAnsi="Arial" w:cs="Arial"/>
                <w:b/>
              </w:rPr>
              <w:t>X</w:t>
            </w:r>
          </w:p>
        </w:tc>
        <w:tc>
          <w:tcPr>
            <w:tcW w:w="1023" w:type="dxa"/>
            <w:tcBorders>
              <w:top w:val="single" w:sz="4" w:space="0" w:color="7F7F7F"/>
              <w:left w:val="single" w:sz="4" w:space="0" w:color="7F7F7F"/>
              <w:bottom w:val="single" w:sz="4" w:space="0" w:color="7F7F7F"/>
              <w:right w:val="single" w:sz="4" w:space="0" w:color="7F7F7F"/>
            </w:tcBorders>
            <w:shd w:val="clear" w:color="auto" w:fill="BFBFBF"/>
          </w:tcPr>
          <w:p w14:paraId="43F4DEEF" w14:textId="77777777" w:rsidR="00897D6D" w:rsidRDefault="00897D6D">
            <w:pPr>
              <w:spacing w:line="259" w:lineRule="auto"/>
              <w:ind w:left="30"/>
              <w:jc w:val="center"/>
            </w:pPr>
            <w:r>
              <w:rPr>
                <w:rFonts w:ascii="Calibri" w:eastAsia="Calibri" w:hAnsi="Calibri" w:cs="Calibri"/>
              </w:rPr>
              <w:t>☐</w:t>
            </w:r>
          </w:p>
        </w:tc>
      </w:tr>
      <w:tr w:rsidR="00897D6D" w14:paraId="3161E9BE" w14:textId="77777777">
        <w:trPr>
          <w:trHeight w:val="430"/>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7BB98A19" w14:textId="77777777" w:rsidR="00897D6D" w:rsidRDefault="00897D6D">
            <w:pPr>
              <w:spacing w:line="259" w:lineRule="auto"/>
              <w:ind w:left="134"/>
            </w:pPr>
            <w:r>
              <w:t>9</w:t>
            </w:r>
          </w:p>
        </w:tc>
        <w:tc>
          <w:tcPr>
            <w:tcW w:w="7883" w:type="dxa"/>
            <w:tcBorders>
              <w:top w:val="single" w:sz="4" w:space="0" w:color="7F7F7F"/>
              <w:left w:val="single" w:sz="4" w:space="0" w:color="7F7F7F"/>
              <w:bottom w:val="single" w:sz="4" w:space="0" w:color="7F7F7F"/>
              <w:right w:val="single" w:sz="4" w:space="0" w:color="7F7F7F"/>
            </w:tcBorders>
            <w:shd w:val="clear" w:color="auto" w:fill="F2F2F2"/>
          </w:tcPr>
          <w:p w14:paraId="17F3D1B4" w14:textId="77777777" w:rsidR="00897D6D" w:rsidRDefault="00897D6D">
            <w:pPr>
              <w:spacing w:line="259" w:lineRule="auto"/>
            </w:pPr>
            <w:r>
              <w:t>Laptop computers/ CDs/ Portable disk-drives/ memory sticks?</w:t>
            </w:r>
          </w:p>
        </w:tc>
        <w:tc>
          <w:tcPr>
            <w:tcW w:w="989" w:type="dxa"/>
            <w:tcBorders>
              <w:top w:val="single" w:sz="4" w:space="0" w:color="7F7F7F"/>
              <w:left w:val="single" w:sz="4" w:space="0" w:color="7F7F7F"/>
              <w:bottom w:val="single" w:sz="4" w:space="0" w:color="7F7F7F"/>
              <w:right w:val="single" w:sz="4" w:space="0" w:color="7F7F7F"/>
            </w:tcBorders>
            <w:shd w:val="clear" w:color="auto" w:fill="BFBFBF"/>
          </w:tcPr>
          <w:p w14:paraId="7FC09A2A" w14:textId="77777777" w:rsidR="00897D6D" w:rsidRDefault="00897D6D">
            <w:pPr>
              <w:spacing w:line="259" w:lineRule="auto"/>
              <w:ind w:left="30"/>
              <w:jc w:val="center"/>
            </w:pPr>
            <w:r>
              <w:rPr>
                <w:rFonts w:ascii="Calibri" w:eastAsia="Calibri" w:hAnsi="Calibri" w:cs="Calibri"/>
              </w:rPr>
              <w:t>☐</w:t>
            </w:r>
          </w:p>
        </w:tc>
        <w:tc>
          <w:tcPr>
            <w:tcW w:w="1023" w:type="dxa"/>
            <w:tcBorders>
              <w:top w:val="single" w:sz="4" w:space="0" w:color="7F7F7F"/>
              <w:left w:val="single" w:sz="4" w:space="0" w:color="7F7F7F"/>
              <w:bottom w:val="single" w:sz="4" w:space="0" w:color="7F7F7F"/>
              <w:right w:val="single" w:sz="4" w:space="0" w:color="7F7F7F"/>
            </w:tcBorders>
            <w:shd w:val="clear" w:color="auto" w:fill="BFBFBF"/>
          </w:tcPr>
          <w:p w14:paraId="1AE72ACE" w14:textId="77777777" w:rsidR="00897D6D" w:rsidRDefault="00897D6D">
            <w:pPr>
              <w:spacing w:line="259" w:lineRule="auto"/>
              <w:ind w:left="30"/>
              <w:jc w:val="center"/>
            </w:pPr>
            <w:r>
              <w:rPr>
                <w:rFonts w:ascii="Arial" w:eastAsia="Arial" w:hAnsi="Arial" w:cs="Arial"/>
                <w:b/>
              </w:rPr>
              <w:t>X</w:t>
            </w:r>
          </w:p>
        </w:tc>
      </w:tr>
      <w:tr w:rsidR="00897D6D" w14:paraId="6D77024F" w14:textId="77777777">
        <w:trPr>
          <w:trHeight w:val="430"/>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1450EDC0" w14:textId="77777777" w:rsidR="00897D6D" w:rsidRDefault="00897D6D">
            <w:pPr>
              <w:spacing w:line="259" w:lineRule="auto"/>
              <w:ind w:left="73"/>
            </w:pPr>
            <w:r>
              <w:t>10</w:t>
            </w:r>
          </w:p>
        </w:tc>
        <w:tc>
          <w:tcPr>
            <w:tcW w:w="7883" w:type="dxa"/>
            <w:tcBorders>
              <w:top w:val="single" w:sz="4" w:space="0" w:color="7F7F7F"/>
              <w:left w:val="single" w:sz="4" w:space="0" w:color="7F7F7F"/>
              <w:bottom w:val="single" w:sz="4" w:space="0" w:color="7F7F7F"/>
              <w:right w:val="single" w:sz="4" w:space="0" w:color="7F7F7F"/>
            </w:tcBorders>
            <w:shd w:val="clear" w:color="auto" w:fill="F2F2F2"/>
          </w:tcPr>
          <w:p w14:paraId="7FBD9C6A" w14:textId="77777777" w:rsidR="00897D6D" w:rsidRDefault="00897D6D">
            <w:pPr>
              <w:spacing w:line="259" w:lineRule="auto"/>
            </w:pPr>
            <w:r>
              <w:t>“Cloud” storage or websites?</w:t>
            </w:r>
          </w:p>
        </w:tc>
        <w:tc>
          <w:tcPr>
            <w:tcW w:w="989" w:type="dxa"/>
            <w:tcBorders>
              <w:top w:val="single" w:sz="4" w:space="0" w:color="7F7F7F"/>
              <w:left w:val="single" w:sz="4" w:space="0" w:color="7F7F7F"/>
              <w:bottom w:val="single" w:sz="4" w:space="0" w:color="7F7F7F"/>
              <w:right w:val="single" w:sz="4" w:space="0" w:color="7F7F7F"/>
            </w:tcBorders>
            <w:shd w:val="clear" w:color="auto" w:fill="BFBFBF"/>
          </w:tcPr>
          <w:p w14:paraId="28267B28" w14:textId="77777777" w:rsidR="00897D6D" w:rsidRDefault="00897D6D">
            <w:pPr>
              <w:spacing w:line="259" w:lineRule="auto"/>
              <w:ind w:left="30"/>
              <w:jc w:val="center"/>
            </w:pPr>
            <w:r>
              <w:rPr>
                <w:rFonts w:ascii="Arial" w:eastAsia="Arial" w:hAnsi="Arial" w:cs="Arial"/>
                <w:b/>
              </w:rPr>
              <w:t>X</w:t>
            </w:r>
          </w:p>
        </w:tc>
        <w:tc>
          <w:tcPr>
            <w:tcW w:w="1023" w:type="dxa"/>
            <w:tcBorders>
              <w:top w:val="single" w:sz="4" w:space="0" w:color="7F7F7F"/>
              <w:left w:val="single" w:sz="4" w:space="0" w:color="7F7F7F"/>
              <w:bottom w:val="single" w:sz="4" w:space="0" w:color="7F7F7F"/>
              <w:right w:val="single" w:sz="4" w:space="0" w:color="7F7F7F"/>
            </w:tcBorders>
            <w:shd w:val="clear" w:color="auto" w:fill="BFBFBF"/>
          </w:tcPr>
          <w:p w14:paraId="674F6F8A" w14:textId="77777777" w:rsidR="00897D6D" w:rsidRDefault="00897D6D">
            <w:pPr>
              <w:spacing w:line="259" w:lineRule="auto"/>
              <w:ind w:left="30"/>
              <w:jc w:val="center"/>
            </w:pPr>
            <w:r>
              <w:rPr>
                <w:rFonts w:ascii="Calibri" w:eastAsia="Calibri" w:hAnsi="Calibri" w:cs="Calibri"/>
              </w:rPr>
              <w:t>☐</w:t>
            </w:r>
          </w:p>
        </w:tc>
      </w:tr>
      <w:tr w:rsidR="00897D6D" w14:paraId="08750F9D" w14:textId="77777777">
        <w:trPr>
          <w:trHeight w:val="6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9A0703D" w14:textId="77777777" w:rsidR="00897D6D" w:rsidRDefault="00897D6D">
            <w:pPr>
              <w:spacing w:line="259" w:lineRule="auto"/>
              <w:ind w:left="81"/>
            </w:pPr>
            <w:r>
              <w:t>11</w:t>
            </w:r>
          </w:p>
        </w:tc>
        <w:tc>
          <w:tcPr>
            <w:tcW w:w="7883" w:type="dxa"/>
            <w:tcBorders>
              <w:top w:val="single" w:sz="4" w:space="0" w:color="7F7F7F"/>
              <w:left w:val="single" w:sz="4" w:space="0" w:color="7F7F7F"/>
              <w:bottom w:val="single" w:sz="4" w:space="0" w:color="7F7F7F"/>
              <w:right w:val="single" w:sz="4" w:space="0" w:color="7F7F7F"/>
            </w:tcBorders>
            <w:shd w:val="clear" w:color="auto" w:fill="F2F2F2"/>
          </w:tcPr>
          <w:p w14:paraId="6AFE780C" w14:textId="77777777" w:rsidR="00897D6D" w:rsidRDefault="00897D6D">
            <w:pPr>
              <w:spacing w:line="259" w:lineRule="auto"/>
            </w:pPr>
            <w:r>
              <w:t xml:space="preserve">Other – specify: </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F5064C9" w14:textId="77777777" w:rsidR="00897D6D" w:rsidRDefault="00897D6D">
            <w:pPr>
              <w:spacing w:line="259" w:lineRule="auto"/>
              <w:ind w:left="30"/>
              <w:jc w:val="center"/>
            </w:pPr>
            <w:r>
              <w:rPr>
                <w:rFonts w:ascii="Calibri" w:eastAsia="Calibri" w:hAnsi="Calibri" w:cs="Calibri"/>
              </w:rPr>
              <w:t>☐</w:t>
            </w:r>
          </w:p>
        </w:tc>
        <w:tc>
          <w:tcPr>
            <w:tcW w:w="102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A37599A" w14:textId="77777777" w:rsidR="00897D6D" w:rsidRDefault="00897D6D">
            <w:pPr>
              <w:spacing w:line="259" w:lineRule="auto"/>
              <w:ind w:left="30"/>
              <w:jc w:val="center"/>
            </w:pPr>
            <w:r>
              <w:rPr>
                <w:rFonts w:ascii="Arial" w:eastAsia="Arial" w:hAnsi="Arial" w:cs="Arial"/>
                <w:b/>
              </w:rPr>
              <w:t>X</w:t>
            </w:r>
          </w:p>
        </w:tc>
      </w:tr>
      <w:tr w:rsidR="00897D6D" w14:paraId="47B59709" w14:textId="77777777">
        <w:trPr>
          <w:trHeight w:val="88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DE4A306" w14:textId="77777777" w:rsidR="00897D6D" w:rsidRDefault="00897D6D">
            <w:pPr>
              <w:spacing w:line="259" w:lineRule="auto"/>
              <w:ind w:left="73"/>
            </w:pPr>
            <w:r>
              <w:t>12</w:t>
            </w:r>
          </w:p>
        </w:tc>
        <w:tc>
          <w:tcPr>
            <w:tcW w:w="9895" w:type="dxa"/>
            <w:gridSpan w:val="3"/>
            <w:tcBorders>
              <w:top w:val="single" w:sz="4" w:space="0" w:color="7F7F7F"/>
              <w:left w:val="single" w:sz="4" w:space="0" w:color="7F7F7F"/>
              <w:bottom w:val="single" w:sz="4" w:space="0" w:color="7F7F7F"/>
              <w:right w:val="single" w:sz="4" w:space="0" w:color="7F7F7F"/>
            </w:tcBorders>
            <w:shd w:val="clear" w:color="auto" w:fill="F2F2F2"/>
          </w:tcPr>
          <w:p w14:paraId="174EDE5F" w14:textId="77777777" w:rsidR="00897D6D" w:rsidRDefault="00897D6D">
            <w:pPr>
              <w:spacing w:line="259" w:lineRule="auto"/>
            </w:pPr>
            <w:r>
              <w:t>For all stored data, explain the measures in place to ensure the security of the data collected, data confidentiality, including details of backup procedures, password protection, encryption, anonymisation and pseudonymisation:</w:t>
            </w:r>
          </w:p>
        </w:tc>
      </w:tr>
      <w:tr w:rsidR="00897D6D" w14:paraId="0DD8546B" w14:textId="77777777">
        <w:trPr>
          <w:trHeight w:val="2524"/>
        </w:trPr>
        <w:tc>
          <w:tcPr>
            <w:tcW w:w="560" w:type="dxa"/>
            <w:tcBorders>
              <w:top w:val="single" w:sz="4" w:space="0" w:color="7F7F7F"/>
              <w:left w:val="single" w:sz="4" w:space="0" w:color="7F7F7F"/>
              <w:bottom w:val="single" w:sz="4" w:space="0" w:color="7F7F7F"/>
              <w:right w:val="single" w:sz="4" w:space="0" w:color="7F7F7F"/>
            </w:tcBorders>
          </w:tcPr>
          <w:p w14:paraId="1C701AC6" w14:textId="77777777" w:rsidR="00897D6D" w:rsidRDefault="00897D6D">
            <w:pPr>
              <w:spacing w:after="160" w:line="259" w:lineRule="auto"/>
            </w:pPr>
          </w:p>
        </w:tc>
        <w:tc>
          <w:tcPr>
            <w:tcW w:w="9895" w:type="dxa"/>
            <w:gridSpan w:val="3"/>
            <w:tcBorders>
              <w:top w:val="single" w:sz="4" w:space="0" w:color="7F7F7F"/>
              <w:left w:val="single" w:sz="4" w:space="0" w:color="7F7F7F"/>
              <w:bottom w:val="single" w:sz="4" w:space="0" w:color="7F7F7F"/>
              <w:right w:val="single" w:sz="4" w:space="0" w:color="7F7F7F"/>
            </w:tcBorders>
          </w:tcPr>
          <w:p w14:paraId="13BFE3FE" w14:textId="77777777" w:rsidR="00897D6D" w:rsidRDefault="00897D6D">
            <w:pPr>
              <w:spacing w:after="450"/>
            </w:pPr>
            <w:r>
              <w:rPr>
                <w:rFonts w:ascii="Arial" w:eastAsia="Arial" w:hAnsi="Arial" w:cs="Arial"/>
                <w:i/>
                <w:color w:val="7030A0"/>
              </w:rPr>
              <w:t xml:space="preserve">All data will be kept in password protected cloud storage on the University Office 365 system which will not be shared. Audio/visual data will be transcribed and would be shown to participants to check accuracy of reporting. Any USB sticks used to store or transfer data will be password protected. All participants will be given a unique identifier to ensure confidentiality and this list will be kept securely in the password protected folder. Furthermore, data will be accessed on my personal computer for purposes of putting the full report together. All data will be deleted from my personal computer when no longer needed.  </w:t>
            </w:r>
          </w:p>
          <w:p w14:paraId="439A3461" w14:textId="77777777" w:rsidR="00897D6D" w:rsidRDefault="00897D6D">
            <w:pPr>
              <w:spacing w:line="259" w:lineRule="auto"/>
            </w:pPr>
            <w:r>
              <w:rPr>
                <w:rFonts w:ascii="Arial" w:eastAsia="Arial" w:hAnsi="Arial" w:cs="Arial"/>
                <w:i/>
                <w:color w:val="808080"/>
                <w:sz w:val="18"/>
              </w:rPr>
              <w:t>(this box should expand as you type)</w:t>
            </w:r>
          </w:p>
        </w:tc>
      </w:tr>
      <w:tr w:rsidR="00897D6D" w14:paraId="637A0315" w14:textId="77777777">
        <w:trPr>
          <w:trHeight w:val="439"/>
        </w:trPr>
        <w:tc>
          <w:tcPr>
            <w:tcW w:w="560" w:type="dxa"/>
            <w:tcBorders>
              <w:top w:val="single" w:sz="4" w:space="0" w:color="7F7F7F"/>
              <w:left w:val="single" w:sz="4" w:space="0" w:color="7F7F7F"/>
              <w:bottom w:val="single" w:sz="4" w:space="0" w:color="7F7F7F"/>
              <w:right w:val="single" w:sz="4" w:space="0" w:color="7F7F7F"/>
            </w:tcBorders>
          </w:tcPr>
          <w:p w14:paraId="3F2B44EB" w14:textId="77777777" w:rsidR="00897D6D" w:rsidRDefault="00897D6D">
            <w:pPr>
              <w:spacing w:after="160" w:line="259" w:lineRule="auto"/>
            </w:pPr>
          </w:p>
        </w:tc>
        <w:tc>
          <w:tcPr>
            <w:tcW w:w="9895" w:type="dxa"/>
            <w:gridSpan w:val="3"/>
            <w:tcBorders>
              <w:top w:val="single" w:sz="4" w:space="0" w:color="7F7F7F"/>
              <w:left w:val="single" w:sz="4" w:space="0" w:color="7F7F7F"/>
              <w:bottom w:val="single" w:sz="4" w:space="0" w:color="7F7F7F"/>
              <w:right w:val="single" w:sz="4" w:space="0" w:color="7F7F7F"/>
            </w:tcBorders>
            <w:shd w:val="clear" w:color="auto" w:fill="F2F2F2"/>
          </w:tcPr>
          <w:p w14:paraId="79FFC01D" w14:textId="77777777" w:rsidR="00897D6D" w:rsidRDefault="00897D6D">
            <w:pPr>
              <w:spacing w:line="259" w:lineRule="auto"/>
            </w:pPr>
            <w:r>
              <w:rPr>
                <w:rFonts w:ascii="Arial" w:eastAsia="Arial" w:hAnsi="Arial" w:cs="Arial"/>
                <w:b/>
              </w:rPr>
              <w:t>Data Protection</w:t>
            </w:r>
          </w:p>
        </w:tc>
      </w:tr>
      <w:tr w:rsidR="00897D6D" w14:paraId="31942004" w14:textId="77777777">
        <w:trPr>
          <w:trHeight w:val="439"/>
        </w:trPr>
        <w:tc>
          <w:tcPr>
            <w:tcW w:w="560" w:type="dxa"/>
            <w:tcBorders>
              <w:top w:val="single" w:sz="4" w:space="0" w:color="7F7F7F"/>
              <w:left w:val="single" w:sz="4" w:space="0" w:color="7F7F7F"/>
              <w:bottom w:val="single" w:sz="4" w:space="0" w:color="7F7F7F"/>
              <w:right w:val="single" w:sz="4" w:space="0" w:color="7F7F7F"/>
            </w:tcBorders>
          </w:tcPr>
          <w:p w14:paraId="5AD521B5" w14:textId="77777777" w:rsidR="00897D6D" w:rsidRDefault="00897D6D">
            <w:pPr>
              <w:spacing w:after="160" w:line="259" w:lineRule="auto"/>
            </w:pPr>
          </w:p>
        </w:tc>
        <w:tc>
          <w:tcPr>
            <w:tcW w:w="7883" w:type="dxa"/>
            <w:tcBorders>
              <w:top w:val="single" w:sz="4" w:space="0" w:color="7F7F7F"/>
              <w:left w:val="single" w:sz="4" w:space="0" w:color="7F7F7F"/>
              <w:bottom w:val="single" w:sz="4" w:space="0" w:color="7F7F7F"/>
              <w:right w:val="single" w:sz="4" w:space="0" w:color="7F7F7F"/>
            </w:tcBorders>
            <w:shd w:val="clear" w:color="auto" w:fill="F2F2F2"/>
          </w:tcPr>
          <w:p w14:paraId="3D7AF7DE" w14:textId="77777777" w:rsidR="00897D6D" w:rsidRDefault="00897D6D">
            <w:pPr>
              <w:spacing w:line="259" w:lineRule="auto"/>
            </w:pPr>
            <w:r>
              <w:t>Will the research activity involve any of the following activities:</w:t>
            </w:r>
          </w:p>
        </w:tc>
        <w:tc>
          <w:tcPr>
            <w:tcW w:w="989" w:type="dxa"/>
            <w:tcBorders>
              <w:top w:val="single" w:sz="4" w:space="0" w:color="7F7F7F"/>
              <w:left w:val="single" w:sz="4" w:space="0" w:color="7F7F7F"/>
              <w:bottom w:val="single" w:sz="4" w:space="0" w:color="7F7F7F"/>
              <w:right w:val="single" w:sz="4" w:space="0" w:color="7F7F7F"/>
            </w:tcBorders>
            <w:shd w:val="clear" w:color="auto" w:fill="F2F2F2"/>
          </w:tcPr>
          <w:p w14:paraId="3183D4B1" w14:textId="77777777" w:rsidR="00897D6D" w:rsidRDefault="00897D6D">
            <w:pPr>
              <w:spacing w:line="259" w:lineRule="auto"/>
              <w:ind w:left="190"/>
            </w:pPr>
            <w:r>
              <w:rPr>
                <w:rFonts w:ascii="Arial" w:eastAsia="Arial" w:hAnsi="Arial" w:cs="Arial"/>
                <w:b/>
              </w:rPr>
              <w:t>YES</w:t>
            </w:r>
          </w:p>
        </w:tc>
        <w:tc>
          <w:tcPr>
            <w:tcW w:w="1023" w:type="dxa"/>
            <w:tcBorders>
              <w:top w:val="single" w:sz="4" w:space="0" w:color="7F7F7F"/>
              <w:left w:val="single" w:sz="4" w:space="0" w:color="7F7F7F"/>
              <w:bottom w:val="single" w:sz="4" w:space="0" w:color="7F7F7F"/>
              <w:right w:val="single" w:sz="4" w:space="0" w:color="7F7F7F"/>
            </w:tcBorders>
            <w:shd w:val="clear" w:color="auto" w:fill="F2F2F2"/>
          </w:tcPr>
          <w:p w14:paraId="29836A5C" w14:textId="77777777" w:rsidR="00897D6D" w:rsidRDefault="00897D6D">
            <w:pPr>
              <w:spacing w:line="259" w:lineRule="auto"/>
              <w:ind w:left="21"/>
              <w:jc w:val="center"/>
            </w:pPr>
            <w:r>
              <w:rPr>
                <w:rFonts w:ascii="Arial" w:eastAsia="Arial" w:hAnsi="Arial" w:cs="Arial"/>
                <w:b/>
              </w:rPr>
              <w:t>NO</w:t>
            </w:r>
          </w:p>
        </w:tc>
      </w:tr>
      <w:tr w:rsidR="00897D6D" w14:paraId="19735CA9" w14:textId="77777777">
        <w:trPr>
          <w:trHeight w:val="439"/>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1A9D1611" w14:textId="77777777" w:rsidR="00897D6D" w:rsidRDefault="00897D6D">
            <w:pPr>
              <w:spacing w:line="259" w:lineRule="auto"/>
              <w:ind w:left="73"/>
            </w:pPr>
            <w:r>
              <w:t>13</w:t>
            </w:r>
          </w:p>
        </w:tc>
        <w:tc>
          <w:tcPr>
            <w:tcW w:w="7883" w:type="dxa"/>
            <w:tcBorders>
              <w:top w:val="single" w:sz="4" w:space="0" w:color="7F7F7F"/>
              <w:left w:val="single" w:sz="4" w:space="0" w:color="7F7F7F"/>
              <w:bottom w:val="single" w:sz="4" w:space="0" w:color="7F7F7F"/>
              <w:right w:val="single" w:sz="4" w:space="0" w:color="7F7F7F"/>
            </w:tcBorders>
            <w:shd w:val="clear" w:color="auto" w:fill="F2F2F2"/>
          </w:tcPr>
          <w:p w14:paraId="17645123" w14:textId="77777777" w:rsidR="00897D6D" w:rsidRDefault="00897D6D">
            <w:pPr>
              <w:spacing w:line="259" w:lineRule="auto"/>
            </w:pPr>
            <w:r>
              <w:t>Electronic transfer of data in any form?</w:t>
            </w:r>
          </w:p>
        </w:tc>
        <w:tc>
          <w:tcPr>
            <w:tcW w:w="989" w:type="dxa"/>
            <w:tcBorders>
              <w:top w:val="single" w:sz="4" w:space="0" w:color="7F7F7F"/>
              <w:left w:val="single" w:sz="4" w:space="0" w:color="7F7F7F"/>
              <w:bottom w:val="single" w:sz="4" w:space="0" w:color="7F7F7F"/>
              <w:right w:val="single" w:sz="4" w:space="0" w:color="7F7F7F"/>
            </w:tcBorders>
            <w:shd w:val="clear" w:color="auto" w:fill="BFBFBF"/>
          </w:tcPr>
          <w:p w14:paraId="7E895FB6" w14:textId="77777777" w:rsidR="00897D6D" w:rsidRDefault="00897D6D">
            <w:pPr>
              <w:spacing w:line="259" w:lineRule="auto"/>
              <w:ind w:left="21"/>
              <w:jc w:val="center"/>
            </w:pPr>
            <w:r>
              <w:rPr>
                <w:rFonts w:ascii="Arial" w:eastAsia="Arial" w:hAnsi="Arial" w:cs="Arial"/>
                <w:b/>
              </w:rPr>
              <w:t>X</w:t>
            </w:r>
          </w:p>
        </w:tc>
        <w:tc>
          <w:tcPr>
            <w:tcW w:w="102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729CB90" w14:textId="77777777" w:rsidR="00897D6D" w:rsidRDefault="00897D6D">
            <w:pPr>
              <w:spacing w:line="259" w:lineRule="auto"/>
              <w:ind w:left="21"/>
              <w:jc w:val="center"/>
            </w:pPr>
            <w:r>
              <w:rPr>
                <w:rFonts w:ascii="Calibri" w:eastAsia="Calibri" w:hAnsi="Calibri" w:cs="Calibri"/>
              </w:rPr>
              <w:t>☐</w:t>
            </w:r>
          </w:p>
        </w:tc>
      </w:tr>
      <w:tr w:rsidR="00897D6D" w14:paraId="6D89F029" w14:textId="77777777">
        <w:trPr>
          <w:trHeight w:val="6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9B670EB" w14:textId="77777777" w:rsidR="00897D6D" w:rsidRDefault="00897D6D">
            <w:pPr>
              <w:spacing w:line="259" w:lineRule="auto"/>
              <w:ind w:left="73"/>
            </w:pPr>
            <w:r>
              <w:t>14</w:t>
            </w:r>
          </w:p>
        </w:tc>
        <w:tc>
          <w:tcPr>
            <w:tcW w:w="7883" w:type="dxa"/>
            <w:tcBorders>
              <w:top w:val="single" w:sz="4" w:space="0" w:color="7F7F7F"/>
              <w:left w:val="single" w:sz="4" w:space="0" w:color="7F7F7F"/>
              <w:bottom w:val="single" w:sz="4" w:space="0" w:color="7F7F7F"/>
              <w:right w:val="single" w:sz="4" w:space="0" w:color="7F7F7F"/>
            </w:tcBorders>
            <w:shd w:val="clear" w:color="auto" w:fill="F2F2F2"/>
          </w:tcPr>
          <w:p w14:paraId="6716EA0B" w14:textId="77777777" w:rsidR="00897D6D" w:rsidRDefault="00897D6D">
            <w:pPr>
              <w:spacing w:line="259" w:lineRule="auto"/>
            </w:pPr>
            <w:r>
              <w:t>Sharing of data with others at the University outside of the immediate research team?</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51D9FCE" w14:textId="77777777" w:rsidR="00897D6D" w:rsidRDefault="00897D6D">
            <w:pPr>
              <w:spacing w:line="259" w:lineRule="auto"/>
              <w:ind w:left="21"/>
              <w:jc w:val="center"/>
            </w:pPr>
            <w:r>
              <w:rPr>
                <w:rFonts w:ascii="Arial" w:eastAsia="Arial" w:hAnsi="Arial" w:cs="Arial"/>
                <w:b/>
              </w:rPr>
              <w:t>X</w:t>
            </w:r>
          </w:p>
        </w:tc>
        <w:tc>
          <w:tcPr>
            <w:tcW w:w="102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C888CB0" w14:textId="77777777" w:rsidR="00897D6D" w:rsidRDefault="00897D6D">
            <w:pPr>
              <w:spacing w:line="259" w:lineRule="auto"/>
              <w:ind w:left="21"/>
              <w:jc w:val="center"/>
            </w:pPr>
            <w:r>
              <w:rPr>
                <w:rFonts w:ascii="Calibri" w:eastAsia="Calibri" w:hAnsi="Calibri" w:cs="Calibri"/>
              </w:rPr>
              <w:t>☐</w:t>
            </w:r>
          </w:p>
        </w:tc>
      </w:tr>
      <w:tr w:rsidR="00897D6D" w14:paraId="09EB0F35" w14:textId="77777777">
        <w:trPr>
          <w:trHeight w:val="439"/>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5FCF45E3" w14:textId="77777777" w:rsidR="00897D6D" w:rsidRDefault="00897D6D">
            <w:pPr>
              <w:spacing w:line="259" w:lineRule="auto"/>
              <w:ind w:left="73"/>
            </w:pPr>
            <w:r>
              <w:t>15</w:t>
            </w:r>
          </w:p>
        </w:tc>
        <w:tc>
          <w:tcPr>
            <w:tcW w:w="7883" w:type="dxa"/>
            <w:tcBorders>
              <w:top w:val="single" w:sz="4" w:space="0" w:color="7F7F7F"/>
              <w:left w:val="single" w:sz="4" w:space="0" w:color="7F7F7F"/>
              <w:bottom w:val="single" w:sz="4" w:space="0" w:color="7F7F7F"/>
              <w:right w:val="single" w:sz="4" w:space="0" w:color="7F7F7F"/>
            </w:tcBorders>
            <w:shd w:val="clear" w:color="auto" w:fill="F2F2F2"/>
          </w:tcPr>
          <w:p w14:paraId="2DB8EC02" w14:textId="77777777" w:rsidR="00897D6D" w:rsidRDefault="00897D6D">
            <w:pPr>
              <w:spacing w:line="259" w:lineRule="auto"/>
            </w:pPr>
            <w:r>
              <w:t>Sharing of data with other organisations?</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A42DAB3" w14:textId="77777777" w:rsidR="00897D6D" w:rsidRDefault="00897D6D">
            <w:pPr>
              <w:spacing w:line="259" w:lineRule="auto"/>
              <w:ind w:left="21"/>
              <w:jc w:val="center"/>
            </w:pPr>
            <w:r>
              <w:rPr>
                <w:rFonts w:ascii="Calibri" w:eastAsia="Calibri" w:hAnsi="Calibri" w:cs="Calibri"/>
              </w:rPr>
              <w:t>☐</w:t>
            </w:r>
          </w:p>
        </w:tc>
        <w:tc>
          <w:tcPr>
            <w:tcW w:w="1023" w:type="dxa"/>
            <w:tcBorders>
              <w:top w:val="single" w:sz="4" w:space="0" w:color="7F7F7F"/>
              <w:left w:val="single" w:sz="4" w:space="0" w:color="7F7F7F"/>
              <w:bottom w:val="single" w:sz="4" w:space="0" w:color="7F7F7F"/>
              <w:right w:val="single" w:sz="4" w:space="0" w:color="7F7F7F"/>
            </w:tcBorders>
            <w:shd w:val="clear" w:color="auto" w:fill="BFBFBF"/>
          </w:tcPr>
          <w:p w14:paraId="61CCD3ED" w14:textId="77777777" w:rsidR="00897D6D" w:rsidRDefault="00897D6D">
            <w:pPr>
              <w:spacing w:line="259" w:lineRule="auto"/>
              <w:ind w:left="21"/>
              <w:jc w:val="center"/>
            </w:pPr>
            <w:r>
              <w:rPr>
                <w:rFonts w:ascii="Arial" w:eastAsia="Arial" w:hAnsi="Arial" w:cs="Arial"/>
                <w:b/>
              </w:rPr>
              <w:t>X</w:t>
            </w:r>
          </w:p>
        </w:tc>
      </w:tr>
      <w:tr w:rsidR="00897D6D" w14:paraId="2D699560" w14:textId="77777777">
        <w:trPr>
          <w:trHeight w:val="430"/>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19B30B25" w14:textId="77777777" w:rsidR="00897D6D" w:rsidRDefault="00897D6D">
            <w:pPr>
              <w:spacing w:line="259" w:lineRule="auto"/>
              <w:ind w:left="73"/>
            </w:pPr>
            <w:r>
              <w:t>16</w:t>
            </w:r>
          </w:p>
        </w:tc>
        <w:tc>
          <w:tcPr>
            <w:tcW w:w="7883" w:type="dxa"/>
            <w:tcBorders>
              <w:top w:val="single" w:sz="4" w:space="0" w:color="7F7F7F"/>
              <w:left w:val="single" w:sz="4" w:space="0" w:color="7F7F7F"/>
              <w:bottom w:val="single" w:sz="4" w:space="0" w:color="7F7F7F"/>
              <w:right w:val="single" w:sz="4" w:space="0" w:color="7F7F7F"/>
            </w:tcBorders>
            <w:shd w:val="clear" w:color="auto" w:fill="F2F2F2"/>
          </w:tcPr>
          <w:p w14:paraId="04BF4856" w14:textId="77777777" w:rsidR="00897D6D" w:rsidRDefault="00897D6D">
            <w:pPr>
              <w:spacing w:line="259" w:lineRule="auto"/>
            </w:pPr>
            <w:r>
              <w:t>Export of data outside the UK or importing of data from outside the UK?</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946C011" w14:textId="77777777" w:rsidR="00897D6D" w:rsidRDefault="00897D6D">
            <w:pPr>
              <w:spacing w:line="259" w:lineRule="auto"/>
              <w:ind w:left="21"/>
              <w:jc w:val="center"/>
            </w:pPr>
            <w:r>
              <w:rPr>
                <w:rFonts w:ascii="Calibri" w:eastAsia="Calibri" w:hAnsi="Calibri" w:cs="Calibri"/>
              </w:rPr>
              <w:t>☐</w:t>
            </w:r>
          </w:p>
        </w:tc>
        <w:tc>
          <w:tcPr>
            <w:tcW w:w="1023" w:type="dxa"/>
            <w:tcBorders>
              <w:top w:val="single" w:sz="4" w:space="0" w:color="7F7F7F"/>
              <w:left w:val="single" w:sz="4" w:space="0" w:color="7F7F7F"/>
              <w:bottom w:val="single" w:sz="4" w:space="0" w:color="7F7F7F"/>
              <w:right w:val="single" w:sz="4" w:space="0" w:color="7F7F7F"/>
            </w:tcBorders>
            <w:shd w:val="clear" w:color="auto" w:fill="BFBFBF"/>
          </w:tcPr>
          <w:p w14:paraId="6A43282F" w14:textId="77777777" w:rsidR="00897D6D" w:rsidRDefault="00897D6D">
            <w:pPr>
              <w:spacing w:line="259" w:lineRule="auto"/>
              <w:ind w:left="21"/>
              <w:jc w:val="center"/>
            </w:pPr>
            <w:r>
              <w:rPr>
                <w:rFonts w:ascii="Arial" w:eastAsia="Arial" w:hAnsi="Arial" w:cs="Arial"/>
                <w:b/>
              </w:rPr>
              <w:t>X</w:t>
            </w:r>
          </w:p>
        </w:tc>
      </w:tr>
      <w:tr w:rsidR="00897D6D" w14:paraId="7CB2C31D" w14:textId="77777777">
        <w:trPr>
          <w:trHeight w:val="430"/>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469458D8" w14:textId="77777777" w:rsidR="00897D6D" w:rsidRDefault="00897D6D">
            <w:pPr>
              <w:spacing w:line="259" w:lineRule="auto"/>
              <w:ind w:left="73"/>
            </w:pPr>
            <w:r>
              <w:t>17</w:t>
            </w:r>
          </w:p>
        </w:tc>
        <w:tc>
          <w:tcPr>
            <w:tcW w:w="7883" w:type="dxa"/>
            <w:tcBorders>
              <w:top w:val="single" w:sz="4" w:space="0" w:color="7F7F7F"/>
              <w:left w:val="single" w:sz="4" w:space="0" w:color="7F7F7F"/>
              <w:bottom w:val="single" w:sz="4" w:space="0" w:color="7F7F7F"/>
              <w:right w:val="single" w:sz="4" w:space="0" w:color="7F7F7F"/>
            </w:tcBorders>
            <w:shd w:val="clear" w:color="auto" w:fill="F2F2F2"/>
          </w:tcPr>
          <w:p w14:paraId="44212F8F" w14:textId="77777777" w:rsidR="00897D6D" w:rsidRDefault="00897D6D">
            <w:pPr>
              <w:spacing w:line="259" w:lineRule="auto"/>
            </w:pPr>
            <w:r>
              <w:t>Use of personal addresses, postcodes, faxes, emails or telephone numbers?</w:t>
            </w:r>
          </w:p>
        </w:tc>
        <w:tc>
          <w:tcPr>
            <w:tcW w:w="989" w:type="dxa"/>
            <w:tcBorders>
              <w:top w:val="single" w:sz="4" w:space="0" w:color="7F7F7F"/>
              <w:left w:val="single" w:sz="4" w:space="0" w:color="7F7F7F"/>
              <w:bottom w:val="single" w:sz="4" w:space="0" w:color="7F7F7F"/>
              <w:right w:val="single" w:sz="4" w:space="0" w:color="7F7F7F"/>
            </w:tcBorders>
            <w:shd w:val="clear" w:color="auto" w:fill="BFBFBF"/>
          </w:tcPr>
          <w:p w14:paraId="482A59AA" w14:textId="77777777" w:rsidR="00897D6D" w:rsidRDefault="00897D6D">
            <w:pPr>
              <w:spacing w:line="259" w:lineRule="auto"/>
              <w:ind w:left="21"/>
              <w:jc w:val="center"/>
            </w:pPr>
            <w:r>
              <w:rPr>
                <w:rFonts w:ascii="Arial" w:eastAsia="Arial" w:hAnsi="Arial" w:cs="Arial"/>
                <w:b/>
              </w:rPr>
              <w:t>X</w:t>
            </w:r>
          </w:p>
        </w:tc>
        <w:tc>
          <w:tcPr>
            <w:tcW w:w="102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BBEAAFF" w14:textId="77777777" w:rsidR="00897D6D" w:rsidRDefault="00897D6D">
            <w:pPr>
              <w:spacing w:line="259" w:lineRule="auto"/>
              <w:ind w:left="21"/>
              <w:jc w:val="center"/>
            </w:pPr>
            <w:r>
              <w:rPr>
                <w:rFonts w:ascii="Calibri" w:eastAsia="Calibri" w:hAnsi="Calibri" w:cs="Calibri"/>
              </w:rPr>
              <w:t>☐</w:t>
            </w:r>
          </w:p>
        </w:tc>
      </w:tr>
      <w:tr w:rsidR="00897D6D" w14:paraId="22158E3A" w14:textId="77777777">
        <w:trPr>
          <w:trHeight w:val="430"/>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70F41E80" w14:textId="77777777" w:rsidR="00897D6D" w:rsidRDefault="00897D6D">
            <w:pPr>
              <w:spacing w:line="259" w:lineRule="auto"/>
              <w:ind w:left="73"/>
            </w:pPr>
            <w:r>
              <w:t>18</w:t>
            </w:r>
          </w:p>
        </w:tc>
        <w:tc>
          <w:tcPr>
            <w:tcW w:w="7883" w:type="dxa"/>
            <w:tcBorders>
              <w:top w:val="single" w:sz="4" w:space="0" w:color="7F7F7F"/>
              <w:left w:val="single" w:sz="4" w:space="0" w:color="7F7F7F"/>
              <w:bottom w:val="single" w:sz="4" w:space="0" w:color="7F7F7F"/>
              <w:right w:val="single" w:sz="4" w:space="0" w:color="7F7F7F"/>
            </w:tcBorders>
            <w:shd w:val="clear" w:color="auto" w:fill="F2F2F2"/>
          </w:tcPr>
          <w:p w14:paraId="60431526" w14:textId="77777777" w:rsidR="00897D6D" w:rsidRDefault="00897D6D">
            <w:pPr>
              <w:spacing w:line="259" w:lineRule="auto"/>
            </w:pPr>
            <w:r>
              <w:t>Publication of data that might allow identification of individuals?</w:t>
            </w:r>
          </w:p>
        </w:tc>
        <w:tc>
          <w:tcPr>
            <w:tcW w:w="98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88F4E5D" w14:textId="77777777" w:rsidR="00897D6D" w:rsidRDefault="00897D6D">
            <w:pPr>
              <w:spacing w:line="259" w:lineRule="auto"/>
              <w:ind w:left="21"/>
              <w:jc w:val="center"/>
            </w:pPr>
            <w:r>
              <w:rPr>
                <w:rFonts w:ascii="Calibri" w:eastAsia="Calibri" w:hAnsi="Calibri" w:cs="Calibri"/>
              </w:rPr>
              <w:t>☐</w:t>
            </w:r>
          </w:p>
        </w:tc>
        <w:tc>
          <w:tcPr>
            <w:tcW w:w="1023" w:type="dxa"/>
            <w:tcBorders>
              <w:top w:val="single" w:sz="4" w:space="0" w:color="7F7F7F"/>
              <w:left w:val="single" w:sz="4" w:space="0" w:color="7F7F7F"/>
              <w:bottom w:val="single" w:sz="4" w:space="0" w:color="7F7F7F"/>
              <w:right w:val="single" w:sz="4" w:space="0" w:color="7F7F7F"/>
            </w:tcBorders>
            <w:shd w:val="clear" w:color="auto" w:fill="BFBFBF"/>
          </w:tcPr>
          <w:p w14:paraId="7CBE0D6A" w14:textId="77777777" w:rsidR="00897D6D" w:rsidRDefault="00897D6D">
            <w:pPr>
              <w:spacing w:line="259" w:lineRule="auto"/>
              <w:ind w:left="21"/>
              <w:jc w:val="center"/>
            </w:pPr>
            <w:r>
              <w:rPr>
                <w:rFonts w:ascii="Arial" w:eastAsia="Arial" w:hAnsi="Arial" w:cs="Arial"/>
                <w:b/>
              </w:rPr>
              <w:t>X</w:t>
            </w:r>
          </w:p>
        </w:tc>
      </w:tr>
      <w:tr w:rsidR="00897D6D" w14:paraId="5DDF7B8C" w14:textId="77777777">
        <w:trPr>
          <w:trHeight w:val="6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FFDFE25" w14:textId="77777777" w:rsidR="00897D6D" w:rsidRDefault="00897D6D">
            <w:pPr>
              <w:spacing w:line="259" w:lineRule="auto"/>
              <w:ind w:left="73"/>
            </w:pPr>
            <w:r>
              <w:t>19</w:t>
            </w:r>
          </w:p>
        </w:tc>
        <w:tc>
          <w:tcPr>
            <w:tcW w:w="9895" w:type="dxa"/>
            <w:gridSpan w:val="3"/>
            <w:tcBorders>
              <w:top w:val="single" w:sz="4" w:space="0" w:color="7F7F7F"/>
              <w:left w:val="single" w:sz="4" w:space="0" w:color="7F7F7F"/>
              <w:bottom w:val="single" w:sz="4" w:space="0" w:color="7F7F7F"/>
              <w:right w:val="single" w:sz="4" w:space="0" w:color="7F7F7F"/>
            </w:tcBorders>
            <w:shd w:val="clear" w:color="auto" w:fill="F2F2F2"/>
          </w:tcPr>
          <w:p w14:paraId="3E0B9853" w14:textId="77777777" w:rsidR="00897D6D" w:rsidRDefault="00897D6D">
            <w:pPr>
              <w:spacing w:line="259" w:lineRule="auto"/>
            </w:pPr>
            <w:r>
              <w:t>If YES</w:t>
            </w:r>
            <w:r>
              <w:rPr>
                <w:rFonts w:ascii="Arial" w:eastAsia="Arial" w:hAnsi="Arial" w:cs="Arial"/>
                <w:b/>
              </w:rPr>
              <w:t xml:space="preserve"> </w:t>
            </w:r>
            <w:r>
              <w:t>to any question, please provide full details, explaining how this will be conducted in accordance with the GDPR and Data Protection Act (2018) (and/or any international equivalent):</w:t>
            </w:r>
          </w:p>
        </w:tc>
      </w:tr>
      <w:tr w:rsidR="00897D6D" w14:paraId="05D24756" w14:textId="77777777">
        <w:trPr>
          <w:trHeight w:val="2464"/>
        </w:trPr>
        <w:tc>
          <w:tcPr>
            <w:tcW w:w="560" w:type="dxa"/>
            <w:tcBorders>
              <w:top w:val="single" w:sz="4" w:space="0" w:color="7F7F7F"/>
              <w:left w:val="single" w:sz="4" w:space="0" w:color="7F7F7F"/>
              <w:bottom w:val="single" w:sz="4" w:space="0" w:color="7F7F7F"/>
              <w:right w:val="single" w:sz="4" w:space="0" w:color="7F7F7F"/>
            </w:tcBorders>
          </w:tcPr>
          <w:p w14:paraId="61938A11" w14:textId="77777777" w:rsidR="00897D6D" w:rsidRDefault="00897D6D">
            <w:pPr>
              <w:spacing w:after="160" w:line="259" w:lineRule="auto"/>
            </w:pPr>
          </w:p>
        </w:tc>
        <w:tc>
          <w:tcPr>
            <w:tcW w:w="9895" w:type="dxa"/>
            <w:gridSpan w:val="3"/>
            <w:tcBorders>
              <w:top w:val="single" w:sz="4" w:space="0" w:color="7F7F7F"/>
              <w:left w:val="single" w:sz="4" w:space="0" w:color="7F7F7F"/>
              <w:bottom w:val="single" w:sz="4" w:space="0" w:color="7F7F7F"/>
              <w:right w:val="single" w:sz="4" w:space="0" w:color="7F7F7F"/>
            </w:tcBorders>
            <w:vAlign w:val="bottom"/>
          </w:tcPr>
          <w:p w14:paraId="742490B4" w14:textId="77777777" w:rsidR="00897D6D" w:rsidRDefault="00897D6D">
            <w:pPr>
              <w:spacing w:after="955" w:line="243" w:lineRule="auto"/>
            </w:pPr>
            <w:r>
              <w:rPr>
                <w:rFonts w:ascii="Arial" w:eastAsia="Arial" w:hAnsi="Arial" w:cs="Arial"/>
                <w:i/>
                <w:color w:val="7030A0"/>
                <w:sz w:val="24"/>
              </w:rPr>
              <w:t xml:space="preserve">All data will be processed under GDPR and DPA 2018. Data will be encrypted during transfer and storage. Only anonymised findings will be used in reporting. Participants may request deletion of their data at any point prior to analysis. </w:t>
            </w:r>
          </w:p>
          <w:p w14:paraId="39D04420" w14:textId="77777777" w:rsidR="00897D6D" w:rsidRDefault="00897D6D">
            <w:pPr>
              <w:spacing w:line="259" w:lineRule="auto"/>
            </w:pPr>
            <w:r>
              <w:rPr>
                <w:rFonts w:ascii="Arial" w:eastAsia="Arial" w:hAnsi="Arial" w:cs="Arial"/>
                <w:i/>
                <w:color w:val="808080"/>
                <w:sz w:val="18"/>
              </w:rPr>
              <w:t>(this box should expand as you type)</w:t>
            </w:r>
          </w:p>
        </w:tc>
      </w:tr>
      <w:tr w:rsidR="00897D6D" w14:paraId="7C1F21ED" w14:textId="77777777">
        <w:trPr>
          <w:trHeight w:val="403"/>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6F075B32" w14:textId="77777777" w:rsidR="00897D6D" w:rsidRDefault="00897D6D">
            <w:pPr>
              <w:spacing w:line="259" w:lineRule="auto"/>
              <w:ind w:left="73"/>
            </w:pPr>
            <w:r>
              <w:lastRenderedPageBreak/>
              <w:t>20</w:t>
            </w:r>
          </w:p>
        </w:tc>
        <w:tc>
          <w:tcPr>
            <w:tcW w:w="9895" w:type="dxa"/>
            <w:gridSpan w:val="3"/>
            <w:tcBorders>
              <w:top w:val="single" w:sz="4" w:space="0" w:color="7F7F7F"/>
              <w:left w:val="single" w:sz="4" w:space="0" w:color="7F7F7F"/>
              <w:bottom w:val="single" w:sz="4" w:space="0" w:color="7F7F7F"/>
              <w:right w:val="single" w:sz="4" w:space="0" w:color="7F7F7F"/>
            </w:tcBorders>
            <w:shd w:val="clear" w:color="auto" w:fill="F2F2F2"/>
          </w:tcPr>
          <w:p w14:paraId="08428CC5" w14:textId="77777777" w:rsidR="00897D6D" w:rsidRDefault="00897D6D">
            <w:pPr>
              <w:spacing w:line="259" w:lineRule="auto"/>
            </w:pPr>
            <w:r>
              <w:t>List all who will have access to the data generated by the research activity:</w:t>
            </w:r>
          </w:p>
        </w:tc>
      </w:tr>
      <w:tr w:rsidR="00897D6D" w14:paraId="1E901FB1" w14:textId="77777777">
        <w:trPr>
          <w:trHeight w:val="643"/>
        </w:trPr>
        <w:tc>
          <w:tcPr>
            <w:tcW w:w="560" w:type="dxa"/>
            <w:tcBorders>
              <w:top w:val="single" w:sz="4" w:space="0" w:color="7F7F7F"/>
              <w:left w:val="single" w:sz="4" w:space="0" w:color="7F7F7F"/>
              <w:bottom w:val="single" w:sz="4" w:space="0" w:color="7F7F7F"/>
              <w:right w:val="single" w:sz="4" w:space="0" w:color="7F7F7F"/>
            </w:tcBorders>
          </w:tcPr>
          <w:p w14:paraId="5165826C" w14:textId="77777777" w:rsidR="00897D6D" w:rsidRDefault="00897D6D">
            <w:pPr>
              <w:spacing w:after="160" w:line="259" w:lineRule="auto"/>
            </w:pPr>
          </w:p>
        </w:tc>
        <w:tc>
          <w:tcPr>
            <w:tcW w:w="9895" w:type="dxa"/>
            <w:gridSpan w:val="3"/>
            <w:tcBorders>
              <w:top w:val="single" w:sz="4" w:space="0" w:color="7F7F7F"/>
              <w:left w:val="single" w:sz="4" w:space="0" w:color="7F7F7F"/>
              <w:bottom w:val="single" w:sz="4" w:space="0" w:color="7F7F7F"/>
              <w:right w:val="single" w:sz="4" w:space="0" w:color="7F7F7F"/>
            </w:tcBorders>
            <w:vAlign w:val="bottom"/>
          </w:tcPr>
          <w:p w14:paraId="3E4956B4" w14:textId="77777777" w:rsidR="00897D6D" w:rsidRDefault="00897D6D">
            <w:pPr>
              <w:spacing w:line="259" w:lineRule="auto"/>
            </w:pPr>
            <w:r>
              <w:t xml:space="preserve">Principal researcher (Myself) and my supervisor. </w:t>
            </w:r>
            <w:r>
              <w:rPr>
                <w:rFonts w:ascii="Arial" w:eastAsia="Arial" w:hAnsi="Arial" w:cs="Arial"/>
                <w:i/>
                <w:color w:val="808080"/>
                <w:sz w:val="18"/>
              </w:rPr>
              <w:t>(this box should expand as you type)</w:t>
            </w:r>
          </w:p>
        </w:tc>
      </w:tr>
      <w:tr w:rsidR="00897D6D" w14:paraId="709D20E2" w14:textId="77777777">
        <w:trPr>
          <w:trHeight w:val="403"/>
        </w:trPr>
        <w:tc>
          <w:tcPr>
            <w:tcW w:w="560" w:type="dxa"/>
            <w:tcBorders>
              <w:top w:val="single" w:sz="4" w:space="0" w:color="7F7F7F"/>
              <w:left w:val="single" w:sz="4" w:space="0" w:color="7F7F7F"/>
              <w:bottom w:val="single" w:sz="4" w:space="0" w:color="7F7F7F"/>
              <w:right w:val="single" w:sz="4" w:space="0" w:color="7F7F7F"/>
            </w:tcBorders>
            <w:shd w:val="clear" w:color="auto" w:fill="F2F2F2"/>
          </w:tcPr>
          <w:p w14:paraId="1A1C9D26" w14:textId="77777777" w:rsidR="00897D6D" w:rsidRDefault="00897D6D">
            <w:pPr>
              <w:spacing w:line="259" w:lineRule="auto"/>
              <w:ind w:left="73"/>
            </w:pPr>
            <w:r>
              <w:t>21</w:t>
            </w:r>
          </w:p>
        </w:tc>
        <w:tc>
          <w:tcPr>
            <w:tcW w:w="9895" w:type="dxa"/>
            <w:gridSpan w:val="3"/>
            <w:tcBorders>
              <w:top w:val="single" w:sz="4" w:space="0" w:color="7F7F7F"/>
              <w:left w:val="single" w:sz="4" w:space="0" w:color="7F7F7F"/>
              <w:bottom w:val="single" w:sz="4" w:space="0" w:color="7F7F7F"/>
              <w:right w:val="single" w:sz="4" w:space="0" w:color="7F7F7F"/>
            </w:tcBorders>
            <w:shd w:val="clear" w:color="auto" w:fill="F2F2F2"/>
          </w:tcPr>
          <w:p w14:paraId="56C57818" w14:textId="77777777" w:rsidR="00897D6D" w:rsidRDefault="00897D6D">
            <w:pPr>
              <w:spacing w:line="259" w:lineRule="auto"/>
            </w:pPr>
            <w:r>
              <w:t>List who will have control of, and act as custodian(s) for, data generated by the research activity:</w:t>
            </w:r>
          </w:p>
        </w:tc>
      </w:tr>
      <w:tr w:rsidR="00897D6D" w14:paraId="78642A67" w14:textId="77777777">
        <w:trPr>
          <w:trHeight w:val="1664"/>
        </w:trPr>
        <w:tc>
          <w:tcPr>
            <w:tcW w:w="560" w:type="dxa"/>
            <w:tcBorders>
              <w:top w:val="single" w:sz="4" w:space="0" w:color="7F7F7F"/>
              <w:left w:val="single" w:sz="4" w:space="0" w:color="7F7F7F"/>
              <w:bottom w:val="single" w:sz="4" w:space="0" w:color="7F7F7F"/>
              <w:right w:val="single" w:sz="4" w:space="0" w:color="7F7F7F"/>
            </w:tcBorders>
          </w:tcPr>
          <w:p w14:paraId="57037B15" w14:textId="77777777" w:rsidR="00897D6D" w:rsidRDefault="00897D6D">
            <w:pPr>
              <w:spacing w:after="160" w:line="259" w:lineRule="auto"/>
            </w:pPr>
          </w:p>
        </w:tc>
        <w:tc>
          <w:tcPr>
            <w:tcW w:w="9895" w:type="dxa"/>
            <w:gridSpan w:val="3"/>
            <w:tcBorders>
              <w:top w:val="single" w:sz="4" w:space="0" w:color="7F7F7F"/>
              <w:left w:val="single" w:sz="4" w:space="0" w:color="7F7F7F"/>
              <w:bottom w:val="single" w:sz="4" w:space="0" w:color="7F7F7F"/>
              <w:right w:val="single" w:sz="4" w:space="0" w:color="7F7F7F"/>
            </w:tcBorders>
            <w:vAlign w:val="bottom"/>
          </w:tcPr>
          <w:p w14:paraId="3B95AD92" w14:textId="77777777" w:rsidR="00897D6D" w:rsidRDefault="00897D6D">
            <w:pPr>
              <w:spacing w:after="678" w:line="259" w:lineRule="auto"/>
            </w:pPr>
            <w:r>
              <w:rPr>
                <w:rFonts w:ascii="Times New Roman" w:eastAsia="Times New Roman" w:hAnsi="Times New Roman" w:cs="Times New Roman"/>
                <w:sz w:val="24"/>
              </w:rPr>
              <w:t xml:space="preserve">Principal researcher. </w:t>
            </w:r>
          </w:p>
          <w:p w14:paraId="783084D0" w14:textId="77777777" w:rsidR="00897D6D" w:rsidRDefault="00897D6D">
            <w:pPr>
              <w:spacing w:line="259" w:lineRule="auto"/>
            </w:pPr>
            <w:r>
              <w:rPr>
                <w:rFonts w:ascii="Arial" w:eastAsia="Arial" w:hAnsi="Arial" w:cs="Arial"/>
                <w:i/>
                <w:color w:val="808080"/>
                <w:sz w:val="18"/>
              </w:rPr>
              <w:t>(this box should expand as you type)</w:t>
            </w:r>
          </w:p>
        </w:tc>
      </w:tr>
      <w:tr w:rsidR="00897D6D" w14:paraId="0A1CC0FC" w14:textId="77777777">
        <w:trPr>
          <w:trHeight w:val="6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5BBA196" w14:textId="77777777" w:rsidR="00897D6D" w:rsidRDefault="00897D6D">
            <w:pPr>
              <w:spacing w:line="259" w:lineRule="auto"/>
              <w:ind w:left="73"/>
            </w:pPr>
            <w:r>
              <w:t>22</w:t>
            </w:r>
          </w:p>
        </w:tc>
        <w:tc>
          <w:tcPr>
            <w:tcW w:w="9895" w:type="dxa"/>
            <w:gridSpan w:val="3"/>
            <w:tcBorders>
              <w:top w:val="single" w:sz="4" w:space="0" w:color="7F7F7F"/>
              <w:left w:val="single" w:sz="4" w:space="0" w:color="7F7F7F"/>
              <w:bottom w:val="single" w:sz="4" w:space="0" w:color="7F7F7F"/>
              <w:right w:val="single" w:sz="4" w:space="0" w:color="7F7F7F"/>
            </w:tcBorders>
            <w:shd w:val="clear" w:color="auto" w:fill="F2F2F2"/>
          </w:tcPr>
          <w:p w14:paraId="7A32CE2E" w14:textId="77777777" w:rsidR="00897D6D" w:rsidRDefault="00897D6D">
            <w:pPr>
              <w:spacing w:line="259" w:lineRule="auto"/>
            </w:pPr>
            <w:r>
              <w:t xml:space="preserve">Give details of data storage arrangements, including security measures in place to protect the data, where data will be stored, how long for, and in what form. </w:t>
            </w:r>
          </w:p>
        </w:tc>
      </w:tr>
      <w:tr w:rsidR="00897D6D" w14:paraId="4C2132A0" w14:textId="77777777">
        <w:trPr>
          <w:trHeight w:val="1564"/>
        </w:trPr>
        <w:tc>
          <w:tcPr>
            <w:tcW w:w="560" w:type="dxa"/>
            <w:tcBorders>
              <w:top w:val="single" w:sz="4" w:space="0" w:color="7F7F7F"/>
              <w:left w:val="single" w:sz="4" w:space="0" w:color="7F7F7F"/>
              <w:bottom w:val="single" w:sz="4" w:space="0" w:color="7F7F7F"/>
              <w:right w:val="single" w:sz="4" w:space="0" w:color="7F7F7F"/>
            </w:tcBorders>
          </w:tcPr>
          <w:p w14:paraId="0C244A35" w14:textId="77777777" w:rsidR="00897D6D" w:rsidRDefault="00897D6D">
            <w:pPr>
              <w:spacing w:after="160" w:line="259" w:lineRule="auto"/>
            </w:pPr>
          </w:p>
        </w:tc>
        <w:tc>
          <w:tcPr>
            <w:tcW w:w="9895" w:type="dxa"/>
            <w:gridSpan w:val="3"/>
            <w:tcBorders>
              <w:top w:val="single" w:sz="4" w:space="0" w:color="7F7F7F"/>
              <w:left w:val="single" w:sz="4" w:space="0" w:color="7F7F7F"/>
              <w:bottom w:val="single" w:sz="4" w:space="0" w:color="7F7F7F"/>
              <w:right w:val="single" w:sz="4" w:space="0" w:color="7F7F7F"/>
            </w:tcBorders>
          </w:tcPr>
          <w:p w14:paraId="673F91BE" w14:textId="77777777" w:rsidR="00897D6D" w:rsidRDefault="00897D6D">
            <w:pPr>
              <w:spacing w:after="210"/>
            </w:pPr>
            <w:r>
              <w:rPr>
                <w:rFonts w:ascii="Arial" w:eastAsia="Arial" w:hAnsi="Arial" w:cs="Arial"/>
                <w:i/>
                <w:color w:val="7030A0"/>
              </w:rPr>
              <w:t xml:space="preserve">All data will be encrypted and kept in password protected cloud storage on the University Office 365 system which will not be shared. Any USB sticks used to store or transfer data will be password </w:t>
            </w:r>
            <w:proofErr w:type="gramStart"/>
            <w:r>
              <w:rPr>
                <w:rFonts w:ascii="Arial" w:eastAsia="Arial" w:hAnsi="Arial" w:cs="Arial"/>
                <w:i/>
                <w:color w:val="7030A0"/>
              </w:rPr>
              <w:t>protected, and</w:t>
            </w:r>
            <w:proofErr w:type="gramEnd"/>
            <w:r>
              <w:rPr>
                <w:rFonts w:ascii="Arial" w:eastAsia="Arial" w:hAnsi="Arial" w:cs="Arial"/>
                <w:i/>
                <w:color w:val="7030A0"/>
              </w:rPr>
              <w:t xml:space="preserve"> will be reformatted at the end of the project </w:t>
            </w:r>
            <w:proofErr w:type="gramStart"/>
            <w:r>
              <w:rPr>
                <w:rFonts w:ascii="Arial" w:eastAsia="Arial" w:hAnsi="Arial" w:cs="Arial"/>
                <w:i/>
                <w:color w:val="7030A0"/>
              </w:rPr>
              <w:t>in order to</w:t>
            </w:r>
            <w:proofErr w:type="gramEnd"/>
            <w:r>
              <w:rPr>
                <w:rFonts w:ascii="Arial" w:eastAsia="Arial" w:hAnsi="Arial" w:cs="Arial"/>
                <w:i/>
                <w:color w:val="7030A0"/>
              </w:rPr>
              <w:t xml:space="preserve"> destroy the data. The data will be stored until the completion of the project and then deleted. </w:t>
            </w:r>
            <w:r>
              <w:t xml:space="preserve"> </w:t>
            </w:r>
          </w:p>
          <w:p w14:paraId="0CC71299" w14:textId="77777777" w:rsidR="00897D6D" w:rsidRDefault="00897D6D">
            <w:pPr>
              <w:spacing w:line="259" w:lineRule="auto"/>
            </w:pPr>
            <w:r>
              <w:rPr>
                <w:rFonts w:ascii="Arial" w:eastAsia="Arial" w:hAnsi="Arial" w:cs="Arial"/>
                <w:i/>
                <w:color w:val="808080"/>
                <w:sz w:val="18"/>
              </w:rPr>
              <w:t>(this box should expand as you type)</w:t>
            </w:r>
          </w:p>
        </w:tc>
      </w:tr>
      <w:tr w:rsidR="00897D6D" w14:paraId="0E907737" w14:textId="77777777">
        <w:trPr>
          <w:trHeight w:val="6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0A0030F" w14:textId="77777777" w:rsidR="00897D6D" w:rsidRDefault="00897D6D">
            <w:pPr>
              <w:spacing w:line="259" w:lineRule="auto"/>
              <w:ind w:left="73"/>
            </w:pPr>
            <w:r>
              <w:t>22</w:t>
            </w:r>
          </w:p>
        </w:tc>
        <w:tc>
          <w:tcPr>
            <w:tcW w:w="7883" w:type="dxa"/>
            <w:tcBorders>
              <w:top w:val="single" w:sz="4" w:space="0" w:color="7F7F7F"/>
              <w:left w:val="single" w:sz="4" w:space="0" w:color="7F7F7F"/>
              <w:bottom w:val="single" w:sz="4" w:space="0" w:color="7F7F7F"/>
              <w:right w:val="single" w:sz="4" w:space="0" w:color="7F7F7F"/>
            </w:tcBorders>
            <w:shd w:val="clear" w:color="auto" w:fill="F2F2F2"/>
          </w:tcPr>
          <w:p w14:paraId="05A2359D" w14:textId="77777777" w:rsidR="00897D6D" w:rsidRDefault="00897D6D">
            <w:pPr>
              <w:spacing w:line="259" w:lineRule="auto"/>
            </w:pPr>
            <w:r>
              <w:t xml:space="preserve">Confirm that you have read the UWTSD guidance on data management (see </w:t>
            </w:r>
            <w:hyperlink r:id="rId11">
              <w:r>
                <w:rPr>
                  <w:u w:val="single" w:color="000000"/>
                </w:rPr>
                <w:t>https://www.uwtsd.ac.uk/library/research-data-management/</w:t>
              </w:r>
            </w:hyperlink>
            <w:r>
              <w:t>)</w:t>
            </w:r>
          </w:p>
        </w:tc>
        <w:tc>
          <w:tcPr>
            <w:tcW w:w="2012" w:type="dxa"/>
            <w:gridSpan w:val="2"/>
            <w:tcBorders>
              <w:top w:val="single" w:sz="4" w:space="0" w:color="7F7F7F"/>
              <w:left w:val="single" w:sz="4" w:space="0" w:color="7F7F7F"/>
              <w:bottom w:val="single" w:sz="4" w:space="0" w:color="7F7F7F"/>
              <w:right w:val="single" w:sz="4" w:space="0" w:color="7F7F7F"/>
            </w:tcBorders>
            <w:vAlign w:val="center"/>
          </w:tcPr>
          <w:p w14:paraId="3AEF6F60" w14:textId="77777777" w:rsidR="00897D6D" w:rsidRDefault="00897D6D">
            <w:pPr>
              <w:spacing w:line="259" w:lineRule="auto"/>
              <w:ind w:right="34"/>
              <w:jc w:val="center"/>
            </w:pPr>
            <w:r>
              <w:t>X</w:t>
            </w:r>
          </w:p>
        </w:tc>
      </w:tr>
      <w:tr w:rsidR="00897D6D" w14:paraId="31192A84" w14:textId="77777777">
        <w:trPr>
          <w:trHeight w:val="6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73A3B71" w14:textId="77777777" w:rsidR="00897D6D" w:rsidRDefault="00897D6D">
            <w:pPr>
              <w:spacing w:line="259" w:lineRule="auto"/>
              <w:ind w:left="73"/>
            </w:pPr>
            <w:r>
              <w:t>23</w:t>
            </w:r>
          </w:p>
        </w:tc>
        <w:tc>
          <w:tcPr>
            <w:tcW w:w="7883" w:type="dxa"/>
            <w:tcBorders>
              <w:top w:val="single" w:sz="4" w:space="0" w:color="7F7F7F"/>
              <w:left w:val="single" w:sz="4" w:space="0" w:color="7F7F7F"/>
              <w:bottom w:val="single" w:sz="4" w:space="0" w:color="7F7F7F"/>
              <w:right w:val="single" w:sz="4" w:space="0" w:color="7F7F7F"/>
            </w:tcBorders>
            <w:shd w:val="clear" w:color="auto" w:fill="F2F2F2"/>
          </w:tcPr>
          <w:p w14:paraId="70073C4F" w14:textId="77777777" w:rsidR="00897D6D" w:rsidRDefault="00897D6D">
            <w:pPr>
              <w:spacing w:line="259" w:lineRule="auto"/>
            </w:pPr>
            <w:r>
              <w:t>Confirm that you are aware that you need to keep all data until after your research has completed or the end of your funding</w:t>
            </w:r>
          </w:p>
        </w:tc>
        <w:tc>
          <w:tcPr>
            <w:tcW w:w="2012" w:type="dxa"/>
            <w:gridSpan w:val="2"/>
            <w:tcBorders>
              <w:top w:val="single" w:sz="4" w:space="0" w:color="7F7F7F"/>
              <w:left w:val="single" w:sz="4" w:space="0" w:color="7F7F7F"/>
              <w:bottom w:val="single" w:sz="4" w:space="0" w:color="7F7F7F"/>
              <w:right w:val="single" w:sz="4" w:space="0" w:color="7F7F7F"/>
            </w:tcBorders>
            <w:vAlign w:val="center"/>
          </w:tcPr>
          <w:p w14:paraId="60A18FDE" w14:textId="77777777" w:rsidR="00897D6D" w:rsidRDefault="00897D6D">
            <w:pPr>
              <w:spacing w:line="259" w:lineRule="auto"/>
              <w:ind w:right="34"/>
              <w:jc w:val="center"/>
            </w:pPr>
            <w:r>
              <w:rPr>
                <w:rFonts w:ascii="Arial" w:eastAsia="Arial" w:hAnsi="Arial" w:cs="Arial"/>
                <w:b/>
                <w:sz w:val="20"/>
              </w:rPr>
              <w:t>X</w:t>
            </w:r>
          </w:p>
        </w:tc>
      </w:tr>
    </w:tbl>
    <w:p w14:paraId="2D80CEE3" w14:textId="77777777" w:rsidR="00897D6D" w:rsidRDefault="00897D6D">
      <w:pPr>
        <w:spacing w:after="3" w:line="259" w:lineRule="auto"/>
        <w:ind w:left="-5"/>
      </w:pPr>
      <w:r>
        <w:rPr>
          <w:rFonts w:ascii="Arial" w:eastAsia="Arial" w:hAnsi="Arial" w:cs="Arial"/>
          <w:b/>
        </w:rPr>
        <w:t xml:space="preserve">SECTION I: Declaration </w:t>
      </w:r>
    </w:p>
    <w:tbl>
      <w:tblPr>
        <w:tblStyle w:val="TableGrid"/>
        <w:tblW w:w="10450" w:type="dxa"/>
        <w:tblInd w:w="5" w:type="dxa"/>
        <w:tblCellMar>
          <w:top w:w="55" w:type="dxa"/>
          <w:left w:w="85" w:type="dxa"/>
          <w:right w:w="23" w:type="dxa"/>
        </w:tblCellMar>
        <w:tblLook w:val="04A0" w:firstRow="1" w:lastRow="0" w:firstColumn="1" w:lastColumn="0" w:noHBand="0" w:noVBand="1"/>
      </w:tblPr>
      <w:tblGrid>
        <w:gridCol w:w="560"/>
        <w:gridCol w:w="2826"/>
        <w:gridCol w:w="4932"/>
        <w:gridCol w:w="2132"/>
      </w:tblGrid>
      <w:tr w:rsidR="00897D6D" w14:paraId="4FCA3C8E" w14:textId="77777777">
        <w:trPr>
          <w:trHeight w:val="1843"/>
        </w:trPr>
        <w:tc>
          <w:tcPr>
            <w:tcW w:w="560" w:type="dxa"/>
            <w:tcBorders>
              <w:top w:val="single" w:sz="4" w:space="0" w:color="7F7F7F"/>
              <w:left w:val="single" w:sz="4" w:space="0" w:color="7F7F7F"/>
              <w:bottom w:val="single" w:sz="4" w:space="0" w:color="7F7F7F"/>
              <w:right w:val="single" w:sz="4" w:space="0" w:color="7F7F7F"/>
            </w:tcBorders>
          </w:tcPr>
          <w:p w14:paraId="418DB880" w14:textId="77777777" w:rsidR="00897D6D" w:rsidRDefault="00897D6D">
            <w:pPr>
              <w:spacing w:after="160" w:line="259" w:lineRule="auto"/>
            </w:pPr>
          </w:p>
        </w:tc>
        <w:tc>
          <w:tcPr>
            <w:tcW w:w="9890" w:type="dxa"/>
            <w:gridSpan w:val="3"/>
            <w:tcBorders>
              <w:top w:val="single" w:sz="4" w:space="0" w:color="7F7F7F"/>
              <w:left w:val="single" w:sz="4" w:space="0" w:color="7F7F7F"/>
              <w:bottom w:val="single" w:sz="4" w:space="0" w:color="7F7F7F"/>
              <w:right w:val="single" w:sz="4" w:space="0" w:color="7F7F7F"/>
            </w:tcBorders>
            <w:shd w:val="clear" w:color="auto" w:fill="F2F2F2"/>
          </w:tcPr>
          <w:p w14:paraId="74EBDEC3" w14:textId="77777777" w:rsidR="00897D6D" w:rsidRDefault="00897D6D">
            <w:pPr>
              <w:spacing w:after="240"/>
              <w:ind w:right="61"/>
            </w:pPr>
            <w: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14:paraId="17CDDDFF" w14:textId="77777777" w:rsidR="00897D6D" w:rsidRDefault="00897D6D">
            <w:pPr>
              <w:spacing w:line="259" w:lineRule="auto"/>
              <w:ind w:right="61"/>
            </w:pPr>
            <w:r>
              <w:t xml:space="preserve">In submitting this </w:t>
            </w:r>
            <w:proofErr w:type="gramStart"/>
            <w:r>
              <w:t>application</w:t>
            </w:r>
            <w:proofErr w:type="gramEnd"/>
            <w:r>
              <w:t xml:space="preserve"> I hereby confirm that I undertake to ensure that the </w:t>
            </w:r>
            <w:proofErr w:type="gramStart"/>
            <w:r>
              <w:t>above named</w:t>
            </w:r>
            <w:proofErr w:type="gramEnd"/>
            <w:r>
              <w:t xml:space="preserve"> research activity will meet the University’s Research Ethics and Integrity Code of Practice which is published on the website: </w:t>
            </w:r>
            <w:hyperlink r:id="rId12">
              <w:r>
                <w:rPr>
                  <w:color w:val="0000FF"/>
                  <w:u w:val="single" w:color="0000FF"/>
                </w:rPr>
                <w:t>https://www.uwtsd.ac.uk/research/research-ethics/</w:t>
              </w:r>
            </w:hyperlink>
            <w:hyperlink r:id="rId13">
              <w:r>
                <w:t xml:space="preserve"> </w:t>
              </w:r>
            </w:hyperlink>
          </w:p>
        </w:tc>
      </w:tr>
      <w:tr w:rsidR="00897D6D" w14:paraId="76218123" w14:textId="77777777">
        <w:trPr>
          <w:trHeight w:val="7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C81E0EA" w14:textId="77777777" w:rsidR="00897D6D" w:rsidRDefault="00897D6D">
            <w:pPr>
              <w:spacing w:line="259" w:lineRule="auto"/>
              <w:ind w:left="134"/>
            </w:pPr>
            <w:r>
              <w:t>1</w:t>
            </w:r>
          </w:p>
        </w:tc>
        <w:tc>
          <w:tcPr>
            <w:tcW w:w="282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D9E35DE" w14:textId="77777777" w:rsidR="00897D6D" w:rsidRDefault="00897D6D">
            <w:pPr>
              <w:spacing w:line="259" w:lineRule="auto"/>
            </w:pPr>
            <w:r>
              <w:rPr>
                <w:rFonts w:ascii="Arial" w:eastAsia="Arial" w:hAnsi="Arial" w:cs="Arial"/>
                <w:b/>
              </w:rPr>
              <w:t>Signature of applicant:</w:t>
            </w:r>
          </w:p>
        </w:tc>
        <w:tc>
          <w:tcPr>
            <w:tcW w:w="4932" w:type="dxa"/>
            <w:tcBorders>
              <w:top w:val="single" w:sz="4" w:space="0" w:color="7F7F7F"/>
              <w:left w:val="single" w:sz="4" w:space="0" w:color="7F7F7F"/>
              <w:bottom w:val="single" w:sz="4" w:space="0" w:color="7F7F7F"/>
              <w:right w:val="single" w:sz="4" w:space="0" w:color="7F7F7F"/>
            </w:tcBorders>
          </w:tcPr>
          <w:p w14:paraId="79855CB6" w14:textId="77777777" w:rsidR="00897D6D" w:rsidRDefault="00897D6D">
            <w:pPr>
              <w:spacing w:line="259" w:lineRule="auto"/>
              <w:ind w:left="774"/>
            </w:pPr>
            <w:r>
              <w:rPr>
                <w:noProof/>
              </w:rPr>
              <w:drawing>
                <wp:inline distT="0" distB="0" distL="0" distR="0" wp14:anchorId="4D19E85A" wp14:editId="75F3B05D">
                  <wp:extent cx="1298167" cy="474502"/>
                  <wp:effectExtent l="0" t="0" r="0" b="0"/>
                  <wp:docPr id="3514" name="Picture 3514"/>
                  <wp:cNvGraphicFramePr/>
                  <a:graphic xmlns:a="http://schemas.openxmlformats.org/drawingml/2006/main">
                    <a:graphicData uri="http://schemas.openxmlformats.org/drawingml/2006/picture">
                      <pic:pic xmlns:pic="http://schemas.openxmlformats.org/drawingml/2006/picture">
                        <pic:nvPicPr>
                          <pic:cNvPr id="3514" name="Picture 3514"/>
                          <pic:cNvPicPr/>
                        </pic:nvPicPr>
                        <pic:blipFill>
                          <a:blip r:embed="rId14"/>
                          <a:stretch>
                            <a:fillRect/>
                          </a:stretch>
                        </pic:blipFill>
                        <pic:spPr>
                          <a:xfrm>
                            <a:off x="0" y="0"/>
                            <a:ext cx="1298167" cy="474502"/>
                          </a:xfrm>
                          <a:prstGeom prst="rect">
                            <a:avLst/>
                          </a:prstGeom>
                        </pic:spPr>
                      </pic:pic>
                    </a:graphicData>
                  </a:graphic>
                </wp:inline>
              </w:drawing>
            </w:r>
          </w:p>
        </w:tc>
        <w:tc>
          <w:tcPr>
            <w:tcW w:w="2132" w:type="dxa"/>
            <w:tcBorders>
              <w:top w:val="single" w:sz="4" w:space="0" w:color="7F7F7F"/>
              <w:left w:val="single" w:sz="4" w:space="0" w:color="7F7F7F"/>
              <w:bottom w:val="single" w:sz="4" w:space="0" w:color="7F7F7F"/>
              <w:right w:val="single" w:sz="4" w:space="0" w:color="7F7F7F"/>
            </w:tcBorders>
          </w:tcPr>
          <w:p w14:paraId="0C42B4DF" w14:textId="77777777" w:rsidR="00897D6D" w:rsidRDefault="00897D6D">
            <w:pPr>
              <w:spacing w:line="259" w:lineRule="auto"/>
            </w:pPr>
            <w:r>
              <w:rPr>
                <w:rFonts w:ascii="Arial" w:eastAsia="Arial" w:hAnsi="Arial" w:cs="Arial"/>
                <w:b/>
              </w:rPr>
              <w:t xml:space="preserve">Date: </w:t>
            </w:r>
          </w:p>
        </w:tc>
      </w:tr>
      <w:tr w:rsidR="00897D6D" w14:paraId="1B41444E" w14:textId="77777777">
        <w:trPr>
          <w:trHeight w:val="6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E640968" w14:textId="77777777" w:rsidR="00897D6D" w:rsidRDefault="00897D6D">
            <w:pPr>
              <w:spacing w:line="259" w:lineRule="auto"/>
              <w:ind w:left="134"/>
            </w:pPr>
            <w:r>
              <w:t>2</w:t>
            </w:r>
          </w:p>
        </w:tc>
        <w:tc>
          <w:tcPr>
            <w:tcW w:w="2826" w:type="dxa"/>
            <w:tcBorders>
              <w:top w:val="single" w:sz="4" w:space="0" w:color="7F7F7F"/>
              <w:left w:val="single" w:sz="4" w:space="0" w:color="7F7F7F"/>
              <w:bottom w:val="single" w:sz="4" w:space="0" w:color="7F7F7F"/>
              <w:right w:val="single" w:sz="4" w:space="0" w:color="7F7F7F"/>
            </w:tcBorders>
            <w:shd w:val="clear" w:color="auto" w:fill="F2F2F2"/>
          </w:tcPr>
          <w:p w14:paraId="5EC9D7FC" w14:textId="77777777" w:rsidR="00897D6D" w:rsidRDefault="00897D6D">
            <w:pPr>
              <w:spacing w:line="259" w:lineRule="auto"/>
            </w:pPr>
            <w:r>
              <w:t>Director of Studies/ Supervisor:</w:t>
            </w:r>
          </w:p>
        </w:tc>
        <w:tc>
          <w:tcPr>
            <w:tcW w:w="4932" w:type="dxa"/>
            <w:tcBorders>
              <w:top w:val="single" w:sz="4" w:space="0" w:color="7F7F7F"/>
              <w:left w:val="single" w:sz="4" w:space="0" w:color="7F7F7F"/>
              <w:bottom w:val="single" w:sz="4" w:space="0" w:color="7F7F7F"/>
              <w:right w:val="single" w:sz="4" w:space="0" w:color="7F7F7F"/>
            </w:tcBorders>
          </w:tcPr>
          <w:p w14:paraId="006FCC79" w14:textId="77777777" w:rsidR="00897D6D" w:rsidRDefault="00897D6D">
            <w:pPr>
              <w:spacing w:after="160" w:line="259" w:lineRule="auto"/>
            </w:pPr>
          </w:p>
        </w:tc>
        <w:tc>
          <w:tcPr>
            <w:tcW w:w="2132" w:type="dxa"/>
            <w:vMerge w:val="restart"/>
            <w:tcBorders>
              <w:top w:val="single" w:sz="4" w:space="0" w:color="7F7F7F"/>
              <w:left w:val="single" w:sz="4" w:space="0" w:color="7F7F7F"/>
              <w:bottom w:val="single" w:sz="4" w:space="0" w:color="7F7F7F"/>
              <w:right w:val="single" w:sz="4" w:space="0" w:color="7F7F7F"/>
            </w:tcBorders>
          </w:tcPr>
          <w:p w14:paraId="5C03DCFA" w14:textId="77777777" w:rsidR="00897D6D" w:rsidRDefault="00897D6D">
            <w:pPr>
              <w:spacing w:line="259" w:lineRule="auto"/>
            </w:pPr>
            <w:r>
              <w:rPr>
                <w:rFonts w:ascii="Arial" w:eastAsia="Arial" w:hAnsi="Arial" w:cs="Arial"/>
                <w:b/>
              </w:rPr>
              <w:t>Date:</w:t>
            </w:r>
          </w:p>
        </w:tc>
      </w:tr>
      <w:tr w:rsidR="00897D6D" w14:paraId="740A995F" w14:textId="77777777">
        <w:trPr>
          <w:trHeight w:val="643"/>
        </w:trPr>
        <w:tc>
          <w:tcPr>
            <w:tcW w:w="56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1E62F57" w14:textId="77777777" w:rsidR="00897D6D" w:rsidRDefault="00897D6D">
            <w:pPr>
              <w:spacing w:line="259" w:lineRule="auto"/>
              <w:ind w:left="134"/>
            </w:pPr>
            <w:r>
              <w:t>3</w:t>
            </w:r>
          </w:p>
        </w:tc>
        <w:tc>
          <w:tcPr>
            <w:tcW w:w="282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6B2EFA0" w14:textId="77777777" w:rsidR="00897D6D" w:rsidRDefault="00897D6D">
            <w:pPr>
              <w:spacing w:line="259" w:lineRule="auto"/>
            </w:pPr>
            <w:r>
              <w:t>Signature:</w:t>
            </w:r>
          </w:p>
        </w:tc>
        <w:tc>
          <w:tcPr>
            <w:tcW w:w="4932" w:type="dxa"/>
            <w:tcBorders>
              <w:top w:val="single" w:sz="4" w:space="0" w:color="7F7F7F"/>
              <w:left w:val="single" w:sz="4" w:space="0" w:color="7F7F7F"/>
              <w:bottom w:val="single" w:sz="4" w:space="0" w:color="7F7F7F"/>
              <w:right w:val="single" w:sz="4" w:space="0" w:color="7F7F7F"/>
            </w:tcBorders>
          </w:tcPr>
          <w:p w14:paraId="799FB0DA" w14:textId="77777777" w:rsidR="00897D6D" w:rsidRDefault="00897D6D">
            <w:pPr>
              <w:spacing w:after="160" w:line="259" w:lineRule="auto"/>
            </w:pPr>
          </w:p>
        </w:tc>
        <w:tc>
          <w:tcPr>
            <w:tcW w:w="0" w:type="auto"/>
            <w:vMerge/>
            <w:tcBorders>
              <w:top w:val="nil"/>
              <w:left w:val="single" w:sz="4" w:space="0" w:color="7F7F7F"/>
              <w:bottom w:val="single" w:sz="4" w:space="0" w:color="7F7F7F"/>
              <w:right w:val="single" w:sz="4" w:space="0" w:color="7F7F7F"/>
            </w:tcBorders>
          </w:tcPr>
          <w:p w14:paraId="7E509254" w14:textId="77777777" w:rsidR="00897D6D" w:rsidRDefault="00897D6D">
            <w:pPr>
              <w:spacing w:after="160" w:line="259" w:lineRule="auto"/>
            </w:pPr>
          </w:p>
        </w:tc>
      </w:tr>
    </w:tbl>
    <w:p w14:paraId="55AAD143" w14:textId="77777777" w:rsidR="00897D6D" w:rsidRDefault="00897D6D">
      <w:pPr>
        <w:spacing w:after="0" w:line="259" w:lineRule="auto"/>
      </w:pPr>
      <w:r>
        <w:rPr>
          <w:rFonts w:ascii="Arial" w:eastAsia="Arial" w:hAnsi="Arial" w:cs="Arial"/>
          <w:b/>
          <w:i/>
        </w:rPr>
        <w:t xml:space="preserve">FOR INTERNAL USE ONLY: </w:t>
      </w:r>
    </w:p>
    <w:tbl>
      <w:tblPr>
        <w:tblStyle w:val="TableGrid"/>
        <w:tblW w:w="10442" w:type="dxa"/>
        <w:tblInd w:w="13" w:type="dxa"/>
        <w:tblCellMar>
          <w:top w:w="72" w:type="dxa"/>
          <w:left w:w="85" w:type="dxa"/>
          <w:right w:w="115" w:type="dxa"/>
        </w:tblCellMar>
        <w:tblLook w:val="04A0" w:firstRow="1" w:lastRow="0" w:firstColumn="1" w:lastColumn="0" w:noHBand="0" w:noVBand="1"/>
      </w:tblPr>
      <w:tblGrid>
        <w:gridCol w:w="552"/>
        <w:gridCol w:w="2826"/>
        <w:gridCol w:w="4932"/>
        <w:gridCol w:w="2132"/>
      </w:tblGrid>
      <w:tr w:rsidR="00897D6D" w14:paraId="61116A16" w14:textId="77777777">
        <w:trPr>
          <w:trHeight w:val="561"/>
        </w:trPr>
        <w:tc>
          <w:tcPr>
            <w:tcW w:w="552" w:type="dxa"/>
            <w:tcBorders>
              <w:top w:val="single" w:sz="4" w:space="0" w:color="7F7F7F"/>
              <w:left w:val="single" w:sz="4" w:space="0" w:color="7F7F7F"/>
              <w:bottom w:val="single" w:sz="4" w:space="0" w:color="7F7F7F"/>
              <w:right w:val="single" w:sz="4" w:space="0" w:color="7F7F7F"/>
            </w:tcBorders>
          </w:tcPr>
          <w:p w14:paraId="152AEC02" w14:textId="77777777" w:rsidR="00897D6D" w:rsidRDefault="00897D6D">
            <w:pPr>
              <w:spacing w:after="160" w:line="259" w:lineRule="auto"/>
            </w:pPr>
          </w:p>
        </w:tc>
        <w:tc>
          <w:tcPr>
            <w:tcW w:w="2826" w:type="dxa"/>
            <w:tcBorders>
              <w:top w:val="single" w:sz="4" w:space="0" w:color="7F7F7F"/>
              <w:left w:val="single" w:sz="4" w:space="0" w:color="7F7F7F"/>
              <w:bottom w:val="single" w:sz="4" w:space="0" w:color="7F7F7F"/>
              <w:right w:val="nil"/>
            </w:tcBorders>
            <w:shd w:val="clear" w:color="auto" w:fill="F2F2F2"/>
            <w:vAlign w:val="center"/>
          </w:tcPr>
          <w:p w14:paraId="2AACB516" w14:textId="77777777" w:rsidR="00897D6D" w:rsidRDefault="00897D6D">
            <w:pPr>
              <w:spacing w:line="259" w:lineRule="auto"/>
            </w:pPr>
            <w:r>
              <w:rPr>
                <w:rFonts w:ascii="Arial" w:eastAsia="Arial" w:hAnsi="Arial" w:cs="Arial"/>
                <w:b/>
              </w:rPr>
              <w:t xml:space="preserve">Ethical approval given </w:t>
            </w:r>
          </w:p>
        </w:tc>
        <w:tc>
          <w:tcPr>
            <w:tcW w:w="7064" w:type="dxa"/>
            <w:gridSpan w:val="2"/>
            <w:tcBorders>
              <w:top w:val="single" w:sz="4" w:space="0" w:color="7F7F7F"/>
              <w:left w:val="nil"/>
              <w:bottom w:val="single" w:sz="4" w:space="0" w:color="7F7F7F"/>
              <w:right w:val="single" w:sz="4" w:space="0" w:color="7F7F7F"/>
            </w:tcBorders>
            <w:shd w:val="clear" w:color="auto" w:fill="F2F2F2"/>
          </w:tcPr>
          <w:p w14:paraId="3EABD4D9" w14:textId="77777777" w:rsidR="00897D6D" w:rsidRDefault="00897D6D">
            <w:pPr>
              <w:spacing w:after="160" w:line="259" w:lineRule="auto"/>
            </w:pPr>
          </w:p>
        </w:tc>
      </w:tr>
      <w:tr w:rsidR="00897D6D" w14:paraId="3B5E94E8" w14:textId="77777777">
        <w:trPr>
          <w:trHeight w:val="743"/>
        </w:trPr>
        <w:tc>
          <w:tcPr>
            <w:tcW w:w="55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41FC55A" w14:textId="77777777" w:rsidR="00897D6D" w:rsidRDefault="00897D6D">
            <w:pPr>
              <w:spacing w:line="259" w:lineRule="auto"/>
              <w:ind w:left="130"/>
            </w:pPr>
            <w:r>
              <w:t>1</w:t>
            </w:r>
          </w:p>
        </w:tc>
        <w:tc>
          <w:tcPr>
            <w:tcW w:w="282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1E2F51A" w14:textId="77777777" w:rsidR="00897D6D" w:rsidRDefault="00897D6D">
            <w:pPr>
              <w:spacing w:line="259" w:lineRule="auto"/>
            </w:pPr>
            <w:r>
              <w:rPr>
                <w:rFonts w:ascii="Arial" w:eastAsia="Arial" w:hAnsi="Arial" w:cs="Arial"/>
                <w:b/>
              </w:rPr>
              <w:t>Signature of assessor:</w:t>
            </w:r>
          </w:p>
        </w:tc>
        <w:tc>
          <w:tcPr>
            <w:tcW w:w="4932" w:type="dxa"/>
            <w:tcBorders>
              <w:top w:val="single" w:sz="4" w:space="0" w:color="7F7F7F"/>
              <w:left w:val="single" w:sz="4" w:space="0" w:color="7F7F7F"/>
              <w:bottom w:val="single" w:sz="4" w:space="0" w:color="7F7F7F"/>
              <w:right w:val="single" w:sz="4" w:space="0" w:color="7F7F7F"/>
            </w:tcBorders>
          </w:tcPr>
          <w:p w14:paraId="7AE18D08" w14:textId="77777777" w:rsidR="00897D6D" w:rsidRDefault="00897D6D">
            <w:pPr>
              <w:spacing w:after="160" w:line="259" w:lineRule="auto"/>
            </w:pPr>
          </w:p>
        </w:tc>
        <w:tc>
          <w:tcPr>
            <w:tcW w:w="2132" w:type="dxa"/>
            <w:tcBorders>
              <w:top w:val="single" w:sz="4" w:space="0" w:color="7F7F7F"/>
              <w:left w:val="single" w:sz="4" w:space="0" w:color="7F7F7F"/>
              <w:bottom w:val="single" w:sz="4" w:space="0" w:color="7F7F7F"/>
              <w:right w:val="single" w:sz="4" w:space="0" w:color="7F7F7F"/>
            </w:tcBorders>
          </w:tcPr>
          <w:p w14:paraId="39EC5AA7" w14:textId="77777777" w:rsidR="00897D6D" w:rsidRDefault="00897D6D">
            <w:pPr>
              <w:spacing w:line="259" w:lineRule="auto"/>
            </w:pPr>
            <w:r>
              <w:rPr>
                <w:rFonts w:ascii="Arial" w:eastAsia="Arial" w:hAnsi="Arial" w:cs="Arial"/>
                <w:b/>
              </w:rPr>
              <w:t xml:space="preserve">Date: </w:t>
            </w:r>
          </w:p>
        </w:tc>
      </w:tr>
      <w:tr w:rsidR="00897D6D" w14:paraId="3AD724A4" w14:textId="77777777">
        <w:trPr>
          <w:trHeight w:val="667"/>
        </w:trPr>
        <w:tc>
          <w:tcPr>
            <w:tcW w:w="55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68352C3" w14:textId="77777777" w:rsidR="00897D6D" w:rsidRDefault="00897D6D">
            <w:pPr>
              <w:spacing w:line="259" w:lineRule="auto"/>
              <w:ind w:left="135"/>
            </w:pPr>
            <w:r>
              <w:rPr>
                <w:sz w:val="20"/>
              </w:rPr>
              <w:lastRenderedPageBreak/>
              <w:t>2</w:t>
            </w:r>
          </w:p>
        </w:tc>
        <w:tc>
          <w:tcPr>
            <w:tcW w:w="282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70ACB71" w14:textId="77777777" w:rsidR="00897D6D" w:rsidRDefault="00897D6D">
            <w:pPr>
              <w:spacing w:line="259" w:lineRule="auto"/>
            </w:pPr>
            <w:r>
              <w:rPr>
                <w:sz w:val="20"/>
              </w:rPr>
              <w:t>Name:</w:t>
            </w:r>
          </w:p>
        </w:tc>
        <w:tc>
          <w:tcPr>
            <w:tcW w:w="7064" w:type="dxa"/>
            <w:gridSpan w:val="2"/>
            <w:tcBorders>
              <w:top w:val="single" w:sz="4" w:space="0" w:color="7F7F7F"/>
              <w:left w:val="single" w:sz="4" w:space="0" w:color="7F7F7F"/>
              <w:bottom w:val="single" w:sz="4" w:space="0" w:color="7F7F7F"/>
              <w:right w:val="single" w:sz="4" w:space="0" w:color="7F7F7F"/>
            </w:tcBorders>
          </w:tcPr>
          <w:p w14:paraId="242BAEA1" w14:textId="77777777" w:rsidR="00897D6D" w:rsidRDefault="00897D6D">
            <w:pPr>
              <w:spacing w:after="160" w:line="259" w:lineRule="auto"/>
            </w:pPr>
          </w:p>
        </w:tc>
      </w:tr>
      <w:tr w:rsidR="00897D6D" w14:paraId="48F151B6" w14:textId="77777777">
        <w:trPr>
          <w:trHeight w:val="667"/>
        </w:trPr>
        <w:tc>
          <w:tcPr>
            <w:tcW w:w="552"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AA56C5C" w14:textId="77777777" w:rsidR="00897D6D" w:rsidRDefault="00897D6D">
            <w:pPr>
              <w:spacing w:line="259" w:lineRule="auto"/>
              <w:ind w:left="135"/>
            </w:pPr>
            <w:r>
              <w:rPr>
                <w:sz w:val="20"/>
              </w:rPr>
              <w:t>3</w:t>
            </w:r>
          </w:p>
        </w:tc>
        <w:tc>
          <w:tcPr>
            <w:tcW w:w="2826"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73AFBE2" w14:textId="77777777" w:rsidR="00897D6D" w:rsidRDefault="00897D6D">
            <w:pPr>
              <w:spacing w:line="259" w:lineRule="auto"/>
            </w:pPr>
            <w:r>
              <w:rPr>
                <w:sz w:val="20"/>
              </w:rPr>
              <w:t>Role:</w:t>
            </w:r>
          </w:p>
        </w:tc>
        <w:tc>
          <w:tcPr>
            <w:tcW w:w="7064" w:type="dxa"/>
            <w:gridSpan w:val="2"/>
            <w:tcBorders>
              <w:top w:val="single" w:sz="4" w:space="0" w:color="7F7F7F"/>
              <w:left w:val="single" w:sz="4" w:space="0" w:color="7F7F7F"/>
              <w:bottom w:val="single" w:sz="4" w:space="0" w:color="7F7F7F"/>
              <w:right w:val="single" w:sz="4" w:space="0" w:color="7F7F7F"/>
            </w:tcBorders>
          </w:tcPr>
          <w:p w14:paraId="5CDDED9C" w14:textId="77777777" w:rsidR="00897D6D" w:rsidRDefault="00897D6D">
            <w:pPr>
              <w:spacing w:after="160" w:line="259" w:lineRule="auto"/>
            </w:pPr>
          </w:p>
        </w:tc>
      </w:tr>
    </w:tbl>
    <w:p w14:paraId="6CD89D5D" w14:textId="77777777" w:rsidR="00897D6D" w:rsidRDefault="00897D6D"/>
    <w:p w14:paraId="02CBA56E" w14:textId="5BEA4157" w:rsidR="00E94348" w:rsidRDefault="00E94348"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634A94E7" w14:textId="7BD98261"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13ECBF9E" w14:textId="77777777" w:rsidR="00C85C76" w:rsidRPr="00CA2B83"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p>
    <w:p w14:paraId="4E140854" w14:textId="25B50378" w:rsidR="00C85C76" w:rsidRPr="00CA2B83" w:rsidRDefault="00CA2B83"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r w:rsidRPr="00CA2B83">
        <w:rPr>
          <w:rFonts w:ascii="Century Gothic" w:hAnsi="Century Gothic" w:cs="Century Gothic"/>
          <w:b/>
          <w:bCs/>
          <w:color w:val="000000"/>
          <w:kern w:val="0"/>
          <w:position w:val="2"/>
          <w:sz w:val="32"/>
          <w:szCs w:val="32"/>
        </w:rPr>
        <w:t xml:space="preserve">Appendix 3: </w:t>
      </w:r>
      <w:r w:rsidR="00C85C76" w:rsidRPr="00CA2B83">
        <w:rPr>
          <w:rFonts w:ascii="Century Gothic" w:hAnsi="Century Gothic" w:cs="Century Gothic"/>
          <w:b/>
          <w:bCs/>
          <w:color w:val="000000"/>
          <w:kern w:val="0"/>
          <w:position w:val="2"/>
          <w:sz w:val="32"/>
          <w:szCs w:val="32"/>
        </w:rPr>
        <w:t>Interview Questions</w:t>
      </w:r>
    </w:p>
    <w:p w14:paraId="5E626D71"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Carlito" w:eastAsia="Carlito" w:hAnsi="Carlito" w:cs="Carlito"/>
          <w:b/>
          <w:bCs/>
          <w:color w:val="405E8D"/>
          <w:sz w:val="28"/>
          <w:szCs w:val="28"/>
          <w:u w:color="405E8D"/>
        </w:rPr>
      </w:pPr>
      <w:r>
        <w:rPr>
          <w:rFonts w:ascii="Carlito" w:hAnsi="Carlito"/>
          <w:b/>
          <w:bCs/>
          <w:color w:val="405E8D"/>
          <w:sz w:val="28"/>
          <w:szCs w:val="28"/>
          <w:u w:color="405E8D"/>
        </w:rPr>
        <w:t xml:space="preserve">Part </w:t>
      </w:r>
      <w:r>
        <w:rPr>
          <w:rFonts w:ascii="Carlito" w:hAnsi="Carlito"/>
          <w:b/>
          <w:bCs/>
          <w:color w:val="405E8D"/>
          <w:sz w:val="28"/>
          <w:szCs w:val="28"/>
          <w:u w:color="405E8D"/>
          <w:lang w:val="en-US"/>
        </w:rPr>
        <w:t>A</w:t>
      </w:r>
      <w:r>
        <w:rPr>
          <w:rFonts w:ascii="Carlito" w:hAnsi="Carlito"/>
          <w:b/>
          <w:bCs/>
          <w:color w:val="405E8D"/>
          <w:sz w:val="28"/>
          <w:szCs w:val="28"/>
          <w:u w:color="405E8D"/>
        </w:rPr>
        <w:t>:</w:t>
      </w:r>
    </w:p>
    <w:p w14:paraId="010D7BBF"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it-IT"/>
        </w:rPr>
        <w:t xml:space="preserve">For </w:t>
      </w:r>
      <w:proofErr w:type="spellStart"/>
      <w:r>
        <w:rPr>
          <w:rFonts w:ascii="Helvetica" w:hAnsi="Helvetica"/>
          <w:sz w:val="21"/>
          <w:szCs w:val="21"/>
          <w:lang w:val="it-IT"/>
        </w:rPr>
        <w:t>Questions</w:t>
      </w:r>
      <w:proofErr w:type="spellEnd"/>
      <w:r>
        <w:rPr>
          <w:rFonts w:ascii="Helvetica" w:hAnsi="Helvetica"/>
          <w:sz w:val="21"/>
          <w:szCs w:val="21"/>
          <w:lang w:val="it-IT"/>
        </w:rPr>
        <w:t xml:space="preserve"> </w:t>
      </w:r>
      <w:r>
        <w:rPr>
          <w:rFonts w:ascii="Helvetica" w:hAnsi="Helvetica"/>
          <w:sz w:val="21"/>
          <w:szCs w:val="21"/>
          <w:lang w:val="en-US"/>
        </w:rPr>
        <w:t>1-10, please indicate the extent to which you agree with each statement. 1 = Strongly disagree; 2 =Disagree; 3 = Neither agree nor disagree; 4 = Agree; 5 = Strongly agree; Prefer not to answer.</w:t>
      </w:r>
    </w:p>
    <w:p w14:paraId="7D50ECE1"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249C712C"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en-US"/>
        </w:rPr>
        <w:t>1. A premium airline should retain a clear base level of included service, even when it offers paid extras.</w:t>
      </w:r>
    </w:p>
    <w:p w14:paraId="20AE668D"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5DA0E039"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en-US"/>
        </w:rPr>
        <w:t>2. Passengers are more likely to accept an ancillary product when its benefit and price are clear before they book.</w:t>
      </w:r>
    </w:p>
    <w:p w14:paraId="7FC6E2F7"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0BFE0C07"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en-US"/>
        </w:rPr>
        <w:t>3. Charging separately for services that passengers previously regarded as included can weaken trust in the</w:t>
      </w:r>
    </w:p>
    <w:p w14:paraId="2C202A68"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rPr>
        <w:t>airline brand.</w:t>
      </w:r>
    </w:p>
    <w:p w14:paraId="6907A4A8"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6544A8CE"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en-US"/>
        </w:rPr>
        <w:t>4. Passengers usually perceive an upgrade positively when the fee appears to add meaningful value to the</w:t>
      </w:r>
    </w:p>
    <w:p w14:paraId="160CD6A2"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roofErr w:type="spellStart"/>
      <w:proofErr w:type="gramStart"/>
      <w:r>
        <w:rPr>
          <w:rFonts w:ascii="Helvetica" w:hAnsi="Helvetica"/>
          <w:sz w:val="21"/>
          <w:szCs w:val="21"/>
          <w:lang w:val="fr-FR"/>
        </w:rPr>
        <w:t>journey</w:t>
      </w:r>
      <w:proofErr w:type="spellEnd"/>
      <w:proofErr w:type="gramEnd"/>
      <w:r>
        <w:rPr>
          <w:rFonts w:ascii="Helvetica" w:hAnsi="Helvetica"/>
          <w:sz w:val="21"/>
          <w:szCs w:val="21"/>
          <w:lang w:val="fr-FR"/>
        </w:rPr>
        <w:t>.</w:t>
      </w:r>
    </w:p>
    <w:p w14:paraId="0592B8A2"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68C1BFAB"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en-US"/>
        </w:rPr>
        <w:t>5. Virgin Atlantic</w:t>
      </w:r>
      <w:r>
        <w:rPr>
          <w:rFonts w:ascii="Arial Unicode MS" w:hAnsi="Arial Unicode MS"/>
          <w:sz w:val="21"/>
          <w:szCs w:val="21"/>
          <w:rtl/>
        </w:rPr>
        <w:t>’</w:t>
      </w:r>
      <w:r>
        <w:rPr>
          <w:rFonts w:ascii="Helvetica" w:hAnsi="Helvetica"/>
          <w:sz w:val="21"/>
          <w:szCs w:val="21"/>
          <w:lang w:val="en-US"/>
        </w:rPr>
        <w:t>s long-haul offer is associated primarily with service, care and a lower-stress journey.</w:t>
      </w:r>
    </w:p>
    <w:p w14:paraId="6BE2F263"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7C79B60C"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en-US"/>
        </w:rPr>
        <w:t xml:space="preserve">6. A premium airline can introduce a lower-entry fare without damaging its brand if the offer is </w:t>
      </w:r>
    </w:p>
    <w:p w14:paraId="6449F4C0"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rPr>
        <w:t>transparent.</w:t>
      </w:r>
    </w:p>
    <w:p w14:paraId="043F567A"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0CE528F1"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en-US"/>
        </w:rPr>
        <w:t xml:space="preserve">7. Loyalty </w:t>
      </w:r>
      <w:proofErr w:type="spellStart"/>
      <w:r>
        <w:rPr>
          <w:rFonts w:ascii="Helvetica" w:hAnsi="Helvetica"/>
          <w:sz w:val="21"/>
          <w:szCs w:val="21"/>
          <w:lang w:val="en-US"/>
        </w:rPr>
        <w:t>programmes</w:t>
      </w:r>
      <w:proofErr w:type="spellEnd"/>
      <w:r>
        <w:rPr>
          <w:rFonts w:ascii="Helvetica" w:hAnsi="Helvetica"/>
          <w:sz w:val="21"/>
          <w:szCs w:val="21"/>
          <w:lang w:val="en-US"/>
        </w:rPr>
        <w:t xml:space="preserve"> strengthen customer relationships when they offer clear earning and redemption</w:t>
      </w:r>
    </w:p>
    <w:p w14:paraId="4E6055E1"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en-US"/>
        </w:rPr>
        <w:t>opportunities and deliver attainable value.</w:t>
      </w:r>
    </w:p>
    <w:p w14:paraId="60CB78A5"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78E03EF5"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en-US"/>
        </w:rPr>
        <w:lastRenderedPageBreak/>
        <w:t>8. Loyalty partnerships beyond flying (for example, lifestyle partners) can contribute to a successful loyalty</w:t>
      </w:r>
    </w:p>
    <w:p w14:paraId="4DDC4838"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rPr>
        <w:t>ecosystem.</w:t>
      </w:r>
    </w:p>
    <w:p w14:paraId="16CB78EB"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16EA8A6B"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en-US"/>
        </w:rPr>
        <w:t>9. Consistent offers and service across websites, apps and other channels are essential to customer trust.</w:t>
      </w:r>
    </w:p>
    <w:p w14:paraId="3ECCE371"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553E4535"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rPr>
        <w:t>1</w:t>
      </w:r>
      <w:r>
        <w:rPr>
          <w:rFonts w:ascii="Helvetica" w:hAnsi="Helvetica"/>
          <w:sz w:val="21"/>
          <w:szCs w:val="21"/>
          <w:lang w:val="en-US"/>
        </w:rPr>
        <w:t xml:space="preserve">0. Airlines should use customer data to improve </w:t>
      </w:r>
      <w:proofErr w:type="gramStart"/>
      <w:r>
        <w:rPr>
          <w:rFonts w:ascii="Helvetica" w:hAnsi="Helvetica"/>
          <w:sz w:val="21"/>
          <w:szCs w:val="21"/>
          <w:lang w:val="en-US"/>
        </w:rPr>
        <w:t>relevance, but</w:t>
      </w:r>
      <w:proofErr w:type="gramEnd"/>
      <w:r>
        <w:rPr>
          <w:rFonts w:ascii="Helvetica" w:hAnsi="Helvetica"/>
          <w:sz w:val="21"/>
          <w:szCs w:val="21"/>
          <w:lang w:val="en-US"/>
        </w:rPr>
        <w:t xml:space="preserve"> should not apply opaque individual pricing.</w:t>
      </w:r>
    </w:p>
    <w:p w14:paraId="50F1F651"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Carlito" w:eastAsia="Carlito" w:hAnsi="Carlito" w:cs="Carlito"/>
          <w:b/>
          <w:bCs/>
          <w:color w:val="405E8D"/>
          <w:sz w:val="28"/>
          <w:szCs w:val="28"/>
          <w:u w:color="405E8D"/>
        </w:rPr>
      </w:pPr>
    </w:p>
    <w:p w14:paraId="6D836920"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Carlito" w:eastAsia="Carlito" w:hAnsi="Carlito" w:cs="Carlito"/>
          <w:b/>
          <w:bCs/>
          <w:color w:val="405E8D"/>
          <w:sz w:val="28"/>
          <w:szCs w:val="28"/>
          <w:u w:color="405E8D"/>
        </w:rPr>
      </w:pPr>
    </w:p>
    <w:p w14:paraId="6564D973"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Carlito" w:eastAsia="Carlito" w:hAnsi="Carlito" w:cs="Carlito"/>
          <w:b/>
          <w:bCs/>
          <w:color w:val="405E8D"/>
          <w:sz w:val="28"/>
          <w:szCs w:val="28"/>
          <w:u w:color="405E8D"/>
        </w:rPr>
      </w:pPr>
    </w:p>
    <w:p w14:paraId="68F6EF1C"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Carlito" w:eastAsia="Carlito" w:hAnsi="Carlito" w:cs="Carlito"/>
          <w:b/>
          <w:bCs/>
          <w:color w:val="405E8D"/>
          <w:sz w:val="28"/>
          <w:szCs w:val="28"/>
          <w:u w:color="405E8D"/>
        </w:rPr>
      </w:pPr>
      <w:r>
        <w:rPr>
          <w:rFonts w:ascii="Carlito" w:hAnsi="Carlito"/>
          <w:b/>
          <w:bCs/>
          <w:color w:val="405E8D"/>
          <w:sz w:val="28"/>
          <w:szCs w:val="28"/>
          <w:u w:color="405E8D"/>
        </w:rPr>
        <w:t xml:space="preserve">Part </w:t>
      </w:r>
      <w:r>
        <w:rPr>
          <w:rFonts w:ascii="Carlito" w:hAnsi="Carlito"/>
          <w:b/>
          <w:bCs/>
          <w:color w:val="405E8D"/>
          <w:sz w:val="28"/>
          <w:szCs w:val="28"/>
          <w:u w:color="405E8D"/>
          <w:lang w:val="en-US"/>
        </w:rPr>
        <w:t>B: semi-structured interview questions</w:t>
      </w:r>
    </w:p>
    <w:p w14:paraId="643FF94F"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Carlito" w:eastAsia="Carlito" w:hAnsi="Carlito" w:cs="Carlito"/>
          <w:b/>
          <w:bCs/>
          <w:color w:val="405E8D"/>
          <w:sz w:val="28"/>
          <w:szCs w:val="28"/>
          <w:u w:color="405E8D"/>
        </w:rPr>
      </w:pPr>
    </w:p>
    <w:p w14:paraId="054C3A5F"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en-US"/>
        </w:rPr>
        <w:t xml:space="preserve">For part B please free type and be as detailed as possible without revealing company sensitive data or figures. </w:t>
      </w:r>
    </w:p>
    <w:p w14:paraId="58680CDA"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2AC1E5D5"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rPr>
        <w:t>1</w:t>
      </w:r>
      <w:r>
        <w:rPr>
          <w:rFonts w:ascii="Helvetica" w:hAnsi="Helvetica"/>
          <w:sz w:val="21"/>
          <w:szCs w:val="21"/>
          <w:lang w:val="en-US"/>
        </w:rPr>
        <w:t xml:space="preserve">1. When you hear the name </w:t>
      </w:r>
      <w:r>
        <w:rPr>
          <w:rFonts w:ascii="Arial Unicode MS" w:hAnsi="Arial Unicode MS"/>
          <w:sz w:val="21"/>
          <w:szCs w:val="21"/>
          <w:rtl/>
          <w:lang w:val="ar-SA"/>
        </w:rPr>
        <w:t>“</w:t>
      </w:r>
      <w:r>
        <w:rPr>
          <w:rFonts w:ascii="Helvetica" w:hAnsi="Helvetica"/>
          <w:sz w:val="21"/>
          <w:szCs w:val="21"/>
          <w:lang w:val="en-US"/>
        </w:rPr>
        <w:t>Virgin Atlantic</w:t>
      </w:r>
      <w:r>
        <w:rPr>
          <w:rFonts w:ascii="Helvetica" w:hAnsi="Helvetica"/>
          <w:sz w:val="21"/>
          <w:szCs w:val="21"/>
        </w:rPr>
        <w:t>”</w:t>
      </w:r>
      <w:r>
        <w:rPr>
          <w:rFonts w:ascii="Helvetica" w:hAnsi="Helvetica"/>
          <w:sz w:val="21"/>
          <w:szCs w:val="21"/>
          <w:lang w:val="en-US"/>
        </w:rPr>
        <w:t>, what core brand values or passenger expectations immediately</w:t>
      </w:r>
    </w:p>
    <w:p w14:paraId="6B9ADFAA"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en-US"/>
        </w:rPr>
        <w:t>come to mind?</w:t>
      </w:r>
    </w:p>
    <w:p w14:paraId="2F835AF2"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5D44B5D4"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rPr>
        <w:t>1</w:t>
      </w:r>
      <w:r>
        <w:rPr>
          <w:rFonts w:ascii="Helvetica" w:hAnsi="Helvetica"/>
          <w:sz w:val="21"/>
          <w:szCs w:val="21"/>
          <w:lang w:val="en-US"/>
        </w:rPr>
        <w:t>2. How does the broader brand identity influence the way an airline approaches its commercial and retail strategy compared with traditional legacy carriers?</w:t>
      </w:r>
    </w:p>
    <w:p w14:paraId="30005D88"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19110A3E"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3DC2AC37" w14:textId="4A1BBBBC"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rPr>
        <w:t>1</w:t>
      </w:r>
      <w:r>
        <w:rPr>
          <w:rFonts w:ascii="Helvetica" w:hAnsi="Helvetica"/>
          <w:sz w:val="21"/>
          <w:szCs w:val="21"/>
          <w:lang w:val="en-US"/>
        </w:rPr>
        <w:t xml:space="preserve">3. How has the post-pandemic rise of the </w:t>
      </w:r>
      <w:r>
        <w:rPr>
          <w:rFonts w:ascii="Arial Unicode MS" w:hAnsi="Arial Unicode MS"/>
          <w:sz w:val="21"/>
          <w:szCs w:val="21"/>
          <w:rtl/>
          <w:lang w:val="ar-SA"/>
        </w:rPr>
        <w:t>“</w:t>
      </w:r>
      <w:r>
        <w:rPr>
          <w:rFonts w:ascii="Helvetica" w:hAnsi="Helvetica"/>
          <w:sz w:val="21"/>
          <w:szCs w:val="21"/>
          <w:lang w:val="pt-PT"/>
        </w:rPr>
        <w:t xml:space="preserve">premium </w:t>
      </w:r>
      <w:proofErr w:type="spellStart"/>
      <w:r>
        <w:rPr>
          <w:rFonts w:ascii="Helvetica" w:hAnsi="Helvetica"/>
          <w:sz w:val="21"/>
          <w:szCs w:val="21"/>
          <w:lang w:val="pt-PT"/>
        </w:rPr>
        <w:t>leisure</w:t>
      </w:r>
      <w:proofErr w:type="spellEnd"/>
      <w:r>
        <w:rPr>
          <w:rFonts w:ascii="Helvetica" w:hAnsi="Helvetica"/>
          <w:sz w:val="21"/>
          <w:szCs w:val="21"/>
        </w:rPr>
        <w:t xml:space="preserve">” </w:t>
      </w:r>
      <w:r>
        <w:rPr>
          <w:rFonts w:ascii="Helvetica" w:hAnsi="Helvetica"/>
          <w:sz w:val="21"/>
          <w:szCs w:val="21"/>
          <w:lang w:val="en-US"/>
        </w:rPr>
        <w:t>traveler</w:t>
      </w:r>
      <w:r>
        <w:rPr>
          <w:rFonts w:ascii="Helvetica" w:hAnsi="Helvetica"/>
          <w:sz w:val="21"/>
          <w:szCs w:val="21"/>
          <w:lang w:val="en-US"/>
        </w:rPr>
        <w:t xml:space="preserve"> changed how ancillary products are designed and marketed?</w:t>
      </w:r>
    </w:p>
    <w:p w14:paraId="70557C97"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1A99990E"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11916CA7"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rPr>
        <w:t>1</w:t>
      </w:r>
      <w:r>
        <w:rPr>
          <w:rFonts w:ascii="Helvetica" w:hAnsi="Helvetica"/>
          <w:sz w:val="21"/>
          <w:szCs w:val="21"/>
          <w:lang w:val="en-US"/>
        </w:rPr>
        <w:t xml:space="preserve">4. Looking at European competitors that </w:t>
      </w:r>
      <w:proofErr w:type="spellStart"/>
      <w:r>
        <w:rPr>
          <w:rFonts w:ascii="Helvetica" w:hAnsi="Helvetica"/>
          <w:sz w:val="21"/>
          <w:szCs w:val="21"/>
          <w:lang w:val="en-US"/>
        </w:rPr>
        <w:t>monetise</w:t>
      </w:r>
      <w:proofErr w:type="spellEnd"/>
      <w:r>
        <w:rPr>
          <w:rFonts w:ascii="Helvetica" w:hAnsi="Helvetica"/>
          <w:sz w:val="21"/>
          <w:szCs w:val="21"/>
          <w:lang w:val="en-US"/>
        </w:rPr>
        <w:t xml:space="preserve"> elements such as sustainability, where is the next major opportunity for value-added upsell in long-haul travel?</w:t>
      </w:r>
    </w:p>
    <w:p w14:paraId="13020FD9"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5126AEC1"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540B016C"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rPr>
        <w:t>1</w:t>
      </w:r>
      <w:r>
        <w:rPr>
          <w:rFonts w:ascii="Helvetica" w:hAnsi="Helvetica"/>
          <w:sz w:val="21"/>
          <w:szCs w:val="21"/>
          <w:lang w:val="en-US"/>
        </w:rPr>
        <w:t>5. Given EU interchange-fee caps restrict credit-card revenues, how vital is a coalition model to maintaining a profitable loyalty ecosystem?</w:t>
      </w:r>
    </w:p>
    <w:p w14:paraId="454267DF"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1F97B579"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1A19A62C"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rPr>
        <w:t>1</w:t>
      </w:r>
      <w:r>
        <w:rPr>
          <w:rFonts w:ascii="Helvetica" w:hAnsi="Helvetica"/>
          <w:sz w:val="21"/>
          <w:szCs w:val="21"/>
          <w:lang w:val="en-US"/>
        </w:rPr>
        <w:t>6. How do you balance the need for dynamic reward pricing with the risk that customers feel the value of their points has been diluted?</w:t>
      </w:r>
    </w:p>
    <w:p w14:paraId="650896D6"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158F7A11"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en-US"/>
        </w:rPr>
        <w:t xml:space="preserve"> </w:t>
      </w:r>
    </w:p>
    <w:p w14:paraId="3C4AAE59"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en-US"/>
        </w:rPr>
        <w:t xml:space="preserve">17. Can unbundled products, such as Economy Light, act as positive choice architecture rather than </w:t>
      </w:r>
      <w:r>
        <w:rPr>
          <w:rFonts w:ascii="Arial Unicode MS" w:hAnsi="Arial Unicode MS"/>
          <w:sz w:val="21"/>
          <w:szCs w:val="21"/>
          <w:rtl/>
          <w:lang w:val="ar-SA"/>
        </w:rPr>
        <w:t>“</w:t>
      </w:r>
      <w:r>
        <w:rPr>
          <w:rFonts w:ascii="Helvetica" w:hAnsi="Helvetica"/>
          <w:sz w:val="21"/>
          <w:szCs w:val="21"/>
        </w:rPr>
        <w:t>d</w:t>
      </w:r>
      <w:r>
        <w:rPr>
          <w:rFonts w:ascii="Helvetica" w:hAnsi="Helvetica"/>
          <w:sz w:val="21"/>
          <w:szCs w:val="21"/>
          <w:lang w:val="en-US"/>
        </w:rPr>
        <w:t>rip pricing</w:t>
      </w:r>
      <w:r>
        <w:rPr>
          <w:rFonts w:ascii="Helvetica" w:hAnsi="Helvetica"/>
          <w:sz w:val="21"/>
          <w:szCs w:val="21"/>
        </w:rPr>
        <w:t>”</w:t>
      </w:r>
      <w:r>
        <w:rPr>
          <w:rFonts w:ascii="Helvetica" w:hAnsi="Helvetica"/>
          <w:sz w:val="21"/>
          <w:szCs w:val="21"/>
          <w:lang w:val="zh-TW" w:eastAsia="zh-TW"/>
        </w:rPr>
        <w:t>?</w:t>
      </w:r>
    </w:p>
    <w:p w14:paraId="180F73D0"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23DAA01F"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en-US"/>
        </w:rPr>
        <w:t>18. When developing a new ancillary revenue stream, which elements of the journey must remain included in the overall fare in your opinion</w:t>
      </w:r>
      <w:r>
        <w:rPr>
          <w:rFonts w:ascii="Helvetica" w:hAnsi="Helvetica"/>
          <w:sz w:val="21"/>
          <w:szCs w:val="21"/>
          <w:lang w:val="zh-TW" w:eastAsia="zh-TW"/>
        </w:rPr>
        <w:t>?</w:t>
      </w:r>
    </w:p>
    <w:p w14:paraId="153D8986"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74D19F5C"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28DB89C7"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en-US"/>
        </w:rPr>
        <w:t>19. In your experience, how difficult is it to recover from a service failure when it involves a specific paid ancillary item, such as a moved seat or lost</w:t>
      </w:r>
      <w:r>
        <w:rPr>
          <w:rFonts w:ascii="Helvetica" w:hAnsi="Helvetica"/>
          <w:sz w:val="21"/>
          <w:szCs w:val="21"/>
          <w:lang w:val="zh-TW" w:eastAsia="zh-TW"/>
        </w:rPr>
        <w:t xml:space="preserve"> bag?</w:t>
      </w:r>
    </w:p>
    <w:p w14:paraId="09416CCA"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2DF73E87"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01267CEA"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r>
        <w:rPr>
          <w:rFonts w:ascii="Helvetica" w:hAnsi="Helvetica"/>
          <w:sz w:val="21"/>
          <w:szCs w:val="21"/>
          <w:lang w:val="en-US"/>
        </w:rPr>
        <w:lastRenderedPageBreak/>
        <w:t xml:space="preserve">20. As the industry moves towards AI-supported yield </w:t>
      </w:r>
      <w:proofErr w:type="spellStart"/>
      <w:r>
        <w:rPr>
          <w:rFonts w:ascii="Helvetica" w:hAnsi="Helvetica"/>
          <w:sz w:val="21"/>
          <w:szCs w:val="21"/>
          <w:lang w:val="en-US"/>
        </w:rPr>
        <w:t>maximisation</w:t>
      </w:r>
      <w:proofErr w:type="spellEnd"/>
      <w:r>
        <w:rPr>
          <w:rFonts w:ascii="Helvetica" w:hAnsi="Helvetica"/>
          <w:sz w:val="21"/>
          <w:szCs w:val="21"/>
          <w:lang w:val="en-US"/>
        </w:rPr>
        <w:t>, what makes an offer or price feel subjectively unfair to a customer?</w:t>
      </w:r>
    </w:p>
    <w:p w14:paraId="3C92D581"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1"/>
          <w:szCs w:val="21"/>
        </w:rPr>
      </w:pPr>
    </w:p>
    <w:p w14:paraId="68158E0E" w14:textId="77777777" w:rsidR="00C85C76" w:rsidRDefault="00C85C76" w:rsidP="00C85C7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pPr>
      <w:r>
        <w:rPr>
          <w:rFonts w:ascii="Helvetica" w:hAnsi="Helvetica"/>
          <w:sz w:val="21"/>
          <w:szCs w:val="21"/>
        </w:rPr>
        <w:t>2</w:t>
      </w:r>
      <w:r>
        <w:rPr>
          <w:rFonts w:ascii="Helvetica" w:hAnsi="Helvetica"/>
          <w:sz w:val="21"/>
          <w:szCs w:val="21"/>
          <w:lang w:val="en-US"/>
        </w:rPr>
        <w:t>1. Considering the hospitality sector</w:t>
      </w:r>
      <w:r>
        <w:rPr>
          <w:rFonts w:ascii="Arial Unicode MS" w:hAnsi="Arial Unicode MS"/>
          <w:sz w:val="21"/>
          <w:szCs w:val="21"/>
          <w:rtl/>
        </w:rPr>
        <w:t>’</w:t>
      </w:r>
      <w:r>
        <w:rPr>
          <w:rFonts w:ascii="Helvetica" w:hAnsi="Helvetica"/>
          <w:sz w:val="21"/>
          <w:szCs w:val="21"/>
          <w:lang w:val="en-US"/>
        </w:rPr>
        <w:t xml:space="preserve">s insurance and regulatory backlash against hidden </w:t>
      </w:r>
      <w:r>
        <w:rPr>
          <w:rFonts w:ascii="Arial Unicode MS" w:hAnsi="Arial Unicode MS"/>
          <w:sz w:val="21"/>
          <w:szCs w:val="21"/>
          <w:rtl/>
          <w:lang w:val="ar-SA"/>
        </w:rPr>
        <w:t>“</w:t>
      </w:r>
      <w:r>
        <w:rPr>
          <w:rFonts w:ascii="Helvetica" w:hAnsi="Helvetica"/>
          <w:sz w:val="21"/>
          <w:szCs w:val="21"/>
          <w:lang w:val="en-US"/>
        </w:rPr>
        <w:t>resort fees</w:t>
      </w:r>
      <w:r>
        <w:rPr>
          <w:rFonts w:ascii="Helvetica" w:hAnsi="Helvetica"/>
          <w:sz w:val="21"/>
          <w:szCs w:val="21"/>
        </w:rPr>
        <w:t>”</w:t>
      </w:r>
      <w:r>
        <w:rPr>
          <w:rFonts w:ascii="Helvetica" w:hAnsi="Helvetica"/>
          <w:sz w:val="21"/>
          <w:szCs w:val="21"/>
          <w:lang w:val="en-US"/>
        </w:rPr>
        <w:t>, what guardrails should airlines put in place to ensure fares and ancillary fees remain transparent and fair?</w:t>
      </w:r>
    </w:p>
    <w:p w14:paraId="560D7C32"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3F3F3DB5"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782F0FC8"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407D735A"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27BF1BBD"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6997E58B"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034DF511"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60BF5268"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26C959B2"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color w:val="000000"/>
          <w:kern w:val="0"/>
          <w:position w:val="2"/>
          <w:sz w:val="32"/>
          <w:szCs w:val="32"/>
        </w:rPr>
      </w:pPr>
    </w:p>
    <w:p w14:paraId="48F10764" w14:textId="77777777" w:rsidR="00CA2B83" w:rsidRDefault="00CA2B83"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p>
    <w:p w14:paraId="08182C61" w14:textId="77777777" w:rsidR="00CA2B83" w:rsidRDefault="00CA2B83"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p>
    <w:p w14:paraId="08FAF8AB" w14:textId="77777777" w:rsidR="00CA2B83" w:rsidRDefault="00CA2B83"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p>
    <w:p w14:paraId="1582BA17" w14:textId="226B49CD"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480" w:lineRule="auto"/>
        <w:rPr>
          <w:rFonts w:ascii="Century Gothic" w:hAnsi="Century Gothic" w:cs="Century Gothic"/>
          <w:b/>
          <w:bCs/>
          <w:color w:val="000000"/>
          <w:kern w:val="0"/>
          <w:position w:val="2"/>
          <w:sz w:val="32"/>
          <w:szCs w:val="32"/>
        </w:rPr>
      </w:pPr>
      <w:r>
        <w:rPr>
          <w:rFonts w:ascii="Century Gothic" w:hAnsi="Century Gothic" w:cs="Century Gothic"/>
          <w:b/>
          <w:bCs/>
          <w:color w:val="000000"/>
          <w:kern w:val="0"/>
          <w:position w:val="2"/>
          <w:sz w:val="32"/>
          <w:szCs w:val="32"/>
        </w:rPr>
        <w:lastRenderedPageBreak/>
        <w:t>References:</w:t>
      </w:r>
    </w:p>
    <w:p w14:paraId="5329AF37"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Aaker, D.A. (1991). Managing brand equity: Capitalizing on the value of a brand name. New York: Free Press.</w:t>
      </w:r>
    </w:p>
    <w:p w14:paraId="0133A6ED"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Aaker, D.A. (1996). Measuring brand equity across products and markets. California Management Review, [online] 38(3), pp.102-120. Available at: https://cmr.berkeley.edu/1996/05/38-3-measuring-brand-equity-across-products-and-markets/ [Accessed 20 Jul. 2026].</w:t>
      </w:r>
    </w:p>
    <w:p w14:paraId="359792B0" w14:textId="3D143A0F"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proofErr w:type="spellStart"/>
      <w:r>
        <w:rPr>
          <w:rFonts w:ascii="Century Gothic" w:hAnsi="Century Gothic" w:cs="Century Gothic"/>
          <w:color w:val="000000"/>
          <w:kern w:val="0"/>
          <w:position w:val="2"/>
        </w:rPr>
        <w:t>Abdelghany</w:t>
      </w:r>
      <w:proofErr w:type="spellEnd"/>
      <w:r>
        <w:rPr>
          <w:rFonts w:ascii="Century Gothic" w:hAnsi="Century Gothic" w:cs="Century Gothic"/>
          <w:color w:val="000000"/>
          <w:kern w:val="0"/>
          <w:position w:val="2"/>
        </w:rPr>
        <w:t xml:space="preserve">, A. and </w:t>
      </w:r>
      <w:proofErr w:type="spellStart"/>
      <w:r>
        <w:rPr>
          <w:rFonts w:ascii="Century Gothic" w:hAnsi="Century Gothic" w:cs="Century Gothic"/>
          <w:color w:val="000000"/>
          <w:kern w:val="0"/>
          <w:position w:val="2"/>
        </w:rPr>
        <w:t>Abdelghany</w:t>
      </w:r>
      <w:proofErr w:type="spellEnd"/>
      <w:r>
        <w:rPr>
          <w:rFonts w:ascii="Century Gothic" w:hAnsi="Century Gothic" w:cs="Century Gothic"/>
          <w:color w:val="000000"/>
          <w:kern w:val="0"/>
          <w:position w:val="2"/>
        </w:rPr>
        <w:t xml:space="preserve">, K. (2026). Unbundling and Ancillary Revenue Strategies in Aviation. Journal of Air Transport Management, [online]. Available at: </w:t>
      </w:r>
      <w:hyperlink r:id="rId15" w:history="1">
        <w:r w:rsidR="00CA2B83" w:rsidRPr="00352FEA">
          <w:rPr>
            <w:rStyle w:val="Hyperlink"/>
            <w:rFonts w:ascii="Century Gothic" w:hAnsi="Century Gothic" w:cs="Century Gothic"/>
            <w:kern w:val="0"/>
            <w:position w:val="2"/>
          </w:rPr>
          <w:t>https://www.sciencedirect.com/science/article/abs/pii/S0969699725001887</w:t>
        </w:r>
      </w:hyperlink>
      <w:r w:rsidR="00CA2B83">
        <w:rPr>
          <w:rFonts w:ascii="Century Gothic" w:hAnsi="Century Gothic" w:cs="Century Gothic"/>
          <w:color w:val="000000"/>
          <w:kern w:val="0"/>
          <w:position w:val="2"/>
        </w:rPr>
        <w:t xml:space="preserve"> </w:t>
      </w:r>
      <w:r>
        <w:rPr>
          <w:rFonts w:ascii="Century Gothic" w:hAnsi="Century Gothic" w:cs="Century Gothic"/>
          <w:color w:val="000000"/>
          <w:kern w:val="0"/>
          <w:position w:val="2"/>
        </w:rPr>
        <w:t xml:space="preserve"> [Accessed 10 Sep. 2026].</w:t>
      </w:r>
    </w:p>
    <w:p w14:paraId="12E33372"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ACC Aviation (2020). Supporting airlines through COVID-19: Part 3. [online] ACC Aviation. Available at: https://accaviation.com/news-insights/supporting-airlines-through-covid-19-part-3/ [Accessed 22 Jan. 2026].</w:t>
      </w:r>
    </w:p>
    <w:p w14:paraId="313962A0"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p>
    <w:p w14:paraId="01894F2C"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ACCA (2018). IFRS 15 revenue recognition steps. [online] ACCA Global. Available at: https://www.accaglobal.com/uk/en/technical-activities/technical-resources-search/2018/october/IFRS15-revenue-recognition-steps.html [Accessed 18 Feb. 2026].</w:t>
      </w:r>
    </w:p>
    <w:p w14:paraId="0BAF038F"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American Airlines (2021). American Airlines prepays secured loan from U.S. Department of the Treasury, terminates loan agreement. [online] American Airlines Newsroom. Available at: https://news.aa.com/news/news-details/2021/American-Airlines-Prepays-Secured-Loan-From-U.S.-Department-of-the-Treasury-Terminates-Loan-Agreement-CORP-FI-03/default.aspx [Accessed 12 Nov. 2025].</w:t>
      </w:r>
    </w:p>
    <w:p w14:paraId="54283DBF"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proofErr w:type="spellStart"/>
      <w:r>
        <w:rPr>
          <w:rFonts w:ascii="Century Gothic" w:hAnsi="Century Gothic" w:cs="Century Gothic"/>
          <w:color w:val="000000"/>
          <w:kern w:val="0"/>
          <w:position w:val="2"/>
        </w:rPr>
        <w:t>Ashfords</w:t>
      </w:r>
      <w:proofErr w:type="spellEnd"/>
      <w:r>
        <w:rPr>
          <w:rFonts w:ascii="Century Gothic" w:hAnsi="Century Gothic" w:cs="Century Gothic"/>
          <w:color w:val="000000"/>
          <w:kern w:val="0"/>
          <w:position w:val="2"/>
        </w:rPr>
        <w:t xml:space="preserve"> (2020). Re Virgin Atlantic Airways Ltd [2020] EWHC 2376 (Ch). [online] </w:t>
      </w:r>
      <w:proofErr w:type="spellStart"/>
      <w:r>
        <w:rPr>
          <w:rFonts w:ascii="Century Gothic" w:hAnsi="Century Gothic" w:cs="Century Gothic"/>
          <w:color w:val="000000"/>
          <w:kern w:val="0"/>
          <w:position w:val="2"/>
        </w:rPr>
        <w:t>Ashfords</w:t>
      </w:r>
      <w:proofErr w:type="spellEnd"/>
      <w:r>
        <w:rPr>
          <w:rFonts w:ascii="Century Gothic" w:hAnsi="Century Gothic" w:cs="Century Gothic"/>
          <w:color w:val="000000"/>
          <w:kern w:val="0"/>
          <w:position w:val="2"/>
        </w:rPr>
        <w:t>. Available at: https://www.ashfords.co.uk/insights/articles/re-virgin-atlantic-airways-ltd-2020-ewhc-2376-ch [Accessed 10 Mar. 2026].</w:t>
      </w:r>
    </w:p>
    <w:p w14:paraId="26D5A197"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Aviator (2015). Virgin Atlantic to launch air4 suite of passenger service systems in partnership with Delta Air Lines. [online] Aviator. Available at: https://aviator.aero/press/virgin-atlantic-to-launch-air4-suite-of-passenger-service-systems-in-partnership-with-delta-air-lines [Accessed 12 Sep. 2026].</w:t>
      </w:r>
    </w:p>
    <w:p w14:paraId="6CA4EDE0"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Bell, E., Bryman, A. and Harley, B. (2019). Business Research Methods. 5th ed. Oxford: Oxford University Press.</w:t>
      </w:r>
    </w:p>
    <w:p w14:paraId="0E46AA48"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lastRenderedPageBreak/>
        <w:t xml:space="preserve">Bird &amp; Bird (2018). Interchange Fee Regulation and PSD2: Important judgments from the European Court of Justice. [online] </w:t>
      </w:r>
      <w:proofErr w:type="spellStart"/>
      <w:r>
        <w:rPr>
          <w:rFonts w:ascii="Century Gothic" w:hAnsi="Century Gothic" w:cs="Century Gothic"/>
          <w:color w:val="000000"/>
          <w:kern w:val="0"/>
          <w:position w:val="2"/>
        </w:rPr>
        <w:t>TwoBirds</w:t>
      </w:r>
      <w:proofErr w:type="spellEnd"/>
      <w:r>
        <w:rPr>
          <w:rFonts w:ascii="Century Gothic" w:hAnsi="Century Gothic" w:cs="Century Gothic"/>
          <w:color w:val="000000"/>
          <w:kern w:val="0"/>
          <w:position w:val="2"/>
        </w:rPr>
        <w:t>. Available at: https://www.twobirds.com/en/insights/2018/global/interchange-fee-regulation-and-psd2-important-judgments-from-the-european-court-of-justice [Accessed 15 May 2026].</w:t>
      </w:r>
    </w:p>
    <w:p w14:paraId="47FF4208"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 xml:space="preserve">Bolton, L.E., </w:t>
      </w:r>
      <w:proofErr w:type="spellStart"/>
      <w:r>
        <w:rPr>
          <w:rFonts w:ascii="Century Gothic" w:hAnsi="Century Gothic" w:cs="Century Gothic"/>
          <w:color w:val="000000"/>
          <w:kern w:val="0"/>
          <w:position w:val="2"/>
        </w:rPr>
        <w:t>Warlop</w:t>
      </w:r>
      <w:proofErr w:type="spellEnd"/>
      <w:r>
        <w:rPr>
          <w:rFonts w:ascii="Century Gothic" w:hAnsi="Century Gothic" w:cs="Century Gothic"/>
          <w:color w:val="000000"/>
          <w:kern w:val="0"/>
          <w:position w:val="2"/>
        </w:rPr>
        <w:t>, L. and Alba, J.W. (2003). Consumer Perceptions of Price (Un)Fairness. Journal of Consumer Research, [online] 29(4), pp.474-491. Available at: https://www.researchgate.net/publication/24099154_Consumer_Perceptions_of_Price_UnFairness [Accessed 3 Aug. 2026].</w:t>
      </w:r>
    </w:p>
    <w:p w14:paraId="2694F763"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Braun, V. and Clarke, V. (2006). Using thematic analysis in psychology. Qualitative Research in Psychology, [online] 3(2), pp.77-101.</w:t>
      </w:r>
    </w:p>
    <w:p w14:paraId="3BE35992"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Braun, V. and Clarke, V. (2012). Thematic analysis. In: APA handbook of research methods in psychology, Vol. 2. Washington, DC: American Psychological Association, pp.57-71.</w:t>
      </w:r>
    </w:p>
    <w:p w14:paraId="1BF01041"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Braun, V., Clarke, V. and Gray, D. (2017). Collecting qualitative data: A practical guide to textual, media and virtual techniques. Cambridge: Cambridge University Press.</w:t>
      </w:r>
    </w:p>
    <w:p w14:paraId="63AC5BC3"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p>
    <w:p w14:paraId="664932FC"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Braun, V. and Clarke, V. (2019). To saturate or not to saturate? Questioning data saturation as a useful concept for thematic analysis and sample-size rationales. Qualitative Research in Sport, Exercise and Health, [online] 13(4), pp.1-16. Available at: https://uwe-repository.worktribe.com/preview/4824543/Saturation%20Braun%20_%20Clarke%20Repository%20Version.pdf [Accessed 14 May 2026].</w:t>
      </w:r>
    </w:p>
    <w:p w14:paraId="2135E403"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 xml:space="preserve">Braun, V. and Clarke, V. (2022). Everything changes… well some things do: Reflections on, and resources for, reflexive thematic analysis. </w:t>
      </w:r>
      <w:proofErr w:type="spellStart"/>
      <w:r>
        <w:rPr>
          <w:rFonts w:ascii="Century Gothic" w:hAnsi="Century Gothic" w:cs="Century Gothic"/>
          <w:color w:val="000000"/>
          <w:kern w:val="0"/>
          <w:position w:val="2"/>
        </w:rPr>
        <w:t>QMiP</w:t>
      </w:r>
      <w:proofErr w:type="spellEnd"/>
      <w:r>
        <w:rPr>
          <w:rFonts w:ascii="Century Gothic" w:hAnsi="Century Gothic" w:cs="Century Gothic"/>
          <w:color w:val="000000"/>
          <w:kern w:val="0"/>
          <w:position w:val="2"/>
        </w:rPr>
        <w:t xml:space="preserve"> Bulletin, [online]. Available at: https://uwe-repository.worktribe.com/output/9303918 [Accessed 28 Jul. 2026].</w:t>
      </w:r>
    </w:p>
    <w:p w14:paraId="2B79013C"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Capizzi, M.T. and Ferguson, R. (2004). Loyalty trends for the 21st century. Journal of Consumer Marketing, [online] 21(1), pp.72-80. Available at: https://www.researchgate.net/publication/233653024_Loyalty_trends_for_the_21st_century [Accessed 5 Apr. 2026].</w:t>
      </w:r>
    </w:p>
    <w:p w14:paraId="5C3132D6"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 xml:space="preserve">Chun, S.Y., Iancu, D. and </w:t>
      </w:r>
      <w:proofErr w:type="spellStart"/>
      <w:r>
        <w:rPr>
          <w:rFonts w:ascii="Century Gothic" w:hAnsi="Century Gothic" w:cs="Century Gothic"/>
          <w:color w:val="000000"/>
          <w:kern w:val="0"/>
          <w:position w:val="2"/>
        </w:rPr>
        <w:t>Trichakis</w:t>
      </w:r>
      <w:proofErr w:type="spellEnd"/>
      <w:r>
        <w:rPr>
          <w:rFonts w:ascii="Century Gothic" w:hAnsi="Century Gothic" w:cs="Century Gothic"/>
          <w:color w:val="000000"/>
          <w:kern w:val="0"/>
          <w:position w:val="2"/>
        </w:rPr>
        <w:t>, N. (2020). Loyalty Program Liabilities and Point Values. Manufacturing &amp; Service Operations Management, [online]. Available at: https://www.semanticscholar.org/paper/b3051bdd3621a2e311af8a31d1a20e6da91d2bdb [Accessed 11 Nov. 2025].</w:t>
      </w:r>
    </w:p>
    <w:p w14:paraId="667825FD"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lastRenderedPageBreak/>
        <w:t>Copenhagen Economics (2020). Study on the application of the Interchange Fee Regulation. [online] Publications Office of the European Union. Available at: https://op.europa.eu/en/publication-detail/-/publication/79f1072d-d6c2-11ea-adf7-01aa75ed71a1 [Accessed 18 Jun. 2026].</w:t>
      </w:r>
    </w:p>
    <w:p w14:paraId="2A564A7B"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Corded, M., et al. (2024). European Full-Service Carriers and Frequent Flyer Programmes. European Journal of Tourism Research, [online]. Available at: https://ejtr.vumk.eu/index.php/about/article/view/2741 [Accessed 2 Jul. 2026].</w:t>
      </w:r>
    </w:p>
    <w:p w14:paraId="4B7415EB"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 xml:space="preserve">Costley, C., Elliott, G. and Gibbs, P. (2010). Doing </w:t>
      </w:r>
      <w:proofErr w:type="gramStart"/>
      <w:r>
        <w:rPr>
          <w:rFonts w:ascii="Century Gothic" w:hAnsi="Century Gothic" w:cs="Century Gothic"/>
          <w:color w:val="000000"/>
          <w:kern w:val="0"/>
          <w:position w:val="2"/>
        </w:rPr>
        <w:t>work based</w:t>
      </w:r>
      <w:proofErr w:type="gramEnd"/>
      <w:r>
        <w:rPr>
          <w:rFonts w:ascii="Century Gothic" w:hAnsi="Century Gothic" w:cs="Century Gothic"/>
          <w:color w:val="000000"/>
          <w:kern w:val="0"/>
          <w:position w:val="2"/>
        </w:rPr>
        <w:t xml:space="preserve"> research: Approaches to enquiry for insider-researchers. London: SAGE Publications.</w:t>
      </w:r>
    </w:p>
    <w:p w14:paraId="3F79ABEB"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Court of Justice of the European Union (2018). Judgment of the Court in Case C-304/16 American Express. [online] Available at: https://curia.europa.eu/jcms/upload/docs/application/pdf/2018-02/cp180011en.pdf [Accessed 29 Sep. 2026].</w:t>
      </w:r>
    </w:p>
    <w:p w14:paraId="39C51E27"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 xml:space="preserve">Creswell, J.W. and </w:t>
      </w:r>
      <w:proofErr w:type="spellStart"/>
      <w:r>
        <w:rPr>
          <w:rFonts w:ascii="Century Gothic" w:hAnsi="Century Gothic" w:cs="Century Gothic"/>
          <w:color w:val="000000"/>
          <w:kern w:val="0"/>
          <w:position w:val="2"/>
        </w:rPr>
        <w:t>Poth</w:t>
      </w:r>
      <w:proofErr w:type="spellEnd"/>
      <w:r>
        <w:rPr>
          <w:rFonts w:ascii="Century Gothic" w:hAnsi="Century Gothic" w:cs="Century Gothic"/>
          <w:color w:val="000000"/>
          <w:kern w:val="0"/>
          <w:position w:val="2"/>
        </w:rPr>
        <w:t>, C.N. (2018). Qualitative inquiry and research design: Choosing among five approaches. 4th ed. Thousand Oaks, CA: SAGE Publications.</w:t>
      </w:r>
    </w:p>
    <w:p w14:paraId="5A229875"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Daft, J., Albers, S. and Stabenow, S. (2021). From product-oriented flight providers to customer-centric retailers: a dynamic offering framework and implementation guidelines for airlines. Journal of Revenue and Pricing Management, [online]. Available at: https://link.springer.com/content/pdf/10.1057/s41272-021-00345-8.pdf [Accessed 3 Feb. 2026]</w:t>
      </w:r>
    </w:p>
    <w:p w14:paraId="7C3F959E"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p>
    <w:p w14:paraId="2E5BDBCA"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 xml:space="preserve">De Ruyter, J.C. and </w:t>
      </w:r>
      <w:proofErr w:type="spellStart"/>
      <w:r>
        <w:rPr>
          <w:rFonts w:ascii="Century Gothic" w:hAnsi="Century Gothic" w:cs="Century Gothic"/>
          <w:color w:val="000000"/>
          <w:kern w:val="0"/>
          <w:position w:val="2"/>
        </w:rPr>
        <w:t>Wetzels</w:t>
      </w:r>
      <w:proofErr w:type="spellEnd"/>
      <w:r>
        <w:rPr>
          <w:rFonts w:ascii="Century Gothic" w:hAnsi="Century Gothic" w:cs="Century Gothic"/>
          <w:color w:val="000000"/>
          <w:kern w:val="0"/>
          <w:position w:val="2"/>
        </w:rPr>
        <w:t>, M. (2000). Customer equity considerations in service recovery: a cross-industry perspective. International Journal of Service Industry Management, [online] 11(1), pp.91-108. Available at: https://www.semanticscholar.org/paper/905108e7db8b9521e014a16ffaeafda54bc7010b [Accessed 24 Jun. 2026].</w:t>
      </w:r>
    </w:p>
    <w:p w14:paraId="150BA4EF"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Dhar, R. and Simonson, I. (2003). The Effect of Forced Choice on Choice. Journal of Marketing Research, [online] 40(2), pp.146-160. Available at: https://journals.sagepub.com/doi/abs/10.1509/jmkr.40.2.146.19229 [Accessed 15 Aug. 2026].</w:t>
      </w:r>
    </w:p>
    <w:p w14:paraId="7AC32269"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Diaconu Maxim, L. (2012). The Evolution of the European Low-cost Airlines' Business Models: Ryanair Case Study. [online] ResearchGate. Available at: https://www.researchgate.net/publication/257716648_The_Evolution_of_the_European_Low-cost_Airlines'Business_Models_Ryanair_Case_Study [Accessed 5 Feb. 2026].</w:t>
      </w:r>
    </w:p>
    <w:p w14:paraId="2B0C2230"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proofErr w:type="spellStart"/>
      <w:r>
        <w:rPr>
          <w:rFonts w:ascii="Century Gothic" w:hAnsi="Century Gothic" w:cs="Century Gothic"/>
          <w:color w:val="000000"/>
          <w:kern w:val="0"/>
          <w:position w:val="2"/>
        </w:rPr>
        <w:lastRenderedPageBreak/>
        <w:t>Dobruszkes</w:t>
      </w:r>
      <w:proofErr w:type="spellEnd"/>
      <w:r>
        <w:rPr>
          <w:rFonts w:ascii="Century Gothic" w:hAnsi="Century Gothic" w:cs="Century Gothic"/>
          <w:color w:val="000000"/>
          <w:kern w:val="0"/>
          <w:position w:val="2"/>
        </w:rPr>
        <w:t xml:space="preserve">, F. and </w:t>
      </w:r>
      <w:proofErr w:type="spellStart"/>
      <w:r>
        <w:rPr>
          <w:rFonts w:ascii="Century Gothic" w:hAnsi="Century Gothic" w:cs="Century Gothic"/>
          <w:color w:val="000000"/>
          <w:kern w:val="0"/>
          <w:position w:val="2"/>
        </w:rPr>
        <w:t>Givoni</w:t>
      </w:r>
      <w:proofErr w:type="spellEnd"/>
      <w:r>
        <w:rPr>
          <w:rFonts w:ascii="Century Gothic" w:hAnsi="Century Gothic" w:cs="Century Gothic"/>
          <w:color w:val="000000"/>
          <w:kern w:val="0"/>
          <w:position w:val="2"/>
        </w:rPr>
        <w:t>, M. (2013). Competition, Integration, Substitution: Myths and Realities Concerning the Relationship between High-Speed Rail and Air Transport in Europe. Transport Reviews, [online]. Available at: https://www.semanticscholar.org/paper/9b37f3d3ecd5505a06d4ea7be61a2721ac8f436b [Accessed 19 Mar. 2026].</w:t>
      </w:r>
    </w:p>
    <w:p w14:paraId="0B8851A6"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European Commission (2019). Antitrust: Commission fines Mastercard €570 million for obstructing merchants' access to cross-border card payment services (Press release IP/19/582). [online] European Commission. Available at: https://ec.europa.eu/commission/presscorner/detail/bg/ip_19_582 [Accessed 10 Jan. 2026].</w:t>
      </w:r>
    </w:p>
    <w:p w14:paraId="07B1085A"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Eurostar (2026). Travel classes. [online] Eurostar. Available at: https://www.eurostar.com/rw-en/travel-info/eurostar-experience/travel-classes [Accessed 1 Sep. 2026].</w:t>
      </w:r>
    </w:p>
    <w:p w14:paraId="2D9A1D45"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FTC (Federal Trade Commission) (2017). Economic Analysis of Hotel Resort Fees. [pdf] Federal Trade Commission. Available at: https://www.ftc.gov/system/files/documents/reports/economic-analysis-hotel-resort-fees/p115503_hotel_resort_fees_economic_issues_paper.pdf [Accessed 5 Sep. 2026].</w:t>
      </w:r>
    </w:p>
    <w:p w14:paraId="0C6198DE"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FTC (Federal Trade Commission) (2025). FTC surveillance pricing study indicates wide range of personal data used to set individualized consumer prices. [online] Federal Trade Commission. Available at: https://www.ftc.gov/news-events/news/press-releases/2025/01/ftc-surveillance-pricing-study-indicates-wide-range-personal-data-used-set-individualized-consumer [Accessed 25 Sep. 2026].</w:t>
      </w:r>
    </w:p>
    <w:p w14:paraId="173223FD"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p>
    <w:p w14:paraId="799B623F"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Gao, Y. (2020). A conceptual framework for valuating airline frequent flyer program miles. International Journal of Aviation, Aeronautics, and Aerospace, [online] 7(1). Available at: https://commons.erau.edu/cgi/viewcontent.cgi?article=1447&amp;context=ijaaa [Accessed 5 Feb. 2026].</w:t>
      </w:r>
    </w:p>
    <w:p w14:paraId="5914F3B6"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GAO (Government Accountability Office) (2024). GAO-24-106754 Highlights. [pdf] U.S. Government Accountability Office. Available at: https://www.gao.gov/assets/gao-24-106754-highlights.pdf [Accessed 8 Dec. 2025].</w:t>
      </w:r>
    </w:p>
    <w:p w14:paraId="13D66B74"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Gaur, M. (2026). The Transformation of Airline Distribution: From Legacy Documents to Dynamic Retail Models. International Journal of Computational and Experimental Science and Engineering, [online]. Available at: https://doi.org/10.22399/ijcesen.4816 [Accessed 21 Sep. 2026].</w:t>
      </w:r>
    </w:p>
    <w:p w14:paraId="23E50EEB"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lastRenderedPageBreak/>
        <w:t>GDPR (2026). Art. 22 GDPR – Automated individual decision-making, including profiling. [online] General Data Protection Regulation (GDPR). Available at: https://gdpr-info.eu/art-22-gdpr/ [Accessed 28 Sep. 2026].</w:t>
      </w:r>
    </w:p>
    <w:p w14:paraId="257A15AE"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Gibson, K. (2020). Asynchronous qualitative interviewing. In: The Routledge Handbook of Qualitative Research Methods. London: Routledge.</w:t>
      </w:r>
    </w:p>
    <w:p w14:paraId="579E728D"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proofErr w:type="spellStart"/>
      <w:r>
        <w:rPr>
          <w:rFonts w:ascii="Century Gothic" w:hAnsi="Century Gothic" w:cs="Century Gothic"/>
          <w:color w:val="000000"/>
          <w:kern w:val="0"/>
          <w:position w:val="2"/>
        </w:rPr>
        <w:t>Gubrium</w:t>
      </w:r>
      <w:proofErr w:type="spellEnd"/>
      <w:r>
        <w:rPr>
          <w:rFonts w:ascii="Century Gothic" w:hAnsi="Century Gothic" w:cs="Century Gothic"/>
          <w:color w:val="000000"/>
          <w:kern w:val="0"/>
          <w:position w:val="2"/>
        </w:rPr>
        <w:t xml:space="preserve">, J., Holstein, J.A., </w:t>
      </w:r>
      <w:proofErr w:type="spellStart"/>
      <w:r>
        <w:rPr>
          <w:rFonts w:ascii="Century Gothic" w:hAnsi="Century Gothic" w:cs="Century Gothic"/>
          <w:color w:val="000000"/>
          <w:kern w:val="0"/>
          <w:position w:val="2"/>
        </w:rPr>
        <w:t>Marvasti</w:t>
      </w:r>
      <w:proofErr w:type="spellEnd"/>
      <w:r>
        <w:rPr>
          <w:rFonts w:ascii="Century Gothic" w:hAnsi="Century Gothic" w:cs="Century Gothic"/>
          <w:color w:val="000000"/>
          <w:kern w:val="0"/>
          <w:position w:val="2"/>
        </w:rPr>
        <w:t>, A. and McKinney Marvasti, K. (2012). The SAGE Handbook of Interview Research: The Complexity of the Craft. Thousand Oaks: SAGE Publications. Available at: https://www.semanticscholar.org/paper/895e257c671208041215782c254da8a0ba747396 [Accessed 5 Apr. 2026].</w:t>
      </w:r>
    </w:p>
    <w:p w14:paraId="749D69DB"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Guest, G., Bunce, A. and Johnson, L. (2006). How many interviews are enough? An experiment with data saturation and variability. Field Methods, [online] 18(1), pp.59-82.</w:t>
      </w:r>
    </w:p>
    <w:p w14:paraId="55F2E035"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Guo, X., Li, Y., Wang, Z. and Zhang, L. (2023). Making airline coalition frequent-flyer programs profitable: An analytical investigation. Transport Policy, [online] 141, pp.10-23.</w:t>
      </w:r>
    </w:p>
    <w:p w14:paraId="61902F70"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 xml:space="preserve">Hannah, A., et al. (2019). </w:t>
      </w:r>
      <w:proofErr w:type="spellStart"/>
      <w:r>
        <w:rPr>
          <w:rFonts w:ascii="Century Gothic" w:hAnsi="Century Gothic" w:cs="Century Gothic"/>
          <w:color w:val="000000"/>
          <w:kern w:val="0"/>
          <w:position w:val="2"/>
        </w:rPr>
        <w:t>Elementum</w:t>
      </w:r>
      <w:proofErr w:type="spellEnd"/>
      <w:r>
        <w:rPr>
          <w:rFonts w:ascii="Century Gothic" w:hAnsi="Century Gothic" w:cs="Century Gothic"/>
          <w:color w:val="000000"/>
          <w:kern w:val="0"/>
          <w:position w:val="2"/>
        </w:rPr>
        <w:t xml:space="preserve"> </w:t>
      </w:r>
      <w:proofErr w:type="spellStart"/>
      <w:r>
        <w:rPr>
          <w:rFonts w:ascii="Century Gothic" w:hAnsi="Century Gothic" w:cs="Century Gothic"/>
          <w:color w:val="000000"/>
          <w:kern w:val="0"/>
          <w:position w:val="2"/>
        </w:rPr>
        <w:t>Tempor</w:t>
      </w:r>
      <w:proofErr w:type="spellEnd"/>
      <w:r>
        <w:rPr>
          <w:rFonts w:ascii="Century Gothic" w:hAnsi="Century Gothic" w:cs="Century Gothic"/>
          <w:color w:val="000000"/>
          <w:kern w:val="0"/>
          <w:position w:val="2"/>
        </w:rPr>
        <w:t xml:space="preserve"> Dui Insider Research as Part of a </w:t>
      </w:r>
      <w:proofErr w:type="spellStart"/>
      <w:proofErr w:type="gramStart"/>
      <w:r>
        <w:rPr>
          <w:rFonts w:ascii="Century Gothic" w:hAnsi="Century Gothic" w:cs="Century Gothic"/>
          <w:color w:val="000000"/>
          <w:kern w:val="0"/>
          <w:position w:val="2"/>
        </w:rPr>
        <w:t>Masters</w:t>
      </w:r>
      <w:proofErr w:type="spellEnd"/>
      <w:proofErr w:type="gramEnd"/>
      <w:r>
        <w:rPr>
          <w:rFonts w:ascii="Century Gothic" w:hAnsi="Century Gothic" w:cs="Century Gothic"/>
          <w:color w:val="000000"/>
          <w:kern w:val="0"/>
          <w:position w:val="2"/>
        </w:rPr>
        <w:t xml:space="preserve"> Programme. Research Methodology Journals, [online]. Available at: https://www.semanticscholar.org/paper/047892559ff330d7859e4cb1c5fd48e33673a7c0 [Accessed 18 Jan. 2026].</w:t>
      </w:r>
    </w:p>
    <w:p w14:paraId="7378C1E3"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Head for Points (2025). Use Virgin Points for Virgin Holidays discount. [online] Available at: https://www.headforpoints.com/2025/09/29/use-virgin-points-for-virgin-holidays-discount-2/ [Accessed 29 Sep. 2026].</w:t>
      </w:r>
    </w:p>
    <w:p w14:paraId="7AB3185F"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p>
    <w:p w14:paraId="43BAFEE8"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Henwood, K., Dicks, B. and Housley, W. (2019). QR in reflexive mode: The participatory turn and interpretive social science. Qualitative Research, [online]. Available at: https://journals.sagepub.com/doi/pdf/10.1177/1468794119844103 [Accessed 9 May 2026].</w:t>
      </w:r>
    </w:p>
    <w:p w14:paraId="77D1D0A3"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Hoeber, O., Hoeber, L., Snelgrove, R. and Wood, L. (2017). Interactively Producing Purposive Samples for Qualitative Research using Exploratory Search. Information Processing &amp; Management, [online]. Available at: https://www.semanticscholar.org/paper/20cd8212244b394ce1a2d63dbee20ae0f779ae23 [Accessed 22 Dec. 2025].</w:t>
      </w:r>
    </w:p>
    <w:p w14:paraId="473DEC8F"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Houlihan Lokey (2020). Houlihan Lokey advises Virgin Atlantic. [online] Available at: https://hl.com/about-us/transactions/houlihan-lokey-advises-virgin-atlantic/ [Accessed 29 Sep. 2026].</w:t>
      </w:r>
    </w:p>
    <w:p w14:paraId="2DA900A5"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lastRenderedPageBreak/>
        <w:t>IATA (2021). Airline industry statistics confirm 2020 was worst year on record. [online] Available at: https://www.iata.org/en/pressroom/pr/2021-08-03-01/ [Accessed 29 Sep. 2026].</w:t>
      </w:r>
    </w:p>
    <w:p w14:paraId="478A737C"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proofErr w:type="spellStart"/>
      <w:r>
        <w:rPr>
          <w:rFonts w:ascii="Century Gothic" w:hAnsi="Century Gothic" w:cs="Century Gothic"/>
          <w:color w:val="000000"/>
          <w:kern w:val="0"/>
          <w:position w:val="2"/>
        </w:rPr>
        <w:t>IdeaWorksCompany</w:t>
      </w:r>
      <w:proofErr w:type="spellEnd"/>
      <w:r>
        <w:rPr>
          <w:rFonts w:ascii="Century Gothic" w:hAnsi="Century Gothic" w:cs="Century Gothic"/>
          <w:color w:val="000000"/>
          <w:kern w:val="0"/>
          <w:position w:val="2"/>
        </w:rPr>
        <w:t xml:space="preserve"> (2024). Press Release 188: Worldwide Estimate 2024. [pdf] </w:t>
      </w:r>
      <w:proofErr w:type="spellStart"/>
      <w:r>
        <w:rPr>
          <w:rFonts w:ascii="Century Gothic" w:hAnsi="Century Gothic" w:cs="Century Gothic"/>
          <w:color w:val="000000"/>
          <w:kern w:val="0"/>
          <w:position w:val="2"/>
        </w:rPr>
        <w:t>IdeaWorksCompany</w:t>
      </w:r>
      <w:proofErr w:type="spellEnd"/>
      <w:r>
        <w:rPr>
          <w:rFonts w:ascii="Century Gothic" w:hAnsi="Century Gothic" w:cs="Century Gothic"/>
          <w:color w:val="000000"/>
          <w:kern w:val="0"/>
          <w:position w:val="2"/>
        </w:rPr>
        <w:t>. Available at: https://ideaworkscompany.com/wp-content/uploads/2024/10/Press-Release-188-Worldwide-Estimate-2024.pdf [Accessed 20 Dec. 2025].</w:t>
      </w:r>
    </w:p>
    <w:p w14:paraId="257D4912"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James, N. (2016). Using email interviews in qualitative research. In: The SAGE Handbook of Qualitative Research. London: SAGE Publications.</w:t>
      </w:r>
    </w:p>
    <w:p w14:paraId="5268F607"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 xml:space="preserve">Kahneman, D. and Tversky, A. (1979). Prospect Theory: An Analysis of Decision under Risk. </w:t>
      </w:r>
      <w:proofErr w:type="spellStart"/>
      <w:r>
        <w:rPr>
          <w:rFonts w:ascii="Century Gothic" w:hAnsi="Century Gothic" w:cs="Century Gothic"/>
          <w:color w:val="000000"/>
          <w:kern w:val="0"/>
          <w:position w:val="2"/>
        </w:rPr>
        <w:t>Econometrica</w:t>
      </w:r>
      <w:proofErr w:type="spellEnd"/>
      <w:r>
        <w:rPr>
          <w:rFonts w:ascii="Century Gothic" w:hAnsi="Century Gothic" w:cs="Century Gothic"/>
          <w:color w:val="000000"/>
          <w:kern w:val="0"/>
          <w:position w:val="2"/>
        </w:rPr>
        <w:t>, [online] 47(2), pp.263-291. Available at: https://www.worldscientific.com/doi/abs/10.1142/9789814417358_0006 [Accessed 25 Aug. 2026].</w:t>
      </w:r>
    </w:p>
    <w:p w14:paraId="1FB3571E"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Keller, K.L. (1993). Conceptualizing, Measuring, and Managing Customer-Based Brand Equity. Journal of Marketing, [online] 57(1), pp.1-22. Available at: https://journals.sagepub.com/doi/10.1177/002224299305700101 [Accessed 12 Jul. 2026].</w:t>
      </w:r>
    </w:p>
    <w:p w14:paraId="3E21D4F1"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Lee-Anant, C. (2022). Frequent flyer programs as CRM tools in the aviation sector. Journal of Aviation Management, [online] 12(4), pp.45-60.</w:t>
      </w:r>
    </w:p>
    <w:p w14:paraId="32F3007C"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Li, C., Swaminathan, S. and Kim, J. (2025). Cross-partner effects in coalition loyalty programs: the interaction of point redemptions with program sales. Journal of the Academy of Marketing Science, [online]. Available at: https://www.semanticscholar.org/paper/0c397069d6a014f860aea83406aed545310f093c [Accessed 17 Aug. 2026].</w:t>
      </w:r>
    </w:p>
    <w:p w14:paraId="2F667435"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Liu, Y., Wang, J., Wang, Y. and Zhang, D. (2026). On the Value of Coalition Loyalty Programs. Operations Research, [online]. Available at: https://www.semanticscholar.org/paper/d173fb5bc58709b2a602795ce81a1f986497b39a [Accessed 2 Sep. 2026].</w:t>
      </w:r>
    </w:p>
    <w:p w14:paraId="0884E2F5"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 xml:space="preserve">Loyalty &amp; Reward Co (2024). Airline Loyalty Series: </w:t>
      </w:r>
      <w:proofErr w:type="gramStart"/>
      <w:r>
        <w:rPr>
          <w:rFonts w:ascii="Century Gothic" w:hAnsi="Century Gothic" w:cs="Century Gothic"/>
          <w:color w:val="000000"/>
          <w:kern w:val="0"/>
          <w:position w:val="2"/>
        </w:rPr>
        <w:t>How</w:t>
      </w:r>
      <w:proofErr w:type="gramEnd"/>
      <w:r>
        <w:rPr>
          <w:rFonts w:ascii="Century Gothic" w:hAnsi="Century Gothic" w:cs="Century Gothic"/>
          <w:color w:val="000000"/>
          <w:kern w:val="0"/>
          <w:position w:val="2"/>
        </w:rPr>
        <w:t xml:space="preserve"> frequent flyer programs directly boost airline profits. [online] Loyalty &amp; Reward Co. Available at: https://loyaltyrewardco.com/es/airline-loyalty-series-how-frequent-flyer-programs-directly-boost-airline-profits/ [Accessed 21 Oct. 2025].</w:t>
      </w:r>
    </w:p>
    <w:p w14:paraId="6D039257"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Lufthansa Group (2023). Green Fares: Lufthansa Group is the world’s first airline group to offer an own fare for more sustainable travel. [online] Lufthansa Group Newsroom. Available at: https://newsroom.lufthansagroup.com/en/green-fares-lufthansa-group-is-the-worlds-first-airline-group-to-offer-an-own-fare-for-more-sustainable-travel/ [Accessed 5 Jun. 2026].</w:t>
      </w:r>
    </w:p>
    <w:p w14:paraId="3D11FC6E"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proofErr w:type="spellStart"/>
      <w:r>
        <w:rPr>
          <w:rFonts w:ascii="Century Gothic" w:hAnsi="Century Gothic" w:cs="Century Gothic"/>
          <w:color w:val="000000"/>
          <w:kern w:val="0"/>
          <w:position w:val="2"/>
        </w:rPr>
        <w:lastRenderedPageBreak/>
        <w:t>Malterud</w:t>
      </w:r>
      <w:proofErr w:type="spellEnd"/>
      <w:r>
        <w:rPr>
          <w:rFonts w:ascii="Century Gothic" w:hAnsi="Century Gothic" w:cs="Century Gothic"/>
          <w:color w:val="000000"/>
          <w:kern w:val="0"/>
          <w:position w:val="2"/>
        </w:rPr>
        <w:t>, K., Siersma, V. and Guassora, A.D. (2016). Sample Size in Qualitative Interview Studies: Guided by Information Power. Qualitative Health Research, [online] 26(13), pp.1753-1760. Available at: https://www.semanticscholar.org/paper/1f4a983f42f66540ccbedfca359a5be18769db94 [Accessed 29 Oct. 2025].</w:t>
      </w:r>
    </w:p>
    <w:p w14:paraId="760DE64B"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Meho, L.I. (2006). E-mail interviewing in qualitative research: A methodological discussion. Journal of the American Society for Information Science and Technology, [online] 57(10), pp.1284-1295.</w:t>
      </w:r>
    </w:p>
    <w:p w14:paraId="0E48BF63"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Mumbower, S., Hotle, S. and Garrow, L. (2022). Highly debated but still unbundled: The evolution of U.S. airline ancillary products and pricing strategies. Journal of Revenue and Pricing Management, [online]. Available at: https://link.springer.com/content/pdf/10.1057/s41272-022-00388-5.pdf [Accessed 11 Jul. 2026].</w:t>
      </w:r>
    </w:p>
    <w:p w14:paraId="17E30146"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 xml:space="preserve">O’Connell, J.F. and Warnock-Smith, D. (2013a). An investigation into </w:t>
      </w:r>
      <w:proofErr w:type="spellStart"/>
      <w:r>
        <w:rPr>
          <w:rFonts w:ascii="Century Gothic" w:hAnsi="Century Gothic" w:cs="Century Gothic"/>
          <w:color w:val="000000"/>
          <w:kern w:val="0"/>
          <w:position w:val="2"/>
        </w:rPr>
        <w:t>traveler</w:t>
      </w:r>
      <w:proofErr w:type="spellEnd"/>
      <w:r>
        <w:rPr>
          <w:rFonts w:ascii="Century Gothic" w:hAnsi="Century Gothic" w:cs="Century Gothic"/>
          <w:color w:val="000000"/>
          <w:kern w:val="0"/>
          <w:position w:val="2"/>
        </w:rPr>
        <w:t xml:space="preserve"> preferences and acceptance levels of airline ancillary revenues. [online] ResearchGate. Available at: https://www.researchgate.net/publication/259139449_An_investigation_into_traveler_preferences_and_acceptance_levels_of_airline_ancillary_revenues [Accessed 18 Feb. 2026].</w:t>
      </w:r>
    </w:p>
    <w:p w14:paraId="7AB498C4"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O’Connell, J.F. and Warnock-Smith, D. (2013b). An examination of the possible future trends in airline ancillary revenues. Journal of Air Transport Management, [online]. Available at: https://www.semanticscholar.org/paper/b0ade89e259b491d2430123ce3f2ac943cdd1983 [Accessed 14 Feb. 2026].</w:t>
      </w:r>
    </w:p>
    <w:p w14:paraId="7D559C33"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proofErr w:type="spellStart"/>
      <w:r>
        <w:rPr>
          <w:rFonts w:ascii="Century Gothic" w:hAnsi="Century Gothic" w:cs="Century Gothic"/>
          <w:color w:val="000000"/>
          <w:kern w:val="0"/>
          <w:position w:val="2"/>
        </w:rPr>
        <w:t>Omnevo</w:t>
      </w:r>
      <w:proofErr w:type="spellEnd"/>
      <w:r>
        <w:rPr>
          <w:rFonts w:ascii="Century Gothic" w:hAnsi="Century Gothic" w:cs="Century Gothic"/>
          <w:color w:val="000000"/>
          <w:kern w:val="0"/>
          <w:position w:val="2"/>
        </w:rPr>
        <w:t xml:space="preserve"> (2025). Virgin Atlantic partners with </w:t>
      </w:r>
      <w:proofErr w:type="spellStart"/>
      <w:r>
        <w:rPr>
          <w:rFonts w:ascii="Century Gothic" w:hAnsi="Century Gothic" w:cs="Century Gothic"/>
          <w:color w:val="000000"/>
          <w:kern w:val="0"/>
          <w:position w:val="2"/>
        </w:rPr>
        <w:t>Omnevo</w:t>
      </w:r>
      <w:proofErr w:type="spellEnd"/>
      <w:r>
        <w:rPr>
          <w:rFonts w:ascii="Century Gothic" w:hAnsi="Century Gothic" w:cs="Century Gothic"/>
          <w:color w:val="000000"/>
          <w:kern w:val="0"/>
          <w:position w:val="2"/>
        </w:rPr>
        <w:t xml:space="preserve">. [online] </w:t>
      </w:r>
      <w:proofErr w:type="spellStart"/>
      <w:r>
        <w:rPr>
          <w:rFonts w:ascii="Century Gothic" w:hAnsi="Century Gothic" w:cs="Century Gothic"/>
          <w:color w:val="000000"/>
          <w:kern w:val="0"/>
          <w:position w:val="2"/>
        </w:rPr>
        <w:t>Omnevo</w:t>
      </w:r>
      <w:proofErr w:type="spellEnd"/>
      <w:r>
        <w:rPr>
          <w:rFonts w:ascii="Century Gothic" w:hAnsi="Century Gothic" w:cs="Century Gothic"/>
          <w:color w:val="000000"/>
          <w:kern w:val="0"/>
          <w:position w:val="2"/>
        </w:rPr>
        <w:t>. Available at: https://www.omnevo.net/insights/virgin-atlantic-partners-with-omnevo [Accessed 15 Mar. 2026].</w:t>
      </w:r>
    </w:p>
    <w:p w14:paraId="58563A40"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p>
    <w:p w14:paraId="7F058E79"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Pagliara, F., Vassallo, J.M. and Román, C. (2012). High-Speed Rail versus Air Transportation. Transportation Research Record, [online]. Available at: http://oa.upm.es/15218/ [Accessed 30 Aug. 2026].</w:t>
      </w:r>
    </w:p>
    <w:p w14:paraId="1337C75F"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PATA (2020). IATA airline industry statistics confirm 2020 was worst year on record. [online] Pacific Asia Travel Association. Available at: https://www.pata.org/member-chapter-news-1/iata-airline-industry-statistics-confirm-2020-was-worst-year-on-record [Accessed 14 Nov. 2025].</w:t>
      </w:r>
    </w:p>
    <w:p w14:paraId="5DE85450"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Patton, M.Q. (2015). Qualitative research &amp; evaluation methods: Integrating theory and practice. 4th ed. Thousand Oaks, CA: SAGE Publications.</w:t>
      </w:r>
    </w:p>
    <w:p w14:paraId="34F761DF"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proofErr w:type="spellStart"/>
      <w:r>
        <w:rPr>
          <w:rFonts w:ascii="Century Gothic" w:hAnsi="Century Gothic" w:cs="Century Gothic"/>
          <w:color w:val="000000"/>
          <w:kern w:val="0"/>
          <w:position w:val="2"/>
        </w:rPr>
        <w:lastRenderedPageBreak/>
        <w:t>PhocusWire</w:t>
      </w:r>
      <w:proofErr w:type="spellEnd"/>
      <w:r>
        <w:rPr>
          <w:rFonts w:ascii="Century Gothic" w:hAnsi="Century Gothic" w:cs="Century Gothic"/>
          <w:color w:val="000000"/>
          <w:kern w:val="0"/>
          <w:position w:val="2"/>
        </w:rPr>
        <w:t xml:space="preserve"> (2023). Virgin Atlantic partners with </w:t>
      </w:r>
      <w:proofErr w:type="spellStart"/>
      <w:r>
        <w:rPr>
          <w:rFonts w:ascii="Century Gothic" w:hAnsi="Century Gothic" w:cs="Century Gothic"/>
          <w:color w:val="000000"/>
          <w:kern w:val="0"/>
          <w:position w:val="2"/>
        </w:rPr>
        <w:t>Fetcherr</w:t>
      </w:r>
      <w:proofErr w:type="spellEnd"/>
      <w:r>
        <w:rPr>
          <w:rFonts w:ascii="Century Gothic" w:hAnsi="Century Gothic" w:cs="Century Gothic"/>
          <w:color w:val="000000"/>
          <w:kern w:val="0"/>
          <w:position w:val="2"/>
        </w:rPr>
        <w:t xml:space="preserve"> on AI-driven pricing model. [online] </w:t>
      </w:r>
      <w:proofErr w:type="spellStart"/>
      <w:r>
        <w:rPr>
          <w:rFonts w:ascii="Century Gothic" w:hAnsi="Century Gothic" w:cs="Century Gothic"/>
          <w:color w:val="000000"/>
          <w:kern w:val="0"/>
          <w:position w:val="2"/>
        </w:rPr>
        <w:t>PhocusWire</w:t>
      </w:r>
      <w:proofErr w:type="spellEnd"/>
      <w:r>
        <w:rPr>
          <w:rFonts w:ascii="Century Gothic" w:hAnsi="Century Gothic" w:cs="Century Gothic"/>
          <w:color w:val="000000"/>
          <w:kern w:val="0"/>
          <w:position w:val="2"/>
        </w:rPr>
        <w:t>. Available at: https://www.phocuswire.com/Virgin-Atlantic-partners-with-Fetcherr-on-AI-driven-pricing-model [Accessed 15 Sep. 2026].</w:t>
      </w:r>
    </w:p>
    <w:p w14:paraId="11727591"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Robbert, T. and Roth, S. (2014). The flip side of drip pricing. Journal of Product &amp; Brand Management, [online]. Available at: https://www.semanticscholar.org/paper/210b8ad807c9ae18ed3c53da89641190c02c9a92 [Accessed 7 Jan. 2026].</w:t>
      </w:r>
    </w:p>
    <w:p w14:paraId="6F14EF13"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 xml:space="preserve">Roberts, S., Abshire Saylor, M., </w:t>
      </w:r>
      <w:proofErr w:type="spellStart"/>
      <w:r>
        <w:rPr>
          <w:rFonts w:ascii="Century Gothic" w:hAnsi="Century Gothic" w:cs="Century Gothic"/>
          <w:color w:val="000000"/>
          <w:kern w:val="0"/>
          <w:position w:val="2"/>
        </w:rPr>
        <w:t>Ivynian</w:t>
      </w:r>
      <w:proofErr w:type="spellEnd"/>
      <w:r>
        <w:rPr>
          <w:rFonts w:ascii="Century Gothic" w:hAnsi="Century Gothic" w:cs="Century Gothic"/>
          <w:color w:val="000000"/>
          <w:kern w:val="0"/>
          <w:position w:val="2"/>
        </w:rPr>
        <w:t xml:space="preserve">, S. and </w:t>
      </w:r>
      <w:proofErr w:type="spellStart"/>
      <w:r>
        <w:rPr>
          <w:rFonts w:ascii="Century Gothic" w:hAnsi="Century Gothic" w:cs="Century Gothic"/>
          <w:color w:val="000000"/>
          <w:kern w:val="0"/>
          <w:position w:val="2"/>
        </w:rPr>
        <w:t>Digiacomo</w:t>
      </w:r>
      <w:proofErr w:type="spellEnd"/>
      <w:r>
        <w:rPr>
          <w:rFonts w:ascii="Century Gothic" w:hAnsi="Century Gothic" w:cs="Century Gothic"/>
          <w:color w:val="000000"/>
          <w:kern w:val="0"/>
          <w:position w:val="2"/>
        </w:rPr>
        <w:t>, M. (2026). Data saturation and information power: Sample size in qualitative research - when is enough and how to assess? European Journal of Cardiovascular Nursing, [online]. Available at: https://doi.org/10.1093/eurjcn/zvag046 [Accessed 12 Sep. 2026].</w:t>
      </w:r>
    </w:p>
    <w:p w14:paraId="11249CF9"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Rupp, N.G. (2023). Drip Pricing and Costly Search: Evidence from the Airline Industry. Working Papers, [online]. Available at: https://www.semanticscholar.org/paper/25e5400e235bd18ab1b995f533c2b2ecbbd956b9 [Accessed 26 Nov. 2025].</w:t>
      </w:r>
    </w:p>
    <w:p w14:paraId="44A6B3AE"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 xml:space="preserve">Şahin, M., </w:t>
      </w:r>
      <w:proofErr w:type="spellStart"/>
      <w:r>
        <w:rPr>
          <w:rFonts w:ascii="Century Gothic" w:hAnsi="Century Gothic" w:cs="Century Gothic"/>
          <w:color w:val="000000"/>
          <w:kern w:val="0"/>
          <w:position w:val="2"/>
        </w:rPr>
        <w:t>Susleyici</w:t>
      </w:r>
      <w:proofErr w:type="spellEnd"/>
      <w:r>
        <w:rPr>
          <w:rFonts w:ascii="Century Gothic" w:hAnsi="Century Gothic" w:cs="Century Gothic"/>
          <w:color w:val="000000"/>
          <w:kern w:val="0"/>
          <w:position w:val="2"/>
        </w:rPr>
        <w:t>, K., Zaim, S. and Harcar, T. (2026). Determinants of ancillary revenue strategies and passenger willingness to pay: Evidence from the airline industry. Journal of Air Transport Management, [online]. Available at: https://doi.org/10.36096/yfgcqz22 [Accessed 16 Aug. 2026].</w:t>
      </w:r>
    </w:p>
    <w:p w14:paraId="4A47EF08"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Santana, S., Dallas, S.K. and Morwitz, V. (2020). Consumer Reactions to Drip Pricing. Marketing Science, [online]. Available at: https://www.semanticscholar.org/paper/8410ff5581cd8528e9011f0c2aa62c4a1ab52a2e [Accessed 15 Jun. 2026].</w:t>
      </w:r>
    </w:p>
    <w:p w14:paraId="44A9D10F"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Sarker, M.A., Mohd-Any, A.A. and Kamarulzaman, Y. (2020). Validating a consumer-based service brand equity (CBSBE) model in the airline industry. Journal of Retailing and Consumer Services, [online] 52, p.101999.</w:t>
      </w:r>
    </w:p>
    <w:p w14:paraId="41C60D68"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Saunders, M., Lewis, P. and Thornhill, A. (2019). Research methods for business students. 8th ed. Harlow: Pearson Education.</w:t>
      </w:r>
    </w:p>
    <w:p w14:paraId="65FD2A44"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Sevinj, O. (n.d.). Dynamic Pricing Strategy, Impacts of Fair Pricing Perception on Consumer Reaction. [pdf] Corvinus University. Available at: https://phd.lib.uni-corvinus.hu/1313/1/Omarli_Sevinj_den.pdf [Accessed 1 Apr. 2026].</w:t>
      </w:r>
    </w:p>
    <w:p w14:paraId="3C4B6A97"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 xml:space="preserve">Shukla, N., Kolbeinsson, A., Marla, L. and </w:t>
      </w:r>
      <w:proofErr w:type="spellStart"/>
      <w:r>
        <w:rPr>
          <w:rFonts w:ascii="Century Gothic" w:hAnsi="Century Gothic" w:cs="Century Gothic"/>
          <w:color w:val="000000"/>
          <w:kern w:val="0"/>
          <w:position w:val="2"/>
        </w:rPr>
        <w:t>Yellepeddi</w:t>
      </w:r>
      <w:proofErr w:type="spellEnd"/>
      <w:r>
        <w:rPr>
          <w:rFonts w:ascii="Century Gothic" w:hAnsi="Century Gothic" w:cs="Century Gothic"/>
          <w:color w:val="000000"/>
          <w:kern w:val="0"/>
          <w:position w:val="2"/>
        </w:rPr>
        <w:t>, K. (2020). From Average Customer to Individual Traveler: A Field Experiment in Airline Ancillary Pricing. SSRN Electronic Journal, [online]. Available at: https://doi.org/10.2139/ssrn.3518854 [Accessed 22 May 2026].</w:t>
      </w:r>
    </w:p>
    <w:p w14:paraId="3444EE4F"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lastRenderedPageBreak/>
        <w:t>Simonson, I. (1989). Choice Based on Reasons: The Case of Attraction and Compromise Effects. Journal of Consumer Research, [online] 16(2), pp.158-174. Available at: [suspicious link removed] [Accessed 22 Aug. 2026].</w:t>
      </w:r>
    </w:p>
    <w:p w14:paraId="5377232A"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proofErr w:type="spellStart"/>
      <w:r>
        <w:rPr>
          <w:rFonts w:ascii="Century Gothic" w:hAnsi="Century Gothic" w:cs="Century Gothic"/>
          <w:color w:val="000000"/>
          <w:kern w:val="0"/>
          <w:position w:val="2"/>
        </w:rPr>
        <w:t>Stourm</w:t>
      </w:r>
      <w:proofErr w:type="spellEnd"/>
      <w:r>
        <w:rPr>
          <w:rFonts w:ascii="Century Gothic" w:hAnsi="Century Gothic" w:cs="Century Gothic"/>
          <w:color w:val="000000"/>
          <w:kern w:val="0"/>
          <w:position w:val="2"/>
        </w:rPr>
        <w:t>, V. and Bradlow, E.T. (2022). Cross-Reward Effects in a Coalition Loyalty Program: The Impact of a Point Currency Devaluation. International Journal of Research in Marketing, [online]. Available at: https://www.semanticscholar.org/paper/081a298faca0f07edfe2fa28093f7f8aec7afbe0 [Accessed 13 Mar. 2026].</w:t>
      </w:r>
    </w:p>
    <w:p w14:paraId="1C8CF3A0"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Terry, G. and Hayfield, N. (2020). Reflexive thematic analysis. In: Essentials of Thematic Analysis. [online] American Psychological Association. Available at: https://www.semanticscholar.org/paper/500079306c7b9af04bde1adab9364dec63e116e8 [Accessed 8 Dec. 2025].</w:t>
      </w:r>
    </w:p>
    <w:p w14:paraId="666B1425"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The Points Guy (2024). Bonus Virgin Points by linking accounts. [online] Available at: https://thepointsguy.com/news/bonus-virgin-points-by-linking-accounts/ [Accessed 29 Sep. 2026].</w:t>
      </w:r>
    </w:p>
    <w:p w14:paraId="34F0B32C"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Touraine, S. (2021). The industry transformation to dynamic offering. [pdf] Journal of Revenue and Pricing Management / IATA. Available at: https://www.iata.org/contentassets/0688c780d9ad4a4fadb461b479d64e0d/journal_of_revenue_and_pricing_management_2021_touraine.pdf [Accessed 22 Sep. 2026].</w:t>
      </w:r>
    </w:p>
    <w:p w14:paraId="11166FC3"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Vinod, B. (2026). Changes in the distribution landscape with new distribution capability. [online] Springer Professional. Available at: https://www.springerprofessional.de/en/changes-in-the-distribution-landscape-with-new-distribution-capa/53676482 [Accessed 18 Sep. 2026].</w:t>
      </w:r>
    </w:p>
    <w:p w14:paraId="24CA37F9"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Virgin Atlantic (2020). Virgin Atlantic completes solvent recapitalisation. [online] Virgin Atlantic. Available at: https://corporate.virginatlantic.com/gb/en/media/press-releases/virgin-atlantic-completes-solvent-recapitalisation.html [Accessed 22 Mar. 2026].</w:t>
      </w:r>
    </w:p>
    <w:p w14:paraId="7CD224C5"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Virgin Atlantic (2021). 2020 financial results. [online] Virgin Atlantic. Available at: https://corporate.virginatlantic.com/gb/en/media/press-releases/2020-financial-results.html [Accessed 2 Mar. 2026].</w:t>
      </w:r>
    </w:p>
    <w:p w14:paraId="24D98730"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Virgin Atlantic (2024). Reward seats. [online] Virgin Atlantic. Available at: https://corporate.virginatlantic.com/gb/en/media/press-releases/reward-seats.html [Accessed 20 Apr. 2026].</w:t>
      </w:r>
    </w:p>
    <w:p w14:paraId="48240C63"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Virgin Atlantic (2026). Reward flights. [online] Available at: https://www.virginatlantic.com/gb/en/flying-club/points/spend-points/reward-flights.html [Accessed 29 Sep. 2026].</w:t>
      </w:r>
    </w:p>
    <w:p w14:paraId="29FC048A"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lastRenderedPageBreak/>
        <w:t>Virgin Red (2026). Spend Virgin Points. [online] Available at: https://www.virgin.com/virgin-red/spend-virgin-points [Accessed 29 Sep. 2026].</w:t>
      </w:r>
    </w:p>
    <w:p w14:paraId="4446DC0D"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 xml:space="preserve">Warnock-Smith, D., O’Connell, J.F. and Maleki, M. (2015). An examination </w:t>
      </w:r>
      <w:proofErr w:type="spellStart"/>
      <w:r>
        <w:rPr>
          <w:rFonts w:ascii="Century Gothic" w:hAnsi="Century Gothic" w:cs="Century Gothic"/>
          <w:color w:val="000000"/>
          <w:kern w:val="0"/>
          <w:position w:val="2"/>
        </w:rPr>
        <w:t>ofongoing</w:t>
      </w:r>
      <w:proofErr w:type="spellEnd"/>
      <w:r>
        <w:rPr>
          <w:rFonts w:ascii="Century Gothic" w:hAnsi="Century Gothic" w:cs="Century Gothic"/>
          <w:color w:val="000000"/>
          <w:kern w:val="0"/>
          <w:position w:val="2"/>
        </w:rPr>
        <w:t xml:space="preserve"> trends in airline ancillary revenues. Journal of Air Transport Management, [online]. Available at: https://www.semanticscholar.org/paper/cfb235b99adc4251d117ae2852b2c3357235d6b5 [Accessed 10 Feb. 2026].</w:t>
      </w:r>
    </w:p>
    <w:p w14:paraId="6D74C838"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Westermann, D. (2013). Pricing and revenue management in a world of offer optimisation. Journal of Revenue and Pricing Management, [online] 12(6). Available at: https://link.springer.com/article/10.1057/rpm.2013.23 [Accessed 20 Sep. 2026].</w:t>
      </w:r>
    </w:p>
    <w:p w14:paraId="343202F5"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 xml:space="preserve">Wittmer, A., </w:t>
      </w:r>
      <w:proofErr w:type="spellStart"/>
      <w:r>
        <w:rPr>
          <w:rFonts w:ascii="Century Gothic" w:hAnsi="Century Gothic" w:cs="Century Gothic"/>
          <w:color w:val="000000"/>
          <w:kern w:val="0"/>
          <w:position w:val="2"/>
        </w:rPr>
        <w:t>Boksberger</w:t>
      </w:r>
      <w:proofErr w:type="spellEnd"/>
      <w:r>
        <w:rPr>
          <w:rFonts w:ascii="Century Gothic" w:hAnsi="Century Gothic" w:cs="Century Gothic"/>
          <w:color w:val="000000"/>
          <w:kern w:val="0"/>
          <w:position w:val="2"/>
        </w:rPr>
        <w:t>, P. and Gerber, A. (2012). The future of ancillary service fees in air travel: an exploratory investigation of budget air travellers. International Journal of Aviation Management, [online]. Available at: https://www.semanticscholar.org/paper/1944ae186a99c1daad4113cdacbad7f08dde14c6 [Accessed 20 Nov. 2025].</w:t>
      </w:r>
    </w:p>
    <w:p w14:paraId="7DA83928"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Wong, P. (2018). Consumer Value on Unbundling Practices by Full-service Carrier –a Qualitative Study. Journal of Air Transport Management, [online]. Available at: https://www.semanticscholar.org/paper/a0e62ab5cdfc261ad3dd455f47fe47b552759499 [Accessed 27 Feb. 2026].</w:t>
      </w:r>
    </w:p>
    <w:p w14:paraId="39A5B0AA" w14:textId="77777777" w:rsidR="00C85C76" w:rsidRDefault="00C85C76" w:rsidP="00C85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80" w:line="240" w:lineRule="auto"/>
        <w:rPr>
          <w:rFonts w:ascii="Century Gothic" w:hAnsi="Century Gothic" w:cs="Century Gothic"/>
          <w:color w:val="000000"/>
          <w:kern w:val="0"/>
          <w:position w:val="2"/>
        </w:rPr>
      </w:pPr>
      <w:r>
        <w:rPr>
          <w:rFonts w:ascii="Century Gothic" w:hAnsi="Century Gothic" w:cs="Century Gothic"/>
          <w:color w:val="000000"/>
          <w:kern w:val="0"/>
          <w:position w:val="2"/>
        </w:rPr>
        <w:t>Xu, W. (2026). Doing Thematic Analysis in the Age of Generative AI: Practices, Ethics and Reflexivity. Qualitative Research, [online]. Available at: https://doi.org/10.1177/16094069261425173 [Accessed 5 Sep. 2026].</w:t>
      </w:r>
    </w:p>
    <w:p w14:paraId="3ED3E7C5" w14:textId="24772A46" w:rsidR="00C6127F" w:rsidRDefault="00C85C76" w:rsidP="00C85C76">
      <w:r>
        <w:rPr>
          <w:rFonts w:ascii="Century Gothic" w:hAnsi="Century Gothic" w:cs="Century Gothic"/>
          <w:color w:val="000000"/>
          <w:kern w:val="0"/>
          <w:position w:val="2"/>
        </w:rPr>
        <w:t>Zhao, N., Gopalakrishnan, A. and Narasimhan, C. (2019). The Impact of Co-Branded Credit Cards on Customer Loyalty. SSRN Electronic Journal, [online]. Available at: https://www.semanticscholar.org/paper/696e48c7fc3d0ff100d7952efa1333b84d0adb6b [Accessed 11 Oct. 2025].</w:t>
      </w:r>
    </w:p>
    <w:sectPr w:rsidR="00C612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rlito">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2AD5B48"/>
    <w:multiLevelType w:val="hybridMultilevel"/>
    <w:tmpl w:val="604CB110"/>
    <w:lvl w:ilvl="0" w:tplc="633C729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AAA0A0">
      <w:start w:val="1"/>
      <w:numFmt w:val="bullet"/>
      <w:lvlText w:val="o"/>
      <w:lvlJc w:val="left"/>
      <w:pPr>
        <w:ind w:left="15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BA22884">
      <w:start w:val="1"/>
      <w:numFmt w:val="bullet"/>
      <w:lvlText w:val="▪"/>
      <w:lvlJc w:val="left"/>
      <w:pPr>
        <w:ind w:left="2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C00F6A">
      <w:start w:val="1"/>
      <w:numFmt w:val="bullet"/>
      <w:lvlText w:val="•"/>
      <w:lvlJc w:val="left"/>
      <w:pPr>
        <w:ind w:left="29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926FC2">
      <w:start w:val="1"/>
      <w:numFmt w:val="bullet"/>
      <w:lvlText w:val="o"/>
      <w:lvlJc w:val="left"/>
      <w:pPr>
        <w:ind w:left="36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16B8B6">
      <w:start w:val="1"/>
      <w:numFmt w:val="bullet"/>
      <w:lvlText w:val="▪"/>
      <w:lvlJc w:val="left"/>
      <w:pPr>
        <w:ind w:left="4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8560436">
      <w:start w:val="1"/>
      <w:numFmt w:val="bullet"/>
      <w:lvlText w:val="•"/>
      <w:lvlJc w:val="left"/>
      <w:pPr>
        <w:ind w:left="51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A68E0E">
      <w:start w:val="1"/>
      <w:numFmt w:val="bullet"/>
      <w:lvlText w:val="o"/>
      <w:lvlJc w:val="left"/>
      <w:pPr>
        <w:ind w:left="58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14C7D3C">
      <w:start w:val="1"/>
      <w:numFmt w:val="bullet"/>
      <w:lvlText w:val="▪"/>
      <w:lvlJc w:val="left"/>
      <w:pPr>
        <w:ind w:left="6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8BE0FFA"/>
    <w:multiLevelType w:val="hybridMultilevel"/>
    <w:tmpl w:val="3E2C7F14"/>
    <w:lvl w:ilvl="0" w:tplc="9ACE7766">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3EBE28">
      <w:start w:val="1"/>
      <w:numFmt w:val="bullet"/>
      <w:lvlText w:val="o"/>
      <w:lvlJc w:val="left"/>
      <w:pPr>
        <w:ind w:left="1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D887D4">
      <w:start w:val="1"/>
      <w:numFmt w:val="bullet"/>
      <w:lvlText w:val="▪"/>
      <w:lvlJc w:val="left"/>
      <w:pPr>
        <w:ind w:left="2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20482C">
      <w:start w:val="1"/>
      <w:numFmt w:val="bullet"/>
      <w:lvlText w:val="•"/>
      <w:lvlJc w:val="left"/>
      <w:pPr>
        <w:ind w:left="2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57E015E">
      <w:start w:val="1"/>
      <w:numFmt w:val="bullet"/>
      <w:lvlText w:val="o"/>
      <w:lvlJc w:val="left"/>
      <w:pPr>
        <w:ind w:left="3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BA94EA">
      <w:start w:val="1"/>
      <w:numFmt w:val="bullet"/>
      <w:lvlText w:val="▪"/>
      <w:lvlJc w:val="left"/>
      <w:pPr>
        <w:ind w:left="42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D0560E">
      <w:start w:val="1"/>
      <w:numFmt w:val="bullet"/>
      <w:lvlText w:val="•"/>
      <w:lvlJc w:val="left"/>
      <w:pPr>
        <w:ind w:left="49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04C3F6">
      <w:start w:val="1"/>
      <w:numFmt w:val="bullet"/>
      <w:lvlText w:val="o"/>
      <w:lvlJc w:val="left"/>
      <w:pPr>
        <w:ind w:left="5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44374E">
      <w:start w:val="1"/>
      <w:numFmt w:val="bullet"/>
      <w:lvlText w:val="▪"/>
      <w:lvlJc w:val="left"/>
      <w:pPr>
        <w:ind w:left="6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07A2D3F"/>
    <w:multiLevelType w:val="hybridMultilevel"/>
    <w:tmpl w:val="F2DEDF08"/>
    <w:lvl w:ilvl="0" w:tplc="DA70BEBA">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927554">
      <w:start w:val="1"/>
      <w:numFmt w:val="lowerLetter"/>
      <w:lvlText w:val="%2"/>
      <w:lvlJc w:val="left"/>
      <w:pPr>
        <w:ind w:left="1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0CB92A">
      <w:start w:val="1"/>
      <w:numFmt w:val="lowerRoman"/>
      <w:lvlText w:val="%3"/>
      <w:lvlJc w:val="left"/>
      <w:pPr>
        <w:ind w:left="2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8E65972">
      <w:start w:val="1"/>
      <w:numFmt w:val="decimal"/>
      <w:lvlText w:val="%4"/>
      <w:lvlJc w:val="left"/>
      <w:pPr>
        <w:ind w:left="2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C4D2C0">
      <w:start w:val="1"/>
      <w:numFmt w:val="lowerLetter"/>
      <w:lvlText w:val="%5"/>
      <w:lvlJc w:val="left"/>
      <w:pPr>
        <w:ind w:left="3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704FA0">
      <w:start w:val="1"/>
      <w:numFmt w:val="lowerRoman"/>
      <w:lvlText w:val="%6"/>
      <w:lvlJc w:val="left"/>
      <w:pPr>
        <w:ind w:left="4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8E9F9E">
      <w:start w:val="1"/>
      <w:numFmt w:val="decimal"/>
      <w:lvlText w:val="%7"/>
      <w:lvlJc w:val="left"/>
      <w:pPr>
        <w:ind w:left="4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92C4CA">
      <w:start w:val="1"/>
      <w:numFmt w:val="lowerLetter"/>
      <w:lvlText w:val="%8"/>
      <w:lvlJc w:val="left"/>
      <w:pPr>
        <w:ind w:left="5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68D41C">
      <w:start w:val="1"/>
      <w:numFmt w:val="lowerRoman"/>
      <w:lvlText w:val="%9"/>
      <w:lvlJc w:val="left"/>
      <w:pPr>
        <w:ind w:left="6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7080598"/>
    <w:multiLevelType w:val="hybridMultilevel"/>
    <w:tmpl w:val="8710DF42"/>
    <w:lvl w:ilvl="0" w:tplc="7F06AB28">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BC6620">
      <w:start w:val="1"/>
      <w:numFmt w:val="bullet"/>
      <w:lvlText w:val="o"/>
      <w:lvlJc w:val="left"/>
      <w:pPr>
        <w:ind w:left="1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F2D088">
      <w:start w:val="1"/>
      <w:numFmt w:val="bullet"/>
      <w:lvlText w:val="▪"/>
      <w:lvlJc w:val="left"/>
      <w:pPr>
        <w:ind w:left="2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CEAB8C">
      <w:start w:val="1"/>
      <w:numFmt w:val="bullet"/>
      <w:lvlText w:val="•"/>
      <w:lvlJc w:val="left"/>
      <w:pPr>
        <w:ind w:left="2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CAF494">
      <w:start w:val="1"/>
      <w:numFmt w:val="bullet"/>
      <w:lvlText w:val="o"/>
      <w:lvlJc w:val="left"/>
      <w:pPr>
        <w:ind w:left="3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1945F44">
      <w:start w:val="1"/>
      <w:numFmt w:val="bullet"/>
      <w:lvlText w:val="▪"/>
      <w:lvlJc w:val="left"/>
      <w:pPr>
        <w:ind w:left="42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608696">
      <w:start w:val="1"/>
      <w:numFmt w:val="bullet"/>
      <w:lvlText w:val="•"/>
      <w:lvlJc w:val="left"/>
      <w:pPr>
        <w:ind w:left="49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1E871E">
      <w:start w:val="1"/>
      <w:numFmt w:val="bullet"/>
      <w:lvlText w:val="o"/>
      <w:lvlJc w:val="left"/>
      <w:pPr>
        <w:ind w:left="5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C4A50F0">
      <w:start w:val="1"/>
      <w:numFmt w:val="bullet"/>
      <w:lvlText w:val="▪"/>
      <w:lvlJc w:val="left"/>
      <w:pPr>
        <w:ind w:left="6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2BE58D5"/>
    <w:multiLevelType w:val="hybridMultilevel"/>
    <w:tmpl w:val="793434F8"/>
    <w:lvl w:ilvl="0" w:tplc="7480C446">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B2B30C">
      <w:start w:val="1"/>
      <w:numFmt w:val="bullet"/>
      <w:lvlText w:val="o"/>
      <w:lvlJc w:val="left"/>
      <w:pPr>
        <w:ind w:left="1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B23B2A">
      <w:start w:val="1"/>
      <w:numFmt w:val="bullet"/>
      <w:lvlText w:val="▪"/>
      <w:lvlJc w:val="left"/>
      <w:pPr>
        <w:ind w:left="2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7C1C50">
      <w:start w:val="1"/>
      <w:numFmt w:val="bullet"/>
      <w:lvlText w:val="•"/>
      <w:lvlJc w:val="left"/>
      <w:pPr>
        <w:ind w:left="2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7EAA64">
      <w:start w:val="1"/>
      <w:numFmt w:val="bullet"/>
      <w:lvlText w:val="o"/>
      <w:lvlJc w:val="left"/>
      <w:pPr>
        <w:ind w:left="3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CC23D8">
      <w:start w:val="1"/>
      <w:numFmt w:val="bullet"/>
      <w:lvlText w:val="▪"/>
      <w:lvlJc w:val="left"/>
      <w:pPr>
        <w:ind w:left="4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42AEF2">
      <w:start w:val="1"/>
      <w:numFmt w:val="bullet"/>
      <w:lvlText w:val="•"/>
      <w:lvlJc w:val="left"/>
      <w:pPr>
        <w:ind w:left="4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F82A4E">
      <w:start w:val="1"/>
      <w:numFmt w:val="bullet"/>
      <w:lvlText w:val="o"/>
      <w:lvlJc w:val="left"/>
      <w:pPr>
        <w:ind w:left="5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D62FF4">
      <w:start w:val="1"/>
      <w:numFmt w:val="bullet"/>
      <w:lvlText w:val="▪"/>
      <w:lvlJc w:val="left"/>
      <w:pPr>
        <w:ind w:left="6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DA22024"/>
    <w:multiLevelType w:val="hybridMultilevel"/>
    <w:tmpl w:val="74A8C248"/>
    <w:lvl w:ilvl="0" w:tplc="B6380F04">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2A0ECA">
      <w:start w:val="1"/>
      <w:numFmt w:val="bullet"/>
      <w:lvlText w:val="o"/>
      <w:lvlJc w:val="left"/>
      <w:pPr>
        <w:ind w:left="1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D8691C">
      <w:start w:val="1"/>
      <w:numFmt w:val="bullet"/>
      <w:lvlText w:val="▪"/>
      <w:lvlJc w:val="left"/>
      <w:pPr>
        <w:ind w:left="2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B03C52">
      <w:start w:val="1"/>
      <w:numFmt w:val="bullet"/>
      <w:lvlText w:val="•"/>
      <w:lvlJc w:val="left"/>
      <w:pPr>
        <w:ind w:left="2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E43B3A">
      <w:start w:val="1"/>
      <w:numFmt w:val="bullet"/>
      <w:lvlText w:val="o"/>
      <w:lvlJc w:val="left"/>
      <w:pPr>
        <w:ind w:left="3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12D840">
      <w:start w:val="1"/>
      <w:numFmt w:val="bullet"/>
      <w:lvlText w:val="▪"/>
      <w:lvlJc w:val="left"/>
      <w:pPr>
        <w:ind w:left="42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C46316">
      <w:start w:val="1"/>
      <w:numFmt w:val="bullet"/>
      <w:lvlText w:val="•"/>
      <w:lvlJc w:val="left"/>
      <w:pPr>
        <w:ind w:left="49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6051D0">
      <w:start w:val="1"/>
      <w:numFmt w:val="bullet"/>
      <w:lvlText w:val="o"/>
      <w:lvlJc w:val="left"/>
      <w:pPr>
        <w:ind w:left="5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3EBF24">
      <w:start w:val="1"/>
      <w:numFmt w:val="bullet"/>
      <w:lvlText w:val="▪"/>
      <w:lvlJc w:val="left"/>
      <w:pPr>
        <w:ind w:left="6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5A21CA1"/>
    <w:multiLevelType w:val="hybridMultilevel"/>
    <w:tmpl w:val="2AFC64D4"/>
    <w:lvl w:ilvl="0" w:tplc="B4F49BF2">
      <w:start w:val="4"/>
      <w:numFmt w:val="lowerLetter"/>
      <w:lvlText w:val="(%1)"/>
      <w:lvlJc w:val="left"/>
      <w:pPr>
        <w:ind w:left="1434"/>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000C1B9A">
      <w:start w:val="1"/>
      <w:numFmt w:val="lowerLetter"/>
      <w:lvlText w:val="%2"/>
      <w:lvlJc w:val="left"/>
      <w:pPr>
        <w:ind w:left="229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5D088E7C">
      <w:start w:val="1"/>
      <w:numFmt w:val="lowerRoman"/>
      <w:lvlText w:val="%3"/>
      <w:lvlJc w:val="left"/>
      <w:pPr>
        <w:ind w:left="301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D2442822">
      <w:start w:val="1"/>
      <w:numFmt w:val="decimal"/>
      <w:lvlText w:val="%4"/>
      <w:lvlJc w:val="left"/>
      <w:pPr>
        <w:ind w:left="373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EDD802AA">
      <w:start w:val="1"/>
      <w:numFmt w:val="lowerLetter"/>
      <w:lvlText w:val="%5"/>
      <w:lvlJc w:val="left"/>
      <w:pPr>
        <w:ind w:left="445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6F208118">
      <w:start w:val="1"/>
      <w:numFmt w:val="lowerRoman"/>
      <w:lvlText w:val="%6"/>
      <w:lvlJc w:val="left"/>
      <w:pPr>
        <w:ind w:left="517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FBE640AE">
      <w:start w:val="1"/>
      <w:numFmt w:val="decimal"/>
      <w:lvlText w:val="%7"/>
      <w:lvlJc w:val="left"/>
      <w:pPr>
        <w:ind w:left="589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9F3C2CC0">
      <w:start w:val="1"/>
      <w:numFmt w:val="lowerLetter"/>
      <w:lvlText w:val="%8"/>
      <w:lvlJc w:val="left"/>
      <w:pPr>
        <w:ind w:left="661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0BB0BBD8">
      <w:start w:val="1"/>
      <w:numFmt w:val="lowerRoman"/>
      <w:lvlText w:val="%9"/>
      <w:lvlJc w:val="left"/>
      <w:pPr>
        <w:ind w:left="733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7A2772B6"/>
    <w:multiLevelType w:val="hybridMultilevel"/>
    <w:tmpl w:val="E34EE8AA"/>
    <w:lvl w:ilvl="0" w:tplc="42AE672C">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E83014">
      <w:start w:val="1"/>
      <w:numFmt w:val="bullet"/>
      <w:lvlText w:val="o"/>
      <w:lvlJc w:val="left"/>
      <w:pPr>
        <w:ind w:left="1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26F648">
      <w:start w:val="1"/>
      <w:numFmt w:val="bullet"/>
      <w:lvlText w:val="▪"/>
      <w:lvlJc w:val="left"/>
      <w:pPr>
        <w:ind w:left="2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729700">
      <w:start w:val="1"/>
      <w:numFmt w:val="bullet"/>
      <w:lvlText w:val="•"/>
      <w:lvlJc w:val="left"/>
      <w:pPr>
        <w:ind w:left="2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42F428">
      <w:start w:val="1"/>
      <w:numFmt w:val="bullet"/>
      <w:lvlText w:val="o"/>
      <w:lvlJc w:val="left"/>
      <w:pPr>
        <w:ind w:left="3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4AAF75E">
      <w:start w:val="1"/>
      <w:numFmt w:val="bullet"/>
      <w:lvlText w:val="▪"/>
      <w:lvlJc w:val="left"/>
      <w:pPr>
        <w:ind w:left="42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5C69A4">
      <w:start w:val="1"/>
      <w:numFmt w:val="bullet"/>
      <w:lvlText w:val="•"/>
      <w:lvlJc w:val="left"/>
      <w:pPr>
        <w:ind w:left="49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862F38">
      <w:start w:val="1"/>
      <w:numFmt w:val="bullet"/>
      <w:lvlText w:val="o"/>
      <w:lvlJc w:val="left"/>
      <w:pPr>
        <w:ind w:left="5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D06E092">
      <w:start w:val="1"/>
      <w:numFmt w:val="bullet"/>
      <w:lvlText w:val="▪"/>
      <w:lvlJc w:val="left"/>
      <w:pPr>
        <w:ind w:left="6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CEB0825"/>
    <w:multiLevelType w:val="hybridMultilevel"/>
    <w:tmpl w:val="56685D82"/>
    <w:lvl w:ilvl="0" w:tplc="C09A4B7E">
      <w:start w:val="1"/>
      <w:numFmt w:val="decimal"/>
      <w:lvlText w:val="%1."/>
      <w:lvlJc w:val="left"/>
      <w:pPr>
        <w:ind w:left="640"/>
      </w:pPr>
      <w:rPr>
        <w:rFonts w:ascii="Times New Roman" w:eastAsia="Times New Roman" w:hAnsi="Times New Roman" w:cs="Times New Roman"/>
        <w:b w:val="0"/>
        <w:i w:val="0"/>
        <w:strike w:val="0"/>
        <w:dstrike w:val="0"/>
        <w:color w:val="1A1B1D"/>
        <w:sz w:val="24"/>
        <w:szCs w:val="24"/>
        <w:u w:val="none" w:color="000000"/>
        <w:bdr w:val="none" w:sz="0" w:space="0" w:color="auto"/>
        <w:shd w:val="clear" w:color="auto" w:fill="auto"/>
        <w:vertAlign w:val="baseline"/>
      </w:rPr>
    </w:lvl>
    <w:lvl w:ilvl="1" w:tplc="95381566">
      <w:start w:val="1"/>
      <w:numFmt w:val="lowerLetter"/>
      <w:lvlText w:val="%2"/>
      <w:lvlJc w:val="left"/>
      <w:pPr>
        <w:ind w:left="1170"/>
      </w:pPr>
      <w:rPr>
        <w:rFonts w:ascii="Times New Roman" w:eastAsia="Times New Roman" w:hAnsi="Times New Roman" w:cs="Times New Roman"/>
        <w:b w:val="0"/>
        <w:i w:val="0"/>
        <w:strike w:val="0"/>
        <w:dstrike w:val="0"/>
        <w:color w:val="1A1B1D"/>
        <w:sz w:val="24"/>
        <w:szCs w:val="24"/>
        <w:u w:val="none" w:color="000000"/>
        <w:bdr w:val="none" w:sz="0" w:space="0" w:color="auto"/>
        <w:shd w:val="clear" w:color="auto" w:fill="auto"/>
        <w:vertAlign w:val="baseline"/>
      </w:rPr>
    </w:lvl>
    <w:lvl w:ilvl="2" w:tplc="64F0E75A">
      <w:start w:val="1"/>
      <w:numFmt w:val="lowerRoman"/>
      <w:lvlText w:val="%3"/>
      <w:lvlJc w:val="left"/>
      <w:pPr>
        <w:ind w:left="1890"/>
      </w:pPr>
      <w:rPr>
        <w:rFonts w:ascii="Times New Roman" w:eastAsia="Times New Roman" w:hAnsi="Times New Roman" w:cs="Times New Roman"/>
        <w:b w:val="0"/>
        <w:i w:val="0"/>
        <w:strike w:val="0"/>
        <w:dstrike w:val="0"/>
        <w:color w:val="1A1B1D"/>
        <w:sz w:val="24"/>
        <w:szCs w:val="24"/>
        <w:u w:val="none" w:color="000000"/>
        <w:bdr w:val="none" w:sz="0" w:space="0" w:color="auto"/>
        <w:shd w:val="clear" w:color="auto" w:fill="auto"/>
        <w:vertAlign w:val="baseline"/>
      </w:rPr>
    </w:lvl>
    <w:lvl w:ilvl="3" w:tplc="F65491AC">
      <w:start w:val="1"/>
      <w:numFmt w:val="decimal"/>
      <w:lvlText w:val="%4"/>
      <w:lvlJc w:val="left"/>
      <w:pPr>
        <w:ind w:left="2610"/>
      </w:pPr>
      <w:rPr>
        <w:rFonts w:ascii="Times New Roman" w:eastAsia="Times New Roman" w:hAnsi="Times New Roman" w:cs="Times New Roman"/>
        <w:b w:val="0"/>
        <w:i w:val="0"/>
        <w:strike w:val="0"/>
        <w:dstrike w:val="0"/>
        <w:color w:val="1A1B1D"/>
        <w:sz w:val="24"/>
        <w:szCs w:val="24"/>
        <w:u w:val="none" w:color="000000"/>
        <w:bdr w:val="none" w:sz="0" w:space="0" w:color="auto"/>
        <w:shd w:val="clear" w:color="auto" w:fill="auto"/>
        <w:vertAlign w:val="baseline"/>
      </w:rPr>
    </w:lvl>
    <w:lvl w:ilvl="4" w:tplc="21B6CA46">
      <w:start w:val="1"/>
      <w:numFmt w:val="lowerLetter"/>
      <w:lvlText w:val="%5"/>
      <w:lvlJc w:val="left"/>
      <w:pPr>
        <w:ind w:left="3330"/>
      </w:pPr>
      <w:rPr>
        <w:rFonts w:ascii="Times New Roman" w:eastAsia="Times New Roman" w:hAnsi="Times New Roman" w:cs="Times New Roman"/>
        <w:b w:val="0"/>
        <w:i w:val="0"/>
        <w:strike w:val="0"/>
        <w:dstrike w:val="0"/>
        <w:color w:val="1A1B1D"/>
        <w:sz w:val="24"/>
        <w:szCs w:val="24"/>
        <w:u w:val="none" w:color="000000"/>
        <w:bdr w:val="none" w:sz="0" w:space="0" w:color="auto"/>
        <w:shd w:val="clear" w:color="auto" w:fill="auto"/>
        <w:vertAlign w:val="baseline"/>
      </w:rPr>
    </w:lvl>
    <w:lvl w:ilvl="5" w:tplc="6CA21EC2">
      <w:start w:val="1"/>
      <w:numFmt w:val="lowerRoman"/>
      <w:lvlText w:val="%6"/>
      <w:lvlJc w:val="left"/>
      <w:pPr>
        <w:ind w:left="4050"/>
      </w:pPr>
      <w:rPr>
        <w:rFonts w:ascii="Times New Roman" w:eastAsia="Times New Roman" w:hAnsi="Times New Roman" w:cs="Times New Roman"/>
        <w:b w:val="0"/>
        <w:i w:val="0"/>
        <w:strike w:val="0"/>
        <w:dstrike w:val="0"/>
        <w:color w:val="1A1B1D"/>
        <w:sz w:val="24"/>
        <w:szCs w:val="24"/>
        <w:u w:val="none" w:color="000000"/>
        <w:bdr w:val="none" w:sz="0" w:space="0" w:color="auto"/>
        <w:shd w:val="clear" w:color="auto" w:fill="auto"/>
        <w:vertAlign w:val="baseline"/>
      </w:rPr>
    </w:lvl>
    <w:lvl w:ilvl="6" w:tplc="3DFE9198">
      <w:start w:val="1"/>
      <w:numFmt w:val="decimal"/>
      <w:lvlText w:val="%7"/>
      <w:lvlJc w:val="left"/>
      <w:pPr>
        <w:ind w:left="4770"/>
      </w:pPr>
      <w:rPr>
        <w:rFonts w:ascii="Times New Roman" w:eastAsia="Times New Roman" w:hAnsi="Times New Roman" w:cs="Times New Roman"/>
        <w:b w:val="0"/>
        <w:i w:val="0"/>
        <w:strike w:val="0"/>
        <w:dstrike w:val="0"/>
        <w:color w:val="1A1B1D"/>
        <w:sz w:val="24"/>
        <w:szCs w:val="24"/>
        <w:u w:val="none" w:color="000000"/>
        <w:bdr w:val="none" w:sz="0" w:space="0" w:color="auto"/>
        <w:shd w:val="clear" w:color="auto" w:fill="auto"/>
        <w:vertAlign w:val="baseline"/>
      </w:rPr>
    </w:lvl>
    <w:lvl w:ilvl="7" w:tplc="06B6AE0C">
      <w:start w:val="1"/>
      <w:numFmt w:val="lowerLetter"/>
      <w:lvlText w:val="%8"/>
      <w:lvlJc w:val="left"/>
      <w:pPr>
        <w:ind w:left="5490"/>
      </w:pPr>
      <w:rPr>
        <w:rFonts w:ascii="Times New Roman" w:eastAsia="Times New Roman" w:hAnsi="Times New Roman" w:cs="Times New Roman"/>
        <w:b w:val="0"/>
        <w:i w:val="0"/>
        <w:strike w:val="0"/>
        <w:dstrike w:val="0"/>
        <w:color w:val="1A1B1D"/>
        <w:sz w:val="24"/>
        <w:szCs w:val="24"/>
        <w:u w:val="none" w:color="000000"/>
        <w:bdr w:val="none" w:sz="0" w:space="0" w:color="auto"/>
        <w:shd w:val="clear" w:color="auto" w:fill="auto"/>
        <w:vertAlign w:val="baseline"/>
      </w:rPr>
    </w:lvl>
    <w:lvl w:ilvl="8" w:tplc="A4528C9E">
      <w:start w:val="1"/>
      <w:numFmt w:val="lowerRoman"/>
      <w:lvlText w:val="%9"/>
      <w:lvlJc w:val="left"/>
      <w:pPr>
        <w:ind w:left="6210"/>
      </w:pPr>
      <w:rPr>
        <w:rFonts w:ascii="Times New Roman" w:eastAsia="Times New Roman" w:hAnsi="Times New Roman" w:cs="Times New Roman"/>
        <w:b w:val="0"/>
        <w:i w:val="0"/>
        <w:strike w:val="0"/>
        <w:dstrike w:val="0"/>
        <w:color w:val="1A1B1D"/>
        <w:sz w:val="24"/>
        <w:szCs w:val="24"/>
        <w:u w:val="none" w:color="000000"/>
        <w:bdr w:val="none" w:sz="0" w:space="0" w:color="auto"/>
        <w:shd w:val="clear" w:color="auto" w:fill="auto"/>
        <w:vertAlign w:val="baseline"/>
      </w:rPr>
    </w:lvl>
  </w:abstractNum>
  <w:num w:numId="1" w16cid:durableId="836922823">
    <w:abstractNumId w:val="0"/>
  </w:num>
  <w:num w:numId="2" w16cid:durableId="397637079">
    <w:abstractNumId w:val="8"/>
  </w:num>
  <w:num w:numId="3" w16cid:durableId="1832017942">
    <w:abstractNumId w:val="2"/>
  </w:num>
  <w:num w:numId="4" w16cid:durableId="921915445">
    <w:abstractNumId w:val="4"/>
  </w:num>
  <w:num w:numId="5" w16cid:durableId="1094328636">
    <w:abstractNumId w:val="1"/>
  </w:num>
  <w:num w:numId="6" w16cid:durableId="2002735334">
    <w:abstractNumId w:val="3"/>
  </w:num>
  <w:num w:numId="7" w16cid:durableId="1828865208">
    <w:abstractNumId w:val="5"/>
  </w:num>
  <w:num w:numId="8" w16cid:durableId="2136832320">
    <w:abstractNumId w:val="7"/>
  </w:num>
  <w:num w:numId="9" w16cid:durableId="1730955836">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C76"/>
    <w:rsid w:val="00050FA4"/>
    <w:rsid w:val="00071C5D"/>
    <w:rsid w:val="001519E6"/>
    <w:rsid w:val="001B56E5"/>
    <w:rsid w:val="003C0088"/>
    <w:rsid w:val="003F2DB6"/>
    <w:rsid w:val="00413619"/>
    <w:rsid w:val="00425770"/>
    <w:rsid w:val="00455741"/>
    <w:rsid w:val="004F48EA"/>
    <w:rsid w:val="0050031F"/>
    <w:rsid w:val="005163A9"/>
    <w:rsid w:val="00527551"/>
    <w:rsid w:val="00555F44"/>
    <w:rsid w:val="00691050"/>
    <w:rsid w:val="007378E5"/>
    <w:rsid w:val="007A22CC"/>
    <w:rsid w:val="007E5FC0"/>
    <w:rsid w:val="007F1616"/>
    <w:rsid w:val="0080199B"/>
    <w:rsid w:val="00830967"/>
    <w:rsid w:val="008366BB"/>
    <w:rsid w:val="00860731"/>
    <w:rsid w:val="00897D6D"/>
    <w:rsid w:val="00930323"/>
    <w:rsid w:val="00946B0C"/>
    <w:rsid w:val="009859D8"/>
    <w:rsid w:val="009C3C64"/>
    <w:rsid w:val="00A13AF0"/>
    <w:rsid w:val="00A51483"/>
    <w:rsid w:val="00A63A6A"/>
    <w:rsid w:val="00A74C37"/>
    <w:rsid w:val="00AE1890"/>
    <w:rsid w:val="00AF541B"/>
    <w:rsid w:val="00C6127F"/>
    <w:rsid w:val="00C62246"/>
    <w:rsid w:val="00C85C76"/>
    <w:rsid w:val="00CA2B83"/>
    <w:rsid w:val="00CC049A"/>
    <w:rsid w:val="00D91F45"/>
    <w:rsid w:val="00DB54EA"/>
    <w:rsid w:val="00E378D9"/>
    <w:rsid w:val="00E94348"/>
    <w:rsid w:val="00F37CE7"/>
    <w:rsid w:val="00F63D68"/>
    <w:rsid w:val="00F86048"/>
    <w:rsid w:val="00FF6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1545D"/>
  <w15:chartTrackingRefBased/>
  <w15:docId w15:val="{467BD9C8-4876-514C-8EC5-C13E22A7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5C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5C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5C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5C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5C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5C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5C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5C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5C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C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5C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5C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5C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5C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5C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5C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5C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5C76"/>
    <w:rPr>
      <w:rFonts w:eastAsiaTheme="majorEastAsia" w:cstheme="majorBidi"/>
      <w:color w:val="272727" w:themeColor="text1" w:themeTint="D8"/>
    </w:rPr>
  </w:style>
  <w:style w:type="paragraph" w:styleId="Title">
    <w:name w:val="Title"/>
    <w:basedOn w:val="Normal"/>
    <w:next w:val="Normal"/>
    <w:link w:val="TitleChar"/>
    <w:uiPriority w:val="10"/>
    <w:qFormat/>
    <w:rsid w:val="00C85C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C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5C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5C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5C76"/>
    <w:pPr>
      <w:spacing w:before="160"/>
      <w:jc w:val="center"/>
    </w:pPr>
    <w:rPr>
      <w:i/>
      <w:iCs/>
      <w:color w:val="404040" w:themeColor="text1" w:themeTint="BF"/>
    </w:rPr>
  </w:style>
  <w:style w:type="character" w:customStyle="1" w:styleId="QuoteChar">
    <w:name w:val="Quote Char"/>
    <w:basedOn w:val="DefaultParagraphFont"/>
    <w:link w:val="Quote"/>
    <w:uiPriority w:val="29"/>
    <w:rsid w:val="00C85C76"/>
    <w:rPr>
      <w:i/>
      <w:iCs/>
      <w:color w:val="404040" w:themeColor="text1" w:themeTint="BF"/>
    </w:rPr>
  </w:style>
  <w:style w:type="paragraph" w:styleId="ListParagraph">
    <w:name w:val="List Paragraph"/>
    <w:basedOn w:val="Normal"/>
    <w:uiPriority w:val="34"/>
    <w:qFormat/>
    <w:rsid w:val="00C85C76"/>
    <w:pPr>
      <w:ind w:left="720"/>
      <w:contextualSpacing/>
    </w:pPr>
  </w:style>
  <w:style w:type="character" w:styleId="IntenseEmphasis">
    <w:name w:val="Intense Emphasis"/>
    <w:basedOn w:val="DefaultParagraphFont"/>
    <w:uiPriority w:val="21"/>
    <w:qFormat/>
    <w:rsid w:val="00C85C76"/>
    <w:rPr>
      <w:i/>
      <w:iCs/>
      <w:color w:val="0F4761" w:themeColor="accent1" w:themeShade="BF"/>
    </w:rPr>
  </w:style>
  <w:style w:type="paragraph" w:styleId="IntenseQuote">
    <w:name w:val="Intense Quote"/>
    <w:basedOn w:val="Normal"/>
    <w:next w:val="Normal"/>
    <w:link w:val="IntenseQuoteChar"/>
    <w:uiPriority w:val="30"/>
    <w:qFormat/>
    <w:rsid w:val="00C85C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5C76"/>
    <w:rPr>
      <w:i/>
      <w:iCs/>
      <w:color w:val="0F4761" w:themeColor="accent1" w:themeShade="BF"/>
    </w:rPr>
  </w:style>
  <w:style w:type="character" w:styleId="IntenseReference">
    <w:name w:val="Intense Reference"/>
    <w:basedOn w:val="DefaultParagraphFont"/>
    <w:uiPriority w:val="32"/>
    <w:qFormat/>
    <w:rsid w:val="00C85C76"/>
    <w:rPr>
      <w:b/>
      <w:bCs/>
      <w:smallCaps/>
      <w:color w:val="0F4761" w:themeColor="accent1" w:themeShade="BF"/>
      <w:spacing w:val="5"/>
    </w:rPr>
  </w:style>
  <w:style w:type="paragraph" w:customStyle="1" w:styleId="Default">
    <w:name w:val="Default"/>
    <w:rsid w:val="00C85C76"/>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kern w:val="0"/>
      <w:u w:color="000000"/>
      <w:bdr w:val="nil"/>
      <w:lang w:eastAsia="en-GB"/>
      <w14:textOutline w14:w="12700" w14:cap="flat" w14:cmpd="sng" w14:algn="ctr">
        <w14:noFill/>
        <w14:prstDash w14:val="solid"/>
        <w14:miter w14:lim="400000"/>
      </w14:textOutline>
      <w14:ligatures w14:val="none"/>
    </w:rPr>
  </w:style>
  <w:style w:type="paragraph" w:styleId="NormalWeb">
    <w:name w:val="Normal (Web)"/>
    <w:basedOn w:val="Normal"/>
    <w:uiPriority w:val="99"/>
    <w:semiHidden/>
    <w:unhideWhenUsed/>
    <w:rsid w:val="00C85C7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1">
    <w:name w:val="p1"/>
    <w:basedOn w:val="Normal"/>
    <w:rsid w:val="001B56E5"/>
    <w:pPr>
      <w:spacing w:after="0" w:line="240" w:lineRule="auto"/>
    </w:pPr>
    <w:rPr>
      <w:rFonts w:ascii="Times New Roman" w:eastAsia="Times New Roman" w:hAnsi="Times New Roman" w:cs="Times New Roman"/>
      <w:color w:val="000000"/>
      <w:kern w:val="0"/>
      <w:sz w:val="18"/>
      <w:szCs w:val="18"/>
      <w:lang w:eastAsia="en-GB"/>
      <w14:ligatures w14:val="none"/>
    </w:rPr>
  </w:style>
  <w:style w:type="character" w:customStyle="1" w:styleId="s1">
    <w:name w:val="s1"/>
    <w:basedOn w:val="DefaultParagraphFont"/>
    <w:rsid w:val="00FF616A"/>
    <w:rPr>
      <w:rFonts w:ascii="Arial" w:hAnsi="Arial" w:cs="Arial" w:hint="default"/>
      <w:sz w:val="21"/>
      <w:szCs w:val="21"/>
    </w:rPr>
  </w:style>
  <w:style w:type="table" w:customStyle="1" w:styleId="TableGrid">
    <w:name w:val="TableGrid"/>
    <w:rsid w:val="00F37CE7"/>
    <w:pPr>
      <w:spacing w:after="0" w:line="240" w:lineRule="auto"/>
    </w:pPr>
    <w:rPr>
      <w:rFonts w:eastAsiaTheme="minorEastAsia"/>
      <w:sz w:val="22"/>
      <w:szCs w:val="22"/>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CA2B83"/>
    <w:rPr>
      <w:color w:val="467886" w:themeColor="hyperlink"/>
      <w:u w:val="single"/>
    </w:rPr>
  </w:style>
  <w:style w:type="character" w:styleId="UnresolvedMention">
    <w:name w:val="Unresolved Mention"/>
    <w:basedOn w:val="DefaultParagraphFont"/>
    <w:uiPriority w:val="99"/>
    <w:semiHidden/>
    <w:unhideWhenUsed/>
    <w:rsid w:val="00CA2B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uwtsd.ac.uk/research/research-ethics/" TargetMode="External"/><Relationship Id="rId3" Type="http://schemas.openxmlformats.org/officeDocument/2006/relationships/settings" Target="settings.xml"/><Relationship Id="rId7" Type="http://schemas.openxmlformats.org/officeDocument/2006/relationships/customXml" Target="ink/ink2.xml"/><Relationship Id="rId12" Type="http://schemas.openxmlformats.org/officeDocument/2006/relationships/hyperlink" Target="https://www.uwtsd.ac.uk/research/research-ethic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eur01.safelinks.protection.outlook.com/?url=https://www.uwtsd.ac.uk/library/research-data-management/&amp;data=02%257C01%257Cj.venus@uwtsd.ac.uk%257C981cf28ddfcb48854c9c08d6fa466348%257C4e0f11f9046e45059cb8db2152311e21%257C0%257C0%257C636971577546578291&amp;sdata=S32rzsJ04QxDtX1nsg/8/xIgMGDV2oXG4QBZj5JdIFI=&amp;reserved=0" TargetMode="External"/><Relationship Id="rId5" Type="http://schemas.openxmlformats.org/officeDocument/2006/relationships/customXml" Target="ink/ink1.xml"/><Relationship Id="rId15" Type="http://schemas.openxmlformats.org/officeDocument/2006/relationships/hyperlink" Target="https://www.sciencedirect.com/science/article/abs/pii/S0969699725001887"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customXml" Target="ink/ink3.xml"/><Relationship Id="rId14"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9-29T14:02:45.650"/>
    </inkml:context>
    <inkml:brush xml:id="br0">
      <inkml:brushProperty name="width" value="0.05" units="cm"/>
      <inkml:brushProperty name="height" value="0.05" units="cm"/>
    </inkml:brush>
  </inkml:definitions>
  <inkml:trace contextRef="#ctx0" brushRef="#br0">1177 1 24575,'-26'3'0,"-18"0"0,-39 3 0,-14 1 0,40-4 0,-3 1 0,-19 2 0,-2 0 0,11-2 0,-1 0 0,-20 2 0,5-1 0,-4 2 0,10 3 0,63 2 0,3 10 0,20 8 0,29 9 0,10-18 0,14-4 0,10-3 0,11-3 0,1-1-357,-4-1 0,1-1 0,4 0 357,-4-1 0,6 0 0,-1 0 0,-5 0 0,0 0 0,-3 0 0,-1 2-54,5 2 1,1 2-1,-5 0 54,11 2 0,-9 0 0,-18-3 0,-8 1 0,3 7 0,-45-1 0,-6 5 1062,-14 14-1062,-17-1 170,-27 0-170,-21 0 0,-11-7 0,37-17 0,-3-2 0,-12-2 0,-9-4 0,-7-2 0,-9-3 0,3-1-150,13-1 1,2-1-1,-2-1 150,-13 1 0,-1-1 0,4 0 0,-8-4 0,9 1 0,28 4 0,4 0 0,-45-3 0,34 5 0,45 0 0,19-20 0,50-5 449,9-38-449,-22 29 0,-3 0 0,-5-13 0,-8 8 0</inkml:trace>
  <inkml:trace contextRef="#ctx0" brushRef="#br0" timeOffset="700">513 185 10665,'2'51'0,"0"-1"0,3 11 0,1-3 5029,9 8-5029,-3-14 0,2 3 1210,0-1 0,2 0-1210,3-3 0,1-1 1394,15 29-1394,-11-36 5067,-11-19-5067,-12-19 0,-1-3 0,0 2 0,0-28 0,2-9 0,-1 0 0,1 5 0,-2 26 0</inkml:trace>
  <inkml:trace contextRef="#ctx0" brushRef="#br0" timeOffset="1328">1 470 24575,'93'-3'0,"-33"-1"0,8-3 0,4 0 0,20-1 0,5-1 0,9-1-1154,-31 2 0,6-1 0,3-1 0,2 1 0,1-1 0,-1 2 1154,4 0 0,1 0 0,1 1 0,-1-1 0,-1 1 0,-4 0 0,2-1 0,-3 0 0,-1 1 0,-3-1 0,-2 2 499,11 0 1,0 2 0,-8 0 0,-17 1-500,13 0 1107,-44 4-1107,-22-2 0,-12 3 0,-2-2 0,1 0 0,-1 0 0</inkml:trace>
  <inkml:trace contextRef="#ctx0" brushRef="#br0" timeOffset="2591">280 191 24575,'27'3'0,"-5"0"0,52-4 0,26-2 0,-21 1 0,4 1 0,7 0-814,-14 2 0,5-1 0,3 1 0,1 0 1,-3-1 813,14 1 0,0 0 0,-2 0 0,-3 0 0,11 2 0,-4 0 0,-10-1 628,-9 1 1,-13-1-629,-2-4 665,-40 2-665,-13-1 0,-2 1 0,-10 0 0,-4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9-29T14:02:29.938"/>
    </inkml:context>
    <inkml:brush xml:id="br0">
      <inkml:brushProperty name="width" value="0.05" units="cm"/>
      <inkml:brushProperty name="height" value="0.05" units="cm"/>
    </inkml:brush>
  </inkml:definitions>
  <inkml:trace contextRef="#ctx0" brushRef="#br0">1118 253 24575,'-58'-11'0,"-1"0"0,-23 2 0,9 1 0,-3 3 0,19 6 0,3 1 0,3 0 0,1-1 0,-4 2 0,2 0 0,-28 0 0,14 3 0,7 13 0,2 9 0,3 14 0,13 5 0,20 3 0,42 23 0,9-25 0,30 12 0,10-34 0,6-6 0,12-2 0,-37-7 0,0 1 0,34 10 0,-16-1 0,-27-4 0,-32-12 0,-4 11 0,-5 16 0,1 11 0,-3 3 0,-6-8 0,-4-13 0,-3-7 0,-11-5 0,-32 0 0,-15-8 0,17 0 0,-3-1 0,3-3 0,2-2 0,-2 1 0,4 0 0,-21 0 0,28-1 0,23-6 0,7-12 0,-2-3 0,-3-3 0,8 9 0,0 4 0,7 7 0,0-1 0,3 4 0,-3-2 0,4 2 0,8-13 0,20-9 0,-11 7 0,8-4 0</inkml:trace>
  <inkml:trace contextRef="#ctx0" brushRef="#br0" timeOffset="974">324 186 24575,'-4'53'0,"0"0"0,1-3 0,0 3 0,0 14 0,1-1 0,0 24 0,4-13 0,-1-7 0,4 5 0,2-1 0,2-22 0,-3-26 0,-3-12 0,-1-1 0,2 29 0,4 20 0,1 15 0,-1-22 0,-2-25 0,22-108 0,-1-7 0,7-17 0,-8 30 0,3-6 0,1-2 0,0-1-230,1-3 1,1-1 0,0 0 0,-1 6 229,2-5 0,0 5 0,-4 8 0,3-2 0,-9 21 0,-16 36 0</inkml:trace>
  <inkml:trace contextRef="#ctx0" brushRef="#br0" timeOffset="2080">19 162 24575,'6'-3'0,"-6"2"0,1 0 0,0 1 0,72 1 0,-4-1 0,16-1 0,7 0 0,-2 0 0,6-1 0,5 1 0,4 1 0,-13 0 0,7 1 0,3 0 0,0 0 0,-5 0 0,-7 0 0,2-1 0,-6 0 0,-3 1 0,-1 0 0,3 1 0,4 0 0,-10 1 0,-25 1 0,-20 4 0,6-3 0,6 0 0,-12-4 0,-13-1 0,-11 0 0,-56 3 0,18-1 0,-55 2 0,-4 1 0,42-3 0,-15 1 0,0 0 0</inkml:trace>
  <inkml:trace contextRef="#ctx0" brushRef="#br0" timeOffset="3063">237 586 21717,'35'7'0,"42"7"1375,-12-6-1375,-1-1 0,8-1 241,4-1 0,0-1-241,-15 0 0,5-2 0,10-1 0,11 0 0,-2-1-212,-4-1 1,-1 0-1,2-2 212,7 0 0,2-1 0,-2 0 0,-8 1 0,-3-1 0,-11 0 722,23-5-722,-50 5 0,-21 4 0,-1 2 0,0 0 0,-3 0 0,-11-1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9-29T14:02:37.007"/>
    </inkml:context>
    <inkml:brush xml:id="br0">
      <inkml:brushProperty name="width" value="0.05" units="cm"/>
      <inkml:brushProperty name="height" value="0.05" units="cm"/>
    </inkml:brush>
  </inkml:definitions>
  <inkml:trace contextRef="#ctx0" brushRef="#br0">1174 16 24575,'-36'-7'0,"-19"3"0,-20 0 0,-19 4 0,39 2 0,1 1 0,-23 2 0,13 3 0,-1 1 0,15-2 0,-1 0 0,-19 1 0,2 0 0,-23 4 0,16 4 0,32 20 0,4 15 0,-2 12 0,25 3 0,11-27 0,49 4 0,34-1 0,-15-18 0,14-3 0,8-1 0,3-1 0,0 1-558,-7 0 0,3 0 0,2 1 0,1-1 0,1 0 1,-1-1 557,6 1 0,2 0 0,0-1 0,0 0 0,-4-2 0,-3-1 0,18 1 0,-3-3 0,-7-1 0,-15-1 0,-4 0 0,-14-1 0,13 3 0,-56-9 0,-9 9 0,-44 24 0,-24 36 1673,22-35 1,-4-1-1674,-5 8 0,-1-4 0,-34 6 0,24-29 0,-6-4 0,-13-5 0,-7-4 0,14-2 0,-5-2 0,-3-2-355,-19-2 0,-5-3 0,3-1 355,9-1 0,2-1 0,-1-2 0,-6-5 0,-2-3 0,10 0 0,5-1 0,11 0 0,12 3 0,15-4 0,28-10 0,36-6 0,19-26 0,-16 21 532,4-8 1,-1 1-533,-10 17 0,19-35 0,-31 53 0,-8 11 0,1 0 0</inkml:trace>
  <inkml:trace contextRef="#ctx0" brushRef="#br0" timeOffset="864">825 300 24575,'-3'11'0,"-3"7"0,4-4 0,-2 14 0,4 23 0,-1 36 0,0-31 0,0 5 0,3 21 0,2 1 0,-1-16 0,2 0 0,5 7 0,5-3 0,15 24 0,-1-26 0,-7-29 0,-12-24 0,-7-8 0,2 3 0,-1 0 0,-1-3 0,-4-5 0,-2-3 0,1-16 0,1-23 0,1 15 0,0-11 0</inkml:trace>
  <inkml:trace contextRef="#ctx0" brushRef="#br0" timeOffset="2165">1 283 8191,'98'5'0,"0"1"0,0 0 0,0-1 0,1 1 0,-1 0 0,0 0 0,0-1 0,0 1 0,0 0 0,1-1 0,-1 1 0,0 0 0,0 0 0,0-1 0,1 1 0,-1 0 0,0 0 0,-4-1 0,0 1 0,1-1 0,-1 0 0,0 1 0,0-1 0,1 1 0,-1-1 0,0 1 0,0-1 0,1 1 0,-1-1 0,0 1 0,0-1 0,1 1 0</inkml:trace>
  <inkml:trace contextRef="#ctx0" brushRef="#br0" timeOffset="2298">469 310 8191,'100'-5'0,"-1"0"0,1 0 0,-1 0 0,1 0 0,-1 0 0,0-1 0,1 1 0,-1 0 0,1 0 0,-1 0 0,7-1 0,6-1 0,4-1 0,-2 0 0,-6 1 0,-9 1 0,-13 2 0,-19 1 0,-21 3 0,-7 6 0,-39-6 0</inkml:trace>
  <inkml:trace contextRef="#ctx0" brushRef="#br0" timeOffset="3475">547 778 24575,'35'0'0,"25"0"0,7 0 0,14-1 0,5-2 0,9-1 0,2 0-837,-21 1 0,1 1 0,1 0 1,3-1 836,14-1 0,5-1 0,-2 0 0,-7 0 0,-2 2 0,-7 0 0,-5 0 525,12-2 0,-12 2-525,-2 0 549,-56 0-549,4-1 0,4-1 0,-7 2 0,-12 1 0,-7 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157</Pages>
  <Words>23777</Words>
  <Characters>135535</Characters>
  <Application>Microsoft Office Word</Application>
  <DocSecurity>0</DocSecurity>
  <Lines>1129</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Sheehan (2234786)</dc:creator>
  <cp:keywords/>
  <dc:description/>
  <cp:lastModifiedBy>Tomas Sheehan (2234786)</cp:lastModifiedBy>
  <cp:revision>40</cp:revision>
  <dcterms:created xsi:type="dcterms:W3CDTF">2026-09-29T13:39:00Z</dcterms:created>
  <dcterms:modified xsi:type="dcterms:W3CDTF">2026-09-29T14:37:00Z</dcterms:modified>
</cp:coreProperties>
</file>