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9851406"/>
        <w:docPartObj>
          <w:docPartGallery w:val="Cover Pages"/>
          <w:docPartUnique/>
        </w:docPartObj>
      </w:sdtPr>
      <w:sdtContent>
        <w:p w14:paraId="1B236D19" w14:textId="2CE14BDC" w:rsidR="009E25AA" w:rsidRDefault="009E25AA"/>
        <w:p w14:paraId="36BED3AD" w14:textId="77777777" w:rsidR="009E25AA" w:rsidRPr="009E25AA" w:rsidRDefault="009E25AA" w:rsidP="009E25AA">
          <w:pPr>
            <w:jc w:val="center"/>
            <w:rPr>
              <w:b/>
              <w:bCs/>
              <w:sz w:val="36"/>
              <w:szCs w:val="36"/>
            </w:rPr>
          </w:pPr>
          <w:r w:rsidRPr="009E25AA">
            <w:rPr>
              <w:b/>
              <w:bCs/>
              <w:sz w:val="36"/>
              <w:szCs w:val="36"/>
            </w:rPr>
            <w:t>ACCA7032 – Enterprise Network Security</w:t>
          </w:r>
        </w:p>
        <w:p w14:paraId="51CB67EB" w14:textId="77777777" w:rsidR="009E25AA" w:rsidRPr="009E25AA" w:rsidRDefault="009E25AA" w:rsidP="009E25AA">
          <w:pPr>
            <w:jc w:val="center"/>
            <w:rPr>
              <w:b/>
              <w:bCs/>
              <w:sz w:val="36"/>
              <w:szCs w:val="36"/>
            </w:rPr>
          </w:pPr>
          <w:r w:rsidRPr="009E25AA">
            <w:rPr>
              <w:b/>
              <w:bCs/>
              <w:sz w:val="36"/>
              <w:szCs w:val="36"/>
            </w:rPr>
            <w:t>Coursework: Securing the Enterprise Network (Part 2)</w:t>
          </w:r>
        </w:p>
        <w:p w14:paraId="5D1D3AC7" w14:textId="759479E8" w:rsidR="009E25AA" w:rsidRPr="009E25AA" w:rsidRDefault="009E25AA" w:rsidP="009E25AA">
          <w:pPr>
            <w:jc w:val="center"/>
            <w:rPr>
              <w:sz w:val="36"/>
              <w:szCs w:val="36"/>
            </w:rPr>
          </w:pPr>
          <w:r w:rsidRPr="009E25AA">
            <w:rPr>
              <w:b/>
              <w:bCs/>
              <w:sz w:val="36"/>
              <w:szCs w:val="36"/>
            </w:rPr>
            <w:t>(GAIA / Check Point Security Implementation)</w:t>
          </w:r>
        </w:p>
        <w:p w14:paraId="48A799B9" w14:textId="77777777" w:rsidR="009E25AA" w:rsidRPr="009E25AA" w:rsidRDefault="009E25AA" w:rsidP="009E25AA">
          <w:pPr>
            <w:jc w:val="center"/>
            <w:rPr>
              <w:sz w:val="36"/>
              <w:szCs w:val="36"/>
            </w:rPr>
          </w:pPr>
        </w:p>
        <w:p w14:paraId="6FC22828" w14:textId="77777777" w:rsidR="009E25AA" w:rsidRPr="009E25AA" w:rsidRDefault="009E25AA" w:rsidP="009E25AA">
          <w:pPr>
            <w:jc w:val="center"/>
            <w:rPr>
              <w:sz w:val="36"/>
              <w:szCs w:val="36"/>
            </w:rPr>
          </w:pPr>
        </w:p>
        <w:p w14:paraId="4564BCDC" w14:textId="77777777" w:rsidR="009E25AA" w:rsidRPr="009E25AA" w:rsidRDefault="009E25AA" w:rsidP="009E25AA">
          <w:pPr>
            <w:jc w:val="center"/>
            <w:rPr>
              <w:sz w:val="36"/>
              <w:szCs w:val="36"/>
            </w:rPr>
          </w:pPr>
          <w:r w:rsidRPr="009E25AA">
            <w:rPr>
              <w:b/>
              <w:bCs/>
              <w:sz w:val="36"/>
              <w:szCs w:val="36"/>
            </w:rPr>
            <w:t>Module Code:</w:t>
          </w:r>
          <w:r w:rsidRPr="009E25AA">
            <w:rPr>
              <w:sz w:val="36"/>
              <w:szCs w:val="36"/>
            </w:rPr>
            <w:t xml:space="preserve"> ACCA7032</w:t>
          </w:r>
          <w:r w:rsidRPr="009E25AA">
            <w:rPr>
              <w:sz w:val="36"/>
              <w:szCs w:val="36"/>
            </w:rPr>
            <w:br/>
          </w:r>
          <w:r w:rsidRPr="009E25AA">
            <w:rPr>
              <w:b/>
              <w:bCs/>
              <w:sz w:val="36"/>
              <w:szCs w:val="36"/>
            </w:rPr>
            <w:t>Module Title:</w:t>
          </w:r>
          <w:r w:rsidRPr="009E25AA">
            <w:rPr>
              <w:sz w:val="36"/>
              <w:szCs w:val="36"/>
            </w:rPr>
            <w:t xml:space="preserve"> Enterprise Network Security</w:t>
          </w:r>
        </w:p>
        <w:p w14:paraId="44AE1239" w14:textId="77777777" w:rsidR="009E25AA" w:rsidRPr="009E25AA" w:rsidRDefault="009E25AA" w:rsidP="009E25AA">
          <w:pPr>
            <w:jc w:val="center"/>
            <w:rPr>
              <w:sz w:val="36"/>
              <w:szCs w:val="36"/>
            </w:rPr>
          </w:pPr>
          <w:r w:rsidRPr="009E25AA">
            <w:rPr>
              <w:b/>
              <w:bCs/>
              <w:sz w:val="36"/>
              <w:szCs w:val="36"/>
            </w:rPr>
            <w:t>Assessment Title:</w:t>
          </w:r>
          <w:r w:rsidRPr="009E25AA">
            <w:rPr>
              <w:sz w:val="36"/>
              <w:szCs w:val="36"/>
            </w:rPr>
            <w:br/>
            <w:t>Part 2 – Securing the Enterprise Network using Check Point GAIA</w:t>
          </w:r>
        </w:p>
        <w:p w14:paraId="64FDE76D" w14:textId="4BAC03A7" w:rsidR="009E25AA" w:rsidRPr="009E25AA" w:rsidRDefault="009E25AA" w:rsidP="009E25AA">
          <w:pPr>
            <w:jc w:val="center"/>
            <w:rPr>
              <w:sz w:val="36"/>
              <w:szCs w:val="36"/>
            </w:rPr>
          </w:pPr>
          <w:r w:rsidRPr="009E25AA">
            <w:rPr>
              <w:b/>
              <w:bCs/>
              <w:sz w:val="36"/>
              <w:szCs w:val="36"/>
            </w:rPr>
            <w:t>Student Name:</w:t>
          </w:r>
          <w:r w:rsidRPr="009E25AA">
            <w:rPr>
              <w:sz w:val="36"/>
              <w:szCs w:val="36"/>
            </w:rPr>
            <w:t xml:space="preserve"> </w:t>
          </w:r>
          <w:r w:rsidR="00AF38DA" w:rsidRPr="00AF38DA">
            <w:rPr>
              <w:sz w:val="36"/>
              <w:szCs w:val="36"/>
            </w:rPr>
            <w:t xml:space="preserve">Jaraben Mangukiya </w:t>
          </w:r>
          <w:r w:rsidRPr="009E25AA">
            <w:rPr>
              <w:sz w:val="36"/>
              <w:szCs w:val="36"/>
            </w:rPr>
            <w:br/>
          </w:r>
          <w:r w:rsidRPr="009E25AA">
            <w:rPr>
              <w:b/>
              <w:bCs/>
              <w:sz w:val="36"/>
              <w:szCs w:val="36"/>
            </w:rPr>
            <w:t>Student ID:</w:t>
          </w:r>
          <w:r w:rsidR="00AF38DA">
            <w:rPr>
              <w:b/>
              <w:bCs/>
              <w:sz w:val="36"/>
              <w:szCs w:val="36"/>
            </w:rPr>
            <w:t xml:space="preserve"> </w:t>
          </w:r>
          <w:r w:rsidR="00AF38DA" w:rsidRPr="00AF38DA">
            <w:rPr>
              <w:sz w:val="36"/>
              <w:szCs w:val="36"/>
            </w:rPr>
            <w:t>2434479</w:t>
          </w:r>
        </w:p>
        <w:p w14:paraId="09620B96" w14:textId="29954A05" w:rsidR="009E25AA" w:rsidRDefault="009E25AA">
          <w:pPr>
            <w:rPr>
              <w:rFonts w:asciiTheme="majorHAnsi" w:eastAsiaTheme="majorEastAsia" w:hAnsiTheme="majorHAnsi" w:cstheme="majorBidi"/>
              <w:b/>
              <w:color w:val="2F5496" w:themeColor="accent1" w:themeShade="BF"/>
              <w:sz w:val="36"/>
              <w:szCs w:val="40"/>
            </w:rPr>
          </w:pPr>
          <w:r>
            <w:br w:type="page"/>
          </w:r>
        </w:p>
      </w:sdtContent>
    </w:sdt>
    <w:sdt>
      <w:sdtPr>
        <w:rPr>
          <w:rFonts w:asciiTheme="minorHAnsi" w:eastAsiaTheme="minorHAnsi" w:hAnsiTheme="minorHAnsi" w:cstheme="minorBidi"/>
          <w:color w:val="auto"/>
          <w:kern w:val="2"/>
          <w:sz w:val="24"/>
          <w:szCs w:val="24"/>
          <w14:ligatures w14:val="standardContextual"/>
        </w:rPr>
        <w:id w:val="1339042903"/>
        <w:docPartObj>
          <w:docPartGallery w:val="Table of Contents"/>
          <w:docPartUnique/>
        </w:docPartObj>
      </w:sdtPr>
      <w:sdtEndPr>
        <w:rPr>
          <w:b/>
          <w:bCs/>
          <w:noProof/>
        </w:rPr>
      </w:sdtEndPr>
      <w:sdtContent>
        <w:p w14:paraId="3CCE337B" w14:textId="27E8C55D" w:rsidR="009E25AA" w:rsidRDefault="009E25AA">
          <w:pPr>
            <w:pStyle w:val="TOCHeading"/>
          </w:pPr>
          <w:r>
            <w:t>Table of Contents</w:t>
          </w:r>
        </w:p>
        <w:p w14:paraId="5D491F84" w14:textId="0EB2F5F4" w:rsidR="009E25AA" w:rsidRDefault="009E25AA">
          <w:pPr>
            <w:pStyle w:val="TOC1"/>
            <w:tabs>
              <w:tab w:val="right" w:leader="dot" w:pos="9350"/>
            </w:tabs>
            <w:rPr>
              <w:noProof/>
            </w:rPr>
          </w:pPr>
          <w:r>
            <w:fldChar w:fldCharType="begin"/>
          </w:r>
          <w:r>
            <w:instrText xml:space="preserve"> TOC \o "1-3" \h \z \u </w:instrText>
          </w:r>
          <w:r>
            <w:fldChar w:fldCharType="separate"/>
          </w:r>
          <w:hyperlink w:anchor="_Toc216874073" w:history="1">
            <w:r w:rsidRPr="003E00D0">
              <w:rPr>
                <w:rStyle w:val="Hyperlink"/>
                <w:noProof/>
              </w:rPr>
              <w:t>1. Introduction and Scope</w:t>
            </w:r>
            <w:r>
              <w:rPr>
                <w:noProof/>
                <w:webHidden/>
              </w:rPr>
              <w:tab/>
            </w:r>
            <w:r>
              <w:rPr>
                <w:noProof/>
                <w:webHidden/>
              </w:rPr>
              <w:fldChar w:fldCharType="begin"/>
            </w:r>
            <w:r>
              <w:rPr>
                <w:noProof/>
                <w:webHidden/>
              </w:rPr>
              <w:instrText xml:space="preserve"> PAGEREF _Toc216874073 \h </w:instrText>
            </w:r>
            <w:r>
              <w:rPr>
                <w:noProof/>
                <w:webHidden/>
              </w:rPr>
            </w:r>
            <w:r>
              <w:rPr>
                <w:noProof/>
                <w:webHidden/>
              </w:rPr>
              <w:fldChar w:fldCharType="separate"/>
            </w:r>
            <w:r>
              <w:rPr>
                <w:noProof/>
                <w:webHidden/>
              </w:rPr>
              <w:t>2</w:t>
            </w:r>
            <w:r>
              <w:rPr>
                <w:noProof/>
                <w:webHidden/>
              </w:rPr>
              <w:fldChar w:fldCharType="end"/>
            </w:r>
          </w:hyperlink>
        </w:p>
        <w:p w14:paraId="594AFB58" w14:textId="3F4D2EC3" w:rsidR="009E25AA" w:rsidRDefault="009E25AA">
          <w:pPr>
            <w:pStyle w:val="TOC1"/>
            <w:tabs>
              <w:tab w:val="right" w:leader="dot" w:pos="9350"/>
            </w:tabs>
            <w:rPr>
              <w:noProof/>
            </w:rPr>
          </w:pPr>
          <w:hyperlink w:anchor="_Toc216874074" w:history="1">
            <w:r w:rsidRPr="003E00D0">
              <w:rPr>
                <w:rStyle w:val="Hyperlink"/>
                <w:noProof/>
              </w:rPr>
              <w:t>2. Task 2.1 — Installation, Configuration, Licensing, and Connectivity</w:t>
            </w:r>
            <w:r>
              <w:rPr>
                <w:noProof/>
                <w:webHidden/>
              </w:rPr>
              <w:tab/>
            </w:r>
            <w:r>
              <w:rPr>
                <w:noProof/>
                <w:webHidden/>
              </w:rPr>
              <w:fldChar w:fldCharType="begin"/>
            </w:r>
            <w:r>
              <w:rPr>
                <w:noProof/>
                <w:webHidden/>
              </w:rPr>
              <w:instrText xml:space="preserve"> PAGEREF _Toc216874074 \h </w:instrText>
            </w:r>
            <w:r>
              <w:rPr>
                <w:noProof/>
                <w:webHidden/>
              </w:rPr>
            </w:r>
            <w:r>
              <w:rPr>
                <w:noProof/>
                <w:webHidden/>
              </w:rPr>
              <w:fldChar w:fldCharType="separate"/>
            </w:r>
            <w:r>
              <w:rPr>
                <w:noProof/>
                <w:webHidden/>
              </w:rPr>
              <w:t>3</w:t>
            </w:r>
            <w:r>
              <w:rPr>
                <w:noProof/>
                <w:webHidden/>
              </w:rPr>
              <w:fldChar w:fldCharType="end"/>
            </w:r>
          </w:hyperlink>
        </w:p>
        <w:p w14:paraId="2C994A7E" w14:textId="385A2782" w:rsidR="009E25AA" w:rsidRDefault="009E25AA">
          <w:pPr>
            <w:pStyle w:val="TOC2"/>
            <w:tabs>
              <w:tab w:val="right" w:leader="dot" w:pos="9350"/>
            </w:tabs>
            <w:rPr>
              <w:noProof/>
            </w:rPr>
          </w:pPr>
          <w:hyperlink w:anchor="_Toc216874075" w:history="1">
            <w:r w:rsidRPr="003E00D0">
              <w:rPr>
                <w:rStyle w:val="Hyperlink"/>
                <w:noProof/>
              </w:rPr>
              <w:t>2.1.1 GAIA appliances created and verified in SmartConsole</w:t>
            </w:r>
            <w:r>
              <w:rPr>
                <w:noProof/>
                <w:webHidden/>
              </w:rPr>
              <w:tab/>
            </w:r>
            <w:r>
              <w:rPr>
                <w:noProof/>
                <w:webHidden/>
              </w:rPr>
              <w:fldChar w:fldCharType="begin"/>
            </w:r>
            <w:r>
              <w:rPr>
                <w:noProof/>
                <w:webHidden/>
              </w:rPr>
              <w:instrText xml:space="preserve"> PAGEREF _Toc216874075 \h </w:instrText>
            </w:r>
            <w:r>
              <w:rPr>
                <w:noProof/>
                <w:webHidden/>
              </w:rPr>
            </w:r>
            <w:r>
              <w:rPr>
                <w:noProof/>
                <w:webHidden/>
              </w:rPr>
              <w:fldChar w:fldCharType="separate"/>
            </w:r>
            <w:r>
              <w:rPr>
                <w:noProof/>
                <w:webHidden/>
              </w:rPr>
              <w:t>3</w:t>
            </w:r>
            <w:r>
              <w:rPr>
                <w:noProof/>
                <w:webHidden/>
              </w:rPr>
              <w:fldChar w:fldCharType="end"/>
            </w:r>
          </w:hyperlink>
        </w:p>
        <w:p w14:paraId="0FCB905A" w14:textId="279E4DC2" w:rsidR="009E25AA" w:rsidRDefault="009E25AA">
          <w:pPr>
            <w:pStyle w:val="TOC2"/>
            <w:tabs>
              <w:tab w:val="right" w:leader="dot" w:pos="9350"/>
            </w:tabs>
            <w:rPr>
              <w:noProof/>
            </w:rPr>
          </w:pPr>
          <w:hyperlink w:anchor="_Toc216874076" w:history="1">
            <w:r w:rsidRPr="003E00D0">
              <w:rPr>
                <w:rStyle w:val="Hyperlink"/>
                <w:noProof/>
              </w:rPr>
              <w:t>2.1.2 GAIA Portal verification (system overview and blades readiness)</w:t>
            </w:r>
            <w:r>
              <w:rPr>
                <w:noProof/>
                <w:webHidden/>
              </w:rPr>
              <w:tab/>
            </w:r>
            <w:r>
              <w:rPr>
                <w:noProof/>
                <w:webHidden/>
              </w:rPr>
              <w:fldChar w:fldCharType="begin"/>
            </w:r>
            <w:r>
              <w:rPr>
                <w:noProof/>
                <w:webHidden/>
              </w:rPr>
              <w:instrText xml:space="preserve"> PAGEREF _Toc216874076 \h </w:instrText>
            </w:r>
            <w:r>
              <w:rPr>
                <w:noProof/>
                <w:webHidden/>
              </w:rPr>
            </w:r>
            <w:r>
              <w:rPr>
                <w:noProof/>
                <w:webHidden/>
              </w:rPr>
              <w:fldChar w:fldCharType="separate"/>
            </w:r>
            <w:r>
              <w:rPr>
                <w:noProof/>
                <w:webHidden/>
              </w:rPr>
              <w:t>5</w:t>
            </w:r>
            <w:r>
              <w:rPr>
                <w:noProof/>
                <w:webHidden/>
              </w:rPr>
              <w:fldChar w:fldCharType="end"/>
            </w:r>
          </w:hyperlink>
        </w:p>
        <w:p w14:paraId="0F6D989A" w14:textId="1AEA5ADD" w:rsidR="009E25AA" w:rsidRDefault="009E25AA">
          <w:pPr>
            <w:pStyle w:val="TOC2"/>
            <w:tabs>
              <w:tab w:val="right" w:leader="dot" w:pos="9350"/>
            </w:tabs>
            <w:rPr>
              <w:noProof/>
            </w:rPr>
          </w:pPr>
          <w:hyperlink w:anchor="_Toc216874077" w:history="1">
            <w:r w:rsidRPr="003E00D0">
              <w:rPr>
                <w:rStyle w:val="Hyperlink"/>
                <w:noProof/>
              </w:rPr>
              <w:t>2.1.3 Security Management Server (A-SMS) readiness and administration</w:t>
            </w:r>
            <w:r>
              <w:rPr>
                <w:noProof/>
                <w:webHidden/>
              </w:rPr>
              <w:tab/>
            </w:r>
            <w:r>
              <w:rPr>
                <w:noProof/>
                <w:webHidden/>
              </w:rPr>
              <w:fldChar w:fldCharType="begin"/>
            </w:r>
            <w:r>
              <w:rPr>
                <w:noProof/>
                <w:webHidden/>
              </w:rPr>
              <w:instrText xml:space="preserve"> PAGEREF _Toc216874077 \h </w:instrText>
            </w:r>
            <w:r>
              <w:rPr>
                <w:noProof/>
                <w:webHidden/>
              </w:rPr>
            </w:r>
            <w:r>
              <w:rPr>
                <w:noProof/>
                <w:webHidden/>
              </w:rPr>
              <w:fldChar w:fldCharType="separate"/>
            </w:r>
            <w:r>
              <w:rPr>
                <w:noProof/>
                <w:webHidden/>
              </w:rPr>
              <w:t>6</w:t>
            </w:r>
            <w:r>
              <w:rPr>
                <w:noProof/>
                <w:webHidden/>
              </w:rPr>
              <w:fldChar w:fldCharType="end"/>
            </w:r>
          </w:hyperlink>
        </w:p>
        <w:p w14:paraId="7A83FF7E" w14:textId="18FEEB33" w:rsidR="009E25AA" w:rsidRDefault="009E25AA">
          <w:pPr>
            <w:pStyle w:val="TOC2"/>
            <w:tabs>
              <w:tab w:val="right" w:leader="dot" w:pos="9350"/>
            </w:tabs>
            <w:rPr>
              <w:noProof/>
            </w:rPr>
          </w:pPr>
          <w:hyperlink w:anchor="_Toc216874078" w:history="1">
            <w:r w:rsidRPr="003E00D0">
              <w:rPr>
                <w:rStyle w:val="Hyperlink"/>
                <w:noProof/>
              </w:rPr>
              <w:t>2.1.4 API and service readiness validation (management health check)</w:t>
            </w:r>
            <w:r>
              <w:rPr>
                <w:noProof/>
                <w:webHidden/>
              </w:rPr>
              <w:tab/>
            </w:r>
            <w:r>
              <w:rPr>
                <w:noProof/>
                <w:webHidden/>
              </w:rPr>
              <w:fldChar w:fldCharType="begin"/>
            </w:r>
            <w:r>
              <w:rPr>
                <w:noProof/>
                <w:webHidden/>
              </w:rPr>
              <w:instrText xml:space="preserve"> PAGEREF _Toc216874078 \h </w:instrText>
            </w:r>
            <w:r>
              <w:rPr>
                <w:noProof/>
                <w:webHidden/>
              </w:rPr>
            </w:r>
            <w:r>
              <w:rPr>
                <w:noProof/>
                <w:webHidden/>
              </w:rPr>
              <w:fldChar w:fldCharType="separate"/>
            </w:r>
            <w:r>
              <w:rPr>
                <w:noProof/>
                <w:webHidden/>
              </w:rPr>
              <w:t>7</w:t>
            </w:r>
            <w:r>
              <w:rPr>
                <w:noProof/>
                <w:webHidden/>
              </w:rPr>
              <w:fldChar w:fldCharType="end"/>
            </w:r>
          </w:hyperlink>
        </w:p>
        <w:p w14:paraId="34ED83C7" w14:textId="1E68BB93" w:rsidR="009E25AA" w:rsidRDefault="009E25AA">
          <w:pPr>
            <w:pStyle w:val="TOC2"/>
            <w:tabs>
              <w:tab w:val="right" w:leader="dot" w:pos="9350"/>
            </w:tabs>
            <w:rPr>
              <w:noProof/>
            </w:rPr>
          </w:pPr>
          <w:hyperlink w:anchor="_Toc216874079" w:history="1">
            <w:r w:rsidRPr="003E00D0">
              <w:rPr>
                <w:rStyle w:val="Hyperlink"/>
                <w:noProof/>
              </w:rPr>
              <w:t>2.1.5 Licensing and update verification</w:t>
            </w:r>
            <w:r>
              <w:rPr>
                <w:noProof/>
                <w:webHidden/>
              </w:rPr>
              <w:tab/>
            </w:r>
            <w:r>
              <w:rPr>
                <w:noProof/>
                <w:webHidden/>
              </w:rPr>
              <w:fldChar w:fldCharType="begin"/>
            </w:r>
            <w:r>
              <w:rPr>
                <w:noProof/>
                <w:webHidden/>
              </w:rPr>
              <w:instrText xml:space="preserve"> PAGEREF _Toc216874079 \h </w:instrText>
            </w:r>
            <w:r>
              <w:rPr>
                <w:noProof/>
                <w:webHidden/>
              </w:rPr>
            </w:r>
            <w:r>
              <w:rPr>
                <w:noProof/>
                <w:webHidden/>
              </w:rPr>
              <w:fldChar w:fldCharType="separate"/>
            </w:r>
            <w:r>
              <w:rPr>
                <w:noProof/>
                <w:webHidden/>
              </w:rPr>
              <w:t>8</w:t>
            </w:r>
            <w:r>
              <w:rPr>
                <w:noProof/>
                <w:webHidden/>
              </w:rPr>
              <w:fldChar w:fldCharType="end"/>
            </w:r>
          </w:hyperlink>
        </w:p>
        <w:p w14:paraId="16E53EA4" w14:textId="5624E93C" w:rsidR="009E25AA" w:rsidRDefault="009E25AA">
          <w:pPr>
            <w:pStyle w:val="TOC1"/>
            <w:tabs>
              <w:tab w:val="right" w:leader="dot" w:pos="9350"/>
            </w:tabs>
            <w:rPr>
              <w:noProof/>
            </w:rPr>
          </w:pPr>
          <w:hyperlink w:anchor="_Toc216874080" w:history="1">
            <w:r w:rsidRPr="003E00D0">
              <w:rPr>
                <w:rStyle w:val="Hyperlink"/>
                <w:noProof/>
              </w:rPr>
              <w:t>3. Task 2.2 — Firewall Policy: Inbound and Outbound Traffic Control</w:t>
            </w:r>
            <w:r>
              <w:rPr>
                <w:noProof/>
                <w:webHidden/>
              </w:rPr>
              <w:tab/>
            </w:r>
            <w:r>
              <w:rPr>
                <w:noProof/>
                <w:webHidden/>
              </w:rPr>
              <w:fldChar w:fldCharType="begin"/>
            </w:r>
            <w:r>
              <w:rPr>
                <w:noProof/>
                <w:webHidden/>
              </w:rPr>
              <w:instrText xml:space="preserve"> PAGEREF _Toc216874080 \h </w:instrText>
            </w:r>
            <w:r>
              <w:rPr>
                <w:noProof/>
                <w:webHidden/>
              </w:rPr>
            </w:r>
            <w:r>
              <w:rPr>
                <w:noProof/>
                <w:webHidden/>
              </w:rPr>
              <w:fldChar w:fldCharType="separate"/>
            </w:r>
            <w:r>
              <w:rPr>
                <w:noProof/>
                <w:webHidden/>
              </w:rPr>
              <w:t>10</w:t>
            </w:r>
            <w:r>
              <w:rPr>
                <w:noProof/>
                <w:webHidden/>
              </w:rPr>
              <w:fldChar w:fldCharType="end"/>
            </w:r>
          </w:hyperlink>
        </w:p>
        <w:p w14:paraId="73A0C8C8" w14:textId="6DF7DD1A" w:rsidR="009E25AA" w:rsidRDefault="009E25AA">
          <w:pPr>
            <w:pStyle w:val="TOC2"/>
            <w:tabs>
              <w:tab w:val="right" w:leader="dot" w:pos="9350"/>
            </w:tabs>
            <w:rPr>
              <w:noProof/>
            </w:rPr>
          </w:pPr>
          <w:hyperlink w:anchor="_Toc216874081" w:history="1">
            <w:r w:rsidRPr="003E00D0">
              <w:rPr>
                <w:rStyle w:val="Hyperlink"/>
                <w:noProof/>
              </w:rPr>
              <w:t>3.1 The rationale for enterprise security policy</w:t>
            </w:r>
            <w:r>
              <w:rPr>
                <w:noProof/>
                <w:webHidden/>
              </w:rPr>
              <w:tab/>
            </w:r>
            <w:r>
              <w:rPr>
                <w:noProof/>
                <w:webHidden/>
              </w:rPr>
              <w:fldChar w:fldCharType="begin"/>
            </w:r>
            <w:r>
              <w:rPr>
                <w:noProof/>
                <w:webHidden/>
              </w:rPr>
              <w:instrText xml:space="preserve"> PAGEREF _Toc216874081 \h </w:instrText>
            </w:r>
            <w:r>
              <w:rPr>
                <w:noProof/>
                <w:webHidden/>
              </w:rPr>
            </w:r>
            <w:r>
              <w:rPr>
                <w:noProof/>
                <w:webHidden/>
              </w:rPr>
              <w:fldChar w:fldCharType="separate"/>
            </w:r>
            <w:r>
              <w:rPr>
                <w:noProof/>
                <w:webHidden/>
              </w:rPr>
              <w:t>10</w:t>
            </w:r>
            <w:r>
              <w:rPr>
                <w:noProof/>
                <w:webHidden/>
              </w:rPr>
              <w:fldChar w:fldCharType="end"/>
            </w:r>
          </w:hyperlink>
        </w:p>
        <w:p w14:paraId="7A438B20" w14:textId="2AD2EAA4" w:rsidR="009E25AA" w:rsidRDefault="009E25AA">
          <w:pPr>
            <w:pStyle w:val="TOC2"/>
            <w:tabs>
              <w:tab w:val="right" w:leader="dot" w:pos="9350"/>
            </w:tabs>
            <w:rPr>
              <w:noProof/>
            </w:rPr>
          </w:pPr>
          <w:hyperlink w:anchor="_Toc216874082" w:history="1">
            <w:r w:rsidRPr="003E00D0">
              <w:rPr>
                <w:rStyle w:val="Hyperlink"/>
                <w:noProof/>
              </w:rPr>
              <w:t>3.2 Example of rules executed and demonstrated (inbound and outbound)</w:t>
            </w:r>
            <w:r>
              <w:rPr>
                <w:noProof/>
                <w:webHidden/>
              </w:rPr>
              <w:tab/>
            </w:r>
            <w:r>
              <w:rPr>
                <w:noProof/>
                <w:webHidden/>
              </w:rPr>
              <w:fldChar w:fldCharType="begin"/>
            </w:r>
            <w:r>
              <w:rPr>
                <w:noProof/>
                <w:webHidden/>
              </w:rPr>
              <w:instrText xml:space="preserve"> PAGEREF _Toc216874082 \h </w:instrText>
            </w:r>
            <w:r>
              <w:rPr>
                <w:noProof/>
                <w:webHidden/>
              </w:rPr>
            </w:r>
            <w:r>
              <w:rPr>
                <w:noProof/>
                <w:webHidden/>
              </w:rPr>
              <w:fldChar w:fldCharType="separate"/>
            </w:r>
            <w:r>
              <w:rPr>
                <w:noProof/>
                <w:webHidden/>
              </w:rPr>
              <w:t>11</w:t>
            </w:r>
            <w:r>
              <w:rPr>
                <w:noProof/>
                <w:webHidden/>
              </w:rPr>
              <w:fldChar w:fldCharType="end"/>
            </w:r>
          </w:hyperlink>
        </w:p>
        <w:p w14:paraId="0C3D4F2D" w14:textId="6E53FAAD" w:rsidR="009E25AA" w:rsidRDefault="009E25AA">
          <w:pPr>
            <w:pStyle w:val="TOC1"/>
            <w:tabs>
              <w:tab w:val="right" w:leader="dot" w:pos="9350"/>
            </w:tabs>
            <w:rPr>
              <w:noProof/>
            </w:rPr>
          </w:pPr>
          <w:hyperlink w:anchor="_Toc216874083" w:history="1">
            <w:r w:rsidRPr="003E00D0">
              <w:rPr>
                <w:rStyle w:val="Hyperlink"/>
                <w:noProof/>
              </w:rPr>
              <w:t>4. Security Features That Were Added in Accordance With Standards</w:t>
            </w:r>
            <w:r>
              <w:rPr>
                <w:noProof/>
                <w:webHidden/>
              </w:rPr>
              <w:tab/>
            </w:r>
            <w:r>
              <w:rPr>
                <w:noProof/>
                <w:webHidden/>
              </w:rPr>
              <w:fldChar w:fldCharType="begin"/>
            </w:r>
            <w:r>
              <w:rPr>
                <w:noProof/>
                <w:webHidden/>
              </w:rPr>
              <w:instrText xml:space="preserve"> PAGEREF _Toc216874083 \h </w:instrText>
            </w:r>
            <w:r>
              <w:rPr>
                <w:noProof/>
                <w:webHidden/>
              </w:rPr>
            </w:r>
            <w:r>
              <w:rPr>
                <w:noProof/>
                <w:webHidden/>
              </w:rPr>
              <w:fldChar w:fldCharType="separate"/>
            </w:r>
            <w:r>
              <w:rPr>
                <w:noProof/>
                <w:webHidden/>
              </w:rPr>
              <w:t>13</w:t>
            </w:r>
            <w:r>
              <w:rPr>
                <w:noProof/>
                <w:webHidden/>
              </w:rPr>
              <w:fldChar w:fldCharType="end"/>
            </w:r>
          </w:hyperlink>
        </w:p>
        <w:p w14:paraId="27133143" w14:textId="61E589DE" w:rsidR="009E25AA" w:rsidRDefault="009E25AA">
          <w:pPr>
            <w:pStyle w:val="TOC2"/>
            <w:tabs>
              <w:tab w:val="right" w:leader="dot" w:pos="9350"/>
            </w:tabs>
            <w:rPr>
              <w:noProof/>
            </w:rPr>
          </w:pPr>
          <w:hyperlink w:anchor="_Toc216874084" w:history="1">
            <w:r w:rsidRPr="003E00D0">
              <w:rPr>
                <w:rStyle w:val="Hyperlink"/>
                <w:noProof/>
              </w:rPr>
              <w:t>4.1 Proposed improvements and rationale</w:t>
            </w:r>
            <w:r>
              <w:rPr>
                <w:noProof/>
                <w:webHidden/>
              </w:rPr>
              <w:tab/>
            </w:r>
            <w:r>
              <w:rPr>
                <w:noProof/>
                <w:webHidden/>
              </w:rPr>
              <w:fldChar w:fldCharType="begin"/>
            </w:r>
            <w:r>
              <w:rPr>
                <w:noProof/>
                <w:webHidden/>
              </w:rPr>
              <w:instrText xml:space="preserve"> PAGEREF _Toc216874084 \h </w:instrText>
            </w:r>
            <w:r>
              <w:rPr>
                <w:noProof/>
                <w:webHidden/>
              </w:rPr>
            </w:r>
            <w:r>
              <w:rPr>
                <w:noProof/>
                <w:webHidden/>
              </w:rPr>
              <w:fldChar w:fldCharType="separate"/>
            </w:r>
            <w:r>
              <w:rPr>
                <w:noProof/>
                <w:webHidden/>
              </w:rPr>
              <w:t>13</w:t>
            </w:r>
            <w:r>
              <w:rPr>
                <w:noProof/>
                <w:webHidden/>
              </w:rPr>
              <w:fldChar w:fldCharType="end"/>
            </w:r>
          </w:hyperlink>
        </w:p>
        <w:p w14:paraId="2655AEDC" w14:textId="61F932CF" w:rsidR="009E25AA" w:rsidRDefault="009E25AA">
          <w:pPr>
            <w:pStyle w:val="TOC2"/>
            <w:tabs>
              <w:tab w:val="right" w:leader="dot" w:pos="9350"/>
            </w:tabs>
            <w:rPr>
              <w:noProof/>
            </w:rPr>
          </w:pPr>
          <w:hyperlink w:anchor="_Toc216874085" w:history="1">
            <w:r w:rsidRPr="003E00D0">
              <w:rPr>
                <w:rStyle w:val="Hyperlink"/>
                <w:noProof/>
              </w:rPr>
              <w:t>4.2 Enabling evidence capabilities and gateways</w:t>
            </w:r>
            <w:r>
              <w:rPr>
                <w:noProof/>
                <w:webHidden/>
              </w:rPr>
              <w:tab/>
            </w:r>
            <w:r>
              <w:rPr>
                <w:noProof/>
                <w:webHidden/>
              </w:rPr>
              <w:fldChar w:fldCharType="begin"/>
            </w:r>
            <w:r>
              <w:rPr>
                <w:noProof/>
                <w:webHidden/>
              </w:rPr>
              <w:instrText xml:space="preserve"> PAGEREF _Toc216874085 \h </w:instrText>
            </w:r>
            <w:r>
              <w:rPr>
                <w:noProof/>
                <w:webHidden/>
              </w:rPr>
            </w:r>
            <w:r>
              <w:rPr>
                <w:noProof/>
                <w:webHidden/>
              </w:rPr>
              <w:fldChar w:fldCharType="separate"/>
            </w:r>
            <w:r>
              <w:rPr>
                <w:noProof/>
                <w:webHidden/>
              </w:rPr>
              <w:t>15</w:t>
            </w:r>
            <w:r>
              <w:rPr>
                <w:noProof/>
                <w:webHidden/>
              </w:rPr>
              <w:fldChar w:fldCharType="end"/>
            </w:r>
          </w:hyperlink>
        </w:p>
        <w:p w14:paraId="4021E764" w14:textId="3203B24C" w:rsidR="009E25AA" w:rsidRDefault="009E25AA">
          <w:pPr>
            <w:pStyle w:val="TOC2"/>
            <w:tabs>
              <w:tab w:val="right" w:leader="dot" w:pos="9350"/>
            </w:tabs>
            <w:rPr>
              <w:noProof/>
            </w:rPr>
          </w:pPr>
          <w:hyperlink w:anchor="_Toc216874086" w:history="1">
            <w:r w:rsidRPr="003E00D0">
              <w:rPr>
                <w:rStyle w:val="Hyperlink"/>
                <w:noProof/>
              </w:rPr>
              <w:t>5. Conclusion</w:t>
            </w:r>
            <w:r>
              <w:rPr>
                <w:noProof/>
                <w:webHidden/>
              </w:rPr>
              <w:tab/>
            </w:r>
            <w:r>
              <w:rPr>
                <w:noProof/>
                <w:webHidden/>
              </w:rPr>
              <w:fldChar w:fldCharType="begin"/>
            </w:r>
            <w:r>
              <w:rPr>
                <w:noProof/>
                <w:webHidden/>
              </w:rPr>
              <w:instrText xml:space="preserve"> PAGEREF _Toc216874086 \h </w:instrText>
            </w:r>
            <w:r>
              <w:rPr>
                <w:noProof/>
                <w:webHidden/>
              </w:rPr>
            </w:r>
            <w:r>
              <w:rPr>
                <w:noProof/>
                <w:webHidden/>
              </w:rPr>
              <w:fldChar w:fldCharType="separate"/>
            </w:r>
            <w:r>
              <w:rPr>
                <w:noProof/>
                <w:webHidden/>
              </w:rPr>
              <w:t>16</w:t>
            </w:r>
            <w:r>
              <w:rPr>
                <w:noProof/>
                <w:webHidden/>
              </w:rPr>
              <w:fldChar w:fldCharType="end"/>
            </w:r>
          </w:hyperlink>
        </w:p>
        <w:p w14:paraId="6FB6CD61" w14:textId="5753EF15" w:rsidR="009E25AA" w:rsidRDefault="009E25AA">
          <w:pPr>
            <w:pStyle w:val="TOC1"/>
            <w:tabs>
              <w:tab w:val="right" w:leader="dot" w:pos="9350"/>
            </w:tabs>
            <w:rPr>
              <w:noProof/>
            </w:rPr>
          </w:pPr>
          <w:hyperlink w:anchor="_Toc216874087" w:history="1">
            <w:r w:rsidRPr="003E00D0">
              <w:rPr>
                <w:rStyle w:val="Hyperlink"/>
                <w:noProof/>
              </w:rPr>
              <w:t>References</w:t>
            </w:r>
            <w:r>
              <w:rPr>
                <w:noProof/>
                <w:webHidden/>
              </w:rPr>
              <w:tab/>
            </w:r>
            <w:r>
              <w:rPr>
                <w:noProof/>
                <w:webHidden/>
              </w:rPr>
              <w:fldChar w:fldCharType="begin"/>
            </w:r>
            <w:r>
              <w:rPr>
                <w:noProof/>
                <w:webHidden/>
              </w:rPr>
              <w:instrText xml:space="preserve"> PAGEREF _Toc216874087 \h </w:instrText>
            </w:r>
            <w:r>
              <w:rPr>
                <w:noProof/>
                <w:webHidden/>
              </w:rPr>
            </w:r>
            <w:r>
              <w:rPr>
                <w:noProof/>
                <w:webHidden/>
              </w:rPr>
              <w:fldChar w:fldCharType="separate"/>
            </w:r>
            <w:r>
              <w:rPr>
                <w:noProof/>
                <w:webHidden/>
              </w:rPr>
              <w:t>18</w:t>
            </w:r>
            <w:r>
              <w:rPr>
                <w:noProof/>
                <w:webHidden/>
              </w:rPr>
              <w:fldChar w:fldCharType="end"/>
            </w:r>
          </w:hyperlink>
        </w:p>
        <w:p w14:paraId="4D99BCF1" w14:textId="4A07CA4D" w:rsidR="009E25AA" w:rsidRDefault="009E25AA">
          <w:r>
            <w:rPr>
              <w:b/>
              <w:bCs/>
              <w:noProof/>
            </w:rPr>
            <w:fldChar w:fldCharType="end"/>
          </w:r>
        </w:p>
      </w:sdtContent>
    </w:sdt>
    <w:p w14:paraId="252EE3C0" w14:textId="77777777" w:rsidR="009E25AA" w:rsidRDefault="009E25AA" w:rsidP="00D2254C">
      <w:pPr>
        <w:pStyle w:val="Heading1"/>
      </w:pPr>
    </w:p>
    <w:p w14:paraId="2370A6E6" w14:textId="77777777" w:rsidR="009E25AA" w:rsidRDefault="009E25AA">
      <w:pPr>
        <w:rPr>
          <w:rFonts w:asciiTheme="majorHAnsi" w:eastAsiaTheme="majorEastAsia" w:hAnsiTheme="majorHAnsi" w:cstheme="majorBidi"/>
          <w:b/>
          <w:color w:val="2F5496" w:themeColor="accent1" w:themeShade="BF"/>
          <w:sz w:val="36"/>
          <w:szCs w:val="40"/>
        </w:rPr>
      </w:pPr>
      <w:r>
        <w:br w:type="page"/>
      </w:r>
    </w:p>
    <w:p w14:paraId="4B050EB9" w14:textId="11632434" w:rsidR="00F66D75" w:rsidRPr="00F66D75" w:rsidRDefault="00F66D75" w:rsidP="00D2254C">
      <w:pPr>
        <w:pStyle w:val="Heading1"/>
      </w:pPr>
      <w:bookmarkStart w:id="0" w:name="_Toc216874073"/>
      <w:r w:rsidRPr="00F66D75">
        <w:lastRenderedPageBreak/>
        <w:t>1. Introduction and Scope</w:t>
      </w:r>
      <w:bookmarkEnd w:id="0"/>
    </w:p>
    <w:p w14:paraId="622325FD" w14:textId="52DA0BA1"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 xml:space="preserve">Modern enterprise networks are increasingly vulnerable to advanced persistent threats and lateral movement attacks as well as unauthorized remote access and abuse of legitimate network services. Due to the massive expansion of digital infrastructure and a heavy dependency on interconnected systems, perimeter-only security is no longer a viable solution. </w:t>
      </w:r>
      <w:r w:rsidR="00D2254C" w:rsidRPr="00D2254C">
        <w:rPr>
          <w:rFonts w:ascii="Times New Roman" w:hAnsi="Times New Roman" w:cs="Times New Roman"/>
        </w:rPr>
        <w:t>Therefore,</w:t>
      </w:r>
      <w:r w:rsidRPr="00D2254C">
        <w:rPr>
          <w:rFonts w:ascii="Times New Roman" w:hAnsi="Times New Roman" w:cs="Times New Roman"/>
        </w:rPr>
        <w:t xml:space="preserve"> it is an imperative for the effective protection of enterprise networks to have central management and security architectures with policies that govern traffic inspection, access control, monitoring, and prevention of threats. Thus, this Part 2 task responds to the enforcement of those conditions by implementing a suitable security solution using Check Point GAIA appliances for the protection of the enterprise network developed in Part 1.</w:t>
      </w:r>
    </w:p>
    <w:p w14:paraId="79753D37"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 xml:space="preserve">Its major purpose is to protect the enterprise network through the installation and integration of a dedicated Check Point Security Gateway (A-GW) and a Security Management Server (A-SMS). These components together mark the base of a centrally administered security architecture wherein all aspects of policy creation, enforcement, logging, and monitoring are managed from a single control point. The SmartConsole management interface with centralized management allows for consistent enforcement of policies across the network while minimizing administrative error, an acknowledged risk factor in enterprise security failures. Due to these attributes of visibility, accountability, and rapid presence within the enterprise environments, centralized management is regarded as an industry best practice. </w:t>
      </w:r>
    </w:p>
    <w:p w14:paraId="21BA4CCF"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 xml:space="preserve">A core area of focus for this task is the implementation of firewall controls regulating both inbound and outbound traffic flows on the basis of an enterprise security policy with validity. The firewall rule bases are designed on least-privilege principles and do not depend on permissive or default configurations, allowing only those protocols, services, and management connections for which explicit permission has been granted. Controlling inbound traffic helps safeguard the internal network segments and critical infrastructure from unauthorized external access, while controlling outbound traffic aids in limiting internal resource misuse, reducing opportunities for data exfiltration, and preventing compromised hosts from contacting external command-and-control servers. Controls in both inbound and outbound directions are complementary and a representation of actual enterprise security strategies as advised by well-known security frameworks. </w:t>
      </w:r>
    </w:p>
    <w:p w14:paraId="03217559"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lastRenderedPageBreak/>
        <w:t xml:space="preserve">Adding to the basic enforcement of the firewall, network security is enhanced in this task by the enabling and validation of advanced security features available in the Check Point framework. These include intrusion prevention capability and application- or identity-aware controls where applicable. Such features are critical in the modern enterprise environment because many attacks are delivered over allowed services such as HTTP or HTTPS, rendering pure port blocking inadequate. By adding reduced inspection and contextual awareness, the security architecture is better able to catch malignant behavior, enforce acceptable use policies, and counter newly emerging threats. </w:t>
      </w:r>
    </w:p>
    <w:p w14:paraId="359F8A22"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 xml:space="preserve">This task also covers operational readiness and compliance considerations. System health-checking, service availability, licensing status, and upgradeability are all scrutinized to ensure not only that the deployed security infrastructure operational but also that it is maintainable in a quasi-production environment. In regulated environments, for example, where security controls have to be demonstrably functioning and auditable, one can easily see that anything will stake in the effectiveness of deployed protections on account of misconfiguration or expired licensing. Accordingly, as a whole, this means validating those aspects such as management connectivity, API readiness, and update tools as part of the overall security posture. </w:t>
      </w:r>
    </w:p>
    <w:p w14:paraId="6D85E18F" w14:textId="76607B6E" w:rsidR="00AD6526"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Timestamped screenshots accompany all the configurations and security controls implemented in this task, are organized in such a way as to allow live demonstration during the assessment time allotted, and support the transparency, reproducibility, and validation of the implemented controls. The live demonstration would also serve to demonstrate the practical application of enterprise network security principles using industry-standard tools. Taken collectively, this Part-2 task presents the design, implementation, and validation of a centrally managed enterprise network security solution with the weight of professional practice and contemporary security requirements</w:t>
      </w:r>
      <w:r w:rsidR="00F66D75" w:rsidRPr="00F66D75">
        <w:rPr>
          <w:rFonts w:ascii="Times New Roman" w:hAnsi="Times New Roman" w:cs="Times New Roman"/>
        </w:rPr>
        <w:t>.</w:t>
      </w:r>
    </w:p>
    <w:p w14:paraId="7FCCFA20" w14:textId="77777777" w:rsidR="00494C65" w:rsidRPr="00D2254C" w:rsidRDefault="00AD6526" w:rsidP="00D2254C">
      <w:pPr>
        <w:pStyle w:val="Heading1"/>
      </w:pPr>
      <w:bookmarkStart w:id="1" w:name="_Toc216874074"/>
      <w:r w:rsidRPr="00AD6526">
        <w:t>2. Task 2.1 — Installation, Configuration, Licensing, and Connectivity</w:t>
      </w:r>
      <w:bookmarkEnd w:id="1"/>
      <w:r w:rsidRPr="00AD6526">
        <w:t xml:space="preserve"> </w:t>
      </w:r>
    </w:p>
    <w:p w14:paraId="6D131A24" w14:textId="00BA2292" w:rsidR="00AD6526" w:rsidRPr="00D2254C" w:rsidRDefault="00AD6526" w:rsidP="00D2254C">
      <w:pPr>
        <w:pStyle w:val="Heading2"/>
      </w:pPr>
      <w:bookmarkStart w:id="2" w:name="_Toc216874075"/>
      <w:r w:rsidRPr="00D2254C">
        <w:t>2.1.1 GAIA appliances created and verified in SmartConsole</w:t>
      </w:r>
      <w:bookmarkEnd w:id="2"/>
    </w:p>
    <w:p w14:paraId="68C15940"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 xml:space="preserve">The use of two Check Point GAIA appliances: Security Gateway (A-GW) and Security Management Server (A-SMS) extended the enterprise network security infrastructure. Successful deployment and integration of the components were verified by Check Point SmartConsole, a </w:t>
      </w:r>
      <w:r w:rsidRPr="00D2254C">
        <w:rPr>
          <w:rFonts w:ascii="Times New Roman" w:hAnsi="Times New Roman" w:cs="Times New Roman"/>
        </w:rPr>
        <w:lastRenderedPageBreak/>
        <w:t xml:space="preserve">centralized GUI for enterprise security gateways and management servers. "Gateways &amp; Servers" inventory in SmartConsole confirms that both appliances are registered, reachable, and functioning under a common management framework. Security Gateway (A-GW) holds an IPv4 address of 10.1.1.1, while Security Management Server (A-SMS) operates on 10.1.1.101, with both systems running Check Point version R81.20. </w:t>
      </w:r>
    </w:p>
    <w:p w14:paraId="500CB5DE" w14:textId="30698506" w:rsidR="00AD6526" w:rsidRPr="00AD6526" w:rsidRDefault="00494C65" w:rsidP="00D2254C">
      <w:pPr>
        <w:spacing w:line="360" w:lineRule="auto"/>
        <w:jc w:val="both"/>
        <w:rPr>
          <w:rFonts w:ascii="Times New Roman" w:hAnsi="Times New Roman" w:cs="Times New Roman"/>
        </w:rPr>
      </w:pPr>
      <w:r w:rsidRPr="00D2254C">
        <w:rPr>
          <w:rFonts w:ascii="Times New Roman" w:hAnsi="Times New Roman" w:cs="Times New Roman"/>
        </w:rPr>
        <w:t>It is crucial since SmartConsole registration signals the establishment of a secure trust relationship between the management server and the enforcement gateway; thereby, centralized management becomes a fundamental requirement in the enterprise firewall architecture for consistent policy enforcement, central logging, and straightforward governance in the network. As proposed in NIST SP 800-41, centrally managed firewalls decrease configuration errors as well as increase security visibility compared to decentralized or standalone deployment, more so in complex enterprise settings (NIST, 2023). It therefore validates that the management plane of the enterprise security architecture has been implemented correctly</w:t>
      </w:r>
      <w:r w:rsidR="00AD6526" w:rsidRPr="00AD6526">
        <w:rPr>
          <w:rFonts w:ascii="Times New Roman" w:hAnsi="Times New Roman" w:cs="Times New Roman"/>
        </w:rPr>
        <w:t>.</w:t>
      </w:r>
    </w:p>
    <w:p w14:paraId="12A9EB67" w14:textId="1A2ABC51" w:rsidR="00AD6526" w:rsidRPr="00AD6526" w:rsidRDefault="00A10C5D" w:rsidP="00D2254C">
      <w:pPr>
        <w:pStyle w:val="Caption"/>
        <w:rPr>
          <w:rFonts w:ascii="Times New Roman" w:hAnsi="Times New Roman" w:cs="Times New Roman"/>
          <w:sz w:val="24"/>
          <w:szCs w:val="24"/>
        </w:rPr>
      </w:pPr>
      <w:r w:rsidRPr="00D2254C">
        <w:rPr>
          <w:rFonts w:ascii="Times New Roman" w:hAnsi="Times New Roman" w:cs="Times New Roman"/>
          <w:noProof/>
          <w:sz w:val="24"/>
          <w:szCs w:val="24"/>
        </w:rPr>
        <w:drawing>
          <wp:inline distT="0" distB="0" distL="0" distR="0" wp14:anchorId="3A5F0833" wp14:editId="540CD458">
            <wp:extent cx="5943600" cy="3867785"/>
            <wp:effectExtent l="0" t="0" r="0" b="0"/>
            <wp:docPr id="1907728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67785"/>
                    </a:xfrm>
                    <a:prstGeom prst="rect">
                      <a:avLst/>
                    </a:prstGeom>
                    <a:noFill/>
                    <a:ln>
                      <a:noFill/>
                    </a:ln>
                  </pic:spPr>
                </pic:pic>
              </a:graphicData>
            </a:graphic>
          </wp:inline>
        </w:drawing>
      </w:r>
      <w:r w:rsidR="00D2254C">
        <w:t xml:space="preserve">Figure </w:t>
      </w:r>
      <w:r w:rsidR="00D2254C">
        <w:fldChar w:fldCharType="begin"/>
      </w:r>
      <w:r w:rsidR="00D2254C">
        <w:instrText xml:space="preserve"> SEQ Figure \* ARABIC </w:instrText>
      </w:r>
      <w:r w:rsidR="00D2254C">
        <w:fldChar w:fldCharType="separate"/>
      </w:r>
      <w:r w:rsidR="009E25AA">
        <w:rPr>
          <w:noProof/>
        </w:rPr>
        <w:t>1</w:t>
      </w:r>
      <w:r w:rsidR="00D2254C">
        <w:fldChar w:fldCharType="end"/>
      </w:r>
      <w:r w:rsidR="00AD6526" w:rsidRPr="00AD6526">
        <w:rPr>
          <w:rFonts w:ascii="Times New Roman" w:hAnsi="Times New Roman" w:cs="Times New Roman"/>
          <w:sz w:val="24"/>
          <w:szCs w:val="24"/>
        </w:rPr>
        <w:t>: SmartConsole “Gateways &amp; Servers” view showing A-GW (10.1.1.1) and A-SMS (10.1.1.101) running Check Point R81.20.</w:t>
      </w:r>
    </w:p>
    <w:p w14:paraId="143313A3" w14:textId="77777777" w:rsidR="00AD6526" w:rsidRPr="00AD6526" w:rsidRDefault="00AD6526" w:rsidP="00D2254C">
      <w:pPr>
        <w:pStyle w:val="Heading2"/>
      </w:pPr>
      <w:bookmarkStart w:id="3" w:name="_Toc216874076"/>
      <w:r w:rsidRPr="00AD6526">
        <w:lastRenderedPageBreak/>
        <w:t>2.1.2 GAIA Portal verification (system overview and blades readiness)</w:t>
      </w:r>
      <w:bookmarkEnd w:id="3"/>
    </w:p>
    <w:p w14:paraId="4E1CE50B"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After geolocation verification on behalf of the management layer, operational readiness of Security Gateway was confirmed through direct access to the GAIA Portal. The GAIA system overview explicitly states that the gateway is running Check Point Security Gateway R81.20 on Open Server" while providing visibility into securing blades available for enforcement such as Firewall, IPSec VPN, Intrusion Prevention System (IPS), Application Control, URL Filtering, Anti-Virus, and Anti-Bot," indicating that the gateway is capable of enforcing layered security controls rather than just basic packet filtering.</w:t>
      </w:r>
    </w:p>
    <w:p w14:paraId="39F4D26B" w14:textId="1C61E407" w:rsidR="00AD6526" w:rsidRPr="00AD6526" w:rsidRDefault="00494C65" w:rsidP="00D2254C">
      <w:pPr>
        <w:spacing w:line="360" w:lineRule="auto"/>
        <w:jc w:val="both"/>
        <w:rPr>
          <w:rFonts w:ascii="Times New Roman" w:hAnsi="Times New Roman" w:cs="Times New Roman"/>
        </w:rPr>
      </w:pPr>
      <w:r w:rsidRPr="00D2254C">
        <w:rPr>
          <w:rFonts w:ascii="Times New Roman" w:hAnsi="Times New Roman" w:cs="Times New Roman"/>
        </w:rPr>
        <w:t>Such verification is important because modern enterprise threats use allowed protocols such as HTTPS to bypass firewall rules, which, in most cases, are defined by port numbers only. ISO/IEC 27033 refers to deep packet inspection and application-aware controls as the modern techniques of combating today's attacks by saying that effective network boundary protection has to evangelize such concept in (ISO/IEC, 2022). Hence, having different security blades testifies that the introduced gateway is possible to implement enterprise-grade security policy, which aligns with internationally accepted best practices</w:t>
      </w:r>
      <w:r w:rsidR="00AD6526" w:rsidRPr="00AD6526">
        <w:rPr>
          <w:rFonts w:ascii="Times New Roman" w:hAnsi="Times New Roman" w:cs="Times New Roman"/>
        </w:rPr>
        <w:t>.</w:t>
      </w:r>
    </w:p>
    <w:p w14:paraId="2DD3C403" w14:textId="4A892272" w:rsidR="00AD6526" w:rsidRPr="00AD6526" w:rsidRDefault="00A10C5D" w:rsidP="009E25AA">
      <w:pPr>
        <w:pStyle w:val="Caption"/>
        <w:rPr>
          <w:rFonts w:ascii="Times New Roman" w:hAnsi="Times New Roman" w:cs="Times New Roman"/>
          <w:sz w:val="24"/>
          <w:szCs w:val="24"/>
        </w:rPr>
      </w:pPr>
      <w:r w:rsidRPr="00D2254C">
        <w:rPr>
          <w:rFonts w:ascii="Times New Roman" w:hAnsi="Times New Roman" w:cs="Times New Roman"/>
          <w:noProof/>
          <w:sz w:val="24"/>
          <w:szCs w:val="24"/>
        </w:rPr>
        <w:lastRenderedPageBreak/>
        <w:drawing>
          <wp:inline distT="0" distB="0" distL="0" distR="0" wp14:anchorId="397993A4" wp14:editId="7988072C">
            <wp:extent cx="5943600" cy="4138295"/>
            <wp:effectExtent l="0" t="0" r="0" b="0"/>
            <wp:docPr id="15109333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138295"/>
                    </a:xfrm>
                    <a:prstGeom prst="rect">
                      <a:avLst/>
                    </a:prstGeom>
                    <a:noFill/>
                    <a:ln>
                      <a:noFill/>
                    </a:ln>
                  </pic:spPr>
                </pic:pic>
              </a:graphicData>
            </a:graphic>
          </wp:inline>
        </w:drawing>
      </w:r>
      <w:r w:rsidR="009E25AA">
        <w:t xml:space="preserve">Figure </w:t>
      </w:r>
      <w:r w:rsidR="009E25AA">
        <w:fldChar w:fldCharType="begin"/>
      </w:r>
      <w:r w:rsidR="009E25AA">
        <w:instrText xml:space="preserve"> SEQ Figure \* ARABIC </w:instrText>
      </w:r>
      <w:r w:rsidR="009E25AA">
        <w:fldChar w:fldCharType="separate"/>
      </w:r>
      <w:r w:rsidR="009E25AA">
        <w:rPr>
          <w:noProof/>
        </w:rPr>
        <w:t>2</w:t>
      </w:r>
      <w:r w:rsidR="009E25AA">
        <w:fldChar w:fldCharType="end"/>
      </w:r>
      <w:r w:rsidR="00AD6526" w:rsidRPr="00AD6526">
        <w:rPr>
          <w:rFonts w:ascii="Times New Roman" w:hAnsi="Times New Roman" w:cs="Times New Roman"/>
          <w:sz w:val="24"/>
          <w:szCs w:val="24"/>
        </w:rPr>
        <w:t>: A-GW GAIA Portal System Overview showing Check Point Security Gateway R81.20 and available security blades.</w:t>
      </w:r>
    </w:p>
    <w:p w14:paraId="30137C70" w14:textId="77777777" w:rsidR="00AD6526" w:rsidRPr="00AD6526" w:rsidRDefault="00AD6526" w:rsidP="00D2254C">
      <w:pPr>
        <w:pStyle w:val="Heading2"/>
      </w:pPr>
      <w:bookmarkStart w:id="4" w:name="_Toc216874077"/>
      <w:r w:rsidRPr="00AD6526">
        <w:t>2.1.3 Security Management Server (A-SMS) readiness and administration</w:t>
      </w:r>
      <w:bookmarkEnd w:id="4"/>
    </w:p>
    <w:p w14:paraId="02352688" w14:textId="77777777" w:rsidR="00494C65" w:rsidRPr="00D2254C" w:rsidRDefault="00494C65" w:rsidP="00D2254C">
      <w:pPr>
        <w:spacing w:line="360" w:lineRule="auto"/>
        <w:jc w:val="both"/>
        <w:rPr>
          <w:rFonts w:ascii="Times New Roman" w:hAnsi="Times New Roman" w:cs="Times New Roman"/>
        </w:rPr>
      </w:pPr>
      <w:r w:rsidRPr="00D2254C">
        <w:rPr>
          <w:rFonts w:ascii="Times New Roman" w:hAnsi="Times New Roman" w:cs="Times New Roman"/>
        </w:rPr>
        <w:t>The Security Management Server is opened through its portal GAIA System Overview to verify its operational status and administrative readiness in existence. The overview has shown that A-SMS runs on Check Point Security Management R81.20 and provides performance on management tasks such as policy creation, policy publishing, logging, and update coordination. As a result, from the standpoint of the central authority for security governance, the availability and stability of the management server are essential components of the integrity of the enterprise security deployment.</w:t>
      </w:r>
    </w:p>
    <w:p w14:paraId="7C8D9378" w14:textId="30E2B610" w:rsidR="00AD6526" w:rsidRPr="00AD6526" w:rsidRDefault="00494C65" w:rsidP="00D2254C">
      <w:pPr>
        <w:spacing w:line="360" w:lineRule="auto"/>
        <w:jc w:val="both"/>
        <w:rPr>
          <w:rFonts w:ascii="Times New Roman" w:hAnsi="Times New Roman" w:cs="Times New Roman"/>
        </w:rPr>
      </w:pPr>
      <w:r w:rsidRPr="00D2254C">
        <w:rPr>
          <w:rFonts w:ascii="Times New Roman" w:hAnsi="Times New Roman" w:cs="Times New Roman"/>
        </w:rPr>
        <w:t xml:space="preserve">Separation of management and enforcement roles is a recognized principle in enterprise security design from a governance perspective. Management plane separation is a measure that ENISA indicates reduces the systemic risk through maintaining configuration integrity and audit trails in case of compromise of the gateway (ENISA, 2023). Therefore, A-SMS has been verified to </w:t>
      </w:r>
      <w:r w:rsidRPr="00D2254C">
        <w:rPr>
          <w:rFonts w:ascii="Times New Roman" w:hAnsi="Times New Roman" w:cs="Times New Roman"/>
        </w:rPr>
        <w:lastRenderedPageBreak/>
        <w:t>enhance the resilience, accountability, and forensics readiness of the enterprise network security architecture</w:t>
      </w:r>
      <w:r w:rsidR="00AD6526" w:rsidRPr="00AD6526">
        <w:rPr>
          <w:rFonts w:ascii="Times New Roman" w:hAnsi="Times New Roman" w:cs="Times New Roman"/>
        </w:rPr>
        <w:t>.</w:t>
      </w:r>
    </w:p>
    <w:p w14:paraId="096CDFBE" w14:textId="4DE7BAC1" w:rsidR="00AD6526" w:rsidRPr="00AD6526" w:rsidRDefault="00A10C5D" w:rsidP="009E25AA">
      <w:pPr>
        <w:pStyle w:val="Caption"/>
        <w:rPr>
          <w:rFonts w:ascii="Times New Roman" w:hAnsi="Times New Roman" w:cs="Times New Roman"/>
          <w:sz w:val="24"/>
          <w:szCs w:val="24"/>
        </w:rPr>
      </w:pPr>
      <w:r w:rsidRPr="00D2254C">
        <w:rPr>
          <w:rFonts w:ascii="Times New Roman" w:hAnsi="Times New Roman" w:cs="Times New Roman"/>
          <w:noProof/>
          <w:sz w:val="24"/>
          <w:szCs w:val="24"/>
        </w:rPr>
        <w:drawing>
          <wp:inline distT="0" distB="0" distL="0" distR="0" wp14:anchorId="0A68CAC1" wp14:editId="1831C776">
            <wp:extent cx="5943600" cy="3747770"/>
            <wp:effectExtent l="0" t="0" r="0" b="5080"/>
            <wp:docPr id="12071948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747770"/>
                    </a:xfrm>
                    <a:prstGeom prst="rect">
                      <a:avLst/>
                    </a:prstGeom>
                    <a:noFill/>
                    <a:ln>
                      <a:noFill/>
                    </a:ln>
                  </pic:spPr>
                </pic:pic>
              </a:graphicData>
            </a:graphic>
          </wp:inline>
        </w:drawing>
      </w:r>
      <w:r w:rsidR="009E25AA">
        <w:t xml:space="preserve">Figure </w:t>
      </w:r>
      <w:r w:rsidR="009E25AA">
        <w:fldChar w:fldCharType="begin"/>
      </w:r>
      <w:r w:rsidR="009E25AA">
        <w:instrText xml:space="preserve"> SEQ Figure \* ARABIC </w:instrText>
      </w:r>
      <w:r w:rsidR="009E25AA">
        <w:fldChar w:fldCharType="separate"/>
      </w:r>
      <w:r w:rsidR="009E25AA">
        <w:rPr>
          <w:noProof/>
        </w:rPr>
        <w:t>3</w:t>
      </w:r>
      <w:r w:rsidR="009E25AA">
        <w:fldChar w:fldCharType="end"/>
      </w:r>
      <w:r w:rsidR="00AD6526" w:rsidRPr="00AD6526">
        <w:rPr>
          <w:rFonts w:ascii="Times New Roman" w:hAnsi="Times New Roman" w:cs="Times New Roman"/>
          <w:sz w:val="24"/>
          <w:szCs w:val="24"/>
        </w:rPr>
        <w:t>: A-SMS GAIA Portal System Overview confirming active Security Management Server R81.20.</w:t>
      </w:r>
    </w:p>
    <w:p w14:paraId="30D03B90" w14:textId="77777777" w:rsidR="00AD6526" w:rsidRPr="00AD6526" w:rsidRDefault="00AD6526" w:rsidP="00D2254C">
      <w:pPr>
        <w:pStyle w:val="Heading2"/>
      </w:pPr>
      <w:bookmarkStart w:id="5" w:name="_Toc216874078"/>
      <w:r w:rsidRPr="00AD6526">
        <w:t>2.1.4 API and service readiness validation (management health check)</w:t>
      </w:r>
      <w:bookmarkEnd w:id="5"/>
    </w:p>
    <w:p w14:paraId="1E0F5AE1"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To counter checks that were done through graphical verification, the operational health of management services was further validated through the GAIA Terminal. Output from the terminal confirms that the API readiness test was passed, expressly stating that the server is up and ready to accept connections. This validation is highly critical for ensuring reliable operations of the SmartConsole for activities such as policy installations, publishing, and log retrieval throughout normal administrative operations and live demonstrations.</w:t>
      </w:r>
    </w:p>
    <w:p w14:paraId="2723F0C6" w14:textId="4E1E2F32" w:rsidR="00AD6526" w:rsidRPr="00AD6526"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Focusing solely on graphical interfaces may mask backend service failures that interfere with security operations. To provide confidence in valid backend services and APIs for maintaining stable policy management and automation capabilities, Check Point operational guidance recommends the validation of such services (Check Point, 2024). Thus, the passing readiness test </w:t>
      </w:r>
      <w:r w:rsidRPr="00D2254C">
        <w:rPr>
          <w:rFonts w:ascii="Times New Roman" w:hAnsi="Times New Roman" w:cs="Times New Roman"/>
        </w:rPr>
        <w:lastRenderedPageBreak/>
        <w:t>adds an extra measure of assurance that the actual management environment is operationally mature, and the longevity of its enterprise use is well assured.</w:t>
      </w:r>
      <w:r w:rsidR="00AD6526" w:rsidRPr="00AD6526">
        <w:rPr>
          <w:rFonts w:ascii="Times New Roman" w:hAnsi="Times New Roman" w:cs="Times New Roman"/>
        </w:rPr>
        <w:t>.</w:t>
      </w:r>
    </w:p>
    <w:p w14:paraId="188F089C" w14:textId="121E39F1" w:rsidR="00AD6526" w:rsidRPr="00AD6526" w:rsidRDefault="00AD6526" w:rsidP="009E25AA">
      <w:pPr>
        <w:pStyle w:val="Caption"/>
        <w:rPr>
          <w:rFonts w:ascii="Times New Roman" w:hAnsi="Times New Roman" w:cs="Times New Roman"/>
          <w:sz w:val="24"/>
          <w:szCs w:val="24"/>
        </w:rPr>
      </w:pPr>
      <w:r w:rsidRPr="00D2254C">
        <w:rPr>
          <w:rFonts w:ascii="Times New Roman" w:hAnsi="Times New Roman" w:cs="Times New Roman"/>
          <w:noProof/>
          <w:sz w:val="24"/>
          <w:szCs w:val="24"/>
        </w:rPr>
        <w:drawing>
          <wp:inline distT="0" distB="0" distL="0" distR="0" wp14:anchorId="7A055C98" wp14:editId="4F352B4D">
            <wp:extent cx="5943600" cy="4575810"/>
            <wp:effectExtent l="0" t="0" r="0" b="0"/>
            <wp:docPr id="1115067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575810"/>
                    </a:xfrm>
                    <a:prstGeom prst="rect">
                      <a:avLst/>
                    </a:prstGeom>
                    <a:noFill/>
                    <a:ln>
                      <a:noFill/>
                    </a:ln>
                  </pic:spPr>
                </pic:pic>
              </a:graphicData>
            </a:graphic>
          </wp:inline>
        </w:drawing>
      </w:r>
      <w:r w:rsidR="009E25AA">
        <w:t xml:space="preserve">Figure </w:t>
      </w:r>
      <w:r w:rsidR="009E25AA">
        <w:fldChar w:fldCharType="begin"/>
      </w:r>
      <w:r w:rsidR="009E25AA">
        <w:instrText xml:space="preserve"> SEQ Figure \* ARABIC </w:instrText>
      </w:r>
      <w:r w:rsidR="009E25AA">
        <w:fldChar w:fldCharType="separate"/>
      </w:r>
      <w:r w:rsidR="009E25AA">
        <w:rPr>
          <w:noProof/>
        </w:rPr>
        <w:t>4</w:t>
      </w:r>
      <w:r w:rsidR="009E25AA">
        <w:fldChar w:fldCharType="end"/>
      </w:r>
      <w:r w:rsidRPr="00AD6526">
        <w:rPr>
          <w:rFonts w:ascii="Times New Roman" w:hAnsi="Times New Roman" w:cs="Times New Roman"/>
          <w:sz w:val="24"/>
          <w:szCs w:val="24"/>
        </w:rPr>
        <w:t>: A-SMS terminal output showing successful API readiness test and management service availability.</w:t>
      </w:r>
    </w:p>
    <w:p w14:paraId="424A0271" w14:textId="230AEBB9" w:rsidR="00AD6526" w:rsidRPr="00AD6526" w:rsidRDefault="00AD6526" w:rsidP="00D2254C">
      <w:pPr>
        <w:pStyle w:val="Heading2"/>
      </w:pPr>
      <w:bookmarkStart w:id="6" w:name="_Toc216874079"/>
      <w:r w:rsidRPr="00AD6526">
        <w:t>2.1.5 Licensing and update verification</w:t>
      </w:r>
      <w:bookmarkEnd w:id="6"/>
      <w:r w:rsidRPr="00AD6526">
        <w:t xml:space="preserve"> </w:t>
      </w:r>
    </w:p>
    <w:p w14:paraId="2C4C849D" w14:textId="77777777" w:rsidR="00AD6526" w:rsidRPr="00AD6526" w:rsidRDefault="00AD6526" w:rsidP="00D2254C">
      <w:pPr>
        <w:spacing w:line="360" w:lineRule="auto"/>
        <w:jc w:val="both"/>
        <w:rPr>
          <w:rFonts w:ascii="Times New Roman" w:hAnsi="Times New Roman" w:cs="Times New Roman"/>
        </w:rPr>
      </w:pPr>
      <w:r w:rsidRPr="00AD6526">
        <w:rPr>
          <w:rFonts w:ascii="Times New Roman" w:hAnsi="Times New Roman" w:cs="Times New Roman"/>
        </w:rPr>
        <w:t>Licensing compliance and update readiness were verified using Check Point SmartUpdate, which provides centralised visibility of managed devices, licenses, and software packages. The SmartUpdate Machines tree confirms that both A-GW and A-SMS are recognised under the management server and are eligible for centralised update and license management. This demonstrates that the deployed environment is operationally maintainable and capable of supporting licensed security features.</w:t>
      </w:r>
    </w:p>
    <w:p w14:paraId="0E885387" w14:textId="77777777" w:rsidR="00AD6526" w:rsidRPr="00AD6526" w:rsidRDefault="00AD6526" w:rsidP="00D2254C">
      <w:pPr>
        <w:spacing w:line="360" w:lineRule="auto"/>
        <w:jc w:val="both"/>
        <w:rPr>
          <w:rFonts w:ascii="Times New Roman" w:hAnsi="Times New Roman" w:cs="Times New Roman"/>
        </w:rPr>
      </w:pPr>
      <w:r w:rsidRPr="00AD6526">
        <w:rPr>
          <w:rFonts w:ascii="Times New Roman" w:hAnsi="Times New Roman" w:cs="Times New Roman"/>
        </w:rPr>
        <w:t xml:space="preserve">Licensing verification is a critical aspect of enterprise security assurance. Advanced protections such as IPS and threat prevention are dependent on valid licenses and regular updates, and expired </w:t>
      </w:r>
      <w:r w:rsidRPr="00AD6526">
        <w:rPr>
          <w:rFonts w:ascii="Times New Roman" w:hAnsi="Times New Roman" w:cs="Times New Roman"/>
        </w:rPr>
        <w:lastRenderedPageBreak/>
        <w:t>licensing can silently weaken security posture. NIST SP 800-53 identifies configuration management and system maintenance as essential controls for sustaining long-term security effectiveness (NIST, 2022). By confirming licensing and update capability, this deployment ensures that the enterprise network remains protected beyond initial configuration and can adapt to evolving threat conditions.</w:t>
      </w:r>
    </w:p>
    <w:p w14:paraId="1413C348" w14:textId="7711E5FE" w:rsidR="009E25AA" w:rsidRDefault="00AD6526" w:rsidP="009E25AA">
      <w:pPr>
        <w:pStyle w:val="Caption"/>
        <w:rPr>
          <w:rFonts w:ascii="Times New Roman" w:hAnsi="Times New Roman" w:cs="Times New Roman"/>
        </w:rPr>
      </w:pPr>
      <w:r w:rsidRPr="00D2254C">
        <w:rPr>
          <w:rFonts w:ascii="Times New Roman" w:hAnsi="Times New Roman" w:cs="Times New Roman"/>
          <w:noProof/>
          <w:sz w:val="24"/>
          <w:szCs w:val="24"/>
        </w:rPr>
        <w:drawing>
          <wp:inline distT="0" distB="0" distL="0" distR="0" wp14:anchorId="2360CD5B" wp14:editId="05FB1261">
            <wp:extent cx="5943600" cy="3418840"/>
            <wp:effectExtent l="0" t="0" r="0" b="0"/>
            <wp:docPr id="138516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418840"/>
                    </a:xfrm>
                    <a:prstGeom prst="rect">
                      <a:avLst/>
                    </a:prstGeom>
                    <a:noFill/>
                    <a:ln>
                      <a:noFill/>
                    </a:ln>
                  </pic:spPr>
                </pic:pic>
              </a:graphicData>
            </a:graphic>
          </wp:inline>
        </w:drawing>
      </w:r>
      <w:r w:rsidRPr="00AD6526">
        <w:rPr>
          <w:rFonts w:ascii="Times New Roman" w:hAnsi="Times New Roman" w:cs="Times New Roman"/>
          <w:sz w:val="24"/>
          <w:szCs w:val="24"/>
        </w:rPr>
        <w:br/>
      </w:r>
      <w:r w:rsidR="009E25AA">
        <w:t xml:space="preserve">Figure </w:t>
      </w:r>
      <w:r w:rsidR="009E25AA">
        <w:fldChar w:fldCharType="begin"/>
      </w:r>
      <w:r w:rsidR="009E25AA">
        <w:instrText xml:space="preserve"> SEQ Figure \* ARABIC </w:instrText>
      </w:r>
      <w:r w:rsidR="009E25AA">
        <w:fldChar w:fldCharType="separate"/>
      </w:r>
      <w:r w:rsidR="009E25AA">
        <w:rPr>
          <w:noProof/>
        </w:rPr>
        <w:t>5</w:t>
      </w:r>
      <w:r w:rsidR="009E25AA">
        <w:fldChar w:fldCharType="end"/>
      </w:r>
      <w:r w:rsidR="009E25AA">
        <w:t xml:space="preserve">: </w:t>
      </w:r>
      <w:r w:rsidRPr="00D2254C">
        <w:rPr>
          <w:rFonts w:ascii="Times New Roman" w:hAnsi="Times New Roman" w:cs="Times New Roman"/>
          <w:sz w:val="24"/>
          <w:szCs w:val="24"/>
        </w:rPr>
        <w:t>s</w:t>
      </w:r>
      <w:r w:rsidRPr="00AD6526">
        <w:rPr>
          <w:rFonts w:ascii="Times New Roman" w:hAnsi="Times New Roman" w:cs="Times New Roman"/>
          <w:sz w:val="24"/>
          <w:szCs w:val="24"/>
        </w:rPr>
        <w:t>martUpdate Machines tree showing A-GW and A-SMS under centralised licensing and update management.</w:t>
      </w:r>
    </w:p>
    <w:p w14:paraId="73902D38" w14:textId="1AD26259"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The methodology adopted in Task 2.1 presents systematic yet professionally aligned enterprise network security deployment precedents. This verification integrates many managerial considerations; a readiness check for all provided gateways, availability of services, and compliance with the licensing is conducted, with system interfaces declared to be authoritative. Thus, the act moves beyond surface-level configuration and establishes details of operation on the ground, with adequate justification to various stakeholders through selective evidentiary use. </w:t>
      </w:r>
    </w:p>
    <w:p w14:paraId="7D23B1DB" w14:textId="77777777" w:rsidR="005249EE" w:rsidRPr="00D2254C" w:rsidRDefault="005249EE" w:rsidP="00D2254C">
      <w:pPr>
        <w:pStyle w:val="Heading1"/>
      </w:pPr>
      <w:bookmarkStart w:id="7" w:name="_Toc216874080"/>
      <w:r w:rsidRPr="00D2254C">
        <w:lastRenderedPageBreak/>
        <w:t>3. Task 2.2 — Firewall Policy: Inbound and Outbound Traffic Control</w:t>
      </w:r>
      <w:bookmarkEnd w:id="7"/>
      <w:r w:rsidRPr="00D2254C">
        <w:t xml:space="preserve"> </w:t>
      </w:r>
    </w:p>
    <w:p w14:paraId="5D6B09C8" w14:textId="77777777" w:rsidR="005249EE" w:rsidRPr="00D2254C" w:rsidRDefault="005249EE" w:rsidP="00D2254C">
      <w:pPr>
        <w:pStyle w:val="Heading2"/>
      </w:pPr>
      <w:bookmarkStart w:id="8" w:name="_Toc216874081"/>
      <w:r w:rsidRPr="00D2254C">
        <w:t>3.1 The rationale for enterprise security policy</w:t>
      </w:r>
      <w:bookmarkEnd w:id="8"/>
      <w:r w:rsidRPr="00D2254C">
        <w:t xml:space="preserve"> </w:t>
      </w:r>
    </w:p>
    <w:p w14:paraId="6E6314CC" w14:textId="3BBF8F50" w:rsidR="005249EE"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A practical enterprise firewall policy must be grounded in the principle of least privilege, ensuring that network access is granted strictly on a need-to-use basis rather than convenience or default configurations. In complex enterprise environments, overly permissive firewall rules are a common root cause of security incidents by increasing the attack surface to allow an attacker to exploit some exposed service or move laterally across network segments. Hence, the firewall policy implemented in this task was structured in such a way as to clearly separate any public-facing services from their private networks, forbid any administrative access except those coming from authorized sources, and regulate outbound communications to lessen the impact of a potential compromise. </w:t>
      </w:r>
    </w:p>
    <w:p w14:paraId="649FE204" w14:textId="77777777" w:rsidR="00752F19" w:rsidRPr="00752F19" w:rsidRDefault="00752F19" w:rsidP="00752F19">
      <w:pPr>
        <w:spacing w:line="360" w:lineRule="auto"/>
        <w:jc w:val="both"/>
        <w:rPr>
          <w:rFonts w:ascii="Arial" w:eastAsia="Calibri" w:hAnsi="Arial" w:cs="Arial"/>
          <w:kern w:val="0"/>
          <w14:ligatures w14:val="none"/>
        </w:rPr>
      </w:pPr>
      <w:r w:rsidRPr="00752F19">
        <w:rPr>
          <w:rFonts w:ascii="Arial" w:eastAsia="Calibri" w:hAnsi="Arial" w:cs="Arial"/>
          <w:noProof/>
          <w:kern w:val="0"/>
          <w14:ligatures w14:val="none"/>
        </w:rPr>
        <w:drawing>
          <wp:inline distT="0" distB="0" distL="0" distR="0" wp14:anchorId="19E4CB99" wp14:editId="796371D0">
            <wp:extent cx="5971975" cy="3468149"/>
            <wp:effectExtent l="0" t="0" r="0" b="0"/>
            <wp:docPr id="5" name="Picture 5" descr="C:\Users\Admin\OneDrive\Desktop\use of AI\New folder\Screenshot 2025-12-17 at 04.07.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OneDrive\Desktop\use of AI\New folder\Screenshot 2025-12-17 at 04.07.04.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02" t="-267" r="1" b="7175"/>
                    <a:stretch/>
                  </pic:blipFill>
                  <pic:spPr bwMode="auto">
                    <a:xfrm>
                      <a:off x="0" y="0"/>
                      <a:ext cx="5973424" cy="3468990"/>
                    </a:xfrm>
                    <a:prstGeom prst="rect">
                      <a:avLst/>
                    </a:prstGeom>
                    <a:noFill/>
                    <a:ln>
                      <a:noFill/>
                    </a:ln>
                    <a:extLst>
                      <a:ext uri="{53640926-AAD7-44D8-BBD7-CCE9431645EC}">
                        <a14:shadowObscured xmlns:a14="http://schemas.microsoft.com/office/drawing/2010/main"/>
                      </a:ext>
                    </a:extLst>
                  </pic:spPr>
                </pic:pic>
              </a:graphicData>
            </a:graphic>
          </wp:inline>
        </w:drawing>
      </w:r>
    </w:p>
    <w:p w14:paraId="3EE9D225" w14:textId="2F436160" w:rsidR="00752F19" w:rsidRPr="00752F19" w:rsidRDefault="00752F19" w:rsidP="00752F19">
      <w:pPr>
        <w:spacing w:after="200" w:line="240" w:lineRule="auto"/>
        <w:rPr>
          <w:rFonts w:ascii="Arial" w:eastAsia="Calibri" w:hAnsi="Arial" w:cs="Arial"/>
          <w:i/>
          <w:iCs/>
          <w:color w:val="44546A"/>
          <w:kern w:val="0"/>
          <w14:ligatures w14:val="none"/>
        </w:rPr>
      </w:pPr>
      <w:r w:rsidRPr="00752F19">
        <w:rPr>
          <w:rFonts w:ascii="Calibri" w:eastAsia="Calibri" w:hAnsi="Calibri" w:cs="Times New Roman"/>
          <w:i/>
          <w:iCs/>
          <w:color w:val="44546A"/>
          <w:kern w:val="0"/>
          <w:sz w:val="18"/>
          <w:szCs w:val="18"/>
          <w14:ligatures w14:val="none"/>
        </w:rPr>
        <w:t xml:space="preserve">Figure </w:t>
      </w:r>
      <w:r w:rsidRPr="00752F19">
        <w:rPr>
          <w:rFonts w:ascii="Calibri" w:eastAsia="Calibri" w:hAnsi="Calibri" w:cs="Times New Roman"/>
          <w:i/>
          <w:iCs/>
          <w:color w:val="44546A"/>
          <w:kern w:val="0"/>
          <w:sz w:val="18"/>
          <w:szCs w:val="18"/>
          <w14:ligatures w14:val="none"/>
        </w:rPr>
        <w:fldChar w:fldCharType="begin"/>
      </w:r>
      <w:r w:rsidRPr="00752F19">
        <w:rPr>
          <w:rFonts w:ascii="Calibri" w:eastAsia="Calibri" w:hAnsi="Calibri" w:cs="Times New Roman"/>
          <w:i/>
          <w:iCs/>
          <w:color w:val="44546A"/>
          <w:kern w:val="0"/>
          <w:sz w:val="18"/>
          <w:szCs w:val="18"/>
          <w14:ligatures w14:val="none"/>
        </w:rPr>
        <w:instrText xml:space="preserve"> SEQ Figure \* ARABIC </w:instrText>
      </w:r>
      <w:r w:rsidRPr="00752F19">
        <w:rPr>
          <w:rFonts w:ascii="Calibri" w:eastAsia="Calibri" w:hAnsi="Calibri" w:cs="Times New Roman"/>
          <w:i/>
          <w:iCs/>
          <w:color w:val="44546A"/>
          <w:kern w:val="0"/>
          <w:sz w:val="18"/>
          <w:szCs w:val="18"/>
          <w14:ligatures w14:val="none"/>
        </w:rPr>
        <w:fldChar w:fldCharType="separate"/>
      </w:r>
      <w:r w:rsidRPr="00752F19">
        <w:rPr>
          <w:rFonts w:ascii="Calibri" w:eastAsia="Calibri" w:hAnsi="Calibri" w:cs="Times New Roman"/>
          <w:i/>
          <w:iCs/>
          <w:noProof/>
          <w:color w:val="44546A"/>
          <w:kern w:val="0"/>
          <w:sz w:val="18"/>
          <w:szCs w:val="18"/>
          <w14:ligatures w14:val="none"/>
        </w:rPr>
        <w:t>7</w:t>
      </w:r>
      <w:r w:rsidRPr="00752F19">
        <w:rPr>
          <w:rFonts w:ascii="Calibri" w:eastAsia="Calibri" w:hAnsi="Calibri" w:cs="Times New Roman"/>
          <w:i/>
          <w:iCs/>
          <w:color w:val="44546A"/>
          <w:kern w:val="0"/>
          <w:sz w:val="18"/>
          <w:szCs w:val="18"/>
          <w14:ligatures w14:val="none"/>
        </w:rPr>
        <w:fldChar w:fldCharType="end"/>
      </w:r>
      <w:r w:rsidRPr="00752F19">
        <w:rPr>
          <w:rFonts w:ascii="Calibri" w:eastAsia="Calibri" w:hAnsi="Calibri" w:cs="Times New Roman"/>
          <w:i/>
          <w:iCs/>
          <w:color w:val="44546A"/>
          <w:kern w:val="0"/>
          <w:sz w:val="18"/>
          <w:szCs w:val="18"/>
          <w14:ligatures w14:val="none"/>
        </w:rPr>
        <w:t>: SmartConsole showing active Security Gateway (A-GW) and Security Management Server (A-SMS)</w:t>
      </w:r>
    </w:p>
    <w:p w14:paraId="6A21B976"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Inbound traffic restrictions are a fundamental mechanism for safeguarding internal assets from external reconnaissance and exploitation. Allowed in this context are only those services that are expressly deemed necessary for business purposes, and these are restricted to particular hosts </w:t>
      </w:r>
      <w:r w:rsidRPr="00D2254C">
        <w:rPr>
          <w:rFonts w:ascii="Times New Roman" w:hAnsi="Times New Roman" w:cs="Times New Roman"/>
        </w:rPr>
        <w:lastRenderedPageBreak/>
        <w:t xml:space="preserve">rather than broad swathes of network segments. Furthermore, limits on administrative access are given through allowing management protocols only from approved administrative workstations or subnets. This reasoning is in line with enterprise security guidance, which emphasizes limiting access to management interfaces and never broadly exposing them (NIST SP 800-41, 2023). </w:t>
      </w:r>
    </w:p>
    <w:p w14:paraId="436F6186"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Outbound traffic control is equally important, but it often becomes a secondary consideration during firewall implementation. Unrestricted outbound connectivity allows compromised systems to establish communication freely with external command and control servers, either exfiltrating sensitive data or downloading additional malicious payloads. Sustaining outbound restrictions and logging all traffic introduces second defensive depth with firewall policy, reducing the degree and impact of internal compromise. This multilevel layering aligns with guidance provided by ISO/IEC 27033 regarding boundary protection and continuous network monitoring in enterprise networks (ISO/IEC, 2022).</w:t>
      </w:r>
    </w:p>
    <w:p w14:paraId="22FD20E2" w14:textId="77777777" w:rsidR="005249EE" w:rsidRPr="00D2254C" w:rsidRDefault="005249EE" w:rsidP="00D2254C">
      <w:pPr>
        <w:pStyle w:val="Heading2"/>
      </w:pPr>
      <w:bookmarkStart w:id="9" w:name="_Toc216874082"/>
      <w:r w:rsidRPr="00D2254C">
        <w:t>3.2 Example of rules executed and demonstrated (inbound and outbound)</w:t>
      </w:r>
      <w:bookmarkEnd w:id="9"/>
    </w:p>
    <w:p w14:paraId="63E3315A"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The firewall rule set was implemented and centrally managed using Check Point SmartConsole, with explicit rules created to control inbound and outbound traffic for ICMP, HTTP/HTTPS, SSH, FTP, and Telnet as required by the assessment brief. Figure 8 shows the SmartConsole Security Policy rule base, where explicit allow rules are positioned above explicit deny rules, and logging is enabled across the policy. This ordering is important in stateful firewall environments, as priority directly determines the enforcement consequence. </w:t>
      </w:r>
    </w:p>
    <w:p w14:paraId="1DE92CD4" w14:textId="46FB6AA7" w:rsidR="005249EE" w:rsidRDefault="00D2254C" w:rsidP="00D2254C">
      <w:pPr>
        <w:spacing w:line="360" w:lineRule="auto"/>
        <w:jc w:val="both"/>
        <w:rPr>
          <w:rFonts w:ascii="Times New Roman" w:hAnsi="Times New Roman" w:cs="Times New Roman"/>
        </w:rPr>
      </w:pPr>
      <w:r w:rsidRPr="00D2254C">
        <w:rPr>
          <w:rFonts w:ascii="Times New Roman" w:hAnsi="Times New Roman" w:cs="Times New Roman"/>
          <w:noProof/>
        </w:rPr>
        <w:lastRenderedPageBreak/>
        <w:drawing>
          <wp:inline distT="0" distB="0" distL="0" distR="0" wp14:anchorId="3AE26F68" wp14:editId="5BEBE031">
            <wp:extent cx="5943600" cy="4253230"/>
            <wp:effectExtent l="0" t="0" r="0" b="0"/>
            <wp:docPr id="9561755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53230"/>
                    </a:xfrm>
                    <a:prstGeom prst="rect">
                      <a:avLst/>
                    </a:prstGeom>
                    <a:noFill/>
                    <a:ln>
                      <a:noFill/>
                    </a:ln>
                  </pic:spPr>
                </pic:pic>
              </a:graphicData>
            </a:graphic>
          </wp:inline>
        </w:drawing>
      </w:r>
    </w:p>
    <w:p w14:paraId="6B4AF883" w14:textId="77777777" w:rsidR="00752F19" w:rsidRPr="00752F19" w:rsidRDefault="00752F19" w:rsidP="00752F19">
      <w:pPr>
        <w:spacing w:before="100" w:beforeAutospacing="1" w:after="100" w:afterAutospacing="1" w:line="240" w:lineRule="auto"/>
        <w:rPr>
          <w:rFonts w:ascii="Times New Roman" w:eastAsia="Times New Roman" w:hAnsi="Times New Roman" w:cs="Times New Roman"/>
          <w:kern w:val="0"/>
          <w14:ligatures w14:val="none"/>
        </w:rPr>
      </w:pPr>
      <w:r w:rsidRPr="00752F19">
        <w:rPr>
          <w:rFonts w:ascii="Times New Roman" w:eastAsia="Times New Roman" w:hAnsi="Times New Roman" w:cs="Times New Roman"/>
          <w:noProof/>
          <w:kern w:val="0"/>
          <w14:ligatures w14:val="none"/>
        </w:rPr>
        <w:lastRenderedPageBreak/>
        <w:drawing>
          <wp:inline distT="0" distB="0" distL="0" distR="0" wp14:anchorId="68C181E1" wp14:editId="62A07E63">
            <wp:extent cx="6788426" cy="4661452"/>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4906" r="811" b="6595"/>
                    <a:stretch/>
                  </pic:blipFill>
                  <pic:spPr bwMode="auto">
                    <a:xfrm>
                      <a:off x="0" y="0"/>
                      <a:ext cx="6796090" cy="4666714"/>
                    </a:xfrm>
                    <a:prstGeom prst="rect">
                      <a:avLst/>
                    </a:prstGeom>
                    <a:noFill/>
                    <a:ln>
                      <a:noFill/>
                    </a:ln>
                    <a:extLst>
                      <a:ext uri="{53640926-AAD7-44D8-BBD7-CCE9431645EC}">
                        <a14:shadowObscured xmlns:a14="http://schemas.microsoft.com/office/drawing/2010/main"/>
                      </a:ext>
                    </a:extLst>
                  </pic:spPr>
                </pic:pic>
              </a:graphicData>
            </a:graphic>
          </wp:inline>
        </w:drawing>
      </w:r>
    </w:p>
    <w:p w14:paraId="362C9E4B" w14:textId="77777777" w:rsidR="00752F19" w:rsidRPr="00752F19" w:rsidRDefault="00752F19" w:rsidP="00752F19">
      <w:pPr>
        <w:spacing w:after="200" w:line="240" w:lineRule="auto"/>
        <w:rPr>
          <w:rFonts w:ascii="Calibri" w:eastAsia="Calibri" w:hAnsi="Calibri" w:cs="Times New Roman"/>
          <w:i/>
          <w:iCs/>
          <w:color w:val="44546A"/>
          <w:kern w:val="0"/>
          <w:sz w:val="18"/>
          <w:szCs w:val="18"/>
          <w14:ligatures w14:val="none"/>
        </w:rPr>
      </w:pPr>
      <w:r w:rsidRPr="00752F19">
        <w:rPr>
          <w:rFonts w:ascii="Calibri" w:eastAsia="Calibri" w:hAnsi="Calibri" w:cs="Times New Roman"/>
          <w:i/>
          <w:iCs/>
          <w:color w:val="44546A"/>
          <w:kern w:val="0"/>
          <w:sz w:val="18"/>
          <w:szCs w:val="18"/>
          <w14:ligatures w14:val="none"/>
        </w:rPr>
        <w:t xml:space="preserve">Figure </w:t>
      </w:r>
      <w:r w:rsidRPr="00752F19">
        <w:rPr>
          <w:rFonts w:ascii="Calibri" w:eastAsia="Calibri" w:hAnsi="Calibri" w:cs="Times New Roman"/>
          <w:i/>
          <w:iCs/>
          <w:color w:val="44546A"/>
          <w:kern w:val="0"/>
          <w:sz w:val="18"/>
          <w:szCs w:val="18"/>
          <w14:ligatures w14:val="none"/>
        </w:rPr>
        <w:fldChar w:fldCharType="begin"/>
      </w:r>
      <w:r w:rsidRPr="00752F19">
        <w:rPr>
          <w:rFonts w:ascii="Calibri" w:eastAsia="Calibri" w:hAnsi="Calibri" w:cs="Times New Roman"/>
          <w:i/>
          <w:iCs/>
          <w:color w:val="44546A"/>
          <w:kern w:val="0"/>
          <w:sz w:val="18"/>
          <w:szCs w:val="18"/>
          <w14:ligatures w14:val="none"/>
        </w:rPr>
        <w:instrText xml:space="preserve"> SEQ Figure \* ARABIC </w:instrText>
      </w:r>
      <w:r w:rsidRPr="00752F19">
        <w:rPr>
          <w:rFonts w:ascii="Calibri" w:eastAsia="Calibri" w:hAnsi="Calibri" w:cs="Times New Roman"/>
          <w:i/>
          <w:iCs/>
          <w:color w:val="44546A"/>
          <w:kern w:val="0"/>
          <w:sz w:val="18"/>
          <w:szCs w:val="18"/>
          <w14:ligatures w14:val="none"/>
        </w:rPr>
        <w:fldChar w:fldCharType="separate"/>
      </w:r>
      <w:r w:rsidRPr="00752F19">
        <w:rPr>
          <w:rFonts w:ascii="Calibri" w:eastAsia="Calibri" w:hAnsi="Calibri" w:cs="Times New Roman"/>
          <w:i/>
          <w:iCs/>
          <w:noProof/>
          <w:color w:val="44546A"/>
          <w:kern w:val="0"/>
          <w:sz w:val="18"/>
          <w:szCs w:val="18"/>
          <w14:ligatures w14:val="none"/>
        </w:rPr>
        <w:t>9</w:t>
      </w:r>
      <w:r w:rsidRPr="00752F19">
        <w:rPr>
          <w:rFonts w:ascii="Calibri" w:eastAsia="Calibri" w:hAnsi="Calibri" w:cs="Times New Roman"/>
          <w:i/>
          <w:iCs/>
          <w:color w:val="44546A"/>
          <w:kern w:val="0"/>
          <w:sz w:val="18"/>
          <w:szCs w:val="18"/>
          <w14:ligatures w14:val="none"/>
        </w:rPr>
        <w:fldChar w:fldCharType="end"/>
      </w:r>
      <w:r w:rsidRPr="00752F19">
        <w:rPr>
          <w:rFonts w:ascii="Calibri" w:eastAsia="Calibri" w:hAnsi="Calibri" w:cs="Times New Roman"/>
          <w:b/>
          <w:bCs/>
          <w:i/>
          <w:iCs/>
          <w:color w:val="44546A"/>
          <w:kern w:val="0"/>
          <w:sz w:val="18"/>
          <w:szCs w:val="18"/>
          <w14:ligatures w14:val="none"/>
        </w:rPr>
        <w:t>: Firewall rule metadata confirming enforcement, ownership, and validation</w:t>
      </w:r>
    </w:p>
    <w:p w14:paraId="36376D26" w14:textId="77777777" w:rsidR="00752F19" w:rsidRPr="00D2254C" w:rsidRDefault="00752F19" w:rsidP="00D2254C">
      <w:pPr>
        <w:spacing w:line="360" w:lineRule="auto"/>
        <w:jc w:val="both"/>
        <w:rPr>
          <w:rFonts w:ascii="Times New Roman" w:hAnsi="Times New Roman" w:cs="Times New Roman"/>
        </w:rPr>
      </w:pPr>
    </w:p>
    <w:p w14:paraId="15698068" w14:textId="2655845E" w:rsidR="005249EE" w:rsidRPr="00D2254C" w:rsidRDefault="009E25AA" w:rsidP="009E25AA">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6</w:t>
      </w:r>
      <w:r>
        <w:fldChar w:fldCharType="end"/>
      </w:r>
      <w:r w:rsidR="005249EE" w:rsidRPr="00D2254C">
        <w:rPr>
          <w:rFonts w:ascii="Times New Roman" w:hAnsi="Times New Roman" w:cs="Times New Roman"/>
          <w:sz w:val="24"/>
          <w:szCs w:val="24"/>
        </w:rPr>
        <w:t xml:space="preserve">: SmartConsole Security Policy rule base showing explicit allow rules above explicit deny rules with logging enabled </w:t>
      </w:r>
    </w:p>
    <w:p w14:paraId="5E5FCE6B"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ICMP traffic was allowed for diagnostic communication only between trusted internal subnets to support legitimate troubleshooting, whereas ICMP traffic from untrusted networks was blocked. This configuration lessened risks of network reconnaissance and mapping exploits, usually conducted using ICMP probes. HTTP and HTTPS traffic were allowed wherever they were necessary for business operations, but inbound web access was restricted only to designated published services so as to avoid unnecessary exposure of internal systems. </w:t>
      </w:r>
    </w:p>
    <w:p w14:paraId="45F0DF3C"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Administrative access using SSH was tightly restricted by allowing connections only from an approved administrative workstation or subnet to the gateway and servers. SSH traffic from </w:t>
      </w:r>
      <w:r w:rsidRPr="00D2254C">
        <w:rPr>
          <w:rFonts w:ascii="Times New Roman" w:hAnsi="Times New Roman" w:cs="Times New Roman"/>
        </w:rPr>
        <w:lastRenderedPageBreak/>
        <w:t>general user networks was explicitly denied, significantly mitigating the threat of brute-force attacks and unauthorized configuration access. Inbound and outbound flow for legacy protocols such as FTP and Telnet was denied owing to their use of clear-text authentication and being highly susceptible to interception and credential theft. These protocols would only be considered for use in exceptional scenarios of legacy nature, with stringent host-level scoping and heightened monitoring.</w:t>
      </w:r>
    </w:p>
    <w:p w14:paraId="44B0E3C7"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The effectiveness of the firewall rules was tested under controlled conditions with resulting traffic events being logged in SmartConsole. Figure 9 shows log entries confirming the allowed traffic was permitted and the denied traffic was blocked as per policy. The logs thus provide tangible evidence of enforcement of ICMP, SSH, HTTP/HTTPS, FTP, and Telnet traffic. </w:t>
      </w:r>
    </w:p>
    <w:p w14:paraId="511F211C" w14:textId="23AE6039" w:rsidR="005249EE" w:rsidRPr="00D2254C" w:rsidRDefault="00D2254C" w:rsidP="00D2254C">
      <w:pPr>
        <w:spacing w:line="360" w:lineRule="auto"/>
        <w:jc w:val="both"/>
        <w:rPr>
          <w:rFonts w:ascii="Times New Roman" w:hAnsi="Times New Roman" w:cs="Times New Roman"/>
        </w:rPr>
      </w:pPr>
      <w:r w:rsidRPr="00D2254C">
        <w:rPr>
          <w:rFonts w:ascii="Times New Roman" w:hAnsi="Times New Roman" w:cs="Times New Roman"/>
          <w:noProof/>
        </w:rPr>
        <w:drawing>
          <wp:inline distT="0" distB="0" distL="0" distR="0" wp14:anchorId="132EAD36" wp14:editId="7AA423B7">
            <wp:extent cx="5943600" cy="3256915"/>
            <wp:effectExtent l="0" t="0" r="0" b="635"/>
            <wp:docPr id="13621100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256915"/>
                    </a:xfrm>
                    <a:prstGeom prst="rect">
                      <a:avLst/>
                    </a:prstGeom>
                    <a:noFill/>
                    <a:ln>
                      <a:noFill/>
                    </a:ln>
                  </pic:spPr>
                </pic:pic>
              </a:graphicData>
            </a:graphic>
          </wp:inline>
        </w:drawing>
      </w:r>
    </w:p>
    <w:p w14:paraId="43281185" w14:textId="70703306" w:rsidR="005249EE" w:rsidRPr="00D2254C" w:rsidRDefault="009E25AA" w:rsidP="009E25AA">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7</w:t>
      </w:r>
      <w:r>
        <w:fldChar w:fldCharType="end"/>
      </w:r>
      <w:r w:rsidR="005249EE" w:rsidRPr="00D2254C">
        <w:rPr>
          <w:rFonts w:ascii="Times New Roman" w:hAnsi="Times New Roman" w:cs="Times New Roman"/>
          <w:sz w:val="24"/>
          <w:szCs w:val="24"/>
        </w:rPr>
        <w:t>: SmartConsole Logs &amp; Monitor view showing logged allow and deny events for ICMP, SSH, HTTP/HTTPS, FTP, and Telnet traffic</w:t>
      </w:r>
    </w:p>
    <w:p w14:paraId="4379D336" w14:textId="12C63CCE" w:rsidR="00A10C5D" w:rsidRDefault="005249EE" w:rsidP="00D2254C">
      <w:pPr>
        <w:spacing w:line="360" w:lineRule="auto"/>
        <w:jc w:val="both"/>
        <w:rPr>
          <w:rFonts w:ascii="Times New Roman" w:hAnsi="Times New Roman" w:cs="Times New Roman"/>
        </w:rPr>
      </w:pPr>
      <w:r w:rsidRPr="00D2254C">
        <w:rPr>
          <w:rFonts w:ascii="Times New Roman" w:hAnsi="Times New Roman" w:cs="Times New Roman"/>
        </w:rPr>
        <w:t>rom an enterprise security angle, the existence of such logging on the firewall is non-negotiable. ENISA states that firewall logs are at the foundation of the security telemetry supporting real-time monitoring, anomaly detection, and post-incident forensic investigation (ENISA, 2023). Consistency and clarity of log entries certify that the firewall is enforcing the policy—a good indication, as opposed to being in mere static or theoretical configuration</w:t>
      </w:r>
      <w:r w:rsidR="00A10C5D" w:rsidRPr="00A10C5D">
        <w:rPr>
          <w:rFonts w:ascii="Times New Roman" w:hAnsi="Times New Roman" w:cs="Times New Roman"/>
        </w:rPr>
        <w:t>.</w:t>
      </w:r>
    </w:p>
    <w:p w14:paraId="4DFD21E3" w14:textId="77777777" w:rsidR="00752F19" w:rsidRPr="00752F19" w:rsidRDefault="00752F19" w:rsidP="00752F19">
      <w:pPr>
        <w:spacing w:line="360" w:lineRule="auto"/>
        <w:jc w:val="both"/>
        <w:rPr>
          <w:rFonts w:ascii="Arial" w:eastAsia="Calibri" w:hAnsi="Arial" w:cs="Arial"/>
          <w:kern w:val="0"/>
          <w14:ligatures w14:val="none"/>
        </w:rPr>
      </w:pPr>
    </w:p>
    <w:p w14:paraId="0309DF5B" w14:textId="77777777" w:rsidR="00752F19" w:rsidRPr="00752F19" w:rsidRDefault="00752F19" w:rsidP="00752F19">
      <w:pPr>
        <w:spacing w:line="360" w:lineRule="auto"/>
        <w:jc w:val="both"/>
        <w:rPr>
          <w:rFonts w:ascii="Arial" w:eastAsia="Calibri" w:hAnsi="Arial" w:cs="Arial"/>
          <w:kern w:val="0"/>
          <w14:ligatures w14:val="none"/>
        </w:rPr>
      </w:pPr>
      <w:r w:rsidRPr="00752F19">
        <w:rPr>
          <w:rFonts w:ascii="Arial" w:eastAsia="Calibri" w:hAnsi="Arial" w:cs="Arial"/>
          <w:noProof/>
          <w:kern w:val="0"/>
          <w14:ligatures w14:val="none"/>
        </w:rPr>
        <w:drawing>
          <wp:inline distT="0" distB="0" distL="0" distR="0" wp14:anchorId="7C638973" wp14:editId="36551F72">
            <wp:extent cx="3733800" cy="2638425"/>
            <wp:effectExtent l="0" t="0" r="0" b="9525"/>
            <wp:docPr id="2" name="Picture 2" descr="C:\Users\Admin\OneDrive\Desktop\use of AI\IMG-20251217-WA00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Admin\OneDrive\Desktop\use of AI\IMG-20251217-WA0088.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3303" t="6087" r="23867" b="9598"/>
                    <a:stretch/>
                  </pic:blipFill>
                  <pic:spPr bwMode="auto">
                    <a:xfrm>
                      <a:off x="0" y="0"/>
                      <a:ext cx="3734385" cy="2638838"/>
                    </a:xfrm>
                    <a:prstGeom prst="rect">
                      <a:avLst/>
                    </a:prstGeom>
                    <a:noFill/>
                    <a:ln>
                      <a:noFill/>
                    </a:ln>
                    <a:extLst>
                      <a:ext uri="{53640926-AAD7-44D8-BBD7-CCE9431645EC}">
                        <a14:shadowObscured xmlns:a14="http://schemas.microsoft.com/office/drawing/2010/main"/>
                      </a:ext>
                    </a:extLst>
                  </pic:spPr>
                </pic:pic>
              </a:graphicData>
            </a:graphic>
          </wp:inline>
        </w:drawing>
      </w:r>
    </w:p>
    <w:p w14:paraId="2CCA4A07" w14:textId="77777777" w:rsidR="00752F19" w:rsidRPr="00752F19" w:rsidRDefault="00752F19" w:rsidP="00752F19">
      <w:pPr>
        <w:spacing w:after="200" w:line="240" w:lineRule="auto"/>
        <w:rPr>
          <w:rFonts w:ascii="Arial" w:eastAsia="Calibri" w:hAnsi="Arial" w:cs="Arial"/>
          <w:i/>
          <w:iCs/>
          <w:color w:val="44546A"/>
          <w:kern w:val="0"/>
          <w14:ligatures w14:val="none"/>
        </w:rPr>
      </w:pPr>
      <w:r w:rsidRPr="00752F19">
        <w:rPr>
          <w:rFonts w:ascii="Calibri" w:eastAsia="Calibri" w:hAnsi="Calibri" w:cs="Times New Roman"/>
          <w:i/>
          <w:iCs/>
          <w:color w:val="44546A"/>
          <w:kern w:val="0"/>
          <w:sz w:val="18"/>
          <w:szCs w:val="18"/>
          <w14:ligatures w14:val="none"/>
        </w:rPr>
        <w:t xml:space="preserve">Figure </w:t>
      </w:r>
      <w:r w:rsidRPr="00752F19">
        <w:rPr>
          <w:rFonts w:ascii="Calibri" w:eastAsia="Calibri" w:hAnsi="Calibri" w:cs="Times New Roman"/>
          <w:i/>
          <w:iCs/>
          <w:color w:val="44546A"/>
          <w:kern w:val="0"/>
          <w:sz w:val="18"/>
          <w:szCs w:val="18"/>
          <w14:ligatures w14:val="none"/>
        </w:rPr>
        <w:fldChar w:fldCharType="begin"/>
      </w:r>
      <w:r w:rsidRPr="00752F19">
        <w:rPr>
          <w:rFonts w:ascii="Calibri" w:eastAsia="Calibri" w:hAnsi="Calibri" w:cs="Times New Roman"/>
          <w:i/>
          <w:iCs/>
          <w:color w:val="44546A"/>
          <w:kern w:val="0"/>
          <w:sz w:val="18"/>
          <w:szCs w:val="18"/>
          <w14:ligatures w14:val="none"/>
        </w:rPr>
        <w:instrText xml:space="preserve"> SEQ Figure \* ARABIC </w:instrText>
      </w:r>
      <w:r w:rsidRPr="00752F19">
        <w:rPr>
          <w:rFonts w:ascii="Calibri" w:eastAsia="Calibri" w:hAnsi="Calibri" w:cs="Times New Roman"/>
          <w:i/>
          <w:iCs/>
          <w:color w:val="44546A"/>
          <w:kern w:val="0"/>
          <w:sz w:val="18"/>
          <w:szCs w:val="18"/>
          <w14:ligatures w14:val="none"/>
        </w:rPr>
        <w:fldChar w:fldCharType="separate"/>
      </w:r>
      <w:r w:rsidRPr="00752F19">
        <w:rPr>
          <w:rFonts w:ascii="Calibri" w:eastAsia="Calibri" w:hAnsi="Calibri" w:cs="Times New Roman"/>
          <w:i/>
          <w:iCs/>
          <w:noProof/>
          <w:color w:val="44546A"/>
          <w:kern w:val="0"/>
          <w:sz w:val="18"/>
          <w:szCs w:val="18"/>
          <w14:ligatures w14:val="none"/>
        </w:rPr>
        <w:t>10</w:t>
      </w:r>
      <w:r w:rsidRPr="00752F19">
        <w:rPr>
          <w:rFonts w:ascii="Calibri" w:eastAsia="Calibri" w:hAnsi="Calibri" w:cs="Times New Roman"/>
          <w:i/>
          <w:iCs/>
          <w:noProof/>
          <w:color w:val="44546A"/>
          <w:kern w:val="0"/>
          <w:sz w:val="18"/>
          <w:szCs w:val="18"/>
          <w14:ligatures w14:val="none"/>
        </w:rPr>
        <w:fldChar w:fldCharType="end"/>
      </w:r>
      <w:r w:rsidRPr="00752F19">
        <w:rPr>
          <w:rFonts w:ascii="Arial" w:eastAsia="Calibri" w:hAnsi="Arial" w:cs="Arial"/>
          <w:i/>
          <w:iCs/>
          <w:color w:val="44546A"/>
          <w:kern w:val="0"/>
          <w14:ligatures w14:val="none"/>
        </w:rPr>
        <w:t>: SmartConsole – Firewall Rule Base (Outbound rules)</w:t>
      </w:r>
    </w:p>
    <w:p w14:paraId="6786A936" w14:textId="77777777" w:rsidR="00752F19" w:rsidRPr="00752F19" w:rsidRDefault="00752F19" w:rsidP="00752F19">
      <w:pPr>
        <w:spacing w:line="259" w:lineRule="auto"/>
        <w:rPr>
          <w:rFonts w:ascii="Calibri" w:eastAsia="Calibri" w:hAnsi="Calibri" w:cs="Times New Roman"/>
          <w:kern w:val="0"/>
          <w:sz w:val="22"/>
          <w:szCs w:val="22"/>
          <w14:ligatures w14:val="none"/>
        </w:rPr>
      </w:pPr>
      <w:r w:rsidRPr="00752F19">
        <w:rPr>
          <w:rFonts w:ascii="Calibri" w:eastAsia="Calibri" w:hAnsi="Calibri" w:cs="Times New Roman"/>
          <w:noProof/>
          <w:kern w:val="0"/>
          <w:sz w:val="22"/>
          <w:szCs w:val="22"/>
          <w14:ligatures w14:val="none"/>
        </w:rPr>
        <w:drawing>
          <wp:inline distT="0" distB="0" distL="0" distR="0" wp14:anchorId="4EA035EA" wp14:editId="73412AB8">
            <wp:extent cx="5733908" cy="3408680"/>
            <wp:effectExtent l="0" t="0" r="635" b="1270"/>
            <wp:docPr id="3" name="Picture 3" descr="C:\Users\Admin\OneDrive\Desktop\use of AI\New folder\Screenshot 2025-12-17 at 03.44.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OneDrive\Desktop\use of AI\New folder\Screenshot 2025-12-17 at 03.44.55.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200" r="3505" b="5305"/>
                    <a:stretch/>
                  </pic:blipFill>
                  <pic:spPr bwMode="auto">
                    <a:xfrm>
                      <a:off x="0" y="0"/>
                      <a:ext cx="5735255" cy="3409481"/>
                    </a:xfrm>
                    <a:prstGeom prst="rect">
                      <a:avLst/>
                    </a:prstGeom>
                    <a:noFill/>
                    <a:ln>
                      <a:noFill/>
                    </a:ln>
                    <a:extLst>
                      <a:ext uri="{53640926-AAD7-44D8-BBD7-CCE9431645EC}">
                        <a14:shadowObscured xmlns:a14="http://schemas.microsoft.com/office/drawing/2010/main"/>
                      </a:ext>
                    </a:extLst>
                  </pic:spPr>
                </pic:pic>
              </a:graphicData>
            </a:graphic>
          </wp:inline>
        </w:drawing>
      </w:r>
    </w:p>
    <w:p w14:paraId="34167614" w14:textId="77777777" w:rsidR="00752F19" w:rsidRPr="00752F19" w:rsidRDefault="00752F19" w:rsidP="00752F19">
      <w:pPr>
        <w:spacing w:after="200" w:line="240" w:lineRule="auto"/>
        <w:rPr>
          <w:rFonts w:ascii="Calibri" w:eastAsia="Calibri" w:hAnsi="Calibri" w:cs="Times New Roman"/>
          <w:b/>
          <w:bCs/>
          <w:i/>
          <w:iCs/>
          <w:color w:val="44546A"/>
          <w:kern w:val="0"/>
          <w:sz w:val="18"/>
          <w:szCs w:val="18"/>
          <w14:ligatures w14:val="none"/>
        </w:rPr>
      </w:pPr>
      <w:r w:rsidRPr="00752F19">
        <w:rPr>
          <w:rFonts w:ascii="Calibri" w:eastAsia="Calibri" w:hAnsi="Calibri" w:cs="Times New Roman"/>
          <w:i/>
          <w:iCs/>
          <w:color w:val="44546A"/>
          <w:kern w:val="0"/>
          <w:sz w:val="18"/>
          <w:szCs w:val="18"/>
          <w14:ligatures w14:val="none"/>
        </w:rPr>
        <w:t xml:space="preserve">Figure </w:t>
      </w:r>
      <w:r w:rsidRPr="00752F19">
        <w:rPr>
          <w:rFonts w:ascii="Calibri" w:eastAsia="Calibri" w:hAnsi="Calibri" w:cs="Times New Roman"/>
          <w:i/>
          <w:iCs/>
          <w:color w:val="44546A"/>
          <w:kern w:val="0"/>
          <w:sz w:val="18"/>
          <w:szCs w:val="18"/>
          <w14:ligatures w14:val="none"/>
        </w:rPr>
        <w:fldChar w:fldCharType="begin"/>
      </w:r>
      <w:r w:rsidRPr="00752F19">
        <w:rPr>
          <w:rFonts w:ascii="Calibri" w:eastAsia="Calibri" w:hAnsi="Calibri" w:cs="Times New Roman"/>
          <w:i/>
          <w:iCs/>
          <w:color w:val="44546A"/>
          <w:kern w:val="0"/>
          <w:sz w:val="18"/>
          <w:szCs w:val="18"/>
          <w14:ligatures w14:val="none"/>
        </w:rPr>
        <w:instrText xml:space="preserve"> SEQ Figure \* ARABIC </w:instrText>
      </w:r>
      <w:r w:rsidRPr="00752F19">
        <w:rPr>
          <w:rFonts w:ascii="Calibri" w:eastAsia="Calibri" w:hAnsi="Calibri" w:cs="Times New Roman"/>
          <w:i/>
          <w:iCs/>
          <w:color w:val="44546A"/>
          <w:kern w:val="0"/>
          <w:sz w:val="18"/>
          <w:szCs w:val="18"/>
          <w14:ligatures w14:val="none"/>
        </w:rPr>
        <w:fldChar w:fldCharType="separate"/>
      </w:r>
      <w:r w:rsidRPr="00752F19">
        <w:rPr>
          <w:rFonts w:ascii="Calibri" w:eastAsia="Calibri" w:hAnsi="Calibri" w:cs="Times New Roman"/>
          <w:i/>
          <w:iCs/>
          <w:noProof/>
          <w:color w:val="44546A"/>
          <w:kern w:val="0"/>
          <w:sz w:val="18"/>
          <w:szCs w:val="18"/>
          <w14:ligatures w14:val="none"/>
        </w:rPr>
        <w:t>11</w:t>
      </w:r>
      <w:r w:rsidRPr="00752F19">
        <w:rPr>
          <w:rFonts w:ascii="Calibri" w:eastAsia="Calibri" w:hAnsi="Calibri" w:cs="Times New Roman"/>
          <w:i/>
          <w:iCs/>
          <w:color w:val="44546A"/>
          <w:kern w:val="0"/>
          <w:sz w:val="18"/>
          <w:szCs w:val="18"/>
          <w14:ligatures w14:val="none"/>
        </w:rPr>
        <w:fldChar w:fldCharType="end"/>
      </w:r>
      <w:r w:rsidRPr="00752F19">
        <w:rPr>
          <w:rFonts w:ascii="Calibri" w:eastAsia="Calibri" w:hAnsi="Calibri" w:cs="Times New Roman"/>
          <w:b/>
          <w:bCs/>
          <w:i/>
          <w:iCs/>
          <w:color w:val="44546A"/>
          <w:kern w:val="0"/>
          <w:sz w:val="18"/>
          <w:szCs w:val="18"/>
          <w14:ligatures w14:val="none"/>
        </w:rPr>
        <w:t>: Network object definition for controlled outbound destination (London Domain Server)</w:t>
      </w:r>
    </w:p>
    <w:p w14:paraId="5CBCA199" w14:textId="77777777" w:rsidR="00752F19" w:rsidRPr="00752F19" w:rsidRDefault="00752F19" w:rsidP="00752F19">
      <w:pPr>
        <w:spacing w:line="259" w:lineRule="auto"/>
        <w:rPr>
          <w:rFonts w:ascii="Calibri" w:eastAsia="Calibri" w:hAnsi="Calibri" w:cs="Times New Roman"/>
          <w:kern w:val="0"/>
          <w:sz w:val="22"/>
          <w:szCs w:val="22"/>
          <w14:ligatures w14:val="none"/>
        </w:rPr>
      </w:pPr>
      <w:r w:rsidRPr="00752F19">
        <w:rPr>
          <w:rFonts w:ascii="Calibri" w:eastAsia="Calibri" w:hAnsi="Calibri" w:cs="Times New Roman"/>
          <w:noProof/>
          <w:kern w:val="0"/>
          <w:sz w:val="22"/>
          <w:szCs w:val="22"/>
          <w14:ligatures w14:val="none"/>
        </w:rPr>
        <w:lastRenderedPageBreak/>
        <w:drawing>
          <wp:inline distT="0" distB="0" distL="0" distR="0" wp14:anchorId="2610D772" wp14:editId="6F25FAF7">
            <wp:extent cx="5893435" cy="3309453"/>
            <wp:effectExtent l="0" t="0" r="0" b="5715"/>
            <wp:docPr id="4" name="Picture 4" descr="C:\Users\Admin\OneDrive\Desktop\use of AI\New folder\Screenshot 2025-12-17 at 03.44.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OneDrive\Desktop\use of AI\New folder\Screenshot 2025-12-17 at 03.44.55.p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535" r="829" b="6642"/>
                    <a:stretch/>
                  </pic:blipFill>
                  <pic:spPr bwMode="auto">
                    <a:xfrm>
                      <a:off x="0" y="0"/>
                      <a:ext cx="5894298" cy="3309938"/>
                    </a:xfrm>
                    <a:prstGeom prst="rect">
                      <a:avLst/>
                    </a:prstGeom>
                    <a:noFill/>
                    <a:ln>
                      <a:noFill/>
                    </a:ln>
                    <a:extLst>
                      <a:ext uri="{53640926-AAD7-44D8-BBD7-CCE9431645EC}">
                        <a14:shadowObscured xmlns:a14="http://schemas.microsoft.com/office/drawing/2010/main"/>
                      </a:ext>
                    </a:extLst>
                  </pic:spPr>
                </pic:pic>
              </a:graphicData>
            </a:graphic>
          </wp:inline>
        </w:drawing>
      </w:r>
    </w:p>
    <w:p w14:paraId="4B905D99" w14:textId="77777777" w:rsidR="00752F19" w:rsidRPr="00752F19" w:rsidRDefault="00752F19" w:rsidP="00752F19">
      <w:pPr>
        <w:spacing w:after="200" w:line="240" w:lineRule="auto"/>
        <w:rPr>
          <w:rFonts w:ascii="Calibri" w:eastAsia="Calibri" w:hAnsi="Calibri" w:cs="Times New Roman"/>
          <w:i/>
          <w:iCs/>
          <w:color w:val="44546A"/>
          <w:kern w:val="0"/>
          <w:sz w:val="18"/>
          <w:szCs w:val="18"/>
          <w14:ligatures w14:val="none"/>
        </w:rPr>
      </w:pPr>
      <w:r w:rsidRPr="00752F19">
        <w:rPr>
          <w:rFonts w:ascii="Calibri" w:eastAsia="Calibri" w:hAnsi="Calibri" w:cs="Times New Roman"/>
          <w:i/>
          <w:iCs/>
          <w:color w:val="44546A"/>
          <w:kern w:val="0"/>
          <w:sz w:val="18"/>
          <w:szCs w:val="18"/>
          <w14:ligatures w14:val="none"/>
        </w:rPr>
        <w:t xml:space="preserve">Figure </w:t>
      </w:r>
      <w:r w:rsidRPr="00752F19">
        <w:rPr>
          <w:rFonts w:ascii="Calibri" w:eastAsia="Calibri" w:hAnsi="Calibri" w:cs="Times New Roman"/>
          <w:i/>
          <w:iCs/>
          <w:color w:val="44546A"/>
          <w:kern w:val="0"/>
          <w:sz w:val="18"/>
          <w:szCs w:val="18"/>
          <w14:ligatures w14:val="none"/>
        </w:rPr>
        <w:fldChar w:fldCharType="begin"/>
      </w:r>
      <w:r w:rsidRPr="00752F19">
        <w:rPr>
          <w:rFonts w:ascii="Calibri" w:eastAsia="Calibri" w:hAnsi="Calibri" w:cs="Times New Roman"/>
          <w:i/>
          <w:iCs/>
          <w:color w:val="44546A"/>
          <w:kern w:val="0"/>
          <w:sz w:val="18"/>
          <w:szCs w:val="18"/>
          <w14:ligatures w14:val="none"/>
        </w:rPr>
        <w:instrText xml:space="preserve"> SEQ Figure \* ARABIC </w:instrText>
      </w:r>
      <w:r w:rsidRPr="00752F19">
        <w:rPr>
          <w:rFonts w:ascii="Calibri" w:eastAsia="Calibri" w:hAnsi="Calibri" w:cs="Times New Roman"/>
          <w:i/>
          <w:iCs/>
          <w:color w:val="44546A"/>
          <w:kern w:val="0"/>
          <w:sz w:val="18"/>
          <w:szCs w:val="18"/>
          <w14:ligatures w14:val="none"/>
        </w:rPr>
        <w:fldChar w:fldCharType="separate"/>
      </w:r>
      <w:r w:rsidRPr="00752F19">
        <w:rPr>
          <w:rFonts w:ascii="Calibri" w:eastAsia="Calibri" w:hAnsi="Calibri" w:cs="Times New Roman"/>
          <w:i/>
          <w:iCs/>
          <w:noProof/>
          <w:color w:val="44546A"/>
          <w:kern w:val="0"/>
          <w:sz w:val="18"/>
          <w:szCs w:val="18"/>
          <w14:ligatures w14:val="none"/>
        </w:rPr>
        <w:t>12</w:t>
      </w:r>
      <w:r w:rsidRPr="00752F19">
        <w:rPr>
          <w:rFonts w:ascii="Calibri" w:eastAsia="Calibri" w:hAnsi="Calibri" w:cs="Times New Roman"/>
          <w:i/>
          <w:iCs/>
          <w:color w:val="44546A"/>
          <w:kern w:val="0"/>
          <w:sz w:val="18"/>
          <w:szCs w:val="18"/>
          <w14:ligatures w14:val="none"/>
        </w:rPr>
        <w:fldChar w:fldCharType="end"/>
      </w:r>
      <w:r w:rsidRPr="00752F19">
        <w:rPr>
          <w:rFonts w:ascii="Calibri" w:eastAsia="Calibri" w:hAnsi="Calibri" w:cs="Times New Roman"/>
          <w:b/>
          <w:bCs/>
          <w:i/>
          <w:iCs/>
          <w:color w:val="44546A"/>
          <w:kern w:val="0"/>
          <w:sz w:val="18"/>
          <w:szCs w:val="18"/>
          <w14:ligatures w14:val="none"/>
        </w:rPr>
        <w:t>: Firewall rule base showing outbound traffic control and default deny cleanup rule</w:t>
      </w:r>
    </w:p>
    <w:p w14:paraId="5A176401" w14:textId="77777777" w:rsidR="00752F19" w:rsidRPr="00A10C5D" w:rsidRDefault="00752F19" w:rsidP="00D2254C">
      <w:pPr>
        <w:spacing w:line="360" w:lineRule="auto"/>
        <w:jc w:val="both"/>
        <w:rPr>
          <w:rFonts w:ascii="Times New Roman" w:hAnsi="Times New Roman" w:cs="Times New Roman"/>
        </w:rPr>
      </w:pPr>
    </w:p>
    <w:p w14:paraId="5F290922"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Justification and critical evaluation</w:t>
      </w:r>
    </w:p>
    <w:p w14:paraId="445047E7"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The implemented firewall controls reduce the enterprise attack surface considerably by minimizing exposed services, blocking insecure legacy protocols, and restricting administrative access paths. In limiting outbound traffic, the policy also curtails the ability of compromised internal systems to communicate externally, thereby enhancing the damage limitation possibility of malware infections or misuse by insiders. These control measures meet corporate security policy expectations held across the board and are supported by best practice.</w:t>
      </w:r>
    </w:p>
    <w:p w14:paraId="56E33605"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Nonetheless, firewall rules alone cannot address all threats to the enterprise. Insiders, encrypted traffic, and sophisticated application-layer attacks can easily bypass traditional port and protocol-based filtering mechanisms. This limitation accentuates the need for complementary controls such as intrusion prevention and application-aware inspection, which we will discuss later in the report. The firewall policy outlined in this task remains the pillar of security, providing a robust baseline that aligns with standards in protecting the enterprise network. </w:t>
      </w:r>
    </w:p>
    <w:p w14:paraId="659C3422" w14:textId="0B8C9FE7" w:rsidR="005249EE" w:rsidRPr="00D2254C" w:rsidRDefault="005249EE" w:rsidP="00D2254C">
      <w:pPr>
        <w:pStyle w:val="Heading1"/>
      </w:pPr>
      <w:bookmarkStart w:id="10" w:name="_Toc216874083"/>
      <w:r w:rsidRPr="00D2254C">
        <w:lastRenderedPageBreak/>
        <w:t>4. Security Features That Were Added in Accordance With Standards</w:t>
      </w:r>
      <w:bookmarkEnd w:id="10"/>
      <w:r w:rsidRPr="00D2254C">
        <w:t xml:space="preserve"> </w:t>
      </w:r>
    </w:p>
    <w:p w14:paraId="3488DFC8" w14:textId="77777777" w:rsidR="005249EE" w:rsidRPr="00D2254C" w:rsidRDefault="005249EE" w:rsidP="00D2254C">
      <w:pPr>
        <w:pStyle w:val="Heading2"/>
      </w:pPr>
      <w:bookmarkStart w:id="11" w:name="_Toc216874084"/>
      <w:r w:rsidRPr="00D2254C">
        <w:t>4.1 Proposed improvements and rationale</w:t>
      </w:r>
      <w:bookmarkEnd w:id="11"/>
    </w:p>
    <w:p w14:paraId="01FDD6EC"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While a thoughtfully devised firewall policy provides a very basic form of protection, in the contemporary enterprise threat environment, other security mechanisms need to be in place to address the attacks that intentionally seek to evade traditional port and protocol filtering. Modern-day adversaries routinely deliver malware, establish command-and-control channels, and exfiltrate data through HTTP and HTTPS, thus rendering any form of access control insufficient by itself. Therefore, additional security features were proposed where feasible within the laboratory environment, taking a defence-in-depth approach in accordance with recognized industry standards and Check Point best practice.</w:t>
      </w:r>
    </w:p>
    <w:p w14:paraId="022AD85B"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A central improvement in this architecture is the use of an Intrusion Prevention System (IPS) integrated directly into the security gate. IPS technology allows for real-time inspection of network traffic to detect and block known exploit signatures, protocol violations, and anomalous behaviours before they can reach an internal system. This becomes critical in enterprise environments, where the presence of exploitable vulnerabilities within internal systems may be caused by the existence of legacy systems, procrastinated patching, or third-party services. NIST SP 800-94 identifies intrusion prevention systems as a critical control in addressing network-based attacks that circumvent access controls, especially zero-day exploits and automated scanning activity (NIST, 2023). By deploying IPS at the gateway, the security architecture is enhanced from basic traffic filtering into proactive threat-avoidance mechanisms. </w:t>
      </w:r>
    </w:p>
    <w:p w14:paraId="40BACC84"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In addition to IPS, identity-aware security controls were factored into the enhanced security design. Identity Awareness allows security policies concerning firewall rules and others to be enforced based on user identity or group, rather than just IP address. This is especially important in enterprise networks where all three conditions of dynamic addressing, shared devices, and remote access are usually met. In such an environment, IP-based controls can often be bypassed or rendered irrelevant. Identity-centred enforcement aligns security decisions with business roles and responsibilities, improving both the accuracy of protection and the relevance of policy. Due to the </w:t>
      </w:r>
      <w:r w:rsidRPr="00D2254C">
        <w:rPr>
          <w:rFonts w:ascii="Times New Roman" w:hAnsi="Times New Roman" w:cs="Times New Roman"/>
        </w:rPr>
        <w:lastRenderedPageBreak/>
        <w:t xml:space="preserve">shortcomings of static network identifiers, identity-aware access control is increasingly becoming an integral part of network security architectures (ISO/IEC, 2022). </w:t>
      </w:r>
    </w:p>
    <w:p w14:paraId="5944A9EE"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Application Control and URL Filtering were also incorporated as proposed enhancements to mitigate risk from web-based threats and the use of unapproved applications. These controls allow traffic inspection/classification based on application type and web category, not just by port number. These functionalities will help enforce acceptable-use policies and reduce exposure to high-risk applications, malicious websites, and non-business activities that can user malware into the enterprise network. ENISA states that application-layer controls are fundamental to combatting the increasing use of encrypted and evasive attack techniques that traditional firewalls are unable to reliably detect (ENISA, 2023). </w:t>
      </w:r>
    </w:p>
    <w:p w14:paraId="26D27963" w14:textId="0B28A126" w:rsidR="00A10C5D" w:rsidRPr="00A10C5D" w:rsidRDefault="005249EE" w:rsidP="00D2254C">
      <w:pPr>
        <w:spacing w:line="360" w:lineRule="auto"/>
        <w:jc w:val="both"/>
        <w:rPr>
          <w:rFonts w:ascii="Times New Roman" w:hAnsi="Times New Roman" w:cs="Times New Roman"/>
        </w:rPr>
      </w:pPr>
      <w:r w:rsidRPr="00D2254C">
        <w:rPr>
          <w:rFonts w:ascii="Times New Roman" w:hAnsi="Times New Roman" w:cs="Times New Roman"/>
        </w:rPr>
        <w:t>These enhancements, taken together, reflect a layered approach to security that acknowledges the limitations of perimeter-only defenses. Instead of relying on one control for its entire security posture, the architecture incorporates access controls, threat prevention, identity context, and application awareness to enhance detection capabilities and lower the chance of a successful compromise. This directly relates to the brief's recommendation of deploying advanced features that have been supported by official guidelines and industry standard</w:t>
      </w:r>
      <w:r w:rsidR="00A10C5D" w:rsidRPr="00A10C5D">
        <w:rPr>
          <w:rFonts w:ascii="Times New Roman" w:hAnsi="Times New Roman" w:cs="Times New Roman"/>
        </w:rPr>
        <w:t>.</w:t>
      </w:r>
    </w:p>
    <w:p w14:paraId="19815FA7" w14:textId="77777777" w:rsidR="005249EE" w:rsidRPr="00D2254C" w:rsidRDefault="005249EE" w:rsidP="00D2254C">
      <w:pPr>
        <w:pStyle w:val="Heading2"/>
      </w:pPr>
      <w:bookmarkStart w:id="12" w:name="_Toc216874085"/>
      <w:r w:rsidRPr="00D2254C">
        <w:t>4.2 Enabling evidence capabilities and gateways</w:t>
      </w:r>
      <w:bookmarkEnd w:id="12"/>
      <w:r w:rsidRPr="00D2254C">
        <w:t xml:space="preserve"> </w:t>
      </w:r>
    </w:p>
    <w:p w14:paraId="133F53ED"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The establishment and viability of these additional security features are buttressed by a visit to the GAIA Portal in Security Gateway. Correspondingly, this is confirmed by the view of the security blades housed under GAIA, as the advanced protection features include Intrusion Prevention System (IPS), Application Control, URL Filtering, and Identity Awareness on the deployed gateway. This confirms that the gateway is not just a basic firewall, but it has technical capabilities for advanced, standards-aligned security enforcement.</w:t>
      </w:r>
    </w:p>
    <w:p w14:paraId="52465253" w14:textId="57B0AFE4" w:rsidR="005249EE" w:rsidRPr="00D2254C" w:rsidRDefault="00D2254C" w:rsidP="00D2254C">
      <w:pPr>
        <w:spacing w:line="360" w:lineRule="auto"/>
        <w:jc w:val="both"/>
        <w:rPr>
          <w:rFonts w:ascii="Times New Roman" w:hAnsi="Times New Roman" w:cs="Times New Roman"/>
        </w:rPr>
      </w:pPr>
      <w:r w:rsidRPr="00D2254C">
        <w:rPr>
          <w:rFonts w:ascii="Times New Roman" w:hAnsi="Times New Roman" w:cs="Times New Roman"/>
          <w:noProof/>
        </w:rPr>
        <w:lastRenderedPageBreak/>
        <w:drawing>
          <wp:inline distT="0" distB="0" distL="0" distR="0" wp14:anchorId="7B8A9854" wp14:editId="3DA88D34">
            <wp:extent cx="5943600" cy="4138295"/>
            <wp:effectExtent l="0" t="0" r="0" b="0"/>
            <wp:docPr id="15493153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138295"/>
                    </a:xfrm>
                    <a:prstGeom prst="rect">
                      <a:avLst/>
                    </a:prstGeom>
                    <a:noFill/>
                    <a:ln>
                      <a:noFill/>
                    </a:ln>
                  </pic:spPr>
                </pic:pic>
              </a:graphicData>
            </a:graphic>
          </wp:inline>
        </w:drawing>
      </w:r>
    </w:p>
    <w:p w14:paraId="7F835ECB" w14:textId="1D010114" w:rsidR="005249EE" w:rsidRPr="00D2254C" w:rsidRDefault="009E25AA" w:rsidP="009E25AA">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8</w:t>
      </w:r>
      <w:r>
        <w:fldChar w:fldCharType="end"/>
      </w:r>
      <w:r w:rsidR="005249EE" w:rsidRPr="00D2254C">
        <w:rPr>
          <w:rFonts w:ascii="Times New Roman" w:hAnsi="Times New Roman" w:cs="Times New Roman"/>
          <w:sz w:val="24"/>
          <w:szCs w:val="24"/>
        </w:rPr>
        <w:t>: A-GW GAIA portal security blades list showing the presence of IPS, Application Control, URL Filtering, and Identity Awareness.</w:t>
      </w:r>
    </w:p>
    <w:p w14:paraId="2A4C930A"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From a critical perspective, the availability of those blades is highly significant-it enables security controls to be enabled and fine-tuned in response to evolving threats without needing additional hardware or architectural redesign. Attackers usually bypass such firewall rules by putting malicious activities into allowed channels, especially encrypted web traffic. Thus, even if a communication is allowed, there is still a possibility of blocking any malicious payload, exploit attempt, or application violation through the IPS and application-layer controls, which provide a second layer of defense through the inspection of traffic content and behavior.</w:t>
      </w:r>
    </w:p>
    <w:p w14:paraId="56B1BD06"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However, we must also acknowledge the operational challenges that accompany advanced security features. While IPS and application inspection improve security, they can slow down performance and sometimes, create false alarms, and hence must be keenly configured and maintained. This is because, when deploying these controls, there should be continuous monitoring and adjustment of rules to define alignment with business requirements to avoid hindering legitimate traffic. Despite </w:t>
      </w:r>
      <w:r w:rsidRPr="00D2254C">
        <w:rPr>
          <w:rFonts w:ascii="Times New Roman" w:hAnsi="Times New Roman" w:cs="Times New Roman"/>
        </w:rPr>
        <w:lastRenderedPageBreak/>
        <w:t xml:space="preserve">having those considerations, the benefit of enhanced visibility and proactive threat prevention outweighs such risks in enterprise environments, especially when these controls are consolidated into a centrally managed security platform of Check Point GAIA. </w:t>
      </w:r>
    </w:p>
    <w:p w14:paraId="491DF9E8"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Incorporation of IPS, identity-aware controls, and application-layer enforcement necessitates a definite transition from a traditional firewall-centric security policy to a modern-layered enterprise defense model. These improvements affect a fundamental shortcoming in port-based filtering and improve the network's detection, prevention, and response capabilities towards sophisticated attacks. With advanced features, however, careful management must balance their efficacy with usability, while integrating them into this deployment demonstrates high alignment with acknowledged standards, industry best practices, and the objectives of the assessment task.</w:t>
      </w:r>
    </w:p>
    <w:p w14:paraId="1E091CB7" w14:textId="77777777" w:rsidR="005249EE" w:rsidRPr="00D2254C" w:rsidRDefault="005249EE" w:rsidP="00D2254C">
      <w:pPr>
        <w:pStyle w:val="Heading2"/>
      </w:pPr>
      <w:bookmarkStart w:id="13" w:name="_Toc216874086"/>
      <w:r w:rsidRPr="00D2254C">
        <w:t>5. Conclusion</w:t>
      </w:r>
      <w:bookmarkEnd w:id="13"/>
      <w:r w:rsidRPr="00D2254C">
        <w:t xml:space="preserve"> </w:t>
      </w:r>
    </w:p>
    <w:p w14:paraId="5E9F4D61"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This demonstration of Part 2 implements and validates an effective enterprise-grade network security architecture under Check Point technologies that has been designed and deployed. It showed the building of a centralized security structure within the enterprise topology by integrating a dedicated Security Gateway (A-GW) and Security Management Server (A-SMS) Reliability through SmartConsole means centralized management, consistent enforcement of policy, unified logging, and governance-influence improvement. With GAIA Portal and service-level checks, it is also confirmed that both management and enforcement components are operationally ready and stable. </w:t>
      </w:r>
    </w:p>
    <w:p w14:paraId="20686539"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 xml:space="preserve">The firewall policy as implemented in this task embodies the principles of enterprise security best practice in having least privilege as principle and explicit control of both inward and outward traffic. The firewall policy enforces the exposure of services, tightly limited administrative access, and outbound controls that reduce attack surface and defend against common threats such as unauthorized access, credential interception, and malware command-and-control communication. These explicit rules for ICMP, FTP, HTTP, Telnet, and SSH with log evidence of allow and deny actions not just indicate that the configuration is right, but also active and verifiable policy enforcement. </w:t>
      </w:r>
    </w:p>
    <w:p w14:paraId="5FFFED28" w14:textId="77777777" w:rsidR="005249EE" w:rsidRPr="00D2254C" w:rsidRDefault="005249EE" w:rsidP="00D2254C">
      <w:pPr>
        <w:spacing w:line="360" w:lineRule="auto"/>
        <w:jc w:val="both"/>
        <w:rPr>
          <w:rFonts w:ascii="Times New Roman" w:hAnsi="Times New Roman" w:cs="Times New Roman"/>
        </w:rPr>
      </w:pPr>
      <w:r w:rsidRPr="00D2254C">
        <w:rPr>
          <w:rFonts w:ascii="Times New Roman" w:hAnsi="Times New Roman" w:cs="Times New Roman"/>
        </w:rPr>
        <w:t>In addition to being a mere firewall solution, the deployment makes use of those advanced security capabilities made available in the Check Point ecosystem, viz intrusion prevention and application-</w:t>
      </w:r>
      <w:r w:rsidRPr="00D2254C">
        <w:rPr>
          <w:rFonts w:ascii="Times New Roman" w:hAnsi="Times New Roman" w:cs="Times New Roman"/>
        </w:rPr>
        <w:lastRenderedPageBreak/>
        <w:t xml:space="preserve">layer controls. Usage of port-based filtering is enabled to be complemented with deeper inspection capabilities and contextual awareness to improve resilience against sophisticated attacks which exploit allowed services and encrypted traffic. Though this controls require tuning and continuous management to balance the effectiveness of security with performance, their availability and integration greatly boost the overall security posture. </w:t>
      </w:r>
    </w:p>
    <w:p w14:paraId="355E6B70" w14:textId="783A133C" w:rsidR="00A10C5D" w:rsidRPr="00A10C5D" w:rsidRDefault="005249EE" w:rsidP="00D2254C">
      <w:pPr>
        <w:spacing w:line="360" w:lineRule="auto"/>
        <w:jc w:val="both"/>
        <w:rPr>
          <w:rFonts w:ascii="Times New Roman" w:hAnsi="Times New Roman" w:cs="Times New Roman"/>
        </w:rPr>
      </w:pPr>
      <w:r w:rsidRPr="00D2254C">
        <w:rPr>
          <w:rFonts w:ascii="Times New Roman" w:hAnsi="Times New Roman" w:cs="Times New Roman"/>
        </w:rPr>
        <w:t>In summary, this Part 2 submission will present a defensible, standards-aligned enterprise network security implementation that integrates centralized management with least-privilege access control, comprehensive logging, and layered threat prevention. The environment has full evidence through validated screenshots and is prepared for live demonstration and hence clearly meets the technical and analytical requirements of the ACCA7032 assessment brief.</w:t>
      </w:r>
      <w:r w:rsidR="00A10C5D" w:rsidRPr="00A10C5D">
        <w:rPr>
          <w:rFonts w:ascii="Times New Roman" w:hAnsi="Times New Roman" w:cs="Times New Roman"/>
        </w:rPr>
        <w:t>.</w:t>
      </w:r>
    </w:p>
    <w:p w14:paraId="571C7106" w14:textId="77777777" w:rsidR="003473E7" w:rsidRPr="00D2254C" w:rsidRDefault="003473E7" w:rsidP="00D2254C">
      <w:pPr>
        <w:spacing w:line="360" w:lineRule="auto"/>
        <w:jc w:val="both"/>
        <w:rPr>
          <w:rFonts w:ascii="Times New Roman" w:hAnsi="Times New Roman" w:cs="Times New Roman"/>
        </w:rPr>
      </w:pPr>
    </w:p>
    <w:p w14:paraId="50324A3E" w14:textId="77777777" w:rsidR="005249EE" w:rsidRPr="00D2254C" w:rsidRDefault="005249EE" w:rsidP="00D2254C">
      <w:pPr>
        <w:spacing w:line="360" w:lineRule="auto"/>
        <w:jc w:val="both"/>
        <w:rPr>
          <w:rFonts w:ascii="Times New Roman" w:hAnsi="Times New Roman" w:cs="Times New Roman"/>
        </w:rPr>
      </w:pPr>
    </w:p>
    <w:p w14:paraId="0AF20012" w14:textId="77777777" w:rsidR="005249EE" w:rsidRPr="00D2254C" w:rsidRDefault="005249EE" w:rsidP="00D2254C">
      <w:pPr>
        <w:spacing w:line="360" w:lineRule="auto"/>
        <w:jc w:val="both"/>
        <w:rPr>
          <w:rFonts w:ascii="Times New Roman" w:hAnsi="Times New Roman" w:cs="Times New Roman"/>
        </w:rPr>
      </w:pPr>
    </w:p>
    <w:p w14:paraId="065F6172" w14:textId="77777777" w:rsidR="005249EE" w:rsidRPr="00D2254C" w:rsidRDefault="005249EE" w:rsidP="00D2254C">
      <w:pPr>
        <w:spacing w:line="360" w:lineRule="auto"/>
        <w:jc w:val="both"/>
        <w:rPr>
          <w:rFonts w:ascii="Times New Roman" w:hAnsi="Times New Roman" w:cs="Times New Roman"/>
        </w:rPr>
      </w:pPr>
    </w:p>
    <w:p w14:paraId="76C453E6" w14:textId="77777777" w:rsidR="005249EE" w:rsidRPr="005249EE" w:rsidRDefault="005249EE" w:rsidP="00D2254C">
      <w:pPr>
        <w:pStyle w:val="Heading1"/>
      </w:pPr>
      <w:bookmarkStart w:id="14" w:name="_Toc216874087"/>
      <w:r w:rsidRPr="005249EE">
        <w:t>References</w:t>
      </w:r>
      <w:bookmarkEnd w:id="14"/>
    </w:p>
    <w:p w14:paraId="64D39ED4" w14:textId="33FA125D"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Check Point Software Technologies Ltd. (2024) </w:t>
      </w:r>
      <w:r w:rsidRPr="005249EE">
        <w:rPr>
          <w:rFonts w:ascii="Times New Roman" w:hAnsi="Times New Roman" w:cs="Times New Roman"/>
          <w:i/>
          <w:iCs/>
        </w:rPr>
        <w:t>Check Point R81.20 Administration Guide</w:t>
      </w:r>
      <w:r w:rsidRPr="005249EE">
        <w:rPr>
          <w:rFonts w:ascii="Times New Roman" w:hAnsi="Times New Roman" w:cs="Times New Roman"/>
        </w:rPr>
        <w:t>. Available at:</w:t>
      </w:r>
      <w:r w:rsidRPr="005249EE">
        <w:rPr>
          <w:rFonts w:ascii="Times New Roman" w:hAnsi="Times New Roman" w:cs="Times New Roman"/>
        </w:rPr>
        <w:br/>
      </w:r>
      <w:hyperlink r:id="rId18" w:history="1">
        <w:r w:rsidRPr="005249EE">
          <w:rPr>
            <w:rStyle w:val="Hyperlink"/>
            <w:rFonts w:ascii="Times New Roman" w:hAnsi="Times New Roman" w:cs="Times New Roman"/>
          </w:rPr>
          <w:t>https://sc1.checkpoint.com/documents/R81.20/WebAdminGuides/EN/CP_R81.20_AdministrationGuide/Default.htm</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25812A05" w14:textId="6C1BFAA7"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Check Point Software Technologies Ltd. (2024) </w:t>
      </w:r>
      <w:r w:rsidRPr="005249EE">
        <w:rPr>
          <w:rFonts w:ascii="Times New Roman" w:hAnsi="Times New Roman" w:cs="Times New Roman"/>
          <w:i/>
          <w:iCs/>
        </w:rPr>
        <w:t>Security Gateway and Threat Prevention Overview</w:t>
      </w:r>
      <w:r w:rsidRPr="005249EE">
        <w:rPr>
          <w:rFonts w:ascii="Times New Roman" w:hAnsi="Times New Roman" w:cs="Times New Roman"/>
        </w:rPr>
        <w:t>. Available at:</w:t>
      </w:r>
      <w:r w:rsidRPr="005249EE">
        <w:rPr>
          <w:rFonts w:ascii="Times New Roman" w:hAnsi="Times New Roman" w:cs="Times New Roman"/>
        </w:rPr>
        <w:br/>
      </w:r>
      <w:hyperlink r:id="rId19" w:history="1">
        <w:r w:rsidRPr="005249EE">
          <w:rPr>
            <w:rStyle w:val="Hyperlink"/>
            <w:rFonts w:ascii="Times New Roman" w:hAnsi="Times New Roman" w:cs="Times New Roman"/>
          </w:rPr>
          <w:t>https://www.checkpoint.com/products/security-gateway/</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6735D715" w14:textId="26648FEE"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Check Point Software Technologies Ltd. (2024) </w:t>
      </w:r>
      <w:r w:rsidRPr="005249EE">
        <w:rPr>
          <w:rFonts w:ascii="Times New Roman" w:hAnsi="Times New Roman" w:cs="Times New Roman"/>
          <w:i/>
          <w:iCs/>
        </w:rPr>
        <w:t>SmartConsole Management and Policy Configuration</w:t>
      </w:r>
      <w:r w:rsidRPr="005249EE">
        <w:rPr>
          <w:rFonts w:ascii="Times New Roman" w:hAnsi="Times New Roman" w:cs="Times New Roman"/>
        </w:rPr>
        <w:t>. Available at:</w:t>
      </w:r>
      <w:r w:rsidRPr="005249EE">
        <w:rPr>
          <w:rFonts w:ascii="Times New Roman" w:hAnsi="Times New Roman" w:cs="Times New Roman"/>
        </w:rPr>
        <w:br/>
      </w:r>
      <w:hyperlink r:id="rId20" w:history="1">
        <w:r w:rsidRPr="005249EE">
          <w:rPr>
            <w:rStyle w:val="Hyperlink"/>
            <w:rFonts w:ascii="Times New Roman" w:hAnsi="Times New Roman" w:cs="Times New Roman"/>
          </w:rPr>
          <w:t>https://support.checkpoint.com/results/sk/sk102333</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17893598" w14:textId="53FE68A4"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ENISA (European Union Agency for Cybersecurity) (2023) </w:t>
      </w:r>
      <w:r w:rsidRPr="005249EE">
        <w:rPr>
          <w:rFonts w:ascii="Times New Roman" w:hAnsi="Times New Roman" w:cs="Times New Roman"/>
          <w:i/>
          <w:iCs/>
        </w:rPr>
        <w:t>ENISA Threat Landscape 2023</w:t>
      </w:r>
      <w:r w:rsidRPr="005249EE">
        <w:rPr>
          <w:rFonts w:ascii="Times New Roman" w:hAnsi="Times New Roman" w:cs="Times New Roman"/>
        </w:rPr>
        <w:t>. Available at:</w:t>
      </w:r>
      <w:r w:rsidRPr="005249EE">
        <w:rPr>
          <w:rFonts w:ascii="Times New Roman" w:hAnsi="Times New Roman" w:cs="Times New Roman"/>
        </w:rPr>
        <w:br/>
      </w:r>
      <w:hyperlink r:id="rId21" w:tgtFrame="_new" w:history="1">
        <w:r w:rsidRPr="005249EE">
          <w:rPr>
            <w:rStyle w:val="Hyperlink"/>
            <w:rFonts w:ascii="Times New Roman" w:hAnsi="Times New Roman" w:cs="Times New Roman"/>
          </w:rPr>
          <w:t>https://www.enisa.europa.eu/publications/enisa-threat-landscape-2023</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05D9D074" w14:textId="08640B45"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ENISA (European Union Agency for Cybersecurity) (2023) </w:t>
      </w:r>
      <w:r w:rsidRPr="005249EE">
        <w:rPr>
          <w:rFonts w:ascii="Times New Roman" w:hAnsi="Times New Roman" w:cs="Times New Roman"/>
          <w:i/>
          <w:iCs/>
        </w:rPr>
        <w:t>Network Security Best Practices</w:t>
      </w:r>
      <w:r w:rsidRPr="005249EE">
        <w:rPr>
          <w:rFonts w:ascii="Times New Roman" w:hAnsi="Times New Roman" w:cs="Times New Roman"/>
        </w:rPr>
        <w:t>. Available at:</w:t>
      </w:r>
      <w:r w:rsidRPr="005249EE">
        <w:rPr>
          <w:rFonts w:ascii="Times New Roman" w:hAnsi="Times New Roman" w:cs="Times New Roman"/>
        </w:rPr>
        <w:br/>
      </w:r>
      <w:hyperlink r:id="rId22" w:history="1">
        <w:r w:rsidRPr="005249EE">
          <w:rPr>
            <w:rStyle w:val="Hyperlink"/>
            <w:rFonts w:ascii="Times New Roman" w:hAnsi="Times New Roman" w:cs="Times New Roman"/>
          </w:rPr>
          <w:t>https://www.enisa.europa.eu/topics/csirt-cert-services/network-security</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101EA984" w14:textId="5A1724B6"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ISO/IEC (2022) </w:t>
      </w:r>
      <w:r w:rsidRPr="005249EE">
        <w:rPr>
          <w:rFonts w:ascii="Times New Roman" w:hAnsi="Times New Roman" w:cs="Times New Roman"/>
          <w:i/>
          <w:iCs/>
        </w:rPr>
        <w:t>ISO/IEC 27033-1: Network security — Overview and concepts</w:t>
      </w:r>
      <w:r w:rsidRPr="005249EE">
        <w:rPr>
          <w:rFonts w:ascii="Times New Roman" w:hAnsi="Times New Roman" w:cs="Times New Roman"/>
        </w:rPr>
        <w:t>. Geneva: International Organization for Standardization. Available at:</w:t>
      </w:r>
      <w:r w:rsidRPr="005249EE">
        <w:rPr>
          <w:rFonts w:ascii="Times New Roman" w:hAnsi="Times New Roman" w:cs="Times New Roman"/>
        </w:rPr>
        <w:br/>
      </w:r>
      <w:hyperlink r:id="rId23" w:history="1">
        <w:r w:rsidRPr="005249EE">
          <w:rPr>
            <w:rStyle w:val="Hyperlink"/>
            <w:rFonts w:ascii="Times New Roman" w:hAnsi="Times New Roman" w:cs="Times New Roman"/>
          </w:rPr>
          <w:t>https://www.iso.org/standard/80509.html</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0359E959" w14:textId="4425F210"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ISO/IEC (2022) </w:t>
      </w:r>
      <w:r w:rsidRPr="005249EE">
        <w:rPr>
          <w:rFonts w:ascii="Times New Roman" w:hAnsi="Times New Roman" w:cs="Times New Roman"/>
          <w:i/>
          <w:iCs/>
        </w:rPr>
        <w:t>ISO/IEC 27033-3: Network security — Reference networking scenarios</w:t>
      </w:r>
      <w:r w:rsidRPr="005249EE">
        <w:rPr>
          <w:rFonts w:ascii="Times New Roman" w:hAnsi="Times New Roman" w:cs="Times New Roman"/>
        </w:rPr>
        <w:t>. Geneva: International Organization for Standardization. Available at:</w:t>
      </w:r>
      <w:r w:rsidRPr="005249EE">
        <w:rPr>
          <w:rFonts w:ascii="Times New Roman" w:hAnsi="Times New Roman" w:cs="Times New Roman"/>
        </w:rPr>
        <w:br/>
      </w:r>
      <w:hyperlink r:id="rId24" w:history="1">
        <w:r w:rsidRPr="005249EE">
          <w:rPr>
            <w:rStyle w:val="Hyperlink"/>
            <w:rFonts w:ascii="Times New Roman" w:hAnsi="Times New Roman" w:cs="Times New Roman"/>
          </w:rPr>
          <w:t>https://www.iso.org/standard/80511.html</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2B59BE3F" w14:textId="57D785EF"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ISO/IEC (2022) </w:t>
      </w:r>
      <w:r w:rsidRPr="005249EE">
        <w:rPr>
          <w:rFonts w:ascii="Times New Roman" w:hAnsi="Times New Roman" w:cs="Times New Roman"/>
          <w:i/>
          <w:iCs/>
        </w:rPr>
        <w:t>ISO/IEC 27001: Information security management systems — Requirements</w:t>
      </w:r>
      <w:r w:rsidRPr="005249EE">
        <w:rPr>
          <w:rFonts w:ascii="Times New Roman" w:hAnsi="Times New Roman" w:cs="Times New Roman"/>
        </w:rPr>
        <w:t>. Geneva: International Organization for Standardization. Available at:</w:t>
      </w:r>
      <w:r w:rsidRPr="005249EE">
        <w:rPr>
          <w:rFonts w:ascii="Times New Roman" w:hAnsi="Times New Roman" w:cs="Times New Roman"/>
        </w:rPr>
        <w:br/>
      </w:r>
      <w:hyperlink r:id="rId25" w:tgtFrame="_new" w:history="1">
        <w:r w:rsidRPr="005249EE">
          <w:rPr>
            <w:rStyle w:val="Hyperlink"/>
            <w:rFonts w:ascii="Times New Roman" w:hAnsi="Times New Roman" w:cs="Times New Roman"/>
          </w:rPr>
          <w:t>https://www.iso.org/standard/27001</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2CE4323B" w14:textId="1C9398F3"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NIST (National Institute of Standards and Technology) (2022) </w:t>
      </w:r>
      <w:r w:rsidRPr="005249EE">
        <w:rPr>
          <w:rFonts w:ascii="Times New Roman" w:hAnsi="Times New Roman" w:cs="Times New Roman"/>
          <w:i/>
          <w:iCs/>
        </w:rPr>
        <w:t>SP 800-53 Rev. 5: Security and Privacy Controls for Information Systems and Organizations</w:t>
      </w:r>
      <w:r w:rsidRPr="005249EE">
        <w:rPr>
          <w:rFonts w:ascii="Times New Roman" w:hAnsi="Times New Roman" w:cs="Times New Roman"/>
        </w:rPr>
        <w:t>. Gaithersburg, MD: NIST. Available at:</w:t>
      </w:r>
      <w:r w:rsidRPr="005249EE">
        <w:rPr>
          <w:rFonts w:ascii="Times New Roman" w:hAnsi="Times New Roman" w:cs="Times New Roman"/>
        </w:rPr>
        <w:br/>
      </w:r>
      <w:hyperlink r:id="rId26" w:history="1">
        <w:r w:rsidRPr="005249EE">
          <w:rPr>
            <w:rStyle w:val="Hyperlink"/>
            <w:rFonts w:ascii="Times New Roman" w:hAnsi="Times New Roman" w:cs="Times New Roman"/>
          </w:rPr>
          <w:t>https://csrc.nist.gov/publications/detail/sp/800-53/rev-5/final</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4967D5E1" w14:textId="5D443660"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NIST (National Institute of Standards and Technology) (2023) </w:t>
      </w:r>
      <w:r w:rsidRPr="005249EE">
        <w:rPr>
          <w:rFonts w:ascii="Times New Roman" w:hAnsi="Times New Roman" w:cs="Times New Roman"/>
          <w:i/>
          <w:iCs/>
        </w:rPr>
        <w:t>SP 800-41 Rev. 1: Guidelines on Firewalls and Firewall Policy</w:t>
      </w:r>
      <w:r w:rsidRPr="005249EE">
        <w:rPr>
          <w:rFonts w:ascii="Times New Roman" w:hAnsi="Times New Roman" w:cs="Times New Roman"/>
        </w:rPr>
        <w:t>. Gaithersburg, MD: NIST. Available at:</w:t>
      </w:r>
      <w:r w:rsidRPr="005249EE">
        <w:rPr>
          <w:rFonts w:ascii="Times New Roman" w:hAnsi="Times New Roman" w:cs="Times New Roman"/>
        </w:rPr>
        <w:br/>
      </w:r>
      <w:hyperlink r:id="rId27" w:history="1">
        <w:r w:rsidRPr="005249EE">
          <w:rPr>
            <w:rStyle w:val="Hyperlink"/>
            <w:rFonts w:ascii="Times New Roman" w:hAnsi="Times New Roman" w:cs="Times New Roman"/>
          </w:rPr>
          <w:t>https://csrc.nist.gov/publications/detail/sp/800-41/rev-1/final</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2F84E76A" w14:textId="0C860719"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NIST (National Institute of Standards and Technology) (2023) </w:t>
      </w:r>
      <w:r w:rsidRPr="005249EE">
        <w:rPr>
          <w:rFonts w:ascii="Times New Roman" w:hAnsi="Times New Roman" w:cs="Times New Roman"/>
          <w:i/>
          <w:iCs/>
        </w:rPr>
        <w:t>SP 800-94: Guide to Intrusion Detection and Prevention Systems (IDPS)</w:t>
      </w:r>
      <w:r w:rsidRPr="005249EE">
        <w:rPr>
          <w:rFonts w:ascii="Times New Roman" w:hAnsi="Times New Roman" w:cs="Times New Roman"/>
        </w:rPr>
        <w:t>. Gaithersburg, MD: NIST. Available at:</w:t>
      </w:r>
      <w:r w:rsidRPr="005249EE">
        <w:rPr>
          <w:rFonts w:ascii="Times New Roman" w:hAnsi="Times New Roman" w:cs="Times New Roman"/>
        </w:rPr>
        <w:br/>
      </w:r>
      <w:hyperlink r:id="rId28" w:history="1">
        <w:r w:rsidRPr="005249EE">
          <w:rPr>
            <w:rStyle w:val="Hyperlink"/>
            <w:rFonts w:ascii="Times New Roman" w:hAnsi="Times New Roman" w:cs="Times New Roman"/>
          </w:rPr>
          <w:t>https://csrc.nist.gov/publications/detail/sp/800-94/final</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18AE9CB6" w14:textId="5D627DCB"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Scarfone, K. and Hoffman, P. (2009) </w:t>
      </w:r>
      <w:r w:rsidRPr="005249EE">
        <w:rPr>
          <w:rFonts w:ascii="Times New Roman" w:hAnsi="Times New Roman" w:cs="Times New Roman"/>
          <w:i/>
          <w:iCs/>
        </w:rPr>
        <w:t>Guidelines on Firewalls and Firewall Policy</w:t>
      </w:r>
      <w:r w:rsidRPr="005249EE">
        <w:rPr>
          <w:rFonts w:ascii="Times New Roman" w:hAnsi="Times New Roman" w:cs="Times New Roman"/>
        </w:rPr>
        <w:t>. NIST SP 800-41. Available at:</w:t>
      </w:r>
      <w:r w:rsidRPr="005249EE">
        <w:rPr>
          <w:rFonts w:ascii="Times New Roman" w:hAnsi="Times New Roman" w:cs="Times New Roman"/>
        </w:rPr>
        <w:br/>
      </w:r>
      <w:hyperlink r:id="rId29" w:history="1">
        <w:r w:rsidRPr="005249EE">
          <w:rPr>
            <w:rStyle w:val="Hyperlink"/>
            <w:rFonts w:ascii="Times New Roman" w:hAnsi="Times New Roman" w:cs="Times New Roman"/>
          </w:rPr>
          <w:t>https://csrc.nist.gov/publications/detail/sp/800-41/final</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7DBEA55D" w14:textId="7CA190FF"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lastRenderedPageBreak/>
        <w:t xml:space="preserve">Stallings, W. (2023) </w:t>
      </w:r>
      <w:r w:rsidRPr="005249EE">
        <w:rPr>
          <w:rFonts w:ascii="Times New Roman" w:hAnsi="Times New Roman" w:cs="Times New Roman"/>
          <w:i/>
          <w:iCs/>
        </w:rPr>
        <w:t>Network Security Essentials: Applications and Standards</w:t>
      </w:r>
      <w:r w:rsidRPr="005249EE">
        <w:rPr>
          <w:rFonts w:ascii="Times New Roman" w:hAnsi="Times New Roman" w:cs="Times New Roman"/>
        </w:rPr>
        <w:t>. 7th edn. Harlow: Pearson Education. Available at:</w:t>
      </w:r>
      <w:r w:rsidRPr="005249EE">
        <w:rPr>
          <w:rFonts w:ascii="Times New Roman" w:hAnsi="Times New Roman" w:cs="Times New Roman"/>
        </w:rPr>
        <w:br/>
      </w:r>
      <w:hyperlink r:id="rId30" w:history="1">
        <w:r w:rsidRPr="005249EE">
          <w:rPr>
            <w:rStyle w:val="Hyperlink"/>
            <w:rFonts w:ascii="Times New Roman" w:hAnsi="Times New Roman" w:cs="Times New Roman"/>
          </w:rPr>
          <w:t>https://www.pearson.com/en-gb/subject-catalog/p/network-security-essentials/P200000003215</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15DAEA48" w14:textId="63EDD6F1"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Behl, A. and Behl, K. (2017) </w:t>
      </w:r>
      <w:r w:rsidRPr="005249EE">
        <w:rPr>
          <w:rFonts w:ascii="Times New Roman" w:hAnsi="Times New Roman" w:cs="Times New Roman"/>
          <w:i/>
          <w:iCs/>
        </w:rPr>
        <w:t>Cyberwar: The Next Threat to National Security and What to Do About It</w:t>
      </w:r>
      <w:r w:rsidRPr="005249EE">
        <w:rPr>
          <w:rFonts w:ascii="Times New Roman" w:hAnsi="Times New Roman" w:cs="Times New Roman"/>
        </w:rPr>
        <w:t>. Oxford: Oxford University Press. Available at:</w:t>
      </w:r>
      <w:r w:rsidRPr="005249EE">
        <w:rPr>
          <w:rFonts w:ascii="Times New Roman" w:hAnsi="Times New Roman" w:cs="Times New Roman"/>
        </w:rPr>
        <w:br/>
      </w:r>
      <w:hyperlink r:id="rId31" w:history="1">
        <w:r w:rsidRPr="005249EE">
          <w:rPr>
            <w:rStyle w:val="Hyperlink"/>
            <w:rFonts w:ascii="Times New Roman" w:hAnsi="Times New Roman" w:cs="Times New Roman"/>
          </w:rPr>
          <w:t>https://global.oup.com/academic/product/cyberwar-9780190652396</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0A5A8BA0" w14:textId="40151622" w:rsidR="005249EE" w:rsidRPr="005249EE" w:rsidRDefault="005249EE" w:rsidP="00D2254C">
      <w:pPr>
        <w:spacing w:line="360" w:lineRule="auto"/>
        <w:jc w:val="both"/>
        <w:rPr>
          <w:rFonts w:ascii="Times New Roman" w:hAnsi="Times New Roman" w:cs="Times New Roman"/>
        </w:rPr>
      </w:pPr>
      <w:r w:rsidRPr="005249EE">
        <w:rPr>
          <w:rFonts w:ascii="Times New Roman" w:hAnsi="Times New Roman" w:cs="Times New Roman"/>
        </w:rPr>
        <w:t xml:space="preserve">Shackelford, S.J., Raymond, A. and Larson, A. (2021) ‘Cybersecurity risk management: Approaches and challenges’, </w:t>
      </w:r>
      <w:r w:rsidRPr="005249EE">
        <w:rPr>
          <w:rFonts w:ascii="Times New Roman" w:hAnsi="Times New Roman" w:cs="Times New Roman"/>
          <w:i/>
          <w:iCs/>
        </w:rPr>
        <w:t>Journal of Cybersecurity</w:t>
      </w:r>
      <w:r w:rsidRPr="005249EE">
        <w:rPr>
          <w:rFonts w:ascii="Times New Roman" w:hAnsi="Times New Roman" w:cs="Times New Roman"/>
        </w:rPr>
        <w:t>, 7(1), pp. 1–15. Available at:</w:t>
      </w:r>
      <w:r w:rsidRPr="005249EE">
        <w:rPr>
          <w:rFonts w:ascii="Times New Roman" w:hAnsi="Times New Roman" w:cs="Times New Roman"/>
        </w:rPr>
        <w:br/>
      </w:r>
      <w:hyperlink r:id="rId32" w:history="1">
        <w:r w:rsidRPr="005249EE">
          <w:rPr>
            <w:rStyle w:val="Hyperlink"/>
            <w:rFonts w:ascii="Times New Roman" w:hAnsi="Times New Roman" w:cs="Times New Roman"/>
          </w:rPr>
          <w:t>https://academic.oup.com/cybersecurity/article/7/1/tyab006/6157337</w:t>
        </w:r>
      </w:hyperlink>
      <w:r w:rsidRPr="00D2254C">
        <w:rPr>
          <w:rFonts w:ascii="Times New Roman" w:hAnsi="Times New Roman" w:cs="Times New Roman"/>
        </w:rPr>
        <w:t xml:space="preserve"> </w:t>
      </w:r>
      <w:r w:rsidRPr="005249EE">
        <w:rPr>
          <w:rFonts w:ascii="Times New Roman" w:hAnsi="Times New Roman" w:cs="Times New Roman"/>
        </w:rPr>
        <w:t>(Accessed: 17 December 2025).</w:t>
      </w:r>
    </w:p>
    <w:p w14:paraId="4CDD1A09" w14:textId="4E93A563" w:rsidR="005249EE" w:rsidRDefault="005249EE" w:rsidP="00D2254C">
      <w:pPr>
        <w:spacing w:line="360" w:lineRule="auto"/>
        <w:jc w:val="both"/>
        <w:rPr>
          <w:rFonts w:ascii="Times New Roman" w:hAnsi="Times New Roman" w:cs="Times New Roman"/>
        </w:rPr>
      </w:pPr>
    </w:p>
    <w:p w14:paraId="113CB497" w14:textId="60E8AE5D" w:rsidR="00752F19" w:rsidRDefault="00752F19" w:rsidP="00D2254C">
      <w:pPr>
        <w:spacing w:line="360" w:lineRule="auto"/>
        <w:jc w:val="both"/>
        <w:rPr>
          <w:rFonts w:ascii="Times New Roman" w:hAnsi="Times New Roman" w:cs="Times New Roman"/>
        </w:rPr>
      </w:pPr>
    </w:p>
    <w:p w14:paraId="597617C0" w14:textId="227A0528" w:rsidR="00752F19" w:rsidRDefault="00752F19" w:rsidP="00D2254C">
      <w:pPr>
        <w:spacing w:line="360" w:lineRule="auto"/>
        <w:jc w:val="both"/>
        <w:rPr>
          <w:rFonts w:ascii="Times New Roman" w:hAnsi="Times New Roman" w:cs="Times New Roman"/>
        </w:rPr>
      </w:pPr>
    </w:p>
    <w:p w14:paraId="3E24924B" w14:textId="1C0D1B05" w:rsidR="00752F19" w:rsidRDefault="00752F19" w:rsidP="00D2254C">
      <w:pPr>
        <w:spacing w:line="360" w:lineRule="auto"/>
        <w:jc w:val="both"/>
        <w:rPr>
          <w:rFonts w:ascii="Times New Roman" w:hAnsi="Times New Roman" w:cs="Times New Roman"/>
        </w:rPr>
      </w:pPr>
    </w:p>
    <w:p w14:paraId="3DD24524" w14:textId="46B34401" w:rsidR="00752F19" w:rsidRDefault="00752F19" w:rsidP="00D2254C">
      <w:pPr>
        <w:spacing w:line="360" w:lineRule="auto"/>
        <w:jc w:val="both"/>
        <w:rPr>
          <w:rFonts w:ascii="Times New Roman" w:hAnsi="Times New Roman" w:cs="Times New Roman"/>
        </w:rPr>
      </w:pPr>
    </w:p>
    <w:p w14:paraId="6644B09B" w14:textId="743806C4" w:rsidR="00752F19" w:rsidRDefault="00752F19" w:rsidP="00D2254C">
      <w:pPr>
        <w:spacing w:line="360" w:lineRule="auto"/>
        <w:jc w:val="both"/>
        <w:rPr>
          <w:rFonts w:ascii="Times New Roman" w:hAnsi="Times New Roman" w:cs="Times New Roman"/>
        </w:rPr>
      </w:pPr>
    </w:p>
    <w:p w14:paraId="246892F4" w14:textId="5ADA56F5" w:rsidR="00752F19" w:rsidRDefault="00752F19" w:rsidP="00D2254C">
      <w:pPr>
        <w:spacing w:line="360" w:lineRule="auto"/>
        <w:jc w:val="both"/>
        <w:rPr>
          <w:rFonts w:ascii="Times New Roman" w:hAnsi="Times New Roman" w:cs="Times New Roman"/>
        </w:rPr>
      </w:pPr>
    </w:p>
    <w:p w14:paraId="0546D750" w14:textId="09BED788" w:rsidR="00752F19" w:rsidRDefault="00752F19" w:rsidP="00D2254C">
      <w:pPr>
        <w:spacing w:line="360" w:lineRule="auto"/>
        <w:jc w:val="both"/>
        <w:rPr>
          <w:rFonts w:ascii="Times New Roman" w:hAnsi="Times New Roman" w:cs="Times New Roman"/>
        </w:rPr>
      </w:pPr>
    </w:p>
    <w:p w14:paraId="795F2A1C" w14:textId="52DF6CBB" w:rsidR="00752F19" w:rsidRDefault="00752F19" w:rsidP="00D2254C">
      <w:pPr>
        <w:spacing w:line="360" w:lineRule="auto"/>
        <w:jc w:val="both"/>
        <w:rPr>
          <w:rFonts w:ascii="Times New Roman" w:hAnsi="Times New Roman" w:cs="Times New Roman"/>
        </w:rPr>
      </w:pPr>
    </w:p>
    <w:p w14:paraId="605B25D0" w14:textId="23C67B46" w:rsidR="00752F19" w:rsidRDefault="00752F19" w:rsidP="00D2254C">
      <w:pPr>
        <w:spacing w:line="360" w:lineRule="auto"/>
        <w:jc w:val="both"/>
        <w:rPr>
          <w:rFonts w:ascii="Times New Roman" w:hAnsi="Times New Roman" w:cs="Times New Roman"/>
        </w:rPr>
      </w:pPr>
    </w:p>
    <w:p w14:paraId="1073F6B0" w14:textId="4BCB71A3" w:rsidR="00752F19" w:rsidRDefault="00752F19" w:rsidP="00D2254C">
      <w:pPr>
        <w:spacing w:line="360" w:lineRule="auto"/>
        <w:jc w:val="both"/>
        <w:rPr>
          <w:rFonts w:ascii="Times New Roman" w:hAnsi="Times New Roman" w:cs="Times New Roman"/>
        </w:rPr>
      </w:pPr>
    </w:p>
    <w:p w14:paraId="56D360CA" w14:textId="063518C7" w:rsidR="00752F19" w:rsidRDefault="00752F19" w:rsidP="00D2254C">
      <w:pPr>
        <w:spacing w:line="360" w:lineRule="auto"/>
        <w:jc w:val="both"/>
        <w:rPr>
          <w:rFonts w:ascii="Times New Roman" w:hAnsi="Times New Roman" w:cs="Times New Roman"/>
        </w:rPr>
      </w:pPr>
    </w:p>
    <w:p w14:paraId="478045D3" w14:textId="51122DD5" w:rsidR="00752F19" w:rsidRDefault="00752F19" w:rsidP="00D2254C">
      <w:pPr>
        <w:spacing w:line="360" w:lineRule="auto"/>
        <w:jc w:val="both"/>
        <w:rPr>
          <w:rFonts w:ascii="Times New Roman" w:hAnsi="Times New Roman" w:cs="Times New Roman"/>
        </w:rPr>
      </w:pPr>
    </w:p>
    <w:p w14:paraId="41753393" w14:textId="3527E13E" w:rsidR="00752F19" w:rsidRDefault="00752F19" w:rsidP="00D2254C">
      <w:pPr>
        <w:spacing w:line="360" w:lineRule="auto"/>
        <w:jc w:val="both"/>
        <w:rPr>
          <w:rFonts w:ascii="Times New Roman" w:hAnsi="Times New Roman" w:cs="Times New Roman"/>
        </w:rPr>
      </w:pPr>
      <w:r>
        <w:rPr>
          <w:rFonts w:ascii="Times New Roman" w:hAnsi="Times New Roman" w:cs="Times New Roman"/>
        </w:rPr>
        <w:lastRenderedPageBreak/>
        <w:t xml:space="preserve">Appendix </w:t>
      </w:r>
    </w:p>
    <w:p w14:paraId="7F1BE39B" w14:textId="77777777" w:rsidR="00752F19" w:rsidRDefault="00752F19" w:rsidP="00D2254C">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7B28718" wp14:editId="00C61C29">
            <wp:extent cx="4048125" cy="24288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hatsApp Image 2025-12-17 at 09.57.09.jpeg"/>
                    <pic:cNvPicPr/>
                  </pic:nvPicPr>
                  <pic:blipFill rotWithShape="1">
                    <a:blip r:embed="rId33" cstate="print">
                      <a:extLst>
                        <a:ext uri="{28A0092B-C50C-407E-A947-70E740481C1C}">
                          <a14:useLocalDpi xmlns:a14="http://schemas.microsoft.com/office/drawing/2010/main" val="0"/>
                        </a:ext>
                      </a:extLst>
                    </a:blip>
                    <a:srcRect l="10294" t="1" r="15560" b="11260"/>
                    <a:stretch/>
                  </pic:blipFill>
                  <pic:spPr bwMode="auto">
                    <a:xfrm>
                      <a:off x="0" y="0"/>
                      <a:ext cx="4048125" cy="2428875"/>
                    </a:xfrm>
                    <a:prstGeom prst="rect">
                      <a:avLst/>
                    </a:prstGeom>
                    <a:ln>
                      <a:noFill/>
                    </a:ln>
                    <a:extLst>
                      <a:ext uri="{53640926-AAD7-44D8-BBD7-CCE9431645EC}">
                        <a14:shadowObscured xmlns:a14="http://schemas.microsoft.com/office/drawing/2010/main"/>
                      </a:ext>
                    </a:extLst>
                  </pic:spPr>
                </pic:pic>
              </a:graphicData>
            </a:graphic>
          </wp:inline>
        </w:drawing>
      </w:r>
    </w:p>
    <w:p w14:paraId="08A1D837" w14:textId="77777777" w:rsidR="00752F19" w:rsidRDefault="00752F19" w:rsidP="00D2254C">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E721E42" wp14:editId="418F6CFE">
            <wp:extent cx="4029075" cy="2924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5-12-17 at 09.57.11 (4).jpeg"/>
                    <pic:cNvPicPr/>
                  </pic:nvPicPr>
                  <pic:blipFill rotWithShape="1">
                    <a:blip r:embed="rId10" cstate="print">
                      <a:extLst>
                        <a:ext uri="{28A0092B-C50C-407E-A947-70E740481C1C}">
                          <a14:useLocalDpi xmlns:a14="http://schemas.microsoft.com/office/drawing/2010/main" val="0"/>
                        </a:ext>
                      </a:extLst>
                    </a:blip>
                    <a:srcRect l="8334" r="23877" b="14469"/>
                    <a:stretch/>
                  </pic:blipFill>
                  <pic:spPr bwMode="auto">
                    <a:xfrm>
                      <a:off x="0" y="0"/>
                      <a:ext cx="4029075" cy="2924175"/>
                    </a:xfrm>
                    <a:prstGeom prst="rect">
                      <a:avLst/>
                    </a:prstGeom>
                    <a:ln>
                      <a:noFill/>
                    </a:ln>
                    <a:extLst>
                      <a:ext uri="{53640926-AAD7-44D8-BBD7-CCE9431645EC}">
                        <a14:shadowObscured xmlns:a14="http://schemas.microsoft.com/office/drawing/2010/main"/>
                      </a:ext>
                    </a:extLst>
                  </pic:spPr>
                </pic:pic>
              </a:graphicData>
            </a:graphic>
          </wp:inline>
        </w:drawing>
      </w:r>
    </w:p>
    <w:p w14:paraId="55F8DEF7" w14:textId="524A54BE" w:rsidR="00752F19" w:rsidRDefault="00752F19" w:rsidP="00D2254C">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02B02A03" wp14:editId="3C075B12">
            <wp:extent cx="5419725" cy="37623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hatsApp Image 2025-12-17 at 09.57.11.jpeg"/>
                    <pic:cNvPicPr/>
                  </pic:nvPicPr>
                  <pic:blipFill rotWithShape="1">
                    <a:blip r:embed="rId7">
                      <a:extLst>
                        <a:ext uri="{28A0092B-C50C-407E-A947-70E740481C1C}">
                          <a14:useLocalDpi xmlns:a14="http://schemas.microsoft.com/office/drawing/2010/main" val="0"/>
                        </a:ext>
                      </a:extLst>
                    </a:blip>
                    <a:srcRect r="8814" b="9084"/>
                    <a:stretch/>
                  </pic:blipFill>
                  <pic:spPr bwMode="auto">
                    <a:xfrm>
                      <a:off x="0" y="0"/>
                      <a:ext cx="5419725" cy="3762375"/>
                    </a:xfrm>
                    <a:prstGeom prst="rect">
                      <a:avLst/>
                    </a:prstGeom>
                    <a:ln>
                      <a:noFill/>
                    </a:ln>
                    <a:extLst>
                      <a:ext uri="{53640926-AAD7-44D8-BBD7-CCE9431645EC}">
                        <a14:shadowObscured xmlns:a14="http://schemas.microsoft.com/office/drawing/2010/main"/>
                      </a:ext>
                    </a:extLst>
                  </pic:spPr>
                </pic:pic>
              </a:graphicData>
            </a:graphic>
          </wp:inline>
        </w:drawing>
      </w:r>
    </w:p>
    <w:p w14:paraId="1553E384" w14:textId="524F2802" w:rsidR="00752F19" w:rsidRPr="00D2254C" w:rsidRDefault="00752F19" w:rsidP="00D2254C">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4016C378" wp14:editId="4307EA64">
            <wp:extent cx="5486400" cy="2905125"/>
            <wp:effectExtent l="0" t="0" r="0" b="9525"/>
            <wp:docPr id="10" name="Screenshot (4).png"/>
            <wp:cNvGraphicFramePr/>
            <a:graphic xmlns:a="http://schemas.openxmlformats.org/drawingml/2006/main">
              <a:graphicData uri="http://schemas.openxmlformats.org/drawingml/2006/picture">
                <pic:pic xmlns:pic="http://schemas.openxmlformats.org/drawingml/2006/picture">
                  <pic:nvPicPr>
                    <pic:cNvPr id="10" name="Screenshot (4).png"/>
                    <pic:cNvPicPr/>
                  </pic:nvPicPr>
                  <pic:blipFill rotWithShape="1">
                    <a:blip r:embed="rId34" cstate="print">
                      <a:extLst>
                        <a:ext uri="{28A0092B-C50C-407E-A947-70E740481C1C}">
                          <a14:useLocalDpi xmlns:a14="http://schemas.microsoft.com/office/drawing/2010/main" val="0"/>
                        </a:ext>
                      </a:extLst>
                    </a:blip>
                    <a:srcRect b="5865"/>
                    <a:stretch/>
                  </pic:blipFill>
                  <pic:spPr bwMode="auto">
                    <a:xfrm>
                      <a:off x="0" y="0"/>
                      <a:ext cx="5943600" cy="3147219"/>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rPr>
        <w:drawing>
          <wp:inline distT="0" distB="0" distL="0" distR="0" wp14:anchorId="5DF805EE" wp14:editId="20B7B992">
            <wp:extent cx="5486400" cy="2924175"/>
            <wp:effectExtent l="0" t="0" r="0" b="9525"/>
            <wp:docPr id="11" name="Screenshot (8).png"/>
            <wp:cNvGraphicFramePr/>
            <a:graphic xmlns:a="http://schemas.openxmlformats.org/drawingml/2006/main">
              <a:graphicData uri="http://schemas.openxmlformats.org/drawingml/2006/picture">
                <pic:pic xmlns:pic="http://schemas.openxmlformats.org/drawingml/2006/picture">
                  <pic:nvPicPr>
                    <pic:cNvPr id="11" name="Screenshot (8).png"/>
                    <pic:cNvPicPr/>
                  </pic:nvPicPr>
                  <pic:blipFill rotWithShape="1">
                    <a:blip r:embed="rId35" cstate="print">
                      <a:extLst>
                        <a:ext uri="{28A0092B-C50C-407E-A947-70E740481C1C}">
                          <a14:useLocalDpi xmlns:a14="http://schemas.microsoft.com/office/drawing/2010/main" val="0"/>
                        </a:ext>
                      </a:extLst>
                    </a:blip>
                    <a:srcRect b="5247"/>
                    <a:stretch/>
                  </pic:blipFill>
                  <pic:spPr bwMode="auto">
                    <a:xfrm>
                      <a:off x="0" y="0"/>
                      <a:ext cx="5943600" cy="3167856"/>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rPr>
        <w:lastRenderedPageBreak/>
        <w:drawing>
          <wp:inline distT="0" distB="0" distL="0" distR="0" wp14:anchorId="41BEB8D5" wp14:editId="4CC590A1">
            <wp:extent cx="5486400" cy="3200400"/>
            <wp:effectExtent l="0" t="0" r="0" b="0"/>
            <wp:docPr id="12" name="Screenshot 2025-12-17 at 03.18.35.png"/>
            <wp:cNvGraphicFramePr/>
            <a:graphic xmlns:a="http://schemas.openxmlformats.org/drawingml/2006/main">
              <a:graphicData uri="http://schemas.openxmlformats.org/drawingml/2006/picture">
                <pic:pic xmlns:pic="http://schemas.openxmlformats.org/drawingml/2006/picture">
                  <pic:nvPicPr>
                    <pic:cNvPr id="12" name="Screenshot 2025-12-17 at 03.18.35.png"/>
                    <pic:cNvPicPr/>
                  </pic:nvPicPr>
                  <pic:blipFill rotWithShape="1">
                    <a:blip r:embed="rId36" cstate="print">
                      <a:extLst>
                        <a:ext uri="{28A0092B-C50C-407E-A947-70E740481C1C}">
                          <a14:useLocalDpi xmlns:a14="http://schemas.microsoft.com/office/drawing/2010/main" val="0"/>
                        </a:ext>
                      </a:extLst>
                    </a:blip>
                    <a:srcRect b="28288"/>
                    <a:stretch/>
                  </pic:blipFill>
                  <pic:spPr bwMode="auto">
                    <a:xfrm>
                      <a:off x="0" y="0"/>
                      <a:ext cx="5943600" cy="2671208"/>
                    </a:xfrm>
                    <a:prstGeom prst="rect">
                      <a:avLst/>
                    </a:prstGeom>
                    <a:ln>
                      <a:noFill/>
                    </a:ln>
                    <a:extLst>
                      <a:ext uri="{53640926-AAD7-44D8-BBD7-CCE9431645EC}">
                        <a14:shadowObscured xmlns:a14="http://schemas.microsoft.com/office/drawing/2010/main"/>
                      </a:ext>
                    </a:extLst>
                  </pic:spPr>
                </pic:pic>
              </a:graphicData>
            </a:graphic>
          </wp:inline>
        </w:drawing>
      </w:r>
    </w:p>
    <w:sectPr w:rsidR="00752F19" w:rsidRPr="00D2254C" w:rsidSect="009E25A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87562"/>
    <w:multiLevelType w:val="multilevel"/>
    <w:tmpl w:val="01427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D32C6"/>
    <w:multiLevelType w:val="multilevel"/>
    <w:tmpl w:val="3AF2B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9746D"/>
    <w:multiLevelType w:val="multilevel"/>
    <w:tmpl w:val="8E167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EC274E"/>
    <w:multiLevelType w:val="multilevel"/>
    <w:tmpl w:val="41A4A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605E94"/>
    <w:multiLevelType w:val="multilevel"/>
    <w:tmpl w:val="BACA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6F5C60"/>
    <w:multiLevelType w:val="multilevel"/>
    <w:tmpl w:val="48EE4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E47341"/>
    <w:multiLevelType w:val="multilevel"/>
    <w:tmpl w:val="A84C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878AA"/>
    <w:multiLevelType w:val="multilevel"/>
    <w:tmpl w:val="ED0A2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CE4817"/>
    <w:multiLevelType w:val="multilevel"/>
    <w:tmpl w:val="D100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567607">
    <w:abstractNumId w:val="4"/>
  </w:num>
  <w:num w:numId="2" w16cid:durableId="107509805">
    <w:abstractNumId w:val="8"/>
  </w:num>
  <w:num w:numId="3" w16cid:durableId="1311518855">
    <w:abstractNumId w:val="0"/>
  </w:num>
  <w:num w:numId="4" w16cid:durableId="403842516">
    <w:abstractNumId w:val="5"/>
  </w:num>
  <w:num w:numId="5" w16cid:durableId="763232571">
    <w:abstractNumId w:val="6"/>
  </w:num>
  <w:num w:numId="6" w16cid:durableId="1937908479">
    <w:abstractNumId w:val="1"/>
  </w:num>
  <w:num w:numId="7" w16cid:durableId="1917932326">
    <w:abstractNumId w:val="2"/>
  </w:num>
  <w:num w:numId="8" w16cid:durableId="2116289881">
    <w:abstractNumId w:val="7"/>
  </w:num>
  <w:num w:numId="9" w16cid:durableId="13144063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6D75"/>
    <w:rsid w:val="00132BDB"/>
    <w:rsid w:val="003473E7"/>
    <w:rsid w:val="003B3E07"/>
    <w:rsid w:val="00494C65"/>
    <w:rsid w:val="005249EE"/>
    <w:rsid w:val="00613461"/>
    <w:rsid w:val="00634002"/>
    <w:rsid w:val="00680C61"/>
    <w:rsid w:val="00752F19"/>
    <w:rsid w:val="007B12EA"/>
    <w:rsid w:val="00933DA2"/>
    <w:rsid w:val="009E25AA"/>
    <w:rsid w:val="00A10C5D"/>
    <w:rsid w:val="00AD6526"/>
    <w:rsid w:val="00AF38DA"/>
    <w:rsid w:val="00D2254C"/>
    <w:rsid w:val="00E310C7"/>
    <w:rsid w:val="00F66D75"/>
    <w:rsid w:val="00F75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731D"/>
  <w15:chartTrackingRefBased/>
  <w15:docId w15:val="{0A5640FA-731F-48A3-9C42-12655B4AE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54C"/>
    <w:pPr>
      <w:keepNext/>
      <w:keepLines/>
      <w:spacing w:before="360" w:after="80"/>
      <w:outlineLvl w:val="0"/>
    </w:pPr>
    <w:rPr>
      <w:rFonts w:asciiTheme="majorHAnsi" w:eastAsiaTheme="majorEastAsia" w:hAnsiTheme="majorHAnsi" w:cstheme="majorBidi"/>
      <w:b/>
      <w:color w:val="2F5496" w:themeColor="accent1" w:themeShade="BF"/>
      <w:sz w:val="36"/>
      <w:szCs w:val="40"/>
    </w:rPr>
  </w:style>
  <w:style w:type="paragraph" w:styleId="Heading2">
    <w:name w:val="heading 2"/>
    <w:basedOn w:val="Normal"/>
    <w:next w:val="Normal"/>
    <w:link w:val="Heading2Char"/>
    <w:autoRedefine/>
    <w:uiPriority w:val="9"/>
    <w:unhideWhenUsed/>
    <w:qFormat/>
    <w:rsid w:val="00D2254C"/>
    <w:pPr>
      <w:keepNext/>
      <w:keepLines/>
      <w:spacing w:before="160" w:after="8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F66D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6D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6D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6D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D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D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D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54C"/>
    <w:rPr>
      <w:rFonts w:asciiTheme="majorHAnsi" w:eastAsiaTheme="majorEastAsia" w:hAnsiTheme="majorHAnsi" w:cstheme="majorBidi"/>
      <w:b/>
      <w:color w:val="2F5496" w:themeColor="accent1" w:themeShade="BF"/>
      <w:sz w:val="36"/>
      <w:szCs w:val="40"/>
    </w:rPr>
  </w:style>
  <w:style w:type="character" w:customStyle="1" w:styleId="Heading2Char">
    <w:name w:val="Heading 2 Char"/>
    <w:basedOn w:val="DefaultParagraphFont"/>
    <w:link w:val="Heading2"/>
    <w:uiPriority w:val="9"/>
    <w:rsid w:val="00D2254C"/>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F66D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6D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6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6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D75"/>
    <w:rPr>
      <w:rFonts w:eastAsiaTheme="majorEastAsia" w:cstheme="majorBidi"/>
      <w:color w:val="272727" w:themeColor="text1" w:themeTint="D8"/>
    </w:rPr>
  </w:style>
  <w:style w:type="paragraph" w:styleId="Title">
    <w:name w:val="Title"/>
    <w:basedOn w:val="Normal"/>
    <w:next w:val="Normal"/>
    <w:link w:val="TitleChar"/>
    <w:uiPriority w:val="10"/>
    <w:qFormat/>
    <w:rsid w:val="00F66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D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D75"/>
    <w:pPr>
      <w:spacing w:before="160"/>
      <w:jc w:val="center"/>
    </w:pPr>
    <w:rPr>
      <w:i/>
      <w:iCs/>
      <w:color w:val="404040" w:themeColor="text1" w:themeTint="BF"/>
    </w:rPr>
  </w:style>
  <w:style w:type="character" w:customStyle="1" w:styleId="QuoteChar">
    <w:name w:val="Quote Char"/>
    <w:basedOn w:val="DefaultParagraphFont"/>
    <w:link w:val="Quote"/>
    <w:uiPriority w:val="29"/>
    <w:rsid w:val="00F66D75"/>
    <w:rPr>
      <w:i/>
      <w:iCs/>
      <w:color w:val="404040" w:themeColor="text1" w:themeTint="BF"/>
    </w:rPr>
  </w:style>
  <w:style w:type="paragraph" w:styleId="ListParagraph">
    <w:name w:val="List Paragraph"/>
    <w:basedOn w:val="Normal"/>
    <w:uiPriority w:val="34"/>
    <w:qFormat/>
    <w:rsid w:val="00F66D75"/>
    <w:pPr>
      <w:ind w:left="720"/>
      <w:contextualSpacing/>
    </w:pPr>
  </w:style>
  <w:style w:type="character" w:styleId="IntenseEmphasis">
    <w:name w:val="Intense Emphasis"/>
    <w:basedOn w:val="DefaultParagraphFont"/>
    <w:uiPriority w:val="21"/>
    <w:qFormat/>
    <w:rsid w:val="00F66D75"/>
    <w:rPr>
      <w:i/>
      <w:iCs/>
      <w:color w:val="2F5496" w:themeColor="accent1" w:themeShade="BF"/>
    </w:rPr>
  </w:style>
  <w:style w:type="paragraph" w:styleId="IntenseQuote">
    <w:name w:val="Intense Quote"/>
    <w:basedOn w:val="Normal"/>
    <w:next w:val="Normal"/>
    <w:link w:val="IntenseQuoteChar"/>
    <w:uiPriority w:val="30"/>
    <w:qFormat/>
    <w:rsid w:val="00F66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6D75"/>
    <w:rPr>
      <w:i/>
      <w:iCs/>
      <w:color w:val="2F5496" w:themeColor="accent1" w:themeShade="BF"/>
    </w:rPr>
  </w:style>
  <w:style w:type="character" w:styleId="IntenseReference">
    <w:name w:val="Intense Reference"/>
    <w:basedOn w:val="DefaultParagraphFont"/>
    <w:uiPriority w:val="32"/>
    <w:qFormat/>
    <w:rsid w:val="00F66D75"/>
    <w:rPr>
      <w:b/>
      <w:bCs/>
      <w:smallCaps/>
      <w:color w:val="2F5496" w:themeColor="accent1" w:themeShade="BF"/>
      <w:spacing w:val="5"/>
    </w:rPr>
  </w:style>
  <w:style w:type="character" w:styleId="Hyperlink">
    <w:name w:val="Hyperlink"/>
    <w:basedOn w:val="DefaultParagraphFont"/>
    <w:uiPriority w:val="99"/>
    <w:unhideWhenUsed/>
    <w:rsid w:val="005249EE"/>
    <w:rPr>
      <w:color w:val="0563C1" w:themeColor="hyperlink"/>
      <w:u w:val="single"/>
    </w:rPr>
  </w:style>
  <w:style w:type="character" w:customStyle="1" w:styleId="UnresolvedMention1">
    <w:name w:val="Unresolved Mention1"/>
    <w:basedOn w:val="DefaultParagraphFont"/>
    <w:uiPriority w:val="99"/>
    <w:semiHidden/>
    <w:unhideWhenUsed/>
    <w:rsid w:val="005249EE"/>
    <w:rPr>
      <w:color w:val="605E5C"/>
      <w:shd w:val="clear" w:color="auto" w:fill="E1DFDD"/>
    </w:rPr>
  </w:style>
  <w:style w:type="paragraph" w:styleId="Caption">
    <w:name w:val="caption"/>
    <w:basedOn w:val="Normal"/>
    <w:next w:val="Normal"/>
    <w:uiPriority w:val="35"/>
    <w:unhideWhenUsed/>
    <w:qFormat/>
    <w:rsid w:val="00D2254C"/>
    <w:pPr>
      <w:spacing w:after="200" w:line="240" w:lineRule="auto"/>
    </w:pPr>
    <w:rPr>
      <w:i/>
      <w:iCs/>
      <w:color w:val="44546A" w:themeColor="text2"/>
      <w:sz w:val="18"/>
      <w:szCs w:val="18"/>
    </w:rPr>
  </w:style>
  <w:style w:type="paragraph" w:styleId="NoSpacing">
    <w:name w:val="No Spacing"/>
    <w:link w:val="NoSpacingChar"/>
    <w:uiPriority w:val="1"/>
    <w:qFormat/>
    <w:rsid w:val="009E25AA"/>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E25AA"/>
    <w:rPr>
      <w:rFonts w:eastAsiaTheme="minorEastAsia"/>
      <w:kern w:val="0"/>
      <w:sz w:val="22"/>
      <w:szCs w:val="22"/>
      <w14:ligatures w14:val="none"/>
    </w:rPr>
  </w:style>
  <w:style w:type="paragraph" w:styleId="TOCHeading">
    <w:name w:val="TOC Heading"/>
    <w:basedOn w:val="Heading1"/>
    <w:next w:val="Normal"/>
    <w:uiPriority w:val="39"/>
    <w:unhideWhenUsed/>
    <w:qFormat/>
    <w:rsid w:val="009E25AA"/>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9E25AA"/>
    <w:pPr>
      <w:spacing w:after="100"/>
    </w:pPr>
  </w:style>
  <w:style w:type="paragraph" w:styleId="TOC2">
    <w:name w:val="toc 2"/>
    <w:basedOn w:val="Normal"/>
    <w:next w:val="Normal"/>
    <w:autoRedefine/>
    <w:uiPriority w:val="39"/>
    <w:unhideWhenUsed/>
    <w:rsid w:val="009E25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sc1.checkpoint.com/documents/R81.20/WebAdminGuides/EN/CP_R81.20_AdministrationGuide/Default.htm" TargetMode="External"/><Relationship Id="rId26" Type="http://schemas.openxmlformats.org/officeDocument/2006/relationships/hyperlink" Target="https://csrc.nist.gov/publications/detail/sp/800-53/rev-5/final" TargetMode="External"/><Relationship Id="rId21" Type="http://schemas.openxmlformats.org/officeDocument/2006/relationships/hyperlink" Target="https://www.enisa.europa.eu/publications/enisa-threat-landscape-2023" TargetMode="External"/><Relationship Id="rId34" Type="http://schemas.openxmlformats.org/officeDocument/2006/relationships/image" Target="media/image14.pn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hyperlink" Target="https://www.iso.org/standard/27001" TargetMode="External"/><Relationship Id="rId33" Type="http://schemas.openxmlformats.org/officeDocument/2006/relationships/image" Target="media/image13.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support.checkpoint.com/results/sk/sk102333" TargetMode="External"/><Relationship Id="rId29" Type="http://schemas.openxmlformats.org/officeDocument/2006/relationships/hyperlink" Target="https://csrc.nist.gov/publications/detail/sp/800-41/fina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iso.org/standard/80511.html" TargetMode="External"/><Relationship Id="rId32" Type="http://schemas.openxmlformats.org/officeDocument/2006/relationships/hyperlink" Target="https://academic.oup.com/cybersecurity/article/7/1/tyab006/615733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www.iso.org/standard/80509.html" TargetMode="External"/><Relationship Id="rId28" Type="http://schemas.openxmlformats.org/officeDocument/2006/relationships/hyperlink" Target="https://csrc.nist.gov/publications/detail/sp/800-94/final" TargetMode="External"/><Relationship Id="rId36" Type="http://schemas.openxmlformats.org/officeDocument/2006/relationships/image" Target="media/image16.png"/><Relationship Id="rId10" Type="http://schemas.openxmlformats.org/officeDocument/2006/relationships/image" Target="media/image5.jpeg"/><Relationship Id="rId19" Type="http://schemas.openxmlformats.org/officeDocument/2006/relationships/hyperlink" Target="https://www.checkpoint.com/products/security-gateway/" TargetMode="External"/><Relationship Id="rId31" Type="http://schemas.openxmlformats.org/officeDocument/2006/relationships/hyperlink" Target="https://global.oup.com/academic/product/cyberwar-9780190652396"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enisa.europa.eu/topics/csirt-cert-services/network-security" TargetMode="External"/><Relationship Id="rId27" Type="http://schemas.openxmlformats.org/officeDocument/2006/relationships/hyperlink" Target="https://csrc.nist.gov/publications/detail/sp/800-41/rev-1/final" TargetMode="External"/><Relationship Id="rId30" Type="http://schemas.openxmlformats.org/officeDocument/2006/relationships/hyperlink" Target="https://www.pearson.com/en-gb/subject-catalog/p/network-security-essentials/P200000003215" TargetMode="External"/><Relationship Id="rId35" Type="http://schemas.openxmlformats.org/officeDocument/2006/relationships/image" Target="media/image15.png"/><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0160D-FEC7-40DE-9F39-7B74C1108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5222</Words>
  <Characters>29770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parthik sutariya</cp:lastModifiedBy>
  <cp:revision>3</cp:revision>
  <dcterms:created xsi:type="dcterms:W3CDTF">2025-12-17T13:43:00Z</dcterms:created>
  <dcterms:modified xsi:type="dcterms:W3CDTF">2025-12-17T13:48:00Z</dcterms:modified>
</cp:coreProperties>
</file>