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13864B" w14:textId="77777777" w:rsidR="003B4F38" w:rsidRDefault="00D33A0D">
      <w:pPr>
        <w:rPr>
          <w:b/>
          <w:bCs/>
        </w:rPr>
      </w:pPr>
      <w:r>
        <w:rPr>
          <w:b/>
          <w:bCs/>
        </w:rPr>
        <w:t>'If someone sees a smile and does not know it for a smile, does not understand it as such, does he see it differently from someone who understands it?’ How would you answer Wittgenstein’s question?</w:t>
      </w:r>
    </w:p>
    <w:p w14:paraId="3E13B49A" w14:textId="12CEB5B2" w:rsidR="003B4F38" w:rsidRDefault="00D33A0D">
      <w:r>
        <w:t xml:space="preserve">In this essay, it will be argued that someone who sees a smile but does not understand it as such, does in fact see the smile differently to someone who understands it to be a smile. By this I mean that one who sees a smile and understands it to be no more than just features on a face arranged in a particular way, does not understand the meaning that that arrangement of features, a smile, represents. This shall be argued using Wittgenstein’s work surrounding private sensation and private language, and the way in which we see and perceive the world, particularly his distinction between the two ways the word ‘see’ is used in our language, supported with </w:t>
      </w:r>
      <w:proofErr w:type="spellStart"/>
      <w:r>
        <w:t>Merleau-Ponty’s</w:t>
      </w:r>
      <w:proofErr w:type="spellEnd"/>
      <w:r>
        <w:t xml:space="preserve"> work on perception. In answering this question, Wittgenstein’s objection and attempt to dismantle </w:t>
      </w:r>
      <w:r w:rsidR="004D1E6B">
        <w:t>C</w:t>
      </w:r>
      <w:r>
        <w:t xml:space="preserve">artesian dualism will be explored. Parts of this answer will also serve a critique of reductionism as a theory that can give a meaningful or accurate account of the world and our knowledge of </w:t>
      </w:r>
      <w:commentRangeStart w:id="0"/>
      <w:r>
        <w:t>it</w:t>
      </w:r>
      <w:commentRangeEnd w:id="0"/>
      <w:r w:rsidR="004D1E6B">
        <w:rPr>
          <w:rStyle w:val="CommentReference"/>
        </w:rPr>
        <w:commentReference w:id="0"/>
      </w:r>
      <w:r>
        <w:t>.</w:t>
      </w:r>
    </w:p>
    <w:p w14:paraId="15044B1E" w14:textId="77777777" w:rsidR="003B4F38" w:rsidRDefault="00D33A0D">
      <w:r>
        <w:t xml:space="preserve">First, it is necessary to give a brief overview of what Wittgenstein means when he speaks of private sensations and private language, and how he objects to the concept as a whole. He employs the example of pain to convey his meaning to the reader. Pain is a private or inner sensation, yet </w:t>
      </w:r>
      <w:commentRangeStart w:id="1"/>
      <w:commentRangeStart w:id="2"/>
      <w:commentRangeStart w:id="3"/>
      <w:r>
        <w:t>we</w:t>
      </w:r>
      <w:commentRangeEnd w:id="1"/>
      <w:r w:rsidR="004D1E6B">
        <w:rPr>
          <w:rStyle w:val="CommentReference"/>
        </w:rPr>
        <w:commentReference w:id="1"/>
      </w:r>
      <w:commentRangeEnd w:id="2"/>
      <w:r w:rsidR="004D1E6B">
        <w:rPr>
          <w:rStyle w:val="CommentReference"/>
        </w:rPr>
        <w:commentReference w:id="2"/>
      </w:r>
      <w:commentRangeEnd w:id="3"/>
      <w:r w:rsidR="004D1E6B">
        <w:rPr>
          <w:rStyle w:val="CommentReference"/>
        </w:rPr>
        <w:commentReference w:id="3"/>
      </w:r>
      <w:r>
        <w:t xml:space="preserve"> believe that we understand what the other means when they claim to be in pain.</w:t>
      </w:r>
      <w:r>
        <w:rPr>
          <w:rStyle w:val="FootnoteReference"/>
        </w:rPr>
        <w:footnoteReference w:id="1"/>
      </w:r>
      <w:r>
        <w:t xml:space="preserve"> One can imagine that a child could feel a sensation that I may refer to as pain, and label it with a new, made up term, giving it an inner ostensive definition to refer to this sensation.</w:t>
      </w:r>
      <w:r>
        <w:rPr>
          <w:rStyle w:val="FootnoteReference"/>
        </w:rPr>
        <w:footnoteReference w:id="2"/>
      </w:r>
      <w:r>
        <w:t xml:space="preserve"> However, this would be useless to conveying meaning of this sensation to anyone else, as they would not know to which sensation it referred to. The child would have to then go on to explain what this sensation is like, and in doing so would draw from shared language, thus demonstrating how private language serves no real use. The result of explaining what their inner sensation was, would be for the other person to recognise what they are feeling as pain. Though the child gave their sensation of pain a different, private definition, this makes no difference to the common definition of pain.</w:t>
      </w:r>
      <w:r>
        <w:rPr>
          <w:rStyle w:val="FootnoteReference"/>
        </w:rPr>
        <w:footnoteReference w:id="3"/>
      </w:r>
      <w:r>
        <w:t xml:space="preserve"> Wittgenstein clarifies this flaw in the concept of inner sensations and private language with the “beetle in the box” analogy. The fact that we can have meaningful communication while talking about so called inner sensations, shows that they do not exist as only private to us.</w:t>
      </w:r>
      <w:r>
        <w:rPr>
          <w:rStyle w:val="FootnoteReference"/>
        </w:rPr>
        <w:footnoteReference w:id="4"/>
      </w:r>
      <w:r>
        <w:t xml:space="preserve"> The inner sensation gains meaning through its communication with others, as without this, it is irrelevant</w:t>
      </w:r>
      <w:commentRangeStart w:id="8"/>
      <w:r>
        <w:t>.</w:t>
      </w:r>
      <w:r>
        <w:rPr>
          <w:rStyle w:val="FootnoteReference"/>
        </w:rPr>
        <w:footnoteReference w:id="5"/>
      </w:r>
      <w:commentRangeEnd w:id="8"/>
      <w:r w:rsidR="004D1E6B">
        <w:rPr>
          <w:rStyle w:val="CommentReference"/>
        </w:rPr>
        <w:commentReference w:id="8"/>
      </w:r>
      <w:r>
        <w:t xml:space="preserve"> </w:t>
      </w:r>
    </w:p>
    <w:p w14:paraId="60C28933" w14:textId="77777777" w:rsidR="003B4F38" w:rsidRDefault="00D33A0D">
      <w:r>
        <w:t xml:space="preserve">The way we understand each other’s sensations and feelings under Wittgenstein’s account demonstrates how, though a smile represents the inner sensation of happiness, when someone sees this outer expression of the inner sensation of happiness, they can understand what it means. Thus, they do not just see a face with upturned lips and slightly creased eyes, but a happy person, as this is the meaning that the smile </w:t>
      </w:r>
      <w:commentRangeStart w:id="9"/>
      <w:r>
        <w:t>represents</w:t>
      </w:r>
      <w:commentRangeEnd w:id="9"/>
      <w:r w:rsidR="00B3522D">
        <w:rPr>
          <w:rStyle w:val="CommentReference"/>
        </w:rPr>
        <w:commentReference w:id="9"/>
      </w:r>
      <w:r>
        <w:t>.</w:t>
      </w:r>
    </w:p>
    <w:p w14:paraId="2216586C" w14:textId="77777777" w:rsidR="003B4F38" w:rsidRDefault="00D33A0D">
      <w:r>
        <w:t>Even if it was from experience that we understand there to be a shared meaning for inner sensations. For example, recognising the way the inner sensation of pain manifests itself, as a grimace, and see the likeness in this expression to those of others, thus understanding it to be the sensation of pain, we could not know with certainty that this is what others felt. This also applies to our ability to describe inner sensations with common language. This ability to communicate inner sensations with a public language demonstrates how the concept of private language is problematic. In order to convey something inner, one has to appeal to language that relates to what is outer. This shows how what we may think of as inner, is modelled on an outer picture.</w:t>
      </w:r>
      <w:r>
        <w:rPr>
          <w:rStyle w:val="FootnoteReference"/>
        </w:rPr>
        <w:footnoteReference w:id="6"/>
      </w:r>
      <w:r>
        <w:t xml:space="preserve"> The result of this line of </w:t>
      </w:r>
      <w:r>
        <w:lastRenderedPageBreak/>
        <w:t xml:space="preserve">enquiry is that, though private language may exist for individuals, it is irrelevant, as it makes no difference to public language and how people communicate to one another. </w:t>
      </w:r>
    </w:p>
    <w:p w14:paraId="4E4AFA7B" w14:textId="581981D2" w:rsidR="003B4F38" w:rsidRDefault="00D33A0D">
      <w:r>
        <w:t>It also begins to dismantle the divide between the inner and outer that was popularised in philosophy by Descartes. Descartes wrote at great length about the dualism between physical body and the non-physical soul. He argued that this soul was the real self, and that the body was merely an object that it inhabited it the world.</w:t>
      </w:r>
      <w:r>
        <w:rPr>
          <w:rStyle w:val="FootnoteReference"/>
        </w:rPr>
        <w:footnoteReference w:id="7"/>
      </w:r>
      <w:r>
        <w:t xml:space="preserve"> This conception of the self as something ‘inner’ can lead to an extreme individualism, as all the focus is concentrated on what is internal, resulting in a belief of private language and private sensations. However, Wittgenstein objects to this overly internal approach, as it cannot account for a complete picture of our understanding of the world. To understand this, one must understand the similarities between </w:t>
      </w:r>
      <w:r w:rsidR="00B3522D">
        <w:t>C</w:t>
      </w:r>
      <w:r>
        <w:t>artesian dualism and material reductionism. These two approaches are, upon an initial inspection, opposed to one another. Cartesian dualism gives us a picture where there exists a physical body, and a non-physical soul that inhabits the body, much like a “ghost in the machine.”</w:t>
      </w:r>
      <w:r>
        <w:rPr>
          <w:rStyle w:val="FootnoteReference"/>
        </w:rPr>
        <w:footnoteReference w:id="8"/>
      </w:r>
      <w:r>
        <w:t xml:space="preserve"> As this imagery suggests, this theory has a heavy bias towards the soul, and views the body as inferior. On the other hand, material reductionism (as the name suggests) is a view that reduces everything to material processes. Under this view, there is no soul, and anything that we may call the mind. Although it is tempting to think of the mind as something non-material, it is actually the brain, and the neurological processes that take place </w:t>
      </w:r>
      <w:commentRangeStart w:id="12"/>
      <w:r>
        <w:t>there</w:t>
      </w:r>
      <w:commentRangeEnd w:id="12"/>
      <w:r w:rsidR="00B3522D">
        <w:rPr>
          <w:rStyle w:val="CommentReference"/>
        </w:rPr>
        <w:commentReference w:id="12"/>
      </w:r>
      <w:r>
        <w:t xml:space="preserve">.  </w:t>
      </w:r>
    </w:p>
    <w:p w14:paraId="2D7812F5" w14:textId="77777777" w:rsidR="003B4F38" w:rsidRDefault="00D33A0D">
      <w:r>
        <w:t>Although, at first, it may seem bizarre to consider these two approaches to be similar, once one understands how both these views explain our perception on objects, their likeness is undeniable. Descartes describes the process of the soul possessing sensory perception of objects: “these objects which, exciting certain movements in the organs of the external senses, excite them also in the brain by the intermission of the nerves, which cause the soul to perceive them.”</w:t>
      </w:r>
      <w:r>
        <w:rPr>
          <w:rStyle w:val="FootnoteReference"/>
        </w:rPr>
        <w:footnoteReference w:id="9"/>
      </w:r>
      <w:r>
        <w:t xml:space="preserve"> From this explanation, it is evident how similar </w:t>
      </w:r>
      <w:proofErr w:type="gramStart"/>
      <w:r>
        <w:t>the these</w:t>
      </w:r>
      <w:proofErr w:type="gramEnd"/>
      <w:r>
        <w:t xml:space="preserve"> two views are, as the material reductionist would concur with Descartes’ account with the omission of the move from the brain to the soul. The brain is treated as synonymous to the mind, so it is separated from the body just as much as the mind from the body under </w:t>
      </w:r>
      <w:proofErr w:type="spellStart"/>
      <w:proofErr w:type="gramStart"/>
      <w:r>
        <w:t>cartesian</w:t>
      </w:r>
      <w:proofErr w:type="spellEnd"/>
      <w:proofErr w:type="gramEnd"/>
      <w:r>
        <w:t xml:space="preserve"> </w:t>
      </w:r>
      <w:commentRangeStart w:id="16"/>
      <w:r>
        <w:t>dualism</w:t>
      </w:r>
      <w:commentRangeEnd w:id="16"/>
      <w:r w:rsidR="00B3522D">
        <w:rPr>
          <w:rStyle w:val="CommentReference"/>
        </w:rPr>
        <w:commentReference w:id="16"/>
      </w:r>
      <w:r>
        <w:t>.</w:t>
      </w:r>
    </w:p>
    <w:p w14:paraId="727C0569" w14:textId="77777777" w:rsidR="003B4F38" w:rsidRDefault="00D33A0D">
      <w:r>
        <w:t>How we see things in the world, like a smile for example, affects how we understand them. The empirical, representative picture states that seeing objects in the world is having an immediate sensory effect of these objects. So, by looking at an object, the image of it is produced in the individual.</w:t>
      </w:r>
      <w:r>
        <w:rPr>
          <w:rStyle w:val="FootnoteReference"/>
        </w:rPr>
        <w:footnoteReference w:id="10"/>
      </w:r>
      <w:r>
        <w:t xml:space="preserve"> However, this reductionist view that what we see is purely sense data of external objects replicated in the brain as an image is problematic. If our seeing objects is simply seeing data (lines and colour and so on) what does it mean to see likenesses between different objects, or to interpret one image a certain way instead of another? Wittgenstein offers a solution to this by distinguishing between two different ways that the word see is used, and following this, the two different ways that we can use our sight. The first is in keeping with the empirical, interpretation of sense data picture of how we see: a description of the sense data. The other is the seeing of likenesses between things.</w:t>
      </w:r>
      <w:r>
        <w:rPr>
          <w:rStyle w:val="FootnoteReference"/>
        </w:rPr>
        <w:footnoteReference w:id="11"/>
      </w:r>
      <w:r>
        <w:t xml:space="preserve">   For example, while the first use of the word ‘to see’ would allow one to create an accurate drawing of two smiling faces from an observation of them, the second way is what allows one to notice likenesses between the two.</w:t>
      </w:r>
      <w:r>
        <w:rPr>
          <w:rStyle w:val="FootnoteReference"/>
        </w:rPr>
        <w:footnoteReference w:id="12"/>
      </w:r>
      <w:r>
        <w:t xml:space="preserve"> </w:t>
      </w:r>
    </w:p>
    <w:p w14:paraId="1AE88721" w14:textId="77777777" w:rsidR="003B4F38" w:rsidRDefault="00D33A0D">
      <w:r>
        <w:lastRenderedPageBreak/>
        <w:t>The first way of seeing treats what we see merely a sense data in much the same way that Russell describes it: as a certain shape, colour etc.</w:t>
      </w:r>
      <w:r>
        <w:rPr>
          <w:rStyle w:val="FootnoteReference"/>
        </w:rPr>
        <w:footnoteReference w:id="13"/>
      </w:r>
      <w:r>
        <w:t xml:space="preserve"> If this material reductionist way of seeing were to be the only way in which we could see the world around us, there would be a sense in which we lost meaning of things like smiles. Perhaps this point could be clarified with an example relating to something audible rather than visual sense data. Rather than a smile, take a peal of laughter. One could hear the laughter and describe its tone, pitch, volume and so on, without understanding or acknowledging the feeling of joy that it is a representation of. Although this description may be adequate in describing how it sounded, it would not be a good description of the emotion it invoked. Therefore, a simple description of the sense data would not lead someone to understand the sound of laughter as fully as someone who heard the laughter and recognised the sound to be an expression of </w:t>
      </w:r>
      <w:commentRangeStart w:id="18"/>
      <w:r>
        <w:t>happiness</w:t>
      </w:r>
      <w:commentRangeEnd w:id="18"/>
      <w:r w:rsidR="00B3522D">
        <w:rPr>
          <w:rStyle w:val="CommentReference"/>
        </w:rPr>
        <w:commentReference w:id="18"/>
      </w:r>
      <w:r>
        <w:t>.</w:t>
      </w:r>
    </w:p>
    <w:p w14:paraId="6594CBBC" w14:textId="77777777" w:rsidR="003B4F38" w:rsidRDefault="00D33A0D">
      <w:r>
        <w:t>This second way of seeing, which I have begun to explain in the example of laughter, is the way we see likenesses in objects. This includes seeing the likeness of a smile in a drawing of a smile and being able to relate the feelings represented in a real smile to what the drawing of the smile conveys. To further illustrate this point, Wittgenstein uses the example of a drawing of a cuboid. He expresses that by looking at this drawing, we could understand it to be a glass box or a wire frame of that shape. We can interpret it either way, and whichever way we interpret it is the way that we see it.</w:t>
      </w:r>
      <w:r>
        <w:rPr>
          <w:rStyle w:val="FootnoteReference"/>
        </w:rPr>
        <w:footnoteReference w:id="14"/>
      </w:r>
      <w:r>
        <w:t xml:space="preserve"> There are undeniable echoes here of what </w:t>
      </w:r>
      <w:proofErr w:type="spellStart"/>
      <w:r>
        <w:t>Merleau-Ponty</w:t>
      </w:r>
      <w:proofErr w:type="spellEnd"/>
      <w:r>
        <w:t xml:space="preserve"> referred to as a “living nucleus of perception”</w:t>
      </w:r>
      <w:r>
        <w:rPr>
          <w:rStyle w:val="FootnoteReference"/>
        </w:rPr>
        <w:footnoteReference w:id="15"/>
      </w:r>
      <w:r>
        <w:t xml:space="preserve"> This is a term used to express the way that our perception of the world and objects are not fixed (as an empirical view would have us believe). For example, a candle flame can, in one instance, be a welcoming and warming glow, and in another instance, it can be a fear inducing, repulsive entity</w:t>
      </w:r>
      <w:commentRangeStart w:id="22"/>
      <w:r>
        <w:t>.</w:t>
      </w:r>
      <w:r>
        <w:rPr>
          <w:rStyle w:val="FootnoteReference"/>
        </w:rPr>
        <w:footnoteReference w:id="16"/>
      </w:r>
      <w:commentRangeEnd w:id="22"/>
      <w:r w:rsidR="00B3522D">
        <w:rPr>
          <w:rStyle w:val="CommentReference"/>
        </w:rPr>
        <w:commentReference w:id="22"/>
      </w:r>
    </w:p>
    <w:p w14:paraId="1858E7D5" w14:textId="77777777" w:rsidR="003B4F38" w:rsidRDefault="00D33A0D">
      <w:r>
        <w:t xml:space="preserve">This notion of the living nucleus of perception, seems to have striking parallels in Wittgenstein’s description of how we perceive the world. Take the example of </w:t>
      </w:r>
      <w:proofErr w:type="spellStart"/>
      <w:r>
        <w:t>Jastrow’s</w:t>
      </w:r>
      <w:proofErr w:type="spellEnd"/>
      <w:r>
        <w:t xml:space="preserve"> ‘Duck-Rabbit’ image. This is the picture that can be seen as a rabbit’s head, or a duck’s head, although the actual lines of the image remain the same.</w:t>
      </w:r>
      <w:r>
        <w:rPr>
          <w:rStyle w:val="FootnoteReference"/>
        </w:rPr>
        <w:footnoteReference w:id="17"/>
      </w:r>
      <w:r>
        <w:t xml:space="preserve"> Our perception of the image as a rabbit requires us seeing the likeness of a rabbit in the lines. Then, to see the duck, one must shift ‘to see the aspects of the duck in the lines.</w:t>
      </w:r>
      <w:r>
        <w:rPr>
          <w:rStyle w:val="FootnoteReference"/>
        </w:rPr>
        <w:footnoteReference w:id="18"/>
      </w:r>
      <w:r>
        <w:t xml:space="preserve"> This demonstrates that how we perceive what we see affects how we understand it. What gives what we see meaning is dependent on our ability to see-as, rather than just to see. There is more meaning to what we see than simply a description of what makes up what we see. It is in this way that we are able to engage with a picture of a face as a picture, and also as a face if we recognise the likeness of the face in the image.</w:t>
      </w:r>
      <w:r>
        <w:rPr>
          <w:rStyle w:val="FootnoteReference"/>
        </w:rPr>
        <w:footnoteReference w:id="19"/>
      </w:r>
      <w:r>
        <w:t xml:space="preserve"> </w:t>
      </w:r>
    </w:p>
    <w:p w14:paraId="25C28583" w14:textId="77777777" w:rsidR="003B4F38" w:rsidRDefault="00D33A0D">
      <w:r>
        <w:t>Take Wittgenstein’s definition of a visual experience: “A representation of ‘what is seen’.”</w:t>
      </w:r>
      <w:r>
        <w:rPr>
          <w:rStyle w:val="FootnoteReference"/>
        </w:rPr>
        <w:footnoteReference w:id="20"/>
      </w:r>
      <w:r>
        <w:t xml:space="preserve"> A visual experience is therefore different, though not unconnected, to what is seen.</w:t>
      </w:r>
      <w:r>
        <w:rPr>
          <w:rStyle w:val="FootnoteReference"/>
        </w:rPr>
        <w:footnoteReference w:id="21"/>
      </w:r>
      <w:r>
        <w:t xml:space="preserve"> Thus, when one has a visual experience of a smile, they have a representation of what they have seen that includes meaning of what they know the smile to represent: the feelings of happiness of the subject smiling. Whereas, someone who sees this smile and does not know it to be a smile, would not have a visual experience of the subjects’ happiness, they would simply see a face with upturned lips and so on. From this, one can see that someone who sees a smile without knowing it to be a smile does indeed see it differently to someone who does. The difference is that one who understands the smile to be </w:t>
      </w:r>
      <w:r>
        <w:lastRenderedPageBreak/>
        <w:t xml:space="preserve">a smile sees it as features in a certain arrangement on a face, but also </w:t>
      </w:r>
      <w:r>
        <w:rPr>
          <w:i/>
          <w:iCs/>
        </w:rPr>
        <w:t>sees it as</w:t>
      </w:r>
      <w:r>
        <w:t xml:space="preserve"> an expression of joy. Their visual perception of the smile is interwoven with their knowledge of what a smile is.</w:t>
      </w:r>
    </w:p>
    <w:p w14:paraId="3288AFBC" w14:textId="77777777" w:rsidR="003B4F38" w:rsidRDefault="00D33A0D">
      <w:r>
        <w:t xml:space="preserve">A material </w:t>
      </w:r>
      <w:commentRangeStart w:id="23"/>
      <w:r>
        <w:t>reductionist</w:t>
      </w:r>
      <w:commentRangeEnd w:id="23"/>
      <w:r w:rsidR="006521F2">
        <w:rPr>
          <w:rStyle w:val="CommentReference"/>
        </w:rPr>
        <w:commentReference w:id="23"/>
      </w:r>
      <w:r>
        <w:t xml:space="preserve"> may reply to this, claiming that we have simply learned to associate certain features with certain emotions, and that we make this association so automatically that we do not recognise that we first see the smile as just a face with upturned lips, before then making an association to happiness. However, to see things as simply as the material reductionist claims we all see, would be to ignore how closely we interact with our environment, and are actually part of it, rather than something external to it. By returning to the discussion on private language and private sensations, it can be shown that there is a sense that we see certain facial expressions as the inner sensation that they represent. Our visual experience of a smile is that of happiness.</w:t>
      </w:r>
      <w:r>
        <w:rPr>
          <w:rStyle w:val="FootnoteReference"/>
        </w:rPr>
        <w:footnoteReference w:id="22"/>
      </w:r>
      <w:r>
        <w:t xml:space="preserve"> We cannot know based on an object that someone’s inner sensation is happiness, without having access to these inner sensations, as they are private. If this really is the case, then there must be a way in which we recognise and understand what a smile really means, rather than seeing it as an expression and learning from experience to associate it with a certain private sensation. </w:t>
      </w:r>
    </w:p>
    <w:p w14:paraId="40CA7B2A" w14:textId="77777777" w:rsidR="003B4F38" w:rsidRDefault="00D33A0D">
      <w:r>
        <w:t xml:space="preserve">By saying that one has a greater understanding of a smile by ‘seeing-as’ is by no means saying that seeing objects as they appear in descriptive terms is not useful. Merely that if this was the only way that we saw the world, there would be aspects of our understanding that were lacking, and our experience of the world less rich. We have both ways of seeing the world, so both aspects of understanding and can use whichever is most appropriate to any given situation. </w:t>
      </w:r>
    </w:p>
    <w:p w14:paraId="32E3D91E" w14:textId="77777777" w:rsidR="003B4F38" w:rsidRDefault="00D33A0D">
      <w:r>
        <w:t>So, to answer Wittgenstein’s question: “If someone sees a smile and does not know it for a smile, does not understand it as such, does he see it differently from someone who understands it?”</w:t>
      </w:r>
      <w:r>
        <w:rPr>
          <w:rStyle w:val="FootnoteReference"/>
        </w:rPr>
        <w:footnoteReference w:id="23"/>
      </w:r>
      <w:r>
        <w:t xml:space="preserve"> </w:t>
      </w:r>
      <w:proofErr w:type="gramStart"/>
      <w:r>
        <w:t>someone</w:t>
      </w:r>
      <w:proofErr w:type="gramEnd"/>
      <w:r>
        <w:t xml:space="preserve"> who does not understand a smile to be an expression of happiness as part of its very definition, sees the smile more as less than what it is. If they see the rest of the world with as little meaning as they see a smile, they are not experiencing the world as a being who lives as part of the world.</w:t>
      </w:r>
      <w:r>
        <w:rPr>
          <w:rStyle w:val="FootnoteReference"/>
        </w:rPr>
        <w:footnoteReference w:id="24"/>
      </w:r>
      <w:r>
        <w:t xml:space="preserve"> </w:t>
      </w:r>
      <w:commentRangeStart w:id="24"/>
      <w:r>
        <w:t>Their</w:t>
      </w:r>
      <w:commentRangeEnd w:id="24"/>
      <w:r w:rsidR="006521F2">
        <w:rPr>
          <w:rStyle w:val="CommentReference"/>
        </w:rPr>
        <w:commentReference w:id="24"/>
      </w:r>
      <w:r>
        <w:t xml:space="preserve"> perceptions of the world do not reflect the rich way that their life is bound to that which they perceive, and they will experience the world to be more dull than it really is, depriving themselves of seeing the world meaningfully like they deprive the smile of its joyful meaning.</w:t>
      </w:r>
    </w:p>
    <w:p w14:paraId="6A0D2C16" w14:textId="77777777" w:rsidR="003B4F38" w:rsidRDefault="003B4F38">
      <w:pPr>
        <w:pageBreakBefore/>
        <w:suppressAutoHyphens w:val="0"/>
      </w:pPr>
    </w:p>
    <w:p w14:paraId="1661402E" w14:textId="77777777" w:rsidR="003B4F38" w:rsidRDefault="00D33A0D">
      <w:pPr>
        <w:rPr>
          <w:b/>
          <w:bCs/>
        </w:rPr>
      </w:pPr>
      <w:r>
        <w:rPr>
          <w:b/>
          <w:bCs/>
        </w:rPr>
        <w:t>Bibliography</w:t>
      </w:r>
    </w:p>
    <w:p w14:paraId="2BE7E5AD" w14:textId="77777777" w:rsidR="003B4F38" w:rsidRDefault="00D33A0D">
      <w:pPr>
        <w:pStyle w:val="ListParagraph"/>
        <w:numPr>
          <w:ilvl w:val="0"/>
          <w:numId w:val="1"/>
        </w:numPr>
      </w:pPr>
      <w:r>
        <w:t xml:space="preserve">BBC Radio 4, </w:t>
      </w:r>
      <w:r>
        <w:rPr>
          <w:i/>
          <w:iCs/>
        </w:rPr>
        <w:t xml:space="preserve">Wittgenstein’s Beetle in a Box Analogy </w:t>
      </w:r>
      <w:r>
        <w:t xml:space="preserve">[video]. 2015 </w:t>
      </w:r>
      <w:r>
        <w:tab/>
        <w:t>&lt;</w:t>
      </w:r>
      <w:hyperlink r:id="rId9" w:history="1">
        <w:r>
          <w:rPr>
            <w:rStyle w:val="Hyperlink"/>
          </w:rPr>
          <w:t>https://www.youtube.com/watch?v=x86hLtOkou8</w:t>
        </w:r>
      </w:hyperlink>
      <w:r>
        <w:t>&gt; [Accessed: 16 Dec. 2019].</w:t>
      </w:r>
    </w:p>
    <w:p w14:paraId="7A62E3D4" w14:textId="77777777" w:rsidR="003B4F38" w:rsidRDefault="003B4F38">
      <w:pPr>
        <w:pStyle w:val="ListParagraph"/>
      </w:pPr>
    </w:p>
    <w:p w14:paraId="3ECB2EE2" w14:textId="77777777" w:rsidR="003B4F38" w:rsidRDefault="00D33A0D">
      <w:pPr>
        <w:pStyle w:val="ListParagraph"/>
        <w:numPr>
          <w:ilvl w:val="0"/>
          <w:numId w:val="1"/>
        </w:numPr>
        <w:spacing w:after="0"/>
      </w:pPr>
      <w:r>
        <w:t xml:space="preserve">Descartes, Rene, </w:t>
      </w:r>
      <w:r>
        <w:rPr>
          <w:i/>
          <w:iCs/>
        </w:rPr>
        <w:t>Meditations</w:t>
      </w:r>
      <w:r>
        <w:t xml:space="preserve">, translated by Clarke, Desmond M., </w:t>
      </w:r>
      <w:r>
        <w:tab/>
      </w:r>
      <w:r>
        <w:tab/>
      </w:r>
      <w:r>
        <w:tab/>
        <w:t>(Penguin Books: London, 2000).</w:t>
      </w:r>
    </w:p>
    <w:p w14:paraId="13D2591D" w14:textId="77777777" w:rsidR="003B4F38" w:rsidRDefault="003B4F38">
      <w:pPr>
        <w:spacing w:after="0"/>
      </w:pPr>
    </w:p>
    <w:p w14:paraId="07B16C2E" w14:textId="77777777" w:rsidR="003B4F38" w:rsidRDefault="00D33A0D">
      <w:pPr>
        <w:pStyle w:val="ListParagraph"/>
        <w:numPr>
          <w:ilvl w:val="0"/>
          <w:numId w:val="1"/>
        </w:numPr>
        <w:spacing w:after="0"/>
      </w:pPr>
      <w:r>
        <w:t xml:space="preserve">Descartes, Rene, </w:t>
      </w:r>
      <w:r>
        <w:rPr>
          <w:i/>
          <w:iCs/>
        </w:rPr>
        <w:t xml:space="preserve">The Passions of the Soul </w:t>
      </w:r>
      <w:r>
        <w:t xml:space="preserve">[Accessed online, 19 Dec. 2019] </w:t>
      </w:r>
      <w:r>
        <w:tab/>
        <w:t>&lt;</w:t>
      </w:r>
      <w:hyperlink r:id="rId10" w:history="1">
        <w:r>
          <w:rPr>
            <w:rStyle w:val="Hyperlink"/>
          </w:rPr>
          <w:t>https://www.corwin.com/sites/default/files/upm-binaries/23183_Chapter_11.pdf</w:t>
        </w:r>
      </w:hyperlink>
      <w:r>
        <w:rPr>
          <w:u w:val="single"/>
        </w:rPr>
        <w:t>&gt;.</w:t>
      </w:r>
    </w:p>
    <w:p w14:paraId="3C8FCE7E" w14:textId="77777777" w:rsidR="003B4F38" w:rsidRDefault="003B4F38">
      <w:pPr>
        <w:pStyle w:val="ListParagraph"/>
        <w:rPr>
          <w:u w:val="single"/>
        </w:rPr>
      </w:pPr>
    </w:p>
    <w:p w14:paraId="73F190EF" w14:textId="77777777" w:rsidR="003B4F38" w:rsidRDefault="00D33A0D">
      <w:pPr>
        <w:pStyle w:val="ListParagraph"/>
        <w:numPr>
          <w:ilvl w:val="0"/>
          <w:numId w:val="1"/>
        </w:numPr>
      </w:pPr>
      <w:r>
        <w:t xml:space="preserve">McGinn, Marie, </w:t>
      </w:r>
      <w:r>
        <w:rPr>
          <w:i/>
          <w:iCs/>
        </w:rPr>
        <w:t xml:space="preserve">Routledge Philosophy Guidebook to Wittgenstein and the Philosophical Investigations, </w:t>
      </w:r>
      <w:r>
        <w:tab/>
      </w:r>
      <w:r>
        <w:tab/>
      </w:r>
      <w:r>
        <w:tab/>
      </w:r>
      <w:r>
        <w:tab/>
      </w:r>
      <w:r>
        <w:tab/>
      </w:r>
      <w:r>
        <w:tab/>
      </w:r>
      <w:r>
        <w:tab/>
      </w:r>
      <w:r>
        <w:tab/>
      </w:r>
      <w:r>
        <w:tab/>
      </w:r>
      <w:r>
        <w:tab/>
      </w:r>
      <w:r>
        <w:tab/>
        <w:t>(Taylor &amp; Francis: Cambridge, 2002), p. 178.</w:t>
      </w:r>
    </w:p>
    <w:p w14:paraId="155226E0" w14:textId="77777777" w:rsidR="003B4F38" w:rsidRDefault="003B4F38">
      <w:pPr>
        <w:pStyle w:val="ListParagraph"/>
      </w:pPr>
    </w:p>
    <w:p w14:paraId="0BAA1135" w14:textId="77777777" w:rsidR="003B4F38" w:rsidRDefault="00D33A0D">
      <w:pPr>
        <w:pStyle w:val="ListParagraph"/>
        <w:numPr>
          <w:ilvl w:val="0"/>
          <w:numId w:val="1"/>
        </w:numPr>
      </w:pPr>
      <w:proofErr w:type="spellStart"/>
      <w:r>
        <w:t>Merleau-Ponty</w:t>
      </w:r>
      <w:proofErr w:type="spellEnd"/>
      <w:r>
        <w:t xml:space="preserve">, Maurice, </w:t>
      </w:r>
      <w:r>
        <w:rPr>
          <w:i/>
          <w:iCs/>
        </w:rPr>
        <w:t>Phenomenology of Perception</w:t>
      </w:r>
      <w:r>
        <w:t xml:space="preserve">, </w:t>
      </w:r>
      <w:r>
        <w:tab/>
      </w:r>
      <w:r>
        <w:tab/>
      </w:r>
      <w:r>
        <w:tab/>
      </w:r>
      <w:r>
        <w:tab/>
        <w:t>(London:</w:t>
      </w:r>
      <w:r>
        <w:rPr>
          <w:rFonts w:cs="Calibri"/>
          <w:color w:val="000000"/>
          <w:sz w:val="18"/>
          <w:lang w:eastAsia="en-GB"/>
        </w:rPr>
        <w:t xml:space="preserve"> </w:t>
      </w:r>
      <w:r>
        <w:t>Routledge &amp; Kegan Paul, 1962).</w:t>
      </w:r>
    </w:p>
    <w:p w14:paraId="1662C9B7" w14:textId="77777777" w:rsidR="003B4F38" w:rsidRDefault="003B4F38">
      <w:pPr>
        <w:pStyle w:val="ListParagraph"/>
      </w:pPr>
    </w:p>
    <w:p w14:paraId="66E13271" w14:textId="77777777" w:rsidR="003B4F38" w:rsidRDefault="00D33A0D">
      <w:pPr>
        <w:pStyle w:val="ListParagraph"/>
        <w:numPr>
          <w:ilvl w:val="0"/>
          <w:numId w:val="1"/>
        </w:numPr>
        <w:spacing w:after="0"/>
      </w:pPr>
      <w:r>
        <w:t xml:space="preserve">Russell, Bertrand, </w:t>
      </w:r>
      <w:proofErr w:type="gramStart"/>
      <w:r>
        <w:rPr>
          <w:i/>
          <w:iCs/>
        </w:rPr>
        <w:t>The</w:t>
      </w:r>
      <w:proofErr w:type="gramEnd"/>
      <w:r>
        <w:rPr>
          <w:i/>
          <w:iCs/>
        </w:rPr>
        <w:t xml:space="preserve"> Problems of Philosophy, </w:t>
      </w:r>
      <w:r>
        <w:t>(Oxford, Oxford University Press, 1980).</w:t>
      </w:r>
    </w:p>
    <w:p w14:paraId="68590565" w14:textId="77777777" w:rsidR="003B4F38" w:rsidRDefault="003B4F38">
      <w:pPr>
        <w:spacing w:after="0"/>
      </w:pPr>
    </w:p>
    <w:p w14:paraId="3A30E68F" w14:textId="77777777" w:rsidR="003B4F38" w:rsidRDefault="00D33A0D">
      <w:pPr>
        <w:pStyle w:val="ListParagraph"/>
        <w:numPr>
          <w:ilvl w:val="0"/>
          <w:numId w:val="1"/>
        </w:numPr>
      </w:pPr>
      <w:r>
        <w:t xml:space="preserve">Ryle, Gilbert, </w:t>
      </w:r>
      <w:proofErr w:type="gramStart"/>
      <w:r>
        <w:rPr>
          <w:i/>
          <w:iCs/>
        </w:rPr>
        <w:t>The</w:t>
      </w:r>
      <w:proofErr w:type="gramEnd"/>
      <w:r>
        <w:rPr>
          <w:i/>
          <w:iCs/>
        </w:rPr>
        <w:t xml:space="preserve"> Concept of Mind</w:t>
      </w:r>
      <w:r>
        <w:t>, (Chicago: University of Chicago Press, 2002).</w:t>
      </w:r>
    </w:p>
    <w:p w14:paraId="0109C0E3" w14:textId="77777777" w:rsidR="003B4F38" w:rsidRDefault="003B4F38">
      <w:pPr>
        <w:pStyle w:val="ListParagraph"/>
        <w:spacing w:after="0"/>
      </w:pPr>
    </w:p>
    <w:p w14:paraId="6E397C22" w14:textId="77777777" w:rsidR="003B4F38" w:rsidRDefault="00D33A0D">
      <w:pPr>
        <w:pStyle w:val="ListParagraph"/>
        <w:numPr>
          <w:ilvl w:val="0"/>
          <w:numId w:val="1"/>
        </w:numPr>
      </w:pPr>
      <w:r>
        <w:t xml:space="preserve">Wittgenstein, Ludwig, </w:t>
      </w:r>
      <w:r>
        <w:rPr>
          <w:i/>
          <w:iCs/>
        </w:rPr>
        <w:t xml:space="preserve">Philosophical Investigations </w:t>
      </w:r>
      <w:r>
        <w:t>4</w:t>
      </w:r>
      <w:r>
        <w:rPr>
          <w:vertAlign w:val="superscript"/>
        </w:rPr>
        <w:t>th</w:t>
      </w:r>
      <w:r>
        <w:t xml:space="preserve"> </w:t>
      </w:r>
      <w:proofErr w:type="gramStart"/>
      <w:r>
        <w:t>ed</w:t>
      </w:r>
      <w:proofErr w:type="gramEnd"/>
      <w:r>
        <w:t xml:space="preserve">. </w:t>
      </w:r>
      <w:r>
        <w:tab/>
      </w:r>
      <w:r>
        <w:tab/>
      </w:r>
      <w:r>
        <w:tab/>
      </w:r>
      <w:r>
        <w:tab/>
        <w:t>(Blackwell Publishing: West Sussex, 2009).</w:t>
      </w:r>
    </w:p>
    <w:p w14:paraId="6C5A5EC4" w14:textId="77777777" w:rsidR="003A68C4" w:rsidRDefault="003A68C4" w:rsidP="003A68C4"/>
    <w:p w14:paraId="51FA3ED1" w14:textId="0848C566" w:rsidR="003A68C4" w:rsidRDefault="003A68C4">
      <w:pPr>
        <w:suppressAutoHyphens w:val="0"/>
      </w:pPr>
      <w:r>
        <w:br w:type="page"/>
      </w:r>
    </w:p>
    <w:p w14:paraId="6AC99BFD" w14:textId="77777777" w:rsidR="003A68C4" w:rsidRDefault="003A68C4" w:rsidP="003A68C4"/>
    <w:p w14:paraId="5372331E" w14:textId="77777777" w:rsidR="003A68C4" w:rsidRDefault="003A68C4" w:rsidP="003A68C4"/>
    <w:p w14:paraId="5F1FE9A0" w14:textId="4CFBAAFA" w:rsidR="003A68C4" w:rsidRDefault="003A68C4" w:rsidP="003A68C4">
      <w:pPr>
        <w:rPr>
          <w:rFonts w:ascii="Arial" w:hAnsi="Arial" w:cs="Arial"/>
          <w:b/>
          <w:sz w:val="32"/>
          <w:szCs w:val="32"/>
          <w:u w:val="single"/>
        </w:rPr>
      </w:pPr>
      <w:r>
        <w:rPr>
          <w:rFonts w:ascii="Arial" w:hAnsi="Arial" w:cs="Arial"/>
          <w:b/>
          <w:sz w:val="32"/>
          <w:szCs w:val="32"/>
          <w:u w:val="single"/>
        </w:rPr>
        <w:t>Lecturer comment</w:t>
      </w:r>
    </w:p>
    <w:p w14:paraId="4AF5A65A" w14:textId="14EE254E" w:rsidR="003A68C4" w:rsidRPr="00D371E9" w:rsidRDefault="003A68C4" w:rsidP="003A68C4">
      <w:pPr>
        <w:rPr>
          <w:rFonts w:ascii="Arial" w:hAnsi="Arial" w:cs="Arial"/>
          <w:sz w:val="32"/>
          <w:szCs w:val="32"/>
        </w:rPr>
      </w:pPr>
      <w:r>
        <w:rPr>
          <w:rFonts w:ascii="Arial" w:hAnsi="Arial" w:cs="Arial"/>
          <w:sz w:val="32"/>
          <w:szCs w:val="32"/>
        </w:rPr>
        <w:t>This is an interesting account and a good read, well-written, conceived and researched. The paper offers a key account of relevant themes of the later Wittgenstein and you offer an analysis of those themes.</w:t>
      </w:r>
      <w:r w:rsidR="00D371E9">
        <w:rPr>
          <w:rFonts w:ascii="Arial" w:hAnsi="Arial" w:cs="Arial"/>
          <w:sz w:val="32"/>
          <w:szCs w:val="32"/>
        </w:rPr>
        <w:t xml:space="preserve"> You could have focussed a bit more on aspectual seeing/seeing-as. You may have been aided in this by a bit more secondary reading and attention to the direct references from the </w:t>
      </w:r>
      <w:r w:rsidR="00D371E9">
        <w:rPr>
          <w:rFonts w:ascii="Arial" w:hAnsi="Arial" w:cs="Arial"/>
          <w:i/>
          <w:sz w:val="32"/>
          <w:szCs w:val="32"/>
        </w:rPr>
        <w:t>Investigations</w:t>
      </w:r>
      <w:r w:rsidR="00D371E9">
        <w:rPr>
          <w:rFonts w:ascii="Arial" w:hAnsi="Arial" w:cs="Arial"/>
          <w:sz w:val="32"/>
          <w:szCs w:val="32"/>
        </w:rPr>
        <w:t>. The argument could have gone further by really dissecting W’s analysis and offering something concrete of your own, although the analysis from the problems around the representative theory was</w:t>
      </w:r>
      <w:bookmarkStart w:id="25" w:name="_GoBack"/>
      <w:bookmarkEnd w:id="25"/>
      <w:r w:rsidR="00D371E9">
        <w:rPr>
          <w:rFonts w:ascii="Arial" w:hAnsi="Arial" w:cs="Arial"/>
          <w:sz w:val="32"/>
          <w:szCs w:val="32"/>
        </w:rPr>
        <w:t xml:space="preserve"> good. </w:t>
      </w:r>
    </w:p>
    <w:sectPr w:rsidR="003A68C4" w:rsidRPr="00D371E9">
      <w:pgSz w:w="11906" w:h="16838"/>
      <w:pgMar w:top="1440" w:right="1440" w:bottom="1440" w:left="1440" w:header="720" w:footer="720" w:gutter="0"/>
      <w:cols w:space="72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Gavin Palmer" w:date="2020-01-08T16:55:00Z" w:initials="GP">
    <w:p w14:paraId="3EBD8F06" w14:textId="5CF7FAE3" w:rsidR="004D1E6B" w:rsidRDefault="004D1E6B">
      <w:pPr>
        <w:pStyle w:val="CommentText"/>
      </w:pPr>
      <w:r>
        <w:rPr>
          <w:rStyle w:val="CommentReference"/>
        </w:rPr>
        <w:annotationRef/>
      </w:r>
      <w:r>
        <w:t xml:space="preserve">Good introduction. </w:t>
      </w:r>
    </w:p>
  </w:comment>
  <w:comment w:id="1" w:author="Gavin Palmer" w:date="2020-01-08T16:57:00Z" w:initials="GP">
    <w:p w14:paraId="3060C5E2" w14:textId="0B944CC4" w:rsidR="004D1E6B" w:rsidRDefault="004D1E6B">
      <w:pPr>
        <w:pStyle w:val="CommentText"/>
      </w:pPr>
      <w:r>
        <w:rPr>
          <w:rStyle w:val="CommentReference"/>
        </w:rPr>
        <w:annotationRef/>
      </w:r>
    </w:p>
  </w:comment>
  <w:comment w:id="2" w:author="Gavin Palmer" w:date="2020-01-08T16:57:00Z" w:initials="GP">
    <w:p w14:paraId="7FF1D784" w14:textId="7BE5EAA5" w:rsidR="004D1E6B" w:rsidRDefault="004D1E6B">
      <w:pPr>
        <w:pStyle w:val="CommentText"/>
      </w:pPr>
      <w:r>
        <w:rPr>
          <w:rStyle w:val="CommentReference"/>
        </w:rPr>
        <w:annotationRef/>
      </w:r>
    </w:p>
  </w:comment>
  <w:comment w:id="3" w:author="Gavin Palmer" w:date="2020-01-08T16:57:00Z" w:initials="GP">
    <w:p w14:paraId="0D24E93C" w14:textId="284BB698" w:rsidR="004D1E6B" w:rsidRPr="00EA7957" w:rsidRDefault="004D1E6B" w:rsidP="004D1E6B">
      <w:pPr>
        <w:pStyle w:val="paragraph"/>
        <w:textAlignment w:val="baseline"/>
        <w:rPr>
          <w:rFonts w:ascii="Arial" w:hAnsi="Arial" w:cs="Arial"/>
          <w:lang w:val="en-US"/>
        </w:rPr>
      </w:pPr>
      <w:r>
        <w:rPr>
          <w:rStyle w:val="CommentReference"/>
        </w:rPr>
        <w:annotationRef/>
      </w:r>
      <w:r>
        <w:t xml:space="preserve">You need to be careful here. Perhaps it would be useful to use </w:t>
      </w:r>
      <w:proofErr w:type="gramStart"/>
      <w:r>
        <w:t xml:space="preserve">the </w:t>
      </w:r>
      <w:r w:rsidRPr="00EA7957">
        <w:rPr>
          <w:rStyle w:val="normaltextrun1"/>
          <w:rFonts w:ascii="Arial" w:hAnsi="Arial" w:cs="Arial"/>
          <w:sz w:val="28"/>
          <w:szCs w:val="28"/>
          <w:lang w:val="en-US"/>
        </w:rPr>
        <w:t xml:space="preserve"> </w:t>
      </w:r>
      <w:r w:rsidRPr="004D1E6B">
        <w:t>‘An</w:t>
      </w:r>
      <w:proofErr w:type="gramEnd"/>
      <w:r w:rsidRPr="004D1E6B">
        <w:t xml:space="preserve"> ‘inner process’ stands in need of outward criteria.’ (PI </w:t>
      </w:r>
      <w:r>
        <w:t xml:space="preserve">580) quote. “Pain” is not fundamentally or semantically/’grammatically’ internal. </w:t>
      </w:r>
    </w:p>
    <w:p w14:paraId="3E67BA59" w14:textId="34C538E8" w:rsidR="004D1E6B" w:rsidRDefault="004D1E6B">
      <w:pPr>
        <w:pStyle w:val="CommentText"/>
      </w:pPr>
    </w:p>
  </w:comment>
  <w:comment w:id="8" w:author="Gavin Palmer" w:date="2020-01-08T17:01:00Z" w:initials="GP">
    <w:p w14:paraId="2380D47E" w14:textId="240673D3" w:rsidR="004D1E6B" w:rsidRDefault="004D1E6B">
      <w:pPr>
        <w:pStyle w:val="CommentText"/>
      </w:pPr>
      <w:r>
        <w:rPr>
          <w:rStyle w:val="CommentReference"/>
        </w:rPr>
        <w:annotationRef/>
      </w:r>
      <w:r>
        <w:t xml:space="preserve">You need some comment on the relevance of this to the question. </w:t>
      </w:r>
    </w:p>
  </w:comment>
  <w:comment w:id="9" w:author="Gavin Palmer" w:date="2020-01-08T17:04:00Z" w:initials="GP">
    <w:p w14:paraId="51C642F0" w14:textId="75F17C30" w:rsidR="00B3522D" w:rsidRDefault="00B3522D">
      <w:pPr>
        <w:pStyle w:val="CommentText"/>
      </w:pPr>
      <w:r>
        <w:rPr>
          <w:rStyle w:val="CommentReference"/>
        </w:rPr>
        <w:annotationRef/>
      </w:r>
      <w:r>
        <w:t>It will be interesting to see where this goes….</w:t>
      </w:r>
    </w:p>
  </w:comment>
  <w:comment w:id="12" w:author="Gavin Palmer" w:date="2020-01-08T17:07:00Z" w:initials="GP">
    <w:p w14:paraId="4C3644D5" w14:textId="55969EFF" w:rsidR="00B3522D" w:rsidRDefault="00B3522D">
      <w:pPr>
        <w:pStyle w:val="CommentText"/>
      </w:pPr>
      <w:r>
        <w:rPr>
          <w:rStyle w:val="CommentReference"/>
        </w:rPr>
        <w:annotationRef/>
      </w:r>
      <w:r>
        <w:t xml:space="preserve">This is all good, but again, I’m looking forward to reading about its relevance to this question. </w:t>
      </w:r>
    </w:p>
  </w:comment>
  <w:comment w:id="16" w:author="Gavin Palmer" w:date="2020-01-08T17:09:00Z" w:initials="GP">
    <w:p w14:paraId="659634F8" w14:textId="619E2E41" w:rsidR="00B3522D" w:rsidRDefault="00B3522D">
      <w:pPr>
        <w:pStyle w:val="CommentText"/>
      </w:pPr>
      <w:r>
        <w:rPr>
          <w:rStyle w:val="CommentReference"/>
        </w:rPr>
        <w:annotationRef/>
      </w:r>
      <w:r>
        <w:t xml:space="preserve">You need to look at this again. </w:t>
      </w:r>
    </w:p>
  </w:comment>
  <w:comment w:id="18" w:author="Gavin Palmer" w:date="2020-01-08T17:11:00Z" w:initials="GP">
    <w:p w14:paraId="0C615F10" w14:textId="2C983542" w:rsidR="00B3522D" w:rsidRDefault="00B3522D">
      <w:pPr>
        <w:pStyle w:val="CommentText"/>
      </w:pPr>
      <w:r>
        <w:rPr>
          <w:rStyle w:val="CommentReference"/>
        </w:rPr>
        <w:annotationRef/>
      </w:r>
      <w:r>
        <w:t xml:space="preserve">Good. </w:t>
      </w:r>
    </w:p>
  </w:comment>
  <w:comment w:id="22" w:author="Gavin Palmer" w:date="2020-01-08T17:11:00Z" w:initials="GP">
    <w:p w14:paraId="663FFE84" w14:textId="57094468" w:rsidR="00B3522D" w:rsidRDefault="00B3522D">
      <w:pPr>
        <w:pStyle w:val="CommentText"/>
      </w:pPr>
      <w:r>
        <w:rPr>
          <w:rStyle w:val="CommentReference"/>
        </w:rPr>
        <w:annotationRef/>
      </w:r>
      <w:r>
        <w:t>Nice connection!</w:t>
      </w:r>
    </w:p>
  </w:comment>
  <w:comment w:id="23" w:author="Gavin Palmer" w:date="2020-01-08T17:13:00Z" w:initials="GP">
    <w:p w14:paraId="01C44001" w14:textId="5E553695" w:rsidR="006521F2" w:rsidRDefault="006521F2">
      <w:pPr>
        <w:pStyle w:val="CommentText"/>
      </w:pPr>
      <w:r>
        <w:rPr>
          <w:rStyle w:val="CommentReference"/>
        </w:rPr>
        <w:annotationRef/>
      </w:r>
      <w:r>
        <w:t xml:space="preserve">I’d be tempted to use the term empiricist here. With ‘empiricism’ we may talk about a theory of knowledge or of perception, whereas as “materialist reductionist” implies a methodological and/or metaphysical implication. </w:t>
      </w:r>
    </w:p>
  </w:comment>
  <w:comment w:id="24" w:author="Gavin Palmer" w:date="2020-01-08T17:18:00Z" w:initials="GP">
    <w:p w14:paraId="061BCAD9" w14:textId="23AFBD60" w:rsidR="006521F2" w:rsidRDefault="006521F2">
      <w:pPr>
        <w:pStyle w:val="CommentText"/>
      </w:pPr>
      <w:r>
        <w:rPr>
          <w:rStyle w:val="CommentReference"/>
        </w:rPr>
        <w:annotationRef/>
      </w:r>
      <w:r>
        <w:t>Nice point an link to MP. What would you say to someone who perhaps had a condition that caused problems with pattern-recognition (e.g. a smile)? Would they not be living as a part of the world?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EBD8F06" w15:done="0"/>
  <w15:commentEx w15:paraId="3060C5E2" w15:done="0"/>
  <w15:commentEx w15:paraId="7FF1D784" w15:paraIdParent="3060C5E2" w15:done="0"/>
  <w15:commentEx w15:paraId="3E67BA59" w15:paraIdParent="3060C5E2" w15:done="0"/>
  <w15:commentEx w15:paraId="2380D47E" w15:done="0"/>
  <w15:commentEx w15:paraId="51C642F0" w15:done="0"/>
  <w15:commentEx w15:paraId="4C3644D5" w15:done="0"/>
  <w15:commentEx w15:paraId="659634F8" w15:done="0"/>
  <w15:commentEx w15:paraId="0C615F10" w15:done="0"/>
  <w15:commentEx w15:paraId="663FFE84" w15:done="0"/>
  <w15:commentEx w15:paraId="01C44001" w15:done="0"/>
  <w15:commentEx w15:paraId="061BCAD9"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2E8F03" w14:textId="77777777" w:rsidR="0097126F" w:rsidRDefault="0097126F">
      <w:pPr>
        <w:spacing w:after="0"/>
      </w:pPr>
      <w:r>
        <w:separator/>
      </w:r>
    </w:p>
  </w:endnote>
  <w:endnote w:type="continuationSeparator" w:id="0">
    <w:p w14:paraId="14290B38" w14:textId="77777777" w:rsidR="0097126F" w:rsidRDefault="0097126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3B5191" w14:textId="77777777" w:rsidR="0097126F" w:rsidRDefault="0097126F">
      <w:pPr>
        <w:spacing w:after="0"/>
      </w:pPr>
      <w:r>
        <w:rPr>
          <w:color w:val="000000"/>
        </w:rPr>
        <w:separator/>
      </w:r>
    </w:p>
  </w:footnote>
  <w:footnote w:type="continuationSeparator" w:id="0">
    <w:p w14:paraId="403B0642" w14:textId="77777777" w:rsidR="0097126F" w:rsidRDefault="0097126F">
      <w:pPr>
        <w:spacing w:after="0"/>
      </w:pPr>
      <w:r>
        <w:continuationSeparator/>
      </w:r>
    </w:p>
  </w:footnote>
  <w:footnote w:id="1">
    <w:p w14:paraId="5844F4E5" w14:textId="77777777" w:rsidR="003B4F38" w:rsidRDefault="00D33A0D">
      <w:pPr>
        <w:pStyle w:val="FootnoteText"/>
      </w:pPr>
      <w:r>
        <w:rPr>
          <w:rStyle w:val="FootnoteReference"/>
        </w:rPr>
        <w:footnoteRef/>
      </w:r>
      <w:r>
        <w:t xml:space="preserve"> </w:t>
      </w:r>
      <w:bookmarkStart w:id="4" w:name="_Hlk27841904"/>
      <w:r>
        <w:t xml:space="preserve">Wittgenstein, Ludwig, </w:t>
      </w:r>
      <w:r>
        <w:rPr>
          <w:i/>
          <w:iCs/>
        </w:rPr>
        <w:t xml:space="preserve">Philosophical Investigations </w:t>
      </w:r>
      <w:r>
        <w:t>4</w:t>
      </w:r>
      <w:r>
        <w:rPr>
          <w:vertAlign w:val="superscript"/>
        </w:rPr>
        <w:t>th</w:t>
      </w:r>
      <w:r>
        <w:t xml:space="preserve"> ed. (Blackwell Publishing: West Sussex, 2009)</w:t>
      </w:r>
      <w:r>
        <w:rPr>
          <w:lang w:val="en-US"/>
        </w:rPr>
        <w:t xml:space="preserve"> </w:t>
      </w:r>
      <w:bookmarkEnd w:id="4"/>
      <w:r>
        <w:rPr>
          <w:lang w:val="en-US"/>
        </w:rPr>
        <w:t>p. 98.</w:t>
      </w:r>
    </w:p>
  </w:footnote>
  <w:footnote w:id="2">
    <w:p w14:paraId="6873C729" w14:textId="77777777" w:rsidR="003B4F38" w:rsidRDefault="00D33A0D">
      <w:pPr>
        <w:pStyle w:val="FootnoteText"/>
      </w:pPr>
      <w:r>
        <w:rPr>
          <w:rStyle w:val="FootnoteReference"/>
        </w:rPr>
        <w:footnoteRef/>
      </w:r>
      <w:r>
        <w:t xml:space="preserve"> </w:t>
      </w:r>
      <w:r>
        <w:rPr>
          <w:lang w:val="en-US"/>
        </w:rPr>
        <w:t>Ibid.</w:t>
      </w:r>
    </w:p>
  </w:footnote>
  <w:footnote w:id="3">
    <w:p w14:paraId="3CAC6528" w14:textId="77777777" w:rsidR="003B4F38" w:rsidRDefault="00D33A0D">
      <w:pPr>
        <w:pStyle w:val="FootnoteText"/>
      </w:pPr>
      <w:r>
        <w:rPr>
          <w:rStyle w:val="FootnoteReference"/>
        </w:rPr>
        <w:footnoteRef/>
      </w:r>
      <w:r>
        <w:t xml:space="preserve"> </w:t>
      </w:r>
      <w:proofErr w:type="gramStart"/>
      <w:r>
        <w:rPr>
          <w:lang w:val="en-US"/>
        </w:rPr>
        <w:t>Ibid.,</w:t>
      </w:r>
      <w:proofErr w:type="gramEnd"/>
      <w:r>
        <w:rPr>
          <w:lang w:val="en-US"/>
        </w:rPr>
        <w:t xml:space="preserve"> pp. 98-100.</w:t>
      </w:r>
    </w:p>
  </w:footnote>
  <w:footnote w:id="4">
    <w:p w14:paraId="3CB193A3" w14:textId="77777777" w:rsidR="003B4F38" w:rsidRDefault="00D33A0D">
      <w:pPr>
        <w:pStyle w:val="FootnoteText"/>
      </w:pPr>
      <w:r>
        <w:rPr>
          <w:rStyle w:val="FootnoteReference"/>
        </w:rPr>
        <w:footnoteRef/>
      </w:r>
      <w:bookmarkStart w:id="5" w:name="_Hlk27841994"/>
      <w:r>
        <w:t xml:space="preserve"> BBC Radio 4, </w:t>
      </w:r>
      <w:r>
        <w:rPr>
          <w:i/>
          <w:iCs/>
        </w:rPr>
        <w:t xml:space="preserve">Wittgenstein’s Beetle in a Box Analogy </w:t>
      </w:r>
      <w:r>
        <w:t xml:space="preserve">[video]. 2015 </w:t>
      </w:r>
      <w:r>
        <w:tab/>
        <w:t>&lt;</w:t>
      </w:r>
      <w:hyperlink r:id="rId1" w:history="1">
        <w:r>
          <w:rPr>
            <w:rStyle w:val="Hyperlink"/>
          </w:rPr>
          <w:t>https://www.youtube.com/wat</w:t>
        </w:r>
        <w:bookmarkStart w:id="6" w:name="_Hlt27839556"/>
        <w:bookmarkStart w:id="7" w:name="_Hlt27839557"/>
        <w:r>
          <w:rPr>
            <w:rStyle w:val="Hyperlink"/>
          </w:rPr>
          <w:t>c</w:t>
        </w:r>
        <w:bookmarkEnd w:id="6"/>
        <w:bookmarkEnd w:id="7"/>
        <w:r>
          <w:rPr>
            <w:rStyle w:val="Hyperlink"/>
          </w:rPr>
          <w:t>h?v=x86hLtOkou8</w:t>
        </w:r>
      </w:hyperlink>
      <w:r>
        <w:t>&gt; [Accessed: 16 Dec. 2019]</w:t>
      </w:r>
      <w:bookmarkEnd w:id="5"/>
    </w:p>
  </w:footnote>
  <w:footnote w:id="5">
    <w:p w14:paraId="0379A178" w14:textId="77777777" w:rsidR="003B4F38" w:rsidRDefault="00D33A0D">
      <w:pPr>
        <w:pStyle w:val="FootnoteText"/>
      </w:pPr>
      <w:r>
        <w:rPr>
          <w:rStyle w:val="FootnoteReference"/>
        </w:rPr>
        <w:footnoteRef/>
      </w:r>
      <w:r>
        <w:t xml:space="preserve"> Wittgenstein, </w:t>
      </w:r>
      <w:r>
        <w:rPr>
          <w:i/>
          <w:iCs/>
        </w:rPr>
        <w:t xml:space="preserve">Philosophical Investigations, </w:t>
      </w:r>
      <w:r>
        <w:t>p. 107.</w:t>
      </w:r>
    </w:p>
  </w:footnote>
  <w:footnote w:id="6">
    <w:p w14:paraId="6C34367B" w14:textId="77777777" w:rsidR="003B4F38" w:rsidRDefault="00D33A0D">
      <w:pPr>
        <w:pStyle w:val="FootnoteText"/>
      </w:pPr>
      <w:r>
        <w:rPr>
          <w:rStyle w:val="FootnoteReference"/>
        </w:rPr>
        <w:footnoteRef/>
      </w:r>
      <w:r>
        <w:t xml:space="preserve"> </w:t>
      </w:r>
      <w:proofErr w:type="gramStart"/>
      <w:r>
        <w:t>Ibid.,</w:t>
      </w:r>
      <w:proofErr w:type="gramEnd"/>
      <w:r>
        <w:t xml:space="preserve"> p. 206.</w:t>
      </w:r>
    </w:p>
  </w:footnote>
  <w:footnote w:id="7">
    <w:p w14:paraId="2A1B0E3C" w14:textId="77777777" w:rsidR="003B4F38" w:rsidRDefault="00D33A0D">
      <w:pPr>
        <w:pStyle w:val="FootnoteText"/>
      </w:pPr>
      <w:r>
        <w:rPr>
          <w:rStyle w:val="FootnoteReference"/>
        </w:rPr>
        <w:footnoteRef/>
      </w:r>
      <w:r>
        <w:t xml:space="preserve"> </w:t>
      </w:r>
      <w:bookmarkStart w:id="10" w:name="_Hlk27842040"/>
      <w:r>
        <w:t xml:space="preserve">Descartes, Rene, </w:t>
      </w:r>
      <w:r>
        <w:rPr>
          <w:i/>
          <w:iCs/>
        </w:rPr>
        <w:t>Meditations</w:t>
      </w:r>
      <w:r>
        <w:t>, translated by Clarke, Desmond M., (Penguin Books: London, 2000)</w:t>
      </w:r>
      <w:bookmarkEnd w:id="10"/>
      <w:r>
        <w:t xml:space="preserve"> pp. 66-83.</w:t>
      </w:r>
    </w:p>
  </w:footnote>
  <w:footnote w:id="8">
    <w:p w14:paraId="6AFDEFE2" w14:textId="77777777" w:rsidR="003B4F38" w:rsidRDefault="00D33A0D">
      <w:pPr>
        <w:pStyle w:val="FootnoteText"/>
      </w:pPr>
      <w:r>
        <w:rPr>
          <w:rStyle w:val="FootnoteReference"/>
        </w:rPr>
        <w:footnoteRef/>
      </w:r>
      <w:bookmarkStart w:id="11" w:name="_Hlk27842081"/>
      <w:r>
        <w:t xml:space="preserve">Ryle, Gilbert, </w:t>
      </w:r>
      <w:proofErr w:type="gramStart"/>
      <w:r>
        <w:rPr>
          <w:i/>
          <w:iCs/>
        </w:rPr>
        <w:t>The</w:t>
      </w:r>
      <w:proofErr w:type="gramEnd"/>
      <w:r>
        <w:rPr>
          <w:i/>
          <w:iCs/>
        </w:rPr>
        <w:t xml:space="preserve"> Concept of Mind</w:t>
      </w:r>
      <w:r>
        <w:t>, (Chicago: University of Chicago Press, 2002)</w:t>
      </w:r>
      <w:bookmarkEnd w:id="11"/>
      <w:r>
        <w:t xml:space="preserve"> pp. 327.</w:t>
      </w:r>
    </w:p>
  </w:footnote>
  <w:footnote w:id="9">
    <w:p w14:paraId="2AE89402" w14:textId="77777777" w:rsidR="003B4F38" w:rsidRDefault="00D33A0D">
      <w:pPr>
        <w:pStyle w:val="FootnoteText"/>
      </w:pPr>
      <w:r>
        <w:rPr>
          <w:rStyle w:val="FootnoteReference"/>
        </w:rPr>
        <w:footnoteRef/>
      </w:r>
      <w:r>
        <w:t xml:space="preserve"> </w:t>
      </w:r>
      <w:bookmarkStart w:id="13" w:name="_Hlk27842109"/>
      <w:r>
        <w:t xml:space="preserve">Descartes, Rene, </w:t>
      </w:r>
      <w:r>
        <w:rPr>
          <w:i/>
          <w:iCs/>
        </w:rPr>
        <w:t xml:space="preserve">The Passions of the Soul </w:t>
      </w:r>
      <w:r>
        <w:t>[Accessed online, 19 Dec. 2019] &lt;</w:t>
      </w:r>
      <w:hyperlink r:id="rId2" w:history="1">
        <w:r>
          <w:rPr>
            <w:rStyle w:val="Hyperlink"/>
            <w:sz w:val="22"/>
            <w:szCs w:val="22"/>
          </w:rPr>
          <w:t>https://w</w:t>
        </w:r>
        <w:bookmarkStart w:id="14" w:name="_Hlt27840987"/>
        <w:bookmarkStart w:id="15" w:name="_Hlt27840988"/>
        <w:r>
          <w:rPr>
            <w:rStyle w:val="Hyperlink"/>
            <w:sz w:val="22"/>
            <w:szCs w:val="22"/>
          </w:rPr>
          <w:t>w</w:t>
        </w:r>
        <w:bookmarkEnd w:id="14"/>
        <w:bookmarkEnd w:id="15"/>
        <w:r>
          <w:rPr>
            <w:rStyle w:val="Hyperlink"/>
            <w:sz w:val="22"/>
            <w:szCs w:val="22"/>
          </w:rPr>
          <w:t>w.corwin.com/sites/default/files/upm-binaries/23183_Chapter_11.pdf</w:t>
        </w:r>
      </w:hyperlink>
      <w:r>
        <w:rPr>
          <w:color w:val="0000FF"/>
          <w:sz w:val="22"/>
          <w:szCs w:val="22"/>
          <w:u w:val="single"/>
        </w:rPr>
        <w:t>&gt;</w:t>
      </w:r>
      <w:bookmarkEnd w:id="13"/>
      <w:r>
        <w:rPr>
          <w:sz w:val="22"/>
          <w:szCs w:val="22"/>
        </w:rPr>
        <w:t xml:space="preserve"> p.14.</w:t>
      </w:r>
    </w:p>
  </w:footnote>
  <w:footnote w:id="10">
    <w:p w14:paraId="3782E193" w14:textId="77777777" w:rsidR="003B4F38" w:rsidRDefault="00D33A0D">
      <w:pPr>
        <w:pStyle w:val="FootnoteText"/>
      </w:pPr>
      <w:r>
        <w:rPr>
          <w:rStyle w:val="FootnoteReference"/>
        </w:rPr>
        <w:footnoteRef/>
      </w:r>
      <w:r>
        <w:rPr>
          <w:vertAlign w:val="superscript"/>
        </w:rPr>
        <w:t xml:space="preserve">0 </w:t>
      </w:r>
      <w:r>
        <w:t xml:space="preserve">McGinn, Marie, </w:t>
      </w:r>
      <w:r>
        <w:rPr>
          <w:i/>
          <w:iCs/>
        </w:rPr>
        <w:t xml:space="preserve">Routledge Philosophy Guidebook to Wittgenstein and the Philosophical Investigations, </w:t>
      </w:r>
      <w:r>
        <w:tab/>
        <w:t>(Taylor &amp; Francis: Cambridge, 2002), p. 178.</w:t>
      </w:r>
    </w:p>
  </w:footnote>
  <w:footnote w:id="11">
    <w:p w14:paraId="33149DDE" w14:textId="77777777" w:rsidR="003B4F38" w:rsidRDefault="00D33A0D">
      <w:pPr>
        <w:pStyle w:val="FootnoteText"/>
      </w:pPr>
      <w:r>
        <w:rPr>
          <w:rStyle w:val="FootnoteReference"/>
        </w:rPr>
        <w:footnoteRef/>
      </w:r>
      <w:r>
        <w:t xml:space="preserve"> Descartes, </w:t>
      </w:r>
      <w:r>
        <w:rPr>
          <w:i/>
          <w:iCs/>
        </w:rPr>
        <w:t xml:space="preserve">Philosophical Investigations, </w:t>
      </w:r>
      <w:r>
        <w:t>p. 203.</w:t>
      </w:r>
    </w:p>
  </w:footnote>
  <w:footnote w:id="12">
    <w:p w14:paraId="38F922D8" w14:textId="77777777" w:rsidR="003B4F38" w:rsidRDefault="00D33A0D">
      <w:pPr>
        <w:pStyle w:val="FootnoteText"/>
      </w:pPr>
      <w:r>
        <w:rPr>
          <w:rStyle w:val="FootnoteReference"/>
        </w:rPr>
        <w:footnoteRef/>
      </w:r>
      <w:r>
        <w:t xml:space="preserve"> Ibid.</w:t>
      </w:r>
    </w:p>
  </w:footnote>
  <w:footnote w:id="13">
    <w:p w14:paraId="48BA801A" w14:textId="77777777" w:rsidR="003B4F38" w:rsidRDefault="00D33A0D">
      <w:pPr>
        <w:pStyle w:val="FootnoteText"/>
      </w:pPr>
      <w:r>
        <w:rPr>
          <w:rStyle w:val="FootnoteReference"/>
        </w:rPr>
        <w:footnoteRef/>
      </w:r>
      <w:r>
        <w:t xml:space="preserve"> </w:t>
      </w:r>
      <w:bookmarkStart w:id="17" w:name="_Hlk27842154"/>
      <w:r>
        <w:t xml:space="preserve">Russell, Bertrand, </w:t>
      </w:r>
      <w:proofErr w:type="gramStart"/>
      <w:r>
        <w:rPr>
          <w:i/>
          <w:iCs/>
        </w:rPr>
        <w:t>The</w:t>
      </w:r>
      <w:proofErr w:type="gramEnd"/>
      <w:r>
        <w:rPr>
          <w:i/>
          <w:iCs/>
        </w:rPr>
        <w:t xml:space="preserve"> Problems of Philosophy, </w:t>
      </w:r>
      <w:r>
        <w:t>(Oxford, Oxford University Press, 1980).</w:t>
      </w:r>
      <w:bookmarkEnd w:id="17"/>
    </w:p>
  </w:footnote>
  <w:footnote w:id="14">
    <w:p w14:paraId="35D131CC" w14:textId="77777777" w:rsidR="003B4F38" w:rsidRDefault="00D33A0D">
      <w:pPr>
        <w:pStyle w:val="FootnoteText"/>
      </w:pPr>
      <w:r>
        <w:rPr>
          <w:rStyle w:val="FootnoteReference"/>
        </w:rPr>
        <w:footnoteRef/>
      </w:r>
      <w:r>
        <w:t xml:space="preserve"> </w:t>
      </w:r>
      <w:bookmarkStart w:id="19" w:name="_Hlk27843097"/>
      <w:r>
        <w:t xml:space="preserve">Wittgenstein, </w:t>
      </w:r>
      <w:r>
        <w:rPr>
          <w:i/>
          <w:iCs/>
        </w:rPr>
        <w:t>Philosophical Investigations</w:t>
      </w:r>
      <w:r>
        <w:t>, p. 20</w:t>
      </w:r>
      <w:bookmarkEnd w:id="19"/>
      <w:r>
        <w:t>3.</w:t>
      </w:r>
    </w:p>
  </w:footnote>
  <w:footnote w:id="15">
    <w:p w14:paraId="35703C79" w14:textId="77777777" w:rsidR="003B4F38" w:rsidRDefault="00D33A0D">
      <w:pPr>
        <w:pStyle w:val="FootnoteText"/>
      </w:pPr>
      <w:r>
        <w:rPr>
          <w:rStyle w:val="FootnoteReference"/>
        </w:rPr>
        <w:footnoteRef/>
      </w:r>
      <w:r>
        <w:t xml:space="preserve"> </w:t>
      </w:r>
      <w:bookmarkStart w:id="20" w:name="_Hlk27841934"/>
      <w:bookmarkStart w:id="21" w:name="_Hlk26999416"/>
      <w:proofErr w:type="spellStart"/>
      <w:r>
        <w:t>Merleau-Ponty</w:t>
      </w:r>
      <w:proofErr w:type="spellEnd"/>
      <w:r>
        <w:t xml:space="preserve">, Maurice, </w:t>
      </w:r>
      <w:r>
        <w:rPr>
          <w:i/>
          <w:iCs/>
        </w:rPr>
        <w:t>Phenomenology of Perception</w:t>
      </w:r>
      <w:r>
        <w:t>, (London:</w:t>
      </w:r>
      <w:r>
        <w:rPr>
          <w:rFonts w:cs="Calibri"/>
          <w:color w:val="000000"/>
          <w:sz w:val="18"/>
          <w:lang w:eastAsia="en-GB"/>
        </w:rPr>
        <w:t xml:space="preserve"> </w:t>
      </w:r>
      <w:r>
        <w:t>Routledge &amp; Kegan Paul, 1962)</w:t>
      </w:r>
      <w:bookmarkEnd w:id="20"/>
      <w:r>
        <w:t xml:space="preserve"> </w:t>
      </w:r>
      <w:bookmarkEnd w:id="21"/>
      <w:r>
        <w:t>p. 53.</w:t>
      </w:r>
    </w:p>
  </w:footnote>
  <w:footnote w:id="16">
    <w:p w14:paraId="2DCCADDF" w14:textId="77777777" w:rsidR="003B4F38" w:rsidRDefault="00D33A0D">
      <w:pPr>
        <w:pStyle w:val="FootnoteText"/>
      </w:pPr>
      <w:r>
        <w:rPr>
          <w:rStyle w:val="FootnoteReference"/>
        </w:rPr>
        <w:footnoteRef/>
      </w:r>
      <w:r>
        <w:t xml:space="preserve"> Ibid.</w:t>
      </w:r>
    </w:p>
  </w:footnote>
  <w:footnote w:id="17">
    <w:p w14:paraId="20371B88" w14:textId="77777777" w:rsidR="003B4F38" w:rsidRDefault="00D33A0D">
      <w:pPr>
        <w:pStyle w:val="FootnoteText"/>
      </w:pPr>
      <w:r>
        <w:rPr>
          <w:rStyle w:val="FootnoteReference"/>
        </w:rPr>
        <w:footnoteRef/>
      </w:r>
      <w:r>
        <w:t xml:space="preserve"> Wittgenstein, </w:t>
      </w:r>
      <w:r>
        <w:rPr>
          <w:i/>
          <w:iCs/>
        </w:rPr>
        <w:t>Philosophical Investigations</w:t>
      </w:r>
      <w:r>
        <w:t>, p. 204.</w:t>
      </w:r>
    </w:p>
  </w:footnote>
  <w:footnote w:id="18">
    <w:p w14:paraId="7D27E9DF" w14:textId="77777777" w:rsidR="003B4F38" w:rsidRDefault="00D33A0D">
      <w:pPr>
        <w:pStyle w:val="FootnoteText"/>
      </w:pPr>
      <w:r>
        <w:rPr>
          <w:rStyle w:val="FootnoteReference"/>
        </w:rPr>
        <w:footnoteRef/>
      </w:r>
      <w:r>
        <w:t xml:space="preserve"> </w:t>
      </w:r>
      <w:proofErr w:type="gramStart"/>
      <w:r>
        <w:t>Ibid.,</w:t>
      </w:r>
      <w:proofErr w:type="gramEnd"/>
      <w:r>
        <w:t xml:space="preserve"> pp. 204-207.</w:t>
      </w:r>
    </w:p>
  </w:footnote>
  <w:footnote w:id="19">
    <w:p w14:paraId="7F441C6C" w14:textId="77777777" w:rsidR="003B4F38" w:rsidRDefault="00D33A0D">
      <w:pPr>
        <w:pStyle w:val="FootnoteText"/>
      </w:pPr>
      <w:r>
        <w:rPr>
          <w:rStyle w:val="FootnoteReference"/>
        </w:rPr>
        <w:footnoteRef/>
      </w:r>
      <w:r>
        <w:t xml:space="preserve"> Ibid.</w:t>
      </w:r>
    </w:p>
  </w:footnote>
  <w:footnote w:id="20">
    <w:p w14:paraId="73036AB8" w14:textId="77777777" w:rsidR="003B4F38" w:rsidRDefault="00D33A0D">
      <w:pPr>
        <w:pStyle w:val="FootnoteText"/>
      </w:pPr>
      <w:r>
        <w:rPr>
          <w:rStyle w:val="FootnoteReference"/>
        </w:rPr>
        <w:footnoteRef/>
      </w:r>
      <w:r>
        <w:t xml:space="preserve"> Ibid. p. 208.</w:t>
      </w:r>
    </w:p>
  </w:footnote>
  <w:footnote w:id="21">
    <w:p w14:paraId="65220F0D" w14:textId="77777777" w:rsidR="003B4F38" w:rsidRDefault="00D33A0D">
      <w:pPr>
        <w:pStyle w:val="FootnoteText"/>
      </w:pPr>
      <w:r>
        <w:rPr>
          <w:rStyle w:val="FootnoteReference"/>
        </w:rPr>
        <w:footnoteRef/>
      </w:r>
      <w:r>
        <w:t xml:space="preserve"> Ibid.</w:t>
      </w:r>
    </w:p>
  </w:footnote>
  <w:footnote w:id="22">
    <w:p w14:paraId="66A84973" w14:textId="77777777" w:rsidR="003B4F38" w:rsidRDefault="00D33A0D">
      <w:pPr>
        <w:pStyle w:val="FootnoteText"/>
      </w:pPr>
      <w:r>
        <w:rPr>
          <w:rStyle w:val="FootnoteReference"/>
        </w:rPr>
        <w:footnoteRef/>
      </w:r>
      <w:r>
        <w:t xml:space="preserve"> </w:t>
      </w:r>
      <w:proofErr w:type="gramStart"/>
      <w:r>
        <w:t>Ibid.,</w:t>
      </w:r>
      <w:proofErr w:type="gramEnd"/>
      <w:r>
        <w:t xml:space="preserve"> p. 208.</w:t>
      </w:r>
    </w:p>
  </w:footnote>
  <w:footnote w:id="23">
    <w:p w14:paraId="6116B7E9" w14:textId="77777777" w:rsidR="003B4F38" w:rsidRDefault="00D33A0D">
      <w:pPr>
        <w:pStyle w:val="FootnoteText"/>
      </w:pPr>
      <w:r>
        <w:rPr>
          <w:rStyle w:val="FootnoteReference"/>
        </w:rPr>
        <w:footnoteRef/>
      </w:r>
      <w:r>
        <w:t xml:space="preserve"> Ibid.</w:t>
      </w:r>
    </w:p>
  </w:footnote>
  <w:footnote w:id="24">
    <w:p w14:paraId="3F9A5E81" w14:textId="77777777" w:rsidR="003B4F38" w:rsidRDefault="00D33A0D">
      <w:pPr>
        <w:pStyle w:val="FootnoteText"/>
      </w:pPr>
      <w:r>
        <w:rPr>
          <w:rStyle w:val="FootnoteReference"/>
        </w:rPr>
        <w:footnoteRef/>
      </w:r>
      <w:r>
        <w:t xml:space="preserve"> </w:t>
      </w:r>
      <w:proofErr w:type="spellStart"/>
      <w:r>
        <w:t>Merleau-Ponty</w:t>
      </w:r>
      <w:proofErr w:type="spellEnd"/>
      <w:r>
        <w:t xml:space="preserve">, Maurice, </w:t>
      </w:r>
      <w:r>
        <w:rPr>
          <w:i/>
          <w:iCs/>
        </w:rPr>
        <w:t>Phenomenology of Perception</w:t>
      </w:r>
      <w:r>
        <w:t>, p. 53</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A74E14"/>
    <w:multiLevelType w:val="multilevel"/>
    <w:tmpl w:val="43D0E42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Gavin Palmer">
    <w15:presenceInfo w15:providerId="None" w15:userId="Gavin Palm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4F38"/>
    <w:rsid w:val="003A68C4"/>
    <w:rsid w:val="003B4F38"/>
    <w:rsid w:val="004D1E6B"/>
    <w:rsid w:val="00640276"/>
    <w:rsid w:val="006521F2"/>
    <w:rsid w:val="00921FA9"/>
    <w:rsid w:val="0097126F"/>
    <w:rsid w:val="00B3522D"/>
    <w:rsid w:val="00D33A0D"/>
    <w:rsid w:val="00D37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70CF8"/>
  <w15:docId w15:val="{AC548EE6-02E1-42F6-84C7-10F332931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000FF"/>
      <w:u w:val="single"/>
    </w:rPr>
  </w:style>
  <w:style w:type="character" w:styleId="FollowedHyperlink">
    <w:name w:val="FollowedHyperlink"/>
    <w:basedOn w:val="DefaultParagraphFont"/>
    <w:rPr>
      <w:color w:val="954F72"/>
      <w:u w:val="single"/>
    </w:rPr>
  </w:style>
  <w:style w:type="character" w:customStyle="1"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pPr>
      <w:ind w:left="720"/>
    </w:pPr>
  </w:style>
  <w:style w:type="character" w:styleId="CommentReference">
    <w:name w:val="annotation reference"/>
    <w:basedOn w:val="DefaultParagraphFont"/>
    <w:uiPriority w:val="99"/>
    <w:semiHidden/>
    <w:unhideWhenUsed/>
    <w:rsid w:val="004D1E6B"/>
    <w:rPr>
      <w:sz w:val="16"/>
      <w:szCs w:val="16"/>
    </w:rPr>
  </w:style>
  <w:style w:type="paragraph" w:styleId="CommentText">
    <w:name w:val="annotation text"/>
    <w:basedOn w:val="Normal"/>
    <w:link w:val="CommentTextChar"/>
    <w:uiPriority w:val="99"/>
    <w:semiHidden/>
    <w:unhideWhenUsed/>
    <w:rsid w:val="004D1E6B"/>
    <w:rPr>
      <w:sz w:val="20"/>
      <w:szCs w:val="20"/>
    </w:rPr>
  </w:style>
  <w:style w:type="character" w:customStyle="1" w:styleId="CommentTextChar">
    <w:name w:val="Comment Text Char"/>
    <w:basedOn w:val="DefaultParagraphFont"/>
    <w:link w:val="CommentText"/>
    <w:uiPriority w:val="99"/>
    <w:semiHidden/>
    <w:rsid w:val="004D1E6B"/>
    <w:rPr>
      <w:sz w:val="20"/>
      <w:szCs w:val="20"/>
    </w:rPr>
  </w:style>
  <w:style w:type="paragraph" w:styleId="CommentSubject">
    <w:name w:val="annotation subject"/>
    <w:basedOn w:val="CommentText"/>
    <w:next w:val="CommentText"/>
    <w:link w:val="CommentSubjectChar"/>
    <w:uiPriority w:val="99"/>
    <w:semiHidden/>
    <w:unhideWhenUsed/>
    <w:rsid w:val="004D1E6B"/>
    <w:rPr>
      <w:b/>
      <w:bCs/>
    </w:rPr>
  </w:style>
  <w:style w:type="character" w:customStyle="1" w:styleId="CommentSubjectChar">
    <w:name w:val="Comment Subject Char"/>
    <w:basedOn w:val="CommentTextChar"/>
    <w:link w:val="CommentSubject"/>
    <w:uiPriority w:val="99"/>
    <w:semiHidden/>
    <w:rsid w:val="004D1E6B"/>
    <w:rPr>
      <w:b/>
      <w:bCs/>
      <w:sz w:val="20"/>
      <w:szCs w:val="20"/>
    </w:rPr>
  </w:style>
  <w:style w:type="paragraph" w:styleId="BalloonText">
    <w:name w:val="Balloon Text"/>
    <w:basedOn w:val="Normal"/>
    <w:link w:val="BalloonTextChar"/>
    <w:uiPriority w:val="99"/>
    <w:semiHidden/>
    <w:unhideWhenUsed/>
    <w:rsid w:val="004D1E6B"/>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1E6B"/>
    <w:rPr>
      <w:rFonts w:ascii="Segoe UI" w:hAnsi="Segoe UI" w:cs="Segoe UI"/>
      <w:sz w:val="18"/>
      <w:szCs w:val="18"/>
    </w:rPr>
  </w:style>
  <w:style w:type="paragraph" w:customStyle="1" w:styleId="paragraph">
    <w:name w:val="paragraph"/>
    <w:basedOn w:val="Normal"/>
    <w:rsid w:val="004D1E6B"/>
    <w:pPr>
      <w:suppressAutoHyphens w:val="0"/>
      <w:autoSpaceDN/>
      <w:spacing w:after="0"/>
      <w:textAlignment w:val="auto"/>
    </w:pPr>
    <w:rPr>
      <w:rFonts w:ascii="Times New Roman" w:eastAsia="Times New Roman" w:hAnsi="Times New Roman"/>
      <w:sz w:val="24"/>
      <w:szCs w:val="24"/>
      <w:lang w:eastAsia="en-GB"/>
    </w:rPr>
  </w:style>
  <w:style w:type="character" w:customStyle="1" w:styleId="normaltextrun1">
    <w:name w:val="normaltextrun1"/>
    <w:basedOn w:val="DefaultParagraphFont"/>
    <w:rsid w:val="004D1E6B"/>
  </w:style>
  <w:style w:type="character" w:customStyle="1" w:styleId="eop">
    <w:name w:val="eop"/>
    <w:basedOn w:val="DefaultParagraphFont"/>
    <w:rsid w:val="004D1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corwin.com/sites/default/files/upm-binaries/23183_Chapter_11.pdf" TargetMode="External"/><Relationship Id="rId4" Type="http://schemas.openxmlformats.org/officeDocument/2006/relationships/webSettings" Target="webSettings.xml"/><Relationship Id="rId9" Type="http://schemas.openxmlformats.org/officeDocument/2006/relationships/hyperlink" Target="https://www.youtube.com/watch?v=x86hLtOkou8"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corwin.com/sites/default/files/upm-binaries/23183_Chapter_11.pdf" TargetMode="External"/><Relationship Id="rId1" Type="http://schemas.openxmlformats.org/officeDocument/2006/relationships/hyperlink" Target="https://www.youtube.com/watch?v=x86hLtOkou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6</Pages>
  <Words>2347</Words>
  <Characters>13379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 Mokandpuri (1700549)</dc:creator>
  <dc:description/>
  <cp:lastModifiedBy>Gavin Palmer</cp:lastModifiedBy>
  <cp:revision>4</cp:revision>
  <dcterms:created xsi:type="dcterms:W3CDTF">2020-01-08T16:54:00Z</dcterms:created>
  <dcterms:modified xsi:type="dcterms:W3CDTF">2020-01-08T17:28:00Z</dcterms:modified>
</cp:coreProperties>
</file>