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3D5E" w:rsidRDefault="009E11DB">
      <w:pPr>
        <w:pStyle w:val="normal0"/>
      </w:pPr>
      <w:r>
        <w:rPr>
          <w:noProof/>
        </w:rPr>
        <w:drawing>
          <wp:inline distT="114300" distB="114300" distL="114300" distR="114300">
            <wp:extent cx="1905000" cy="704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1905000" cy="704850"/>
                    </a:xfrm>
                    <a:prstGeom prst="rect">
                      <a:avLst/>
                    </a:prstGeom>
                    <a:ln/>
                  </pic:spPr>
                </pic:pic>
              </a:graphicData>
            </a:graphic>
          </wp:inline>
        </w:drawing>
      </w:r>
    </w:p>
    <w:p w:rsidR="00DD3D5E" w:rsidRDefault="00DD3D5E">
      <w:pPr>
        <w:pStyle w:val="normal0"/>
      </w:pPr>
    </w:p>
    <w:p w:rsidR="00DD3D5E" w:rsidRDefault="00DD3D5E">
      <w:pPr>
        <w:pStyle w:val="normal0"/>
      </w:pPr>
    </w:p>
    <w:p w:rsidR="00DD3D5E" w:rsidRDefault="00DD3D5E">
      <w:pPr>
        <w:pStyle w:val="normal0"/>
        <w:rPr>
          <w:b/>
          <w:bCs/>
        </w:rPr>
      </w:pPr>
    </w:p>
    <w:p w:rsidR="00DD3D5E" w:rsidRDefault="00DD3D5E">
      <w:pPr>
        <w:pStyle w:val="normal0"/>
        <w:rPr>
          <w:b/>
          <w:bCs/>
        </w:rPr>
      </w:pPr>
    </w:p>
    <w:p w:rsidR="00DD3D5E" w:rsidRDefault="00DD3D5E">
      <w:pPr>
        <w:pStyle w:val="normal0"/>
        <w:rPr>
          <w:b/>
          <w:bCs/>
        </w:rPr>
      </w:pPr>
    </w:p>
    <w:p w:rsidR="00DD3D5E" w:rsidRPr="009E11DB" w:rsidRDefault="009E11DB" w:rsidP="009E11DB">
      <w:pPr>
        <w:pStyle w:val="normal0"/>
        <w:jc w:val="center"/>
        <w:rPr>
          <w:sz w:val="32"/>
        </w:rPr>
      </w:pPr>
      <w:r w:rsidRPr="009E11DB">
        <w:rPr>
          <w:b/>
          <w:bCs/>
          <w:sz w:val="32"/>
        </w:rPr>
        <w:t>Module name:</w:t>
      </w:r>
      <w:r w:rsidRPr="009E11DB">
        <w:rPr>
          <w:sz w:val="32"/>
        </w:rPr>
        <w:t xml:space="preserve"> Introduction to Independent Research Skills</w:t>
      </w:r>
    </w:p>
    <w:p w:rsidR="00DD3D5E" w:rsidRPr="009E11DB" w:rsidRDefault="009E11DB" w:rsidP="009E11DB">
      <w:pPr>
        <w:pStyle w:val="normal0"/>
        <w:jc w:val="center"/>
        <w:rPr>
          <w:sz w:val="32"/>
        </w:rPr>
      </w:pPr>
      <w:r w:rsidRPr="009E11DB">
        <w:rPr>
          <w:b/>
          <w:bCs/>
          <w:sz w:val="32"/>
        </w:rPr>
        <w:t xml:space="preserve">Module code: </w:t>
      </w:r>
      <w:r w:rsidRPr="009E11DB">
        <w:rPr>
          <w:sz w:val="32"/>
        </w:rPr>
        <w:t>BMHP5019</w:t>
      </w:r>
    </w:p>
    <w:p w:rsidR="00DD3D5E" w:rsidRPr="009E11DB" w:rsidRDefault="009E11DB" w:rsidP="009E11DB">
      <w:pPr>
        <w:pStyle w:val="normal0"/>
        <w:jc w:val="center"/>
        <w:rPr>
          <w:b/>
          <w:bCs/>
          <w:sz w:val="32"/>
        </w:rPr>
      </w:pPr>
      <w:r w:rsidRPr="009E11DB">
        <w:rPr>
          <w:b/>
          <w:bCs/>
          <w:sz w:val="32"/>
        </w:rPr>
        <w:t xml:space="preserve">Student name: </w:t>
      </w:r>
      <w:r w:rsidRPr="009E11DB">
        <w:rPr>
          <w:bCs/>
          <w:sz w:val="32"/>
        </w:rPr>
        <w:t>Stefania- Lorena Farima</w:t>
      </w:r>
    </w:p>
    <w:p w:rsidR="00DD3D5E" w:rsidRPr="009E11DB" w:rsidRDefault="009E11DB" w:rsidP="009E11DB">
      <w:pPr>
        <w:pStyle w:val="normal0"/>
        <w:jc w:val="center"/>
        <w:rPr>
          <w:bCs/>
          <w:sz w:val="32"/>
        </w:rPr>
      </w:pPr>
      <w:r w:rsidRPr="009E11DB">
        <w:rPr>
          <w:b/>
          <w:bCs/>
          <w:sz w:val="32"/>
        </w:rPr>
        <w:t xml:space="preserve">Student ID: </w:t>
      </w:r>
      <w:r w:rsidRPr="009E11DB">
        <w:rPr>
          <w:bCs/>
          <w:sz w:val="32"/>
        </w:rPr>
        <w:t>2335277</w:t>
      </w:r>
    </w:p>
    <w:p w:rsidR="00DD3D5E" w:rsidRPr="009E11DB" w:rsidRDefault="009E11DB" w:rsidP="009E11DB">
      <w:pPr>
        <w:pStyle w:val="normal0"/>
        <w:jc w:val="center"/>
        <w:rPr>
          <w:sz w:val="32"/>
        </w:rPr>
      </w:pPr>
      <w:r w:rsidRPr="009E11DB">
        <w:rPr>
          <w:b/>
          <w:bCs/>
          <w:sz w:val="32"/>
        </w:rPr>
        <w:t xml:space="preserve">Word count: </w:t>
      </w:r>
      <w:r w:rsidRPr="009E11DB">
        <w:rPr>
          <w:sz w:val="32"/>
        </w:rPr>
        <w:t>3600</w:t>
      </w:r>
    </w:p>
    <w:p w:rsidR="00DD3D5E" w:rsidRPr="009E11DB" w:rsidRDefault="009E11DB">
      <w:pPr>
        <w:pStyle w:val="normal0"/>
        <w:rPr>
          <w:sz w:val="32"/>
        </w:rPr>
      </w:pPr>
      <w:r w:rsidRPr="009E11DB">
        <w:rPr>
          <w:sz w:val="32"/>
        </w:rPr>
        <w:br w:type="page"/>
      </w:r>
    </w:p>
    <w:p w:rsidR="00DD3D5E" w:rsidRDefault="009E11DB">
      <w:pPr>
        <w:pStyle w:val="Heading1"/>
      </w:pPr>
      <w:bookmarkStart w:id="0" w:name="_9g1xj0hfpl11" w:colFirst="0" w:colLast="0"/>
      <w:bookmarkEnd w:id="0"/>
      <w:r>
        <w:lastRenderedPageBreak/>
        <w:t>Abstract</w:t>
      </w:r>
    </w:p>
    <w:p w:rsidR="00DD3D5E" w:rsidRDefault="009E11DB">
      <w:pPr>
        <w:pStyle w:val="normal0"/>
      </w:pPr>
      <w:r>
        <w:t xml:space="preserve">Loneliness among older adults is a growing public health concern in the United Kingdom, increasing pressure on healthcare services and wellbeing outcomes. This study addresses the question: what are the impacts of social prescribing on reducing loneliness </w:t>
      </w:r>
      <w:r>
        <w:t>among the ageing population? A secondary scoping review methodology was used, analysing four peer-reviewed UK studies through thematic analysis. Key themes identified include improvements in emotional wellbeing, the central role of link workers, participat</w:t>
      </w:r>
      <w:r>
        <w:t>ion barriers, and community integration benefits. Findings indicate that social prescribing can reduce loneliness, particularly in mild cases, although effectiveness varies. It is recommended that UK services strengthen accessibility, referral consistency,</w:t>
      </w:r>
      <w:r>
        <w:t xml:space="preserve"> and community partnerships.</w:t>
      </w:r>
    </w:p>
    <w:p w:rsidR="00DD3D5E" w:rsidRDefault="009E11DB">
      <w:pPr>
        <w:pStyle w:val="normal0"/>
      </w:pPr>
      <w:r>
        <w:br w:type="page"/>
      </w:r>
    </w:p>
    <w:p w:rsidR="00DD3D5E" w:rsidRDefault="009E11DB">
      <w:pPr>
        <w:pStyle w:val="normal0"/>
        <w:jc w:val="center"/>
        <w:rPr>
          <w:b/>
          <w:bCs/>
          <w:sz w:val="28"/>
          <w:szCs w:val="28"/>
        </w:rPr>
      </w:pPr>
      <w:r>
        <w:rPr>
          <w:b/>
          <w:bCs/>
          <w:sz w:val="28"/>
          <w:szCs w:val="28"/>
        </w:rPr>
        <w:lastRenderedPageBreak/>
        <w:t>Table of Contents</w:t>
      </w:r>
    </w:p>
    <w:sdt>
      <w:sdtPr>
        <w:id w:val="-949324287"/>
        <w:docPartObj>
          <w:docPartGallery w:val="Table of Contents"/>
          <w:docPartUnique/>
        </w:docPartObj>
      </w:sdtPr>
      <w:sdtContent>
        <w:p w:rsidR="00DD3D5E" w:rsidRDefault="00DD3D5E">
          <w:pPr>
            <w:pStyle w:val="normal0"/>
            <w:widowControl w:val="0"/>
            <w:tabs>
              <w:tab w:val="right" w:leader="dot" w:pos="12000"/>
            </w:tabs>
            <w:spacing w:before="60" w:line="240" w:lineRule="auto"/>
            <w:jc w:val="left"/>
            <w:rPr>
              <w:b/>
              <w:bCs/>
              <w:color w:val="000000"/>
            </w:rPr>
          </w:pPr>
          <w:r>
            <w:fldChar w:fldCharType="begin"/>
          </w:r>
          <w:r w:rsidR="009E11DB">
            <w:instrText xml:space="preserve"> TOC \h \u \z \t "Heading 1,1,Heading 2,2,Heading 3,3,Heading 4,4,Heading 5,5,Heading 6,6,"</w:instrText>
          </w:r>
          <w:r>
            <w:fldChar w:fldCharType="separate"/>
          </w:r>
          <w:hyperlink w:anchor="_9g1xj0hfpl11">
            <w:r w:rsidR="009E11DB">
              <w:rPr>
                <w:b/>
                <w:bCs/>
                <w:color w:val="000000"/>
              </w:rPr>
              <w:t>Abstract</w:t>
            </w:r>
            <w:r w:rsidR="009E11DB">
              <w:rPr>
                <w:b/>
                <w:bCs/>
                <w:color w:val="000000"/>
              </w:rPr>
              <w:tab/>
              <w:t>2</w:t>
            </w:r>
          </w:hyperlink>
        </w:p>
        <w:p w:rsidR="00DD3D5E" w:rsidRDefault="00DD3D5E">
          <w:pPr>
            <w:pStyle w:val="normal0"/>
            <w:widowControl w:val="0"/>
            <w:tabs>
              <w:tab w:val="right" w:leader="dot" w:pos="12000"/>
            </w:tabs>
            <w:spacing w:before="60" w:line="240" w:lineRule="auto"/>
            <w:jc w:val="left"/>
            <w:rPr>
              <w:b/>
              <w:bCs/>
              <w:color w:val="000000"/>
            </w:rPr>
          </w:pPr>
          <w:hyperlink w:anchor="_gb4ggrnpx53t">
            <w:r w:rsidR="009E11DB">
              <w:rPr>
                <w:b/>
                <w:bCs/>
                <w:color w:val="000000"/>
              </w:rPr>
              <w:t>1. Introduction</w:t>
            </w:r>
            <w:r w:rsidR="009E11DB">
              <w:rPr>
                <w:b/>
                <w:bCs/>
                <w:color w:val="000000"/>
              </w:rPr>
              <w:tab/>
              <w:t>4</w:t>
            </w:r>
          </w:hyperlink>
        </w:p>
        <w:p w:rsidR="00DD3D5E" w:rsidRDefault="00DD3D5E">
          <w:pPr>
            <w:pStyle w:val="normal0"/>
            <w:widowControl w:val="0"/>
            <w:tabs>
              <w:tab w:val="right" w:leader="dot" w:pos="12000"/>
            </w:tabs>
            <w:spacing w:before="60" w:line="240" w:lineRule="auto"/>
            <w:ind w:left="360"/>
            <w:jc w:val="left"/>
            <w:rPr>
              <w:color w:val="000000"/>
            </w:rPr>
          </w:pPr>
          <w:hyperlink w:anchor="_x2cscoj8ft0">
            <w:r w:rsidR="009E11DB">
              <w:rPr>
                <w:color w:val="000000"/>
              </w:rPr>
              <w:t>1.1 Definition of Main Concepts</w:t>
            </w:r>
            <w:r w:rsidR="009E11DB">
              <w:rPr>
                <w:color w:val="000000"/>
              </w:rPr>
              <w:tab/>
              <w:t>4</w:t>
            </w:r>
          </w:hyperlink>
        </w:p>
        <w:p w:rsidR="00DD3D5E" w:rsidRDefault="00DD3D5E">
          <w:pPr>
            <w:pStyle w:val="normal0"/>
            <w:widowControl w:val="0"/>
            <w:tabs>
              <w:tab w:val="right" w:leader="dot" w:pos="12000"/>
            </w:tabs>
            <w:spacing w:before="60" w:line="240" w:lineRule="auto"/>
            <w:ind w:left="360"/>
            <w:jc w:val="left"/>
            <w:rPr>
              <w:color w:val="000000"/>
            </w:rPr>
          </w:pPr>
          <w:hyperlink w:anchor="_81xojbz8i2cf">
            <w:r w:rsidR="009E11DB">
              <w:rPr>
                <w:color w:val="000000"/>
              </w:rPr>
              <w:t>1.2 Rationale of the Research</w:t>
            </w:r>
            <w:r w:rsidR="009E11DB">
              <w:rPr>
                <w:color w:val="000000"/>
              </w:rPr>
              <w:tab/>
              <w:t>4</w:t>
            </w:r>
          </w:hyperlink>
        </w:p>
        <w:p w:rsidR="00DD3D5E" w:rsidRDefault="00DD3D5E">
          <w:pPr>
            <w:pStyle w:val="normal0"/>
            <w:widowControl w:val="0"/>
            <w:tabs>
              <w:tab w:val="right" w:leader="dot" w:pos="12000"/>
            </w:tabs>
            <w:spacing w:before="60" w:line="240" w:lineRule="auto"/>
            <w:ind w:left="360"/>
            <w:jc w:val="left"/>
            <w:rPr>
              <w:color w:val="000000"/>
            </w:rPr>
          </w:pPr>
          <w:hyperlink w:anchor="_szubcj61c3hy">
            <w:r w:rsidR="009E11DB">
              <w:rPr>
                <w:color w:val="000000"/>
              </w:rPr>
              <w:t>1.3 Review Question</w:t>
            </w:r>
            <w:r w:rsidR="009E11DB">
              <w:rPr>
                <w:color w:val="000000"/>
              </w:rPr>
              <w:tab/>
              <w:t>4</w:t>
            </w:r>
          </w:hyperlink>
        </w:p>
        <w:p w:rsidR="00DD3D5E" w:rsidRDefault="00DD3D5E">
          <w:pPr>
            <w:pStyle w:val="normal0"/>
            <w:widowControl w:val="0"/>
            <w:tabs>
              <w:tab w:val="right" w:leader="dot" w:pos="12000"/>
            </w:tabs>
            <w:spacing w:before="60" w:line="240" w:lineRule="auto"/>
            <w:ind w:left="360"/>
            <w:jc w:val="left"/>
            <w:rPr>
              <w:color w:val="000000"/>
            </w:rPr>
          </w:pPr>
          <w:hyperlink w:anchor="_1kgl8fbmi1qn">
            <w:r w:rsidR="009E11DB">
              <w:rPr>
                <w:color w:val="000000"/>
              </w:rPr>
              <w:t>1.4 Objectives</w:t>
            </w:r>
            <w:r w:rsidR="009E11DB">
              <w:rPr>
                <w:color w:val="000000"/>
              </w:rPr>
              <w:tab/>
              <w:t>5</w:t>
            </w:r>
          </w:hyperlink>
        </w:p>
        <w:p w:rsidR="00DD3D5E" w:rsidRDefault="00DD3D5E">
          <w:pPr>
            <w:pStyle w:val="normal0"/>
            <w:widowControl w:val="0"/>
            <w:tabs>
              <w:tab w:val="right" w:leader="dot" w:pos="12000"/>
            </w:tabs>
            <w:spacing w:before="60" w:line="240" w:lineRule="auto"/>
            <w:jc w:val="left"/>
            <w:rPr>
              <w:b/>
              <w:bCs/>
              <w:color w:val="000000"/>
            </w:rPr>
          </w:pPr>
          <w:hyperlink w:anchor="_f7bfpu6d8hcn">
            <w:r w:rsidR="009E11DB">
              <w:rPr>
                <w:b/>
                <w:bCs/>
                <w:color w:val="000000"/>
              </w:rPr>
              <w:t>2. Background</w:t>
            </w:r>
            <w:r w:rsidR="009E11DB">
              <w:rPr>
                <w:b/>
                <w:bCs/>
                <w:color w:val="000000"/>
              </w:rPr>
              <w:tab/>
              <w:t>5</w:t>
            </w:r>
          </w:hyperlink>
        </w:p>
        <w:p w:rsidR="00DD3D5E" w:rsidRDefault="00DD3D5E">
          <w:pPr>
            <w:pStyle w:val="normal0"/>
            <w:widowControl w:val="0"/>
            <w:tabs>
              <w:tab w:val="right" w:leader="dot" w:pos="12000"/>
            </w:tabs>
            <w:spacing w:before="60" w:line="240" w:lineRule="auto"/>
            <w:ind w:left="360"/>
            <w:jc w:val="left"/>
            <w:rPr>
              <w:color w:val="000000"/>
            </w:rPr>
          </w:pPr>
          <w:hyperlink w:anchor="_u3wwx33ppsvq">
            <w:r w:rsidR="009E11DB">
              <w:rPr>
                <w:color w:val="000000"/>
              </w:rPr>
              <w:t>2.1 Loneliness as a UK Public Health Issue</w:t>
            </w:r>
            <w:r w:rsidR="009E11DB">
              <w:rPr>
                <w:color w:val="000000"/>
              </w:rPr>
              <w:tab/>
              <w:t>5</w:t>
            </w:r>
          </w:hyperlink>
        </w:p>
        <w:p w:rsidR="00DD3D5E" w:rsidRDefault="00DD3D5E">
          <w:pPr>
            <w:pStyle w:val="normal0"/>
            <w:widowControl w:val="0"/>
            <w:tabs>
              <w:tab w:val="right" w:leader="dot" w:pos="12000"/>
            </w:tabs>
            <w:spacing w:before="60" w:line="240" w:lineRule="auto"/>
            <w:ind w:left="360"/>
            <w:jc w:val="left"/>
            <w:rPr>
              <w:color w:val="000000"/>
            </w:rPr>
          </w:pPr>
          <w:hyperlink w:anchor="_c9quwhs7yvfk">
            <w:r w:rsidR="009E11DB">
              <w:rPr>
                <w:color w:val="000000"/>
              </w:rPr>
              <w:t>2.2 Social Prescribing in UK Health Policy</w:t>
            </w:r>
            <w:r w:rsidR="009E11DB">
              <w:rPr>
                <w:color w:val="000000"/>
              </w:rPr>
              <w:tab/>
              <w:t>5</w:t>
            </w:r>
          </w:hyperlink>
        </w:p>
        <w:p w:rsidR="00DD3D5E" w:rsidRDefault="00DD3D5E">
          <w:pPr>
            <w:pStyle w:val="normal0"/>
            <w:widowControl w:val="0"/>
            <w:tabs>
              <w:tab w:val="right" w:leader="dot" w:pos="12000"/>
            </w:tabs>
            <w:spacing w:before="60" w:line="240" w:lineRule="auto"/>
            <w:ind w:left="360"/>
            <w:jc w:val="left"/>
            <w:rPr>
              <w:color w:val="000000"/>
            </w:rPr>
          </w:pPr>
          <w:hyperlink w:anchor="_2imq2po10g43">
            <w:r w:rsidR="009E11DB">
              <w:rPr>
                <w:color w:val="000000"/>
              </w:rPr>
              <w:t>2.3 Why Social Prescribing Targets Older Adults</w:t>
            </w:r>
            <w:r w:rsidR="009E11DB">
              <w:rPr>
                <w:color w:val="000000"/>
              </w:rPr>
              <w:tab/>
            </w:r>
            <w:r w:rsidR="009E11DB">
              <w:rPr>
                <w:color w:val="000000"/>
              </w:rPr>
              <w:t>6</w:t>
            </w:r>
          </w:hyperlink>
        </w:p>
        <w:p w:rsidR="00DD3D5E" w:rsidRDefault="00DD3D5E">
          <w:pPr>
            <w:pStyle w:val="normal0"/>
            <w:widowControl w:val="0"/>
            <w:tabs>
              <w:tab w:val="right" w:leader="dot" w:pos="12000"/>
            </w:tabs>
            <w:spacing w:before="60" w:line="240" w:lineRule="auto"/>
            <w:ind w:left="360"/>
            <w:jc w:val="left"/>
            <w:rPr>
              <w:color w:val="000000"/>
            </w:rPr>
          </w:pPr>
          <w:hyperlink w:anchor="_9dqx6cyzjvqh">
            <w:r w:rsidR="009E11DB">
              <w:rPr>
                <w:color w:val="000000"/>
              </w:rPr>
              <w:t>2.4 UK Challenges in Implementation</w:t>
            </w:r>
            <w:r w:rsidR="009E11DB">
              <w:rPr>
                <w:color w:val="000000"/>
              </w:rPr>
              <w:tab/>
              <w:t>6</w:t>
            </w:r>
          </w:hyperlink>
        </w:p>
        <w:p w:rsidR="00DD3D5E" w:rsidRDefault="00DD3D5E">
          <w:pPr>
            <w:pStyle w:val="normal0"/>
            <w:widowControl w:val="0"/>
            <w:tabs>
              <w:tab w:val="right" w:leader="dot" w:pos="12000"/>
            </w:tabs>
            <w:spacing w:before="60" w:line="240" w:lineRule="auto"/>
            <w:jc w:val="left"/>
            <w:rPr>
              <w:b/>
              <w:bCs/>
              <w:color w:val="000000"/>
            </w:rPr>
          </w:pPr>
          <w:hyperlink w:anchor="_ikcplajk39xg">
            <w:r w:rsidR="009E11DB">
              <w:rPr>
                <w:b/>
                <w:bCs/>
                <w:color w:val="000000"/>
              </w:rPr>
              <w:t>3. Methods</w:t>
            </w:r>
            <w:r w:rsidR="009E11DB">
              <w:rPr>
                <w:b/>
                <w:bCs/>
                <w:color w:val="000000"/>
              </w:rPr>
              <w:tab/>
              <w:t>7</w:t>
            </w:r>
          </w:hyperlink>
        </w:p>
        <w:p w:rsidR="00DD3D5E" w:rsidRDefault="00DD3D5E">
          <w:pPr>
            <w:pStyle w:val="normal0"/>
            <w:widowControl w:val="0"/>
            <w:tabs>
              <w:tab w:val="right" w:leader="dot" w:pos="12000"/>
            </w:tabs>
            <w:spacing w:before="60" w:line="240" w:lineRule="auto"/>
            <w:ind w:left="360"/>
            <w:jc w:val="left"/>
            <w:rPr>
              <w:color w:val="000000"/>
            </w:rPr>
          </w:pPr>
          <w:hyperlink w:anchor="_gmtov1b0vmyp">
            <w:r w:rsidR="009E11DB">
              <w:rPr>
                <w:color w:val="000000"/>
              </w:rPr>
              <w:t>3.1 Research Design: Scoping Review</w:t>
            </w:r>
            <w:r w:rsidR="009E11DB">
              <w:rPr>
                <w:color w:val="000000"/>
              </w:rPr>
              <w:tab/>
              <w:t>7</w:t>
            </w:r>
          </w:hyperlink>
        </w:p>
        <w:p w:rsidR="00DD3D5E" w:rsidRDefault="00DD3D5E">
          <w:pPr>
            <w:pStyle w:val="normal0"/>
            <w:widowControl w:val="0"/>
            <w:tabs>
              <w:tab w:val="right" w:leader="dot" w:pos="12000"/>
            </w:tabs>
            <w:spacing w:before="60" w:line="240" w:lineRule="auto"/>
            <w:ind w:left="360"/>
            <w:jc w:val="left"/>
            <w:rPr>
              <w:color w:val="000000"/>
            </w:rPr>
          </w:pPr>
          <w:hyperlink w:anchor="_8b82j05hmvjo">
            <w:r w:rsidR="009E11DB">
              <w:rPr>
                <w:color w:val="000000"/>
              </w:rPr>
              <w:t>3.2 Search Strategy / Data Co</w:t>
            </w:r>
            <w:r w:rsidR="009E11DB">
              <w:rPr>
                <w:color w:val="000000"/>
              </w:rPr>
              <w:t>llection</w:t>
            </w:r>
            <w:r w:rsidR="009E11DB">
              <w:rPr>
                <w:color w:val="000000"/>
              </w:rPr>
              <w:tab/>
              <w:t>7</w:t>
            </w:r>
          </w:hyperlink>
        </w:p>
        <w:p w:rsidR="00DD3D5E" w:rsidRDefault="00DD3D5E">
          <w:pPr>
            <w:pStyle w:val="normal0"/>
            <w:widowControl w:val="0"/>
            <w:tabs>
              <w:tab w:val="right" w:leader="dot" w:pos="12000"/>
            </w:tabs>
            <w:spacing w:before="60" w:line="240" w:lineRule="auto"/>
            <w:ind w:left="360"/>
            <w:jc w:val="left"/>
            <w:rPr>
              <w:color w:val="000000"/>
            </w:rPr>
          </w:pPr>
          <w:hyperlink w:anchor="_6alp96k5tw7">
            <w:r w:rsidR="009E11DB">
              <w:rPr>
                <w:color w:val="000000"/>
              </w:rPr>
              <w:t>3.3 Inclusion and Exclusion Criteria</w:t>
            </w:r>
            <w:r w:rsidR="009E11DB">
              <w:rPr>
                <w:color w:val="000000"/>
              </w:rPr>
              <w:tab/>
              <w:t>7</w:t>
            </w:r>
          </w:hyperlink>
        </w:p>
        <w:p w:rsidR="00DD3D5E" w:rsidRDefault="00DD3D5E">
          <w:pPr>
            <w:pStyle w:val="normal0"/>
            <w:widowControl w:val="0"/>
            <w:tabs>
              <w:tab w:val="right" w:leader="dot" w:pos="12000"/>
            </w:tabs>
            <w:spacing w:before="60" w:line="240" w:lineRule="auto"/>
            <w:ind w:left="360"/>
            <w:jc w:val="left"/>
            <w:rPr>
              <w:color w:val="000000"/>
            </w:rPr>
          </w:pPr>
          <w:hyperlink w:anchor="_tck2u81esuvx">
            <w:r w:rsidR="009E11DB">
              <w:rPr>
                <w:color w:val="000000"/>
              </w:rPr>
              <w:t>3.4 Selected Studies</w:t>
            </w:r>
            <w:r w:rsidR="009E11DB">
              <w:rPr>
                <w:color w:val="000000"/>
              </w:rPr>
              <w:tab/>
              <w:t>8</w:t>
            </w:r>
          </w:hyperlink>
        </w:p>
        <w:p w:rsidR="00DD3D5E" w:rsidRDefault="00DD3D5E">
          <w:pPr>
            <w:pStyle w:val="normal0"/>
            <w:widowControl w:val="0"/>
            <w:tabs>
              <w:tab w:val="right" w:leader="dot" w:pos="12000"/>
            </w:tabs>
            <w:spacing w:before="60" w:line="240" w:lineRule="auto"/>
            <w:ind w:left="360"/>
            <w:jc w:val="left"/>
            <w:rPr>
              <w:color w:val="000000"/>
            </w:rPr>
          </w:pPr>
          <w:hyperlink w:anchor="_wvyzwpj1140">
            <w:r w:rsidR="009E11DB">
              <w:rPr>
                <w:color w:val="000000"/>
              </w:rPr>
              <w:t>3.5 Data Analysis: Thematic Analysis</w:t>
            </w:r>
            <w:r w:rsidR="009E11DB">
              <w:rPr>
                <w:color w:val="000000"/>
              </w:rPr>
              <w:tab/>
              <w:t>8</w:t>
            </w:r>
          </w:hyperlink>
        </w:p>
        <w:p w:rsidR="00DD3D5E" w:rsidRDefault="00DD3D5E">
          <w:pPr>
            <w:pStyle w:val="normal0"/>
            <w:widowControl w:val="0"/>
            <w:tabs>
              <w:tab w:val="right" w:leader="dot" w:pos="12000"/>
            </w:tabs>
            <w:spacing w:before="60" w:line="240" w:lineRule="auto"/>
            <w:ind w:left="360"/>
            <w:jc w:val="left"/>
            <w:rPr>
              <w:color w:val="000000"/>
            </w:rPr>
          </w:pPr>
          <w:hyperlink w:anchor="_4183emnu7z4">
            <w:r w:rsidR="009E11DB">
              <w:rPr>
                <w:color w:val="000000"/>
              </w:rPr>
              <w:t>3.6 Ethical Considerations</w:t>
            </w:r>
            <w:r w:rsidR="009E11DB">
              <w:rPr>
                <w:color w:val="000000"/>
              </w:rPr>
              <w:tab/>
              <w:t>8</w:t>
            </w:r>
          </w:hyperlink>
        </w:p>
        <w:p w:rsidR="00DD3D5E" w:rsidRDefault="00DD3D5E">
          <w:pPr>
            <w:pStyle w:val="normal0"/>
            <w:widowControl w:val="0"/>
            <w:tabs>
              <w:tab w:val="right" w:leader="dot" w:pos="12000"/>
            </w:tabs>
            <w:spacing w:before="60" w:line="240" w:lineRule="auto"/>
            <w:jc w:val="left"/>
            <w:rPr>
              <w:b/>
              <w:bCs/>
              <w:color w:val="000000"/>
            </w:rPr>
          </w:pPr>
          <w:hyperlink w:anchor="_sdt2f13q30d">
            <w:r w:rsidR="009E11DB">
              <w:rPr>
                <w:b/>
                <w:bCs/>
                <w:color w:val="000000"/>
              </w:rPr>
              <w:t>4. Results</w:t>
            </w:r>
            <w:r w:rsidR="009E11DB">
              <w:rPr>
                <w:b/>
                <w:bCs/>
                <w:color w:val="000000"/>
              </w:rPr>
              <w:tab/>
              <w:t>8</w:t>
            </w:r>
          </w:hyperlink>
        </w:p>
        <w:p w:rsidR="00DD3D5E" w:rsidRDefault="00DD3D5E">
          <w:pPr>
            <w:pStyle w:val="normal0"/>
            <w:widowControl w:val="0"/>
            <w:tabs>
              <w:tab w:val="right" w:leader="dot" w:pos="12000"/>
            </w:tabs>
            <w:spacing w:before="60" w:line="240" w:lineRule="auto"/>
            <w:ind w:left="360"/>
            <w:jc w:val="left"/>
            <w:rPr>
              <w:color w:val="000000"/>
            </w:rPr>
          </w:pPr>
          <w:hyperlink w:anchor="_mena5j8elaaf">
            <w:r w:rsidR="009E11DB">
              <w:rPr>
                <w:color w:val="000000"/>
              </w:rPr>
              <w:t>4.1 Summary Table of Selected Studies</w:t>
            </w:r>
            <w:r w:rsidR="009E11DB">
              <w:rPr>
                <w:color w:val="000000"/>
              </w:rPr>
              <w:tab/>
              <w:t>8</w:t>
            </w:r>
          </w:hyperlink>
        </w:p>
        <w:p w:rsidR="00DD3D5E" w:rsidRDefault="00DD3D5E">
          <w:pPr>
            <w:pStyle w:val="normal0"/>
            <w:widowControl w:val="0"/>
            <w:tabs>
              <w:tab w:val="right" w:leader="dot" w:pos="12000"/>
            </w:tabs>
            <w:spacing w:before="60" w:line="240" w:lineRule="auto"/>
            <w:ind w:left="360"/>
            <w:jc w:val="left"/>
            <w:rPr>
              <w:color w:val="000000"/>
            </w:rPr>
          </w:pPr>
          <w:hyperlink w:anchor="_ymegfmk0pt9y">
            <w:r w:rsidR="009E11DB">
              <w:rPr>
                <w:color w:val="000000"/>
              </w:rPr>
              <w:t>4.2 Theme 1: Improvement in Emotional Wellbeing</w:t>
            </w:r>
            <w:r w:rsidR="009E11DB">
              <w:rPr>
                <w:color w:val="000000"/>
              </w:rPr>
              <w:tab/>
              <w:t>8</w:t>
            </w:r>
          </w:hyperlink>
        </w:p>
        <w:p w:rsidR="00DD3D5E" w:rsidRDefault="00DD3D5E">
          <w:pPr>
            <w:pStyle w:val="normal0"/>
            <w:widowControl w:val="0"/>
            <w:tabs>
              <w:tab w:val="right" w:leader="dot" w:pos="12000"/>
            </w:tabs>
            <w:spacing w:before="60" w:line="240" w:lineRule="auto"/>
            <w:ind w:left="360"/>
            <w:jc w:val="left"/>
            <w:rPr>
              <w:color w:val="000000"/>
            </w:rPr>
          </w:pPr>
          <w:hyperlink w:anchor="_xxud81z2zi1b">
            <w:r w:rsidR="009E11DB">
              <w:rPr>
                <w:color w:val="000000"/>
              </w:rPr>
              <w:t>4.3 Theme 2: Link Worker Role as Central Mechanism</w:t>
            </w:r>
            <w:r w:rsidR="009E11DB">
              <w:rPr>
                <w:color w:val="000000"/>
              </w:rPr>
              <w:tab/>
              <w:t>9</w:t>
            </w:r>
          </w:hyperlink>
        </w:p>
        <w:p w:rsidR="00DD3D5E" w:rsidRDefault="00DD3D5E">
          <w:pPr>
            <w:pStyle w:val="normal0"/>
            <w:widowControl w:val="0"/>
            <w:tabs>
              <w:tab w:val="right" w:leader="dot" w:pos="12000"/>
            </w:tabs>
            <w:spacing w:before="60" w:line="240" w:lineRule="auto"/>
            <w:ind w:left="360"/>
            <w:jc w:val="left"/>
            <w:rPr>
              <w:color w:val="000000"/>
            </w:rPr>
          </w:pPr>
          <w:hyperlink w:anchor="_ir699kwrutk">
            <w:r w:rsidR="009E11DB">
              <w:rPr>
                <w:color w:val="000000"/>
              </w:rPr>
              <w:t>4.4 Theme 3: Barriers to Participation</w:t>
            </w:r>
            <w:r w:rsidR="009E11DB">
              <w:rPr>
                <w:color w:val="000000"/>
              </w:rPr>
              <w:tab/>
              <w:t>9</w:t>
            </w:r>
          </w:hyperlink>
        </w:p>
        <w:p w:rsidR="00DD3D5E" w:rsidRDefault="00DD3D5E">
          <w:pPr>
            <w:pStyle w:val="normal0"/>
            <w:widowControl w:val="0"/>
            <w:tabs>
              <w:tab w:val="right" w:leader="dot" w:pos="12000"/>
            </w:tabs>
            <w:spacing w:before="60" w:line="240" w:lineRule="auto"/>
            <w:ind w:left="360"/>
            <w:jc w:val="left"/>
            <w:rPr>
              <w:color w:val="000000"/>
            </w:rPr>
          </w:pPr>
          <w:hyperlink w:anchor="_xlww6rfeg9gv">
            <w:r w:rsidR="009E11DB">
              <w:rPr>
                <w:color w:val="000000"/>
              </w:rPr>
              <w:t>4.5 Theme 4: Community Integration Effects</w:t>
            </w:r>
            <w:r w:rsidR="009E11DB">
              <w:rPr>
                <w:color w:val="000000"/>
              </w:rPr>
              <w:tab/>
              <w:t>10</w:t>
            </w:r>
          </w:hyperlink>
        </w:p>
        <w:p w:rsidR="00DD3D5E" w:rsidRDefault="00DD3D5E">
          <w:pPr>
            <w:pStyle w:val="normal0"/>
            <w:widowControl w:val="0"/>
            <w:tabs>
              <w:tab w:val="right" w:leader="dot" w:pos="12000"/>
            </w:tabs>
            <w:spacing w:before="60" w:line="240" w:lineRule="auto"/>
            <w:jc w:val="left"/>
            <w:rPr>
              <w:b/>
              <w:bCs/>
              <w:color w:val="000000"/>
            </w:rPr>
          </w:pPr>
          <w:hyperlink w:anchor="_pq4u7mymole7">
            <w:r w:rsidR="009E11DB">
              <w:rPr>
                <w:b/>
                <w:bCs/>
                <w:color w:val="000000"/>
              </w:rPr>
              <w:t>5. D</w:t>
            </w:r>
            <w:r w:rsidR="009E11DB">
              <w:rPr>
                <w:b/>
                <w:bCs/>
                <w:color w:val="000000"/>
              </w:rPr>
              <w:t>iscussion</w:t>
            </w:r>
            <w:r w:rsidR="009E11DB">
              <w:rPr>
                <w:b/>
                <w:bCs/>
                <w:color w:val="000000"/>
              </w:rPr>
              <w:tab/>
              <w:t>10</w:t>
            </w:r>
          </w:hyperlink>
        </w:p>
        <w:p w:rsidR="00DD3D5E" w:rsidRDefault="00DD3D5E">
          <w:pPr>
            <w:pStyle w:val="normal0"/>
            <w:widowControl w:val="0"/>
            <w:tabs>
              <w:tab w:val="right" w:leader="dot" w:pos="12000"/>
            </w:tabs>
            <w:spacing w:before="60" w:line="240" w:lineRule="auto"/>
            <w:ind w:left="360"/>
            <w:jc w:val="left"/>
            <w:rPr>
              <w:color w:val="000000"/>
            </w:rPr>
          </w:pPr>
          <w:hyperlink w:anchor="_p8pwv16rglis">
            <w:r w:rsidR="009E11DB">
              <w:rPr>
                <w:color w:val="000000"/>
              </w:rPr>
              <w:t>5.1 Interpretation of Findings Against Review Question</w:t>
            </w:r>
            <w:r w:rsidR="009E11DB">
              <w:rPr>
                <w:color w:val="000000"/>
              </w:rPr>
              <w:tab/>
              <w:t>10</w:t>
            </w:r>
          </w:hyperlink>
        </w:p>
        <w:p w:rsidR="00DD3D5E" w:rsidRDefault="00DD3D5E">
          <w:pPr>
            <w:pStyle w:val="normal0"/>
            <w:widowControl w:val="0"/>
            <w:tabs>
              <w:tab w:val="right" w:leader="dot" w:pos="12000"/>
            </w:tabs>
            <w:spacing w:before="60" w:line="240" w:lineRule="auto"/>
            <w:ind w:left="360"/>
            <w:jc w:val="left"/>
            <w:rPr>
              <w:color w:val="000000"/>
            </w:rPr>
          </w:pPr>
          <w:hyperlink w:anchor="_rm4jfaykkq16">
            <w:r w:rsidR="009E11DB">
              <w:rPr>
                <w:color w:val="000000"/>
              </w:rPr>
              <w:t>5.2 Comparison with Previous Studies</w:t>
            </w:r>
            <w:r w:rsidR="009E11DB">
              <w:rPr>
                <w:color w:val="000000"/>
              </w:rPr>
              <w:tab/>
              <w:t>11</w:t>
            </w:r>
          </w:hyperlink>
        </w:p>
        <w:p w:rsidR="00DD3D5E" w:rsidRDefault="00DD3D5E">
          <w:pPr>
            <w:pStyle w:val="normal0"/>
            <w:widowControl w:val="0"/>
            <w:tabs>
              <w:tab w:val="right" w:leader="dot" w:pos="12000"/>
            </w:tabs>
            <w:spacing w:before="60" w:line="240" w:lineRule="auto"/>
            <w:ind w:left="360"/>
            <w:jc w:val="left"/>
            <w:rPr>
              <w:color w:val="000000"/>
            </w:rPr>
          </w:pPr>
          <w:hyperlink w:anchor="_k4yxdfulo8a3">
            <w:r w:rsidR="009E11DB">
              <w:rPr>
                <w:color w:val="000000"/>
              </w:rPr>
              <w:t>5.3 Importance for Health and Social Care Practice</w:t>
            </w:r>
            <w:r w:rsidR="009E11DB">
              <w:rPr>
                <w:color w:val="000000"/>
              </w:rPr>
              <w:tab/>
              <w:t>11</w:t>
            </w:r>
          </w:hyperlink>
        </w:p>
        <w:p w:rsidR="00DD3D5E" w:rsidRDefault="00DD3D5E">
          <w:pPr>
            <w:pStyle w:val="normal0"/>
            <w:widowControl w:val="0"/>
            <w:tabs>
              <w:tab w:val="right" w:leader="dot" w:pos="12000"/>
            </w:tabs>
            <w:spacing w:before="60" w:line="240" w:lineRule="auto"/>
            <w:ind w:left="360"/>
            <w:jc w:val="left"/>
            <w:rPr>
              <w:color w:val="000000"/>
            </w:rPr>
          </w:pPr>
          <w:hyperlink w:anchor="_u7a3u2cg7mu6">
            <w:r w:rsidR="009E11DB">
              <w:rPr>
                <w:color w:val="000000"/>
              </w:rPr>
              <w:t>5.4 Limitations of Your Review</w:t>
            </w:r>
            <w:r w:rsidR="009E11DB">
              <w:rPr>
                <w:color w:val="000000"/>
              </w:rPr>
              <w:tab/>
              <w:t>12</w:t>
            </w:r>
          </w:hyperlink>
        </w:p>
        <w:p w:rsidR="00DD3D5E" w:rsidRDefault="00DD3D5E">
          <w:pPr>
            <w:pStyle w:val="normal0"/>
            <w:widowControl w:val="0"/>
            <w:tabs>
              <w:tab w:val="right" w:leader="dot" w:pos="12000"/>
            </w:tabs>
            <w:spacing w:before="60" w:line="240" w:lineRule="auto"/>
            <w:jc w:val="left"/>
            <w:rPr>
              <w:b/>
              <w:bCs/>
              <w:color w:val="000000"/>
            </w:rPr>
          </w:pPr>
          <w:hyperlink w:anchor="_jj98idggiamu">
            <w:r w:rsidR="009E11DB">
              <w:rPr>
                <w:b/>
                <w:bCs/>
                <w:color w:val="000000"/>
              </w:rPr>
              <w:t>6. Conclusion and Recommendations</w:t>
            </w:r>
            <w:r w:rsidR="009E11DB">
              <w:rPr>
                <w:b/>
                <w:bCs/>
                <w:color w:val="000000"/>
              </w:rPr>
              <w:tab/>
              <w:t>12</w:t>
            </w:r>
          </w:hyperlink>
        </w:p>
        <w:p w:rsidR="00DD3D5E" w:rsidRDefault="00DD3D5E">
          <w:pPr>
            <w:pStyle w:val="normal0"/>
            <w:widowControl w:val="0"/>
            <w:tabs>
              <w:tab w:val="right" w:leader="dot" w:pos="12000"/>
            </w:tabs>
            <w:spacing w:before="60" w:line="240" w:lineRule="auto"/>
            <w:ind w:left="360"/>
            <w:jc w:val="left"/>
            <w:rPr>
              <w:color w:val="000000"/>
            </w:rPr>
          </w:pPr>
          <w:hyperlink w:anchor="_nv1px4377hrj">
            <w:r w:rsidR="009E11DB">
              <w:rPr>
                <w:color w:val="000000"/>
              </w:rPr>
              <w:t>6.1 Conclusion</w:t>
            </w:r>
            <w:r w:rsidR="009E11DB">
              <w:rPr>
                <w:color w:val="000000"/>
              </w:rPr>
              <w:tab/>
              <w:t>12</w:t>
            </w:r>
          </w:hyperlink>
        </w:p>
        <w:p w:rsidR="00DD3D5E" w:rsidRDefault="00DD3D5E">
          <w:pPr>
            <w:pStyle w:val="normal0"/>
            <w:widowControl w:val="0"/>
            <w:tabs>
              <w:tab w:val="right" w:leader="dot" w:pos="12000"/>
            </w:tabs>
            <w:spacing w:before="60" w:line="240" w:lineRule="auto"/>
            <w:ind w:left="360"/>
            <w:jc w:val="left"/>
            <w:rPr>
              <w:color w:val="000000"/>
            </w:rPr>
          </w:pPr>
          <w:hyperlink w:anchor="_if5xrr4zbi9w">
            <w:r w:rsidR="009E11DB">
              <w:rPr>
                <w:color w:val="000000"/>
              </w:rPr>
              <w:t>6.2 Recommendations for UK Practice</w:t>
            </w:r>
            <w:r w:rsidR="009E11DB">
              <w:rPr>
                <w:color w:val="000000"/>
              </w:rPr>
              <w:tab/>
              <w:t>12</w:t>
            </w:r>
          </w:hyperlink>
        </w:p>
        <w:p w:rsidR="00DD3D5E" w:rsidRDefault="00DD3D5E">
          <w:pPr>
            <w:pStyle w:val="normal0"/>
            <w:widowControl w:val="0"/>
            <w:tabs>
              <w:tab w:val="right" w:leader="dot" w:pos="12000"/>
            </w:tabs>
            <w:spacing w:before="60" w:line="240" w:lineRule="auto"/>
            <w:ind w:left="360"/>
            <w:jc w:val="left"/>
            <w:rPr>
              <w:color w:val="000000"/>
            </w:rPr>
          </w:pPr>
          <w:hyperlink w:anchor="_x9hinnhgcgkz">
            <w:r w:rsidR="009E11DB">
              <w:rPr>
                <w:color w:val="000000"/>
              </w:rPr>
              <w:t>6.3 Future Research Recommendation</w:t>
            </w:r>
            <w:r w:rsidR="009E11DB">
              <w:rPr>
                <w:color w:val="000000"/>
              </w:rPr>
              <w:tab/>
              <w:t>13</w:t>
            </w:r>
          </w:hyperlink>
        </w:p>
        <w:p w:rsidR="00DD3D5E" w:rsidRDefault="00DD3D5E">
          <w:pPr>
            <w:pStyle w:val="normal0"/>
            <w:widowControl w:val="0"/>
            <w:tabs>
              <w:tab w:val="right" w:leader="dot" w:pos="12000"/>
            </w:tabs>
            <w:spacing w:before="60" w:line="240" w:lineRule="auto"/>
            <w:jc w:val="left"/>
            <w:rPr>
              <w:b/>
              <w:bCs/>
              <w:color w:val="000000"/>
            </w:rPr>
          </w:pPr>
          <w:hyperlink w:anchor="_g8gad8jrvyyd">
            <w:r w:rsidR="009E11DB">
              <w:rPr>
                <w:b/>
                <w:bCs/>
                <w:color w:val="000000"/>
              </w:rPr>
              <w:t>Reference</w:t>
            </w:r>
            <w:r w:rsidR="009E11DB">
              <w:rPr>
                <w:b/>
                <w:bCs/>
                <w:color w:val="000000"/>
              </w:rPr>
              <w:tab/>
              <w:t>14</w:t>
            </w:r>
          </w:hyperlink>
          <w:r>
            <w:fldChar w:fldCharType="end"/>
          </w:r>
        </w:p>
      </w:sdtContent>
    </w:sdt>
    <w:p w:rsidR="00DD3D5E" w:rsidRDefault="009E11DB">
      <w:pPr>
        <w:pStyle w:val="normal0"/>
        <w:jc w:val="center"/>
      </w:pPr>
      <w:r>
        <w:br w:type="page"/>
      </w:r>
    </w:p>
    <w:p w:rsidR="00DD3D5E" w:rsidRDefault="009E11DB">
      <w:pPr>
        <w:pStyle w:val="Heading1"/>
      </w:pPr>
      <w:bookmarkStart w:id="1" w:name="_gb4ggrnpx53t" w:colFirst="0" w:colLast="0"/>
      <w:bookmarkEnd w:id="1"/>
      <w:r>
        <w:lastRenderedPageBreak/>
        <w:t>1. Introduction</w:t>
      </w:r>
    </w:p>
    <w:p w:rsidR="00DD3D5E" w:rsidRDefault="009E11DB">
      <w:pPr>
        <w:pStyle w:val="Heading2"/>
      </w:pPr>
      <w:bookmarkStart w:id="2" w:name="_x2cscoj8ft0" w:colFirst="0" w:colLast="0"/>
      <w:bookmarkEnd w:id="2"/>
      <w:r>
        <w:t>1.1 Definition of Main Concepts</w:t>
      </w:r>
    </w:p>
    <w:p w:rsidR="00DD3D5E" w:rsidRDefault="009E11DB">
      <w:pPr>
        <w:pStyle w:val="normal0"/>
      </w:pPr>
      <w:r>
        <w:t>National He</w:t>
      </w:r>
      <w:r>
        <w:t xml:space="preserve">alth Service defines social prescribing as a method of linking individuals to community-based activities, groups and services that respond to practical, emotional and social determinants of health and wellbeing (Howarth </w:t>
      </w:r>
      <w:r>
        <w:rPr>
          <w:i/>
          <w:iCs/>
          <w:sz w:val="20"/>
          <w:szCs w:val="20"/>
        </w:rPr>
        <w:t>et al</w:t>
      </w:r>
      <w:r>
        <w:t>., 2020). Using this model, gen</w:t>
      </w:r>
      <w:r>
        <w:t>eral practitioners or other professionals will typically refer patients to social prescribing link workers who will co-produce personalised support plans with non-medical needs like loneliness, housing or limited communal involvement. According to World He</w:t>
      </w:r>
      <w:r>
        <w:t>alth Organization, Loneliness is an upsetting subjective emotion that arises when one has the perception that there is a difference between his/her desired and actual social relations. Social isolation, on the contrary, is an objective state of reduced soc</w:t>
      </w:r>
      <w:r>
        <w:t>ial contact, poor social links, or decreased involvement in community life. The aging population or older adults are usually identified as those who are at 65 years of age and above, a group that is becoming increasingly vulnerable to social factors as wel</w:t>
      </w:r>
      <w:r>
        <w:t>l as the decreasing social connectedness.</w:t>
      </w:r>
    </w:p>
    <w:p w:rsidR="00DD3D5E" w:rsidRDefault="009E11DB">
      <w:pPr>
        <w:pStyle w:val="Heading2"/>
      </w:pPr>
      <w:bookmarkStart w:id="3" w:name="_81xojbz8i2cf" w:colFirst="0" w:colLast="0"/>
      <w:bookmarkEnd w:id="3"/>
      <w:r>
        <w:t>1.2 Rationale of the Research</w:t>
      </w:r>
    </w:p>
    <w:p w:rsidR="00DD3D5E" w:rsidRDefault="009E11DB">
      <w:pPr>
        <w:pStyle w:val="normal0"/>
      </w:pPr>
      <w:r>
        <w:t>This study is relevant since the United Kingdom is undergoing an unprecedented demographic transition whereby more elderly people are in need of health and social care services. Ageing of the population has increased the burden on the services of the Natio</w:t>
      </w:r>
      <w:r>
        <w:t>nal Health Service especially where loneliness is among the non-medical factors leading to frequent primary care visits (</w:t>
      </w:r>
      <w:proofErr w:type="spellStart"/>
      <w:r>
        <w:t>Amankour</w:t>
      </w:r>
      <w:proofErr w:type="spellEnd"/>
      <w:r>
        <w:t xml:space="preserve"> </w:t>
      </w:r>
      <w:r>
        <w:rPr>
          <w:i/>
          <w:iCs/>
          <w:sz w:val="20"/>
          <w:szCs w:val="20"/>
        </w:rPr>
        <w:t>et al</w:t>
      </w:r>
      <w:r>
        <w:t>., 2025). The existing evidence in the UK demonstrates that older adults experiencing loneliness have been linked to depr</w:t>
      </w:r>
      <w:r>
        <w:t>ession, anxiety, frailty, decreased physical mobility, hospital admission, and decreased overall wellbeing. It is also reported by the government that chronic loneliness pushes up the community services and social care spending. Despite the growth of socia</w:t>
      </w:r>
      <w:r>
        <w:t>l prescribing across the country via the Primary Care Networks, there are still concerns as to the effectiveness of these worker-based interventions in alleviating loneliness in the later part of life. Thus, the present study offers some evidence of practi</w:t>
      </w:r>
      <w:r>
        <w:t>cal significance whether social prescribing has a real effect on the loneliness of older adults and whether the existing UK models of delivering social and emotional support to the elderly population are sufficient.</w:t>
      </w:r>
    </w:p>
    <w:p w:rsidR="00DD3D5E" w:rsidRDefault="009E11DB">
      <w:pPr>
        <w:pStyle w:val="Heading2"/>
      </w:pPr>
      <w:bookmarkStart w:id="4" w:name="_szubcj61c3hy" w:colFirst="0" w:colLast="0"/>
      <w:bookmarkEnd w:id="4"/>
      <w:r>
        <w:t>1.3 Review Question</w:t>
      </w:r>
    </w:p>
    <w:p w:rsidR="00DD3D5E" w:rsidRDefault="009E11DB">
      <w:pPr>
        <w:pStyle w:val="normal0"/>
      </w:pPr>
      <w:r>
        <w:t>How might social pre</w:t>
      </w:r>
      <w:r>
        <w:t xml:space="preserve">scribing interventions help to address social isolation and loneliness of the aging populations in the United Kingdom and how are the existing UK health and </w:t>
      </w:r>
      <w:r>
        <w:lastRenderedPageBreak/>
        <w:t>community-based methods helpful in assisting the aged populations using the social prescribing inte</w:t>
      </w:r>
      <w:r>
        <w:t>rventions?</w:t>
      </w:r>
    </w:p>
    <w:p w:rsidR="00DD3D5E" w:rsidRDefault="009E11DB">
      <w:pPr>
        <w:pStyle w:val="Heading2"/>
      </w:pPr>
      <w:bookmarkStart w:id="5" w:name="_1kgl8fbmi1qn" w:colFirst="0" w:colLast="0"/>
      <w:bookmarkEnd w:id="5"/>
      <w:r>
        <w:t>1.4 Objectives</w:t>
      </w:r>
    </w:p>
    <w:p w:rsidR="00DD3D5E" w:rsidRDefault="009E11DB">
      <w:pPr>
        <w:pStyle w:val="normal0"/>
        <w:numPr>
          <w:ilvl w:val="0"/>
          <w:numId w:val="1"/>
        </w:numPr>
      </w:pPr>
      <w:r>
        <w:t>To assess the impact of social prescribing in the UK NHS elderly care and the role it plays in the personalised provision of non-medical support.</w:t>
      </w:r>
    </w:p>
    <w:p w:rsidR="00DD3D5E" w:rsidRDefault="009E11DB">
      <w:pPr>
        <w:pStyle w:val="normal0"/>
        <w:numPr>
          <w:ilvl w:val="0"/>
          <w:numId w:val="1"/>
        </w:numPr>
      </w:pPr>
      <w:r>
        <w:t>To investigate the effects of social prescribing of worker interventions on wellbein</w:t>
      </w:r>
      <w:r>
        <w:t>g, reduction of loneliness, and social engagement, in older adults.</w:t>
      </w:r>
    </w:p>
    <w:p w:rsidR="00DD3D5E" w:rsidRDefault="009E11DB">
      <w:pPr>
        <w:pStyle w:val="normal0"/>
        <w:numPr>
          <w:ilvl w:val="0"/>
          <w:numId w:val="1"/>
        </w:numPr>
      </w:pPr>
      <w:r>
        <w:t xml:space="preserve">To examine significant obstacles and enablers </w:t>
      </w:r>
      <w:proofErr w:type="gramStart"/>
      <w:r>
        <w:t>that influence</w:t>
      </w:r>
      <w:proofErr w:type="gramEnd"/>
      <w:r>
        <w:t xml:space="preserve"> the involvement of the elderly in social prescribing programmes within the communities in the UK.</w:t>
      </w:r>
    </w:p>
    <w:p w:rsidR="00DD3D5E" w:rsidRDefault="009E11DB">
      <w:pPr>
        <w:pStyle w:val="normal0"/>
        <w:numPr>
          <w:ilvl w:val="0"/>
          <w:numId w:val="1"/>
        </w:numPr>
      </w:pPr>
      <w:r>
        <w:t>To deliver evidence-based gui</w:t>
      </w:r>
      <w:r>
        <w:t xml:space="preserve">delines on how to enhance social prescribing </w:t>
      </w:r>
      <w:proofErr w:type="gramStart"/>
      <w:r>
        <w:t>practice</w:t>
      </w:r>
      <w:proofErr w:type="gramEnd"/>
      <w:r>
        <w:t xml:space="preserve"> in health and social care systems in the UK.</w:t>
      </w:r>
    </w:p>
    <w:p w:rsidR="00DD3D5E" w:rsidRDefault="009E11DB">
      <w:pPr>
        <w:pStyle w:val="Heading1"/>
      </w:pPr>
      <w:bookmarkStart w:id="6" w:name="_f7bfpu6d8hcn" w:colFirst="0" w:colLast="0"/>
      <w:bookmarkEnd w:id="6"/>
      <w:r>
        <w:t>2. Background</w:t>
      </w:r>
    </w:p>
    <w:p w:rsidR="00DD3D5E" w:rsidRDefault="009E11DB">
      <w:pPr>
        <w:pStyle w:val="Heading2"/>
      </w:pPr>
      <w:bookmarkStart w:id="7" w:name="_u3wwx33ppsvq" w:colFirst="0" w:colLast="0"/>
      <w:bookmarkEnd w:id="7"/>
      <w:r>
        <w:t>2.1 Loneliness as a UK Public Health Issue</w:t>
      </w:r>
    </w:p>
    <w:p w:rsidR="00DD3D5E" w:rsidRDefault="009E11DB">
      <w:pPr>
        <w:pStyle w:val="normal0"/>
      </w:pPr>
      <w:r>
        <w:t>Loneliness has emerged as a major social health concern in the United Kingdom especially among the s</w:t>
      </w:r>
      <w:r>
        <w:t>enior citizens. According to Age UK, over two million elderly aged people (over 75) in England live alone, and one million older adults frequently spend a month without talking to a friend, neighbour, or a family member. Elderly people are particularly sus</w:t>
      </w:r>
      <w:r>
        <w:t xml:space="preserve">ceptible due to the fact that widowhood, retirement, decreased mobility and chronic illness tend to diminish chances to interact with others (Carr and </w:t>
      </w:r>
      <w:proofErr w:type="spellStart"/>
      <w:r>
        <w:t>Utz</w:t>
      </w:r>
      <w:proofErr w:type="spellEnd"/>
      <w:r>
        <w:t>, 2020). The Office for National Statistics also singles out older people with poor health and low lev</w:t>
      </w:r>
      <w:r>
        <w:t>els of contact with the community as having higher levels of chronic loneliness. Loneliness is linked to risks of depression, cardiovascular disease, frailty and cognitive impairment, and long-term social disconnection implies a higher risk of death simila</w:t>
      </w:r>
      <w:r>
        <w:t>r to other significant determinants of public health. In the case of the National Health Service, loneliness adds to the number of repeated GP visits and is a factor leading to preventable hospital admissions among older adults.</w:t>
      </w:r>
    </w:p>
    <w:p w:rsidR="00DD3D5E" w:rsidRDefault="009E11DB">
      <w:pPr>
        <w:pStyle w:val="Heading2"/>
      </w:pPr>
      <w:bookmarkStart w:id="8" w:name="_c9quwhs7yvfk" w:colFirst="0" w:colLast="0"/>
      <w:bookmarkEnd w:id="8"/>
      <w:r>
        <w:t>2.2 Social Prescribing in U</w:t>
      </w:r>
      <w:r>
        <w:t>K Health Policy</w:t>
      </w:r>
    </w:p>
    <w:p w:rsidR="00DD3D5E" w:rsidRDefault="009E11DB">
      <w:pPr>
        <w:pStyle w:val="normal0"/>
      </w:pPr>
      <w:r>
        <w:t>The concept of social prescribing gained institutional support in UK healthcare policy with the publication of National Health Service Long Term Plan in which it was acknowledged that a significant number of health issues have social, as op</w:t>
      </w:r>
      <w:r>
        <w:t>posed to medical, origins (NIH, 2025). The policy has connected workers across Primary Care Networks to facilitate individualised care provision at the local communities (</w:t>
      </w:r>
      <w:proofErr w:type="spellStart"/>
      <w:r>
        <w:t>Aggarwal</w:t>
      </w:r>
      <w:proofErr w:type="spellEnd"/>
      <w:r>
        <w:t xml:space="preserve"> </w:t>
      </w:r>
      <w:r>
        <w:rPr>
          <w:i/>
          <w:iCs/>
          <w:sz w:val="20"/>
          <w:szCs w:val="20"/>
        </w:rPr>
        <w:t>et al</w:t>
      </w:r>
      <w:r>
        <w:t xml:space="preserve">., 2023). Referrals to link workers are made by general practitioners, </w:t>
      </w:r>
      <w:r>
        <w:t xml:space="preserve">nurses, and other healthcare providers and individuals are linked with community-based non-clinical support. These recommendations </w:t>
      </w:r>
      <w:r>
        <w:lastRenderedPageBreak/>
        <w:t>often incorporate walking groups, arts, gardening, volunteer activities and social clubs to enhance wellbeing by participatin</w:t>
      </w:r>
      <w:r>
        <w:t xml:space="preserve">g in social activities. The model will focus on preventing pressure on clinical services by focusing on social determinants of health. In older adults social prescribing offers routine assistance beyond customary health care and reinforces the connections </w:t>
      </w:r>
      <w:r>
        <w:t xml:space="preserve">between health care, voluntary organisations, and </w:t>
      </w:r>
      <w:proofErr w:type="spellStart"/>
      <w:r>
        <w:t>neighborhood</w:t>
      </w:r>
      <w:proofErr w:type="spellEnd"/>
      <w:r>
        <w:t xml:space="preserve"> community resources in varied areas of the United Kingdom.</w:t>
      </w:r>
    </w:p>
    <w:p w:rsidR="00DD3D5E" w:rsidRDefault="009E11DB">
      <w:pPr>
        <w:pStyle w:val="Heading2"/>
      </w:pPr>
      <w:bookmarkStart w:id="9" w:name="_2imq2po10g43" w:colFirst="0" w:colLast="0"/>
      <w:bookmarkEnd w:id="9"/>
      <w:r>
        <w:t>2.3 Why Social Prescribing Targets Older Adults</w:t>
      </w:r>
    </w:p>
    <w:p w:rsidR="00DD3D5E" w:rsidRDefault="009E11DB">
      <w:pPr>
        <w:pStyle w:val="normal0"/>
      </w:pPr>
      <w:r>
        <w:t>Social prescribing to older adults is a significant area of focus since most of them h</w:t>
      </w:r>
      <w:r>
        <w:t>ave intricate social issues, and drug therapy is not sufficient to address them. In most instances, the elderly show up at health facilities with minimal clinical emergencies and a high degree of emotional burden due to loneliness, loss of a loved one, ret</w:t>
      </w:r>
      <w:r>
        <w:t>irement or loss of autonomy. Social prescribing provides a viable alternative because it tries to deal with these non-medical determinants by exploring community-based interventions instead of professional routes to treatment (</w:t>
      </w:r>
      <w:proofErr w:type="spellStart"/>
      <w:r>
        <w:t>Oster</w:t>
      </w:r>
      <w:proofErr w:type="spellEnd"/>
      <w:r>
        <w:t xml:space="preserve"> </w:t>
      </w:r>
      <w:r>
        <w:rPr>
          <w:i/>
          <w:iCs/>
          <w:sz w:val="20"/>
          <w:szCs w:val="20"/>
        </w:rPr>
        <w:t>et al</w:t>
      </w:r>
      <w:r>
        <w:t>., 2023). In older</w:t>
      </w:r>
      <w:r>
        <w:t xml:space="preserve"> adults, loneliness is in most cases the loss of routine, decreased mobility, and social identity following retirement or bereavement. Community interventions assist in the normalization of interaction, in confidence, and daily organization. This minimizes</w:t>
      </w:r>
      <w:r>
        <w:t xml:space="preserve"> unneeded </w:t>
      </w:r>
      <w:proofErr w:type="spellStart"/>
      <w:r>
        <w:t>medicalisation</w:t>
      </w:r>
      <w:proofErr w:type="spellEnd"/>
      <w:r>
        <w:t xml:space="preserve"> of the social issues and enables the medical professionals to be more holistic in their responses. The strategy also complies with the preventative care objectives as it enhances wellbeing prior to loneliness advancing to more seve</w:t>
      </w:r>
      <w:r>
        <w:t>re mental or physical health issues that entail greater NHS intervention.</w:t>
      </w:r>
    </w:p>
    <w:p w:rsidR="00DD3D5E" w:rsidRDefault="009E11DB">
      <w:pPr>
        <w:pStyle w:val="Heading2"/>
      </w:pPr>
      <w:bookmarkStart w:id="10" w:name="_9dqx6cyzjvqh" w:colFirst="0" w:colLast="0"/>
      <w:bookmarkEnd w:id="10"/>
      <w:r>
        <w:t>2.4 UK Challenges in Implementation</w:t>
      </w:r>
    </w:p>
    <w:p w:rsidR="00DD3D5E" w:rsidRDefault="009E11DB">
      <w:pPr>
        <w:pStyle w:val="normal0"/>
      </w:pPr>
      <w:r>
        <w:t xml:space="preserve">In spite of the expansion of policies, the implementation of social prescribing is still uneven in the United Kingdom. Service availability is influenced by regional inequality due to the fact that certain areas have a better community infrastructure than </w:t>
      </w:r>
      <w:r>
        <w:t>others. The problem of transport barriers is also a crucial aspect that impacts older adults, especially those with mobility issues or in a rural community where certain activities might be inaccessible. Poor awareness of patients and health care professio</w:t>
      </w:r>
      <w:r>
        <w:t>nals decreases uptake of referrals as well. Digital exclusion is an extra issue since most services are becoming dependent on using online communications, whilst older people might lack digital confidence or access to the internet (</w:t>
      </w:r>
      <w:proofErr w:type="spellStart"/>
      <w:r>
        <w:t>Tomczyk</w:t>
      </w:r>
      <w:proofErr w:type="spellEnd"/>
      <w:r>
        <w:t xml:space="preserve"> </w:t>
      </w:r>
      <w:r>
        <w:rPr>
          <w:i/>
          <w:iCs/>
          <w:sz w:val="20"/>
          <w:szCs w:val="20"/>
        </w:rPr>
        <w:t>et al</w:t>
      </w:r>
      <w:r>
        <w:t>., 2023). T</w:t>
      </w:r>
      <w:r>
        <w:t>hese obstacles imply that accessibility of social prescribing does not necessarily imply equal contribution and long-lasting utility.</w:t>
      </w:r>
    </w:p>
    <w:p w:rsidR="00DD3D5E" w:rsidRDefault="009E11DB">
      <w:pPr>
        <w:pStyle w:val="Heading1"/>
      </w:pPr>
      <w:bookmarkStart w:id="11" w:name="_ikcplajk39xg" w:colFirst="0" w:colLast="0"/>
      <w:bookmarkEnd w:id="11"/>
      <w:r>
        <w:lastRenderedPageBreak/>
        <w:t>3. Methods</w:t>
      </w:r>
    </w:p>
    <w:p w:rsidR="00DD3D5E" w:rsidRDefault="009E11DB">
      <w:pPr>
        <w:pStyle w:val="Heading2"/>
      </w:pPr>
      <w:bookmarkStart w:id="12" w:name="_gmtov1b0vmyp" w:colFirst="0" w:colLast="0"/>
      <w:bookmarkEnd w:id="12"/>
      <w:r>
        <w:t>3.1 Research Design: Scoping Review</w:t>
      </w:r>
    </w:p>
    <w:p w:rsidR="00DD3D5E" w:rsidRDefault="009E11DB">
      <w:pPr>
        <w:pStyle w:val="normal0"/>
      </w:pPr>
      <w:r>
        <w:t>This study employs a scoping review research approach as a secondary resear</w:t>
      </w:r>
      <w:r>
        <w:t>ch to analyze the current evidence of social prescribing and loneliness among the older adults in the United Kingdom. Scoping reviews are suitable when the evidence is general, new and conceptually heterogeneous as they enable one to map the available lite</w:t>
      </w:r>
      <w:r>
        <w:t>rature but not measure intervention effectiveness per se (</w:t>
      </w:r>
      <w:proofErr w:type="spellStart"/>
      <w:r>
        <w:t>Khalil</w:t>
      </w:r>
      <w:proofErr w:type="spellEnd"/>
      <w:r>
        <w:t xml:space="preserve"> and </w:t>
      </w:r>
      <w:proofErr w:type="spellStart"/>
      <w:r>
        <w:t>Tricco</w:t>
      </w:r>
      <w:proofErr w:type="spellEnd"/>
      <w:r>
        <w:t>, 2022). The method is quite adaptable to social prescribing as its implementation is different in both a health and community context. The review will be conducted in accordance wi</w:t>
      </w:r>
      <w:r>
        <w:t xml:space="preserve">th the scheme that was suggested by </w:t>
      </w:r>
      <w:proofErr w:type="spellStart"/>
      <w:r>
        <w:t>Arksey</w:t>
      </w:r>
      <w:proofErr w:type="spellEnd"/>
      <w:r>
        <w:t xml:space="preserve"> and O’Malley and consists of the definition of the research question, search of the appropriate sources, evidence selection, data charting, and systematic summary of the findings.</w:t>
      </w:r>
    </w:p>
    <w:p w:rsidR="00DD3D5E" w:rsidRDefault="009E11DB">
      <w:pPr>
        <w:pStyle w:val="Heading2"/>
      </w:pPr>
      <w:bookmarkStart w:id="13" w:name="_8b82j05hmvjo" w:colFirst="0" w:colLast="0"/>
      <w:bookmarkEnd w:id="13"/>
      <w:r>
        <w:t>3.2 Search Strategy / Data Collec</w:t>
      </w:r>
      <w:r>
        <w:t>tion</w:t>
      </w:r>
    </w:p>
    <w:p w:rsidR="00DD3D5E" w:rsidRDefault="009E11DB">
      <w:pPr>
        <w:pStyle w:val="normal0"/>
      </w:pPr>
      <w:r>
        <w:t>A structured literature search was conducted using three academic databases to identify recent peer-reviewed studies relevant to the review question.</w:t>
      </w:r>
    </w:p>
    <w:tbl>
      <w:tblPr>
        <w:tblStyle w:val="a"/>
        <w:tblW w:w="889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025"/>
        <w:gridCol w:w="6870"/>
      </w:tblGrid>
      <w:tr w:rsidR="00DD3D5E">
        <w:trPr>
          <w:cantSplit/>
          <w:trHeight w:val="515"/>
          <w:tblHeader/>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jc w:val="center"/>
              <w:rPr>
                <w:b/>
                <w:bCs/>
              </w:rPr>
            </w:pPr>
            <w:r>
              <w:rPr>
                <w:b/>
                <w:bCs/>
              </w:rPr>
              <w:t>Element</w:t>
            </w:r>
          </w:p>
        </w:tc>
        <w:tc>
          <w:tcPr>
            <w:tcW w:w="6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jc w:val="center"/>
              <w:rPr>
                <w:b/>
                <w:bCs/>
              </w:rPr>
            </w:pPr>
            <w:r>
              <w:rPr>
                <w:b/>
                <w:bCs/>
              </w:rPr>
              <w:t>Detail</w:t>
            </w:r>
          </w:p>
        </w:tc>
      </w:tr>
      <w:tr w:rsidR="00DD3D5E">
        <w:trPr>
          <w:cantSplit/>
          <w:trHeight w:val="515"/>
          <w:tblHeader/>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Databases</w:t>
            </w:r>
          </w:p>
        </w:tc>
        <w:tc>
          <w:tcPr>
            <w:tcW w:w="6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 xml:space="preserve">Google Scholar, Pub </w:t>
            </w:r>
            <w:r>
              <w:t>Med, Sage</w:t>
            </w:r>
          </w:p>
        </w:tc>
      </w:tr>
      <w:tr w:rsidR="00DD3D5E">
        <w:trPr>
          <w:cantSplit/>
          <w:trHeight w:val="515"/>
          <w:tblHeader/>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Years</w:t>
            </w:r>
          </w:p>
        </w:tc>
        <w:tc>
          <w:tcPr>
            <w:tcW w:w="6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2019–2026</w:t>
            </w:r>
          </w:p>
        </w:tc>
      </w:tr>
      <w:tr w:rsidR="00DD3D5E">
        <w:trPr>
          <w:cantSplit/>
          <w:trHeight w:val="515"/>
          <w:tblHeader/>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Keywords</w:t>
            </w:r>
          </w:p>
        </w:tc>
        <w:tc>
          <w:tcPr>
            <w:tcW w:w="6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social prescribing, loneliness elderly UK</w:t>
            </w:r>
          </w:p>
        </w:tc>
      </w:tr>
      <w:tr w:rsidR="00DD3D5E">
        <w:trPr>
          <w:cantSplit/>
          <w:trHeight w:val="515"/>
          <w:tblHeader/>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Language</w:t>
            </w:r>
          </w:p>
        </w:tc>
        <w:tc>
          <w:tcPr>
            <w:tcW w:w="6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English</w:t>
            </w:r>
          </w:p>
        </w:tc>
      </w:tr>
      <w:tr w:rsidR="00DD3D5E">
        <w:trPr>
          <w:cantSplit/>
          <w:trHeight w:val="515"/>
          <w:tblHeader/>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Country</w:t>
            </w:r>
          </w:p>
        </w:tc>
        <w:tc>
          <w:tcPr>
            <w:tcW w:w="68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UK only</w:t>
            </w:r>
          </w:p>
        </w:tc>
      </w:tr>
    </w:tbl>
    <w:p w:rsidR="00DD3D5E" w:rsidRDefault="009E11DB">
      <w:pPr>
        <w:pStyle w:val="normal0"/>
      </w:pPr>
      <w:r>
        <w:t>The main search string used was:</w:t>
      </w:r>
    </w:p>
    <w:p w:rsidR="00DD3D5E" w:rsidRDefault="009E11DB">
      <w:pPr>
        <w:pStyle w:val="normal0"/>
      </w:pPr>
      <w:r>
        <w:t>"</w:t>
      </w:r>
      <w:proofErr w:type="gramStart"/>
      <w:r>
        <w:t>social</w:t>
      </w:r>
      <w:proofErr w:type="gramEnd"/>
      <w:r>
        <w:t xml:space="preserve"> prescribing" AND "older adults" AND "UK"</w:t>
      </w:r>
    </w:p>
    <w:p w:rsidR="00DD3D5E" w:rsidRDefault="009E11DB">
      <w:pPr>
        <w:pStyle w:val="normal0"/>
      </w:pPr>
      <w:r>
        <w:t>Additional combinations included terms such as "link worker", "loneliness intervention", and "so</w:t>
      </w:r>
      <w:r>
        <w:t>cial isolation elderly Britain". Only studies directly examining UK older adult populations were considered relevant for this review.</w:t>
      </w:r>
    </w:p>
    <w:p w:rsidR="00DD3D5E" w:rsidRDefault="009E11DB">
      <w:pPr>
        <w:pStyle w:val="Heading2"/>
      </w:pPr>
      <w:bookmarkStart w:id="14" w:name="_6alp96k5tw7" w:colFirst="0" w:colLast="0"/>
      <w:bookmarkEnd w:id="14"/>
      <w:r>
        <w:t>3.3 Inclusion and Exclusion Criteria</w:t>
      </w:r>
    </w:p>
    <w:p w:rsidR="00DD3D5E" w:rsidRDefault="009E11DB">
      <w:pPr>
        <w:pStyle w:val="normal0"/>
      </w:pPr>
      <w:r>
        <w:t>Clear inclusion and exclusion criteria were applied to improve relevance and consiste</w:t>
      </w:r>
      <w:r>
        <w:t>ncy during article selection.</w:t>
      </w:r>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830"/>
        <w:gridCol w:w="4170"/>
      </w:tblGrid>
      <w:tr w:rsidR="00DD3D5E">
        <w:trPr>
          <w:cantSplit/>
          <w:trHeight w:val="515"/>
          <w:tblHeader/>
        </w:trPr>
        <w:tc>
          <w:tcPr>
            <w:tcW w:w="4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jc w:val="center"/>
              <w:rPr>
                <w:b/>
                <w:bCs/>
              </w:rPr>
            </w:pPr>
            <w:r>
              <w:rPr>
                <w:b/>
                <w:bCs/>
              </w:rPr>
              <w:lastRenderedPageBreak/>
              <w:t>Inclusion</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jc w:val="center"/>
              <w:rPr>
                <w:b/>
                <w:bCs/>
              </w:rPr>
            </w:pPr>
            <w:r>
              <w:rPr>
                <w:b/>
                <w:bCs/>
              </w:rPr>
              <w:t>Exclusion</w:t>
            </w:r>
          </w:p>
        </w:tc>
      </w:tr>
      <w:tr w:rsidR="00DD3D5E">
        <w:trPr>
          <w:cantSplit/>
          <w:trHeight w:val="515"/>
          <w:tblHeader/>
        </w:trPr>
        <w:tc>
          <w:tcPr>
            <w:tcW w:w="4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Peer-reviewed journal articles</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Policy papers</w:t>
            </w:r>
          </w:p>
        </w:tc>
      </w:tr>
      <w:tr w:rsidR="00DD3D5E">
        <w:trPr>
          <w:cantSplit/>
          <w:trHeight w:val="515"/>
          <w:tblHeader/>
        </w:trPr>
        <w:tc>
          <w:tcPr>
            <w:tcW w:w="4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UK studies</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Studies outside UK</w:t>
            </w:r>
          </w:p>
        </w:tc>
      </w:tr>
      <w:tr w:rsidR="00DD3D5E">
        <w:trPr>
          <w:cantSplit/>
          <w:trHeight w:val="515"/>
          <w:tblHeader/>
        </w:trPr>
        <w:tc>
          <w:tcPr>
            <w:tcW w:w="4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Elderly population</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Younger adults</w:t>
            </w:r>
          </w:p>
        </w:tc>
      </w:tr>
      <w:tr w:rsidR="00DD3D5E">
        <w:trPr>
          <w:cantSplit/>
          <w:trHeight w:val="515"/>
          <w:tblHeader/>
        </w:trPr>
        <w:tc>
          <w:tcPr>
            <w:tcW w:w="4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English language</w:t>
            </w:r>
          </w:p>
        </w:tc>
        <w:tc>
          <w:tcPr>
            <w:tcW w:w="4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3D5E" w:rsidRDefault="009E11DB">
            <w:pPr>
              <w:pStyle w:val="normal0"/>
              <w:spacing w:line="240" w:lineRule="auto"/>
            </w:pPr>
            <w:r>
              <w:t>Non-English publications</w:t>
            </w:r>
          </w:p>
        </w:tc>
      </w:tr>
    </w:tbl>
    <w:p w:rsidR="00DD3D5E" w:rsidRDefault="009E11DB">
      <w:pPr>
        <w:pStyle w:val="normal0"/>
      </w:pPr>
      <w:r>
        <w:t xml:space="preserve">The inclusion criteria were that a study must have discussed social prescribing interventions in older adults and must have provided results about the same in the areas of loneliness, wellbeing or social engagement. Results analysis did not involve policy </w:t>
      </w:r>
      <w:r>
        <w:t>reports and grey literature since the assignment presupposes the use of peer-reviewed academic evidence as the primary foundation of synthesis.</w:t>
      </w:r>
    </w:p>
    <w:p w:rsidR="00DD3D5E" w:rsidRDefault="009E11DB">
      <w:pPr>
        <w:pStyle w:val="Heading2"/>
      </w:pPr>
      <w:bookmarkStart w:id="15" w:name="_tck2u81esuvx" w:colFirst="0" w:colLast="0"/>
      <w:bookmarkEnd w:id="15"/>
      <w:r>
        <w:t>3.4 Selected Studies</w:t>
      </w:r>
    </w:p>
    <w:p w:rsidR="00DD3D5E" w:rsidRDefault="009E11DB">
      <w:pPr>
        <w:pStyle w:val="normal0"/>
      </w:pPr>
      <w:r>
        <w:t>The last scoping review comprised four peer-reviewed journals published in 2019-2026. This fits the assignment criteria of three to five studies being reviewed and evidence is always focused, up-to-date and directly aligned with the social prescribing prac</w:t>
      </w:r>
      <w:r>
        <w:t>tice and its impact on older adults in the UK.</w:t>
      </w:r>
    </w:p>
    <w:p w:rsidR="00DD3D5E" w:rsidRDefault="009E11DB">
      <w:pPr>
        <w:pStyle w:val="Heading2"/>
      </w:pPr>
      <w:bookmarkStart w:id="16" w:name="_wvyzwpj1140" w:colFirst="0" w:colLast="0"/>
      <w:bookmarkEnd w:id="16"/>
      <w:r>
        <w:t>3.5 Data Analysis: Thematic Analysis</w:t>
      </w:r>
    </w:p>
    <w:p w:rsidR="00DD3D5E" w:rsidRDefault="009E11DB">
      <w:pPr>
        <w:pStyle w:val="normal0"/>
      </w:pPr>
      <w:r>
        <w:t>Thematic analysis was used to analyse the selected studies. This entailed reading all the articles numerous times, finding similarities, coding, and classifying similar res</w:t>
      </w:r>
      <w:r>
        <w:t>ults into larger themes pertaining to emotional wellbeing, link worker impact, barriers to participation, and community engagement outcomes.</w:t>
      </w:r>
    </w:p>
    <w:p w:rsidR="00DD3D5E" w:rsidRDefault="009E11DB">
      <w:pPr>
        <w:pStyle w:val="Heading2"/>
      </w:pPr>
      <w:bookmarkStart w:id="17" w:name="_4183emnu7z4" w:colFirst="0" w:colLast="0"/>
      <w:bookmarkEnd w:id="17"/>
      <w:r>
        <w:t>3.6 Ethical Considerations</w:t>
      </w:r>
    </w:p>
    <w:p w:rsidR="00DD3D5E" w:rsidRDefault="009E11DB">
      <w:pPr>
        <w:pStyle w:val="normal0"/>
      </w:pPr>
      <w:r>
        <w:t xml:space="preserve">Since this will be secondary research, there were no direct participants and no ethical </w:t>
      </w:r>
      <w:r>
        <w:t>approval was needed. Nevertheless, the practice of ethical research was upheld as correct referencing, truthful presentation of results, shunning fabrication of data and recognition of all original scholarly resources.</w:t>
      </w:r>
    </w:p>
    <w:p w:rsidR="00DD3D5E" w:rsidRDefault="009E11DB">
      <w:pPr>
        <w:pStyle w:val="Heading1"/>
      </w:pPr>
      <w:bookmarkStart w:id="18" w:name="_sdt2f13q30d" w:colFirst="0" w:colLast="0"/>
      <w:bookmarkEnd w:id="18"/>
      <w:r>
        <w:lastRenderedPageBreak/>
        <w:t>4. Results</w:t>
      </w:r>
    </w:p>
    <w:p w:rsidR="00DD3D5E" w:rsidRDefault="009E11DB">
      <w:pPr>
        <w:pStyle w:val="Heading2"/>
      </w:pPr>
      <w:bookmarkStart w:id="19" w:name="_mena5j8elaaf" w:colFirst="0" w:colLast="0"/>
      <w:bookmarkEnd w:id="19"/>
      <w:r>
        <w:t>4.1 Summary Table of Selec</w:t>
      </w:r>
      <w:r>
        <w:t>ted Studies</w:t>
      </w:r>
    </w:p>
    <w:p w:rsidR="00DD3D5E" w:rsidRDefault="009E11DB">
      <w:pPr>
        <w:pStyle w:val="Heading2"/>
      </w:pPr>
      <w:bookmarkStart w:id="20" w:name="_ymegfmk0pt9y" w:colFirst="0" w:colLast="0"/>
      <w:bookmarkEnd w:id="20"/>
      <w:r>
        <w:t>4.2 Theme 1: Improvement in Emotional Wellbeing</w:t>
      </w:r>
    </w:p>
    <w:p w:rsidR="00DD3D5E" w:rsidRDefault="009E11DB">
      <w:pPr>
        <w:pStyle w:val="normal0"/>
      </w:pPr>
      <w:r>
        <w:t>In all chosen studies, emotional wellbeing improvement was the most common reported outcomes of social prescribing. The respondents often reported a decrease in the level of loneliness, elevated m</w:t>
      </w:r>
      <w:r>
        <w:t>ood, and enhanced confidence following their engagement in community-based interventions including walking groups, gardening projects, and creative sessions (</w:t>
      </w:r>
      <w:proofErr w:type="spellStart"/>
      <w:r>
        <w:t>Buechner</w:t>
      </w:r>
      <w:proofErr w:type="spellEnd"/>
      <w:r>
        <w:t xml:space="preserve"> </w:t>
      </w:r>
      <w:r>
        <w:rPr>
          <w:i/>
          <w:iCs/>
          <w:sz w:val="20"/>
          <w:szCs w:val="20"/>
        </w:rPr>
        <w:t>et al</w:t>
      </w:r>
      <w:r>
        <w:t xml:space="preserve">., 2023). </w:t>
      </w:r>
      <w:proofErr w:type="spellStart"/>
      <w:r>
        <w:t>Dayson</w:t>
      </w:r>
      <w:proofErr w:type="spellEnd"/>
      <w:r>
        <w:t xml:space="preserve"> et al. discovered that a large number of older adults had a better </w:t>
      </w:r>
      <w:r>
        <w:t xml:space="preserve">emotional stability due to the regular participation that provided routine and socialization. Wildman et al. also reported that, after referral, participants frequently felt listened to and </w:t>
      </w:r>
      <w:proofErr w:type="gramStart"/>
      <w:r>
        <w:t>valued,</w:t>
      </w:r>
      <w:proofErr w:type="gramEnd"/>
      <w:r>
        <w:t xml:space="preserve"> which enhanced self-esteem and decreased isolation. These </w:t>
      </w:r>
      <w:r>
        <w:t xml:space="preserve">improvements, however, were largely self-reported, as opposed to standardised clinical measurement. Husk et al. reported that positive emotional change was frequently reported by the participants, but the evidence of long-term substantial change in mental </w:t>
      </w:r>
      <w:r>
        <w:t>health was not consistently present. This implies that social prescribing can be effectively used to enhance subjective wellbeing, although it is methodologically challenging to prove clinical effect.</w:t>
      </w:r>
    </w:p>
    <w:p w:rsidR="00DD3D5E" w:rsidRDefault="009E11DB">
      <w:pPr>
        <w:pStyle w:val="Heading2"/>
      </w:pPr>
      <w:bookmarkStart w:id="21" w:name="_xxud81z2zi1b" w:colFirst="0" w:colLast="0"/>
      <w:bookmarkEnd w:id="21"/>
      <w:r>
        <w:t>4.3 Theme 2: Link Worker Role as Central Mechanism</w:t>
      </w:r>
    </w:p>
    <w:p w:rsidR="00DD3D5E" w:rsidRDefault="009E11DB">
      <w:pPr>
        <w:pStyle w:val="normal0"/>
      </w:pPr>
      <w:r>
        <w:t>Link</w:t>
      </w:r>
      <w:r>
        <w:t xml:space="preserve"> worker was found to be </w:t>
      </w:r>
      <w:proofErr w:type="gramStart"/>
      <w:r>
        <w:t>key</w:t>
      </w:r>
      <w:proofErr w:type="gramEnd"/>
      <w:r>
        <w:t xml:space="preserve"> to positive results of social prescribing. </w:t>
      </w:r>
      <w:proofErr w:type="spellStart"/>
      <w:r>
        <w:t>Pescheny</w:t>
      </w:r>
      <w:proofErr w:type="spellEnd"/>
      <w:r>
        <w:t xml:space="preserve"> et al. discovered that when old people were assigned personalised instruction by workers instead of general referral directions, they reacted positively. Link workers were like</w:t>
      </w:r>
      <w:r>
        <w:t>ly to assist the participants in recognizing the sort of activity they should engage in, eliminate hesitation and stay engaged by continued support (</w:t>
      </w:r>
      <w:proofErr w:type="spellStart"/>
      <w:r>
        <w:t>Lockyer</w:t>
      </w:r>
      <w:proofErr w:type="spellEnd"/>
      <w:r>
        <w:t xml:space="preserve"> </w:t>
      </w:r>
      <w:r>
        <w:rPr>
          <w:i/>
          <w:iCs/>
          <w:sz w:val="20"/>
          <w:szCs w:val="20"/>
        </w:rPr>
        <w:t>et al</w:t>
      </w:r>
      <w:r>
        <w:t>, 2021). Wildman et al. emphasized that trust formed through the recurrent dialogues enabled o</w:t>
      </w:r>
      <w:r>
        <w:t>lder adults to feel supported in the process of entering in the new environment of the community. This became a one-on-one relationship that tended to ease anxiety and bring more people to social events. The roles of link workers were also linked to facili</w:t>
      </w:r>
      <w:r>
        <w:t>tating the way older adults could find their way in the range of support by providing the healthcare services with the community organisations. Nevertheless, it has been indicated that the success was highly dependent on the quality of relationship, commun</w:t>
      </w:r>
      <w:r>
        <w:t>ication, and how long time the support lasted. Participants had lower likelihood of staying engaged with prescribed activities where contact was infrequent or uncommon.</w:t>
      </w:r>
    </w:p>
    <w:p w:rsidR="00DD3D5E" w:rsidRDefault="009E11DB">
      <w:pPr>
        <w:pStyle w:val="Heading2"/>
      </w:pPr>
      <w:bookmarkStart w:id="22" w:name="_ir699kwrutk" w:colFirst="0" w:colLast="0"/>
      <w:bookmarkEnd w:id="22"/>
      <w:r>
        <w:t>4.4 Theme 3: Barriers to Participation</w:t>
      </w:r>
    </w:p>
    <w:p w:rsidR="00DD3D5E" w:rsidRDefault="009E11DB">
      <w:pPr>
        <w:pStyle w:val="normal0"/>
      </w:pPr>
      <w:r>
        <w:t>Despite the benefits of social prescribing as pr</w:t>
      </w:r>
      <w:r>
        <w:t xml:space="preserve">oviding community-based support, there were numerous obstacles that reduced the uptake of the program by older adults. Difficulties in </w:t>
      </w:r>
      <w:r>
        <w:lastRenderedPageBreak/>
        <w:t>transport were also commonly reported particularly in rural locations whereby community groups were more difficult to rea</w:t>
      </w:r>
      <w:r>
        <w:t>ch. Physical weakness also decreased the attendance especially where the activities involved movement or personal travelling (</w:t>
      </w:r>
      <w:proofErr w:type="spellStart"/>
      <w:r>
        <w:t>Neven</w:t>
      </w:r>
      <w:proofErr w:type="spellEnd"/>
      <w:r>
        <w:t xml:space="preserve"> and </w:t>
      </w:r>
      <w:proofErr w:type="spellStart"/>
      <w:r>
        <w:t>Ectors</w:t>
      </w:r>
      <w:proofErr w:type="spellEnd"/>
      <w:r>
        <w:t xml:space="preserve">, 2023). </w:t>
      </w:r>
      <w:proofErr w:type="spellStart"/>
      <w:r>
        <w:t>Dayson</w:t>
      </w:r>
      <w:proofErr w:type="spellEnd"/>
      <w:r>
        <w:t xml:space="preserve"> et al. also noted that there were players who accepted referral but did not participate in activit</w:t>
      </w:r>
      <w:r>
        <w:t>ies due to fatigue or chronic illness or even feared being in new environments. Engagement was also impacted by low motivation and stigma because not all older adults were willing to recognize loneliness as a personal problem (</w:t>
      </w:r>
      <w:proofErr w:type="spellStart"/>
      <w:r>
        <w:t>Neves</w:t>
      </w:r>
      <w:proofErr w:type="spellEnd"/>
      <w:r>
        <w:t xml:space="preserve"> and Petersen, 2025). Mo</w:t>
      </w:r>
      <w:r>
        <w:t xml:space="preserve">reover, the long-term attendance decreased in cases where there was poor follow-up on referral in cases where initial encouragement was lacking. Husk et al. noticed that the availability of the programmes did not necessarily lead to successful engagement. </w:t>
      </w:r>
      <w:r>
        <w:t xml:space="preserve">These results indicate that </w:t>
      </w:r>
      <w:proofErr w:type="gramStart"/>
      <w:r>
        <w:t>access to interventions as opposed to intervention uptake are</w:t>
      </w:r>
      <w:proofErr w:type="gramEnd"/>
      <w:r>
        <w:t xml:space="preserve"> not the same process and thus practical support should be provided beyond the process of referral.</w:t>
      </w:r>
    </w:p>
    <w:p w:rsidR="00DD3D5E" w:rsidRDefault="009E11DB">
      <w:pPr>
        <w:pStyle w:val="Heading2"/>
      </w:pPr>
      <w:bookmarkStart w:id="23" w:name="_xlww6rfeg9gv" w:colFirst="0" w:colLast="0"/>
      <w:bookmarkEnd w:id="23"/>
      <w:r>
        <w:t>4.5 Theme 4: Community Integration Effects</w:t>
      </w:r>
    </w:p>
    <w:p w:rsidR="00DD3D5E" w:rsidRDefault="009E11DB">
      <w:pPr>
        <w:pStyle w:val="normal0"/>
      </w:pPr>
      <w:r>
        <w:t>The wider community inte</w:t>
      </w:r>
      <w:r>
        <w:t>gration benefits were other products of social prescribing among many older adults. The members also tended to report fresh social identity as they belonged in regular groups whereby common activities promoted interaction. Social connection: Gardening grou</w:t>
      </w:r>
      <w:r>
        <w:t xml:space="preserve">ps, walking clubs and volunteer projects provided scope to have regular social contact and assist people regain confidence following bereavement or retirement. Wildman et al. documented that a few participants formed meaningful friendships which continued </w:t>
      </w:r>
      <w:r>
        <w:t xml:space="preserve">beyond organised sessions. This helped promote a sense of belonging and minimized a sense of social invisibility. The engagement in the community also assisted purpose and daily organization especially among the retired with less past schedule (Lewis, </w:t>
      </w:r>
      <w:proofErr w:type="spellStart"/>
      <w:r>
        <w:t>Rees</w:t>
      </w:r>
      <w:r>
        <w:t>or</w:t>
      </w:r>
      <w:proofErr w:type="spellEnd"/>
      <w:r>
        <w:t xml:space="preserve"> and Hill, 2022). Nonetheless, the quality and sustainability of community groups was a long-term benefit. Benefits were not so sustainable where activities were inconsistent, inclusive or inaccessible. This implies that referral systems are only importa</w:t>
      </w:r>
      <w:r>
        <w:t>nt in the successful social prescribing but also the good provision in the local community.</w:t>
      </w:r>
    </w:p>
    <w:p w:rsidR="00DD3D5E" w:rsidRDefault="009E11DB">
      <w:pPr>
        <w:pStyle w:val="Heading1"/>
      </w:pPr>
      <w:bookmarkStart w:id="24" w:name="_pq4u7mymole7" w:colFirst="0" w:colLast="0"/>
      <w:bookmarkEnd w:id="24"/>
      <w:r>
        <w:t>5. Discussion</w:t>
      </w:r>
    </w:p>
    <w:p w:rsidR="00DD3D5E" w:rsidRDefault="009E11DB">
      <w:pPr>
        <w:pStyle w:val="Heading2"/>
      </w:pPr>
      <w:bookmarkStart w:id="25" w:name="_p8pwv16rglis" w:colFirst="0" w:colLast="0"/>
      <w:bookmarkEnd w:id="25"/>
      <w:r>
        <w:t xml:space="preserve">5.1 Interpretation of Findings </w:t>
      </w:r>
      <w:proofErr w:type="gramStart"/>
      <w:r>
        <w:t>Against</w:t>
      </w:r>
      <w:proofErr w:type="gramEnd"/>
      <w:r>
        <w:t xml:space="preserve"> Review Question</w:t>
      </w:r>
    </w:p>
    <w:p w:rsidR="00DD3D5E" w:rsidRDefault="009E11DB">
      <w:pPr>
        <w:pStyle w:val="normal0"/>
      </w:pPr>
      <w:r>
        <w:t>The results indicate that social prescribing will help decrease loneliness amongst elderly peop</w:t>
      </w:r>
      <w:r>
        <w:t xml:space="preserve">le in the United Kingdom, yet its implementation differs based on personal factors and programme implementation. In all studies reviewed, there was a consistent positive effect of social prescribing on emotional wellbeing, confidence, and perceived social </w:t>
      </w:r>
      <w:r>
        <w:t xml:space="preserve">connection, which means that it had a positive impact on reducing loneliness. Nonetheless, it was found </w:t>
      </w:r>
      <w:r>
        <w:lastRenderedPageBreak/>
        <w:t>that older adults with mild or moderate loneliness as opposed to severe or chronic social isolation reaped the greatest benefits. Those people who still</w:t>
      </w:r>
      <w:r>
        <w:t xml:space="preserve"> had some degree of mobility, motivation, or desire to take part in it were more likely to experience the benefits of referral-based community activities. On the contrary, those who endured extreme isolation, chronic disease, bereavement or physical disabi</w:t>
      </w:r>
      <w:r>
        <w:t>lity tended to need a higher level of support than usual referral routes (</w:t>
      </w:r>
      <w:proofErr w:type="spellStart"/>
      <w:r>
        <w:t>Harrop</w:t>
      </w:r>
      <w:proofErr w:type="spellEnd"/>
      <w:r>
        <w:t xml:space="preserve"> </w:t>
      </w:r>
      <w:r>
        <w:rPr>
          <w:i/>
          <w:iCs/>
          <w:sz w:val="20"/>
          <w:szCs w:val="20"/>
        </w:rPr>
        <w:t>et al</w:t>
      </w:r>
      <w:r>
        <w:t>., 2021). This indicates that social prescribing is powerful when used as an early or prevention measure but might not be so effective when loneliness is long-standing or</w:t>
      </w:r>
      <w:r>
        <w:t xml:space="preserve"> is accompanied by complex health issues. The review question can thus answer it in the affirmative albeit with necessary caution: social prescribing helps to reduce loneliness best in cases where personalised support, available community services and long</w:t>
      </w:r>
      <w:r>
        <w:t xml:space="preserve"> time follow up exist. In the absence of these conditions, the outcomes of the intervention will be irregular and short-lived.</w:t>
      </w:r>
    </w:p>
    <w:p w:rsidR="00DD3D5E" w:rsidRDefault="009E11DB">
      <w:pPr>
        <w:pStyle w:val="Heading2"/>
      </w:pPr>
      <w:bookmarkStart w:id="26" w:name="_rm4jfaykkq16" w:colFirst="0" w:colLast="0"/>
      <w:bookmarkEnd w:id="26"/>
      <w:r>
        <w:t>5.2 Comparison with Previous Studies</w:t>
      </w:r>
    </w:p>
    <w:p w:rsidR="00DD3D5E" w:rsidRDefault="009E11DB">
      <w:pPr>
        <w:pStyle w:val="normal0"/>
      </w:pPr>
      <w:r>
        <w:t>These results in general contribute to the assumptions at the National Health Service policy</w:t>
      </w:r>
      <w:r>
        <w:t xml:space="preserve"> that interventions not aimed at medical treatment can be used to enhance wellbeing through social determinants of health. In the NHS Long Term Plan, social prescribing is enhanced as a preventive measure that cuts the number of medical visits, involving l</w:t>
      </w:r>
      <w:r>
        <w:t xml:space="preserve">inking people with the community. Self-confidence, social participation, and emotional resilience are other wider literature outcomes that have been shown to improve after referral to social prescribing. Nevertheless, there are some serious constraints in </w:t>
      </w:r>
      <w:r>
        <w:t>the evidence base. A large proportion of studies are small sized, located at a localized level, and are based on self-reporting that are not well grounded with the use of strong longitudinal measurements (GOV.UK, 2025). Some of the reviewed studies also co</w:t>
      </w:r>
      <w:r>
        <w:t>nsider the short-term outcomes, and it is challenging to conclude whether the reduced loneliness is long-term. Consequently, as much as the existing results are indicating where the policies need to go, there is a need to intensify large-scale review befor</w:t>
      </w:r>
      <w:r>
        <w:t>e social prescribing can be said to be equally efficient across all the elderly groups.</w:t>
      </w:r>
    </w:p>
    <w:p w:rsidR="00DD3D5E" w:rsidRDefault="009E11DB">
      <w:pPr>
        <w:pStyle w:val="Heading2"/>
      </w:pPr>
      <w:bookmarkStart w:id="27" w:name="_k4yxdfulo8a3" w:colFirst="0" w:colLast="0"/>
      <w:bookmarkEnd w:id="27"/>
      <w:r>
        <w:t>5.3 Importance for Health and Social Care Practice</w:t>
      </w:r>
    </w:p>
    <w:p w:rsidR="00DD3D5E" w:rsidRDefault="009E11DB">
      <w:pPr>
        <w:pStyle w:val="normal0"/>
      </w:pPr>
      <w:r>
        <w:t>The results have significant implications on health and social care practice in the United Kingdom. In the case of th</w:t>
      </w:r>
      <w:r>
        <w:t>e National Health Service, social prescribing can be used as a viable method to solve recurrent consultations associated with loneliness, emotional distress, and low-level social issues that do not necessitate clinical care. Link workers are an advantage t</w:t>
      </w:r>
      <w:r>
        <w:t>o GP surgeries, as non-medical referrals can be addressed that would stay undiscovered during brief consultations (</w:t>
      </w:r>
      <w:proofErr w:type="spellStart"/>
      <w:r>
        <w:t>Sidhu</w:t>
      </w:r>
      <w:proofErr w:type="spellEnd"/>
      <w:r>
        <w:t xml:space="preserve">, Pollard and Sussex, 2022). This is also </w:t>
      </w:r>
      <w:r>
        <w:lastRenderedPageBreak/>
        <w:t xml:space="preserve">advantageous to local authorities since social prescribing enhances the coordination with the </w:t>
      </w:r>
      <w:r>
        <w:t>voluntary organisations and community groups that are already assisting older adults. The strategy is responsive to prevention-oriented care by preventing loneliness before it leads to the depression, frailty, or unnecessary hospital hospitalization (Chian</w:t>
      </w:r>
      <w:r>
        <w:t xml:space="preserve">g, 2020). Practically, to implement successful delivery, regular referral systems, </w:t>
      </w:r>
      <w:proofErr w:type="gramStart"/>
      <w:r>
        <w:t>available</w:t>
      </w:r>
      <w:proofErr w:type="gramEnd"/>
      <w:r>
        <w:t xml:space="preserve"> activities in the community, and community partnerships that would help older adults to remain involved after the initial interaction are necessary. This supports </w:t>
      </w:r>
      <w:r>
        <w:t>social prescribing as a form of health intervention as well as a broader social care approach.</w:t>
      </w:r>
    </w:p>
    <w:p w:rsidR="00DD3D5E" w:rsidRDefault="009E11DB">
      <w:pPr>
        <w:pStyle w:val="Heading2"/>
      </w:pPr>
      <w:bookmarkStart w:id="28" w:name="_u7a3u2cg7mu6" w:colFirst="0" w:colLast="0"/>
      <w:bookmarkEnd w:id="28"/>
      <w:r>
        <w:t>5.4 Limitations of Your Review</w:t>
      </w:r>
    </w:p>
    <w:p w:rsidR="00DD3D5E" w:rsidRDefault="009E11DB">
      <w:pPr>
        <w:pStyle w:val="normal0"/>
      </w:pPr>
      <w:r>
        <w:t>There are a number of limitations of this review. There were only four peer-reviewed studies, which limits access to evidence. The</w:t>
      </w:r>
      <w:r>
        <w:t xml:space="preserve"> reduced international comparisons are caused by the exclusive use of UK-based studies, which enhances relevance. Other studies that were chosen had quite limited sample sizes, which decreased the </w:t>
      </w:r>
      <w:proofErr w:type="spellStart"/>
      <w:r>
        <w:t>generalisability</w:t>
      </w:r>
      <w:proofErr w:type="spellEnd"/>
      <w:r>
        <w:t>. Moreover, most of the results were founde</w:t>
      </w:r>
      <w:r>
        <w:t xml:space="preserve">d on short-term results and self-reported experiences, but not on long-term clinical measures. The differences in the design of programmes in the various regions of the UK also complicate such a direct comparison (Li </w:t>
      </w:r>
      <w:r>
        <w:rPr>
          <w:i/>
          <w:iCs/>
          <w:sz w:val="20"/>
          <w:szCs w:val="20"/>
        </w:rPr>
        <w:t>et al</w:t>
      </w:r>
      <w:r>
        <w:t>., 2022). Such constraints imply t</w:t>
      </w:r>
      <w:r>
        <w:t>hat the results should be taken at face value, especially regarding the national policy recommendations and general ideas about the effectiveness of the long-term intervention.</w:t>
      </w:r>
    </w:p>
    <w:p w:rsidR="00DD3D5E" w:rsidRDefault="009E11DB">
      <w:pPr>
        <w:pStyle w:val="Heading1"/>
      </w:pPr>
      <w:bookmarkStart w:id="29" w:name="_jj98idggiamu" w:colFirst="0" w:colLast="0"/>
      <w:bookmarkEnd w:id="29"/>
      <w:r>
        <w:t>6. Conclusion and Recommendations</w:t>
      </w:r>
    </w:p>
    <w:p w:rsidR="00DD3D5E" w:rsidRDefault="009E11DB">
      <w:pPr>
        <w:pStyle w:val="Heading2"/>
      </w:pPr>
      <w:bookmarkStart w:id="30" w:name="_nv1px4377hrj" w:colFirst="0" w:colLast="0"/>
      <w:bookmarkEnd w:id="30"/>
      <w:r>
        <w:t>6.1 Conclusion</w:t>
      </w:r>
    </w:p>
    <w:p w:rsidR="00DD3D5E" w:rsidRDefault="009E11DB">
      <w:pPr>
        <w:pStyle w:val="normal0"/>
      </w:pPr>
      <w:r>
        <w:t>Loneliness is a significant so</w:t>
      </w:r>
      <w:r>
        <w:t>cial health issue among older adults in the United Kingdom with significant implications to mental health, physical health and service utilization. The review indicates that social prescribing is an effective non-clinical self-help method that has the pote</w:t>
      </w:r>
      <w:r>
        <w:t>ntial to decrease loneliness through enhancing emotional wellbeing and promoting involvement in the community. Link workers were found key to effective delivery due to individualised support that enhanced confidence and involvement in community activities.</w:t>
      </w:r>
      <w:r>
        <w:t xml:space="preserve"> Nevertheless, obstacles like transport challenges, physical weakness, and lack of uniformity in local service provision still hamper effectiveness. In general, the objectives of the review were met as they showed the potential and the limitations of socia</w:t>
      </w:r>
      <w:r>
        <w:t>l prescribing in the UK elderly care.</w:t>
      </w:r>
    </w:p>
    <w:p w:rsidR="00DD3D5E" w:rsidRDefault="009E11DB">
      <w:pPr>
        <w:pStyle w:val="Heading2"/>
      </w:pPr>
      <w:bookmarkStart w:id="31" w:name="_if5xrr4zbi9w" w:colFirst="0" w:colLast="0"/>
      <w:bookmarkEnd w:id="31"/>
      <w:r>
        <w:t>6.2 Recommendations for UK Practice</w:t>
      </w:r>
    </w:p>
    <w:p w:rsidR="00DD3D5E" w:rsidRDefault="009E11DB">
      <w:pPr>
        <w:pStyle w:val="normal0"/>
        <w:rPr>
          <w:b/>
          <w:bCs/>
        </w:rPr>
      </w:pPr>
      <w:r>
        <w:rPr>
          <w:b/>
          <w:bCs/>
        </w:rPr>
        <w:t>Recommendation 1</w:t>
      </w:r>
    </w:p>
    <w:p w:rsidR="00DD3D5E" w:rsidRDefault="009E11DB">
      <w:pPr>
        <w:pStyle w:val="normal0"/>
      </w:pPr>
      <w:r>
        <w:lastRenderedPageBreak/>
        <w:t xml:space="preserve">Transport support should also be enhanced by the local health services to older adults by ensuring there is provision of affordable modes of transport or community transport schemes so that they can attend to their prescribed social services when there is </w:t>
      </w:r>
      <w:r>
        <w:t xml:space="preserve">a barrier to mobility especially in the rural settings where they </w:t>
      </w:r>
      <w:proofErr w:type="spellStart"/>
      <w:r>
        <w:t>can not</w:t>
      </w:r>
      <w:proofErr w:type="spellEnd"/>
      <w:r>
        <w:t xml:space="preserve"> access the social services.</w:t>
      </w:r>
    </w:p>
    <w:p w:rsidR="00DD3D5E" w:rsidRDefault="009E11DB">
      <w:pPr>
        <w:pStyle w:val="normal0"/>
        <w:rPr>
          <w:b/>
          <w:bCs/>
        </w:rPr>
      </w:pPr>
      <w:r>
        <w:rPr>
          <w:b/>
          <w:bCs/>
        </w:rPr>
        <w:t>Recommendation 2</w:t>
      </w:r>
    </w:p>
    <w:p w:rsidR="00DD3D5E" w:rsidRDefault="009E11DB">
      <w:pPr>
        <w:pStyle w:val="normal0"/>
      </w:pPr>
      <w:r>
        <w:t>Increased awareness of social prescribing pathways among primary care professionals and follow-up contact after referral by older adults should enhance the consistency in referrals made to GP surgery in order to improve attendance.</w:t>
      </w:r>
    </w:p>
    <w:p w:rsidR="00DD3D5E" w:rsidRDefault="009E11DB">
      <w:pPr>
        <w:pStyle w:val="normal0"/>
        <w:rPr>
          <w:b/>
          <w:bCs/>
        </w:rPr>
      </w:pPr>
      <w:r>
        <w:rPr>
          <w:b/>
          <w:bCs/>
        </w:rPr>
        <w:t>Recommendation 3</w:t>
      </w:r>
    </w:p>
    <w:p w:rsidR="00DD3D5E" w:rsidRDefault="009E11DB">
      <w:pPr>
        <w:pStyle w:val="normal0"/>
      </w:pPr>
      <w:r>
        <w:t>Healthc</w:t>
      </w:r>
      <w:r>
        <w:t>are providers and local authorities should intensify collaboration with voluntary organisations to increase sustainable community activities to ensure that the referred older adults receive programmes that are inclusive and reliable.</w:t>
      </w:r>
    </w:p>
    <w:p w:rsidR="00DD3D5E" w:rsidRDefault="009E11DB">
      <w:pPr>
        <w:pStyle w:val="Heading2"/>
      </w:pPr>
      <w:bookmarkStart w:id="32" w:name="_x9hinnhgcgkz" w:colFirst="0" w:colLast="0"/>
      <w:bookmarkEnd w:id="32"/>
      <w:r>
        <w:t>6.3 Future Research Re</w:t>
      </w:r>
      <w:r>
        <w:t>commendation</w:t>
      </w:r>
    </w:p>
    <w:p w:rsidR="00DD3D5E" w:rsidRDefault="009E11DB">
      <w:pPr>
        <w:pStyle w:val="normal0"/>
      </w:pPr>
      <w:r>
        <w:t>Future studies ought to entail bigger longitudinal studies in the UK that will monitor the respondents throughout the years and incorporate stronger quantifiable loneliness results. A greater number of standardised assessment tools are require</w:t>
      </w:r>
      <w:r>
        <w:t>d to assess whether social prescribing-related emotional improvements can be maintained among various elderly patient groups and in different areas of service models.</w:t>
      </w:r>
      <w:r>
        <w:br w:type="page"/>
      </w:r>
    </w:p>
    <w:p w:rsidR="00DD3D5E" w:rsidRDefault="009E11DB">
      <w:pPr>
        <w:pStyle w:val="Heading1"/>
      </w:pPr>
      <w:bookmarkStart w:id="33" w:name="_g8gad8jrvyyd" w:colFirst="0" w:colLast="0"/>
      <w:bookmarkEnd w:id="33"/>
      <w:r>
        <w:lastRenderedPageBreak/>
        <w:t xml:space="preserve">Reference </w:t>
      </w:r>
    </w:p>
    <w:p w:rsidR="00DD3D5E" w:rsidRDefault="009E11DB">
      <w:pPr>
        <w:pStyle w:val="normal0"/>
        <w:spacing w:before="240" w:after="240"/>
      </w:pPr>
      <w:proofErr w:type="spellStart"/>
      <w:proofErr w:type="gramStart"/>
      <w:r>
        <w:t>Aggarwal</w:t>
      </w:r>
      <w:proofErr w:type="spellEnd"/>
      <w:r>
        <w:t xml:space="preserve">, M., Hutchison, B., </w:t>
      </w:r>
      <w:proofErr w:type="spellStart"/>
      <w:r>
        <w:t>Abdelhalim</w:t>
      </w:r>
      <w:proofErr w:type="spellEnd"/>
      <w:r>
        <w:t>, R. and Baker, G.R., (2023).</w:t>
      </w:r>
      <w:proofErr w:type="gramEnd"/>
      <w:r>
        <w:t xml:space="preserve"> Building</w:t>
      </w:r>
      <w:r>
        <w:t xml:space="preserve"> high‐performing primary care systems: After a decade of policy change, is </w:t>
      </w:r>
      <w:proofErr w:type="spellStart"/>
      <w:r>
        <w:t>canada</w:t>
      </w:r>
      <w:proofErr w:type="spellEnd"/>
      <w:r>
        <w:t xml:space="preserve"> “walking the talk?</w:t>
      </w:r>
      <w:proofErr w:type="gramStart"/>
      <w:r>
        <w:t>”.</w:t>
      </w:r>
      <w:proofErr w:type="gramEnd"/>
      <w:r>
        <w:t xml:space="preserve"> </w:t>
      </w:r>
      <w:proofErr w:type="gramStart"/>
      <w:r>
        <w:rPr>
          <w:i/>
          <w:iCs/>
        </w:rPr>
        <w:t>The Milbank Quarterly</w:t>
      </w:r>
      <w:r>
        <w:t xml:space="preserve">, </w:t>
      </w:r>
      <w:r>
        <w:rPr>
          <w:i/>
          <w:iCs/>
        </w:rPr>
        <w:t>101</w:t>
      </w:r>
      <w:r>
        <w:t>(4), pp.1139-1190.</w:t>
      </w:r>
      <w:proofErr w:type="gramEnd"/>
    </w:p>
    <w:p w:rsidR="00DD3D5E" w:rsidRDefault="009E11DB">
      <w:pPr>
        <w:pStyle w:val="normal0"/>
        <w:spacing w:before="240" w:after="240"/>
      </w:pPr>
      <w:proofErr w:type="spellStart"/>
      <w:r>
        <w:t>Amankour</w:t>
      </w:r>
      <w:proofErr w:type="spellEnd"/>
      <w:r>
        <w:t xml:space="preserve">, F., </w:t>
      </w:r>
      <w:proofErr w:type="spellStart"/>
      <w:r>
        <w:t>Krabbe-Alkemade</w:t>
      </w:r>
      <w:proofErr w:type="spellEnd"/>
      <w:r>
        <w:t xml:space="preserve">, Y., </w:t>
      </w:r>
      <w:proofErr w:type="spellStart"/>
      <w:r>
        <w:t>Koolman</w:t>
      </w:r>
      <w:proofErr w:type="spellEnd"/>
      <w:r>
        <w:t xml:space="preserve">, X., </w:t>
      </w:r>
      <w:proofErr w:type="spellStart"/>
      <w:r>
        <w:t>Broese</w:t>
      </w:r>
      <w:proofErr w:type="spellEnd"/>
      <w:r>
        <w:t xml:space="preserve"> van </w:t>
      </w:r>
      <w:proofErr w:type="spellStart"/>
      <w:r>
        <w:t>Groenou</w:t>
      </w:r>
      <w:proofErr w:type="spellEnd"/>
      <w:r>
        <w:t>, M. and Portrait, F., (2025). Non-medical</w:t>
      </w:r>
      <w:r>
        <w:t xml:space="preserve"> barriers and facilitators of ageing in place: a cohort study in the Netherlands. </w:t>
      </w:r>
      <w:r>
        <w:rPr>
          <w:i/>
          <w:iCs/>
        </w:rPr>
        <w:t>European Journal of Ageing</w:t>
      </w:r>
      <w:r>
        <w:t xml:space="preserve">, </w:t>
      </w:r>
      <w:r>
        <w:rPr>
          <w:i/>
          <w:iCs/>
        </w:rPr>
        <w:t>22</w:t>
      </w:r>
      <w:r>
        <w:t>(1), p.23.</w:t>
      </w:r>
    </w:p>
    <w:p w:rsidR="00DD3D5E" w:rsidRDefault="009E11DB">
      <w:pPr>
        <w:pStyle w:val="normal0"/>
        <w:spacing w:before="240" w:after="240"/>
      </w:pPr>
      <w:proofErr w:type="spellStart"/>
      <w:proofErr w:type="gramStart"/>
      <w:r>
        <w:t>Buechner</w:t>
      </w:r>
      <w:proofErr w:type="spellEnd"/>
      <w:r>
        <w:t xml:space="preserve">, H., </w:t>
      </w:r>
      <w:proofErr w:type="spellStart"/>
      <w:r>
        <w:t>Toparlak</w:t>
      </w:r>
      <w:proofErr w:type="spellEnd"/>
      <w:r>
        <w:t xml:space="preserve">, S.M., </w:t>
      </w:r>
      <w:proofErr w:type="spellStart"/>
      <w:r>
        <w:t>Ostinelli</w:t>
      </w:r>
      <w:proofErr w:type="spellEnd"/>
      <w:r>
        <w:t xml:space="preserve">, E.G., </w:t>
      </w:r>
      <w:proofErr w:type="spellStart"/>
      <w:r>
        <w:t>Shokraneh</w:t>
      </w:r>
      <w:proofErr w:type="spellEnd"/>
      <w:r>
        <w:t>, F., Nicholls-</w:t>
      </w:r>
      <w:proofErr w:type="spellStart"/>
      <w:r>
        <w:t>Mindlin</w:t>
      </w:r>
      <w:proofErr w:type="spellEnd"/>
      <w:r>
        <w:t xml:space="preserve">, J., </w:t>
      </w:r>
      <w:proofErr w:type="spellStart"/>
      <w:r>
        <w:t>Cipriani</w:t>
      </w:r>
      <w:proofErr w:type="spellEnd"/>
      <w:r>
        <w:t xml:space="preserve">, A., Geddes, J.R. and </w:t>
      </w:r>
      <w:proofErr w:type="spellStart"/>
      <w:r>
        <w:t>Syed</w:t>
      </w:r>
      <w:proofErr w:type="spellEnd"/>
      <w:r>
        <w:t xml:space="preserve"> Sheriff, R., </w:t>
      </w:r>
      <w:r>
        <w:t>(2023).</w:t>
      </w:r>
      <w:proofErr w:type="gramEnd"/>
      <w:r>
        <w:t xml:space="preserve"> Community interventions for anxiety and depression in adults and young people: A systematic review. </w:t>
      </w:r>
      <w:proofErr w:type="gramStart"/>
      <w:r>
        <w:rPr>
          <w:i/>
          <w:iCs/>
        </w:rPr>
        <w:t>Australian &amp; New Zealand Journal of Psychiatry</w:t>
      </w:r>
      <w:r>
        <w:t xml:space="preserve">, </w:t>
      </w:r>
      <w:r>
        <w:rPr>
          <w:i/>
          <w:iCs/>
        </w:rPr>
        <w:t>57</w:t>
      </w:r>
      <w:r>
        <w:t>(9), pp.1223-1242.</w:t>
      </w:r>
      <w:proofErr w:type="gramEnd"/>
    </w:p>
    <w:p w:rsidR="00DD3D5E" w:rsidRDefault="009E11DB">
      <w:pPr>
        <w:pStyle w:val="normal0"/>
        <w:spacing w:before="240" w:after="240"/>
      </w:pPr>
      <w:r>
        <w:t xml:space="preserve">Carr, D. and </w:t>
      </w:r>
      <w:proofErr w:type="spellStart"/>
      <w:r>
        <w:t>Utz</w:t>
      </w:r>
      <w:proofErr w:type="spellEnd"/>
      <w:r>
        <w:t xml:space="preserve">, R.L., (2020). Families in later life: A decade in review. </w:t>
      </w:r>
      <w:proofErr w:type="gramStart"/>
      <w:r>
        <w:rPr>
          <w:i/>
          <w:iCs/>
        </w:rPr>
        <w:t>Jou</w:t>
      </w:r>
      <w:r>
        <w:rPr>
          <w:i/>
          <w:iCs/>
        </w:rPr>
        <w:t>rnal of Marriage and Family</w:t>
      </w:r>
      <w:r>
        <w:t xml:space="preserve">, </w:t>
      </w:r>
      <w:r>
        <w:rPr>
          <w:i/>
          <w:iCs/>
        </w:rPr>
        <w:t>82</w:t>
      </w:r>
      <w:r>
        <w:t>(1), pp.346-363.</w:t>
      </w:r>
      <w:proofErr w:type="gramEnd"/>
    </w:p>
    <w:p w:rsidR="00DD3D5E" w:rsidRDefault="009E11DB">
      <w:pPr>
        <w:pStyle w:val="normal0"/>
        <w:spacing w:before="240" w:after="240"/>
      </w:pPr>
      <w:r>
        <w:t xml:space="preserve">Chiang, C.Y., (2020). </w:t>
      </w:r>
      <w:r>
        <w:rPr>
          <w:i/>
          <w:iCs/>
        </w:rPr>
        <w:t>Focusing-Oriented Art Therapy and Connectedness: Art as a Means to Spiritual Care for Asian Seniors</w:t>
      </w:r>
      <w:r>
        <w:t xml:space="preserve">. </w:t>
      </w:r>
      <w:proofErr w:type="gramStart"/>
      <w:r>
        <w:t>Notre Dame de Namur University.</w:t>
      </w:r>
      <w:proofErr w:type="gramEnd"/>
    </w:p>
    <w:p w:rsidR="00DD3D5E" w:rsidRDefault="009E11DB">
      <w:pPr>
        <w:pStyle w:val="normal0"/>
        <w:spacing w:before="240" w:after="240"/>
      </w:pPr>
      <w:r>
        <w:t xml:space="preserve">GOV.UK (2025), </w:t>
      </w:r>
      <w:r>
        <w:rPr>
          <w:i/>
          <w:iCs/>
        </w:rPr>
        <w:t>“Identifying and supporting children a</w:t>
      </w:r>
      <w:r>
        <w:rPr>
          <w:i/>
          <w:iCs/>
        </w:rPr>
        <w:t>nd young people with social, emotional and mental health needs: a rapid evidence review”</w:t>
      </w:r>
      <w:r>
        <w:t xml:space="preserve"> Available at:</w:t>
      </w:r>
      <w:hyperlink r:id="rId6">
        <w:r>
          <w:t xml:space="preserve"> </w:t>
        </w:r>
      </w:hyperlink>
      <w:hyperlink r:id="rId7">
        <w:r>
          <w:rPr>
            <w:color w:val="1155CC"/>
            <w:u w:val="single"/>
          </w:rPr>
          <w:t>https://assets.publishing.service.gov.uk/media/68d65e5dc908572e81248d43/Identifying_and_supporting_children_and_young_people_with_social_emotional_and_mental_health_needs_a_rapid_evidence_review.pdf</w:t>
        </w:r>
      </w:hyperlink>
      <w:r>
        <w:t xml:space="preserve">  [Accessed on 18</w:t>
      </w:r>
      <w:r>
        <w:rPr>
          <w:vertAlign w:val="superscript"/>
        </w:rPr>
        <w:t>th</w:t>
      </w:r>
      <w:r>
        <w:t xml:space="preserve"> April 2026]</w:t>
      </w:r>
    </w:p>
    <w:p w:rsidR="00DD3D5E" w:rsidRDefault="009E11DB">
      <w:pPr>
        <w:pStyle w:val="normal0"/>
        <w:spacing w:before="240" w:after="240"/>
      </w:pPr>
      <w:proofErr w:type="spellStart"/>
      <w:r>
        <w:t>Har</w:t>
      </w:r>
      <w:r>
        <w:t>rop</w:t>
      </w:r>
      <w:proofErr w:type="spellEnd"/>
      <w:r>
        <w:t xml:space="preserve">, E., Goss, S., </w:t>
      </w:r>
      <w:proofErr w:type="spellStart"/>
      <w:r>
        <w:t>Farnell</w:t>
      </w:r>
      <w:proofErr w:type="spellEnd"/>
      <w:r>
        <w:t xml:space="preserve">, D., Longo, M., Byrne, A., </w:t>
      </w:r>
      <w:proofErr w:type="spellStart"/>
      <w:r>
        <w:t>Barawi</w:t>
      </w:r>
      <w:proofErr w:type="spellEnd"/>
      <w:r>
        <w:t xml:space="preserve">, K., Torrens-Burton, A., Nelson, A., </w:t>
      </w:r>
      <w:proofErr w:type="spellStart"/>
      <w:r>
        <w:t>Seddon</w:t>
      </w:r>
      <w:proofErr w:type="spellEnd"/>
      <w:r>
        <w:t xml:space="preserve">, K., </w:t>
      </w:r>
      <w:proofErr w:type="spellStart"/>
      <w:r>
        <w:t>Machin</w:t>
      </w:r>
      <w:proofErr w:type="spellEnd"/>
      <w:r>
        <w:t xml:space="preserve">, L. and Sutton, E., (2021). Support needs and barriers to accessing support: Baseline results of a mixed-methods national survey of people </w:t>
      </w:r>
      <w:r>
        <w:t xml:space="preserve">bereaved during the COVID-19 pandemic. </w:t>
      </w:r>
      <w:proofErr w:type="gramStart"/>
      <w:r>
        <w:rPr>
          <w:i/>
          <w:iCs/>
        </w:rPr>
        <w:t>Palliative medicine</w:t>
      </w:r>
      <w:r>
        <w:t xml:space="preserve">, </w:t>
      </w:r>
      <w:r>
        <w:rPr>
          <w:i/>
          <w:iCs/>
        </w:rPr>
        <w:t>35</w:t>
      </w:r>
      <w:r>
        <w:t>(10), pp.1985-1997.</w:t>
      </w:r>
      <w:proofErr w:type="gramEnd"/>
    </w:p>
    <w:p w:rsidR="00DD3D5E" w:rsidRDefault="009E11DB">
      <w:pPr>
        <w:pStyle w:val="normal0"/>
        <w:spacing w:before="240" w:after="240"/>
      </w:pPr>
      <w:proofErr w:type="gramStart"/>
      <w:r>
        <w:t xml:space="preserve">Howarth, M., Griffiths, A., </w:t>
      </w:r>
      <w:proofErr w:type="spellStart"/>
      <w:r>
        <w:t>Da</w:t>
      </w:r>
      <w:proofErr w:type="spellEnd"/>
      <w:r>
        <w:t xml:space="preserve"> Silva, A. and Green, R., (2020).</w:t>
      </w:r>
      <w:proofErr w:type="gramEnd"/>
      <w:r>
        <w:t xml:space="preserve"> Social prescribing: a ‘</w:t>
      </w:r>
      <w:proofErr w:type="spellStart"/>
      <w:r>
        <w:t>natural’community</w:t>
      </w:r>
      <w:proofErr w:type="spellEnd"/>
      <w:r>
        <w:t xml:space="preserve">-based solution. </w:t>
      </w:r>
      <w:proofErr w:type="gramStart"/>
      <w:r>
        <w:rPr>
          <w:i/>
          <w:iCs/>
        </w:rPr>
        <w:t>British journal of community nursing</w:t>
      </w:r>
      <w:r>
        <w:t xml:space="preserve">, </w:t>
      </w:r>
      <w:r>
        <w:rPr>
          <w:i/>
          <w:iCs/>
        </w:rPr>
        <w:t>25</w:t>
      </w:r>
      <w:r>
        <w:t>(6), pp.294-2</w:t>
      </w:r>
      <w:r>
        <w:t>98.</w:t>
      </w:r>
      <w:proofErr w:type="gramEnd"/>
    </w:p>
    <w:p w:rsidR="00DD3D5E" w:rsidRDefault="009E11DB">
      <w:pPr>
        <w:pStyle w:val="normal0"/>
        <w:spacing w:before="240" w:after="240"/>
      </w:pPr>
      <w:proofErr w:type="spellStart"/>
      <w:r>
        <w:lastRenderedPageBreak/>
        <w:t>Khalil</w:t>
      </w:r>
      <w:proofErr w:type="spellEnd"/>
      <w:r>
        <w:t xml:space="preserve">, H. and </w:t>
      </w:r>
      <w:proofErr w:type="spellStart"/>
      <w:r>
        <w:t>Tricco</w:t>
      </w:r>
      <w:proofErr w:type="spellEnd"/>
      <w:r>
        <w:t xml:space="preserve">, A.C., (2022). Differentiating between mapping reviews and scoping reviews in the evidence synthesis ecosystem. </w:t>
      </w:r>
      <w:proofErr w:type="gramStart"/>
      <w:r>
        <w:rPr>
          <w:i/>
          <w:iCs/>
        </w:rPr>
        <w:t>Journal of Clinical Epidemiology</w:t>
      </w:r>
      <w:r>
        <w:t xml:space="preserve">, </w:t>
      </w:r>
      <w:r>
        <w:rPr>
          <w:i/>
          <w:iCs/>
        </w:rPr>
        <w:t>149</w:t>
      </w:r>
      <w:r>
        <w:t>, pp.175-182.</w:t>
      </w:r>
      <w:proofErr w:type="gramEnd"/>
    </w:p>
    <w:p w:rsidR="00DD3D5E" w:rsidRDefault="009E11DB">
      <w:pPr>
        <w:pStyle w:val="normal0"/>
        <w:spacing w:before="240" w:after="240"/>
      </w:pPr>
      <w:r>
        <w:t xml:space="preserve">Lewis, N.A., </w:t>
      </w:r>
      <w:proofErr w:type="spellStart"/>
      <w:r>
        <w:t>Reesor</w:t>
      </w:r>
      <w:proofErr w:type="spellEnd"/>
      <w:r>
        <w:t xml:space="preserve">, N. and Hill, P.L., (2022). </w:t>
      </w:r>
      <w:proofErr w:type="gramStart"/>
      <w:r>
        <w:t xml:space="preserve">Perceived barriers </w:t>
      </w:r>
      <w:r>
        <w:t>and contributors to sense of purpose in life in retirement community residents.</w:t>
      </w:r>
      <w:proofErr w:type="gramEnd"/>
      <w:r>
        <w:t xml:space="preserve"> </w:t>
      </w:r>
      <w:proofErr w:type="gramStart"/>
      <w:r>
        <w:rPr>
          <w:i/>
          <w:iCs/>
        </w:rPr>
        <w:t>Ageing &amp; Society</w:t>
      </w:r>
      <w:r>
        <w:t xml:space="preserve">, </w:t>
      </w:r>
      <w:r>
        <w:rPr>
          <w:i/>
          <w:iCs/>
        </w:rPr>
        <w:t>42</w:t>
      </w:r>
      <w:r>
        <w:t>(6), pp.1448-1464.</w:t>
      </w:r>
      <w:proofErr w:type="gramEnd"/>
    </w:p>
    <w:p w:rsidR="00DD3D5E" w:rsidRDefault="009E11DB">
      <w:pPr>
        <w:pStyle w:val="normal0"/>
        <w:spacing w:before="240" w:after="240"/>
      </w:pPr>
      <w:r>
        <w:t xml:space="preserve">Li, J., Carlson, B.E., Yung, Y.L., </w:t>
      </w:r>
      <w:proofErr w:type="spellStart"/>
      <w:r>
        <w:t>Lv</w:t>
      </w:r>
      <w:proofErr w:type="spellEnd"/>
      <w:r>
        <w:t xml:space="preserve">, D., Hansen, J., </w:t>
      </w:r>
      <w:proofErr w:type="spellStart"/>
      <w:r>
        <w:t>Penner</w:t>
      </w:r>
      <w:proofErr w:type="spellEnd"/>
      <w:r>
        <w:t xml:space="preserve">, J.E., Liao, H., </w:t>
      </w:r>
      <w:proofErr w:type="spellStart"/>
      <w:r>
        <w:t>Ramaswamy</w:t>
      </w:r>
      <w:proofErr w:type="spellEnd"/>
      <w:r>
        <w:t xml:space="preserve">, V., Kahn, R.A., Zhang, P. and </w:t>
      </w:r>
      <w:proofErr w:type="spellStart"/>
      <w:r>
        <w:t>Dubovik</w:t>
      </w:r>
      <w:proofErr w:type="spellEnd"/>
      <w:r>
        <w:t>, O., (202</w:t>
      </w:r>
      <w:r>
        <w:t xml:space="preserve">2). Scattering and absorbing aerosols in the climate system. </w:t>
      </w:r>
      <w:proofErr w:type="gramStart"/>
      <w:r>
        <w:rPr>
          <w:i/>
          <w:iCs/>
        </w:rPr>
        <w:t>Nature Reviews Earth &amp; Environment</w:t>
      </w:r>
      <w:r>
        <w:t xml:space="preserve">, </w:t>
      </w:r>
      <w:r>
        <w:rPr>
          <w:i/>
          <w:iCs/>
        </w:rPr>
        <w:t>3</w:t>
      </w:r>
      <w:r>
        <w:t>(6), pp.363-379.</w:t>
      </w:r>
      <w:proofErr w:type="gramEnd"/>
    </w:p>
    <w:p w:rsidR="00DD3D5E" w:rsidRDefault="009E11DB">
      <w:pPr>
        <w:pStyle w:val="normal0"/>
        <w:spacing w:before="240" w:after="240"/>
      </w:pPr>
      <w:proofErr w:type="spellStart"/>
      <w:proofErr w:type="gramStart"/>
      <w:r>
        <w:t>Lockyer</w:t>
      </w:r>
      <w:proofErr w:type="spellEnd"/>
      <w:r>
        <w:t xml:space="preserve">, B., Islam, S., </w:t>
      </w:r>
      <w:proofErr w:type="spellStart"/>
      <w:r>
        <w:t>Rahman</w:t>
      </w:r>
      <w:proofErr w:type="spellEnd"/>
      <w:r>
        <w:t xml:space="preserve">, A., Dickerson, J., Pickett, K., Sheldon, T., Wright, J., </w:t>
      </w:r>
      <w:proofErr w:type="spellStart"/>
      <w:r>
        <w:t>McEachan</w:t>
      </w:r>
      <w:proofErr w:type="spellEnd"/>
      <w:r>
        <w:t xml:space="preserve">, R., </w:t>
      </w:r>
      <w:proofErr w:type="spellStart"/>
      <w:r>
        <w:t>Sheard</w:t>
      </w:r>
      <w:proofErr w:type="spellEnd"/>
      <w:r>
        <w:t>, L. and Bradford Institute for Health Research Covid‐19 Scientific Advisory Group, (2021).</w:t>
      </w:r>
      <w:proofErr w:type="gramEnd"/>
      <w:r>
        <w:t xml:space="preserve"> </w:t>
      </w:r>
      <w:proofErr w:type="gramStart"/>
      <w:r>
        <w:t>Understanding COVID‐19 misinformation and vaccine hesit</w:t>
      </w:r>
      <w:r>
        <w:t>ancy in context: findings from a qualitative study involving citizens in Bradford, UK.</w:t>
      </w:r>
      <w:proofErr w:type="gramEnd"/>
      <w:r>
        <w:t xml:space="preserve"> </w:t>
      </w:r>
      <w:proofErr w:type="gramStart"/>
      <w:r>
        <w:rPr>
          <w:i/>
          <w:iCs/>
        </w:rPr>
        <w:t>Health Expectations</w:t>
      </w:r>
      <w:r>
        <w:t xml:space="preserve">, </w:t>
      </w:r>
      <w:r>
        <w:rPr>
          <w:i/>
          <w:iCs/>
        </w:rPr>
        <w:t>24</w:t>
      </w:r>
      <w:r>
        <w:t>(4), pp.1158-1167.</w:t>
      </w:r>
      <w:proofErr w:type="gramEnd"/>
    </w:p>
    <w:p w:rsidR="00DD3D5E" w:rsidRDefault="009E11DB">
      <w:pPr>
        <w:pStyle w:val="normal0"/>
        <w:spacing w:before="240" w:after="240"/>
      </w:pPr>
      <w:proofErr w:type="spellStart"/>
      <w:proofErr w:type="gramStart"/>
      <w:r>
        <w:t>Neven</w:t>
      </w:r>
      <w:proofErr w:type="spellEnd"/>
      <w:r>
        <w:t xml:space="preserve">, A. and </w:t>
      </w:r>
      <w:proofErr w:type="spellStart"/>
      <w:r>
        <w:t>Ectors</w:t>
      </w:r>
      <w:proofErr w:type="spellEnd"/>
      <w:r>
        <w:t>, W., (2023).</w:t>
      </w:r>
      <w:proofErr w:type="gramEnd"/>
      <w:r>
        <w:t xml:space="preserve"> “I am dependent on others to get there”: Mobility barriers and solutions for societal partici</w:t>
      </w:r>
      <w:r>
        <w:t xml:space="preserve">pation by persons with disabilities. </w:t>
      </w:r>
      <w:proofErr w:type="gramStart"/>
      <w:r>
        <w:rPr>
          <w:i/>
          <w:iCs/>
        </w:rPr>
        <w:t>Travel behaviour and society</w:t>
      </w:r>
      <w:r>
        <w:t xml:space="preserve">, </w:t>
      </w:r>
      <w:r>
        <w:rPr>
          <w:i/>
          <w:iCs/>
        </w:rPr>
        <w:t>30</w:t>
      </w:r>
      <w:r>
        <w:t>, pp.302-311.</w:t>
      </w:r>
      <w:proofErr w:type="gramEnd"/>
    </w:p>
    <w:p w:rsidR="00DD3D5E" w:rsidRDefault="009E11DB">
      <w:pPr>
        <w:pStyle w:val="normal0"/>
        <w:spacing w:before="240" w:after="240"/>
      </w:pPr>
      <w:proofErr w:type="spellStart"/>
      <w:proofErr w:type="gramStart"/>
      <w:r>
        <w:t>Neves</w:t>
      </w:r>
      <w:proofErr w:type="spellEnd"/>
      <w:r>
        <w:t>, B.B. and Petersen, A., (2025).</w:t>
      </w:r>
      <w:proofErr w:type="gramEnd"/>
      <w:r>
        <w:t xml:space="preserve"> The social stigma of loneliness: A sociological approach to understanding the experiences of older people. </w:t>
      </w:r>
      <w:proofErr w:type="gramStart"/>
      <w:r>
        <w:rPr>
          <w:i/>
          <w:iCs/>
        </w:rPr>
        <w:t>The Sociological Review</w:t>
      </w:r>
      <w:r>
        <w:t xml:space="preserve">, </w:t>
      </w:r>
      <w:r>
        <w:rPr>
          <w:i/>
          <w:iCs/>
        </w:rPr>
        <w:t>73</w:t>
      </w:r>
      <w:r>
        <w:t>(</w:t>
      </w:r>
      <w:r>
        <w:t>2), pp.362-383.</w:t>
      </w:r>
      <w:proofErr w:type="gramEnd"/>
    </w:p>
    <w:p w:rsidR="00DD3D5E" w:rsidRDefault="009E11DB">
      <w:pPr>
        <w:pStyle w:val="normal0"/>
        <w:spacing w:before="240" w:after="240"/>
      </w:pPr>
      <w:r>
        <w:t xml:space="preserve">NIH (2025), </w:t>
      </w:r>
      <w:r>
        <w:rPr>
          <w:i/>
          <w:iCs/>
        </w:rPr>
        <w:t>“Social prescribing for people living with long-term health conditions: a scoping review”</w:t>
      </w:r>
      <w:r>
        <w:t xml:space="preserve"> Available at:</w:t>
      </w:r>
      <w:hyperlink r:id="rId8">
        <w:r>
          <w:t xml:space="preserve"> </w:t>
        </w:r>
      </w:hyperlink>
      <w:hyperlink r:id="rId9">
        <w:r>
          <w:rPr>
            <w:color w:val="1155CC"/>
            <w:u w:val="single"/>
          </w:rPr>
          <w:t>https://pmc.ncbi.nlm.nih.gov/articles/PMC12085048/</w:t>
        </w:r>
      </w:hyperlink>
      <w:r>
        <w:t xml:space="preserve">  [Accessed on 18</w:t>
      </w:r>
      <w:r>
        <w:rPr>
          <w:vertAlign w:val="superscript"/>
        </w:rPr>
        <w:t>th</w:t>
      </w:r>
      <w:r>
        <w:t xml:space="preserve"> April 2026]</w:t>
      </w:r>
    </w:p>
    <w:p w:rsidR="00DD3D5E" w:rsidRDefault="009E11DB">
      <w:pPr>
        <w:pStyle w:val="normal0"/>
        <w:spacing w:before="240" w:after="240"/>
      </w:pPr>
      <w:proofErr w:type="spellStart"/>
      <w:proofErr w:type="gramStart"/>
      <w:r>
        <w:t>Oster</w:t>
      </w:r>
      <w:proofErr w:type="spellEnd"/>
      <w:r>
        <w:t xml:space="preserve">, C., Skelton, C., </w:t>
      </w:r>
      <w:proofErr w:type="spellStart"/>
      <w:r>
        <w:t>Leibbrandt</w:t>
      </w:r>
      <w:proofErr w:type="spellEnd"/>
      <w:r>
        <w:t xml:space="preserve">, R., Hines, S. and </w:t>
      </w:r>
      <w:proofErr w:type="spellStart"/>
      <w:r>
        <w:t>Bonevski</w:t>
      </w:r>
      <w:proofErr w:type="spellEnd"/>
      <w:r>
        <w:t>, B., (2023).</w:t>
      </w:r>
      <w:proofErr w:type="gramEnd"/>
      <w:r>
        <w:t xml:space="preserve"> Models of social prescribing to address non-medical needs in adults: a scoping review.</w:t>
      </w:r>
      <w:r>
        <w:t xml:space="preserve"> </w:t>
      </w:r>
      <w:r>
        <w:rPr>
          <w:i/>
          <w:iCs/>
        </w:rPr>
        <w:t>BMC Health Services Research</w:t>
      </w:r>
      <w:r>
        <w:t xml:space="preserve">, </w:t>
      </w:r>
      <w:r>
        <w:rPr>
          <w:i/>
          <w:iCs/>
        </w:rPr>
        <w:t>23</w:t>
      </w:r>
      <w:r>
        <w:t>(1), p.642.</w:t>
      </w:r>
    </w:p>
    <w:p w:rsidR="00DD3D5E" w:rsidRDefault="009E11DB">
      <w:pPr>
        <w:pStyle w:val="normal0"/>
        <w:spacing w:before="240" w:after="240"/>
      </w:pPr>
      <w:proofErr w:type="spellStart"/>
      <w:proofErr w:type="gramStart"/>
      <w:r>
        <w:t>Sidhu</w:t>
      </w:r>
      <w:proofErr w:type="spellEnd"/>
      <w:r>
        <w:t>, M., Pollard, J. and Sussex, J., (2022).</w:t>
      </w:r>
      <w:proofErr w:type="gramEnd"/>
      <w:r>
        <w:t xml:space="preserve"> Vertical integration of GP practices with acute hospitals in England and Wales: rapid evaluation. </w:t>
      </w:r>
      <w:proofErr w:type="gramStart"/>
      <w:r>
        <w:rPr>
          <w:i/>
          <w:iCs/>
        </w:rPr>
        <w:t>Health and Social Care Delivery Research</w:t>
      </w:r>
      <w:r>
        <w:t xml:space="preserve">, </w:t>
      </w:r>
      <w:r>
        <w:rPr>
          <w:i/>
          <w:iCs/>
        </w:rPr>
        <w:t>10</w:t>
      </w:r>
      <w:r>
        <w:t>(17), pp.1-106.</w:t>
      </w:r>
      <w:proofErr w:type="gramEnd"/>
    </w:p>
    <w:p w:rsidR="00DD3D5E" w:rsidRDefault="009E11DB">
      <w:pPr>
        <w:pStyle w:val="normal0"/>
        <w:spacing w:before="240" w:after="240"/>
      </w:pPr>
      <w:proofErr w:type="spellStart"/>
      <w:r>
        <w:lastRenderedPageBreak/>
        <w:t>Tomczy</w:t>
      </w:r>
      <w:r>
        <w:t>k</w:t>
      </w:r>
      <w:proofErr w:type="spellEnd"/>
      <w:r>
        <w:t xml:space="preserve">, L., </w:t>
      </w:r>
      <w:proofErr w:type="spellStart"/>
      <w:r>
        <w:t>Mascia</w:t>
      </w:r>
      <w:proofErr w:type="spellEnd"/>
      <w:r>
        <w:t xml:space="preserve">, M.L., </w:t>
      </w:r>
      <w:proofErr w:type="spellStart"/>
      <w:r>
        <w:t>Gierszewski</w:t>
      </w:r>
      <w:proofErr w:type="spellEnd"/>
      <w:r>
        <w:t xml:space="preserve">, D. and Walker, C., (2023). Barriers to digital inclusion among older people: </w:t>
      </w:r>
      <w:proofErr w:type="gramStart"/>
      <w:r>
        <w:t>a</w:t>
      </w:r>
      <w:proofErr w:type="gramEnd"/>
      <w:r>
        <w:t xml:space="preserve"> intergenerational reflection on the need to develop digital competences for the group with the highest level of digital exclusion. </w:t>
      </w:r>
      <w:proofErr w:type="spellStart"/>
      <w:proofErr w:type="gramStart"/>
      <w:r>
        <w:rPr>
          <w:i/>
          <w:iCs/>
        </w:rPr>
        <w:t>Innoeduca</w:t>
      </w:r>
      <w:proofErr w:type="spellEnd"/>
      <w:r>
        <w:rPr>
          <w:i/>
          <w:iCs/>
        </w:rPr>
        <w:t>.</w:t>
      </w:r>
      <w:proofErr w:type="gramEnd"/>
      <w:r>
        <w:rPr>
          <w:i/>
          <w:iCs/>
        </w:rPr>
        <w:t xml:space="preserve"> </w:t>
      </w:r>
      <w:proofErr w:type="gramStart"/>
      <w:r>
        <w:rPr>
          <w:i/>
          <w:iCs/>
        </w:rPr>
        <w:t>I</w:t>
      </w:r>
      <w:r>
        <w:rPr>
          <w:i/>
          <w:iCs/>
        </w:rPr>
        <w:t>nternational Journal of Technology and Educational Innovation</w:t>
      </w:r>
      <w:r>
        <w:t xml:space="preserve">, </w:t>
      </w:r>
      <w:r>
        <w:rPr>
          <w:i/>
          <w:iCs/>
        </w:rPr>
        <w:t>9</w:t>
      </w:r>
      <w:r>
        <w:t>(1), pp.5-26.</w:t>
      </w:r>
      <w:proofErr w:type="gramEnd"/>
    </w:p>
    <w:sectPr w:rsidR="00DD3D5E" w:rsidSect="00DD3D5E">
      <w:pgSz w:w="11909" w:h="16834"/>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0674CF3-4765-4C43-99F5-1101B6B7A3F2}"/>
  </w:font>
  <w:font w:name="Calibri">
    <w:panose1 w:val="020F0502020204030204"/>
    <w:charset w:val="00"/>
    <w:family w:val="swiss"/>
    <w:pitch w:val="variable"/>
    <w:sig w:usb0="E4002EFF" w:usb1="C200247B" w:usb2="00000009" w:usb3="00000000" w:csb0="000001FF" w:csb1="00000000"/>
    <w:embedRegular r:id="rId2" w:fontKey="{DA616DEB-E152-46D5-849D-3E0B26413611}"/>
  </w:font>
  <w:font w:name="Cambria">
    <w:panose1 w:val="02040503050406030204"/>
    <w:charset w:val="00"/>
    <w:family w:val="roman"/>
    <w:pitch w:val="variable"/>
    <w:sig w:usb0="E00006FF" w:usb1="420024FF" w:usb2="02000000" w:usb3="00000000" w:csb0="0000019F" w:csb1="00000000"/>
    <w:embedRegular r:id="rId3" w:fontKey="{97C7B7E8-3202-4B4C-BFAF-6D5595C63017}"/>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424732E"/>
    <w:multiLevelType w:val="multilevel"/>
    <w:tmpl w:val="124670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4"/>
  <w:embedTrueTypeFonts/>
  <w:proofState w:spelling="clean" w:grammar="clean"/>
  <w:defaultTabStop w:val="720"/>
  <w:characterSpacingControl w:val="doNotCompress"/>
  <w:compat/>
  <w:rsids>
    <w:rsidRoot w:val="00DD3D5E"/>
    <w:rsid w:val="009E11DB"/>
    <w:rsid w:val="00DD3D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DD3D5E"/>
    <w:pPr>
      <w:keepNext/>
      <w:keepLines/>
      <w:outlineLvl w:val="0"/>
    </w:pPr>
    <w:rPr>
      <w:b/>
      <w:bCs/>
      <w:sz w:val="28"/>
      <w:szCs w:val="28"/>
    </w:rPr>
  </w:style>
  <w:style w:type="paragraph" w:styleId="Heading2">
    <w:name w:val="heading 2"/>
    <w:basedOn w:val="normal0"/>
    <w:next w:val="normal0"/>
    <w:rsid w:val="00DD3D5E"/>
    <w:pPr>
      <w:keepNext/>
      <w:keepLines/>
      <w:outlineLvl w:val="1"/>
    </w:pPr>
    <w:rPr>
      <w:b/>
      <w:bCs/>
    </w:rPr>
  </w:style>
  <w:style w:type="paragraph" w:styleId="Heading3">
    <w:name w:val="heading 3"/>
    <w:basedOn w:val="normal0"/>
    <w:next w:val="normal0"/>
    <w:rsid w:val="00DD3D5E"/>
    <w:pPr>
      <w:keepNext/>
      <w:keepLines/>
      <w:spacing w:before="320" w:after="80"/>
      <w:outlineLvl w:val="2"/>
    </w:pPr>
    <w:rPr>
      <w:color w:val="434343"/>
      <w:sz w:val="28"/>
      <w:szCs w:val="28"/>
    </w:rPr>
  </w:style>
  <w:style w:type="paragraph" w:styleId="Heading4">
    <w:name w:val="heading 4"/>
    <w:basedOn w:val="normal0"/>
    <w:next w:val="normal0"/>
    <w:rsid w:val="00DD3D5E"/>
    <w:pPr>
      <w:keepNext/>
      <w:keepLines/>
      <w:spacing w:before="280" w:after="80"/>
      <w:outlineLvl w:val="3"/>
    </w:pPr>
    <w:rPr>
      <w:color w:val="666666"/>
    </w:rPr>
  </w:style>
  <w:style w:type="paragraph" w:styleId="Heading5">
    <w:name w:val="heading 5"/>
    <w:basedOn w:val="normal0"/>
    <w:next w:val="normal0"/>
    <w:rsid w:val="00DD3D5E"/>
    <w:pPr>
      <w:keepNext/>
      <w:keepLines/>
      <w:spacing w:before="240" w:after="80"/>
      <w:outlineLvl w:val="4"/>
    </w:pPr>
    <w:rPr>
      <w:color w:val="666666"/>
      <w:sz w:val="22"/>
      <w:szCs w:val="22"/>
    </w:rPr>
  </w:style>
  <w:style w:type="paragraph" w:styleId="Heading6">
    <w:name w:val="heading 6"/>
    <w:basedOn w:val="normal0"/>
    <w:next w:val="normal0"/>
    <w:rsid w:val="00DD3D5E"/>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D3D5E"/>
    <w:tblPr>
      <w:tblCellMar>
        <w:top w:w="100" w:type="dxa"/>
        <w:left w:w="100" w:type="dxa"/>
        <w:bottom w:w="100" w:type="dxa"/>
        <w:right w:w="100" w:type="dxa"/>
      </w:tblCellMar>
    </w:tblPr>
  </w:style>
  <w:style w:type="paragraph" w:customStyle="1" w:styleId="normal0">
    <w:name w:val="normal"/>
    <w:rsid w:val="00DD3D5E"/>
  </w:style>
  <w:style w:type="paragraph" w:styleId="Title">
    <w:name w:val="Title"/>
    <w:basedOn w:val="normal0"/>
    <w:next w:val="normal0"/>
    <w:rsid w:val="00DD3D5E"/>
    <w:pPr>
      <w:keepNext/>
      <w:keepLines/>
      <w:jc w:val="center"/>
    </w:pPr>
    <w:rPr>
      <w:b/>
      <w:bCs/>
      <w:sz w:val="40"/>
      <w:szCs w:val="40"/>
    </w:rPr>
  </w:style>
  <w:style w:type="paragraph" w:styleId="Subtitle">
    <w:name w:val="Subtitle"/>
    <w:basedOn w:val="normal0"/>
    <w:next w:val="normal0"/>
    <w:rsid w:val="00DD3D5E"/>
    <w:pPr>
      <w:keepNext/>
      <w:keepLines/>
      <w:spacing w:after="320"/>
    </w:pPr>
    <w:rPr>
      <w:rFonts w:ascii="Arial" w:eastAsia="Arial" w:hAnsi="Arial" w:cs="Arial"/>
      <w:color w:val="666666"/>
      <w:sz w:val="30"/>
      <w:szCs w:val="30"/>
    </w:rPr>
  </w:style>
  <w:style w:type="table" w:customStyle="1" w:styleId="a">
    <w:basedOn w:val="TableNormal0"/>
    <w:rsid w:val="00DD3D5E"/>
    <w:tblPr>
      <w:tblStyleRowBandSize w:val="1"/>
      <w:tblStyleColBandSize w:val="1"/>
      <w:tblCellMar>
        <w:top w:w="100" w:type="dxa"/>
        <w:left w:w="100" w:type="dxa"/>
        <w:bottom w:w="100" w:type="dxa"/>
        <w:right w:w="100" w:type="dxa"/>
      </w:tblCellMar>
    </w:tblPr>
  </w:style>
  <w:style w:type="table" w:customStyle="1" w:styleId="a0">
    <w:basedOn w:val="TableNormal0"/>
    <w:rsid w:val="00DD3D5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E11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11D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2085048/" TargetMode="External"/><Relationship Id="rId3" Type="http://schemas.openxmlformats.org/officeDocument/2006/relationships/settings" Target="settings.xml"/><Relationship Id="rId7" Type="http://schemas.openxmlformats.org/officeDocument/2006/relationships/hyperlink" Target="https://assets.publishing.service.gov.uk/media/68d65e5dc908572e81248d43/Identifying_and_supporting_children_and_young_people_with_social_emotional_and_mental_health_needs_a_rapid_evidence_review.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media/68d65e5dc908572e81248d43/Identifying_and_supporting_children_and_young_people_with_social_emotional_and_mental_health_needs_a_rapid_evidence_review.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mc.ncbi.nlm.nih.gov/articles/PMC1208504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16</Pages>
  <Words>4702</Words>
  <Characters>26808</Characters>
  <Application>Microsoft Office Word</Application>
  <DocSecurity>0</DocSecurity>
  <Lines>223</Lines>
  <Paragraphs>62</Paragraphs>
  <ScaleCrop>false</ScaleCrop>
  <Company/>
  <LinksUpToDate>false</LinksUpToDate>
  <CharactersWithSpaces>31448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2026-04-22T08:47:00Z</dcterms:created>
  <dcterms:modified xsi:type="dcterms:W3CDTF">2026-04-22T08:47:00Z</dcterms:modified>
</cp:coreProperties>
</file>