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16E69"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1015695F"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20780FF8"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3909683F"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38F119D8"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14794EF6"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0CD6DE88"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2A23AC7F"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359D5A9B" w14:textId="77777777" w:rsidR="00DD34DA" w:rsidRPr="00C91007" w:rsidRDefault="00DD34DA" w:rsidP="00DD34DA">
      <w:pPr>
        <w:spacing w:line="360" w:lineRule="auto"/>
        <w:rPr>
          <w:rFonts w:ascii="Times New Roman" w:eastAsia="Times New Roman" w:hAnsi="Times New Roman" w:cs="Times New Roman"/>
          <w:b/>
          <w:color w:val="000000" w:themeColor="text1"/>
          <w:sz w:val="30"/>
          <w:szCs w:val="30"/>
        </w:rPr>
      </w:pPr>
    </w:p>
    <w:p w14:paraId="70A9B74F" w14:textId="77777777" w:rsidR="00DD34DA" w:rsidRDefault="00DD34DA" w:rsidP="00DD34DA">
      <w:pPr>
        <w:jc w:val="center"/>
        <w:rPr>
          <w:rFonts w:eastAsia="Times"/>
          <w:b/>
          <w:color w:val="0E101A"/>
          <w:sz w:val="36"/>
          <w:szCs w:val="36"/>
        </w:rPr>
      </w:pPr>
      <w:r>
        <w:rPr>
          <w:rFonts w:eastAsia="Times"/>
          <w:b/>
          <w:color w:val="0E101A"/>
          <w:sz w:val="36"/>
          <w:szCs w:val="36"/>
        </w:rPr>
        <w:t xml:space="preserve">Reflective Report on </w:t>
      </w:r>
    </w:p>
    <w:p w14:paraId="39EA4B15" w14:textId="77777777" w:rsidR="00DD34DA" w:rsidRPr="00A402CE" w:rsidRDefault="00DD34DA" w:rsidP="00DD34DA">
      <w:pPr>
        <w:jc w:val="center"/>
        <w:rPr>
          <w:rFonts w:eastAsia="Times"/>
          <w:b/>
          <w:color w:val="0E101A"/>
          <w:sz w:val="36"/>
          <w:szCs w:val="36"/>
        </w:rPr>
      </w:pPr>
      <w:r w:rsidRPr="00A402CE">
        <w:rPr>
          <w:rFonts w:eastAsia="Times"/>
          <w:b/>
          <w:color w:val="0E101A"/>
          <w:sz w:val="36"/>
          <w:szCs w:val="36"/>
        </w:rPr>
        <w:t>URBAN REGENERATION OF BRACKNELL</w:t>
      </w:r>
    </w:p>
    <w:p w14:paraId="6C4F485B"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30"/>
          <w:szCs w:val="30"/>
        </w:rPr>
      </w:pPr>
    </w:p>
    <w:p w14:paraId="3897C232"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3101CAD0"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2CCE4E74"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01A47729"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1D7C0A28"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3A9E6518" w14:textId="77777777" w:rsidR="00DD34DA" w:rsidRDefault="00DD34DA" w:rsidP="00DD34DA">
      <w:pPr>
        <w:spacing w:line="360" w:lineRule="auto"/>
        <w:jc w:val="center"/>
        <w:rPr>
          <w:rFonts w:ascii="Times New Roman" w:eastAsia="Times New Roman" w:hAnsi="Times New Roman" w:cs="Times New Roman"/>
          <w:b/>
          <w:color w:val="000000" w:themeColor="text1"/>
          <w:sz w:val="30"/>
          <w:szCs w:val="30"/>
        </w:rPr>
      </w:pPr>
    </w:p>
    <w:p w14:paraId="69991069" w14:textId="77777777" w:rsidR="00DD34DA" w:rsidRPr="00DD34DA" w:rsidRDefault="00DD34DA" w:rsidP="00DD34DA">
      <w:pPr>
        <w:rPr>
          <w:rFonts w:ascii="Times New Roman" w:eastAsia="Times New Roman" w:hAnsi="Times New Roman" w:cs="Times New Roman"/>
          <w:bCs/>
          <w:sz w:val="24"/>
          <w:szCs w:val="24"/>
          <w:lang w:val="" w:eastAsia="en-US"/>
        </w:rPr>
      </w:pPr>
      <w:r w:rsidRPr="00DD34DA">
        <w:rPr>
          <w:rFonts w:ascii="Times New Roman" w:eastAsia="Times New Roman" w:hAnsi="Times New Roman" w:cs="Times New Roman"/>
          <w:bCs/>
          <w:sz w:val="24"/>
          <w:szCs w:val="24"/>
          <w:lang w:val="" w:eastAsia="en-US"/>
        </w:rPr>
        <w:t>Student name: Roman Grigoriev</w:t>
      </w:r>
    </w:p>
    <w:p w14:paraId="301787A1" w14:textId="77777777" w:rsidR="00DD34DA" w:rsidRPr="00DD34DA" w:rsidRDefault="00DD34DA" w:rsidP="00DD34DA">
      <w:pPr>
        <w:rPr>
          <w:rFonts w:ascii="Times New Roman" w:eastAsia="Times New Roman" w:hAnsi="Times New Roman" w:cs="Times New Roman"/>
          <w:bCs/>
          <w:sz w:val="24"/>
          <w:szCs w:val="24"/>
          <w:lang w:val="" w:eastAsia="en-US"/>
        </w:rPr>
      </w:pPr>
      <w:r w:rsidRPr="00DD34DA">
        <w:rPr>
          <w:rFonts w:ascii="Times New Roman" w:eastAsia="Times New Roman" w:hAnsi="Times New Roman" w:cs="Times New Roman"/>
          <w:bCs/>
          <w:sz w:val="24"/>
          <w:szCs w:val="24"/>
          <w:lang w:val="" w:eastAsia="en-US"/>
        </w:rPr>
        <w:t>Student ID: 2229684</w:t>
      </w:r>
    </w:p>
    <w:p w14:paraId="11BAEC28" w14:textId="77777777" w:rsidR="00DD34DA" w:rsidRPr="00DD34DA" w:rsidRDefault="00DD34DA" w:rsidP="00DD34DA">
      <w:pPr>
        <w:rPr>
          <w:rFonts w:ascii="Times New Roman" w:eastAsia="Times New Roman" w:hAnsi="Times New Roman" w:cs="Times New Roman"/>
          <w:bCs/>
          <w:sz w:val="24"/>
          <w:szCs w:val="24"/>
          <w:lang w:val="" w:eastAsia="en-US"/>
        </w:rPr>
      </w:pPr>
      <w:r w:rsidRPr="00DD34DA">
        <w:rPr>
          <w:rFonts w:ascii="Times New Roman" w:eastAsia="Times New Roman" w:hAnsi="Times New Roman" w:cs="Times New Roman"/>
          <w:bCs/>
          <w:sz w:val="24"/>
          <w:szCs w:val="24"/>
          <w:lang w:val="" w:eastAsia="en-US"/>
        </w:rPr>
        <w:t>Module code: LCBB4004</w:t>
      </w:r>
    </w:p>
    <w:p w14:paraId="4B0264A4" w14:textId="77777777" w:rsidR="00DD34DA" w:rsidRPr="00DD34DA" w:rsidRDefault="00DD34DA" w:rsidP="00DD34DA">
      <w:pPr>
        <w:rPr>
          <w:rFonts w:ascii="Times New Roman" w:eastAsia="Times New Roman" w:hAnsi="Times New Roman" w:cs="Times New Roman"/>
          <w:bCs/>
          <w:sz w:val="24"/>
          <w:szCs w:val="24"/>
          <w:lang w:val="" w:eastAsia="en-US"/>
        </w:rPr>
      </w:pPr>
      <w:r w:rsidRPr="00DD34DA">
        <w:rPr>
          <w:rFonts w:ascii="Times New Roman" w:eastAsia="Times New Roman" w:hAnsi="Times New Roman" w:cs="Times New Roman"/>
          <w:bCs/>
          <w:sz w:val="24"/>
          <w:szCs w:val="24"/>
          <w:lang w:val="" w:eastAsia="en-US"/>
        </w:rPr>
        <w:t>Module name: Community Engagement</w:t>
      </w:r>
    </w:p>
    <w:p w14:paraId="35DBC491" w14:textId="77777777" w:rsidR="00DD34DA" w:rsidRPr="00DD34DA" w:rsidRDefault="00DD34DA" w:rsidP="00DD34DA">
      <w:pPr>
        <w:rPr>
          <w:rFonts w:ascii="Times New Roman" w:eastAsia="Times New Roman" w:hAnsi="Times New Roman" w:cs="Times New Roman"/>
          <w:bCs/>
          <w:sz w:val="24"/>
          <w:szCs w:val="24"/>
          <w:lang w:val="" w:eastAsia="en-US"/>
        </w:rPr>
      </w:pPr>
      <w:r w:rsidRPr="00DD34DA">
        <w:rPr>
          <w:rFonts w:ascii="Times New Roman" w:eastAsia="Times New Roman" w:hAnsi="Times New Roman" w:cs="Times New Roman"/>
          <w:bCs/>
          <w:sz w:val="24"/>
          <w:szCs w:val="24"/>
          <w:lang w:val="" w:eastAsia="en-US"/>
        </w:rPr>
        <w:t>Lecturer: Nadeem Mirza</w:t>
      </w:r>
    </w:p>
    <w:p w14:paraId="4B10B21C" w14:textId="77777777" w:rsidR="00DD34DA" w:rsidRPr="00C91007" w:rsidRDefault="00DD34DA" w:rsidP="00DD34DA">
      <w:pPr>
        <w:spacing w:line="360" w:lineRule="auto"/>
        <w:jc w:val="center"/>
        <w:rPr>
          <w:rFonts w:ascii="Times New Roman" w:eastAsia="Times New Roman" w:hAnsi="Times New Roman" w:cs="Times New Roman"/>
          <w:b/>
          <w:color w:val="000000" w:themeColor="text1"/>
          <w:sz w:val="40"/>
          <w:szCs w:val="40"/>
        </w:rPr>
      </w:pPr>
      <w:r w:rsidRPr="00C91007">
        <w:rPr>
          <w:color w:val="000000" w:themeColor="text1"/>
        </w:rPr>
        <w:br w:type="page"/>
      </w:r>
    </w:p>
    <w:p w14:paraId="5A8DC84B" w14:textId="77777777" w:rsidR="00DD34DA" w:rsidRPr="00DD34DA" w:rsidRDefault="00DD34DA" w:rsidP="00DD34DA">
      <w:pPr>
        <w:keepNext/>
        <w:keepLines/>
        <w:pBdr>
          <w:top w:val="nil"/>
          <w:left w:val="nil"/>
          <w:bottom w:val="nil"/>
          <w:right w:val="nil"/>
          <w:between w:val="nil"/>
        </w:pBdr>
        <w:spacing w:before="240" w:line="360" w:lineRule="auto"/>
        <w:jc w:val="center"/>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b/>
          <w:color w:val="000000" w:themeColor="text1"/>
          <w:sz w:val="24"/>
          <w:szCs w:val="24"/>
        </w:rPr>
        <w:lastRenderedPageBreak/>
        <w:t xml:space="preserve">Table of Contents </w:t>
      </w:r>
    </w:p>
    <w:sdt>
      <w:sdtPr>
        <w:rPr>
          <w:color w:val="000000" w:themeColor="text1"/>
        </w:rPr>
        <w:id w:val="734597012"/>
        <w:docPartObj>
          <w:docPartGallery w:val="Table of Contents"/>
          <w:docPartUnique/>
        </w:docPartObj>
      </w:sdtPr>
      <w:sdtContent>
        <w:p w14:paraId="0C49C336" w14:textId="77777777" w:rsidR="00DD34DA" w:rsidRPr="00C91007" w:rsidRDefault="00DD34DA" w:rsidP="00DD34DA">
          <w:pPr>
            <w:widowControl w:val="0"/>
            <w:tabs>
              <w:tab w:val="right" w:leader="dot" w:pos="12000"/>
            </w:tabs>
            <w:spacing w:before="60" w:line="360" w:lineRule="auto"/>
            <w:jc w:val="both"/>
            <w:rPr>
              <w:rFonts w:ascii="Times New Roman" w:eastAsia="Times New Roman" w:hAnsi="Times New Roman" w:cs="Times New Roman"/>
              <w:color w:val="000000" w:themeColor="text1"/>
              <w:sz w:val="24"/>
              <w:szCs w:val="24"/>
            </w:rPr>
          </w:pPr>
          <w:r w:rsidRPr="00C91007">
            <w:rPr>
              <w:color w:val="000000" w:themeColor="text1"/>
            </w:rPr>
            <w:fldChar w:fldCharType="begin"/>
          </w:r>
          <w:r w:rsidRPr="00C91007">
            <w:rPr>
              <w:color w:val="000000" w:themeColor="text1"/>
            </w:rPr>
            <w:instrText xml:space="preserve"> TOC \h \u \z \t "Heading 1,1,Heading 2,2,Heading 3,3,"</w:instrText>
          </w:r>
          <w:r w:rsidRPr="00C91007">
            <w:rPr>
              <w:color w:val="000000" w:themeColor="text1"/>
            </w:rPr>
            <w:fldChar w:fldCharType="separate"/>
          </w:r>
          <w:hyperlink w:anchor="_heading=h.gjdgxs">
            <w:r w:rsidRPr="00C91007">
              <w:rPr>
                <w:rFonts w:ascii="Times New Roman" w:eastAsia="Times New Roman" w:hAnsi="Times New Roman" w:cs="Times New Roman"/>
                <w:color w:val="000000" w:themeColor="text1"/>
                <w:sz w:val="24"/>
                <w:szCs w:val="24"/>
              </w:rPr>
              <w:t>Introduction</w:t>
            </w:r>
            <w:r w:rsidRPr="00C91007">
              <w:rPr>
                <w:rFonts w:ascii="Times New Roman" w:eastAsia="Times New Roman" w:hAnsi="Times New Roman" w:cs="Times New Roman"/>
                <w:color w:val="000000" w:themeColor="text1"/>
                <w:sz w:val="24"/>
                <w:szCs w:val="24"/>
              </w:rPr>
              <w:tab/>
              <w:t>3</w:t>
            </w:r>
          </w:hyperlink>
        </w:p>
        <w:p w14:paraId="04D2998E" w14:textId="77777777" w:rsidR="00DD34DA" w:rsidRPr="00C91007" w:rsidRDefault="00DD34DA" w:rsidP="00DD34DA">
          <w:pPr>
            <w:widowControl w:val="0"/>
            <w:tabs>
              <w:tab w:val="right" w:leader="dot" w:pos="12000"/>
            </w:tabs>
            <w:spacing w:before="60" w:line="360" w:lineRule="auto"/>
            <w:jc w:val="both"/>
            <w:rPr>
              <w:rFonts w:ascii="Times New Roman" w:eastAsia="Times New Roman" w:hAnsi="Times New Roman" w:cs="Times New Roman"/>
              <w:color w:val="000000" w:themeColor="text1"/>
              <w:sz w:val="24"/>
              <w:szCs w:val="24"/>
            </w:rPr>
          </w:pPr>
          <w:hyperlink w:anchor="_heading=h.kmwbne6zojpy">
            <w:r w:rsidRPr="00C91007">
              <w:rPr>
                <w:rFonts w:ascii="Times New Roman" w:eastAsia="Times New Roman" w:hAnsi="Times New Roman" w:cs="Times New Roman"/>
                <w:color w:val="000000" w:themeColor="text1"/>
                <w:sz w:val="24"/>
                <w:szCs w:val="24"/>
              </w:rPr>
              <w:t>Reflection through Gibbs’ cycle</w:t>
            </w:r>
            <w:r w:rsidRPr="00C91007">
              <w:rPr>
                <w:rFonts w:ascii="Times New Roman" w:eastAsia="Times New Roman" w:hAnsi="Times New Roman" w:cs="Times New Roman"/>
                <w:color w:val="000000" w:themeColor="text1"/>
                <w:sz w:val="24"/>
                <w:szCs w:val="24"/>
              </w:rPr>
              <w:tab/>
              <w:t>3</w:t>
            </w:r>
          </w:hyperlink>
        </w:p>
        <w:p w14:paraId="1E599323"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10x71khndkbd">
            <w:r w:rsidRPr="00C91007">
              <w:rPr>
                <w:rFonts w:ascii="Times New Roman" w:eastAsia="Times New Roman" w:hAnsi="Times New Roman" w:cs="Times New Roman"/>
                <w:color w:val="000000" w:themeColor="text1"/>
                <w:sz w:val="24"/>
                <w:szCs w:val="24"/>
              </w:rPr>
              <w:t>Description</w:t>
            </w:r>
            <w:r w:rsidRPr="00C91007">
              <w:rPr>
                <w:rFonts w:ascii="Times New Roman" w:eastAsia="Times New Roman" w:hAnsi="Times New Roman" w:cs="Times New Roman"/>
                <w:color w:val="000000" w:themeColor="text1"/>
                <w:sz w:val="24"/>
                <w:szCs w:val="24"/>
              </w:rPr>
              <w:tab/>
              <w:t>3</w:t>
            </w:r>
          </w:hyperlink>
        </w:p>
        <w:p w14:paraId="6D6E622E"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4aozg4nyjold">
            <w:r w:rsidRPr="00C91007">
              <w:rPr>
                <w:rFonts w:ascii="Times New Roman" w:eastAsia="Times New Roman" w:hAnsi="Times New Roman" w:cs="Times New Roman"/>
                <w:color w:val="000000" w:themeColor="text1"/>
                <w:sz w:val="24"/>
                <w:szCs w:val="24"/>
              </w:rPr>
              <w:t>Feelings</w:t>
            </w:r>
            <w:r w:rsidRPr="00C91007">
              <w:rPr>
                <w:rFonts w:ascii="Times New Roman" w:eastAsia="Times New Roman" w:hAnsi="Times New Roman" w:cs="Times New Roman"/>
                <w:color w:val="000000" w:themeColor="text1"/>
                <w:sz w:val="24"/>
                <w:szCs w:val="24"/>
              </w:rPr>
              <w:tab/>
              <w:t>4</w:t>
            </w:r>
          </w:hyperlink>
        </w:p>
        <w:p w14:paraId="3EB96EF4"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abdk8rngqg0u">
            <w:r w:rsidRPr="00C91007">
              <w:rPr>
                <w:rFonts w:ascii="Times New Roman" w:eastAsia="Times New Roman" w:hAnsi="Times New Roman" w:cs="Times New Roman"/>
                <w:color w:val="000000" w:themeColor="text1"/>
                <w:sz w:val="24"/>
                <w:szCs w:val="24"/>
              </w:rPr>
              <w:t>Evaluation</w:t>
            </w:r>
            <w:r w:rsidRPr="00C91007">
              <w:rPr>
                <w:rFonts w:ascii="Times New Roman" w:eastAsia="Times New Roman" w:hAnsi="Times New Roman" w:cs="Times New Roman"/>
                <w:color w:val="000000" w:themeColor="text1"/>
                <w:sz w:val="24"/>
                <w:szCs w:val="24"/>
              </w:rPr>
              <w:tab/>
              <w:t>4</w:t>
            </w:r>
          </w:hyperlink>
        </w:p>
        <w:p w14:paraId="6AE26460"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sxy8nse4ye4d">
            <w:r w:rsidRPr="00C91007">
              <w:rPr>
                <w:rFonts w:ascii="Times New Roman" w:eastAsia="Times New Roman" w:hAnsi="Times New Roman" w:cs="Times New Roman"/>
                <w:color w:val="000000" w:themeColor="text1"/>
                <w:sz w:val="24"/>
                <w:szCs w:val="24"/>
              </w:rPr>
              <w:t>Analysis</w:t>
            </w:r>
            <w:r w:rsidRPr="00C91007">
              <w:rPr>
                <w:rFonts w:ascii="Times New Roman" w:eastAsia="Times New Roman" w:hAnsi="Times New Roman" w:cs="Times New Roman"/>
                <w:color w:val="000000" w:themeColor="text1"/>
                <w:sz w:val="24"/>
                <w:szCs w:val="24"/>
              </w:rPr>
              <w:tab/>
              <w:t>5</w:t>
            </w:r>
          </w:hyperlink>
        </w:p>
        <w:p w14:paraId="0A3199A2"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vyd8kmtmscl9">
            <w:r w:rsidRPr="00C91007">
              <w:rPr>
                <w:rFonts w:ascii="Times New Roman" w:eastAsia="Times New Roman" w:hAnsi="Times New Roman" w:cs="Times New Roman"/>
                <w:color w:val="000000" w:themeColor="text1"/>
                <w:sz w:val="24"/>
                <w:szCs w:val="24"/>
              </w:rPr>
              <w:t>Conclusion</w:t>
            </w:r>
            <w:r w:rsidRPr="00C91007">
              <w:rPr>
                <w:rFonts w:ascii="Times New Roman" w:eastAsia="Times New Roman" w:hAnsi="Times New Roman" w:cs="Times New Roman"/>
                <w:color w:val="000000" w:themeColor="text1"/>
                <w:sz w:val="24"/>
                <w:szCs w:val="24"/>
              </w:rPr>
              <w:tab/>
              <w:t>5</w:t>
            </w:r>
          </w:hyperlink>
        </w:p>
        <w:p w14:paraId="2BDF9EEA" w14:textId="77777777" w:rsidR="00DD34DA" w:rsidRPr="00C91007" w:rsidRDefault="00DD34DA" w:rsidP="00DD34DA">
          <w:pPr>
            <w:widowControl w:val="0"/>
            <w:tabs>
              <w:tab w:val="right" w:leader="dot" w:pos="12000"/>
            </w:tabs>
            <w:spacing w:before="60" w:line="360" w:lineRule="auto"/>
            <w:ind w:left="360"/>
            <w:jc w:val="both"/>
            <w:rPr>
              <w:rFonts w:ascii="Times New Roman" w:eastAsia="Times New Roman" w:hAnsi="Times New Roman" w:cs="Times New Roman"/>
              <w:color w:val="000000" w:themeColor="text1"/>
              <w:sz w:val="24"/>
              <w:szCs w:val="24"/>
            </w:rPr>
          </w:pPr>
          <w:hyperlink w:anchor="_heading=h.2eyc66rgta5n">
            <w:r w:rsidRPr="00C91007">
              <w:rPr>
                <w:rFonts w:ascii="Times New Roman" w:eastAsia="Times New Roman" w:hAnsi="Times New Roman" w:cs="Times New Roman"/>
                <w:color w:val="000000" w:themeColor="text1"/>
                <w:sz w:val="24"/>
                <w:szCs w:val="24"/>
              </w:rPr>
              <w:t>Action plan</w:t>
            </w:r>
            <w:r w:rsidRPr="00C91007">
              <w:rPr>
                <w:rFonts w:ascii="Times New Roman" w:eastAsia="Times New Roman" w:hAnsi="Times New Roman" w:cs="Times New Roman"/>
                <w:color w:val="000000" w:themeColor="text1"/>
                <w:sz w:val="24"/>
                <w:szCs w:val="24"/>
              </w:rPr>
              <w:tab/>
              <w:t>6</w:t>
            </w:r>
          </w:hyperlink>
        </w:p>
        <w:p w14:paraId="3CE0404A" w14:textId="77777777" w:rsidR="00DD34DA" w:rsidRPr="00C91007" w:rsidRDefault="00DD34DA" w:rsidP="00DD34DA">
          <w:pPr>
            <w:widowControl w:val="0"/>
            <w:tabs>
              <w:tab w:val="right" w:leader="dot" w:pos="12000"/>
            </w:tabs>
            <w:spacing w:before="60" w:line="360" w:lineRule="auto"/>
            <w:jc w:val="both"/>
            <w:rPr>
              <w:rFonts w:ascii="Times New Roman" w:eastAsia="Times New Roman" w:hAnsi="Times New Roman" w:cs="Times New Roman"/>
              <w:color w:val="000000" w:themeColor="text1"/>
              <w:sz w:val="24"/>
              <w:szCs w:val="24"/>
            </w:rPr>
          </w:pPr>
          <w:hyperlink w:anchor="_heading=h.dnnarrfd4jcm">
            <w:r w:rsidRPr="00C91007">
              <w:rPr>
                <w:rFonts w:ascii="Times New Roman" w:eastAsia="Times New Roman" w:hAnsi="Times New Roman" w:cs="Times New Roman"/>
                <w:color w:val="000000" w:themeColor="text1"/>
                <w:sz w:val="24"/>
                <w:szCs w:val="24"/>
              </w:rPr>
              <w:t>Conclusion</w:t>
            </w:r>
            <w:r w:rsidRPr="00C91007">
              <w:rPr>
                <w:rFonts w:ascii="Times New Roman" w:eastAsia="Times New Roman" w:hAnsi="Times New Roman" w:cs="Times New Roman"/>
                <w:color w:val="000000" w:themeColor="text1"/>
                <w:sz w:val="24"/>
                <w:szCs w:val="24"/>
              </w:rPr>
              <w:tab/>
              <w:t>7</w:t>
            </w:r>
          </w:hyperlink>
        </w:p>
        <w:p w14:paraId="020F2317" w14:textId="77777777" w:rsidR="00DD34DA" w:rsidRPr="00C91007" w:rsidRDefault="00DD34DA" w:rsidP="00DD34DA">
          <w:pPr>
            <w:widowControl w:val="0"/>
            <w:tabs>
              <w:tab w:val="right" w:leader="dot" w:pos="12000"/>
            </w:tabs>
            <w:spacing w:before="60" w:line="360" w:lineRule="auto"/>
            <w:jc w:val="both"/>
            <w:rPr>
              <w:rFonts w:ascii="Times New Roman" w:eastAsia="Times New Roman" w:hAnsi="Times New Roman" w:cs="Times New Roman"/>
              <w:color w:val="000000" w:themeColor="text1"/>
              <w:sz w:val="24"/>
              <w:szCs w:val="24"/>
            </w:rPr>
          </w:pPr>
          <w:hyperlink w:anchor="_heading=h.ur8yq47a2nlc">
            <w:r w:rsidRPr="00C91007">
              <w:rPr>
                <w:rFonts w:ascii="Times New Roman" w:eastAsia="Times New Roman" w:hAnsi="Times New Roman" w:cs="Times New Roman"/>
                <w:color w:val="000000" w:themeColor="text1"/>
                <w:sz w:val="24"/>
                <w:szCs w:val="24"/>
              </w:rPr>
              <w:t>References</w:t>
            </w:r>
            <w:r w:rsidRPr="00C91007">
              <w:rPr>
                <w:rFonts w:ascii="Times New Roman" w:eastAsia="Times New Roman" w:hAnsi="Times New Roman" w:cs="Times New Roman"/>
                <w:color w:val="000000" w:themeColor="text1"/>
                <w:sz w:val="24"/>
                <w:szCs w:val="24"/>
              </w:rPr>
              <w:tab/>
              <w:t>8</w:t>
            </w:r>
          </w:hyperlink>
          <w:r w:rsidRPr="00C91007">
            <w:rPr>
              <w:color w:val="000000" w:themeColor="text1"/>
            </w:rPr>
            <w:fldChar w:fldCharType="end"/>
          </w:r>
        </w:p>
      </w:sdtContent>
    </w:sdt>
    <w:p w14:paraId="19C1D26B"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color w:val="000000" w:themeColor="text1"/>
        </w:rPr>
        <w:br w:type="page"/>
      </w:r>
    </w:p>
    <w:p w14:paraId="3BB21B08" w14:textId="77777777" w:rsidR="00DD34DA" w:rsidRPr="00C91007" w:rsidRDefault="00DD34DA" w:rsidP="00DD34DA">
      <w:pPr>
        <w:pStyle w:val="1"/>
        <w:keepNext w:val="0"/>
        <w:keepLines w:val="0"/>
        <w:rPr>
          <w:color w:val="000000" w:themeColor="text1"/>
        </w:rPr>
      </w:pPr>
      <w:bookmarkStart w:id="0" w:name="_heading=h.pr1f677go5pa" w:colFirst="0" w:colLast="0"/>
      <w:bookmarkEnd w:id="0"/>
      <w:r w:rsidRPr="00C91007">
        <w:rPr>
          <w:color w:val="000000" w:themeColor="text1"/>
        </w:rPr>
        <w:lastRenderedPageBreak/>
        <w:t>Introduction</w:t>
      </w:r>
    </w:p>
    <w:p w14:paraId="3AC3C950"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The purpose of this report is to reflect on the project discussion that has been performed in the previous study named Bracknell regeneration. A critical analysis is expressed through the reflection which follows a comparison between two social development projects. Each step of Gibbs’ cycle has played a vital role to unveil analysis of the experiences which were gathered during working on the projects. The entire scenario of the project involving the experience is vividly presented here to discuss different situations made during progressing with the projects. Gibbs’ model has helped hugely to arrange the experiences in a clear format by including valuable feelings for both bad and good experiences.     </w:t>
      </w:r>
    </w:p>
    <w:p w14:paraId="040EDFE0" w14:textId="77777777" w:rsidR="00DD34DA" w:rsidRPr="00C91007" w:rsidRDefault="00DD34DA" w:rsidP="00DD34DA">
      <w:pPr>
        <w:pStyle w:val="1"/>
        <w:keepNext w:val="0"/>
        <w:keepLines w:val="0"/>
        <w:rPr>
          <w:color w:val="000000" w:themeColor="text1"/>
        </w:rPr>
      </w:pPr>
      <w:bookmarkStart w:id="1" w:name="_heading=h.oqrnwkcp98" w:colFirst="0" w:colLast="0"/>
      <w:bookmarkEnd w:id="1"/>
      <w:r w:rsidRPr="00C91007">
        <w:rPr>
          <w:color w:val="000000" w:themeColor="text1"/>
        </w:rPr>
        <w:t xml:space="preserve">Reflection through Gibbs’ cycle </w:t>
      </w:r>
    </w:p>
    <w:p w14:paraId="49AF57BC"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Gibbs’ cycle of reflection provides learners or professionals wider scope to brood into their previous experiences so that they can learn from the experiences and think for better future planning to accomplish other projects. In this way, the learners can develop their skills by knowing their areas of improvement. The entire analysis presented here is conducted through the confession of the project practitioner. A systematic and logical development of analysis is made to describe the experiences gained from the two projects. The steps of Gibbs’ cycle have arranged the practitioner’s whole discussion in a clear form which includes the person’s valuable experiences as well as future objectives (Structural-learning, 2023).  </w:t>
      </w:r>
    </w:p>
    <w:p w14:paraId="66C5AC73" w14:textId="77777777" w:rsidR="00DD34DA" w:rsidRPr="00C91007" w:rsidRDefault="00DD34DA" w:rsidP="00DD34DA">
      <w:pPr>
        <w:pStyle w:val="2"/>
        <w:rPr>
          <w:color w:val="000000" w:themeColor="text1"/>
        </w:rPr>
      </w:pPr>
      <w:bookmarkStart w:id="2" w:name="_heading=h.10x71khndkbd" w:colFirst="0" w:colLast="0"/>
      <w:bookmarkEnd w:id="2"/>
      <w:r w:rsidRPr="00C91007">
        <w:rPr>
          <w:color w:val="000000" w:themeColor="text1"/>
        </w:rPr>
        <w:t xml:space="preserve">Description </w:t>
      </w:r>
    </w:p>
    <w:p w14:paraId="487599DC"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I have completed the task on a project named Bracknell regeneration and it was a kind of social development project. The project started around ten years ago. The main aim of the project was to provide lands and property to the citizens of London and other citizens who used to live near London. I selected another social development project for the comparison which was the Affordable Homes Programme. This is a social development programme in the United Kingdom. It was an interesting experience for my side to deal with such social development projects. The programme was being run by the UK government in which the government of the UK </w:t>
      </w:r>
      <w:proofErr w:type="gramStart"/>
      <w:r w:rsidRPr="00C91007">
        <w:rPr>
          <w:rFonts w:ascii="Times New Roman" w:eastAsia="Times New Roman" w:hAnsi="Times New Roman" w:cs="Times New Roman"/>
          <w:color w:val="000000" w:themeColor="text1"/>
          <w:sz w:val="24"/>
          <w:szCs w:val="24"/>
        </w:rPr>
        <w:t>was  funding</w:t>
      </w:r>
      <w:proofErr w:type="gramEnd"/>
      <w:r w:rsidRPr="00C91007">
        <w:rPr>
          <w:rFonts w:ascii="Times New Roman" w:eastAsia="Times New Roman" w:hAnsi="Times New Roman" w:cs="Times New Roman"/>
          <w:color w:val="000000" w:themeColor="text1"/>
          <w:sz w:val="24"/>
          <w:szCs w:val="24"/>
        </w:rPr>
        <w:t xml:space="preserve"> homes of the UK citizens. This program was for those citizens who were not financially capable to build their homes. When it comes to the budget of these two projects, I have discovered that the </w:t>
      </w:r>
      <w:r w:rsidRPr="00C91007">
        <w:rPr>
          <w:rFonts w:ascii="Times New Roman" w:eastAsia="Times New Roman" w:hAnsi="Times New Roman" w:cs="Times New Roman"/>
          <w:color w:val="000000" w:themeColor="text1"/>
          <w:sz w:val="24"/>
          <w:szCs w:val="24"/>
        </w:rPr>
        <w:lastRenderedPageBreak/>
        <w:t>project named Bracknell Regeneration has a total of 770 million pounds of budget. On the other hand, the budget of the affordable homes programme was far bigger than the Bracknell regeneration project. The Affordable Homes Programme has its budget in billions and the announced budget is 9.5 billion pounds for the extension of the Affordable Homes Programme (Parliament, 2021).</w:t>
      </w:r>
    </w:p>
    <w:p w14:paraId="629C5DD8" w14:textId="77777777" w:rsidR="00DD34DA" w:rsidRPr="00C91007" w:rsidRDefault="00DD34DA" w:rsidP="00DD34DA">
      <w:pPr>
        <w:pStyle w:val="2"/>
        <w:rPr>
          <w:color w:val="000000" w:themeColor="text1"/>
        </w:rPr>
      </w:pPr>
      <w:bookmarkStart w:id="3" w:name="_heading=h.4aozg4nyjold" w:colFirst="0" w:colLast="0"/>
      <w:bookmarkEnd w:id="3"/>
      <w:r w:rsidRPr="00C91007">
        <w:rPr>
          <w:color w:val="000000" w:themeColor="text1"/>
        </w:rPr>
        <w:t xml:space="preserve">Feelings </w:t>
      </w:r>
    </w:p>
    <w:p w14:paraId="23C907E7"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I felt very much lucky to be involved in such social development projects and working with the community members to complete the projects has touched my heart as their active participation and cooperation made a serious impact on the completion of the project. It was one of the greatest experiences and learnings achieved through such projects. The overall aim and objectives of both types of projects were the same which was social development within the country and London. I have felt that both projects have some specific and different aims and objectives for the citizens of the UK. The main aim or objective of the Affordable Homes Programme is to boost the construction of new affordable homes in England in which the government of the United Kingdom is focused on addressing different issues related to the affordability of new homes for the citizens of England. On the other hand, the main aim or objective of the Bracknell Regeneration project was to deliver high-quality commercial units and residential apartments in terms of enhancing the wider town centre area and the public realm. The project called Bracknell Regeneration was aimed to build a better realm in Bracknell town in which there were high-quality education and healthcare systems. On the other hand, the Affordable Homes Programme was aimed to deliver up to 180,000 new homes along with completion. </w:t>
      </w:r>
    </w:p>
    <w:p w14:paraId="7240F9FD" w14:textId="77777777" w:rsidR="00DD34DA" w:rsidRPr="00C91007" w:rsidRDefault="00DD34DA" w:rsidP="00DD34DA">
      <w:pPr>
        <w:pStyle w:val="2"/>
        <w:rPr>
          <w:color w:val="000000" w:themeColor="text1"/>
        </w:rPr>
      </w:pPr>
      <w:bookmarkStart w:id="4" w:name="_heading=h.abdk8rngqg0u" w:colFirst="0" w:colLast="0"/>
      <w:bookmarkEnd w:id="4"/>
      <w:r w:rsidRPr="00C91007">
        <w:rPr>
          <w:color w:val="000000" w:themeColor="text1"/>
        </w:rPr>
        <w:t xml:space="preserve">Evaluation </w:t>
      </w:r>
    </w:p>
    <w:p w14:paraId="41C34D48"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I have noticed carefully through the project that several types of practices were adopted by the UK government in the Affordable Homes Programme for community engagement. I have also observed how the UK government progressed with social schemes for the execution of the project. The government of the United Kingdom has implemented the social discounted scheme in which it was already discussed that 50% of homes would be provided at discounted rates. Here the government imposed social rent which became a priority for the fund. Due to this, the citizens of the United Kingdom can access Social Rent grant rates within the country in all areas of the United </w:t>
      </w:r>
      <w:r w:rsidRPr="00C91007">
        <w:rPr>
          <w:rFonts w:ascii="Times New Roman" w:eastAsia="Times New Roman" w:hAnsi="Times New Roman" w:cs="Times New Roman"/>
          <w:color w:val="000000" w:themeColor="text1"/>
          <w:sz w:val="24"/>
          <w:szCs w:val="24"/>
        </w:rPr>
        <w:lastRenderedPageBreak/>
        <w:t xml:space="preserve">Kingdom. Since the program was started in 2020 so the government of the UK has also supported those people who were affected by the covid-19. The government of the UK made a budget through which the government was helping those sick people who were unable to work during the covid-19. A scheme was introduced by the UK government called Statutory Pay through which the people of the UK were able to claim their SSP. In this case, they had to show their medical evidence that worked as proof of their sickness. I thought that all these practices adopted by the UK government helped the government to keep the communities engaged (Publishing, 2021). I considered some of the practices of Bracknell Regeneration that were effective for community engagement. An urban design framework was published by the Bracknell Council in the year of 1995. This design was the main foundation of the project. Applications for competing planning to regenerate the town have been submitted by the landowners of Bracknell, Bracknell Forest council, and Allied London. In the year of 2002, the Bracknell Forest council approved a new plan after deciding that the project is going to be associated with the largest landowners of Bracknell. The council has built 600,000 square feet of shopping development in which apartments have been made for shopping space. </w:t>
      </w:r>
    </w:p>
    <w:p w14:paraId="7C788C0F" w14:textId="77777777" w:rsidR="00DD34DA" w:rsidRPr="00C91007" w:rsidRDefault="00DD34DA" w:rsidP="00DD34DA">
      <w:pPr>
        <w:pStyle w:val="2"/>
        <w:rPr>
          <w:color w:val="000000" w:themeColor="text1"/>
        </w:rPr>
      </w:pPr>
      <w:bookmarkStart w:id="5" w:name="_heading=h.sxy8nse4ye4d" w:colFirst="0" w:colLast="0"/>
      <w:bookmarkEnd w:id="5"/>
      <w:r w:rsidRPr="00C91007">
        <w:rPr>
          <w:color w:val="000000" w:themeColor="text1"/>
        </w:rPr>
        <w:t xml:space="preserve">Analysis </w:t>
      </w:r>
    </w:p>
    <w:p w14:paraId="37A21189"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highlight w:val="white"/>
        </w:rPr>
      </w:pPr>
      <w:r w:rsidRPr="00C91007">
        <w:rPr>
          <w:rFonts w:ascii="Times New Roman" w:eastAsia="Times New Roman" w:hAnsi="Times New Roman" w:cs="Times New Roman"/>
          <w:color w:val="000000" w:themeColor="text1"/>
          <w:sz w:val="24"/>
          <w:szCs w:val="24"/>
          <w:highlight w:val="white"/>
        </w:rPr>
        <w:t xml:space="preserve">I have witnessed that as the projects were connected with the social development projects, it was very much beneficial for the helpless people of London. The worst victims of Covid-19 were highly benefited from this project as it satisfied their basic demands with affordable prices. I think the UK government also played a significant role in making the housing project successful, though some better offers could be provided to develop the situations of the helpless people. Though I aspired to do this, it was a challenge to finish the project within the budget by maintaining quality. However, the higher officials of the projects could be successful to execute the projects with the help of the community members. I should mention here the role of communication, consultation and participation of the stakeholders to finish the project appropriately. I have practically observed how the council of Bracknell played a key role to engage the local community members in completing the project.           </w:t>
      </w:r>
    </w:p>
    <w:p w14:paraId="5F8798CC" w14:textId="77777777" w:rsidR="00DD34DA" w:rsidRPr="00C91007" w:rsidRDefault="00DD34DA" w:rsidP="00DD34DA">
      <w:pPr>
        <w:pStyle w:val="2"/>
        <w:rPr>
          <w:color w:val="000000" w:themeColor="text1"/>
        </w:rPr>
      </w:pPr>
      <w:bookmarkStart w:id="6" w:name="_heading=h.vyd8kmtmscl9" w:colFirst="0" w:colLast="0"/>
      <w:bookmarkEnd w:id="6"/>
      <w:r w:rsidRPr="00C91007">
        <w:rPr>
          <w:color w:val="000000" w:themeColor="text1"/>
        </w:rPr>
        <w:lastRenderedPageBreak/>
        <w:t xml:space="preserve">Conclusion </w:t>
      </w:r>
    </w:p>
    <w:p w14:paraId="6FFDB6C1"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I have thought that the government of the United Kingdom could have done some different things in the project named the Affordable Homes Programme. As the government of the UK is funding affordable homes for the citizens of the UK which the government of the UK is funding supported housing, renewed homes, and social rent. The government is focused on providing discounted rent homes at 50% in those areas where affordability challenges have been encountered (Meads, 2022).</w:t>
      </w:r>
    </w:p>
    <w:p w14:paraId="7358F27C"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50% for affordable ownership of homes, 10% for supported housing, 10% for rural areas, and 25% for delivered homes through strategic partnership by using MMC. Here the government of the United Kingdom could have done one thing in which the government could have increased the percentage of discounted homes. The main reason behind it is that the affordability challenges may be more as compared to expectations. However, the economic condition was also not good in 2020 due to the covid-19 (Housing, 2022).</w:t>
      </w:r>
    </w:p>
    <w:p w14:paraId="365B804D"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I have considered the government of the UK should also have increased the percentage of rural areas from 10 to around 20 or 25%. In this project, according to the researcher the government of the UK should have targeted more new affordable homes. The government could have done around 200,000 instead of 180,000 by keeping the same budget. However, it can impact the quality of affordable homes but it seems </w:t>
      </w:r>
      <w:proofErr w:type="gramStart"/>
      <w:r w:rsidRPr="00C91007">
        <w:rPr>
          <w:rFonts w:ascii="Times New Roman" w:eastAsia="Times New Roman" w:hAnsi="Times New Roman" w:cs="Times New Roman"/>
          <w:color w:val="000000" w:themeColor="text1"/>
          <w:sz w:val="24"/>
          <w:szCs w:val="24"/>
        </w:rPr>
        <w:t>that  it</w:t>
      </w:r>
      <w:proofErr w:type="gramEnd"/>
      <w:r w:rsidRPr="00C91007">
        <w:rPr>
          <w:rFonts w:ascii="Times New Roman" w:eastAsia="Times New Roman" w:hAnsi="Times New Roman" w:cs="Times New Roman"/>
          <w:color w:val="000000" w:themeColor="text1"/>
          <w:sz w:val="24"/>
          <w:szCs w:val="24"/>
        </w:rPr>
        <w:t xml:space="preserve"> would not be a concern for citizens (Gov.uk, 2022).</w:t>
      </w:r>
    </w:p>
    <w:p w14:paraId="6F55CA2F"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According to me, some different things could have been done by the </w:t>
      </w:r>
      <w:proofErr w:type="gramStart"/>
      <w:r w:rsidRPr="00C91007">
        <w:rPr>
          <w:rFonts w:ascii="Times New Roman" w:eastAsia="Times New Roman" w:hAnsi="Times New Roman" w:cs="Times New Roman"/>
          <w:color w:val="000000" w:themeColor="text1"/>
          <w:sz w:val="24"/>
          <w:szCs w:val="24"/>
        </w:rPr>
        <w:t>Bracknell forest</w:t>
      </w:r>
      <w:proofErr w:type="gramEnd"/>
      <w:r w:rsidRPr="00C91007">
        <w:rPr>
          <w:rFonts w:ascii="Times New Roman" w:eastAsia="Times New Roman" w:hAnsi="Times New Roman" w:cs="Times New Roman"/>
          <w:color w:val="000000" w:themeColor="text1"/>
          <w:sz w:val="24"/>
          <w:szCs w:val="24"/>
        </w:rPr>
        <w:t xml:space="preserve"> council in the project. The forest council could have implemented some modern technologies in the project through which the project can be completed properly. The main reason behind implementing modern technologies is that the operations of the project can be completed effectively and technology can reduce the cost of operations. This can be helpful for Bracknell Council to perform more on less budget. Some different areas may also be covered by the council for development by implementing modern technologies. </w:t>
      </w:r>
    </w:p>
    <w:p w14:paraId="493A6077" w14:textId="77777777" w:rsidR="00DD34DA" w:rsidRPr="00C91007" w:rsidRDefault="00DD34DA" w:rsidP="00DD34DA">
      <w:pPr>
        <w:pStyle w:val="2"/>
        <w:rPr>
          <w:color w:val="000000" w:themeColor="text1"/>
        </w:rPr>
      </w:pPr>
      <w:bookmarkStart w:id="7" w:name="_heading=h.2eyc66rgta5n" w:colFirst="0" w:colLast="0"/>
      <w:bookmarkEnd w:id="7"/>
      <w:r w:rsidRPr="00C91007">
        <w:rPr>
          <w:color w:val="000000" w:themeColor="text1"/>
        </w:rPr>
        <w:t xml:space="preserve">Action plan </w:t>
      </w:r>
    </w:p>
    <w:p w14:paraId="5F938494"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Although the company was able to engage its community properly which impacted the project positively, still community engagement can be improved by implementing Community Education approaches which is one of the community engagement approaches. I have strong belief that in this approach, the company can provide lifelong learning and development opportunities for its community through which the members of the community can be engaged. The regeneration of </w:t>
      </w:r>
      <w:r w:rsidRPr="00C91007">
        <w:rPr>
          <w:rFonts w:ascii="Times New Roman" w:eastAsia="Times New Roman" w:hAnsi="Times New Roman" w:cs="Times New Roman"/>
          <w:color w:val="000000" w:themeColor="text1"/>
          <w:sz w:val="24"/>
          <w:szCs w:val="24"/>
        </w:rPr>
        <w:lastRenderedPageBreak/>
        <w:t xml:space="preserve">Bracknell was planned to provide affordable houses to all kinds of people to eliminate diversity in the town and designed to redistribute opportunity among the citizens. All the people of Bracknell town now have equal rights to get their own houses and retail shops, restaurants, and bars to get a regular income. Many of the citizens' economic issues have been resolved and urban prosperity has been enhanced. All are living in a prosperous town that has all the facilities like the main city of London. Different learning and training opportunities along with enhancing technological knowledge must be improved for the progressive acceleration of such projects. Active communication, consultation, and stakeholders’ participation must be improved to ameliorate the field activities of such programmes. In this way, they can be valued more to raise their focus and concentration on the project operations. Though diversity and inclusion practice </w:t>
      </w:r>
      <w:proofErr w:type="gramStart"/>
      <w:r w:rsidRPr="00C91007">
        <w:rPr>
          <w:rFonts w:ascii="Times New Roman" w:eastAsia="Times New Roman" w:hAnsi="Times New Roman" w:cs="Times New Roman"/>
          <w:color w:val="000000" w:themeColor="text1"/>
          <w:sz w:val="24"/>
          <w:szCs w:val="24"/>
        </w:rPr>
        <w:t>was</w:t>
      </w:r>
      <w:proofErr w:type="gramEnd"/>
      <w:r w:rsidRPr="00C91007">
        <w:rPr>
          <w:rFonts w:ascii="Times New Roman" w:eastAsia="Times New Roman" w:hAnsi="Times New Roman" w:cs="Times New Roman"/>
          <w:color w:val="000000" w:themeColor="text1"/>
          <w:sz w:val="24"/>
          <w:szCs w:val="24"/>
        </w:rPr>
        <w:t xml:space="preserve"> the heart of the project, it should be fostered by the officials of all levels so that such projects can be accomplished by the workers from different social backgrounds which can make such projects more progressive. I think the well-being of the environment is also one of the most significant factors to be noted. Emissions must be reduced during progressing with such projects and the authorities must look after their waste management process by implementing a sustainable process.     </w:t>
      </w:r>
    </w:p>
    <w:p w14:paraId="39520951"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No doubt, active consultation has impacted the project of Bracknell regeneration as from my own point of view. Many kinds of decisions have been made before starting the project. Step by step, the project work of Bracknell Regeneration Partnerships has got the project for revamping the area. After much consultation and rejection, the town council of Bracknell approved a new masterplan for the town centre after it decided that it will work with both the largest landowners of the town. </w:t>
      </w:r>
    </w:p>
    <w:p w14:paraId="1B3C4351"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A huge impact of multi-agency collaboration was seen by me while the project of Bracknell town centres was being revamped. At first, the planning council faced a rejection and then the council submitted a whole new plan for regenerating the town with the help of BRP and started working with the main two landowners of the town. The multi-agency collaboration has faced complexity but collaborated with each other and performed the joint venture and took the project towards a huge success. All the sectors worked together such as education, healthcare, leisure, and many more and delivered excellent results. So, multi-agency collaboration must be needed to mitigate the complexities of such programmes by increasing performances so that they can contribute better to the victims and the community members.   </w:t>
      </w:r>
    </w:p>
    <w:p w14:paraId="71EF3A90" w14:textId="77777777" w:rsidR="00DD34DA" w:rsidRPr="00C91007" w:rsidRDefault="00DD34DA" w:rsidP="00DD34DA">
      <w:pPr>
        <w:pStyle w:val="1"/>
        <w:rPr>
          <w:color w:val="000000" w:themeColor="text1"/>
        </w:rPr>
      </w:pPr>
      <w:bookmarkStart w:id="8" w:name="_heading=h.dnnarrfd4jcm" w:colFirst="0" w:colLast="0"/>
      <w:bookmarkEnd w:id="8"/>
      <w:r w:rsidRPr="00C91007">
        <w:rPr>
          <w:color w:val="000000" w:themeColor="text1"/>
        </w:rPr>
        <w:lastRenderedPageBreak/>
        <w:t>Conclusion</w:t>
      </w:r>
    </w:p>
    <w:p w14:paraId="01A692BD"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The report reflects on an enjoyable journey to complete the social development projects. It has been compared another project named the Affordable Homes Programme which was still being run by the government of the United Kingdom. Through reflection, feelings, thoughts, and insights are mingled into the experience that have been gained while the completion of the Bracknell Regeneration project. There is a special highlight on the impacts of active consultation, communication, multi-agency collaboration, stakeholders, and diversity and inclusion in the above reflective report.</w:t>
      </w:r>
    </w:p>
    <w:p w14:paraId="6E5809D7" w14:textId="77777777" w:rsidR="00DD34DA" w:rsidRPr="00C91007" w:rsidRDefault="00DD34DA" w:rsidP="00DD34DA">
      <w:pPr>
        <w:spacing w:line="360" w:lineRule="auto"/>
        <w:jc w:val="both"/>
        <w:rPr>
          <w:rFonts w:ascii="Times New Roman" w:eastAsia="Times New Roman" w:hAnsi="Times New Roman" w:cs="Times New Roman"/>
          <w:color w:val="000000" w:themeColor="text1"/>
          <w:sz w:val="24"/>
          <w:szCs w:val="24"/>
        </w:rPr>
      </w:pPr>
    </w:p>
    <w:p w14:paraId="427E6B40" w14:textId="77777777" w:rsidR="00DD34DA" w:rsidRPr="00C91007" w:rsidRDefault="00DD34DA" w:rsidP="00DD34DA">
      <w:pPr>
        <w:rPr>
          <w:rFonts w:ascii="Times New Roman" w:hAnsi="Times New Roman"/>
          <w:b/>
          <w:color w:val="000000" w:themeColor="text1"/>
          <w:sz w:val="24"/>
          <w:szCs w:val="40"/>
        </w:rPr>
      </w:pPr>
      <w:bookmarkStart w:id="9" w:name="_heading=h.3a48t4xlvnej" w:colFirst="0" w:colLast="0"/>
      <w:bookmarkEnd w:id="9"/>
      <w:r w:rsidRPr="00C91007">
        <w:rPr>
          <w:color w:val="000000" w:themeColor="text1"/>
        </w:rPr>
        <w:br w:type="page"/>
      </w:r>
    </w:p>
    <w:p w14:paraId="06E55C15" w14:textId="77777777" w:rsidR="00DD34DA" w:rsidRPr="00C91007" w:rsidRDefault="00DD34DA" w:rsidP="00DD34DA">
      <w:pPr>
        <w:pStyle w:val="1"/>
        <w:rPr>
          <w:color w:val="000000" w:themeColor="text1"/>
        </w:rPr>
      </w:pPr>
      <w:r w:rsidRPr="00C91007">
        <w:rPr>
          <w:color w:val="000000" w:themeColor="text1"/>
        </w:rPr>
        <w:lastRenderedPageBreak/>
        <w:t>References</w:t>
      </w:r>
    </w:p>
    <w:p w14:paraId="280A3F56" w14:textId="77777777" w:rsidR="00DD34DA" w:rsidRPr="00C91007" w:rsidRDefault="00DD34DA" w:rsidP="00DD34DA">
      <w:pPr>
        <w:spacing w:before="300" w:after="30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Gov.uk, (2022) </w:t>
      </w:r>
      <w:r w:rsidRPr="00C91007">
        <w:rPr>
          <w:rFonts w:ascii="Times New Roman" w:eastAsia="Times New Roman" w:hAnsi="Times New Roman" w:cs="Times New Roman"/>
          <w:i/>
          <w:color w:val="000000" w:themeColor="text1"/>
          <w:sz w:val="24"/>
          <w:szCs w:val="24"/>
        </w:rPr>
        <w:t>National risk assessment of money laundering and terrorist ... - gov.uk</w:t>
      </w:r>
      <w:r w:rsidRPr="00C91007">
        <w:rPr>
          <w:rFonts w:ascii="Times New Roman" w:eastAsia="Times New Roman" w:hAnsi="Times New Roman" w:cs="Times New Roman"/>
          <w:color w:val="000000" w:themeColor="text1"/>
          <w:sz w:val="24"/>
          <w:szCs w:val="24"/>
        </w:rPr>
        <w:t xml:space="preserve">. Available at: https://assets.publishing.service.gov.uk/government/uploads/system/uploads/attachment_data/file/945411/NRA_2020_v1.2_FOR_PUBLICATION.pdf (Accessed: 21 July 2023). </w:t>
      </w:r>
    </w:p>
    <w:p w14:paraId="2C2C9871" w14:textId="77777777" w:rsidR="00DD34DA" w:rsidRPr="00C91007" w:rsidRDefault="00DD34DA" w:rsidP="00DD34DA">
      <w:pPr>
        <w:spacing w:before="300" w:after="30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Housing, (2022). </w:t>
      </w:r>
      <w:r w:rsidRPr="00C91007">
        <w:rPr>
          <w:rFonts w:ascii="Times New Roman" w:eastAsia="Times New Roman" w:hAnsi="Times New Roman" w:cs="Times New Roman"/>
          <w:i/>
          <w:color w:val="000000" w:themeColor="text1"/>
          <w:sz w:val="24"/>
          <w:szCs w:val="24"/>
        </w:rPr>
        <w:t>Affordable Homes Programme 2021-26</w:t>
      </w:r>
      <w:r w:rsidRPr="00C91007">
        <w:rPr>
          <w:rFonts w:ascii="Times New Roman" w:eastAsia="Times New Roman" w:hAnsi="Times New Roman" w:cs="Times New Roman"/>
          <w:color w:val="000000" w:themeColor="text1"/>
          <w:sz w:val="24"/>
          <w:szCs w:val="24"/>
        </w:rPr>
        <w:t xml:space="preserve"> (2022) </w:t>
      </w:r>
      <w:r w:rsidRPr="00C91007">
        <w:rPr>
          <w:rFonts w:ascii="Times New Roman" w:eastAsia="Times New Roman" w:hAnsi="Times New Roman" w:cs="Times New Roman"/>
          <w:i/>
          <w:color w:val="000000" w:themeColor="text1"/>
          <w:sz w:val="24"/>
          <w:szCs w:val="24"/>
        </w:rPr>
        <w:t>National Housing Federation</w:t>
      </w:r>
      <w:r w:rsidRPr="00C91007">
        <w:rPr>
          <w:rFonts w:ascii="Times New Roman" w:eastAsia="Times New Roman" w:hAnsi="Times New Roman" w:cs="Times New Roman"/>
          <w:color w:val="000000" w:themeColor="text1"/>
          <w:sz w:val="24"/>
          <w:szCs w:val="24"/>
        </w:rPr>
        <w:t xml:space="preserve">. Available at: https://www.housing.org.uk/our-work/building-new-homes/AHP-2021-26/ (Accessed: 24 July 2023). </w:t>
      </w:r>
    </w:p>
    <w:p w14:paraId="45E0E47E" w14:textId="77777777" w:rsidR="00DD34DA" w:rsidRPr="00C91007" w:rsidRDefault="00DD34DA" w:rsidP="00DD34DA">
      <w:pPr>
        <w:spacing w:before="300" w:after="30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Meads, J. (2022) </w:t>
      </w:r>
      <w:r w:rsidRPr="00C91007">
        <w:rPr>
          <w:rFonts w:ascii="Times New Roman" w:eastAsia="Times New Roman" w:hAnsi="Times New Roman" w:cs="Times New Roman"/>
          <w:i/>
          <w:color w:val="000000" w:themeColor="text1"/>
          <w:sz w:val="24"/>
          <w:szCs w:val="24"/>
        </w:rPr>
        <w:t>Bracknell regeneration</w:t>
      </w:r>
      <w:r w:rsidRPr="00C91007">
        <w:rPr>
          <w:rFonts w:ascii="Times New Roman" w:eastAsia="Times New Roman" w:hAnsi="Times New Roman" w:cs="Times New Roman"/>
          <w:color w:val="000000" w:themeColor="text1"/>
          <w:sz w:val="24"/>
          <w:szCs w:val="24"/>
        </w:rPr>
        <w:t xml:space="preserve">, </w:t>
      </w:r>
      <w:r w:rsidRPr="00C91007">
        <w:rPr>
          <w:rFonts w:ascii="Times New Roman" w:eastAsia="Times New Roman" w:hAnsi="Times New Roman" w:cs="Times New Roman"/>
          <w:i/>
          <w:color w:val="000000" w:themeColor="text1"/>
          <w:sz w:val="24"/>
          <w:szCs w:val="24"/>
        </w:rPr>
        <w:t>Mobius</w:t>
      </w:r>
      <w:r w:rsidRPr="00C91007">
        <w:rPr>
          <w:rFonts w:ascii="Times New Roman" w:eastAsia="Times New Roman" w:hAnsi="Times New Roman" w:cs="Times New Roman"/>
          <w:color w:val="000000" w:themeColor="text1"/>
          <w:sz w:val="24"/>
          <w:szCs w:val="24"/>
        </w:rPr>
        <w:t xml:space="preserve">. Available at: https://mobiusatwork.co.uk/2022/12/20/bracknell-regeneration/#:~:text=The%20proposal%20is%20to%20deliver,a%20busy%20and%20vibrant%20town (Accessed: 25 July 2023). </w:t>
      </w:r>
    </w:p>
    <w:p w14:paraId="5FAA8D83" w14:textId="77777777" w:rsidR="00DD34DA" w:rsidRPr="00C91007" w:rsidRDefault="00DD34DA" w:rsidP="00DD34DA">
      <w:pPr>
        <w:spacing w:before="300" w:after="30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Parliament, (2021) </w:t>
      </w:r>
      <w:r w:rsidRPr="00C91007">
        <w:rPr>
          <w:rFonts w:ascii="Times New Roman" w:eastAsia="Times New Roman" w:hAnsi="Times New Roman" w:cs="Times New Roman"/>
          <w:i/>
          <w:color w:val="000000" w:themeColor="text1"/>
          <w:sz w:val="24"/>
          <w:szCs w:val="24"/>
        </w:rPr>
        <w:t>Affordable Homes Programme (AHP) - House of Commons Library</w:t>
      </w:r>
      <w:r w:rsidRPr="00C91007">
        <w:rPr>
          <w:rFonts w:ascii="Times New Roman" w:eastAsia="Times New Roman" w:hAnsi="Times New Roman" w:cs="Times New Roman"/>
          <w:color w:val="000000" w:themeColor="text1"/>
          <w:sz w:val="24"/>
          <w:szCs w:val="24"/>
        </w:rPr>
        <w:t xml:space="preserve">. Available at: https://commonslibrary.parliament.uk/research-briefings/cdp-2023-0091/ (Accessed: 23 July 2023). </w:t>
      </w:r>
    </w:p>
    <w:p w14:paraId="2D03CF54" w14:textId="77777777" w:rsidR="00DD34DA" w:rsidRPr="00C91007" w:rsidRDefault="00DD34DA" w:rsidP="00DD34DA">
      <w:pPr>
        <w:spacing w:before="300" w:after="30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Publishing, (2021) </w:t>
      </w:r>
      <w:r w:rsidRPr="00C91007">
        <w:rPr>
          <w:rFonts w:ascii="Times New Roman" w:eastAsia="Times New Roman" w:hAnsi="Times New Roman" w:cs="Times New Roman"/>
          <w:i/>
          <w:color w:val="000000" w:themeColor="text1"/>
          <w:sz w:val="24"/>
          <w:szCs w:val="24"/>
        </w:rPr>
        <w:t>Budget 2020 - gov.uk</w:t>
      </w:r>
      <w:r w:rsidRPr="00C91007">
        <w:rPr>
          <w:rFonts w:ascii="Times New Roman" w:eastAsia="Times New Roman" w:hAnsi="Times New Roman" w:cs="Times New Roman"/>
          <w:color w:val="000000" w:themeColor="text1"/>
          <w:sz w:val="24"/>
          <w:szCs w:val="24"/>
        </w:rPr>
        <w:t xml:space="preserve">. Available at: https://assets.publishing.service.gov.uk/government/uploads/system/uploads/attachment_data/file/871799/Budget_2020_Web_Accessible_Complete.pdf (Accessed: 25 July 2023). </w:t>
      </w:r>
    </w:p>
    <w:p w14:paraId="0635A335" w14:textId="77777777" w:rsidR="00DD34DA" w:rsidRPr="00C91007" w:rsidRDefault="00DD34DA" w:rsidP="00DD34DA">
      <w:pPr>
        <w:spacing w:before="240" w:after="240" w:line="360" w:lineRule="auto"/>
        <w:jc w:val="both"/>
        <w:rPr>
          <w:rFonts w:ascii="Times New Roman" w:eastAsia="Times New Roman" w:hAnsi="Times New Roman" w:cs="Times New Roman"/>
          <w:color w:val="000000" w:themeColor="text1"/>
          <w:sz w:val="24"/>
          <w:szCs w:val="24"/>
        </w:rPr>
      </w:pPr>
      <w:r w:rsidRPr="00C91007">
        <w:rPr>
          <w:rFonts w:ascii="Times New Roman" w:eastAsia="Times New Roman" w:hAnsi="Times New Roman" w:cs="Times New Roman"/>
          <w:color w:val="000000" w:themeColor="text1"/>
          <w:sz w:val="24"/>
          <w:szCs w:val="24"/>
        </w:rPr>
        <w:t xml:space="preserve">Structural-learning (2023) Gibbs’ reflective cycle, RSS. Available at: https://www.structural-learning.com/post/gibbs-reflective-cycle (Accessed: 18 August 2023). </w:t>
      </w:r>
    </w:p>
    <w:p w14:paraId="2C3A47DD" w14:textId="77777777" w:rsidR="00E201F3" w:rsidRDefault="00E201F3"/>
    <w:sectPr w:rsidR="00E201F3" w:rsidSect="00617A86">
      <w:footerReference w:type="default" r:id="rId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altName w:val="Sylfae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2EBFD" w14:textId="77777777" w:rsidR="00000000"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1AE42A8B" w14:textId="77777777" w:rsidR="00000000" w:rsidRDefault="00000000">
    <w:pPr>
      <w:pBdr>
        <w:top w:val="nil"/>
        <w:left w:val="nil"/>
        <w:bottom w:val="nil"/>
        <w:right w:val="nil"/>
        <w:between w:val="nil"/>
      </w:pBdr>
      <w:tabs>
        <w:tab w:val="center" w:pos="4513"/>
        <w:tab w:val="right" w:pos="9026"/>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1F3"/>
    <w:rsid w:val="00DD34DA"/>
    <w:rsid w:val="00E201F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6BD3"/>
  <w15:chartTrackingRefBased/>
  <w15:docId w15:val="{A8D58E18-BA0C-43EE-A2EB-A519117D9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34DA"/>
    <w:pPr>
      <w:spacing w:after="0" w:line="276" w:lineRule="auto"/>
    </w:pPr>
    <w:rPr>
      <w:rFonts w:ascii="Arial" w:eastAsia="Arial" w:hAnsi="Arial" w:cs="Arial"/>
      <w:kern w:val="0"/>
      <w:lang w:val="en-GB" w:eastAsia="en-IN"/>
      <w14:ligatures w14:val="none"/>
    </w:rPr>
  </w:style>
  <w:style w:type="paragraph" w:styleId="1">
    <w:name w:val="heading 1"/>
    <w:basedOn w:val="a"/>
    <w:next w:val="a"/>
    <w:link w:val="10"/>
    <w:uiPriority w:val="9"/>
    <w:qFormat/>
    <w:rsid w:val="00DD34DA"/>
    <w:pPr>
      <w:keepNext/>
      <w:keepLines/>
      <w:spacing w:before="400" w:after="120" w:line="360" w:lineRule="auto"/>
      <w:jc w:val="both"/>
      <w:outlineLvl w:val="0"/>
    </w:pPr>
    <w:rPr>
      <w:rFonts w:ascii="Times New Roman" w:hAnsi="Times New Roman"/>
      <w:b/>
      <w:sz w:val="24"/>
      <w:szCs w:val="40"/>
    </w:rPr>
  </w:style>
  <w:style w:type="paragraph" w:styleId="2">
    <w:name w:val="heading 2"/>
    <w:basedOn w:val="a"/>
    <w:next w:val="a"/>
    <w:link w:val="20"/>
    <w:uiPriority w:val="9"/>
    <w:unhideWhenUsed/>
    <w:qFormat/>
    <w:rsid w:val="00DD34DA"/>
    <w:pPr>
      <w:keepNext/>
      <w:keepLines/>
      <w:spacing w:before="360" w:after="120" w:line="360" w:lineRule="auto"/>
      <w:jc w:val="both"/>
      <w:outlineLvl w:val="1"/>
    </w:pPr>
    <w:rPr>
      <w:rFonts w:ascii="Times New Roman" w:hAnsi="Times New Roman"/>
      <w:b/>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34DA"/>
    <w:rPr>
      <w:rFonts w:ascii="Times New Roman" w:eastAsia="Arial" w:hAnsi="Times New Roman" w:cs="Arial"/>
      <w:b/>
      <w:kern w:val="0"/>
      <w:sz w:val="24"/>
      <w:szCs w:val="40"/>
      <w:lang w:val="en-GB" w:eastAsia="en-IN"/>
      <w14:ligatures w14:val="none"/>
    </w:rPr>
  </w:style>
  <w:style w:type="character" w:customStyle="1" w:styleId="20">
    <w:name w:val="Заголовок 2 Знак"/>
    <w:basedOn w:val="a0"/>
    <w:link w:val="2"/>
    <w:uiPriority w:val="9"/>
    <w:rsid w:val="00DD34DA"/>
    <w:rPr>
      <w:rFonts w:ascii="Times New Roman" w:eastAsia="Arial" w:hAnsi="Times New Roman" w:cs="Arial"/>
      <w:b/>
      <w:kern w:val="0"/>
      <w:sz w:val="24"/>
      <w:szCs w:val="32"/>
      <w:lang w:val="en-GB"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2266</Words>
  <Characters>12917</Characters>
  <Application>Microsoft Office Word</Application>
  <DocSecurity>0</DocSecurity>
  <Lines>107</Lines>
  <Paragraphs>30</Paragraphs>
  <ScaleCrop>false</ScaleCrop>
  <Company/>
  <LinksUpToDate>false</LinksUpToDate>
  <CharactersWithSpaces>15153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Furdui</dc:creator>
  <cp:keywords/>
  <dc:description/>
  <cp:lastModifiedBy>Elena Furdui</cp:lastModifiedBy>
  <cp:revision>2</cp:revision>
  <dcterms:created xsi:type="dcterms:W3CDTF">2023-09-01T16:33:00Z</dcterms:created>
  <dcterms:modified xsi:type="dcterms:W3CDTF">2023-09-01T16:36:00Z</dcterms:modified>
</cp:coreProperties>
</file>