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C8C7DE" w14:textId="1D55EA89" w:rsidR="006E4620" w:rsidRDefault="00161ABF" w:rsidP="00161ABF">
      <w:pPr>
        <w:spacing w:before="240"/>
        <w:rPr>
          <w:rFonts w:eastAsia="Calibri" w:cs="Arial"/>
          <w:b/>
          <w:bCs/>
          <w:noProof/>
          <w:color w:val="auto"/>
          <w:kern w:val="2"/>
          <w:szCs w:val="24"/>
          <w14:ligatures w14:val="standardContextual"/>
        </w:rPr>
      </w:pPr>
      <w:r>
        <w:rPr>
          <w:noProof/>
          <w:lang w:val="en-US"/>
        </w:rPr>
        <w:drawing>
          <wp:anchor distT="0" distB="0" distL="114300" distR="114300" simplePos="0" relativeHeight="251659264" behindDoc="0" locked="0" layoutInCell="1" allowOverlap="1" wp14:anchorId="4D1871A1" wp14:editId="3DCC1078">
            <wp:simplePos x="0" y="0"/>
            <wp:positionH relativeFrom="margin">
              <wp:posOffset>0</wp:posOffset>
            </wp:positionH>
            <wp:positionV relativeFrom="margin">
              <wp:posOffset>0</wp:posOffset>
            </wp:positionV>
            <wp:extent cx="1980148" cy="643255"/>
            <wp:effectExtent l="0" t="0" r="1270" b="444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extLst>
                        <a:ext uri="{28A0092B-C50C-407E-A947-70E740481C1C}">
                          <a14:useLocalDpi xmlns:a14="http://schemas.microsoft.com/office/drawing/2010/main" val="0"/>
                        </a:ext>
                      </a:extLst>
                    </a:blip>
                    <a:srcRect t="17843"/>
                    <a:stretch/>
                  </pic:blipFill>
                  <pic:spPr bwMode="auto">
                    <a:xfrm>
                      <a:off x="0" y="0"/>
                      <a:ext cx="1980148" cy="6432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41340FF" w14:textId="77777777" w:rsidR="00161ABF" w:rsidRDefault="00161ABF" w:rsidP="00161ABF">
      <w:pPr>
        <w:spacing w:before="240"/>
        <w:rPr>
          <w:rFonts w:eastAsia="Calibri" w:cs="Arial"/>
          <w:b/>
          <w:bCs/>
          <w:noProof/>
          <w:color w:val="auto"/>
          <w:kern w:val="2"/>
          <w:szCs w:val="24"/>
          <w14:ligatures w14:val="standardContextual"/>
        </w:rPr>
      </w:pPr>
    </w:p>
    <w:p w14:paraId="34A88403" w14:textId="77777777" w:rsidR="006E4620" w:rsidRDefault="006E4620" w:rsidP="006E4620">
      <w:pPr>
        <w:spacing w:before="240"/>
        <w:jc w:val="center"/>
        <w:rPr>
          <w:rFonts w:eastAsia="Calibri" w:cs="Arial"/>
          <w:b/>
          <w:bCs/>
          <w:noProof/>
          <w:color w:val="auto"/>
          <w:kern w:val="2"/>
          <w:szCs w:val="24"/>
          <w14:ligatures w14:val="standardContextual"/>
        </w:rPr>
      </w:pPr>
      <w:r>
        <w:rPr>
          <w:rFonts w:eastAsia="Calibri" w:cs="Arial"/>
          <w:b/>
          <w:bCs/>
          <w:noProof/>
          <w:color w:val="auto"/>
          <w:kern w:val="2"/>
          <w:szCs w:val="24"/>
          <w14:ligatures w14:val="standardContextual"/>
        </w:rPr>
        <w:t>BMIH5005</w:t>
      </w:r>
    </w:p>
    <w:p w14:paraId="3FDD444D" w14:textId="77777777" w:rsidR="006E4620" w:rsidRDefault="006E4620" w:rsidP="006E4620">
      <w:pPr>
        <w:spacing w:before="240"/>
        <w:jc w:val="center"/>
        <w:rPr>
          <w:rFonts w:eastAsia="Calibri" w:cs="Arial"/>
          <w:b/>
          <w:bCs/>
          <w:noProof/>
          <w:color w:val="auto"/>
          <w:kern w:val="2"/>
          <w:szCs w:val="24"/>
          <w14:ligatures w14:val="standardContextual"/>
        </w:rPr>
      </w:pPr>
      <w:r>
        <w:rPr>
          <w:rFonts w:eastAsia="Calibri" w:cs="Arial"/>
          <w:b/>
          <w:bCs/>
          <w:noProof/>
          <w:color w:val="auto"/>
          <w:kern w:val="2"/>
          <w:szCs w:val="24"/>
          <w14:ligatures w14:val="standardContextual"/>
        </w:rPr>
        <w:t>Personnel Resourcing and Development</w:t>
      </w:r>
    </w:p>
    <w:p w14:paraId="26921651" w14:textId="64131FE6" w:rsidR="006E4620" w:rsidRDefault="006E4620" w:rsidP="006E4620">
      <w:pPr>
        <w:spacing w:before="240"/>
        <w:jc w:val="center"/>
        <w:rPr>
          <w:rFonts w:eastAsia="Calibri" w:cs="Arial"/>
          <w:noProof/>
          <w:color w:val="auto"/>
          <w:kern w:val="2"/>
          <w:szCs w:val="24"/>
          <w14:ligatures w14:val="standardContextual"/>
        </w:rPr>
      </w:pPr>
      <w:r>
        <w:rPr>
          <w:rFonts w:eastAsia="Calibri" w:cs="Arial"/>
          <w:b/>
          <w:bCs/>
          <w:noProof/>
          <w:color w:val="auto"/>
          <w:kern w:val="2"/>
          <w:szCs w:val="24"/>
          <w14:ligatures w14:val="standardContextual"/>
        </w:rPr>
        <w:t xml:space="preserve">Title: </w:t>
      </w:r>
      <w:r w:rsidR="00E55B8B">
        <w:t xml:space="preserve">Analyse the impacts of socioeconomic force on employees’ performance management and monitoring in different work </w:t>
      </w:r>
      <w:r w:rsidR="00DC30C5">
        <w:t>modes:</w:t>
      </w:r>
      <w:r w:rsidR="00E55B8B">
        <w:t xml:space="preserve"> Hospitality HR’s perspective</w:t>
      </w:r>
    </w:p>
    <w:tbl>
      <w:tblPr>
        <w:tblpPr w:leftFromText="180" w:rightFromText="180" w:vertAnchor="text" w:horzAnchor="margin" w:tblpXSpec="center" w:tblpY="598"/>
        <w:tblW w:w="99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161ABF" w14:paraId="22B9819A" w14:textId="77777777" w:rsidTr="00161ABF">
        <w:trPr>
          <w:trHeight w:val="532"/>
        </w:trPr>
        <w:tc>
          <w:tcPr>
            <w:tcW w:w="2096" w:type="dxa"/>
            <w:shd w:val="clear" w:color="auto" w:fill="D9D9D9"/>
          </w:tcPr>
          <w:p w14:paraId="2537ABD5" w14:textId="77777777" w:rsidR="00161ABF" w:rsidRDefault="00161ABF" w:rsidP="00161ABF">
            <w:pPr>
              <w:pStyle w:val="TableParagraph"/>
              <w:spacing w:before="120"/>
              <w:ind w:left="107"/>
              <w:rPr>
                <w:rFonts w:ascii="Arial"/>
                <w:b/>
              </w:rPr>
            </w:pPr>
            <w:r>
              <w:rPr>
                <w:rFonts w:ascii="Arial"/>
                <w:b/>
              </w:rPr>
              <w:t>Student</w:t>
            </w:r>
            <w:r>
              <w:rPr>
                <w:rFonts w:ascii="Arial"/>
                <w:b/>
                <w:spacing w:val="-3"/>
              </w:rPr>
              <w:t xml:space="preserve"> </w:t>
            </w:r>
            <w:r>
              <w:rPr>
                <w:rFonts w:ascii="Arial"/>
                <w:b/>
                <w:spacing w:val="-2"/>
              </w:rPr>
              <w:t>name:</w:t>
            </w:r>
          </w:p>
        </w:tc>
        <w:tc>
          <w:tcPr>
            <w:tcW w:w="3293" w:type="dxa"/>
          </w:tcPr>
          <w:p w14:paraId="63C7C113" w14:textId="20564092" w:rsidR="00161ABF" w:rsidRPr="00A5736D" w:rsidRDefault="00A5736D" w:rsidP="00161ABF">
            <w:pPr>
              <w:pStyle w:val="TableParagraph"/>
              <w:rPr>
                <w:rFonts w:ascii="Times New Roman"/>
                <w:b/>
                <w:bCs/>
                <w:sz w:val="24"/>
                <w:szCs w:val="24"/>
              </w:rPr>
            </w:pPr>
            <w:r>
              <w:rPr>
                <w:rFonts w:ascii="Times New Roman"/>
                <w:b/>
                <w:bCs/>
                <w:sz w:val="24"/>
                <w:szCs w:val="24"/>
              </w:rPr>
              <w:t>Valentina Matei</w:t>
            </w:r>
          </w:p>
        </w:tc>
        <w:tc>
          <w:tcPr>
            <w:tcW w:w="2268" w:type="dxa"/>
            <w:shd w:val="clear" w:color="auto" w:fill="D9D9D9"/>
          </w:tcPr>
          <w:p w14:paraId="0146E6AC" w14:textId="77777777" w:rsidR="00161ABF" w:rsidRDefault="00161ABF" w:rsidP="00161ABF">
            <w:pPr>
              <w:pStyle w:val="TableParagraph"/>
              <w:spacing w:before="120"/>
              <w:ind w:left="107"/>
              <w:rPr>
                <w:rFonts w:ascii="Arial"/>
                <w:b/>
              </w:rPr>
            </w:pPr>
            <w:r>
              <w:rPr>
                <w:rFonts w:ascii="Arial"/>
                <w:b/>
              </w:rPr>
              <w:t>Student</w:t>
            </w:r>
            <w:r>
              <w:rPr>
                <w:rFonts w:ascii="Arial"/>
                <w:b/>
                <w:spacing w:val="-3"/>
              </w:rPr>
              <w:t xml:space="preserve"> </w:t>
            </w:r>
            <w:r>
              <w:rPr>
                <w:rFonts w:ascii="Arial"/>
                <w:b/>
              </w:rPr>
              <w:t>ID</w:t>
            </w:r>
            <w:r>
              <w:rPr>
                <w:rFonts w:ascii="Arial"/>
                <w:b/>
                <w:spacing w:val="-2"/>
              </w:rPr>
              <w:t xml:space="preserve"> number:</w:t>
            </w:r>
          </w:p>
        </w:tc>
        <w:tc>
          <w:tcPr>
            <w:tcW w:w="2268" w:type="dxa"/>
          </w:tcPr>
          <w:p w14:paraId="180C1620" w14:textId="5EDAA7CF" w:rsidR="00161ABF" w:rsidRPr="00A5736D" w:rsidRDefault="00A5736D" w:rsidP="00161ABF">
            <w:pPr>
              <w:pStyle w:val="TableParagraph"/>
              <w:rPr>
                <w:rFonts w:ascii="Times New Roman"/>
                <w:b/>
                <w:bCs/>
                <w:sz w:val="24"/>
                <w:szCs w:val="24"/>
              </w:rPr>
            </w:pPr>
            <w:r>
              <w:rPr>
                <w:rFonts w:ascii="Times New Roman"/>
                <w:b/>
                <w:bCs/>
                <w:sz w:val="24"/>
                <w:szCs w:val="24"/>
              </w:rPr>
              <w:t>2221642</w:t>
            </w:r>
          </w:p>
        </w:tc>
      </w:tr>
      <w:tr w:rsidR="00161ABF" w14:paraId="27124788" w14:textId="77777777" w:rsidTr="00161ABF">
        <w:trPr>
          <w:trHeight w:val="530"/>
        </w:trPr>
        <w:tc>
          <w:tcPr>
            <w:tcW w:w="2096" w:type="dxa"/>
            <w:shd w:val="clear" w:color="auto" w:fill="D9D9D9"/>
          </w:tcPr>
          <w:p w14:paraId="41ADA3DC" w14:textId="77777777" w:rsidR="00161ABF" w:rsidRDefault="00161ABF" w:rsidP="00161ABF">
            <w:pPr>
              <w:pStyle w:val="TableParagraph"/>
              <w:spacing w:before="120"/>
              <w:ind w:left="107"/>
              <w:rPr>
                <w:rFonts w:ascii="Arial"/>
                <w:b/>
              </w:rPr>
            </w:pPr>
            <w:r>
              <w:rPr>
                <w:rFonts w:ascii="Arial"/>
                <w:b/>
                <w:spacing w:val="-2"/>
              </w:rPr>
              <w:t>Programme:</w:t>
            </w:r>
          </w:p>
        </w:tc>
        <w:tc>
          <w:tcPr>
            <w:tcW w:w="7829" w:type="dxa"/>
            <w:gridSpan w:val="3"/>
          </w:tcPr>
          <w:p w14:paraId="3D7405E0" w14:textId="77777777" w:rsidR="00161ABF" w:rsidRDefault="00161ABF" w:rsidP="00161ABF">
            <w:pPr>
              <w:pStyle w:val="TableParagraph"/>
              <w:spacing w:before="120"/>
              <w:ind w:left="105"/>
              <w:rPr>
                <w:rFonts w:ascii="Arial"/>
                <w:b/>
              </w:rPr>
            </w:pPr>
            <w:r>
              <w:rPr>
                <w:rFonts w:ascii="Arial"/>
                <w:b/>
              </w:rPr>
              <w:t>BA</w:t>
            </w:r>
            <w:r>
              <w:rPr>
                <w:rFonts w:ascii="Arial"/>
                <w:b/>
                <w:spacing w:val="-7"/>
              </w:rPr>
              <w:t xml:space="preserve"> </w:t>
            </w:r>
            <w:r>
              <w:rPr>
                <w:rFonts w:ascii="Arial"/>
                <w:b/>
              </w:rPr>
              <w:t>(Hons)</w:t>
            </w:r>
            <w:r>
              <w:rPr>
                <w:rFonts w:ascii="Arial"/>
                <w:b/>
                <w:spacing w:val="-7"/>
              </w:rPr>
              <w:t xml:space="preserve"> </w:t>
            </w:r>
            <w:r>
              <w:rPr>
                <w:rFonts w:ascii="Arial"/>
                <w:b/>
              </w:rPr>
              <w:t>International</w:t>
            </w:r>
            <w:r>
              <w:rPr>
                <w:rFonts w:ascii="Arial"/>
                <w:b/>
                <w:spacing w:val="-4"/>
              </w:rPr>
              <w:t xml:space="preserve"> </w:t>
            </w:r>
            <w:r>
              <w:rPr>
                <w:rFonts w:ascii="Arial"/>
                <w:b/>
              </w:rPr>
              <w:t>Hotel</w:t>
            </w:r>
            <w:r>
              <w:rPr>
                <w:rFonts w:ascii="Arial"/>
                <w:b/>
                <w:spacing w:val="-7"/>
              </w:rPr>
              <w:t xml:space="preserve"> </w:t>
            </w:r>
            <w:r>
              <w:rPr>
                <w:rFonts w:ascii="Arial"/>
                <w:b/>
                <w:spacing w:val="-2"/>
              </w:rPr>
              <w:t>Management</w:t>
            </w:r>
          </w:p>
        </w:tc>
      </w:tr>
      <w:tr w:rsidR="00161ABF" w14:paraId="7FEBAF4A" w14:textId="77777777" w:rsidTr="00161ABF">
        <w:trPr>
          <w:trHeight w:val="527"/>
        </w:trPr>
        <w:tc>
          <w:tcPr>
            <w:tcW w:w="2096" w:type="dxa"/>
            <w:shd w:val="clear" w:color="auto" w:fill="D9D9D9"/>
          </w:tcPr>
          <w:p w14:paraId="034EE821" w14:textId="77777777" w:rsidR="00161ABF" w:rsidRDefault="00161ABF" w:rsidP="00161ABF">
            <w:pPr>
              <w:pStyle w:val="TableParagraph"/>
              <w:spacing w:before="120"/>
              <w:ind w:left="107"/>
              <w:rPr>
                <w:rFonts w:ascii="Arial"/>
                <w:b/>
              </w:rPr>
            </w:pPr>
            <w:r>
              <w:rPr>
                <w:rFonts w:ascii="Arial"/>
                <w:b/>
                <w:spacing w:val="-2"/>
              </w:rPr>
              <w:t>Module:</w:t>
            </w:r>
          </w:p>
        </w:tc>
        <w:tc>
          <w:tcPr>
            <w:tcW w:w="7829" w:type="dxa"/>
            <w:gridSpan w:val="3"/>
          </w:tcPr>
          <w:p w14:paraId="052BE48D" w14:textId="77777777" w:rsidR="00161ABF" w:rsidRDefault="00161ABF" w:rsidP="00161ABF">
            <w:pPr>
              <w:pStyle w:val="TableParagraph"/>
              <w:spacing w:before="2"/>
              <w:ind w:left="105"/>
              <w:rPr>
                <w:rFonts w:ascii="Arial"/>
                <w:b/>
              </w:rPr>
            </w:pPr>
            <w:r>
              <w:rPr>
                <w:rFonts w:ascii="Arial"/>
                <w:b/>
              </w:rPr>
              <w:t>Personnel</w:t>
            </w:r>
            <w:r>
              <w:rPr>
                <w:rFonts w:ascii="Arial"/>
                <w:b/>
                <w:spacing w:val="-5"/>
              </w:rPr>
              <w:t xml:space="preserve"> </w:t>
            </w:r>
            <w:r>
              <w:rPr>
                <w:rFonts w:ascii="Arial"/>
                <w:b/>
              </w:rPr>
              <w:t>Resourcing</w:t>
            </w:r>
            <w:r>
              <w:rPr>
                <w:rFonts w:ascii="Arial"/>
                <w:b/>
                <w:spacing w:val="-9"/>
              </w:rPr>
              <w:t xml:space="preserve"> </w:t>
            </w:r>
            <w:r>
              <w:rPr>
                <w:rFonts w:ascii="Arial"/>
                <w:b/>
              </w:rPr>
              <w:t>and</w:t>
            </w:r>
            <w:r>
              <w:rPr>
                <w:rFonts w:ascii="Arial"/>
                <w:b/>
                <w:spacing w:val="-5"/>
              </w:rPr>
              <w:t xml:space="preserve"> </w:t>
            </w:r>
            <w:r>
              <w:rPr>
                <w:rFonts w:ascii="Arial"/>
                <w:b/>
                <w:spacing w:val="-2"/>
              </w:rPr>
              <w:t>Development</w:t>
            </w:r>
          </w:p>
        </w:tc>
      </w:tr>
      <w:tr w:rsidR="00161ABF" w14:paraId="7E5973F8" w14:textId="77777777" w:rsidTr="00161ABF">
        <w:trPr>
          <w:trHeight w:val="1067"/>
        </w:trPr>
        <w:tc>
          <w:tcPr>
            <w:tcW w:w="2096" w:type="dxa"/>
            <w:shd w:val="clear" w:color="auto" w:fill="D9D9D9"/>
          </w:tcPr>
          <w:p w14:paraId="0FB0B851" w14:textId="77777777" w:rsidR="00161ABF" w:rsidRDefault="00161ABF" w:rsidP="00161ABF">
            <w:pPr>
              <w:pStyle w:val="TableParagraph"/>
              <w:spacing w:before="120"/>
              <w:ind w:left="107"/>
              <w:rPr>
                <w:rFonts w:ascii="Arial"/>
                <w:b/>
              </w:rPr>
            </w:pPr>
            <w:r>
              <w:rPr>
                <w:rFonts w:ascii="Arial"/>
                <w:b/>
              </w:rPr>
              <w:t>Module</w:t>
            </w:r>
            <w:r>
              <w:rPr>
                <w:rFonts w:ascii="Arial"/>
                <w:b/>
                <w:spacing w:val="-8"/>
              </w:rPr>
              <w:t xml:space="preserve"> </w:t>
            </w:r>
            <w:r>
              <w:rPr>
                <w:rFonts w:ascii="Arial"/>
                <w:b/>
                <w:spacing w:val="-2"/>
              </w:rPr>
              <w:t>code:</w:t>
            </w:r>
          </w:p>
        </w:tc>
        <w:tc>
          <w:tcPr>
            <w:tcW w:w="3293" w:type="dxa"/>
          </w:tcPr>
          <w:p w14:paraId="099BAB29" w14:textId="77777777" w:rsidR="00161ABF" w:rsidRDefault="00161ABF" w:rsidP="00161ABF">
            <w:pPr>
              <w:pStyle w:val="TableParagraph"/>
              <w:spacing w:before="120"/>
              <w:ind w:left="105"/>
              <w:rPr>
                <w:rFonts w:ascii="Arial"/>
                <w:b/>
              </w:rPr>
            </w:pPr>
            <w:r>
              <w:rPr>
                <w:rFonts w:ascii="Arial"/>
                <w:b/>
                <w:spacing w:val="-2"/>
              </w:rPr>
              <w:t>BMIH5005</w:t>
            </w:r>
          </w:p>
        </w:tc>
        <w:tc>
          <w:tcPr>
            <w:tcW w:w="2268" w:type="dxa"/>
            <w:shd w:val="clear" w:color="auto" w:fill="D9D9D9"/>
          </w:tcPr>
          <w:p w14:paraId="3401EC0F" w14:textId="77777777" w:rsidR="00161ABF" w:rsidRDefault="00161ABF" w:rsidP="00161ABF">
            <w:pPr>
              <w:pStyle w:val="TableParagraph"/>
              <w:spacing w:before="240" w:line="276" w:lineRule="auto"/>
              <w:ind w:left="107"/>
              <w:rPr>
                <w:rFonts w:ascii="Arial"/>
                <w:b/>
                <w:i/>
              </w:rPr>
            </w:pPr>
            <w:r>
              <w:rPr>
                <w:rFonts w:ascii="Arial"/>
                <w:b/>
                <w:i/>
              </w:rPr>
              <w:t>Contribution to Overall Module Assessment</w:t>
            </w:r>
            <w:r>
              <w:rPr>
                <w:rFonts w:ascii="Arial"/>
                <w:b/>
                <w:i/>
                <w:spacing w:val="-16"/>
              </w:rPr>
              <w:t xml:space="preserve"> </w:t>
            </w:r>
            <w:r>
              <w:rPr>
                <w:rFonts w:ascii="Arial"/>
                <w:b/>
                <w:i/>
              </w:rPr>
              <w:t>(%):</w:t>
            </w:r>
          </w:p>
        </w:tc>
        <w:tc>
          <w:tcPr>
            <w:tcW w:w="2268" w:type="dxa"/>
          </w:tcPr>
          <w:p w14:paraId="48C9BCB6" w14:textId="77777777" w:rsidR="00161ABF" w:rsidRDefault="00161ABF" w:rsidP="00161ABF">
            <w:pPr>
              <w:pStyle w:val="TableParagraph"/>
              <w:spacing w:before="120"/>
              <w:ind w:left="108"/>
              <w:rPr>
                <w:rFonts w:ascii="Arial"/>
                <w:b/>
              </w:rPr>
            </w:pPr>
            <w:r>
              <w:rPr>
                <w:rFonts w:ascii="Arial"/>
                <w:b/>
                <w:spacing w:val="-5"/>
              </w:rPr>
              <w:t>50</w:t>
            </w:r>
          </w:p>
        </w:tc>
      </w:tr>
      <w:tr w:rsidR="00161ABF" w14:paraId="5CFD1A04" w14:textId="77777777" w:rsidTr="00161ABF">
        <w:trPr>
          <w:trHeight w:val="581"/>
        </w:trPr>
        <w:tc>
          <w:tcPr>
            <w:tcW w:w="2096" w:type="dxa"/>
            <w:shd w:val="clear" w:color="auto" w:fill="D9D9D9"/>
          </w:tcPr>
          <w:p w14:paraId="48C2F9D6" w14:textId="77777777" w:rsidR="00161ABF" w:rsidRDefault="00161ABF" w:rsidP="00161ABF">
            <w:pPr>
              <w:pStyle w:val="TableParagraph"/>
              <w:spacing w:before="120"/>
              <w:ind w:left="107"/>
              <w:rPr>
                <w:rFonts w:ascii="Arial"/>
                <w:b/>
              </w:rPr>
            </w:pPr>
            <w:r>
              <w:rPr>
                <w:rFonts w:ascii="Arial"/>
                <w:b/>
                <w:spacing w:val="-2"/>
              </w:rPr>
              <w:t>Lecturer:</w:t>
            </w:r>
          </w:p>
        </w:tc>
        <w:tc>
          <w:tcPr>
            <w:tcW w:w="3293" w:type="dxa"/>
          </w:tcPr>
          <w:p w14:paraId="7AF7739C" w14:textId="77777777" w:rsidR="00161ABF" w:rsidRDefault="00161ABF" w:rsidP="00161ABF">
            <w:pPr>
              <w:pStyle w:val="TableParagraph"/>
              <w:ind w:left="105"/>
              <w:rPr>
                <w:rFonts w:ascii="Arial"/>
                <w:b/>
              </w:rPr>
            </w:pPr>
            <w:r>
              <w:rPr>
                <w:rFonts w:ascii="Arial"/>
                <w:b/>
              </w:rPr>
              <w:t>Helen</w:t>
            </w:r>
            <w:r>
              <w:rPr>
                <w:rFonts w:ascii="Arial"/>
                <w:b/>
                <w:spacing w:val="-2"/>
              </w:rPr>
              <w:t xml:space="preserve"> </w:t>
            </w:r>
            <w:r>
              <w:rPr>
                <w:rFonts w:ascii="Arial"/>
                <w:b/>
                <w:spacing w:val="-5"/>
              </w:rPr>
              <w:t>Lee</w:t>
            </w:r>
          </w:p>
        </w:tc>
        <w:tc>
          <w:tcPr>
            <w:tcW w:w="2268" w:type="dxa"/>
            <w:shd w:val="clear" w:color="auto" w:fill="D9D9D9"/>
          </w:tcPr>
          <w:p w14:paraId="021B24F5" w14:textId="77777777" w:rsidR="00161ABF" w:rsidRDefault="00161ABF" w:rsidP="00161ABF">
            <w:pPr>
              <w:pStyle w:val="TableParagraph"/>
              <w:spacing w:before="120"/>
              <w:ind w:left="107"/>
              <w:rPr>
                <w:rFonts w:ascii="Arial"/>
                <w:b/>
              </w:rPr>
            </w:pPr>
            <w:r>
              <w:rPr>
                <w:rFonts w:ascii="Arial"/>
                <w:b/>
              </w:rPr>
              <w:t>Internal</w:t>
            </w:r>
            <w:r>
              <w:rPr>
                <w:rFonts w:ascii="Arial"/>
                <w:b/>
                <w:spacing w:val="-6"/>
              </w:rPr>
              <w:t xml:space="preserve"> </w:t>
            </w:r>
            <w:r>
              <w:rPr>
                <w:rFonts w:ascii="Arial"/>
                <w:b/>
                <w:spacing w:val="-2"/>
              </w:rPr>
              <w:t>Verifier:</w:t>
            </w:r>
          </w:p>
        </w:tc>
        <w:tc>
          <w:tcPr>
            <w:tcW w:w="2268" w:type="dxa"/>
          </w:tcPr>
          <w:p w14:paraId="66657317" w14:textId="77777777" w:rsidR="00161ABF" w:rsidRDefault="00161ABF" w:rsidP="00161ABF">
            <w:pPr>
              <w:pStyle w:val="TableParagraph"/>
              <w:spacing w:before="120"/>
              <w:ind w:left="108"/>
              <w:rPr>
                <w:rFonts w:ascii="Arial"/>
                <w:b/>
              </w:rPr>
            </w:pPr>
            <w:r>
              <w:rPr>
                <w:rFonts w:ascii="Arial"/>
                <w:b/>
              </w:rPr>
              <w:t>Kathryn</w:t>
            </w:r>
            <w:r>
              <w:rPr>
                <w:rFonts w:ascii="Arial"/>
                <w:b/>
                <w:spacing w:val="-2"/>
              </w:rPr>
              <w:t xml:space="preserve"> Roberts</w:t>
            </w:r>
          </w:p>
        </w:tc>
      </w:tr>
      <w:tr w:rsidR="00161ABF" w14:paraId="293DEB1B" w14:textId="77777777" w:rsidTr="00161ABF">
        <w:trPr>
          <w:trHeight w:val="2327"/>
        </w:trPr>
        <w:tc>
          <w:tcPr>
            <w:tcW w:w="2096" w:type="dxa"/>
            <w:shd w:val="clear" w:color="auto" w:fill="D9D9D9"/>
          </w:tcPr>
          <w:p w14:paraId="74DBE211" w14:textId="77777777" w:rsidR="00161ABF" w:rsidRDefault="00161ABF" w:rsidP="00161ABF">
            <w:pPr>
              <w:pStyle w:val="TableParagraph"/>
              <w:spacing w:before="120"/>
              <w:ind w:left="107"/>
              <w:rPr>
                <w:rFonts w:ascii="Arial"/>
                <w:b/>
              </w:rPr>
            </w:pPr>
            <w:r>
              <w:rPr>
                <w:rFonts w:ascii="Arial"/>
                <w:b/>
              </w:rPr>
              <w:t>Assignment</w:t>
            </w:r>
            <w:r>
              <w:rPr>
                <w:rFonts w:ascii="Arial"/>
                <w:b/>
                <w:spacing w:val="-9"/>
              </w:rPr>
              <w:t xml:space="preserve"> </w:t>
            </w:r>
            <w:r>
              <w:rPr>
                <w:rFonts w:ascii="Arial"/>
                <w:b/>
                <w:spacing w:val="-2"/>
              </w:rPr>
              <w:t>Title:</w:t>
            </w:r>
          </w:p>
        </w:tc>
        <w:tc>
          <w:tcPr>
            <w:tcW w:w="3293" w:type="dxa"/>
          </w:tcPr>
          <w:p w14:paraId="327CA57B" w14:textId="77777777" w:rsidR="00161ABF" w:rsidRDefault="00161ABF" w:rsidP="00161ABF">
            <w:pPr>
              <w:pStyle w:val="TableParagraph"/>
              <w:spacing w:line="276" w:lineRule="auto"/>
              <w:ind w:left="105" w:right="95"/>
              <w:jc w:val="both"/>
              <w:rPr>
                <w:sz w:val="24"/>
              </w:rPr>
            </w:pPr>
            <w:r>
              <w:rPr>
                <w:rFonts w:ascii="Arial" w:hAnsi="Arial"/>
                <w:b/>
              </w:rPr>
              <w:t xml:space="preserve">Research Project Proposal – </w:t>
            </w:r>
            <w:r>
              <w:rPr>
                <w:sz w:val="24"/>
              </w:rPr>
              <w:t>Analyse</w:t>
            </w:r>
            <w:r>
              <w:rPr>
                <w:spacing w:val="-17"/>
                <w:sz w:val="24"/>
              </w:rPr>
              <w:t xml:space="preserve"> </w:t>
            </w:r>
            <w:r>
              <w:rPr>
                <w:sz w:val="24"/>
              </w:rPr>
              <w:t>the</w:t>
            </w:r>
            <w:r>
              <w:rPr>
                <w:spacing w:val="-17"/>
                <w:sz w:val="24"/>
              </w:rPr>
              <w:t xml:space="preserve"> </w:t>
            </w:r>
            <w:r>
              <w:rPr>
                <w:sz w:val="24"/>
              </w:rPr>
              <w:t>impacts</w:t>
            </w:r>
            <w:r>
              <w:rPr>
                <w:spacing w:val="-16"/>
                <w:sz w:val="24"/>
              </w:rPr>
              <w:t xml:space="preserve"> </w:t>
            </w:r>
            <w:r>
              <w:rPr>
                <w:sz w:val="24"/>
              </w:rPr>
              <w:t>of</w:t>
            </w:r>
            <w:r>
              <w:rPr>
                <w:spacing w:val="-17"/>
                <w:sz w:val="24"/>
              </w:rPr>
              <w:t xml:space="preserve"> </w:t>
            </w:r>
            <w:r>
              <w:rPr>
                <w:sz w:val="24"/>
              </w:rPr>
              <w:t>socio- economic force on employees’ performance management</w:t>
            </w:r>
            <w:r>
              <w:rPr>
                <w:spacing w:val="-6"/>
                <w:sz w:val="24"/>
              </w:rPr>
              <w:t xml:space="preserve"> </w:t>
            </w:r>
            <w:r>
              <w:rPr>
                <w:sz w:val="24"/>
              </w:rPr>
              <w:t>and</w:t>
            </w:r>
            <w:r>
              <w:rPr>
                <w:spacing w:val="-7"/>
                <w:sz w:val="24"/>
              </w:rPr>
              <w:t xml:space="preserve"> </w:t>
            </w:r>
            <w:r>
              <w:rPr>
                <w:sz w:val="24"/>
              </w:rPr>
              <w:t>monitoring in different work modes : Hospitality HR’s perspective</w:t>
            </w:r>
          </w:p>
        </w:tc>
        <w:tc>
          <w:tcPr>
            <w:tcW w:w="2268" w:type="dxa"/>
            <w:shd w:val="clear" w:color="auto" w:fill="D9D9D9"/>
          </w:tcPr>
          <w:p w14:paraId="72E52A89" w14:textId="77777777" w:rsidR="00161ABF" w:rsidRDefault="00161ABF" w:rsidP="00161ABF">
            <w:pPr>
              <w:pStyle w:val="TableParagraph"/>
              <w:tabs>
                <w:tab w:val="left" w:pos="971"/>
                <w:tab w:val="left" w:pos="1866"/>
              </w:tabs>
              <w:spacing w:before="120" w:line="276" w:lineRule="auto"/>
              <w:ind w:left="107" w:right="94"/>
              <w:rPr>
                <w:rFonts w:ascii="Arial"/>
                <w:b/>
              </w:rPr>
            </w:pPr>
            <w:r>
              <w:rPr>
                <w:rFonts w:ascii="Arial"/>
                <w:b/>
                <w:spacing w:val="-4"/>
              </w:rPr>
              <w:t>Word</w:t>
            </w:r>
            <w:r>
              <w:rPr>
                <w:rFonts w:ascii="Arial"/>
                <w:b/>
              </w:rPr>
              <w:tab/>
            </w:r>
            <w:r>
              <w:rPr>
                <w:rFonts w:ascii="Arial"/>
                <w:b/>
                <w:spacing w:val="-4"/>
              </w:rPr>
              <w:t>count</w:t>
            </w:r>
            <w:r>
              <w:rPr>
                <w:rFonts w:ascii="Arial"/>
                <w:b/>
              </w:rPr>
              <w:tab/>
            </w:r>
            <w:r>
              <w:rPr>
                <w:rFonts w:ascii="Arial"/>
                <w:b/>
                <w:spacing w:val="-4"/>
              </w:rPr>
              <w:t xml:space="preserve">(or </w:t>
            </w:r>
            <w:r>
              <w:rPr>
                <w:rFonts w:ascii="Arial"/>
                <w:b/>
                <w:spacing w:val="-2"/>
              </w:rPr>
              <w:t>equivalent):</w:t>
            </w:r>
          </w:p>
        </w:tc>
        <w:tc>
          <w:tcPr>
            <w:tcW w:w="2268" w:type="dxa"/>
          </w:tcPr>
          <w:p w14:paraId="5C9DB537" w14:textId="16BB5316" w:rsidR="00161ABF" w:rsidRDefault="00161ABF" w:rsidP="00161ABF">
            <w:pPr>
              <w:pStyle w:val="TableParagraph"/>
              <w:spacing w:before="120"/>
              <w:ind w:left="108"/>
              <w:rPr>
                <w:rFonts w:ascii="Arial"/>
                <w:b/>
              </w:rPr>
            </w:pPr>
          </w:p>
        </w:tc>
      </w:tr>
      <w:tr w:rsidR="00161ABF" w14:paraId="67DC95DE" w14:textId="77777777" w:rsidTr="00161ABF">
        <w:trPr>
          <w:trHeight w:val="1329"/>
        </w:trPr>
        <w:tc>
          <w:tcPr>
            <w:tcW w:w="2096" w:type="dxa"/>
            <w:shd w:val="clear" w:color="auto" w:fill="D9D9D9"/>
          </w:tcPr>
          <w:p w14:paraId="47712268" w14:textId="77777777" w:rsidR="00161ABF" w:rsidRDefault="00161ABF" w:rsidP="00161ABF">
            <w:pPr>
              <w:pStyle w:val="TableParagraph"/>
              <w:spacing w:before="120" w:line="278" w:lineRule="auto"/>
              <w:ind w:left="107"/>
              <w:rPr>
                <w:rFonts w:ascii="Arial"/>
                <w:b/>
              </w:rPr>
            </w:pPr>
            <w:r>
              <w:rPr>
                <w:rFonts w:ascii="Arial"/>
                <w:b/>
                <w:spacing w:val="-2"/>
              </w:rPr>
              <w:t>Submission deadline:</w:t>
            </w:r>
          </w:p>
        </w:tc>
        <w:tc>
          <w:tcPr>
            <w:tcW w:w="3293" w:type="dxa"/>
          </w:tcPr>
          <w:p w14:paraId="5A41C114" w14:textId="77777777" w:rsidR="00161ABF" w:rsidRDefault="00161ABF" w:rsidP="00161ABF">
            <w:pPr>
              <w:pStyle w:val="TableParagraph"/>
              <w:ind w:left="105"/>
              <w:rPr>
                <w:rFonts w:ascii="Arial"/>
                <w:b/>
              </w:rPr>
            </w:pPr>
            <w:r>
              <w:rPr>
                <w:rFonts w:ascii="Arial"/>
                <w:b/>
              </w:rPr>
              <w:t>Monday</w:t>
            </w:r>
            <w:r>
              <w:rPr>
                <w:rFonts w:ascii="Arial"/>
                <w:b/>
                <w:spacing w:val="-3"/>
              </w:rPr>
              <w:t xml:space="preserve"> </w:t>
            </w:r>
            <w:r>
              <w:rPr>
                <w:rFonts w:ascii="Arial"/>
                <w:b/>
              </w:rPr>
              <w:t>4</w:t>
            </w:r>
            <w:r>
              <w:rPr>
                <w:rFonts w:ascii="Arial"/>
                <w:b/>
                <w:vertAlign w:val="superscript"/>
              </w:rPr>
              <w:t>th</w:t>
            </w:r>
            <w:r>
              <w:rPr>
                <w:rFonts w:ascii="Arial"/>
                <w:b/>
                <w:spacing w:val="-3"/>
              </w:rPr>
              <w:t xml:space="preserve"> </w:t>
            </w:r>
            <w:r>
              <w:rPr>
                <w:rFonts w:ascii="Arial"/>
                <w:b/>
              </w:rPr>
              <w:t>March</w:t>
            </w:r>
            <w:r>
              <w:rPr>
                <w:rFonts w:ascii="Arial"/>
                <w:b/>
                <w:spacing w:val="-3"/>
              </w:rPr>
              <w:t xml:space="preserve"> </w:t>
            </w:r>
            <w:r>
              <w:rPr>
                <w:rFonts w:ascii="Arial"/>
                <w:b/>
              </w:rPr>
              <w:t>2024</w:t>
            </w:r>
            <w:r>
              <w:rPr>
                <w:rFonts w:ascii="Arial"/>
                <w:b/>
                <w:spacing w:val="-5"/>
              </w:rPr>
              <w:t xml:space="preserve"> </w:t>
            </w:r>
            <w:r>
              <w:rPr>
                <w:rFonts w:ascii="Arial"/>
                <w:b/>
                <w:spacing w:val="-4"/>
              </w:rPr>
              <w:t>23.59</w:t>
            </w:r>
          </w:p>
          <w:p w14:paraId="2798F92E" w14:textId="77777777" w:rsidR="00161ABF" w:rsidRDefault="00161ABF" w:rsidP="00161ABF">
            <w:pPr>
              <w:pStyle w:val="TableParagraph"/>
              <w:spacing w:before="120"/>
            </w:pPr>
          </w:p>
          <w:p w14:paraId="329C162E" w14:textId="77777777" w:rsidR="00161ABF" w:rsidRDefault="00161ABF" w:rsidP="00161ABF">
            <w:pPr>
              <w:pStyle w:val="TableParagraph"/>
              <w:spacing w:line="276" w:lineRule="auto"/>
              <w:ind w:left="105"/>
              <w:rPr>
                <w:rFonts w:ascii="Arial"/>
                <w:b/>
              </w:rPr>
            </w:pPr>
            <w:r>
              <w:rPr>
                <w:rFonts w:ascii="Arial"/>
                <w:b/>
              </w:rPr>
              <w:t>Assessment</w:t>
            </w:r>
            <w:r>
              <w:rPr>
                <w:rFonts w:ascii="Arial"/>
                <w:b/>
                <w:spacing w:val="-12"/>
              </w:rPr>
              <w:t xml:space="preserve"> </w:t>
            </w:r>
            <w:r>
              <w:rPr>
                <w:rFonts w:ascii="Arial"/>
                <w:b/>
              </w:rPr>
              <w:t>drop</w:t>
            </w:r>
            <w:r>
              <w:rPr>
                <w:rFonts w:ascii="Arial"/>
                <w:b/>
                <w:spacing w:val="-15"/>
              </w:rPr>
              <w:t xml:space="preserve"> </w:t>
            </w:r>
            <w:r>
              <w:rPr>
                <w:rFonts w:ascii="Arial"/>
                <w:b/>
              </w:rPr>
              <w:t>ins</w:t>
            </w:r>
            <w:r>
              <w:rPr>
                <w:rFonts w:ascii="Arial"/>
                <w:b/>
                <w:spacing w:val="-15"/>
              </w:rPr>
              <w:t xml:space="preserve"> </w:t>
            </w:r>
            <w:r>
              <w:rPr>
                <w:rFonts w:ascii="Arial"/>
                <w:b/>
              </w:rPr>
              <w:t>WC</w:t>
            </w:r>
            <w:r>
              <w:rPr>
                <w:rFonts w:ascii="Arial"/>
                <w:b/>
                <w:spacing w:val="-11"/>
              </w:rPr>
              <w:t xml:space="preserve"> </w:t>
            </w:r>
            <w:r>
              <w:rPr>
                <w:rFonts w:ascii="Arial"/>
                <w:b/>
              </w:rPr>
              <w:t>26</w:t>
            </w:r>
            <w:r>
              <w:rPr>
                <w:rFonts w:ascii="Arial"/>
                <w:b/>
                <w:vertAlign w:val="superscript"/>
              </w:rPr>
              <w:t>th</w:t>
            </w:r>
            <w:r>
              <w:rPr>
                <w:rFonts w:ascii="Arial"/>
                <w:b/>
              </w:rPr>
              <w:t xml:space="preserve"> February 2024</w:t>
            </w:r>
          </w:p>
        </w:tc>
        <w:tc>
          <w:tcPr>
            <w:tcW w:w="2268" w:type="dxa"/>
            <w:shd w:val="clear" w:color="auto" w:fill="D9D9D9"/>
          </w:tcPr>
          <w:p w14:paraId="290BAC98" w14:textId="77777777" w:rsidR="00161ABF" w:rsidRDefault="00161ABF" w:rsidP="00161ABF">
            <w:pPr>
              <w:pStyle w:val="TableParagraph"/>
              <w:spacing w:before="120" w:line="276" w:lineRule="auto"/>
              <w:ind w:left="107" w:right="94"/>
              <w:jc w:val="both"/>
              <w:rPr>
                <w:rFonts w:ascii="Arial"/>
                <w:b/>
              </w:rPr>
            </w:pPr>
            <w:r>
              <w:rPr>
                <w:rFonts w:ascii="Arial"/>
                <w:b/>
              </w:rPr>
              <w:t>Return date of provisional marks &amp;</w:t>
            </w:r>
            <w:r>
              <w:rPr>
                <w:rFonts w:ascii="Arial"/>
                <w:b/>
                <w:spacing w:val="-3"/>
              </w:rPr>
              <w:t xml:space="preserve"> </w:t>
            </w:r>
            <w:r>
              <w:rPr>
                <w:rFonts w:ascii="Arial"/>
                <w:b/>
              </w:rPr>
              <w:t>written</w:t>
            </w:r>
            <w:r>
              <w:rPr>
                <w:rFonts w:ascii="Arial"/>
                <w:b/>
                <w:spacing w:val="-4"/>
              </w:rPr>
              <w:t xml:space="preserve"> </w:t>
            </w:r>
            <w:r>
              <w:rPr>
                <w:rFonts w:ascii="Arial"/>
                <w:b/>
                <w:spacing w:val="-2"/>
              </w:rPr>
              <w:t>feedback:</w:t>
            </w:r>
          </w:p>
        </w:tc>
        <w:tc>
          <w:tcPr>
            <w:tcW w:w="2268" w:type="dxa"/>
          </w:tcPr>
          <w:p w14:paraId="3FE8FA71" w14:textId="77777777" w:rsidR="00161ABF" w:rsidRDefault="00161ABF" w:rsidP="00161ABF">
            <w:pPr>
              <w:pStyle w:val="TableParagraph"/>
              <w:spacing w:before="120"/>
              <w:ind w:left="108"/>
              <w:rPr>
                <w:rFonts w:ascii="Arial"/>
                <w:b/>
              </w:rPr>
            </w:pPr>
            <w:r>
              <w:rPr>
                <w:rFonts w:ascii="Arial"/>
                <w:b/>
              </w:rPr>
              <w:t>3</w:t>
            </w:r>
            <w:r>
              <w:rPr>
                <w:rFonts w:ascii="Arial"/>
                <w:b/>
                <w:vertAlign w:val="superscript"/>
              </w:rPr>
              <w:t>rd</w:t>
            </w:r>
            <w:r>
              <w:rPr>
                <w:rFonts w:ascii="Arial"/>
                <w:b/>
                <w:spacing w:val="-3"/>
              </w:rPr>
              <w:t xml:space="preserve"> </w:t>
            </w:r>
            <w:r>
              <w:rPr>
                <w:rFonts w:ascii="Arial"/>
                <w:b/>
              </w:rPr>
              <w:t>April</w:t>
            </w:r>
            <w:r>
              <w:rPr>
                <w:rFonts w:ascii="Arial"/>
                <w:b/>
                <w:spacing w:val="-4"/>
              </w:rPr>
              <w:t xml:space="preserve"> 2024</w:t>
            </w:r>
          </w:p>
        </w:tc>
      </w:tr>
    </w:tbl>
    <w:p w14:paraId="57E2CD9E" w14:textId="7D6B7916" w:rsidR="001834FC" w:rsidRPr="00161ABF" w:rsidRDefault="006E4620" w:rsidP="00161ABF">
      <w:pPr>
        <w:spacing w:before="240"/>
        <w:jc w:val="center"/>
        <w:rPr>
          <w:rFonts w:eastAsia="Calibri" w:cs="Arial"/>
          <w:b/>
          <w:bCs/>
          <w:noProof/>
          <w:color w:val="auto"/>
          <w:kern w:val="2"/>
          <w:szCs w:val="24"/>
          <w14:ligatures w14:val="standardContextual"/>
        </w:rPr>
      </w:pPr>
      <w:r>
        <w:rPr>
          <w:rFonts w:eastAsia="Calibri" w:cs="Arial"/>
          <w:b/>
          <w:bCs/>
          <w:noProof/>
          <w:color w:val="auto"/>
          <w:kern w:val="2"/>
          <w:szCs w:val="24"/>
          <w14:ligatures w14:val="standardContextual"/>
        </w:rPr>
        <w:t>Research Project Proposal</w:t>
      </w:r>
    </w:p>
    <w:p w14:paraId="3C67747A" w14:textId="77777777" w:rsidR="001834FC" w:rsidRDefault="001834FC">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rFonts w:ascii="Arial" w:hAnsi="Arial"/>
          <w:b/>
          <w:bCs/>
          <w:noProof/>
        </w:rPr>
      </w:sdtEndPr>
      <w:sdtContent>
        <w:p w14:paraId="5358D54C" w14:textId="28855B5F" w:rsidR="001834FC" w:rsidRDefault="001834FC">
          <w:pPr>
            <w:pStyle w:val="TOCHeading"/>
          </w:pPr>
          <w:r>
            <w:t>Table of Contents</w:t>
          </w:r>
        </w:p>
        <w:p w14:paraId="43CE1EE1" w14:textId="5C5CECED" w:rsidR="00161ABF" w:rsidRDefault="001834FC">
          <w:pPr>
            <w:pStyle w:val="TOC1"/>
            <w:tabs>
              <w:tab w:val="right" w:leader="dot" w:pos="9016"/>
            </w:tabs>
            <w:rPr>
              <w:rFonts w:asciiTheme="minorHAnsi" w:eastAsiaTheme="minorEastAsia" w:hAnsiTheme="minorHAnsi"/>
              <w:noProof/>
              <w:color w:val="auto"/>
              <w:sz w:val="22"/>
              <w:lang w:val="en-US"/>
            </w:rPr>
          </w:pPr>
          <w:r>
            <w:rPr>
              <w:b/>
              <w:bCs/>
              <w:noProof/>
            </w:rPr>
            <w:fldChar w:fldCharType="begin"/>
          </w:r>
          <w:r>
            <w:rPr>
              <w:b/>
              <w:bCs/>
              <w:noProof/>
            </w:rPr>
            <w:instrText xml:space="preserve"> TOC \o "1-3" \h \z \u </w:instrText>
          </w:r>
          <w:r>
            <w:rPr>
              <w:b/>
              <w:bCs/>
              <w:noProof/>
            </w:rPr>
            <w:fldChar w:fldCharType="separate"/>
          </w:r>
          <w:hyperlink w:anchor="_Toc156855663" w:history="1">
            <w:r w:rsidR="00161ABF" w:rsidRPr="00F902A4">
              <w:rPr>
                <w:rStyle w:val="Hyperlink"/>
                <w:noProof/>
              </w:rPr>
              <w:t>Introduction and Background</w:t>
            </w:r>
            <w:r w:rsidR="00161ABF">
              <w:rPr>
                <w:noProof/>
                <w:webHidden/>
              </w:rPr>
              <w:tab/>
            </w:r>
            <w:r w:rsidR="00161ABF">
              <w:rPr>
                <w:noProof/>
                <w:webHidden/>
              </w:rPr>
              <w:fldChar w:fldCharType="begin"/>
            </w:r>
            <w:r w:rsidR="00161ABF">
              <w:rPr>
                <w:noProof/>
                <w:webHidden/>
              </w:rPr>
              <w:instrText xml:space="preserve"> PAGEREF _Toc156855663 \h </w:instrText>
            </w:r>
            <w:r w:rsidR="00161ABF">
              <w:rPr>
                <w:noProof/>
                <w:webHidden/>
              </w:rPr>
            </w:r>
            <w:r w:rsidR="00161ABF">
              <w:rPr>
                <w:noProof/>
                <w:webHidden/>
              </w:rPr>
              <w:fldChar w:fldCharType="separate"/>
            </w:r>
            <w:r w:rsidR="00161ABF">
              <w:rPr>
                <w:noProof/>
                <w:webHidden/>
              </w:rPr>
              <w:t>1</w:t>
            </w:r>
            <w:r w:rsidR="00161ABF">
              <w:rPr>
                <w:noProof/>
                <w:webHidden/>
              </w:rPr>
              <w:fldChar w:fldCharType="end"/>
            </w:r>
          </w:hyperlink>
        </w:p>
        <w:p w14:paraId="55838570" w14:textId="28C9A837" w:rsidR="00161ABF" w:rsidRDefault="00000000">
          <w:pPr>
            <w:pStyle w:val="TOC1"/>
            <w:tabs>
              <w:tab w:val="right" w:leader="dot" w:pos="9016"/>
            </w:tabs>
            <w:rPr>
              <w:rFonts w:asciiTheme="minorHAnsi" w:eastAsiaTheme="minorEastAsia" w:hAnsiTheme="minorHAnsi"/>
              <w:noProof/>
              <w:color w:val="auto"/>
              <w:sz w:val="22"/>
              <w:lang w:val="en-US"/>
            </w:rPr>
          </w:pPr>
          <w:hyperlink w:anchor="_Toc156855664" w:history="1">
            <w:r w:rsidR="00161ABF" w:rsidRPr="00F902A4">
              <w:rPr>
                <w:rStyle w:val="Hyperlink"/>
                <w:noProof/>
              </w:rPr>
              <w:t>1. Literature Review</w:t>
            </w:r>
            <w:r w:rsidR="00161ABF">
              <w:rPr>
                <w:noProof/>
                <w:webHidden/>
              </w:rPr>
              <w:tab/>
            </w:r>
            <w:r w:rsidR="00161ABF">
              <w:rPr>
                <w:noProof/>
                <w:webHidden/>
              </w:rPr>
              <w:fldChar w:fldCharType="begin"/>
            </w:r>
            <w:r w:rsidR="00161ABF">
              <w:rPr>
                <w:noProof/>
                <w:webHidden/>
              </w:rPr>
              <w:instrText xml:space="preserve"> PAGEREF _Toc156855664 \h </w:instrText>
            </w:r>
            <w:r w:rsidR="00161ABF">
              <w:rPr>
                <w:noProof/>
                <w:webHidden/>
              </w:rPr>
            </w:r>
            <w:r w:rsidR="00161ABF">
              <w:rPr>
                <w:noProof/>
                <w:webHidden/>
              </w:rPr>
              <w:fldChar w:fldCharType="separate"/>
            </w:r>
            <w:r w:rsidR="00161ABF">
              <w:rPr>
                <w:noProof/>
                <w:webHidden/>
              </w:rPr>
              <w:t>3</w:t>
            </w:r>
            <w:r w:rsidR="00161ABF">
              <w:rPr>
                <w:noProof/>
                <w:webHidden/>
              </w:rPr>
              <w:fldChar w:fldCharType="end"/>
            </w:r>
          </w:hyperlink>
        </w:p>
        <w:p w14:paraId="31A30283" w14:textId="5F7078F5" w:rsidR="00161ABF" w:rsidRDefault="00000000">
          <w:pPr>
            <w:pStyle w:val="TOC2"/>
            <w:tabs>
              <w:tab w:val="right" w:leader="dot" w:pos="9016"/>
            </w:tabs>
            <w:rPr>
              <w:rFonts w:asciiTheme="minorHAnsi" w:eastAsiaTheme="minorEastAsia" w:hAnsiTheme="minorHAnsi"/>
              <w:noProof/>
              <w:color w:val="auto"/>
              <w:sz w:val="22"/>
              <w:lang w:val="en-US"/>
            </w:rPr>
          </w:pPr>
          <w:hyperlink w:anchor="_Toc156855665" w:history="1">
            <w:r w:rsidR="00161ABF" w:rsidRPr="00F902A4">
              <w:rPr>
                <w:rStyle w:val="Hyperlink"/>
                <w:noProof/>
              </w:rPr>
              <w:t>1.1 Pestle Analysis</w:t>
            </w:r>
            <w:r w:rsidR="00161ABF">
              <w:rPr>
                <w:noProof/>
                <w:webHidden/>
              </w:rPr>
              <w:tab/>
            </w:r>
            <w:r w:rsidR="00161ABF">
              <w:rPr>
                <w:noProof/>
                <w:webHidden/>
              </w:rPr>
              <w:fldChar w:fldCharType="begin"/>
            </w:r>
            <w:r w:rsidR="00161ABF">
              <w:rPr>
                <w:noProof/>
                <w:webHidden/>
              </w:rPr>
              <w:instrText xml:space="preserve"> PAGEREF _Toc156855665 \h </w:instrText>
            </w:r>
            <w:r w:rsidR="00161ABF">
              <w:rPr>
                <w:noProof/>
                <w:webHidden/>
              </w:rPr>
            </w:r>
            <w:r w:rsidR="00161ABF">
              <w:rPr>
                <w:noProof/>
                <w:webHidden/>
              </w:rPr>
              <w:fldChar w:fldCharType="separate"/>
            </w:r>
            <w:r w:rsidR="00161ABF">
              <w:rPr>
                <w:noProof/>
                <w:webHidden/>
              </w:rPr>
              <w:t>4</w:t>
            </w:r>
            <w:r w:rsidR="00161ABF">
              <w:rPr>
                <w:noProof/>
                <w:webHidden/>
              </w:rPr>
              <w:fldChar w:fldCharType="end"/>
            </w:r>
          </w:hyperlink>
        </w:p>
        <w:p w14:paraId="55A439D9" w14:textId="00FA5F21" w:rsidR="00161ABF" w:rsidRDefault="00000000">
          <w:pPr>
            <w:pStyle w:val="TOC2"/>
            <w:tabs>
              <w:tab w:val="right" w:leader="dot" w:pos="9016"/>
            </w:tabs>
            <w:rPr>
              <w:rFonts w:asciiTheme="minorHAnsi" w:eastAsiaTheme="minorEastAsia" w:hAnsiTheme="minorHAnsi"/>
              <w:noProof/>
              <w:color w:val="auto"/>
              <w:sz w:val="22"/>
              <w:lang w:val="en-US"/>
            </w:rPr>
          </w:pPr>
          <w:hyperlink w:anchor="_Toc156855666" w:history="1">
            <w:r w:rsidR="00161ABF" w:rsidRPr="00F902A4">
              <w:rPr>
                <w:rStyle w:val="Hyperlink"/>
                <w:noProof/>
              </w:rPr>
              <w:t>1.2 Industry Trends</w:t>
            </w:r>
            <w:r w:rsidR="00161ABF">
              <w:rPr>
                <w:noProof/>
                <w:webHidden/>
              </w:rPr>
              <w:tab/>
            </w:r>
            <w:r w:rsidR="00161ABF">
              <w:rPr>
                <w:noProof/>
                <w:webHidden/>
              </w:rPr>
              <w:fldChar w:fldCharType="begin"/>
            </w:r>
            <w:r w:rsidR="00161ABF">
              <w:rPr>
                <w:noProof/>
                <w:webHidden/>
              </w:rPr>
              <w:instrText xml:space="preserve"> PAGEREF _Toc156855666 \h </w:instrText>
            </w:r>
            <w:r w:rsidR="00161ABF">
              <w:rPr>
                <w:noProof/>
                <w:webHidden/>
              </w:rPr>
            </w:r>
            <w:r w:rsidR="00161ABF">
              <w:rPr>
                <w:noProof/>
                <w:webHidden/>
              </w:rPr>
              <w:fldChar w:fldCharType="separate"/>
            </w:r>
            <w:r w:rsidR="00161ABF">
              <w:rPr>
                <w:noProof/>
                <w:webHidden/>
              </w:rPr>
              <w:t>5</w:t>
            </w:r>
            <w:r w:rsidR="00161ABF">
              <w:rPr>
                <w:noProof/>
                <w:webHidden/>
              </w:rPr>
              <w:fldChar w:fldCharType="end"/>
            </w:r>
          </w:hyperlink>
        </w:p>
        <w:p w14:paraId="184C2701" w14:textId="1E007F03" w:rsidR="00161ABF" w:rsidRDefault="00000000">
          <w:pPr>
            <w:pStyle w:val="TOC3"/>
            <w:tabs>
              <w:tab w:val="right" w:leader="dot" w:pos="9016"/>
            </w:tabs>
            <w:rPr>
              <w:rFonts w:asciiTheme="minorHAnsi" w:eastAsiaTheme="minorEastAsia" w:hAnsiTheme="minorHAnsi"/>
              <w:noProof/>
              <w:color w:val="auto"/>
              <w:sz w:val="22"/>
              <w:lang w:val="en-US"/>
            </w:rPr>
          </w:pPr>
          <w:hyperlink w:anchor="_Toc156855667" w:history="1">
            <w:r w:rsidR="00161ABF" w:rsidRPr="00F902A4">
              <w:rPr>
                <w:rStyle w:val="Hyperlink"/>
                <w:noProof/>
              </w:rPr>
              <w:t>1.2.1 Retention Rates</w:t>
            </w:r>
            <w:r w:rsidR="00161ABF">
              <w:rPr>
                <w:noProof/>
                <w:webHidden/>
              </w:rPr>
              <w:tab/>
            </w:r>
            <w:r w:rsidR="00161ABF">
              <w:rPr>
                <w:noProof/>
                <w:webHidden/>
              </w:rPr>
              <w:fldChar w:fldCharType="begin"/>
            </w:r>
            <w:r w:rsidR="00161ABF">
              <w:rPr>
                <w:noProof/>
                <w:webHidden/>
              </w:rPr>
              <w:instrText xml:space="preserve"> PAGEREF _Toc156855667 \h </w:instrText>
            </w:r>
            <w:r w:rsidR="00161ABF">
              <w:rPr>
                <w:noProof/>
                <w:webHidden/>
              </w:rPr>
            </w:r>
            <w:r w:rsidR="00161ABF">
              <w:rPr>
                <w:noProof/>
                <w:webHidden/>
              </w:rPr>
              <w:fldChar w:fldCharType="separate"/>
            </w:r>
            <w:r w:rsidR="00161ABF">
              <w:rPr>
                <w:noProof/>
                <w:webHidden/>
              </w:rPr>
              <w:t>5</w:t>
            </w:r>
            <w:r w:rsidR="00161ABF">
              <w:rPr>
                <w:noProof/>
                <w:webHidden/>
              </w:rPr>
              <w:fldChar w:fldCharType="end"/>
            </w:r>
          </w:hyperlink>
        </w:p>
        <w:p w14:paraId="3C811DCA" w14:textId="609A3470" w:rsidR="00161ABF" w:rsidRDefault="00000000">
          <w:pPr>
            <w:pStyle w:val="TOC3"/>
            <w:tabs>
              <w:tab w:val="right" w:leader="dot" w:pos="9016"/>
            </w:tabs>
            <w:rPr>
              <w:rFonts w:asciiTheme="minorHAnsi" w:eastAsiaTheme="minorEastAsia" w:hAnsiTheme="minorHAnsi"/>
              <w:noProof/>
              <w:color w:val="auto"/>
              <w:sz w:val="22"/>
              <w:lang w:val="en-US"/>
            </w:rPr>
          </w:pPr>
          <w:hyperlink w:anchor="_Toc156855668" w:history="1">
            <w:r w:rsidR="00161ABF" w:rsidRPr="00F902A4">
              <w:rPr>
                <w:rStyle w:val="Hyperlink"/>
                <w:noProof/>
              </w:rPr>
              <w:t>1.2.2 Turnover Rates</w:t>
            </w:r>
            <w:r w:rsidR="00161ABF">
              <w:rPr>
                <w:noProof/>
                <w:webHidden/>
              </w:rPr>
              <w:tab/>
            </w:r>
            <w:r w:rsidR="00161ABF">
              <w:rPr>
                <w:noProof/>
                <w:webHidden/>
              </w:rPr>
              <w:fldChar w:fldCharType="begin"/>
            </w:r>
            <w:r w:rsidR="00161ABF">
              <w:rPr>
                <w:noProof/>
                <w:webHidden/>
              </w:rPr>
              <w:instrText xml:space="preserve"> PAGEREF _Toc156855668 \h </w:instrText>
            </w:r>
            <w:r w:rsidR="00161ABF">
              <w:rPr>
                <w:noProof/>
                <w:webHidden/>
              </w:rPr>
            </w:r>
            <w:r w:rsidR="00161ABF">
              <w:rPr>
                <w:noProof/>
                <w:webHidden/>
              </w:rPr>
              <w:fldChar w:fldCharType="separate"/>
            </w:r>
            <w:r w:rsidR="00161ABF">
              <w:rPr>
                <w:noProof/>
                <w:webHidden/>
              </w:rPr>
              <w:t>5</w:t>
            </w:r>
            <w:r w:rsidR="00161ABF">
              <w:rPr>
                <w:noProof/>
                <w:webHidden/>
              </w:rPr>
              <w:fldChar w:fldCharType="end"/>
            </w:r>
          </w:hyperlink>
        </w:p>
        <w:p w14:paraId="4060B2B6" w14:textId="1CD4B1CD" w:rsidR="00161ABF" w:rsidRDefault="00000000">
          <w:pPr>
            <w:pStyle w:val="TOC2"/>
            <w:tabs>
              <w:tab w:val="right" w:leader="dot" w:pos="9016"/>
            </w:tabs>
            <w:rPr>
              <w:rFonts w:asciiTheme="minorHAnsi" w:eastAsiaTheme="minorEastAsia" w:hAnsiTheme="minorHAnsi"/>
              <w:noProof/>
              <w:color w:val="auto"/>
              <w:sz w:val="22"/>
              <w:lang w:val="en-US"/>
            </w:rPr>
          </w:pPr>
          <w:hyperlink w:anchor="_Toc156855669" w:history="1">
            <w:r w:rsidR="00161ABF" w:rsidRPr="00F902A4">
              <w:rPr>
                <w:rStyle w:val="Hyperlink"/>
                <w:noProof/>
              </w:rPr>
              <w:t>1.3 Different Work Modes in Hospitality</w:t>
            </w:r>
            <w:r w:rsidR="00161ABF">
              <w:rPr>
                <w:noProof/>
                <w:webHidden/>
              </w:rPr>
              <w:tab/>
            </w:r>
            <w:r w:rsidR="00161ABF">
              <w:rPr>
                <w:noProof/>
                <w:webHidden/>
              </w:rPr>
              <w:fldChar w:fldCharType="begin"/>
            </w:r>
            <w:r w:rsidR="00161ABF">
              <w:rPr>
                <w:noProof/>
                <w:webHidden/>
              </w:rPr>
              <w:instrText xml:space="preserve"> PAGEREF _Toc156855669 \h </w:instrText>
            </w:r>
            <w:r w:rsidR="00161ABF">
              <w:rPr>
                <w:noProof/>
                <w:webHidden/>
              </w:rPr>
            </w:r>
            <w:r w:rsidR="00161ABF">
              <w:rPr>
                <w:noProof/>
                <w:webHidden/>
              </w:rPr>
              <w:fldChar w:fldCharType="separate"/>
            </w:r>
            <w:r w:rsidR="00161ABF">
              <w:rPr>
                <w:noProof/>
                <w:webHidden/>
              </w:rPr>
              <w:t>6</w:t>
            </w:r>
            <w:r w:rsidR="00161ABF">
              <w:rPr>
                <w:noProof/>
                <w:webHidden/>
              </w:rPr>
              <w:fldChar w:fldCharType="end"/>
            </w:r>
          </w:hyperlink>
        </w:p>
        <w:p w14:paraId="58B4D246" w14:textId="482D5B9D" w:rsidR="00161ABF" w:rsidRDefault="00000000">
          <w:pPr>
            <w:pStyle w:val="TOC2"/>
            <w:tabs>
              <w:tab w:val="right" w:leader="dot" w:pos="9016"/>
            </w:tabs>
            <w:rPr>
              <w:rFonts w:asciiTheme="minorHAnsi" w:eastAsiaTheme="minorEastAsia" w:hAnsiTheme="minorHAnsi"/>
              <w:noProof/>
              <w:color w:val="auto"/>
              <w:sz w:val="22"/>
              <w:lang w:val="en-US"/>
            </w:rPr>
          </w:pPr>
          <w:hyperlink w:anchor="_Toc156855670" w:history="1">
            <w:r w:rsidR="00161ABF" w:rsidRPr="00F902A4">
              <w:rPr>
                <w:rStyle w:val="Hyperlink"/>
                <w:noProof/>
              </w:rPr>
              <w:t>1.4 Examples from Industry</w:t>
            </w:r>
            <w:r w:rsidR="00161ABF">
              <w:rPr>
                <w:noProof/>
                <w:webHidden/>
              </w:rPr>
              <w:tab/>
            </w:r>
            <w:r w:rsidR="00161ABF">
              <w:rPr>
                <w:noProof/>
                <w:webHidden/>
              </w:rPr>
              <w:fldChar w:fldCharType="begin"/>
            </w:r>
            <w:r w:rsidR="00161ABF">
              <w:rPr>
                <w:noProof/>
                <w:webHidden/>
              </w:rPr>
              <w:instrText xml:space="preserve"> PAGEREF _Toc156855670 \h </w:instrText>
            </w:r>
            <w:r w:rsidR="00161ABF">
              <w:rPr>
                <w:noProof/>
                <w:webHidden/>
              </w:rPr>
            </w:r>
            <w:r w:rsidR="00161ABF">
              <w:rPr>
                <w:noProof/>
                <w:webHidden/>
              </w:rPr>
              <w:fldChar w:fldCharType="separate"/>
            </w:r>
            <w:r w:rsidR="00161ABF">
              <w:rPr>
                <w:noProof/>
                <w:webHidden/>
              </w:rPr>
              <w:t>6</w:t>
            </w:r>
            <w:r w:rsidR="00161ABF">
              <w:rPr>
                <w:noProof/>
                <w:webHidden/>
              </w:rPr>
              <w:fldChar w:fldCharType="end"/>
            </w:r>
          </w:hyperlink>
        </w:p>
        <w:p w14:paraId="2BF39F52" w14:textId="1C5DDE44" w:rsidR="00161ABF" w:rsidRDefault="00000000">
          <w:pPr>
            <w:pStyle w:val="TOC1"/>
            <w:tabs>
              <w:tab w:val="right" w:leader="dot" w:pos="9016"/>
            </w:tabs>
            <w:rPr>
              <w:rFonts w:asciiTheme="minorHAnsi" w:eastAsiaTheme="minorEastAsia" w:hAnsiTheme="minorHAnsi"/>
              <w:noProof/>
              <w:color w:val="auto"/>
              <w:sz w:val="22"/>
              <w:lang w:val="en-US"/>
            </w:rPr>
          </w:pPr>
          <w:hyperlink w:anchor="_Toc156855671" w:history="1">
            <w:r w:rsidR="00161ABF" w:rsidRPr="00F902A4">
              <w:rPr>
                <w:rStyle w:val="Hyperlink"/>
                <w:noProof/>
              </w:rPr>
              <w:t>Evaluation and Conclusion</w:t>
            </w:r>
            <w:r w:rsidR="00161ABF">
              <w:rPr>
                <w:noProof/>
                <w:webHidden/>
              </w:rPr>
              <w:tab/>
            </w:r>
            <w:r w:rsidR="00161ABF">
              <w:rPr>
                <w:noProof/>
                <w:webHidden/>
              </w:rPr>
              <w:fldChar w:fldCharType="begin"/>
            </w:r>
            <w:r w:rsidR="00161ABF">
              <w:rPr>
                <w:noProof/>
                <w:webHidden/>
              </w:rPr>
              <w:instrText xml:space="preserve"> PAGEREF _Toc156855671 \h </w:instrText>
            </w:r>
            <w:r w:rsidR="00161ABF">
              <w:rPr>
                <w:noProof/>
                <w:webHidden/>
              </w:rPr>
            </w:r>
            <w:r w:rsidR="00161ABF">
              <w:rPr>
                <w:noProof/>
                <w:webHidden/>
              </w:rPr>
              <w:fldChar w:fldCharType="separate"/>
            </w:r>
            <w:r w:rsidR="00161ABF">
              <w:rPr>
                <w:noProof/>
                <w:webHidden/>
              </w:rPr>
              <w:t>8</w:t>
            </w:r>
            <w:r w:rsidR="00161ABF">
              <w:rPr>
                <w:noProof/>
                <w:webHidden/>
              </w:rPr>
              <w:fldChar w:fldCharType="end"/>
            </w:r>
          </w:hyperlink>
        </w:p>
        <w:p w14:paraId="3C33E91A" w14:textId="3B6ECE5B" w:rsidR="00161ABF" w:rsidRDefault="00000000">
          <w:pPr>
            <w:pStyle w:val="TOC1"/>
            <w:tabs>
              <w:tab w:val="right" w:leader="dot" w:pos="9016"/>
            </w:tabs>
            <w:rPr>
              <w:rFonts w:asciiTheme="minorHAnsi" w:eastAsiaTheme="minorEastAsia" w:hAnsiTheme="minorHAnsi"/>
              <w:noProof/>
              <w:color w:val="auto"/>
              <w:sz w:val="22"/>
              <w:lang w:val="en-US"/>
            </w:rPr>
          </w:pPr>
          <w:hyperlink w:anchor="_Toc156855672" w:history="1">
            <w:r w:rsidR="00161ABF" w:rsidRPr="00F902A4">
              <w:rPr>
                <w:rStyle w:val="Hyperlink"/>
                <w:noProof/>
              </w:rPr>
              <w:t>Reference</w:t>
            </w:r>
            <w:r w:rsidR="00161ABF">
              <w:rPr>
                <w:noProof/>
                <w:webHidden/>
              </w:rPr>
              <w:tab/>
            </w:r>
            <w:r w:rsidR="00161ABF">
              <w:rPr>
                <w:noProof/>
                <w:webHidden/>
              </w:rPr>
              <w:fldChar w:fldCharType="begin"/>
            </w:r>
            <w:r w:rsidR="00161ABF">
              <w:rPr>
                <w:noProof/>
                <w:webHidden/>
              </w:rPr>
              <w:instrText xml:space="preserve"> PAGEREF _Toc156855672 \h </w:instrText>
            </w:r>
            <w:r w:rsidR="00161ABF">
              <w:rPr>
                <w:noProof/>
                <w:webHidden/>
              </w:rPr>
            </w:r>
            <w:r w:rsidR="00161ABF">
              <w:rPr>
                <w:noProof/>
                <w:webHidden/>
              </w:rPr>
              <w:fldChar w:fldCharType="separate"/>
            </w:r>
            <w:r w:rsidR="00161ABF">
              <w:rPr>
                <w:noProof/>
                <w:webHidden/>
              </w:rPr>
              <w:t>10</w:t>
            </w:r>
            <w:r w:rsidR="00161ABF">
              <w:rPr>
                <w:noProof/>
                <w:webHidden/>
              </w:rPr>
              <w:fldChar w:fldCharType="end"/>
            </w:r>
          </w:hyperlink>
        </w:p>
        <w:p w14:paraId="11FB9FCD" w14:textId="27856706" w:rsidR="001834FC" w:rsidRDefault="001834FC">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C744BA">
          <w:footerReference w:type="default" r:id="rId9"/>
          <w:pgSz w:w="11906" w:h="16838" w:code="9"/>
          <w:pgMar w:top="1440" w:right="1440" w:bottom="1440" w:left="1440" w:header="720" w:footer="720" w:gutter="0"/>
          <w:pgNumType w:fmt="lowerRoman"/>
          <w:cols w:space="720"/>
          <w:docGrid w:linePitch="360"/>
        </w:sectPr>
      </w:pPr>
    </w:p>
    <w:p w14:paraId="194129F4" w14:textId="7A587FC7" w:rsidR="001834FC" w:rsidRDefault="001834FC" w:rsidP="00A633F1">
      <w:pPr>
        <w:pStyle w:val="Heading1"/>
      </w:pPr>
      <w:bookmarkStart w:id="0" w:name="_Toc156855663"/>
      <w:r>
        <w:lastRenderedPageBreak/>
        <w:t xml:space="preserve">Introduction </w:t>
      </w:r>
      <w:r w:rsidR="00AB05C3">
        <w:t xml:space="preserve">and </w:t>
      </w:r>
      <w:r w:rsidR="00AB05C3" w:rsidRPr="00A633F1">
        <w:t>Background</w:t>
      </w:r>
      <w:bookmarkEnd w:id="0"/>
    </w:p>
    <w:p w14:paraId="38C789E9" w14:textId="48604530" w:rsidR="0057543B" w:rsidRDefault="003524C4" w:rsidP="0057543B">
      <w:r w:rsidRPr="003524C4">
        <w:t>Long-term success in the constantly-evolving hospitality industry means fully grasping how socioeconomic factors impact managing worker performance (Morrison, 2022). In the hospitality industry, where different work styles are common, this research proposal looks at how socioeconomic factors affect managing and keeping an eye on employees' performance. The study aims to provide useful details to the General Manager of Marriott International so that he can improve methods for motivating workers even though things are changing at work.</w:t>
      </w:r>
    </w:p>
    <w:p w14:paraId="564E688B" w14:textId="5A02910D" w:rsidR="00D479CF" w:rsidRDefault="0057543B" w:rsidP="0057543B">
      <w:r>
        <w:t xml:space="preserve">The purpose of this proposal is to conduct a thorough analysis of how socio-economic factors affect employee performance management and monitoring across a variety of work modes, with a focus on Marriott International. </w:t>
      </w:r>
      <w:r w:rsidRPr="00E457B5">
        <w:t>By examining these factors, strategic ideas aligned with the brand's commitment to enhanced employee management are sought, fostering a framework for improved workforce strategies.</w:t>
      </w:r>
    </w:p>
    <w:p w14:paraId="549F9EB5" w14:textId="5408D1D5" w:rsidR="00493473" w:rsidRDefault="00493473" w:rsidP="005B0998">
      <w:pPr>
        <w:jc w:val="center"/>
      </w:pPr>
      <w:r>
        <w:rPr>
          <w:noProof/>
          <w:lang w:val="en-US"/>
        </w:rPr>
        <w:drawing>
          <wp:inline distT="0" distB="0" distL="0" distR="0" wp14:anchorId="66DBD5CB" wp14:editId="245CF044">
            <wp:extent cx="3364210" cy="2367855"/>
            <wp:effectExtent l="0" t="0" r="8255" b="0"/>
            <wp:docPr id="2" name="Picture 2" descr="https://qtxasset.com/quartz/qcloud1/media/image/2017-01/Bethesda-1.jpg?VersionId=A_YiIpHb6ZomtjX5YHbtqqXNRaylVob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qtxasset.com/quartz/qcloud1/media/image/2017-01/Bethesda-1.jpg?VersionId=A_YiIpHb6ZomtjX5YHbtqqXNRaylVob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02225" cy="2394611"/>
                    </a:xfrm>
                    <a:prstGeom prst="rect">
                      <a:avLst/>
                    </a:prstGeom>
                    <a:noFill/>
                    <a:ln>
                      <a:noFill/>
                    </a:ln>
                  </pic:spPr>
                </pic:pic>
              </a:graphicData>
            </a:graphic>
          </wp:inline>
        </w:drawing>
      </w:r>
    </w:p>
    <w:p w14:paraId="7166C985" w14:textId="7D367AD9" w:rsidR="00493473" w:rsidRDefault="00493473" w:rsidP="005B0998">
      <w:pPr>
        <w:jc w:val="center"/>
      </w:pPr>
      <w:r>
        <w:t>Figure 01: Marriott International’s New Headquarter</w:t>
      </w:r>
    </w:p>
    <w:p w14:paraId="2E13D443" w14:textId="0D3494C1" w:rsidR="00493473" w:rsidRDefault="00493473" w:rsidP="005B0998">
      <w:pPr>
        <w:jc w:val="center"/>
      </w:pPr>
      <w:r>
        <w:t>Source: (Mest, 2019)</w:t>
      </w:r>
    </w:p>
    <w:p w14:paraId="190D83D3" w14:textId="11E34A24" w:rsidR="00D479CF" w:rsidRDefault="00D479CF" w:rsidP="00D479CF">
      <w:r>
        <w:t>The headquarters of Marriott International are in Bethesda, Maryland. The company has locations in 138 countries and territories. As a major player in the hotel operations, franchising, and vacation ownership resort licencing industries, Marriott oversees more than 8,500 properties under 31 different brands</w:t>
      </w:r>
      <w:r w:rsidR="000D09E2">
        <w:t xml:space="preserve"> (GPW, 2019)</w:t>
      </w:r>
      <w:r>
        <w:t xml:space="preserve">. This company is famous for its commitment to offering great service and keeping a wide range of assets. For example, Marriott International sets the standard for the industry and gives </w:t>
      </w:r>
      <w:r>
        <w:lastRenderedPageBreak/>
        <w:t>guests experiences that can't be beat. Since Marriott has 110,084 employees in the U.S. and is one of the biggest employers in the hospitality industry, how it handles human resources and workers affects both the company and the industry as a whole</w:t>
      </w:r>
      <w:r w:rsidR="00E32D3F">
        <w:t xml:space="preserve"> </w:t>
      </w:r>
      <w:r w:rsidR="00E32D3F">
        <w:rPr>
          <w:rFonts w:cs="Arial"/>
        </w:rPr>
        <w:t>(Marriott International, 2023)</w:t>
      </w:r>
      <w:r>
        <w:t>.</w:t>
      </w:r>
    </w:p>
    <w:p w14:paraId="3686FBA3" w14:textId="7281F14D" w:rsidR="00D479CF" w:rsidRDefault="00D479CF" w:rsidP="00D479CF">
      <w:r>
        <w:t>Many changes have happened at work in the hospitality business in the past few years. It's important to look closely at the possibility of using different types of work, like hybrid, office, and flexi work. Marriott International should keep in mind how hard it is to manage employee performance in a variety of work settings as it deals with these changes</w:t>
      </w:r>
      <w:r w:rsidR="000F28C5">
        <w:t xml:space="preserve"> </w:t>
      </w:r>
      <w:r w:rsidR="000F28C5">
        <w:rPr>
          <w:rFonts w:cs="Arial"/>
        </w:rPr>
        <w:t>(Marriott News, 2020)</w:t>
      </w:r>
      <w:r>
        <w:t>.</w:t>
      </w:r>
    </w:p>
    <w:p w14:paraId="3DF67C34" w14:textId="6FA2217E" w:rsidR="00A633F1" w:rsidRDefault="00B4475B" w:rsidP="00D479CF">
      <w:r w:rsidRPr="00B4475B">
        <w:t>Employee performance management issues must be identified to create effective strategies. Understanding employee challenges is essential when adapting to a hybrid model, maintaining productivity in a traditional office, or accommodating flexible work arrangements</w:t>
      </w:r>
      <w:r w:rsidR="00A51AF5">
        <w:t xml:space="preserve"> </w:t>
      </w:r>
      <w:r w:rsidR="00A51AF5">
        <w:rPr>
          <w:rFonts w:cs="Arial"/>
        </w:rPr>
        <w:t>(Sparrow and Cooper, 2022)</w:t>
      </w:r>
      <w:r w:rsidRPr="00B4475B">
        <w:t>.</w:t>
      </w:r>
      <w:r w:rsidR="00523CBF" w:rsidRPr="00523CBF">
        <w:t xml:space="preserve"> This is more of the proposal's information about how socioeconomic factors affect how different types of work are managed in the hospitality industry.</w:t>
      </w:r>
      <w:r w:rsidR="00A633F1">
        <w:br w:type="page"/>
      </w:r>
    </w:p>
    <w:p w14:paraId="718B48AB" w14:textId="4174BAC8" w:rsidR="006474DE" w:rsidRDefault="006474DE" w:rsidP="006474DE">
      <w:pPr>
        <w:pStyle w:val="Heading1"/>
      </w:pPr>
      <w:bookmarkStart w:id="1" w:name="_Toc156855664"/>
      <w:r>
        <w:lastRenderedPageBreak/>
        <w:t xml:space="preserve">1. </w:t>
      </w:r>
      <w:r w:rsidR="00637B31" w:rsidRPr="00AB05C3">
        <w:t>Literature Review</w:t>
      </w:r>
      <w:bookmarkEnd w:id="1"/>
    </w:p>
    <w:p w14:paraId="32893C00" w14:textId="7B83958F" w:rsidR="00FC2DC0" w:rsidRDefault="00FC2DC0" w:rsidP="00FC2DC0">
      <w:r>
        <w:t xml:space="preserve">Numerous studies that look at how socioeconomic factors impact managing employee performance in the hospitality industry reveal that there are numerous things that impact how well individuals work together. </w:t>
      </w:r>
      <w:r w:rsidR="00FD30CA" w:rsidRPr="00FD30CA">
        <w:t>Roberts (2023) emphasises the intricate relationship between socioeconomic factors and employee performance. Economic stability, cultural trends, and technology advances are examined in the study to help companies manage their employees.</w:t>
      </w:r>
    </w:p>
    <w:p w14:paraId="55CF8A44" w14:textId="5B5C3640" w:rsidR="00FC2DC0" w:rsidRDefault="00FC2DC0" w:rsidP="00FC2DC0">
      <w:r>
        <w:t>Understanding this complicated connection is helped by different theoretical frameworks. According to the Social Exchange Theory, people have two-way conversations with their organisation based on what they see as the pros and cons</w:t>
      </w:r>
      <w:r w:rsidR="00416D83">
        <w:t xml:space="preserve"> (Cook, 2022)</w:t>
      </w:r>
      <w:r>
        <w:t xml:space="preserve">. </w:t>
      </w:r>
      <w:r w:rsidR="001E5677" w:rsidRPr="001E5677">
        <w:t>In the context of socio-economic forces, the term refers to how employees' views of the economy, social trends, and rules at work affect their health and happiness at work.</w:t>
      </w:r>
      <w:r>
        <w:t xml:space="preserve"> Additionally, the Job Demand-Resources Model stresses how job demands and resources impact employees' work</w:t>
      </w:r>
      <w:r w:rsidR="00674CD5">
        <w:t xml:space="preserve"> (Chen, 2021)</w:t>
      </w:r>
      <w:r>
        <w:t>. External resources or demands, known as socioeconomic forces, can have a big effect on workers' health and output.</w:t>
      </w:r>
    </w:p>
    <w:p w14:paraId="15F82A5F" w14:textId="0D4D407F" w:rsidR="00FC2DC0" w:rsidRDefault="002A0383" w:rsidP="00FC2DC0">
      <w:r>
        <w:t>Research by Henri Savall and Zardet (2023) states that f</w:t>
      </w:r>
      <w:r w:rsidR="00FC2DC0">
        <w:t>or improving employee performance management strategies, socioeconomic factors must be taken into account. In times of economic downturn, for example, both stress and job satisfaction rise among workers. Employees, for example, are generally happier at companies that offer flexible work schedules, competitive pay, and strong support systems in response to changes in the economy and society.</w:t>
      </w:r>
    </w:p>
    <w:p w14:paraId="64ED71EE" w14:textId="59349E1F" w:rsidR="0073493E" w:rsidRDefault="002A0383" w:rsidP="00FC2DC0">
      <w:r>
        <w:t xml:space="preserve">According to the research of Aguinis (2019), </w:t>
      </w:r>
      <w:r w:rsidR="000D58AC" w:rsidRPr="000D58AC">
        <w:t>Performance management should be in line with an organi</w:t>
      </w:r>
      <w:r w:rsidR="00A36481">
        <w:t>s</w:t>
      </w:r>
      <w:r w:rsidR="000D58AC" w:rsidRPr="000D58AC">
        <w:t>ation's strategic objectives. This is especially important in the UK hospitality industry right now</w:t>
      </w:r>
      <w:r w:rsidR="000D58AC">
        <w:t>, when the economy is uncertain</w:t>
      </w:r>
      <w:r w:rsidR="00FC2DC0">
        <w:t>. Companies like Marriott International can create a strong and flexible workforce that can handle the challenges of a socioeconomic landscape that is constantly changing by understanding how socioeconomic factors affect employee performance and implementing targeted interventions.</w:t>
      </w:r>
    </w:p>
    <w:p w14:paraId="105E6C66" w14:textId="001F4B19" w:rsidR="0073493E" w:rsidRDefault="0073493E" w:rsidP="0073493E">
      <w:pPr>
        <w:pStyle w:val="Heading2"/>
      </w:pPr>
      <w:bookmarkStart w:id="2" w:name="_Toc156855665"/>
      <w:r>
        <w:lastRenderedPageBreak/>
        <w:t>1.1 Pestle Analysis</w:t>
      </w:r>
      <w:bookmarkEnd w:id="2"/>
    </w:p>
    <w:p w14:paraId="0D5A4F6E" w14:textId="4E484770" w:rsidR="00B43BB8" w:rsidRDefault="00FC2DC0" w:rsidP="0073493E">
      <w:r w:rsidRPr="00FC2DC0">
        <w:t>To fully understand how outside forces, affect the hospitality industry, it needs to pay close attention to some economic and social factors</w:t>
      </w:r>
      <w:r w:rsidR="002A0383">
        <w:t xml:space="preserve"> (Thomas Del Marmol, 2021)</w:t>
      </w:r>
      <w:r w:rsidRPr="00FC2DC0">
        <w:t>. This report talks about Political, Economic, Social, Technological, Legal, and Environmental factors. These elements can aid businesses, even well-known hotel brands, in strategically positioning themselves to deal with problems and seize opportunities in a society and economy that are constantly changing.</w:t>
      </w:r>
    </w:p>
    <w:tbl>
      <w:tblPr>
        <w:tblStyle w:val="GridTable5Dark-Accent5"/>
        <w:tblW w:w="0" w:type="auto"/>
        <w:tblLook w:val="04A0" w:firstRow="1" w:lastRow="0" w:firstColumn="1" w:lastColumn="0" w:noHBand="0" w:noVBand="1"/>
      </w:tblPr>
      <w:tblGrid>
        <w:gridCol w:w="1883"/>
        <w:gridCol w:w="7133"/>
      </w:tblGrid>
      <w:tr w:rsidR="00B43BB8" w14:paraId="3EF3FB27" w14:textId="77777777" w:rsidTr="00E722C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3" w:type="dxa"/>
          </w:tcPr>
          <w:p w14:paraId="70C97A03" w14:textId="7BFFCED0" w:rsidR="00B43BB8" w:rsidRDefault="00B43BB8" w:rsidP="00B43BB8">
            <w:r w:rsidRPr="007B56E7">
              <w:t>Aspects</w:t>
            </w:r>
          </w:p>
        </w:tc>
        <w:tc>
          <w:tcPr>
            <w:tcW w:w="7133" w:type="dxa"/>
          </w:tcPr>
          <w:p w14:paraId="7C5AB58E" w14:textId="1FAE0BA8" w:rsidR="00B43BB8" w:rsidRDefault="00B43BB8" w:rsidP="00B43BB8">
            <w:pPr>
              <w:cnfStyle w:val="100000000000" w:firstRow="1" w:lastRow="0" w:firstColumn="0" w:lastColumn="0" w:oddVBand="0" w:evenVBand="0" w:oddHBand="0" w:evenHBand="0" w:firstRowFirstColumn="0" w:firstRowLastColumn="0" w:lastRowFirstColumn="0" w:lastRowLastColumn="0"/>
            </w:pPr>
            <w:r w:rsidRPr="007B56E7">
              <w:t>Description</w:t>
            </w:r>
          </w:p>
        </w:tc>
      </w:tr>
      <w:tr w:rsidR="00252E7D" w14:paraId="04529C89" w14:textId="77777777" w:rsidTr="00E722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3" w:type="dxa"/>
          </w:tcPr>
          <w:p w14:paraId="30F6D6AB" w14:textId="7301FCE0" w:rsidR="00252E7D" w:rsidRDefault="00252E7D" w:rsidP="00252E7D">
            <w:r w:rsidRPr="007B56E7">
              <w:t>Political</w:t>
            </w:r>
          </w:p>
        </w:tc>
        <w:tc>
          <w:tcPr>
            <w:tcW w:w="7133" w:type="dxa"/>
          </w:tcPr>
          <w:p w14:paraId="08962D40" w14:textId="01570BED" w:rsidR="00252E7D" w:rsidRDefault="00252E7D" w:rsidP="00252E7D">
            <w:pPr>
              <w:cnfStyle w:val="000000100000" w:firstRow="0" w:lastRow="0" w:firstColumn="0" w:lastColumn="0" w:oddVBand="0" w:evenVBand="0" w:oddHBand="1" w:evenHBand="0" w:firstRowFirstColumn="0" w:firstRowLastColumn="0" w:lastRowFirstColumn="0" w:lastRowLastColumn="0"/>
            </w:pPr>
            <w:r w:rsidRPr="007B0B44">
              <w:t>The government's significant influence is evident in policies like travel bans, which can swiftly impact tourism and hotels. Tax reforms can be a boon for hotel owners, enhancing the industry's overall health.</w:t>
            </w:r>
          </w:p>
        </w:tc>
      </w:tr>
      <w:tr w:rsidR="00252E7D" w14:paraId="6963AAD7" w14:textId="77777777" w:rsidTr="00E722CC">
        <w:tc>
          <w:tcPr>
            <w:cnfStyle w:val="001000000000" w:firstRow="0" w:lastRow="0" w:firstColumn="1" w:lastColumn="0" w:oddVBand="0" w:evenVBand="0" w:oddHBand="0" w:evenHBand="0" w:firstRowFirstColumn="0" w:firstRowLastColumn="0" w:lastRowFirstColumn="0" w:lastRowLastColumn="0"/>
            <w:tcW w:w="1883" w:type="dxa"/>
          </w:tcPr>
          <w:p w14:paraId="704BF4A8" w14:textId="2C20293C" w:rsidR="00252E7D" w:rsidRDefault="00252E7D" w:rsidP="00252E7D">
            <w:r w:rsidRPr="007B56E7">
              <w:t>Economic</w:t>
            </w:r>
          </w:p>
        </w:tc>
        <w:tc>
          <w:tcPr>
            <w:tcW w:w="7133" w:type="dxa"/>
          </w:tcPr>
          <w:p w14:paraId="2CF5B669" w14:textId="1D57AD6A" w:rsidR="00252E7D" w:rsidRDefault="00252E7D" w:rsidP="00252E7D">
            <w:pPr>
              <w:cnfStyle w:val="000000000000" w:firstRow="0" w:lastRow="0" w:firstColumn="0" w:lastColumn="0" w:oddVBand="0" w:evenVBand="0" w:oddHBand="0" w:evenHBand="0" w:firstRowFirstColumn="0" w:firstRowLastColumn="0" w:lastRowFirstColumn="0" w:lastRowLastColumn="0"/>
            </w:pPr>
            <w:r w:rsidRPr="007B0B44">
              <w:t>The hotel industry is a major investment sector globally. Currency strength, economic cycles, and tailoring offerings based on locations play pivotal roles. Economic downturns can affect the industry, emphasizing the importance of factors like unemployment rates and job growth</w:t>
            </w:r>
            <w:r w:rsidR="00AA0E47">
              <w:t xml:space="preserve"> </w:t>
            </w:r>
            <w:r w:rsidR="00AA0E47">
              <w:rPr>
                <w:rFonts w:cs="Arial"/>
              </w:rPr>
              <w:t>(Frue, 2019)</w:t>
            </w:r>
            <w:r w:rsidRPr="007B0B44">
              <w:t>.</w:t>
            </w:r>
          </w:p>
        </w:tc>
      </w:tr>
      <w:tr w:rsidR="00B067D2" w14:paraId="601266C8" w14:textId="77777777" w:rsidTr="00E722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3" w:type="dxa"/>
          </w:tcPr>
          <w:p w14:paraId="2F9DEBFF" w14:textId="29DFB243" w:rsidR="00B067D2" w:rsidRDefault="00B067D2" w:rsidP="00B067D2">
            <w:r w:rsidRPr="007B56E7">
              <w:t>Social</w:t>
            </w:r>
          </w:p>
        </w:tc>
        <w:tc>
          <w:tcPr>
            <w:tcW w:w="7133" w:type="dxa"/>
          </w:tcPr>
          <w:p w14:paraId="58737312" w14:textId="49F3B525" w:rsidR="00B067D2" w:rsidRDefault="00252E7D" w:rsidP="00B067D2">
            <w:pPr>
              <w:cnfStyle w:val="000000100000" w:firstRow="0" w:lastRow="0" w:firstColumn="0" w:lastColumn="0" w:oddVBand="0" w:evenVBand="0" w:oddHBand="1" w:evenHBand="0" w:firstRowFirstColumn="0" w:firstRowLastColumn="0" w:lastRowFirstColumn="0" w:lastRowLastColumn="0"/>
            </w:pPr>
            <w:r w:rsidRPr="00252E7D">
              <w:t>The rise of Airbnb poses a substantial challenge, particularly among millennials seeking cheaper and diverse accommodation options. Hotel chains must navigate the competition by offering unique amenities and experiences.</w:t>
            </w:r>
          </w:p>
        </w:tc>
      </w:tr>
      <w:tr w:rsidR="00B067D2" w14:paraId="22D4C903" w14:textId="77777777" w:rsidTr="00E722CC">
        <w:tc>
          <w:tcPr>
            <w:cnfStyle w:val="001000000000" w:firstRow="0" w:lastRow="0" w:firstColumn="1" w:lastColumn="0" w:oddVBand="0" w:evenVBand="0" w:oddHBand="0" w:evenHBand="0" w:firstRowFirstColumn="0" w:firstRowLastColumn="0" w:lastRowFirstColumn="0" w:lastRowLastColumn="0"/>
            <w:tcW w:w="1883" w:type="dxa"/>
          </w:tcPr>
          <w:p w14:paraId="3CFE006A" w14:textId="282D673A" w:rsidR="00B067D2" w:rsidRDefault="00B067D2" w:rsidP="00B067D2">
            <w:r w:rsidRPr="007B56E7">
              <w:t>Technological</w:t>
            </w:r>
          </w:p>
        </w:tc>
        <w:tc>
          <w:tcPr>
            <w:tcW w:w="7133" w:type="dxa"/>
          </w:tcPr>
          <w:p w14:paraId="7762C2B6" w14:textId="1101DBAA" w:rsidR="00B067D2" w:rsidRDefault="00252E7D" w:rsidP="00B067D2">
            <w:pPr>
              <w:cnfStyle w:val="000000000000" w:firstRow="0" w:lastRow="0" w:firstColumn="0" w:lastColumn="0" w:oddVBand="0" w:evenVBand="0" w:oddHBand="0" w:evenHBand="0" w:firstRowFirstColumn="0" w:firstRowLastColumn="0" w:lastRowFirstColumn="0" w:lastRowLastColumn="0"/>
            </w:pPr>
            <w:r w:rsidRPr="00252E7D">
              <w:t>The advent of social media, blogs, and online reviews reshapes the industry's landscape. Hotel owners need to adapt to new technologies cautiously, considering the rapid dissemination of news and the impact of online reviews on reputation</w:t>
            </w:r>
            <w:r w:rsidR="003C0930">
              <w:t xml:space="preserve"> </w:t>
            </w:r>
            <w:r w:rsidR="003C0930">
              <w:rPr>
                <w:rFonts w:cs="Arial"/>
              </w:rPr>
              <w:t>(Frue, 2019)</w:t>
            </w:r>
            <w:r w:rsidRPr="00252E7D">
              <w:t>.</w:t>
            </w:r>
          </w:p>
        </w:tc>
      </w:tr>
      <w:tr w:rsidR="00B067D2" w14:paraId="0305CE9E" w14:textId="77777777" w:rsidTr="00E722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3" w:type="dxa"/>
          </w:tcPr>
          <w:p w14:paraId="58304C88" w14:textId="0D69663E" w:rsidR="00B067D2" w:rsidRDefault="00B067D2" w:rsidP="00B067D2">
            <w:r w:rsidRPr="007B56E7">
              <w:t>Legal</w:t>
            </w:r>
          </w:p>
        </w:tc>
        <w:tc>
          <w:tcPr>
            <w:tcW w:w="7133" w:type="dxa"/>
          </w:tcPr>
          <w:p w14:paraId="4FF4F272" w14:textId="5DD5E901" w:rsidR="00B067D2" w:rsidRDefault="00252E7D" w:rsidP="00B067D2">
            <w:pPr>
              <w:cnfStyle w:val="000000100000" w:firstRow="0" w:lastRow="0" w:firstColumn="0" w:lastColumn="0" w:oddVBand="0" w:evenVBand="0" w:oddHBand="1" w:evenHBand="0" w:firstRowFirstColumn="0" w:firstRowLastColumn="0" w:lastRowFirstColumn="0" w:lastRowLastColumn="0"/>
            </w:pPr>
            <w:r w:rsidRPr="00252E7D">
              <w:t>High crime rates in the vicinity can deter customers, emphasizing the importance of selecting safe locations. Adherence to innkeeper laws, ensuring guest welfare, and compliance with truth-in-menu laws for food establishments within hotels are crucial legal considerations</w:t>
            </w:r>
            <w:r w:rsidR="000E5BDC">
              <w:t xml:space="preserve"> </w:t>
            </w:r>
            <w:r w:rsidR="000E5BDC">
              <w:rPr>
                <w:rFonts w:cs="Arial"/>
              </w:rPr>
              <w:t>(Rahman, 2021)</w:t>
            </w:r>
            <w:r w:rsidRPr="00252E7D">
              <w:t>.</w:t>
            </w:r>
          </w:p>
        </w:tc>
      </w:tr>
      <w:tr w:rsidR="00B067D2" w14:paraId="3F43DC15" w14:textId="77777777" w:rsidTr="00E722CC">
        <w:tc>
          <w:tcPr>
            <w:cnfStyle w:val="001000000000" w:firstRow="0" w:lastRow="0" w:firstColumn="1" w:lastColumn="0" w:oddVBand="0" w:evenVBand="0" w:oddHBand="0" w:evenHBand="0" w:firstRowFirstColumn="0" w:firstRowLastColumn="0" w:lastRowFirstColumn="0" w:lastRowLastColumn="0"/>
            <w:tcW w:w="1883" w:type="dxa"/>
          </w:tcPr>
          <w:p w14:paraId="10D436A7" w14:textId="2A1D5308" w:rsidR="00B067D2" w:rsidRDefault="00B067D2" w:rsidP="00B067D2">
            <w:r w:rsidRPr="007B56E7">
              <w:t>Environmental</w:t>
            </w:r>
          </w:p>
        </w:tc>
        <w:tc>
          <w:tcPr>
            <w:tcW w:w="7133" w:type="dxa"/>
          </w:tcPr>
          <w:p w14:paraId="38416170" w14:textId="28698B1A" w:rsidR="00B067D2" w:rsidRDefault="00252E7D" w:rsidP="00B067D2">
            <w:pPr>
              <w:cnfStyle w:val="000000000000" w:firstRow="0" w:lastRow="0" w:firstColumn="0" w:lastColumn="0" w:oddVBand="0" w:evenVBand="0" w:oddHBand="0" w:evenHBand="0" w:firstRowFirstColumn="0" w:firstRowLastColumn="0" w:lastRowFirstColumn="0" w:lastRowLastColumn="0"/>
            </w:pPr>
            <w:r w:rsidRPr="00252E7D">
              <w:t xml:space="preserve">Local climate becomes a deciding factor for guests, especially when vacationing. While hotel owners cannot control weather </w:t>
            </w:r>
            <w:r w:rsidRPr="00252E7D">
              <w:lastRenderedPageBreak/>
              <w:t>conditions, understanding seasonal variations is essential for pricing strategies.</w:t>
            </w:r>
          </w:p>
        </w:tc>
      </w:tr>
    </w:tbl>
    <w:p w14:paraId="14401D84" w14:textId="355EB4FA" w:rsidR="0073493E" w:rsidRDefault="00252E7D" w:rsidP="0073493E">
      <w:r>
        <w:lastRenderedPageBreak/>
        <w:t>T</w:t>
      </w:r>
      <w:r w:rsidRPr="00252E7D">
        <w:t>he hotel industry faces challenges from competitors like Airbnb, governmental influences, economic fluctuations, sociocultural shifts, technological advancements, legal considerations, and environmental factors. A comprehensive understanding of these PESTLE elements is imperative for hotel owners to navigate the complexiti</w:t>
      </w:r>
      <w:r>
        <w:t>es of the industry successfully</w:t>
      </w:r>
      <w:r w:rsidRPr="00252E7D">
        <w:t xml:space="preserve"> </w:t>
      </w:r>
      <w:r w:rsidR="001B44AE">
        <w:t>(Shafik, 2021)</w:t>
      </w:r>
      <w:r w:rsidR="00E722CC" w:rsidRPr="00E722CC">
        <w:t>.</w:t>
      </w:r>
    </w:p>
    <w:p w14:paraId="6E171008" w14:textId="186FA12E" w:rsidR="0073493E" w:rsidRDefault="00532884" w:rsidP="00532884">
      <w:pPr>
        <w:pStyle w:val="Heading2"/>
      </w:pPr>
      <w:bookmarkStart w:id="3" w:name="_Toc156855666"/>
      <w:r>
        <w:t>1.2 Industry Trends</w:t>
      </w:r>
      <w:bookmarkEnd w:id="3"/>
    </w:p>
    <w:p w14:paraId="6D674C94" w14:textId="3A2C3DE1" w:rsidR="0073493E" w:rsidRDefault="00FE0458" w:rsidP="0073493E">
      <w:r w:rsidRPr="00FE0458">
        <w:t>Businesses that want to get better at managing employee performance must keep up with key trends because the hospitality industry is always changing</w:t>
      </w:r>
      <w:r w:rsidR="001B44AE">
        <w:t xml:space="preserve"> (Armstrong and Taylor, 2020)</w:t>
      </w:r>
      <w:r w:rsidRPr="00FE0458">
        <w:t>. To fully understand how the industry works in this case, it is helpful to look at the types of work that are popular right now along with the rates of employee retention and turnover.</w:t>
      </w:r>
    </w:p>
    <w:p w14:paraId="09884754" w14:textId="57D6898C" w:rsidR="0073493E" w:rsidRDefault="00532884" w:rsidP="00532884">
      <w:pPr>
        <w:pStyle w:val="Heading3"/>
      </w:pPr>
      <w:bookmarkStart w:id="4" w:name="_Toc156855667"/>
      <w:r>
        <w:t>1.2.1 Retention Rates</w:t>
      </w:r>
      <w:bookmarkEnd w:id="4"/>
    </w:p>
    <w:p w14:paraId="2DCF23B1" w14:textId="7A44046B" w:rsidR="00FE0458" w:rsidRDefault="00FE0458" w:rsidP="00FE0458">
      <w:r>
        <w:t>Leading the hospitality industry, Marriott International has very high rates of employee retention that show how serious the company is about keeping employees. The breakdown of tenure is very different, with 46% of employees having less than two years of experience and 13% having over twenty years</w:t>
      </w:r>
      <w:r w:rsidR="00F453D0">
        <w:t xml:space="preserve"> </w:t>
      </w:r>
      <w:r w:rsidR="00F453D0">
        <w:rPr>
          <w:rFonts w:cs="Arial"/>
        </w:rPr>
        <w:t>(GPW, 2019)</w:t>
      </w:r>
      <w:r>
        <w:t>. Some of the reasons for these high retention rates are the effective employee engagement programmes that Marriott has set up. The company's focus on a people-</w:t>
      </w:r>
      <w:r w:rsidR="00E52DE2">
        <w:t>centred</w:t>
      </w:r>
      <w:r>
        <w:t xml:space="preserve"> culture, a family-first approach, and positive team dynamics supports the trend in the industry to put employee well-being first</w:t>
      </w:r>
      <w:r w:rsidR="0080464C">
        <w:t xml:space="preserve"> </w:t>
      </w:r>
      <w:r w:rsidR="0080464C">
        <w:rPr>
          <w:rFonts w:cs="Arial"/>
        </w:rPr>
        <w:t>(Marriott International, 2023)</w:t>
      </w:r>
      <w:r>
        <w:t>.</w:t>
      </w:r>
    </w:p>
    <w:p w14:paraId="30B41F20" w14:textId="27BDCF89" w:rsidR="0073493E" w:rsidRDefault="00FE0458" w:rsidP="00FE0458">
      <w:r>
        <w:t xml:space="preserve">Engagement and motivation are two important factors that affect how many employees stay with a company. It's clear that the positive work culture at Marriott, as shown by the shocking 92% employee satisfaction rate in their Trust </w:t>
      </w:r>
      <w:r w:rsidR="00175B32">
        <w:t>Index</w:t>
      </w:r>
      <w:r>
        <w:t xml:space="preserve"> survey</w:t>
      </w:r>
      <w:r w:rsidR="0024126E">
        <w:t xml:space="preserve"> (GPW, 2019)</w:t>
      </w:r>
      <w:r>
        <w:t>. Companies know that offering a variety of benefits and a workplace that is good for families will help them keep good employees.</w:t>
      </w:r>
    </w:p>
    <w:p w14:paraId="661328E5" w14:textId="1A0D9092" w:rsidR="0073493E" w:rsidRDefault="00532884" w:rsidP="00532884">
      <w:pPr>
        <w:pStyle w:val="Heading3"/>
      </w:pPr>
      <w:bookmarkStart w:id="5" w:name="_Toc156855668"/>
      <w:r>
        <w:t>1.2.2 Turnover Rates</w:t>
      </w:r>
      <w:bookmarkEnd w:id="5"/>
    </w:p>
    <w:p w14:paraId="61A9C765" w14:textId="6FAF9C51" w:rsidR="006D5DA5" w:rsidRDefault="006D5DA5" w:rsidP="006D5DA5">
      <w:r>
        <w:t>Marriott International, a hospitality leader, retains employees well. With 46% of employees under two years and 13% over twenty, Marriott's diverse workforce follows industry trends</w:t>
      </w:r>
      <w:r w:rsidR="006D6AA3">
        <w:t xml:space="preserve"> (GPW, 2019)</w:t>
      </w:r>
      <w:r>
        <w:t xml:space="preserve">. Employee retention is due to effective employee engagement programmes, a people-centric culture, a family-first approach, and </w:t>
      </w:r>
      <w:r>
        <w:lastRenderedPageBreak/>
        <w:t>positive team dynamics</w:t>
      </w:r>
      <w:r w:rsidR="00C71314">
        <w:t xml:space="preserve"> (Mulligan and Taylor, 2019)</w:t>
      </w:r>
      <w:r>
        <w:t>. This follows industry trends emphasising employee satisfaction and well-being.</w:t>
      </w:r>
    </w:p>
    <w:p w14:paraId="79362FC0" w14:textId="49534A61" w:rsidR="006E4412" w:rsidRDefault="006D5DA5" w:rsidP="006D5DA5">
      <w:r>
        <w:t>The Trust Index™ survey at Marriott shows a 92% employee satisfaction rate, indicating a positive work culture that increases retention. To keep employees, Marriott offers a variety of benefits and a family-friendly workplace.</w:t>
      </w:r>
    </w:p>
    <w:p w14:paraId="0DB47417" w14:textId="30A2205D" w:rsidR="006E4412" w:rsidRDefault="006E4412" w:rsidP="006E4412">
      <w:pPr>
        <w:pStyle w:val="Heading2"/>
      </w:pPr>
      <w:bookmarkStart w:id="6" w:name="_Toc156855669"/>
      <w:r>
        <w:t xml:space="preserve">1.3 </w:t>
      </w:r>
      <w:r w:rsidRPr="006E4412">
        <w:t>Different Work Modes in Hospitality</w:t>
      </w:r>
      <w:bookmarkEnd w:id="6"/>
    </w:p>
    <w:p w14:paraId="6084849C" w14:textId="44970126" w:rsidR="00536AA4" w:rsidRDefault="00536AA4" w:rsidP="00536AA4">
      <w:r>
        <w:t>The hospitality industry has had a lot of changes in the last five years. This is because technology and society are always changing. People are more l</w:t>
      </w:r>
      <w:r w:rsidR="00175B32">
        <w:t>ikely to use "hybrid work modes</w:t>
      </w:r>
      <w:r>
        <w:t>"</w:t>
      </w:r>
      <w:r w:rsidR="00175B32">
        <w:t>,</w:t>
      </w:r>
      <w:r>
        <w:t xml:space="preserve"> which let them work from home and in real offices</w:t>
      </w:r>
      <w:r w:rsidR="00F255F0">
        <w:t xml:space="preserve"> (Ogunyemi and Onaga, 2023)</w:t>
      </w:r>
      <w:r>
        <w:t>. The people who work in sales and marketing can get together to do their jobs, and if they need to, they can do administrative work from home.</w:t>
      </w:r>
    </w:p>
    <w:p w14:paraId="29A09150" w14:textId="2553F70A" w:rsidR="006E4412" w:rsidRDefault="00A6294E" w:rsidP="00A6294E">
      <w:r w:rsidRPr="00A6294E">
        <w:t>In response to evolving work dynamics, hotel giants like Marriott International have invested in upgrading office spaces to foster collaboration and enhance employee well-being. Recogni</w:t>
      </w:r>
      <w:r>
        <w:t>s</w:t>
      </w:r>
      <w:r w:rsidRPr="00A6294E">
        <w:t>ing the diverse needs of their workforce, companies are increasingly embracing flexible work arrangements, including work-from-home options, flexible hours, and co-working spaces</w:t>
      </w:r>
      <w:r>
        <w:t xml:space="preserve"> </w:t>
      </w:r>
      <w:r>
        <w:rPr>
          <w:rFonts w:cs="Arial"/>
        </w:rPr>
        <w:t>(Stone, Cox and Gavin, 2021)</w:t>
      </w:r>
      <w:r w:rsidRPr="00A6294E">
        <w:t>. Marriott's proactive approach in implementing these practices aligns with the contemporary emphasis on achieving a positive work-life balance for employees, contributing to the development of effective strategies for modern employee performance management</w:t>
      </w:r>
      <w:r w:rsidR="002056F7">
        <w:t xml:space="preserve"> </w:t>
      </w:r>
      <w:r w:rsidR="002056F7">
        <w:rPr>
          <w:rFonts w:cs="Arial"/>
        </w:rPr>
        <w:t>(Dennerline and Aitken, 2023)</w:t>
      </w:r>
      <w:r w:rsidRPr="00A6294E">
        <w:t>. This adaptive approach not only caters to individual preferences but also aligns with the changing nature of work in the 21st century.</w:t>
      </w:r>
    </w:p>
    <w:p w14:paraId="338D33A0" w14:textId="03002480" w:rsidR="006E4412" w:rsidRDefault="006E4412" w:rsidP="006E4412">
      <w:pPr>
        <w:pStyle w:val="Heading2"/>
      </w:pPr>
      <w:bookmarkStart w:id="7" w:name="_Toc156855670"/>
      <w:r>
        <w:t>1.4 Examples from Industry</w:t>
      </w:r>
      <w:bookmarkEnd w:id="7"/>
    </w:p>
    <w:p w14:paraId="7F51E67E" w14:textId="7EAC362B" w:rsidR="00A36481" w:rsidRDefault="00A36481" w:rsidP="00A36481">
      <w:r>
        <w:t>Prior to Marriott International's initiative, few hospitality companies were good at managing employee performance in a variety of work settings (GPW, 2019). Integrating new technologies made it easier for teams on-site and remote to work together, allowing for hybrid work arrangements. Industry leaders like Hilton and IHG have also used advanced communication tools to make sure that all of their employees are involved and that performance management works well in virtual settings</w:t>
      </w:r>
      <w:r w:rsidR="00D00A0F">
        <w:t xml:space="preserve"> </w:t>
      </w:r>
      <w:r w:rsidR="00D00A0F">
        <w:rPr>
          <w:rFonts w:cs="Arial"/>
        </w:rPr>
        <w:t>(Elliott, 2021)</w:t>
      </w:r>
      <w:r>
        <w:t>.</w:t>
      </w:r>
    </w:p>
    <w:p w14:paraId="04047CDE" w14:textId="2B7CD65B" w:rsidR="00A36481" w:rsidRDefault="00A36481" w:rsidP="00A36481">
      <w:r>
        <w:lastRenderedPageBreak/>
        <w:t>Across a variety of industries, companies are investing in modern, lively remote workspaces. Hyatt and Radisson, for example, ensure that their remote workers have modern, aesthetically pleasing home offices that encourage collaboration, well-being, and creativity</w:t>
      </w:r>
      <w:r w:rsidR="00546680">
        <w:t xml:space="preserve"> </w:t>
      </w:r>
      <w:r w:rsidR="00546680">
        <w:rPr>
          <w:rFonts w:cs="Arial"/>
        </w:rPr>
        <w:t>(Thau, 2020)</w:t>
      </w:r>
      <w:r>
        <w:t>.</w:t>
      </w:r>
    </w:p>
    <w:p w14:paraId="75D70D3F" w14:textId="32F62C31" w:rsidR="006474DE" w:rsidRPr="006E4412" w:rsidRDefault="00A36481" w:rsidP="00A36481">
      <w:r>
        <w:t xml:space="preserve">The industry cares about its workers' health and also values flexibility. One famous example is </w:t>
      </w:r>
      <w:r w:rsidR="00546680" w:rsidRPr="00546680">
        <w:t>Airbnb</w:t>
      </w:r>
      <w:r>
        <w:t>, which encourages a healthy work-life balance by giving employees the option to work from home and during flexible hours</w:t>
      </w:r>
      <w:r w:rsidR="00546680">
        <w:t xml:space="preserve"> </w:t>
      </w:r>
      <w:r w:rsidR="00546680">
        <w:rPr>
          <w:rFonts w:cs="Arial"/>
        </w:rPr>
        <w:t>(Leadem, 2019)</w:t>
      </w:r>
      <w:r>
        <w:t>. Several hospitality brands have shown that they can adapt to changing work conditions by using creative and adaptable methods to improve employee performance.</w:t>
      </w:r>
      <w:r w:rsidR="006474DE">
        <w:br w:type="page"/>
      </w:r>
    </w:p>
    <w:p w14:paraId="435C12AA" w14:textId="0FF99BB4" w:rsidR="00637B31" w:rsidRPr="00E961C7" w:rsidRDefault="00637B31" w:rsidP="006E4620">
      <w:pPr>
        <w:pStyle w:val="Heading1"/>
      </w:pPr>
      <w:bookmarkStart w:id="8" w:name="_Toc156855671"/>
      <w:r w:rsidRPr="00E961C7">
        <w:lastRenderedPageBreak/>
        <w:t>Evaluation and Conclusion</w:t>
      </w:r>
      <w:bookmarkEnd w:id="8"/>
    </w:p>
    <w:p w14:paraId="0376E186" w14:textId="0D9104CC" w:rsidR="000A5F7B" w:rsidRDefault="00B203C7" w:rsidP="000A5F7B">
      <w:r w:rsidRPr="00B203C7">
        <w:t>Conducting research and analysis on the literature can reveal important details about the complicated connection between social and economic factors and managing employee performance in the fast-paced hospitality industry. As the economy stays stable, cultural trends change, and technology improves, these socioeconomic factors greatly affect how people work together and help some organisations reach their goals. The research uses the Job Demand-Resources Model and the Social Exchange Theory to show how important it is to comprehend these parts.</w:t>
      </w:r>
    </w:p>
    <w:p w14:paraId="02B67D38" w14:textId="08828F48" w:rsidR="000A5F7B" w:rsidRDefault="007C2DFD" w:rsidP="000A5F7B">
      <w:r w:rsidRPr="007C2DFD">
        <w:t>The study examines the most common ways people work and finds a clear shift towards flexible hours, working from home, and hybrid work arrangements. This is done to reflect how work is changing, especially in the hospitality industry. Major corporations like IHG, Hilton, and Marriott International have been able to adapt to these changes. By investing in modern office spaces and remote workspaces and fostering a culture that values people, Marriott International set the standard for the industry.</w:t>
      </w:r>
    </w:p>
    <w:p w14:paraId="2DEE6EEA" w14:textId="5B23D2D5" w:rsidR="000A5F7B" w:rsidRDefault="00944F76" w:rsidP="000A5F7B">
      <w:r w:rsidRPr="00944F76">
        <w:t>The PESTLE framework makes it easier to evaluate and compare social and economic factors that affect an industry. Key factors include changes in the government and economy, advances in technology, legal problems, and environmental concerns.</w:t>
      </w:r>
      <w:r w:rsidR="000A5F7B">
        <w:t xml:space="preserve"> Government rules and policies, keeping an eye on their online reputation, and worries about safety are all things that can cause problems or open up opportunities for hotel owners.</w:t>
      </w:r>
    </w:p>
    <w:p w14:paraId="2F21C8E0" w14:textId="77777777" w:rsidR="000A5F7B" w:rsidRDefault="000A5F7B" w:rsidP="000A5F7B">
      <w:r>
        <w:t>It's clear from looking at industry trends, like retention and turnover rates, that having good employee engagement programmes and a positive work culture are key to keeping workers happy and healthy. Research shows that when the economy is uncertain, performance management strategies should be in line with the company's goals.</w:t>
      </w:r>
    </w:p>
    <w:p w14:paraId="3735EA85" w14:textId="54D772BC" w:rsidR="004351B9" w:rsidRPr="004351B9" w:rsidRDefault="000A5F7B" w:rsidP="000A5F7B">
      <w:r w:rsidRPr="000A5F7B">
        <w:t xml:space="preserve">Businesses in the hospitality industry, like Marriott International, need to keep changing with the times and put money into the health and happiness of their workers. Utilising cutting-edge communication tools, creating engaging workspaces, and implementing flexible work arrangements are just a few of the recommendations for successfully navigating the challenges posed by socioeconomic forces. Because the brand is dedicated to excellence, the suggested insights should help Marriott </w:t>
      </w:r>
      <w:r w:rsidRPr="000A5F7B">
        <w:lastRenderedPageBreak/>
        <w:t>International's General Manager come up with smart ways to help their employees do a better job.</w:t>
      </w:r>
      <w:r w:rsidR="004351B9">
        <w:br w:type="page"/>
      </w:r>
    </w:p>
    <w:p w14:paraId="409F35AA" w14:textId="69FD586B" w:rsidR="006E4620" w:rsidRPr="006E4620" w:rsidRDefault="001834FC" w:rsidP="006E4620">
      <w:pPr>
        <w:pStyle w:val="Heading1"/>
      </w:pPr>
      <w:bookmarkStart w:id="9" w:name="_Toc156855672"/>
      <w:r>
        <w:lastRenderedPageBreak/>
        <w:t>Reference</w:t>
      </w:r>
      <w:bookmarkEnd w:id="9"/>
      <w:r>
        <w:t xml:space="preserve"> </w:t>
      </w:r>
    </w:p>
    <w:p w14:paraId="4FDA0D0E" w14:textId="77777777" w:rsidR="00697815" w:rsidRDefault="00697815" w:rsidP="00697815">
      <w:pPr>
        <w:pStyle w:val="NormalWeb"/>
        <w:spacing w:before="0" w:beforeAutospacing="0" w:after="240" w:afterAutospacing="0" w:line="360" w:lineRule="auto"/>
        <w:jc w:val="both"/>
        <w:rPr>
          <w:rFonts w:cs="Arial"/>
        </w:rPr>
      </w:pPr>
      <w:r>
        <w:rPr>
          <w:rFonts w:cs="Arial"/>
        </w:rPr>
        <w:t xml:space="preserve">Aguinis, H. (2019). </w:t>
      </w:r>
      <w:r>
        <w:rPr>
          <w:rFonts w:cs="Arial"/>
          <w:i/>
          <w:iCs/>
        </w:rPr>
        <w:t>Performance Management</w:t>
      </w:r>
      <w:r>
        <w:rPr>
          <w:rFonts w:cs="Arial"/>
        </w:rPr>
        <w:t>. 4th ed. Chicago: Chicago Business Press.</w:t>
      </w:r>
    </w:p>
    <w:p w14:paraId="7B33AE3F" w14:textId="77777777" w:rsidR="00697815" w:rsidRDefault="00697815" w:rsidP="00697815">
      <w:pPr>
        <w:pStyle w:val="NormalWeb"/>
        <w:spacing w:before="0" w:beforeAutospacing="0" w:after="240" w:afterAutospacing="0" w:line="360" w:lineRule="auto"/>
        <w:jc w:val="both"/>
        <w:rPr>
          <w:rFonts w:cs="Arial"/>
        </w:rPr>
      </w:pPr>
      <w:r>
        <w:rPr>
          <w:rFonts w:cs="Arial"/>
        </w:rPr>
        <w:t xml:space="preserve">Armstrong, M. and Taylor, S. (2020). </w:t>
      </w:r>
      <w:r>
        <w:rPr>
          <w:rFonts w:cs="Arial"/>
          <w:i/>
          <w:iCs/>
        </w:rPr>
        <w:t>Armstrong’s handbook of strategic human resource management : improve business performance through strategic people management</w:t>
      </w:r>
      <w:r>
        <w:rPr>
          <w:rFonts w:cs="Arial"/>
        </w:rPr>
        <w:t>. New York: Kogan Page.</w:t>
      </w:r>
    </w:p>
    <w:p w14:paraId="08B090C4" w14:textId="77777777" w:rsidR="00697815" w:rsidRDefault="00697815" w:rsidP="00697815">
      <w:pPr>
        <w:pStyle w:val="NormalWeb"/>
        <w:spacing w:before="0" w:beforeAutospacing="0" w:after="240" w:afterAutospacing="0" w:line="360" w:lineRule="auto"/>
        <w:jc w:val="both"/>
        <w:rPr>
          <w:rFonts w:cs="Arial"/>
        </w:rPr>
      </w:pPr>
      <w:r>
        <w:rPr>
          <w:rFonts w:cs="Arial"/>
        </w:rPr>
        <w:t xml:space="preserve">Chen, I-Shuo. (2021). </w:t>
      </w:r>
      <w:r>
        <w:rPr>
          <w:rFonts w:cs="Arial"/>
          <w:i/>
          <w:iCs/>
        </w:rPr>
        <w:t>Extending the Job Demands-resources Model of Work Engagement</w:t>
      </w:r>
      <w:r>
        <w:rPr>
          <w:rFonts w:cs="Arial"/>
        </w:rPr>
        <w:t>.</w:t>
      </w:r>
    </w:p>
    <w:p w14:paraId="78AE55A3" w14:textId="77777777" w:rsidR="00697815" w:rsidRDefault="00697815" w:rsidP="00697815">
      <w:pPr>
        <w:pStyle w:val="NormalWeb"/>
        <w:spacing w:before="0" w:beforeAutospacing="0" w:after="240" w:afterAutospacing="0" w:line="360" w:lineRule="auto"/>
        <w:jc w:val="both"/>
        <w:rPr>
          <w:rFonts w:cs="Arial"/>
        </w:rPr>
      </w:pPr>
      <w:r>
        <w:rPr>
          <w:rFonts w:cs="Arial"/>
        </w:rPr>
        <w:t xml:space="preserve">Cook, K.S. (2022). </w:t>
      </w:r>
      <w:r>
        <w:rPr>
          <w:rFonts w:cs="Arial"/>
          <w:i/>
          <w:iCs/>
        </w:rPr>
        <w:t>Social exchange theory</w:t>
      </w:r>
      <w:r>
        <w:rPr>
          <w:rFonts w:cs="Arial"/>
        </w:rPr>
        <w:t>. Ann Arbor, Mich: Umi, Books On Demand.</w:t>
      </w:r>
    </w:p>
    <w:p w14:paraId="53185562" w14:textId="77777777" w:rsidR="00697815" w:rsidRDefault="00697815" w:rsidP="00697815">
      <w:pPr>
        <w:pStyle w:val="NormalWeb"/>
        <w:spacing w:before="0" w:beforeAutospacing="0" w:after="240" w:afterAutospacing="0" w:line="360" w:lineRule="auto"/>
        <w:jc w:val="both"/>
        <w:rPr>
          <w:rFonts w:cs="Arial"/>
        </w:rPr>
      </w:pPr>
      <w:r>
        <w:rPr>
          <w:rFonts w:cs="Arial"/>
        </w:rPr>
        <w:t xml:space="preserve">Dennerline, D. and Aitken, J. (2023). </w:t>
      </w:r>
      <w:r>
        <w:rPr>
          <w:rFonts w:cs="Arial"/>
          <w:i/>
          <w:iCs/>
        </w:rPr>
        <w:t>Make Work Better</w:t>
      </w:r>
      <w:r>
        <w:rPr>
          <w:rFonts w:cs="Arial"/>
        </w:rPr>
        <w:t>. Simon and Schuster.</w:t>
      </w:r>
    </w:p>
    <w:p w14:paraId="67908483" w14:textId="77777777" w:rsidR="00697815" w:rsidRDefault="00697815" w:rsidP="00697815">
      <w:pPr>
        <w:pStyle w:val="NormalWeb"/>
        <w:spacing w:before="0" w:beforeAutospacing="0" w:after="240" w:afterAutospacing="0" w:line="360" w:lineRule="auto"/>
        <w:jc w:val="both"/>
        <w:rPr>
          <w:rFonts w:cs="Arial"/>
        </w:rPr>
      </w:pPr>
      <w:r>
        <w:rPr>
          <w:rFonts w:cs="Arial"/>
        </w:rPr>
        <w:t xml:space="preserve">Elliott, C. (2021). </w:t>
      </w:r>
      <w:r>
        <w:rPr>
          <w:rFonts w:cs="Arial"/>
          <w:i/>
          <w:iCs/>
        </w:rPr>
        <w:t>How IHG Hotels &amp; Resorts Reinvented Itself During The Pandemic</w:t>
      </w:r>
      <w:r>
        <w:rPr>
          <w:rFonts w:cs="Arial"/>
        </w:rPr>
        <w:t>. [online] Forbes. Available at: https://www.forbes.com/sites/christopherelliott/2021/02/19/how-ihg-hotels--resorts-reinvented-itself-during-the-pandemic/?sh=658379027162 [Accessed 22 Jan. 2024].</w:t>
      </w:r>
    </w:p>
    <w:p w14:paraId="2E3895B8" w14:textId="77777777" w:rsidR="00697815" w:rsidRDefault="00697815" w:rsidP="00697815">
      <w:pPr>
        <w:pStyle w:val="NormalWeb"/>
        <w:spacing w:before="0" w:beforeAutospacing="0" w:after="240" w:afterAutospacing="0" w:line="360" w:lineRule="auto"/>
        <w:jc w:val="both"/>
        <w:rPr>
          <w:rFonts w:cs="Arial"/>
        </w:rPr>
      </w:pPr>
      <w:r>
        <w:rPr>
          <w:rFonts w:cs="Arial"/>
        </w:rPr>
        <w:t xml:space="preserve">Frue, K. (2019). </w:t>
      </w:r>
      <w:r>
        <w:rPr>
          <w:rFonts w:cs="Arial"/>
          <w:i/>
          <w:iCs/>
        </w:rPr>
        <w:t>PESTLE Analysis for Hotel Industry</w:t>
      </w:r>
      <w:r>
        <w:rPr>
          <w:rFonts w:cs="Arial"/>
        </w:rPr>
        <w:t>. [online] PESTLE Analysis. Available at: https://pestleanalysis.com/pestle-analysis-for-hotel-industry/.</w:t>
      </w:r>
    </w:p>
    <w:p w14:paraId="4BD47E8C" w14:textId="77777777" w:rsidR="00697815" w:rsidRDefault="00697815" w:rsidP="00697815">
      <w:pPr>
        <w:pStyle w:val="NormalWeb"/>
        <w:spacing w:before="0" w:beforeAutospacing="0" w:after="240" w:afterAutospacing="0" w:line="360" w:lineRule="auto"/>
        <w:jc w:val="both"/>
        <w:rPr>
          <w:rFonts w:cs="Arial"/>
        </w:rPr>
      </w:pPr>
      <w:r>
        <w:rPr>
          <w:rFonts w:cs="Arial"/>
        </w:rPr>
        <w:t xml:space="preserve">GPW, G.P. to W. (2019). </w:t>
      </w:r>
      <w:r>
        <w:rPr>
          <w:rFonts w:cs="Arial"/>
          <w:i/>
          <w:iCs/>
        </w:rPr>
        <w:t>Marriott International, Inc.</w:t>
      </w:r>
      <w:r>
        <w:rPr>
          <w:rFonts w:cs="Arial"/>
        </w:rPr>
        <w:t xml:space="preserve"> [online] Great Place To Work United States. Available at: https://www.greatplacetowork.com/certified-company/1000152.</w:t>
      </w:r>
    </w:p>
    <w:p w14:paraId="32079E5F" w14:textId="77777777" w:rsidR="00697815" w:rsidRDefault="00697815" w:rsidP="00697815">
      <w:pPr>
        <w:pStyle w:val="NormalWeb"/>
        <w:spacing w:before="0" w:beforeAutospacing="0" w:after="240" w:afterAutospacing="0" w:line="360" w:lineRule="auto"/>
        <w:jc w:val="both"/>
        <w:rPr>
          <w:rFonts w:cs="Arial"/>
        </w:rPr>
      </w:pPr>
      <w:r>
        <w:rPr>
          <w:rFonts w:cs="Arial"/>
        </w:rPr>
        <w:t xml:space="preserve">Henri Savall and Zardet, V. (2023). </w:t>
      </w:r>
      <w:r>
        <w:rPr>
          <w:rFonts w:cs="Arial"/>
          <w:i/>
          <w:iCs/>
        </w:rPr>
        <w:t>Socio-Economic Approach to Management Treatise</w:t>
      </w:r>
      <w:r>
        <w:rPr>
          <w:rFonts w:cs="Arial"/>
        </w:rPr>
        <w:t>. IAP.</w:t>
      </w:r>
    </w:p>
    <w:p w14:paraId="6953705C" w14:textId="77777777" w:rsidR="00697815" w:rsidRDefault="00697815" w:rsidP="00697815">
      <w:pPr>
        <w:pStyle w:val="NormalWeb"/>
        <w:spacing w:before="0" w:beforeAutospacing="0" w:after="240" w:afterAutospacing="0" w:line="360" w:lineRule="auto"/>
        <w:jc w:val="both"/>
        <w:rPr>
          <w:rFonts w:cs="Arial"/>
        </w:rPr>
      </w:pPr>
      <w:r>
        <w:rPr>
          <w:rFonts w:cs="Arial"/>
        </w:rPr>
        <w:t xml:space="preserve">Leadem, R. (2019). </w:t>
      </w:r>
      <w:r>
        <w:rPr>
          <w:rFonts w:cs="Arial"/>
          <w:i/>
          <w:iCs/>
        </w:rPr>
        <w:t>10 Leaders Who Set Good Work-Life Balance Examples</w:t>
      </w:r>
      <w:r>
        <w:rPr>
          <w:rFonts w:cs="Arial"/>
        </w:rPr>
        <w:t>. [online] Entrepreneur. Available at: https://www.entrepreneur.com/leadership/10-leaders-who-set-good-work-life-balance-examples/302867.</w:t>
      </w:r>
    </w:p>
    <w:p w14:paraId="410A6F0F" w14:textId="77777777" w:rsidR="00697815" w:rsidRDefault="00697815" w:rsidP="00697815">
      <w:pPr>
        <w:pStyle w:val="NormalWeb"/>
        <w:spacing w:before="0" w:beforeAutospacing="0" w:after="240" w:afterAutospacing="0" w:line="360" w:lineRule="auto"/>
        <w:jc w:val="both"/>
        <w:rPr>
          <w:rFonts w:cs="Arial"/>
        </w:rPr>
      </w:pPr>
      <w:r>
        <w:rPr>
          <w:rFonts w:cs="Arial"/>
        </w:rPr>
        <w:t xml:space="preserve">Marriott International (2023). </w:t>
      </w:r>
      <w:r>
        <w:rPr>
          <w:rFonts w:cs="Arial"/>
          <w:i/>
          <w:iCs/>
        </w:rPr>
        <w:t>About Marriott International | Corporate Information</w:t>
      </w:r>
      <w:r>
        <w:rPr>
          <w:rFonts w:cs="Arial"/>
        </w:rPr>
        <w:t>. [online] Marriott.com. Available at: https://www.marriott.com/marriott/aboutmarriott.mi.</w:t>
      </w:r>
    </w:p>
    <w:p w14:paraId="48537308" w14:textId="77777777" w:rsidR="00697815" w:rsidRDefault="00697815" w:rsidP="00697815">
      <w:pPr>
        <w:pStyle w:val="NormalWeb"/>
        <w:spacing w:before="0" w:beforeAutospacing="0" w:after="240" w:afterAutospacing="0" w:line="360" w:lineRule="auto"/>
        <w:jc w:val="both"/>
        <w:rPr>
          <w:rFonts w:cs="Arial"/>
        </w:rPr>
      </w:pPr>
      <w:r>
        <w:rPr>
          <w:rFonts w:cs="Arial"/>
        </w:rPr>
        <w:lastRenderedPageBreak/>
        <w:t xml:space="preserve">Marriott News (2020). </w:t>
      </w:r>
      <w:r>
        <w:rPr>
          <w:rFonts w:cs="Arial"/>
          <w:i/>
          <w:iCs/>
        </w:rPr>
        <w:t>Marriott International Announces New Offering to Work Anywhere with Marriott Bonvoy as an Alternative to Working from Home for the Day, Overnight or Getaway</w:t>
      </w:r>
      <w:r>
        <w:rPr>
          <w:rFonts w:cs="Arial"/>
        </w:rPr>
        <w:t>. [online] Marriott International Newscenter (US). Available at: https://news.marriott.com/news/marriott-international-announces-new-offering-to-work-anywhere-with-marriott-bonvoy-as-an-alternative-to-working-from-home-for-the-day-overnight-or-getaway.</w:t>
      </w:r>
    </w:p>
    <w:p w14:paraId="4470D8EA" w14:textId="77777777" w:rsidR="00697815" w:rsidRDefault="00697815" w:rsidP="00697815">
      <w:pPr>
        <w:pStyle w:val="NormalWeb"/>
        <w:spacing w:before="0" w:beforeAutospacing="0" w:after="240" w:afterAutospacing="0" w:line="360" w:lineRule="auto"/>
        <w:jc w:val="both"/>
        <w:rPr>
          <w:rFonts w:cs="Arial"/>
        </w:rPr>
      </w:pPr>
      <w:r>
        <w:rPr>
          <w:rFonts w:cs="Arial"/>
        </w:rPr>
        <w:t xml:space="preserve">Mest, E. (2019). </w:t>
      </w:r>
      <w:r>
        <w:rPr>
          <w:rFonts w:cs="Arial"/>
          <w:i/>
          <w:iCs/>
        </w:rPr>
        <w:t>DEVELOPMENT Marriott International reveals new corporate headquarters in Bethesda, Md.</w:t>
      </w:r>
      <w:r>
        <w:rPr>
          <w:rFonts w:cs="Arial"/>
        </w:rPr>
        <w:t xml:space="preserve"> [online] https://www.hotelmanagement.net/development/. Available at: https://www.hotelmanagement.net/development/marriott-international-reveals-new-corporate-headquarters-bethesda-md [Accessed 2024].</w:t>
      </w:r>
    </w:p>
    <w:p w14:paraId="383E6F23" w14:textId="77777777" w:rsidR="00697815" w:rsidRDefault="00697815" w:rsidP="00697815">
      <w:pPr>
        <w:pStyle w:val="NormalWeb"/>
        <w:spacing w:before="0" w:beforeAutospacing="0" w:after="240" w:afterAutospacing="0" w:line="360" w:lineRule="auto"/>
        <w:jc w:val="both"/>
        <w:rPr>
          <w:rFonts w:cs="Arial"/>
        </w:rPr>
      </w:pPr>
      <w:r>
        <w:rPr>
          <w:rFonts w:cs="Arial"/>
        </w:rPr>
        <w:t xml:space="preserve">Morrison, A.M. (2022). </w:t>
      </w:r>
      <w:r>
        <w:rPr>
          <w:rFonts w:cs="Arial"/>
          <w:i/>
          <w:iCs/>
        </w:rPr>
        <w:t>Hospitality and Travel Marketing</w:t>
      </w:r>
      <w:r>
        <w:rPr>
          <w:rFonts w:cs="Arial"/>
        </w:rPr>
        <w:t>. Taylor &amp; Francis.</w:t>
      </w:r>
    </w:p>
    <w:p w14:paraId="4E3A5B4B" w14:textId="77777777" w:rsidR="00697815" w:rsidRDefault="00697815" w:rsidP="00697815">
      <w:pPr>
        <w:pStyle w:val="NormalWeb"/>
        <w:spacing w:before="0" w:beforeAutospacing="0" w:after="240" w:afterAutospacing="0" w:line="360" w:lineRule="auto"/>
        <w:jc w:val="both"/>
        <w:rPr>
          <w:rFonts w:cs="Arial"/>
        </w:rPr>
      </w:pPr>
      <w:r>
        <w:rPr>
          <w:rFonts w:cs="Arial"/>
        </w:rPr>
        <w:t xml:space="preserve">Mulligan, C. and Taylor, C.R. (2019). </w:t>
      </w:r>
      <w:r>
        <w:rPr>
          <w:rFonts w:cs="Arial"/>
          <w:i/>
          <w:iCs/>
        </w:rPr>
        <w:t>Talent keepers : how top leaders engage and retain their best performers</w:t>
      </w:r>
      <w:r>
        <w:rPr>
          <w:rFonts w:cs="Arial"/>
        </w:rPr>
        <w:t>. Hoboken, New Jersey: John Wiley &amp; Sons, Inc.</w:t>
      </w:r>
    </w:p>
    <w:p w14:paraId="2FCD3453" w14:textId="77777777" w:rsidR="00697815" w:rsidRDefault="00697815" w:rsidP="00697815">
      <w:pPr>
        <w:pStyle w:val="NormalWeb"/>
        <w:spacing w:before="0" w:beforeAutospacing="0" w:after="240" w:afterAutospacing="0" w:line="360" w:lineRule="auto"/>
        <w:jc w:val="both"/>
        <w:rPr>
          <w:rFonts w:cs="Arial"/>
        </w:rPr>
      </w:pPr>
      <w:r>
        <w:rPr>
          <w:rFonts w:cs="Arial"/>
        </w:rPr>
        <w:t xml:space="preserve">Ogunyemi, K. and Onaga, A.I. (2023). </w:t>
      </w:r>
      <w:r>
        <w:rPr>
          <w:rFonts w:cs="Arial"/>
          <w:i/>
          <w:iCs/>
        </w:rPr>
        <w:t>Responsible Management of Shifts in Work Modes – Values for Post Pandemic Sustainability, Volume 2</w:t>
      </w:r>
      <w:r>
        <w:rPr>
          <w:rFonts w:cs="Arial"/>
        </w:rPr>
        <w:t>. Emerald Group Publishing.</w:t>
      </w:r>
    </w:p>
    <w:p w14:paraId="6E5D1317" w14:textId="77777777" w:rsidR="00697815" w:rsidRDefault="00697815" w:rsidP="00697815">
      <w:pPr>
        <w:pStyle w:val="NormalWeb"/>
        <w:spacing w:before="0" w:beforeAutospacing="0" w:after="240" w:afterAutospacing="0" w:line="360" w:lineRule="auto"/>
        <w:jc w:val="both"/>
        <w:rPr>
          <w:rFonts w:cs="Arial"/>
        </w:rPr>
      </w:pPr>
      <w:r>
        <w:rPr>
          <w:rFonts w:cs="Arial"/>
        </w:rPr>
        <w:t xml:space="preserve">Rahman, M. (2021). </w:t>
      </w:r>
      <w:r>
        <w:rPr>
          <w:rFonts w:cs="Arial"/>
          <w:i/>
          <w:iCs/>
        </w:rPr>
        <w:t>PESTEL analysis of the hospitality industry</w:t>
      </w:r>
      <w:r>
        <w:rPr>
          <w:rFonts w:cs="Arial"/>
        </w:rPr>
        <w:t>. [online] howandwhat. Available at: https://www.howandwhat.net/pestel-analysis-hospitality-industry/.</w:t>
      </w:r>
    </w:p>
    <w:p w14:paraId="03B24961" w14:textId="77777777" w:rsidR="00697815" w:rsidRDefault="00697815" w:rsidP="00697815">
      <w:pPr>
        <w:pStyle w:val="NormalWeb"/>
        <w:spacing w:before="0" w:beforeAutospacing="0" w:after="240" w:afterAutospacing="0" w:line="360" w:lineRule="auto"/>
        <w:jc w:val="both"/>
        <w:rPr>
          <w:rFonts w:cs="Arial"/>
        </w:rPr>
      </w:pPr>
      <w:r>
        <w:rPr>
          <w:rFonts w:cs="Arial"/>
        </w:rPr>
        <w:t xml:space="preserve">Roberts, J. (2023). </w:t>
      </w:r>
      <w:r>
        <w:rPr>
          <w:rFonts w:cs="Arial"/>
          <w:i/>
          <w:iCs/>
        </w:rPr>
        <w:t>Intellectual development of children by demographic and socioeconomic factors, United States.</w:t>
      </w:r>
      <w:r>
        <w:rPr>
          <w:rFonts w:cs="Arial"/>
        </w:rPr>
        <w:t xml:space="preserve"> </w:t>
      </w:r>
      <w:r>
        <w:rPr>
          <w:rFonts w:ascii="MS Gothic" w:eastAsia="MS Gothic" w:hAnsi="MS Gothic" w:cs="MS Gothic" w:hint="eastAsia"/>
        </w:rPr>
        <w:t>出版商：</w:t>
      </w:r>
      <w:r>
        <w:rPr>
          <w:rFonts w:cs="Arial"/>
        </w:rPr>
        <w:t xml:space="preserve"> Rockville, Md., National Center For Health Statistics; [For Sale By The Supt. Of Docs., U.S. Govt. Print. Off., Washington.</w:t>
      </w:r>
    </w:p>
    <w:p w14:paraId="69B5B0A1" w14:textId="77777777" w:rsidR="00697815" w:rsidRDefault="00697815" w:rsidP="00697815">
      <w:pPr>
        <w:pStyle w:val="NormalWeb"/>
        <w:spacing w:before="0" w:beforeAutospacing="0" w:after="240" w:afterAutospacing="0" w:line="360" w:lineRule="auto"/>
        <w:jc w:val="both"/>
        <w:rPr>
          <w:rFonts w:cs="Arial"/>
        </w:rPr>
      </w:pPr>
      <w:r>
        <w:rPr>
          <w:rFonts w:cs="Arial"/>
        </w:rPr>
        <w:t xml:space="preserve">Shafik, M. (2021). </w:t>
      </w:r>
      <w:r>
        <w:rPr>
          <w:rFonts w:cs="Arial"/>
          <w:i/>
          <w:iCs/>
        </w:rPr>
        <w:t>WHAT WE OWE EACH OTHER : a new social contract for a better society.</w:t>
      </w:r>
      <w:r>
        <w:rPr>
          <w:rFonts w:cs="Arial"/>
        </w:rPr>
        <w:t xml:space="preserve"> S.L.: Princeton Univ Press.</w:t>
      </w:r>
    </w:p>
    <w:p w14:paraId="7A45F8A3" w14:textId="77777777" w:rsidR="00697815" w:rsidRDefault="00697815" w:rsidP="00697815">
      <w:pPr>
        <w:pStyle w:val="NormalWeb"/>
        <w:spacing w:before="0" w:beforeAutospacing="0" w:after="240" w:afterAutospacing="0" w:line="360" w:lineRule="auto"/>
        <w:jc w:val="both"/>
        <w:rPr>
          <w:rFonts w:cs="Arial"/>
        </w:rPr>
      </w:pPr>
      <w:r>
        <w:rPr>
          <w:rFonts w:cs="Arial"/>
        </w:rPr>
        <w:t xml:space="preserve">Sparrow, P. and Cooper, C.L. (2022). </w:t>
      </w:r>
      <w:r>
        <w:rPr>
          <w:rFonts w:cs="Arial"/>
          <w:i/>
          <w:iCs/>
        </w:rPr>
        <w:t>The Employment Relationship: Key Challenges for HR</w:t>
      </w:r>
      <w:r>
        <w:rPr>
          <w:rFonts w:cs="Arial"/>
        </w:rPr>
        <w:t>. Routledge.</w:t>
      </w:r>
    </w:p>
    <w:p w14:paraId="6960717C" w14:textId="77777777" w:rsidR="00697815" w:rsidRDefault="00697815" w:rsidP="00697815">
      <w:pPr>
        <w:pStyle w:val="NormalWeb"/>
        <w:spacing w:before="0" w:beforeAutospacing="0" w:after="240" w:afterAutospacing="0" w:line="360" w:lineRule="auto"/>
        <w:jc w:val="both"/>
        <w:rPr>
          <w:rFonts w:cs="Arial"/>
        </w:rPr>
      </w:pPr>
      <w:r>
        <w:rPr>
          <w:rFonts w:cs="Arial"/>
        </w:rPr>
        <w:t xml:space="preserve">Stone, R.J., Cox, A. and Gavin, M. (2021). </w:t>
      </w:r>
      <w:r>
        <w:rPr>
          <w:rFonts w:cs="Arial"/>
          <w:i/>
          <w:iCs/>
        </w:rPr>
        <w:t>Human Resource Management.</w:t>
      </w:r>
      <w:r>
        <w:rPr>
          <w:rFonts w:cs="Arial"/>
        </w:rPr>
        <w:t xml:space="preserve"> 10th ed. Wiley.</w:t>
      </w:r>
    </w:p>
    <w:p w14:paraId="33EE8E05" w14:textId="77777777" w:rsidR="00697815" w:rsidRDefault="00697815" w:rsidP="00697815">
      <w:pPr>
        <w:pStyle w:val="NormalWeb"/>
        <w:spacing w:before="0" w:beforeAutospacing="0" w:after="240" w:afterAutospacing="0" w:line="360" w:lineRule="auto"/>
        <w:jc w:val="both"/>
        <w:rPr>
          <w:rFonts w:cs="Arial"/>
        </w:rPr>
      </w:pPr>
      <w:r>
        <w:rPr>
          <w:rFonts w:cs="Arial"/>
        </w:rPr>
        <w:lastRenderedPageBreak/>
        <w:t xml:space="preserve">Thau, B. (2020). </w:t>
      </w:r>
      <w:r>
        <w:rPr>
          <w:rFonts w:cs="Arial"/>
          <w:i/>
          <w:iCs/>
        </w:rPr>
        <w:t>Hyatt Is Capitalizing on Remote-Work Boom With ‘Work From Hyatt’ Push</w:t>
      </w:r>
      <w:r>
        <w:rPr>
          <w:rFonts w:cs="Arial"/>
        </w:rPr>
        <w:t>. [online] https://www.uschamber.com/co. Available at: https://www.uschamber.com/co/good-company/the-leap/work-from-hyatt-remote-work-travel.</w:t>
      </w:r>
    </w:p>
    <w:p w14:paraId="4A21C44B" w14:textId="334E5ACE" w:rsidR="006E4620" w:rsidRPr="009E34ED" w:rsidRDefault="00697815" w:rsidP="00697815">
      <w:pPr>
        <w:pStyle w:val="NormalWeb"/>
        <w:spacing w:before="0" w:beforeAutospacing="0" w:after="240" w:afterAutospacing="0" w:line="360" w:lineRule="auto"/>
        <w:jc w:val="both"/>
        <w:rPr>
          <w:rFonts w:cs="Arial"/>
        </w:rPr>
      </w:pPr>
      <w:r>
        <w:rPr>
          <w:rFonts w:cs="Arial"/>
        </w:rPr>
        <w:t xml:space="preserve">Thomas Del Marmol (2021). </w:t>
      </w:r>
      <w:r>
        <w:rPr>
          <w:rFonts w:cs="Arial"/>
          <w:i/>
          <w:iCs/>
        </w:rPr>
        <w:t>PESTLE Analysis [ePub] [electronicresource] : Prepare the best strategies in advance.</w:t>
      </w:r>
      <w:r>
        <w:rPr>
          <w:rFonts w:cs="Arial"/>
        </w:rPr>
        <w:t xml:space="preserve"> 50Minutes.com.</w:t>
      </w:r>
    </w:p>
    <w:sectPr w:rsidR="006E4620" w:rsidRPr="009E34ED" w:rsidSect="00C744BA">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DB31DA" w14:textId="77777777" w:rsidR="00C744BA" w:rsidRDefault="00C744BA" w:rsidP="001834FC">
      <w:pPr>
        <w:spacing w:after="0" w:line="240" w:lineRule="auto"/>
      </w:pPr>
      <w:r>
        <w:separator/>
      </w:r>
    </w:p>
  </w:endnote>
  <w:endnote w:type="continuationSeparator" w:id="0">
    <w:p w14:paraId="44F5BEF9" w14:textId="77777777" w:rsidR="00C744BA" w:rsidRDefault="00C744BA"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52174E0E" w:rsidR="001834FC" w:rsidRDefault="001834FC">
        <w:pPr>
          <w:pStyle w:val="Footer"/>
          <w:jc w:val="right"/>
        </w:pPr>
        <w:r>
          <w:fldChar w:fldCharType="begin"/>
        </w:r>
        <w:r>
          <w:instrText xml:space="preserve"> PAGE   \* MERGEFORMAT </w:instrText>
        </w:r>
        <w:r>
          <w:fldChar w:fldCharType="separate"/>
        </w:r>
        <w:r w:rsidR="00161ABF">
          <w:rPr>
            <w:noProof/>
          </w:rPr>
          <w:t>i</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DEE943" w14:textId="77777777" w:rsidR="00C744BA" w:rsidRDefault="00C744BA" w:rsidP="001834FC">
      <w:pPr>
        <w:spacing w:after="0" w:line="240" w:lineRule="auto"/>
      </w:pPr>
      <w:r>
        <w:separator/>
      </w:r>
    </w:p>
  </w:footnote>
  <w:footnote w:type="continuationSeparator" w:id="0">
    <w:p w14:paraId="798281A5" w14:textId="77777777" w:rsidR="00C744BA" w:rsidRDefault="00C744BA"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073CE"/>
    <w:multiLevelType w:val="multilevel"/>
    <w:tmpl w:val="D9BCB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BB3D81"/>
    <w:multiLevelType w:val="multilevel"/>
    <w:tmpl w:val="7CE62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C555A2"/>
    <w:multiLevelType w:val="multilevel"/>
    <w:tmpl w:val="C694A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7880308"/>
    <w:multiLevelType w:val="multilevel"/>
    <w:tmpl w:val="12884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20314A"/>
    <w:multiLevelType w:val="multilevel"/>
    <w:tmpl w:val="21088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7D1F9B"/>
    <w:multiLevelType w:val="hybridMultilevel"/>
    <w:tmpl w:val="43EE73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A8228BB"/>
    <w:multiLevelType w:val="multilevel"/>
    <w:tmpl w:val="6F104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067117"/>
    <w:multiLevelType w:val="multilevel"/>
    <w:tmpl w:val="9D4A8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D14688"/>
    <w:multiLevelType w:val="multilevel"/>
    <w:tmpl w:val="42CCF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00B100B"/>
    <w:multiLevelType w:val="multilevel"/>
    <w:tmpl w:val="637AD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BB33D3"/>
    <w:multiLevelType w:val="multilevel"/>
    <w:tmpl w:val="AE403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A1B01DB"/>
    <w:multiLevelType w:val="multilevel"/>
    <w:tmpl w:val="BD40C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A5240C6"/>
    <w:multiLevelType w:val="multilevel"/>
    <w:tmpl w:val="79C4E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8D27D6"/>
    <w:multiLevelType w:val="multilevel"/>
    <w:tmpl w:val="DCD8E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13D389A"/>
    <w:multiLevelType w:val="multilevel"/>
    <w:tmpl w:val="4EA69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6784907"/>
    <w:multiLevelType w:val="multilevel"/>
    <w:tmpl w:val="91F4B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723704D"/>
    <w:multiLevelType w:val="multilevel"/>
    <w:tmpl w:val="0A4A1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8123A07"/>
    <w:multiLevelType w:val="multilevel"/>
    <w:tmpl w:val="D6ECC1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29A443E"/>
    <w:multiLevelType w:val="multilevel"/>
    <w:tmpl w:val="881AC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2CD738E"/>
    <w:multiLevelType w:val="multilevel"/>
    <w:tmpl w:val="C6E86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8CB5A9F"/>
    <w:multiLevelType w:val="multilevel"/>
    <w:tmpl w:val="7FF2D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FF410E8"/>
    <w:multiLevelType w:val="multilevel"/>
    <w:tmpl w:val="80D83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01633D6"/>
    <w:multiLevelType w:val="multilevel"/>
    <w:tmpl w:val="B0C63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2BB223C"/>
    <w:multiLevelType w:val="multilevel"/>
    <w:tmpl w:val="275C7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3B64543"/>
    <w:multiLevelType w:val="multilevel"/>
    <w:tmpl w:val="B5B2F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7286DAD"/>
    <w:multiLevelType w:val="multilevel"/>
    <w:tmpl w:val="C20A8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8CE1BF5"/>
    <w:multiLevelType w:val="multilevel"/>
    <w:tmpl w:val="63A09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8EC25A0"/>
    <w:multiLevelType w:val="multilevel"/>
    <w:tmpl w:val="69C2C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B3016F0"/>
    <w:multiLevelType w:val="multilevel"/>
    <w:tmpl w:val="51CA0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0862D37"/>
    <w:multiLevelType w:val="multilevel"/>
    <w:tmpl w:val="97EA6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7BF516A"/>
    <w:multiLevelType w:val="multilevel"/>
    <w:tmpl w:val="36EED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95B1B65"/>
    <w:multiLevelType w:val="multilevel"/>
    <w:tmpl w:val="3DBA9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A1622E1"/>
    <w:multiLevelType w:val="multilevel"/>
    <w:tmpl w:val="B6B84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D687A17"/>
    <w:multiLevelType w:val="hybridMultilevel"/>
    <w:tmpl w:val="0C1005A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E3835EB"/>
    <w:multiLevelType w:val="multilevel"/>
    <w:tmpl w:val="872E6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FCA7353"/>
    <w:multiLevelType w:val="multilevel"/>
    <w:tmpl w:val="32FE8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4420512">
    <w:abstractNumId w:val="8"/>
  </w:num>
  <w:num w:numId="2" w16cid:durableId="1373727694">
    <w:abstractNumId w:val="28"/>
  </w:num>
  <w:num w:numId="3" w16cid:durableId="1798909905">
    <w:abstractNumId w:val="31"/>
  </w:num>
  <w:num w:numId="4" w16cid:durableId="325741458">
    <w:abstractNumId w:val="10"/>
  </w:num>
  <w:num w:numId="5" w16cid:durableId="1126898996">
    <w:abstractNumId w:val="14"/>
  </w:num>
  <w:num w:numId="6" w16cid:durableId="1581871762">
    <w:abstractNumId w:val="11"/>
  </w:num>
  <w:num w:numId="7" w16cid:durableId="1331758619">
    <w:abstractNumId w:val="2"/>
  </w:num>
  <w:num w:numId="8" w16cid:durableId="2001955645">
    <w:abstractNumId w:val="29"/>
  </w:num>
  <w:num w:numId="9" w16cid:durableId="1427073987">
    <w:abstractNumId w:val="32"/>
  </w:num>
  <w:num w:numId="10" w16cid:durableId="228467295">
    <w:abstractNumId w:val="27"/>
  </w:num>
  <w:num w:numId="11" w16cid:durableId="1377198367">
    <w:abstractNumId w:val="13"/>
  </w:num>
  <w:num w:numId="12" w16cid:durableId="1138036399">
    <w:abstractNumId w:val="18"/>
  </w:num>
  <w:num w:numId="13" w16cid:durableId="1806704653">
    <w:abstractNumId w:val="34"/>
  </w:num>
  <w:num w:numId="14" w16cid:durableId="1754546632">
    <w:abstractNumId w:val="23"/>
  </w:num>
  <w:num w:numId="15" w16cid:durableId="1948124245">
    <w:abstractNumId w:val="16"/>
  </w:num>
  <w:num w:numId="16" w16cid:durableId="76561700">
    <w:abstractNumId w:val="30"/>
  </w:num>
  <w:num w:numId="17" w16cid:durableId="1267078687">
    <w:abstractNumId w:val="17"/>
  </w:num>
  <w:num w:numId="18" w16cid:durableId="1258635392">
    <w:abstractNumId w:val="15"/>
  </w:num>
  <w:num w:numId="19" w16cid:durableId="1286765909">
    <w:abstractNumId w:val="1"/>
  </w:num>
  <w:num w:numId="20" w16cid:durableId="310716600">
    <w:abstractNumId w:val="6"/>
  </w:num>
  <w:num w:numId="21" w16cid:durableId="556089822">
    <w:abstractNumId w:val="21"/>
  </w:num>
  <w:num w:numId="22" w16cid:durableId="940916792">
    <w:abstractNumId w:val="20"/>
  </w:num>
  <w:num w:numId="23" w16cid:durableId="1743333277">
    <w:abstractNumId w:val="19"/>
  </w:num>
  <w:num w:numId="24" w16cid:durableId="472331975">
    <w:abstractNumId w:val="35"/>
  </w:num>
  <w:num w:numId="25" w16cid:durableId="304700814">
    <w:abstractNumId w:val="12"/>
  </w:num>
  <w:num w:numId="26" w16cid:durableId="278727513">
    <w:abstractNumId w:val="9"/>
  </w:num>
  <w:num w:numId="27" w16cid:durableId="2066949241">
    <w:abstractNumId w:val="4"/>
  </w:num>
  <w:num w:numId="28" w16cid:durableId="1296790255">
    <w:abstractNumId w:val="7"/>
  </w:num>
  <w:num w:numId="29" w16cid:durableId="576748924">
    <w:abstractNumId w:val="24"/>
  </w:num>
  <w:num w:numId="30" w16cid:durableId="1523857856">
    <w:abstractNumId w:val="22"/>
  </w:num>
  <w:num w:numId="31" w16cid:durableId="1133987367">
    <w:abstractNumId w:val="26"/>
  </w:num>
  <w:num w:numId="32" w16cid:durableId="2116709125">
    <w:abstractNumId w:val="0"/>
  </w:num>
  <w:num w:numId="33" w16cid:durableId="874078598">
    <w:abstractNumId w:val="25"/>
  </w:num>
  <w:num w:numId="34" w16cid:durableId="2014995071">
    <w:abstractNumId w:val="3"/>
  </w:num>
  <w:num w:numId="35" w16cid:durableId="1070344975">
    <w:abstractNumId w:val="5"/>
  </w:num>
  <w:num w:numId="36" w16cid:durableId="14162575">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rQUADHxlbCwAAAA="/>
  </w:docVars>
  <w:rsids>
    <w:rsidRoot w:val="00A60069"/>
    <w:rsid w:val="00001BEA"/>
    <w:rsid w:val="0003042D"/>
    <w:rsid w:val="0003432C"/>
    <w:rsid w:val="00074929"/>
    <w:rsid w:val="000848D9"/>
    <w:rsid w:val="00085334"/>
    <w:rsid w:val="00097F48"/>
    <w:rsid w:val="000A5F7B"/>
    <w:rsid w:val="000D09E2"/>
    <w:rsid w:val="000D58AC"/>
    <w:rsid w:val="000E047C"/>
    <w:rsid w:val="000E5BDC"/>
    <w:rsid w:val="000F02BF"/>
    <w:rsid w:val="000F28C5"/>
    <w:rsid w:val="00116C65"/>
    <w:rsid w:val="00120162"/>
    <w:rsid w:val="00133496"/>
    <w:rsid w:val="00133F9B"/>
    <w:rsid w:val="00161ABF"/>
    <w:rsid w:val="00170DBE"/>
    <w:rsid w:val="00175B32"/>
    <w:rsid w:val="001834FC"/>
    <w:rsid w:val="00195011"/>
    <w:rsid w:val="001A38F3"/>
    <w:rsid w:val="001B44AE"/>
    <w:rsid w:val="001D16F6"/>
    <w:rsid w:val="001E5677"/>
    <w:rsid w:val="002040E0"/>
    <w:rsid w:val="002056F7"/>
    <w:rsid w:val="00205E5A"/>
    <w:rsid w:val="0022399E"/>
    <w:rsid w:val="0024126E"/>
    <w:rsid w:val="00252195"/>
    <w:rsid w:val="00252DEE"/>
    <w:rsid w:val="00252E7D"/>
    <w:rsid w:val="0026553B"/>
    <w:rsid w:val="00273B2A"/>
    <w:rsid w:val="00286243"/>
    <w:rsid w:val="00287385"/>
    <w:rsid w:val="002A0383"/>
    <w:rsid w:val="002C217C"/>
    <w:rsid w:val="003524C4"/>
    <w:rsid w:val="00360327"/>
    <w:rsid w:val="00395643"/>
    <w:rsid w:val="00396BAA"/>
    <w:rsid w:val="003C0930"/>
    <w:rsid w:val="003E63AA"/>
    <w:rsid w:val="003E7203"/>
    <w:rsid w:val="003F7477"/>
    <w:rsid w:val="0040315A"/>
    <w:rsid w:val="00416D83"/>
    <w:rsid w:val="00420470"/>
    <w:rsid w:val="00424820"/>
    <w:rsid w:val="004351B9"/>
    <w:rsid w:val="0044301B"/>
    <w:rsid w:val="0046580B"/>
    <w:rsid w:val="0047506D"/>
    <w:rsid w:val="00493473"/>
    <w:rsid w:val="00493D92"/>
    <w:rsid w:val="00523CBF"/>
    <w:rsid w:val="00532884"/>
    <w:rsid w:val="00536AA4"/>
    <w:rsid w:val="00546680"/>
    <w:rsid w:val="00553BDC"/>
    <w:rsid w:val="0057543B"/>
    <w:rsid w:val="00593F44"/>
    <w:rsid w:val="005B0998"/>
    <w:rsid w:val="005D5BF3"/>
    <w:rsid w:val="00612D99"/>
    <w:rsid w:val="00637B31"/>
    <w:rsid w:val="006474DE"/>
    <w:rsid w:val="006517FA"/>
    <w:rsid w:val="00673256"/>
    <w:rsid w:val="00674CD5"/>
    <w:rsid w:val="00693634"/>
    <w:rsid w:val="006943DD"/>
    <w:rsid w:val="00697815"/>
    <w:rsid w:val="006A0AF9"/>
    <w:rsid w:val="006A19D1"/>
    <w:rsid w:val="006C1545"/>
    <w:rsid w:val="006D5DA5"/>
    <w:rsid w:val="006D6AA3"/>
    <w:rsid w:val="006E4412"/>
    <w:rsid w:val="006E4620"/>
    <w:rsid w:val="006F3E7B"/>
    <w:rsid w:val="006F4E1D"/>
    <w:rsid w:val="007002C6"/>
    <w:rsid w:val="00712EE8"/>
    <w:rsid w:val="00731705"/>
    <w:rsid w:val="0073493E"/>
    <w:rsid w:val="007739C2"/>
    <w:rsid w:val="007876D1"/>
    <w:rsid w:val="00794EC4"/>
    <w:rsid w:val="007B0F5D"/>
    <w:rsid w:val="007B29B6"/>
    <w:rsid w:val="007C2DFD"/>
    <w:rsid w:val="0080464C"/>
    <w:rsid w:val="008913DA"/>
    <w:rsid w:val="00900236"/>
    <w:rsid w:val="00913C8F"/>
    <w:rsid w:val="0092046E"/>
    <w:rsid w:val="00944F76"/>
    <w:rsid w:val="00962BF8"/>
    <w:rsid w:val="00966289"/>
    <w:rsid w:val="00975554"/>
    <w:rsid w:val="009A4B13"/>
    <w:rsid w:val="009E199C"/>
    <w:rsid w:val="009E34ED"/>
    <w:rsid w:val="00A25183"/>
    <w:rsid w:val="00A36481"/>
    <w:rsid w:val="00A4099E"/>
    <w:rsid w:val="00A51AF5"/>
    <w:rsid w:val="00A5736D"/>
    <w:rsid w:val="00A60069"/>
    <w:rsid w:val="00A6294E"/>
    <w:rsid w:val="00A633F1"/>
    <w:rsid w:val="00A8174B"/>
    <w:rsid w:val="00AA0E47"/>
    <w:rsid w:val="00AB05C3"/>
    <w:rsid w:val="00AB6A92"/>
    <w:rsid w:val="00AC2ED0"/>
    <w:rsid w:val="00AD0603"/>
    <w:rsid w:val="00AE703C"/>
    <w:rsid w:val="00AF688D"/>
    <w:rsid w:val="00B067D2"/>
    <w:rsid w:val="00B07BFC"/>
    <w:rsid w:val="00B203C7"/>
    <w:rsid w:val="00B43BB8"/>
    <w:rsid w:val="00B4475B"/>
    <w:rsid w:val="00B75DAC"/>
    <w:rsid w:val="00B804D8"/>
    <w:rsid w:val="00BA598D"/>
    <w:rsid w:val="00BB3720"/>
    <w:rsid w:val="00BB6D54"/>
    <w:rsid w:val="00BC749B"/>
    <w:rsid w:val="00BD5186"/>
    <w:rsid w:val="00C12A80"/>
    <w:rsid w:val="00C6589C"/>
    <w:rsid w:val="00C71314"/>
    <w:rsid w:val="00C73E75"/>
    <w:rsid w:val="00C744BA"/>
    <w:rsid w:val="00CC6FBE"/>
    <w:rsid w:val="00CE127B"/>
    <w:rsid w:val="00D00A0F"/>
    <w:rsid w:val="00D3026F"/>
    <w:rsid w:val="00D3561D"/>
    <w:rsid w:val="00D479CF"/>
    <w:rsid w:val="00D54C86"/>
    <w:rsid w:val="00DB55E4"/>
    <w:rsid w:val="00DC30C5"/>
    <w:rsid w:val="00DD0837"/>
    <w:rsid w:val="00DF06AA"/>
    <w:rsid w:val="00E1206D"/>
    <w:rsid w:val="00E32D3F"/>
    <w:rsid w:val="00E52DE2"/>
    <w:rsid w:val="00E55B8B"/>
    <w:rsid w:val="00E722CC"/>
    <w:rsid w:val="00E80685"/>
    <w:rsid w:val="00E961C7"/>
    <w:rsid w:val="00EA136A"/>
    <w:rsid w:val="00EB17FE"/>
    <w:rsid w:val="00EB7A2D"/>
    <w:rsid w:val="00EC16C3"/>
    <w:rsid w:val="00EE4364"/>
    <w:rsid w:val="00EE63A5"/>
    <w:rsid w:val="00EF189B"/>
    <w:rsid w:val="00F00F9C"/>
    <w:rsid w:val="00F12AAD"/>
    <w:rsid w:val="00F255F0"/>
    <w:rsid w:val="00F43894"/>
    <w:rsid w:val="00F44DB3"/>
    <w:rsid w:val="00F453D0"/>
    <w:rsid w:val="00F961CE"/>
    <w:rsid w:val="00FC2DC0"/>
    <w:rsid w:val="00FC4A20"/>
    <w:rsid w:val="00FD30CA"/>
    <w:rsid w:val="00FE0458"/>
    <w:rsid w:val="00FF543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4620"/>
    <w:pPr>
      <w:spacing w:line="360" w:lineRule="auto"/>
      <w:jc w:val="both"/>
    </w:pPr>
    <w:rPr>
      <w:rFonts w:ascii="Arial" w:hAnsi="Arial"/>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unhideWhenUsed/>
    <w:qFormat/>
    <w:rsid w:val="00637B31"/>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customStyle="1" w:styleId="Heading3Char">
    <w:name w:val="Heading 3 Char"/>
    <w:basedOn w:val="DefaultParagraphFont"/>
    <w:link w:val="Heading3"/>
    <w:uiPriority w:val="9"/>
    <w:rsid w:val="00637B31"/>
    <w:rPr>
      <w:rFonts w:asciiTheme="majorHAnsi" w:eastAsiaTheme="majorEastAsia" w:hAnsiTheme="majorHAnsi" w:cstheme="majorBidi"/>
      <w:color w:val="1F3763" w:themeColor="accent1" w:themeShade="7F"/>
      <w:sz w:val="24"/>
      <w:szCs w:val="24"/>
      <w:lang w:val="en-GB"/>
    </w:rPr>
  </w:style>
  <w:style w:type="paragraph" w:styleId="NormalWeb">
    <w:name w:val="Normal (Web)"/>
    <w:basedOn w:val="Normal"/>
    <w:uiPriority w:val="99"/>
    <w:unhideWhenUsed/>
    <w:rsid w:val="00637B31"/>
    <w:pPr>
      <w:spacing w:before="100" w:beforeAutospacing="1" w:after="100" w:afterAutospacing="1" w:line="240" w:lineRule="auto"/>
      <w:jc w:val="left"/>
    </w:pPr>
    <w:rPr>
      <w:rFonts w:eastAsia="Times New Roman" w:cs="Times New Roman"/>
      <w:color w:val="auto"/>
      <w:szCs w:val="24"/>
      <w:lang w:val="en-US"/>
    </w:rPr>
  </w:style>
  <w:style w:type="character" w:styleId="Strong">
    <w:name w:val="Strong"/>
    <w:basedOn w:val="DefaultParagraphFont"/>
    <w:uiPriority w:val="22"/>
    <w:qFormat/>
    <w:rsid w:val="00637B31"/>
    <w:rPr>
      <w:b/>
      <w:bCs/>
    </w:rPr>
  </w:style>
  <w:style w:type="character" w:customStyle="1" w:styleId="animating">
    <w:name w:val="animating"/>
    <w:basedOn w:val="DefaultParagraphFont"/>
    <w:rsid w:val="00712EE8"/>
  </w:style>
  <w:style w:type="character" w:customStyle="1" w:styleId="citation-0">
    <w:name w:val="citation-0"/>
    <w:basedOn w:val="DefaultParagraphFont"/>
    <w:rsid w:val="00712EE8"/>
  </w:style>
  <w:style w:type="paragraph" w:customStyle="1" w:styleId="animating1">
    <w:name w:val="animating1"/>
    <w:basedOn w:val="Normal"/>
    <w:rsid w:val="00712EE8"/>
    <w:pPr>
      <w:spacing w:before="100" w:beforeAutospacing="1" w:after="100" w:afterAutospacing="1" w:line="240" w:lineRule="auto"/>
      <w:jc w:val="left"/>
    </w:pPr>
    <w:rPr>
      <w:rFonts w:eastAsia="Times New Roman" w:cs="Times New Roman"/>
      <w:color w:val="auto"/>
      <w:szCs w:val="24"/>
      <w:lang w:val="en-US"/>
    </w:rPr>
  </w:style>
  <w:style w:type="table" w:styleId="TableGrid">
    <w:name w:val="Table Grid"/>
    <w:basedOn w:val="TableNormal"/>
    <w:uiPriority w:val="39"/>
    <w:rsid w:val="00BA59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4">
    <w:name w:val="Grid Table 2 Accent 4"/>
    <w:basedOn w:val="TableNormal"/>
    <w:uiPriority w:val="47"/>
    <w:rsid w:val="00E961C7"/>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ListParagraph">
    <w:name w:val="List Paragraph"/>
    <w:basedOn w:val="Normal"/>
    <w:uiPriority w:val="34"/>
    <w:qFormat/>
    <w:rsid w:val="0003042D"/>
    <w:pPr>
      <w:ind w:left="720"/>
      <w:contextualSpacing/>
    </w:pPr>
  </w:style>
  <w:style w:type="character" w:customStyle="1" w:styleId="UnresolvedMention1">
    <w:name w:val="Unresolved Mention1"/>
    <w:basedOn w:val="DefaultParagraphFont"/>
    <w:uiPriority w:val="99"/>
    <w:semiHidden/>
    <w:unhideWhenUsed/>
    <w:rsid w:val="006E4620"/>
    <w:rPr>
      <w:color w:val="605E5C"/>
      <w:shd w:val="clear" w:color="auto" w:fill="E1DFDD"/>
    </w:rPr>
  </w:style>
  <w:style w:type="paragraph" w:styleId="TOC2">
    <w:name w:val="toc 2"/>
    <w:basedOn w:val="Normal"/>
    <w:next w:val="Normal"/>
    <w:autoRedefine/>
    <w:uiPriority w:val="39"/>
    <w:unhideWhenUsed/>
    <w:rsid w:val="006E4620"/>
    <w:pPr>
      <w:spacing w:after="100"/>
      <w:ind w:left="240"/>
    </w:pPr>
  </w:style>
  <w:style w:type="paragraph" w:styleId="TOC3">
    <w:name w:val="toc 3"/>
    <w:basedOn w:val="Normal"/>
    <w:next w:val="Normal"/>
    <w:autoRedefine/>
    <w:uiPriority w:val="39"/>
    <w:unhideWhenUsed/>
    <w:rsid w:val="00493D92"/>
    <w:pPr>
      <w:spacing w:after="100"/>
      <w:ind w:left="480"/>
    </w:pPr>
  </w:style>
  <w:style w:type="table" w:styleId="GridTable5Dark-Accent5">
    <w:name w:val="Grid Table 5 Dark Accent 5"/>
    <w:basedOn w:val="TableNormal"/>
    <w:uiPriority w:val="50"/>
    <w:rsid w:val="00F12AA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TableParagraph">
    <w:name w:val="Table Paragraph"/>
    <w:basedOn w:val="Normal"/>
    <w:uiPriority w:val="1"/>
    <w:qFormat/>
    <w:rsid w:val="00161ABF"/>
    <w:pPr>
      <w:widowControl w:val="0"/>
      <w:autoSpaceDE w:val="0"/>
      <w:autoSpaceDN w:val="0"/>
      <w:spacing w:after="0" w:line="240" w:lineRule="auto"/>
      <w:jc w:val="left"/>
    </w:pPr>
    <w:rPr>
      <w:rFonts w:ascii="Arial MT" w:eastAsia="Arial MT" w:hAnsi="Arial MT" w:cs="Arial MT"/>
      <w:color w:val="auto"/>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21386">
      <w:bodyDiv w:val="1"/>
      <w:marLeft w:val="0"/>
      <w:marRight w:val="0"/>
      <w:marTop w:val="0"/>
      <w:marBottom w:val="0"/>
      <w:divBdr>
        <w:top w:val="none" w:sz="0" w:space="0" w:color="auto"/>
        <w:left w:val="none" w:sz="0" w:space="0" w:color="auto"/>
        <w:bottom w:val="none" w:sz="0" w:space="0" w:color="auto"/>
        <w:right w:val="none" w:sz="0" w:space="0" w:color="auto"/>
      </w:divBdr>
    </w:div>
    <w:div w:id="130906056">
      <w:bodyDiv w:val="1"/>
      <w:marLeft w:val="0"/>
      <w:marRight w:val="0"/>
      <w:marTop w:val="0"/>
      <w:marBottom w:val="0"/>
      <w:divBdr>
        <w:top w:val="none" w:sz="0" w:space="0" w:color="auto"/>
        <w:left w:val="none" w:sz="0" w:space="0" w:color="auto"/>
        <w:bottom w:val="none" w:sz="0" w:space="0" w:color="auto"/>
        <w:right w:val="none" w:sz="0" w:space="0" w:color="auto"/>
      </w:divBdr>
    </w:div>
    <w:div w:id="278800713">
      <w:bodyDiv w:val="1"/>
      <w:marLeft w:val="0"/>
      <w:marRight w:val="0"/>
      <w:marTop w:val="0"/>
      <w:marBottom w:val="0"/>
      <w:divBdr>
        <w:top w:val="none" w:sz="0" w:space="0" w:color="auto"/>
        <w:left w:val="none" w:sz="0" w:space="0" w:color="auto"/>
        <w:bottom w:val="none" w:sz="0" w:space="0" w:color="auto"/>
        <w:right w:val="none" w:sz="0" w:space="0" w:color="auto"/>
      </w:divBdr>
    </w:div>
    <w:div w:id="310213187">
      <w:bodyDiv w:val="1"/>
      <w:marLeft w:val="0"/>
      <w:marRight w:val="0"/>
      <w:marTop w:val="0"/>
      <w:marBottom w:val="0"/>
      <w:divBdr>
        <w:top w:val="none" w:sz="0" w:space="0" w:color="auto"/>
        <w:left w:val="none" w:sz="0" w:space="0" w:color="auto"/>
        <w:bottom w:val="none" w:sz="0" w:space="0" w:color="auto"/>
        <w:right w:val="none" w:sz="0" w:space="0" w:color="auto"/>
      </w:divBdr>
    </w:div>
    <w:div w:id="346365829">
      <w:bodyDiv w:val="1"/>
      <w:marLeft w:val="0"/>
      <w:marRight w:val="0"/>
      <w:marTop w:val="0"/>
      <w:marBottom w:val="0"/>
      <w:divBdr>
        <w:top w:val="none" w:sz="0" w:space="0" w:color="auto"/>
        <w:left w:val="none" w:sz="0" w:space="0" w:color="auto"/>
        <w:bottom w:val="none" w:sz="0" w:space="0" w:color="auto"/>
        <w:right w:val="none" w:sz="0" w:space="0" w:color="auto"/>
      </w:divBdr>
    </w:div>
    <w:div w:id="546455707">
      <w:bodyDiv w:val="1"/>
      <w:marLeft w:val="0"/>
      <w:marRight w:val="0"/>
      <w:marTop w:val="0"/>
      <w:marBottom w:val="0"/>
      <w:divBdr>
        <w:top w:val="none" w:sz="0" w:space="0" w:color="auto"/>
        <w:left w:val="none" w:sz="0" w:space="0" w:color="auto"/>
        <w:bottom w:val="none" w:sz="0" w:space="0" w:color="auto"/>
        <w:right w:val="none" w:sz="0" w:space="0" w:color="auto"/>
      </w:divBdr>
    </w:div>
    <w:div w:id="549805642">
      <w:bodyDiv w:val="1"/>
      <w:marLeft w:val="0"/>
      <w:marRight w:val="0"/>
      <w:marTop w:val="0"/>
      <w:marBottom w:val="0"/>
      <w:divBdr>
        <w:top w:val="none" w:sz="0" w:space="0" w:color="auto"/>
        <w:left w:val="none" w:sz="0" w:space="0" w:color="auto"/>
        <w:bottom w:val="none" w:sz="0" w:space="0" w:color="auto"/>
        <w:right w:val="none" w:sz="0" w:space="0" w:color="auto"/>
      </w:divBdr>
    </w:div>
    <w:div w:id="551113375">
      <w:bodyDiv w:val="1"/>
      <w:marLeft w:val="0"/>
      <w:marRight w:val="0"/>
      <w:marTop w:val="0"/>
      <w:marBottom w:val="0"/>
      <w:divBdr>
        <w:top w:val="none" w:sz="0" w:space="0" w:color="auto"/>
        <w:left w:val="none" w:sz="0" w:space="0" w:color="auto"/>
        <w:bottom w:val="none" w:sz="0" w:space="0" w:color="auto"/>
        <w:right w:val="none" w:sz="0" w:space="0" w:color="auto"/>
      </w:divBdr>
    </w:div>
    <w:div w:id="557787839">
      <w:bodyDiv w:val="1"/>
      <w:marLeft w:val="0"/>
      <w:marRight w:val="0"/>
      <w:marTop w:val="0"/>
      <w:marBottom w:val="0"/>
      <w:divBdr>
        <w:top w:val="none" w:sz="0" w:space="0" w:color="auto"/>
        <w:left w:val="none" w:sz="0" w:space="0" w:color="auto"/>
        <w:bottom w:val="none" w:sz="0" w:space="0" w:color="auto"/>
        <w:right w:val="none" w:sz="0" w:space="0" w:color="auto"/>
      </w:divBdr>
    </w:div>
    <w:div w:id="582880509">
      <w:bodyDiv w:val="1"/>
      <w:marLeft w:val="0"/>
      <w:marRight w:val="0"/>
      <w:marTop w:val="0"/>
      <w:marBottom w:val="0"/>
      <w:divBdr>
        <w:top w:val="none" w:sz="0" w:space="0" w:color="auto"/>
        <w:left w:val="none" w:sz="0" w:space="0" w:color="auto"/>
        <w:bottom w:val="none" w:sz="0" w:space="0" w:color="auto"/>
        <w:right w:val="none" w:sz="0" w:space="0" w:color="auto"/>
      </w:divBdr>
    </w:div>
    <w:div w:id="699286800">
      <w:bodyDiv w:val="1"/>
      <w:marLeft w:val="0"/>
      <w:marRight w:val="0"/>
      <w:marTop w:val="0"/>
      <w:marBottom w:val="0"/>
      <w:divBdr>
        <w:top w:val="none" w:sz="0" w:space="0" w:color="auto"/>
        <w:left w:val="none" w:sz="0" w:space="0" w:color="auto"/>
        <w:bottom w:val="none" w:sz="0" w:space="0" w:color="auto"/>
        <w:right w:val="none" w:sz="0" w:space="0" w:color="auto"/>
      </w:divBdr>
      <w:divsChild>
        <w:div w:id="87360222">
          <w:marLeft w:val="0"/>
          <w:marRight w:val="0"/>
          <w:marTop w:val="0"/>
          <w:marBottom w:val="0"/>
          <w:divBdr>
            <w:top w:val="single" w:sz="2" w:space="0" w:color="D9D9E3"/>
            <w:left w:val="single" w:sz="2" w:space="0" w:color="D9D9E3"/>
            <w:bottom w:val="single" w:sz="2" w:space="0" w:color="D9D9E3"/>
            <w:right w:val="single" w:sz="2" w:space="0" w:color="D9D9E3"/>
          </w:divBdr>
          <w:divsChild>
            <w:div w:id="2073457282">
              <w:marLeft w:val="0"/>
              <w:marRight w:val="0"/>
              <w:marTop w:val="0"/>
              <w:marBottom w:val="0"/>
              <w:divBdr>
                <w:top w:val="single" w:sz="2" w:space="0" w:color="D9D9E3"/>
                <w:left w:val="single" w:sz="2" w:space="0" w:color="D9D9E3"/>
                <w:bottom w:val="single" w:sz="2" w:space="0" w:color="D9D9E3"/>
                <w:right w:val="single" w:sz="2" w:space="0" w:color="D9D9E3"/>
              </w:divBdr>
              <w:divsChild>
                <w:div w:id="328485379">
                  <w:marLeft w:val="0"/>
                  <w:marRight w:val="0"/>
                  <w:marTop w:val="0"/>
                  <w:marBottom w:val="0"/>
                  <w:divBdr>
                    <w:top w:val="single" w:sz="2" w:space="0" w:color="D9D9E3"/>
                    <w:left w:val="single" w:sz="2" w:space="0" w:color="D9D9E3"/>
                    <w:bottom w:val="single" w:sz="2" w:space="0" w:color="D9D9E3"/>
                    <w:right w:val="single" w:sz="2" w:space="0" w:color="D9D9E3"/>
                  </w:divBdr>
                  <w:divsChild>
                    <w:div w:id="906309055">
                      <w:marLeft w:val="0"/>
                      <w:marRight w:val="0"/>
                      <w:marTop w:val="0"/>
                      <w:marBottom w:val="0"/>
                      <w:divBdr>
                        <w:top w:val="single" w:sz="2" w:space="0" w:color="D9D9E3"/>
                        <w:left w:val="single" w:sz="2" w:space="0" w:color="D9D9E3"/>
                        <w:bottom w:val="single" w:sz="2" w:space="0" w:color="D9D9E3"/>
                        <w:right w:val="single" w:sz="2" w:space="0" w:color="D9D9E3"/>
                      </w:divBdr>
                      <w:divsChild>
                        <w:div w:id="1239559626">
                          <w:marLeft w:val="0"/>
                          <w:marRight w:val="0"/>
                          <w:marTop w:val="0"/>
                          <w:marBottom w:val="0"/>
                          <w:divBdr>
                            <w:top w:val="single" w:sz="2" w:space="0" w:color="D9D9E3"/>
                            <w:left w:val="single" w:sz="2" w:space="0" w:color="D9D9E3"/>
                            <w:bottom w:val="single" w:sz="2" w:space="0" w:color="D9D9E3"/>
                            <w:right w:val="single" w:sz="2" w:space="0" w:color="D9D9E3"/>
                          </w:divBdr>
                          <w:divsChild>
                            <w:div w:id="1170415170">
                              <w:marLeft w:val="0"/>
                              <w:marRight w:val="0"/>
                              <w:marTop w:val="100"/>
                              <w:marBottom w:val="100"/>
                              <w:divBdr>
                                <w:top w:val="single" w:sz="2" w:space="0" w:color="D9D9E3"/>
                                <w:left w:val="single" w:sz="2" w:space="0" w:color="D9D9E3"/>
                                <w:bottom w:val="single" w:sz="2" w:space="0" w:color="D9D9E3"/>
                                <w:right w:val="single" w:sz="2" w:space="0" w:color="D9D9E3"/>
                              </w:divBdr>
                              <w:divsChild>
                                <w:div w:id="2080443368">
                                  <w:marLeft w:val="0"/>
                                  <w:marRight w:val="0"/>
                                  <w:marTop w:val="0"/>
                                  <w:marBottom w:val="0"/>
                                  <w:divBdr>
                                    <w:top w:val="single" w:sz="2" w:space="0" w:color="D9D9E3"/>
                                    <w:left w:val="single" w:sz="2" w:space="0" w:color="D9D9E3"/>
                                    <w:bottom w:val="single" w:sz="2" w:space="0" w:color="D9D9E3"/>
                                    <w:right w:val="single" w:sz="2" w:space="0" w:color="D9D9E3"/>
                                  </w:divBdr>
                                  <w:divsChild>
                                    <w:div w:id="1628660866">
                                      <w:marLeft w:val="0"/>
                                      <w:marRight w:val="0"/>
                                      <w:marTop w:val="0"/>
                                      <w:marBottom w:val="0"/>
                                      <w:divBdr>
                                        <w:top w:val="single" w:sz="2" w:space="0" w:color="D9D9E3"/>
                                        <w:left w:val="single" w:sz="2" w:space="0" w:color="D9D9E3"/>
                                        <w:bottom w:val="single" w:sz="2" w:space="0" w:color="D9D9E3"/>
                                        <w:right w:val="single" w:sz="2" w:space="0" w:color="D9D9E3"/>
                                      </w:divBdr>
                                      <w:divsChild>
                                        <w:div w:id="206601831">
                                          <w:marLeft w:val="0"/>
                                          <w:marRight w:val="0"/>
                                          <w:marTop w:val="0"/>
                                          <w:marBottom w:val="0"/>
                                          <w:divBdr>
                                            <w:top w:val="single" w:sz="2" w:space="0" w:color="D9D9E3"/>
                                            <w:left w:val="single" w:sz="2" w:space="0" w:color="D9D9E3"/>
                                            <w:bottom w:val="single" w:sz="2" w:space="0" w:color="D9D9E3"/>
                                            <w:right w:val="single" w:sz="2" w:space="0" w:color="D9D9E3"/>
                                          </w:divBdr>
                                          <w:divsChild>
                                            <w:div w:id="177350095">
                                              <w:marLeft w:val="0"/>
                                              <w:marRight w:val="0"/>
                                              <w:marTop w:val="0"/>
                                              <w:marBottom w:val="0"/>
                                              <w:divBdr>
                                                <w:top w:val="single" w:sz="2" w:space="0" w:color="D9D9E3"/>
                                                <w:left w:val="single" w:sz="2" w:space="0" w:color="D9D9E3"/>
                                                <w:bottom w:val="single" w:sz="2" w:space="0" w:color="D9D9E3"/>
                                                <w:right w:val="single" w:sz="2" w:space="0" w:color="D9D9E3"/>
                                              </w:divBdr>
                                              <w:divsChild>
                                                <w:div w:id="1979411857">
                                                  <w:marLeft w:val="0"/>
                                                  <w:marRight w:val="0"/>
                                                  <w:marTop w:val="0"/>
                                                  <w:marBottom w:val="0"/>
                                                  <w:divBdr>
                                                    <w:top w:val="single" w:sz="2" w:space="0" w:color="D9D9E3"/>
                                                    <w:left w:val="single" w:sz="2" w:space="0" w:color="D9D9E3"/>
                                                    <w:bottom w:val="single" w:sz="2" w:space="0" w:color="D9D9E3"/>
                                                    <w:right w:val="single" w:sz="2" w:space="0" w:color="D9D9E3"/>
                                                  </w:divBdr>
                                                  <w:divsChild>
                                                    <w:div w:id="14614626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25812386">
          <w:marLeft w:val="0"/>
          <w:marRight w:val="0"/>
          <w:marTop w:val="0"/>
          <w:marBottom w:val="0"/>
          <w:divBdr>
            <w:top w:val="none" w:sz="0" w:space="0" w:color="auto"/>
            <w:left w:val="none" w:sz="0" w:space="0" w:color="auto"/>
            <w:bottom w:val="none" w:sz="0" w:space="0" w:color="auto"/>
            <w:right w:val="none" w:sz="0" w:space="0" w:color="auto"/>
          </w:divBdr>
        </w:div>
      </w:divsChild>
    </w:div>
    <w:div w:id="799416866">
      <w:bodyDiv w:val="1"/>
      <w:marLeft w:val="0"/>
      <w:marRight w:val="0"/>
      <w:marTop w:val="0"/>
      <w:marBottom w:val="0"/>
      <w:divBdr>
        <w:top w:val="none" w:sz="0" w:space="0" w:color="auto"/>
        <w:left w:val="none" w:sz="0" w:space="0" w:color="auto"/>
        <w:bottom w:val="none" w:sz="0" w:space="0" w:color="auto"/>
        <w:right w:val="none" w:sz="0" w:space="0" w:color="auto"/>
      </w:divBdr>
    </w:div>
    <w:div w:id="845482962">
      <w:bodyDiv w:val="1"/>
      <w:marLeft w:val="0"/>
      <w:marRight w:val="0"/>
      <w:marTop w:val="0"/>
      <w:marBottom w:val="0"/>
      <w:divBdr>
        <w:top w:val="none" w:sz="0" w:space="0" w:color="auto"/>
        <w:left w:val="none" w:sz="0" w:space="0" w:color="auto"/>
        <w:bottom w:val="none" w:sz="0" w:space="0" w:color="auto"/>
        <w:right w:val="none" w:sz="0" w:space="0" w:color="auto"/>
      </w:divBdr>
    </w:div>
    <w:div w:id="995110297">
      <w:bodyDiv w:val="1"/>
      <w:marLeft w:val="0"/>
      <w:marRight w:val="0"/>
      <w:marTop w:val="0"/>
      <w:marBottom w:val="0"/>
      <w:divBdr>
        <w:top w:val="none" w:sz="0" w:space="0" w:color="auto"/>
        <w:left w:val="none" w:sz="0" w:space="0" w:color="auto"/>
        <w:bottom w:val="none" w:sz="0" w:space="0" w:color="auto"/>
        <w:right w:val="none" w:sz="0" w:space="0" w:color="auto"/>
      </w:divBdr>
    </w:div>
    <w:div w:id="1036469670">
      <w:bodyDiv w:val="1"/>
      <w:marLeft w:val="0"/>
      <w:marRight w:val="0"/>
      <w:marTop w:val="0"/>
      <w:marBottom w:val="0"/>
      <w:divBdr>
        <w:top w:val="none" w:sz="0" w:space="0" w:color="auto"/>
        <w:left w:val="none" w:sz="0" w:space="0" w:color="auto"/>
        <w:bottom w:val="none" w:sz="0" w:space="0" w:color="auto"/>
        <w:right w:val="none" w:sz="0" w:space="0" w:color="auto"/>
      </w:divBdr>
    </w:div>
    <w:div w:id="1125923892">
      <w:bodyDiv w:val="1"/>
      <w:marLeft w:val="0"/>
      <w:marRight w:val="0"/>
      <w:marTop w:val="0"/>
      <w:marBottom w:val="0"/>
      <w:divBdr>
        <w:top w:val="none" w:sz="0" w:space="0" w:color="auto"/>
        <w:left w:val="none" w:sz="0" w:space="0" w:color="auto"/>
        <w:bottom w:val="none" w:sz="0" w:space="0" w:color="auto"/>
        <w:right w:val="none" w:sz="0" w:space="0" w:color="auto"/>
      </w:divBdr>
    </w:div>
    <w:div w:id="1128277831">
      <w:bodyDiv w:val="1"/>
      <w:marLeft w:val="0"/>
      <w:marRight w:val="0"/>
      <w:marTop w:val="0"/>
      <w:marBottom w:val="0"/>
      <w:divBdr>
        <w:top w:val="none" w:sz="0" w:space="0" w:color="auto"/>
        <w:left w:val="none" w:sz="0" w:space="0" w:color="auto"/>
        <w:bottom w:val="none" w:sz="0" w:space="0" w:color="auto"/>
        <w:right w:val="none" w:sz="0" w:space="0" w:color="auto"/>
      </w:divBdr>
    </w:div>
    <w:div w:id="1246954724">
      <w:bodyDiv w:val="1"/>
      <w:marLeft w:val="0"/>
      <w:marRight w:val="0"/>
      <w:marTop w:val="0"/>
      <w:marBottom w:val="0"/>
      <w:divBdr>
        <w:top w:val="none" w:sz="0" w:space="0" w:color="auto"/>
        <w:left w:val="none" w:sz="0" w:space="0" w:color="auto"/>
        <w:bottom w:val="none" w:sz="0" w:space="0" w:color="auto"/>
        <w:right w:val="none" w:sz="0" w:space="0" w:color="auto"/>
      </w:divBdr>
    </w:div>
    <w:div w:id="1272931584">
      <w:bodyDiv w:val="1"/>
      <w:marLeft w:val="0"/>
      <w:marRight w:val="0"/>
      <w:marTop w:val="0"/>
      <w:marBottom w:val="0"/>
      <w:divBdr>
        <w:top w:val="none" w:sz="0" w:space="0" w:color="auto"/>
        <w:left w:val="none" w:sz="0" w:space="0" w:color="auto"/>
        <w:bottom w:val="none" w:sz="0" w:space="0" w:color="auto"/>
        <w:right w:val="none" w:sz="0" w:space="0" w:color="auto"/>
      </w:divBdr>
      <w:divsChild>
        <w:div w:id="1632327021">
          <w:marLeft w:val="0"/>
          <w:marRight w:val="0"/>
          <w:marTop w:val="0"/>
          <w:marBottom w:val="0"/>
          <w:divBdr>
            <w:top w:val="none" w:sz="0" w:space="0" w:color="auto"/>
            <w:left w:val="none" w:sz="0" w:space="0" w:color="auto"/>
            <w:bottom w:val="none" w:sz="0" w:space="0" w:color="auto"/>
            <w:right w:val="none" w:sz="0" w:space="0" w:color="auto"/>
          </w:divBdr>
        </w:div>
      </w:divsChild>
    </w:div>
    <w:div w:id="1351486481">
      <w:bodyDiv w:val="1"/>
      <w:marLeft w:val="0"/>
      <w:marRight w:val="0"/>
      <w:marTop w:val="0"/>
      <w:marBottom w:val="0"/>
      <w:divBdr>
        <w:top w:val="none" w:sz="0" w:space="0" w:color="auto"/>
        <w:left w:val="none" w:sz="0" w:space="0" w:color="auto"/>
        <w:bottom w:val="none" w:sz="0" w:space="0" w:color="auto"/>
        <w:right w:val="none" w:sz="0" w:space="0" w:color="auto"/>
      </w:divBdr>
    </w:div>
    <w:div w:id="1417481813">
      <w:bodyDiv w:val="1"/>
      <w:marLeft w:val="0"/>
      <w:marRight w:val="0"/>
      <w:marTop w:val="0"/>
      <w:marBottom w:val="0"/>
      <w:divBdr>
        <w:top w:val="none" w:sz="0" w:space="0" w:color="auto"/>
        <w:left w:val="none" w:sz="0" w:space="0" w:color="auto"/>
        <w:bottom w:val="none" w:sz="0" w:space="0" w:color="auto"/>
        <w:right w:val="none" w:sz="0" w:space="0" w:color="auto"/>
      </w:divBdr>
      <w:divsChild>
        <w:div w:id="1043864866">
          <w:marLeft w:val="0"/>
          <w:marRight w:val="0"/>
          <w:marTop w:val="0"/>
          <w:marBottom w:val="0"/>
          <w:divBdr>
            <w:top w:val="none" w:sz="0" w:space="0" w:color="auto"/>
            <w:left w:val="none" w:sz="0" w:space="0" w:color="auto"/>
            <w:bottom w:val="none" w:sz="0" w:space="0" w:color="auto"/>
            <w:right w:val="none" w:sz="0" w:space="0" w:color="auto"/>
          </w:divBdr>
          <w:divsChild>
            <w:div w:id="1582252555">
              <w:marLeft w:val="0"/>
              <w:marRight w:val="0"/>
              <w:marTop w:val="0"/>
              <w:marBottom w:val="0"/>
              <w:divBdr>
                <w:top w:val="none" w:sz="0" w:space="0" w:color="auto"/>
                <w:left w:val="none" w:sz="0" w:space="0" w:color="auto"/>
                <w:bottom w:val="none" w:sz="0" w:space="0" w:color="auto"/>
                <w:right w:val="none" w:sz="0" w:space="0" w:color="auto"/>
              </w:divBdr>
            </w:div>
          </w:divsChild>
        </w:div>
        <w:div w:id="1421372159">
          <w:marLeft w:val="0"/>
          <w:marRight w:val="0"/>
          <w:marTop w:val="0"/>
          <w:marBottom w:val="0"/>
          <w:divBdr>
            <w:top w:val="none" w:sz="0" w:space="0" w:color="auto"/>
            <w:left w:val="none" w:sz="0" w:space="0" w:color="auto"/>
            <w:bottom w:val="none" w:sz="0" w:space="0" w:color="auto"/>
            <w:right w:val="none" w:sz="0" w:space="0" w:color="auto"/>
          </w:divBdr>
          <w:divsChild>
            <w:div w:id="1768576535">
              <w:marLeft w:val="0"/>
              <w:marRight w:val="0"/>
              <w:marTop w:val="0"/>
              <w:marBottom w:val="0"/>
              <w:divBdr>
                <w:top w:val="none" w:sz="0" w:space="0" w:color="auto"/>
                <w:left w:val="none" w:sz="0" w:space="0" w:color="auto"/>
                <w:bottom w:val="none" w:sz="0" w:space="0" w:color="auto"/>
                <w:right w:val="none" w:sz="0" w:space="0" w:color="auto"/>
              </w:divBdr>
              <w:divsChild>
                <w:div w:id="1378703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0926675">
      <w:bodyDiv w:val="1"/>
      <w:marLeft w:val="0"/>
      <w:marRight w:val="0"/>
      <w:marTop w:val="0"/>
      <w:marBottom w:val="0"/>
      <w:divBdr>
        <w:top w:val="none" w:sz="0" w:space="0" w:color="auto"/>
        <w:left w:val="none" w:sz="0" w:space="0" w:color="auto"/>
        <w:bottom w:val="none" w:sz="0" w:space="0" w:color="auto"/>
        <w:right w:val="none" w:sz="0" w:space="0" w:color="auto"/>
      </w:divBdr>
    </w:div>
    <w:div w:id="1497840205">
      <w:bodyDiv w:val="1"/>
      <w:marLeft w:val="0"/>
      <w:marRight w:val="0"/>
      <w:marTop w:val="0"/>
      <w:marBottom w:val="0"/>
      <w:divBdr>
        <w:top w:val="none" w:sz="0" w:space="0" w:color="auto"/>
        <w:left w:val="none" w:sz="0" w:space="0" w:color="auto"/>
        <w:bottom w:val="none" w:sz="0" w:space="0" w:color="auto"/>
        <w:right w:val="none" w:sz="0" w:space="0" w:color="auto"/>
      </w:divBdr>
    </w:div>
    <w:div w:id="1668244347">
      <w:bodyDiv w:val="1"/>
      <w:marLeft w:val="0"/>
      <w:marRight w:val="0"/>
      <w:marTop w:val="0"/>
      <w:marBottom w:val="0"/>
      <w:divBdr>
        <w:top w:val="none" w:sz="0" w:space="0" w:color="auto"/>
        <w:left w:val="none" w:sz="0" w:space="0" w:color="auto"/>
        <w:bottom w:val="none" w:sz="0" w:space="0" w:color="auto"/>
        <w:right w:val="none" w:sz="0" w:space="0" w:color="auto"/>
      </w:divBdr>
    </w:div>
    <w:div w:id="1689679000">
      <w:bodyDiv w:val="1"/>
      <w:marLeft w:val="0"/>
      <w:marRight w:val="0"/>
      <w:marTop w:val="0"/>
      <w:marBottom w:val="0"/>
      <w:divBdr>
        <w:top w:val="none" w:sz="0" w:space="0" w:color="auto"/>
        <w:left w:val="none" w:sz="0" w:space="0" w:color="auto"/>
        <w:bottom w:val="none" w:sz="0" w:space="0" w:color="auto"/>
        <w:right w:val="none" w:sz="0" w:space="0" w:color="auto"/>
      </w:divBdr>
      <w:divsChild>
        <w:div w:id="221410741">
          <w:marLeft w:val="0"/>
          <w:marRight w:val="0"/>
          <w:marTop w:val="0"/>
          <w:marBottom w:val="0"/>
          <w:divBdr>
            <w:top w:val="single" w:sz="2" w:space="0" w:color="D9D9E3"/>
            <w:left w:val="single" w:sz="2" w:space="0" w:color="D9D9E3"/>
            <w:bottom w:val="single" w:sz="2" w:space="0" w:color="D9D9E3"/>
            <w:right w:val="single" w:sz="2" w:space="0" w:color="D9D9E3"/>
          </w:divBdr>
        </w:div>
        <w:div w:id="13587720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13530175">
      <w:bodyDiv w:val="1"/>
      <w:marLeft w:val="0"/>
      <w:marRight w:val="0"/>
      <w:marTop w:val="0"/>
      <w:marBottom w:val="0"/>
      <w:divBdr>
        <w:top w:val="none" w:sz="0" w:space="0" w:color="auto"/>
        <w:left w:val="none" w:sz="0" w:space="0" w:color="auto"/>
        <w:bottom w:val="none" w:sz="0" w:space="0" w:color="auto"/>
        <w:right w:val="none" w:sz="0" w:space="0" w:color="auto"/>
      </w:divBdr>
    </w:div>
    <w:div w:id="1796100739">
      <w:bodyDiv w:val="1"/>
      <w:marLeft w:val="0"/>
      <w:marRight w:val="0"/>
      <w:marTop w:val="0"/>
      <w:marBottom w:val="0"/>
      <w:divBdr>
        <w:top w:val="none" w:sz="0" w:space="0" w:color="auto"/>
        <w:left w:val="none" w:sz="0" w:space="0" w:color="auto"/>
        <w:bottom w:val="none" w:sz="0" w:space="0" w:color="auto"/>
        <w:right w:val="none" w:sz="0" w:space="0" w:color="auto"/>
      </w:divBdr>
    </w:div>
    <w:div w:id="1807776102">
      <w:bodyDiv w:val="1"/>
      <w:marLeft w:val="0"/>
      <w:marRight w:val="0"/>
      <w:marTop w:val="0"/>
      <w:marBottom w:val="0"/>
      <w:divBdr>
        <w:top w:val="none" w:sz="0" w:space="0" w:color="auto"/>
        <w:left w:val="none" w:sz="0" w:space="0" w:color="auto"/>
        <w:bottom w:val="none" w:sz="0" w:space="0" w:color="auto"/>
        <w:right w:val="none" w:sz="0" w:space="0" w:color="auto"/>
      </w:divBdr>
    </w:div>
    <w:div w:id="1820809227">
      <w:bodyDiv w:val="1"/>
      <w:marLeft w:val="0"/>
      <w:marRight w:val="0"/>
      <w:marTop w:val="0"/>
      <w:marBottom w:val="0"/>
      <w:divBdr>
        <w:top w:val="none" w:sz="0" w:space="0" w:color="auto"/>
        <w:left w:val="none" w:sz="0" w:space="0" w:color="auto"/>
        <w:bottom w:val="none" w:sz="0" w:space="0" w:color="auto"/>
        <w:right w:val="none" w:sz="0" w:space="0" w:color="auto"/>
      </w:divBdr>
    </w:div>
    <w:div w:id="1931968199">
      <w:bodyDiv w:val="1"/>
      <w:marLeft w:val="0"/>
      <w:marRight w:val="0"/>
      <w:marTop w:val="0"/>
      <w:marBottom w:val="0"/>
      <w:divBdr>
        <w:top w:val="none" w:sz="0" w:space="0" w:color="auto"/>
        <w:left w:val="none" w:sz="0" w:space="0" w:color="auto"/>
        <w:bottom w:val="none" w:sz="0" w:space="0" w:color="auto"/>
        <w:right w:val="none" w:sz="0" w:space="0" w:color="auto"/>
      </w:divBdr>
    </w:div>
    <w:div w:id="1945074408">
      <w:bodyDiv w:val="1"/>
      <w:marLeft w:val="0"/>
      <w:marRight w:val="0"/>
      <w:marTop w:val="0"/>
      <w:marBottom w:val="0"/>
      <w:divBdr>
        <w:top w:val="none" w:sz="0" w:space="0" w:color="auto"/>
        <w:left w:val="none" w:sz="0" w:space="0" w:color="auto"/>
        <w:bottom w:val="none" w:sz="0" w:space="0" w:color="auto"/>
        <w:right w:val="none" w:sz="0" w:space="0" w:color="auto"/>
      </w:divBdr>
    </w:div>
    <w:div w:id="1956785093">
      <w:bodyDiv w:val="1"/>
      <w:marLeft w:val="0"/>
      <w:marRight w:val="0"/>
      <w:marTop w:val="0"/>
      <w:marBottom w:val="0"/>
      <w:divBdr>
        <w:top w:val="none" w:sz="0" w:space="0" w:color="auto"/>
        <w:left w:val="none" w:sz="0" w:space="0" w:color="auto"/>
        <w:bottom w:val="none" w:sz="0" w:space="0" w:color="auto"/>
        <w:right w:val="none" w:sz="0" w:space="0" w:color="auto"/>
      </w:divBdr>
    </w:div>
    <w:div w:id="1971782921">
      <w:bodyDiv w:val="1"/>
      <w:marLeft w:val="0"/>
      <w:marRight w:val="0"/>
      <w:marTop w:val="0"/>
      <w:marBottom w:val="0"/>
      <w:divBdr>
        <w:top w:val="none" w:sz="0" w:space="0" w:color="auto"/>
        <w:left w:val="none" w:sz="0" w:space="0" w:color="auto"/>
        <w:bottom w:val="none" w:sz="0" w:space="0" w:color="auto"/>
        <w:right w:val="none" w:sz="0" w:space="0" w:color="auto"/>
      </w:divBdr>
      <w:divsChild>
        <w:div w:id="911082773">
          <w:marLeft w:val="0"/>
          <w:marRight w:val="0"/>
          <w:marTop w:val="0"/>
          <w:marBottom w:val="0"/>
          <w:divBdr>
            <w:top w:val="none" w:sz="0" w:space="0" w:color="auto"/>
            <w:left w:val="none" w:sz="0" w:space="0" w:color="auto"/>
            <w:bottom w:val="none" w:sz="0" w:space="0" w:color="auto"/>
            <w:right w:val="none" w:sz="0" w:space="0" w:color="auto"/>
          </w:divBdr>
        </w:div>
      </w:divsChild>
    </w:div>
    <w:div w:id="2121678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CB4886A-4FF2-40F5-923E-74F418F5EA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2957</Words>
  <Characters>16859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2020-06-20T09:46:00Z</dcterms:created>
  <dcterms:modified xsi:type="dcterms:W3CDTF">2024-01-31T09:39:00Z</dcterms:modified>
</cp:coreProperties>
</file>