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6.xml"/>
  <Override ContentType="application/vnd.openxmlformats-officedocument.drawingml.diagramData+xml" PartName="/word/diagrams/data8.xml"/>
  <Override ContentType="application/vnd.openxmlformats-officedocument.drawingml.diagramData+xml" PartName="/word/diagrams/data1.xml"/>
  <Override ContentType="application/vnd.openxmlformats-officedocument.drawingml.diagramData+xml" PartName="/word/diagrams/data6.xml"/>
  <Override ContentType="application/vnd.openxmlformats-officedocument.drawingml.diagramData+xml" PartName="/word/diagrams/data3.xml"/>
  <Override ContentType="application/vnd.openxmlformats-officedocument.drawingml.diagramData+xml" PartName="/word/diagrams/data13.xml"/>
  <Override ContentType="application/vnd.openxmlformats-officedocument.drawingml.diagramData+xml" PartName="/word/diagrams/data11.xml"/>
  <Override ContentType="application/vnd.openxmlformats-officedocument.drawingml.diagramData+xml" PartName="/word/diagrams/data2.xml"/>
  <Override ContentType="application/vnd.openxmlformats-officedocument.drawingml.diagramData+xml" PartName="/word/diagrams/data10.xml"/>
  <Override ContentType="application/vnd.openxmlformats-officedocument.drawingml.diagramData+xml" PartName="/word/diagrams/data15.xml"/>
  <Override ContentType="application/vnd.openxmlformats-officedocument.drawingml.diagramData+xml" PartName="/word/diagrams/data17.xml"/>
  <Override ContentType="application/vnd.openxmlformats-officedocument.drawingml.diagramData+xml" PartName="/word/diagrams/data9.xml"/>
  <Override ContentType="application/vnd.openxmlformats-officedocument.drawingml.diagramData+xml" PartName="/word/diagrams/data4.xml"/>
  <Override ContentType="application/vnd.openxmlformats-officedocument.drawingml.diagramData+xml" PartName="/word/diagrams/data7.xml"/>
  <Override ContentType="application/vnd.openxmlformats-officedocument.drawingml.diagramData+xml" PartName="/word/diagrams/data5.xml"/>
  <Override ContentType="application/vnd.openxmlformats-officedocument.drawingml.diagramData+xml" PartName="/word/diagrams/data14.xml"/>
  <Override ContentType="application/vnd.openxmlformats-officedocument.drawingml.diagramData+xml" PartName="/word/diagrams/data12.xml"/>
  <Override ContentType="application/vnd.openxmlformats-officedocument.wordprocessingml.footer+xml" PartName="/word/footer1.xml"/>
  <Override ContentType="application/vnd.openxmlformats-officedocument.drawingml.diagramLayout+xml" PartName="/word/diagrams/layout11.xml"/>
  <Override ContentType="application/vnd.openxmlformats-officedocument.drawingml.diagramLayout+xml" PartName="/word/diagrams/layout6.xml"/>
  <Override ContentType="application/vnd.openxmlformats-officedocument.drawingml.diagramLayout+xml" PartName="/word/diagrams/layout1.xml"/>
  <Override ContentType="application/vnd.openxmlformats-officedocument.drawingml.diagramLayout+xml" PartName="/word/diagrams/layout2.xml"/>
  <Override ContentType="application/vnd.openxmlformats-officedocument.drawingml.diagramLayout+xml" PartName="/word/diagrams/layout4.xml"/>
  <Override ContentType="application/vnd.openxmlformats-officedocument.drawingml.diagramLayout+xml" PartName="/word/diagrams/layout13.xml"/>
  <Override ContentType="application/vnd.openxmlformats-officedocument.drawingml.diagramLayout+xml" PartName="/word/diagrams/layout8.xml"/>
  <Override ContentType="application/vnd.openxmlformats-officedocument.drawingml.diagramLayout+xml" PartName="/word/diagrams/layout15.xml"/>
  <Override ContentType="application/vnd.openxmlformats-officedocument.drawingml.diagramLayout+xml" PartName="/word/diagrams/layout17.xml"/>
  <Override ContentType="application/vnd.openxmlformats-officedocument.drawingml.diagramLayout+xml" PartName="/word/diagrams/layout5.xml"/>
  <Override ContentType="application/vnd.openxmlformats-officedocument.drawingml.diagramLayout+xml" PartName="/word/diagrams/layout10.xml"/>
  <Override ContentType="application/vnd.openxmlformats-officedocument.drawingml.diagramLayout+xml" PartName="/word/diagrams/layout3.xml"/>
  <Override ContentType="application/vnd.openxmlformats-officedocument.drawingml.diagramLayout+xml" PartName="/word/diagrams/layout14.xml"/>
  <Override ContentType="application/vnd.openxmlformats-officedocument.drawingml.diagramLayout+xml" PartName="/word/diagrams/layout7.xml"/>
  <Override ContentType="application/vnd.openxmlformats-officedocument.drawingml.diagramLayout+xml" PartName="/word/diagrams/layout12.xml"/>
  <Override ContentType="application/vnd.openxmlformats-officedocument.drawingml.diagramLayout+xml" PartName="/word/diagrams/layout9.xml"/>
  <Override ContentType="application/vnd.openxmlformats-officedocument.drawingml.diagramLayout+xml" PartName="/word/diagrams/layout16.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3.xml"/>
  <Override ContentType="application/vnd.openxmlformats-officedocument.drawingml.diagramStyle+xml" PartName="/word/diagrams/quickStyle8.xml"/>
  <Override ContentType="application/vnd.openxmlformats-officedocument.drawingml.diagramStyle+xml" PartName="/word/diagrams/quickStyle10.xml"/>
  <Override ContentType="application/vnd.openxmlformats-officedocument.drawingml.diagramStyle+xml" PartName="/word/diagrams/quickStyle5.xml"/>
  <Override ContentType="application/vnd.openxmlformats-officedocument.drawingml.diagramStyle+xml" PartName="/word/diagrams/quickStyle1.xml"/>
  <Override ContentType="application/vnd.openxmlformats-officedocument.drawingml.diagramStyle+xml" PartName="/word/diagrams/quickStyle6.xml"/>
  <Override ContentType="application/vnd.openxmlformats-officedocument.drawingml.diagramStyle+xml" PartName="/word/diagrams/quickStyle12.xml"/>
  <Override ContentType="application/vnd.openxmlformats-officedocument.drawingml.diagramStyle+xml" PartName="/word/diagrams/quickStyle14.xml"/>
  <Override ContentType="application/vnd.openxmlformats-officedocument.drawingml.diagramStyle+xml" PartName="/word/diagrams/quickStyle16.xml"/>
  <Override ContentType="application/vnd.openxmlformats-officedocument.drawingml.diagramStyle+xml" PartName="/word/diagrams/quickStyle9.xml"/>
  <Override ContentType="application/vnd.openxmlformats-officedocument.drawingml.diagramStyle+xml" PartName="/word/diagrams/quickStyle11.xml"/>
  <Override ContentType="application/vnd.openxmlformats-officedocument.drawingml.diagramStyle+xml" PartName="/word/diagrams/quickStyle4.xml"/>
  <Override ContentType="application/vnd.openxmlformats-officedocument.drawingml.diagramStyle+xml" PartName="/word/diagrams/quickStyle2.xml"/>
  <Override ContentType="application/vnd.openxmlformats-officedocument.drawingml.diagramStyle+xml" PartName="/word/diagrams/quickStyle13.xml"/>
  <Override ContentType="application/vnd.openxmlformats-officedocument.drawingml.diagramStyle+xml" PartName="/word/diagrams/quickStyle7.xml"/>
  <Override ContentType="application/vnd.openxmlformats-officedocument.drawingml.diagramStyle+xml" PartName="/word/diagrams/quickStyle17.xml"/>
  <Override ContentType="application/vnd.openxmlformats-officedocument.drawingml.diagramStyle+xml" PartName="/word/diagrams/quickStyle15.xml"/>
  <Override ContentType="application/vnd.ms-office.drawingml.diagramDrawing+xml" PartName="/word/diagrams/drawing11.xml"/>
  <Override ContentType="application/vnd.ms-office.drawingml.diagramDrawing+xml" PartName="/word/diagrams/drawing3.xml"/>
  <Override ContentType="application/vnd.ms-office.drawingml.diagramDrawing+xml" PartName="/word/diagrams/drawing5.xml"/>
  <Override ContentType="application/vnd.ms-office.drawingml.diagramDrawing+xml" PartName="/word/diagrams/drawing7.xml"/>
  <Override ContentType="application/vnd.ms-office.drawingml.diagramDrawing+xml" PartName="/word/diagrams/drawing14.xml"/>
  <Override ContentType="application/vnd.ms-office.drawingml.diagramDrawing+xml" PartName="/word/diagrams/drawing16.xml"/>
  <Override ContentType="application/vnd.ms-office.drawingml.diagramDrawing+xml" PartName="/word/diagrams/drawing17.xml"/>
  <Override ContentType="application/vnd.ms-office.drawingml.diagramDrawing+xml" PartName="/word/diagrams/drawing9.xml"/>
  <Override ContentType="application/vnd.ms-office.drawingml.diagramDrawing+xml" PartName="/word/diagrams/drawing12.xml"/>
  <Override ContentType="application/vnd.ms-office.drawingml.diagramDrawing+xml" PartName="/word/diagrams/drawing10.xml"/>
  <Override ContentType="application/vnd.ms-office.drawingml.diagramDrawing+xml" PartName="/word/diagrams/drawing6.xml"/>
  <Override ContentType="application/vnd.ms-office.drawingml.diagramDrawing+xml" PartName="/word/diagrams/drawing2.xml"/>
  <Override ContentType="application/vnd.ms-office.drawingml.diagramDrawing+xml" PartName="/word/diagrams/drawing4.xml"/>
  <Override ContentType="application/vnd.ms-office.drawingml.diagramDrawing+xml" PartName="/word/diagrams/drawing1.xml"/>
  <Override ContentType="application/vnd.ms-office.drawingml.diagramDrawing+xml" PartName="/word/diagrams/drawing8.xml"/>
  <Override ContentType="application/vnd.ms-office.drawingml.diagramDrawing+xml" PartName="/word/diagrams/drawing13.xml"/>
  <Override ContentType="application/vnd.ms-office.drawingml.diagramDrawing+xml" PartName="/word/diagrams/drawing15.xml"/>
  <Override ContentType="application/vnd.openxmlformats-officedocument.wordprocessingml.document.main+xml" PartName="/word/document.xml"/>
  <Override ContentType="application/vnd.openxmlformats-officedocument.drawingml.diagramColors+xml" PartName="/word/diagrams/colors11.xml"/>
  <Override ContentType="application/vnd.openxmlformats-officedocument.drawingml.diagramColors+xml" PartName="/word/diagrams/colors8.xml"/>
  <Override ContentType="application/vnd.openxmlformats-officedocument.drawingml.diagramColors+xml" PartName="/word/diagrams/colors16.xml"/>
  <Override ContentType="application/vnd.openxmlformats-officedocument.drawingml.diagramColors+xml" PartName="/word/diagrams/colors1.xml"/>
  <Override ContentType="application/vnd.openxmlformats-officedocument.drawingml.diagramColors+xml" PartName="/word/diagrams/colors3.xml"/>
  <Override ContentType="application/vnd.openxmlformats-officedocument.drawingml.diagramColors+xml" PartName="/word/diagrams/colors13.xml"/>
  <Override ContentType="application/vnd.openxmlformats-officedocument.drawingml.diagramColors+xml" PartName="/word/diagrams/colors6.xml"/>
  <Override ContentType="application/vnd.openxmlformats-officedocument.drawingml.diagramColors+xml" PartName="/word/diagrams/colors14.xml"/>
  <Override ContentType="application/vnd.openxmlformats-officedocument.drawingml.diagramColors+xml" PartName="/word/diagrams/colors5.xml"/>
  <Override ContentType="application/vnd.openxmlformats-officedocument.drawingml.diagramColors+xml" PartName="/word/diagrams/colors2.xml"/>
  <Override ContentType="application/vnd.openxmlformats-officedocument.drawingml.diagramColors+xml" PartName="/word/diagrams/colors17.xml"/>
  <Override ContentType="application/vnd.openxmlformats-officedocument.drawingml.diagramColors+xml" PartName="/word/diagrams/colors10.xml"/>
  <Override ContentType="application/vnd.openxmlformats-officedocument.drawingml.diagramColors+xml" PartName="/word/diagrams/colors9.xml"/>
  <Override ContentType="application/vnd.openxmlformats-officedocument.drawingml.diagramColors+xml" PartName="/word/diagrams/colors15.xml"/>
  <Override ContentType="application/vnd.openxmlformats-officedocument.drawingml.diagramColors+xml" PartName="/word/diagrams/colors4.xml"/>
  <Override ContentType="application/vnd.openxmlformats-officedocument.drawingml.diagramColors+xml" PartName="/word/diagrams/colors12.xml"/>
  <Override ContentType="application/vnd.openxmlformats-officedocument.drawingml.diagramColors+xml" PartName="/word/diagrams/colors7.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1717"/>
        <w:tblW w:w="97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30"/>
        <w:gridCol w:w="2976"/>
        <w:gridCol w:w="2151"/>
        <w:gridCol w:w="2147"/>
        <w:tblGridChange w:id="0">
          <w:tblGrid>
            <w:gridCol w:w="2430"/>
            <w:gridCol w:w="2976"/>
            <w:gridCol w:w="2151"/>
            <w:gridCol w:w="2147"/>
          </w:tblGrid>
        </w:tblGridChange>
      </w:tblGrid>
      <w:tr>
        <w:trPr>
          <w:cantSplit w:val="0"/>
          <w:trHeight w:val="1334" w:hRule="atLeast"/>
          <w:tblHeader w:val="0"/>
        </w:trPr>
        <w:tc>
          <w:tcPr>
            <w:gridSpan w:val="4"/>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02">
            <w:pPr>
              <w:pStyle w:val="Heading4"/>
              <w:rPr>
                <w:rFonts w:ascii="Arial" w:cs="Arial" w:eastAsia="Arial" w:hAnsi="Arial"/>
                <w:sz w:val="50"/>
                <w:szCs w:val="50"/>
              </w:rPr>
            </w:pPr>
            <w:r w:rsidDel="00000000" w:rsidR="00000000" w:rsidRPr="00000000">
              <w:rPr>
                <w:rFonts w:ascii="Arial" w:cs="Arial" w:eastAsia="Arial" w:hAnsi="Arial"/>
                <w:sz w:val="50"/>
                <w:szCs w:val="50"/>
                <w:rtl w:val="0"/>
              </w:rPr>
              <w:t xml:space="preserve">LEVEL 7 ASSESSMENT SPECIFICATION </w:t>
            </w:r>
          </w:p>
        </w:tc>
      </w:tr>
      <w:tr>
        <w:trPr>
          <w:cantSplit w:val="0"/>
          <w:trHeight w:val="86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6">
            <w:pPr>
              <w:spacing w:after="120" w:lineRule="auto"/>
              <w:rPr>
                <w:b w:val="1"/>
                <w:bCs w:val="1"/>
                <w:sz w:val="22"/>
                <w:szCs w:val="22"/>
              </w:rPr>
            </w:pPr>
            <w:r w:rsidDel="00000000" w:rsidR="00000000" w:rsidRPr="00000000">
              <w:rPr>
                <w:b w:val="1"/>
                <w:bCs w:val="1"/>
                <w:rtl w:val="0"/>
              </w:rPr>
              <w:t xml:space="preserve">Student name: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spacing w:after="120" w:lineRule="auto"/>
              <w:rPr>
                <w:b w:val="1"/>
                <w:bCs w:val="1"/>
              </w:rPr>
            </w:pPr>
            <w:r w:rsidDel="00000000" w:rsidR="00000000" w:rsidRPr="00000000">
              <w:rPr>
                <w:b w:val="1"/>
                <w:bCs w:val="1"/>
                <w:rtl w:val="0"/>
              </w:rPr>
              <w:t xml:space="preserve">MD Didarul Islam Anik 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8">
            <w:pPr>
              <w:spacing w:after="120" w:lineRule="auto"/>
              <w:rPr>
                <w:b w:val="1"/>
                <w:bCs w:val="1"/>
              </w:rPr>
            </w:pPr>
            <w:r w:rsidDel="00000000" w:rsidR="00000000" w:rsidRPr="00000000">
              <w:rPr>
                <w:b w:val="1"/>
                <w:bCs w:val="1"/>
                <w:rtl w:val="0"/>
              </w:rPr>
              <w:t xml:space="preserve">Student id: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spacing w:after="120" w:lineRule="auto"/>
              <w:rPr>
                <w:b w:val="1"/>
                <w:bCs w:val="1"/>
              </w:rPr>
            </w:pPr>
            <w:r w:rsidDel="00000000" w:rsidR="00000000" w:rsidRPr="00000000">
              <w:rPr>
                <w:b w:val="1"/>
                <w:bCs w:val="1"/>
                <w:rtl w:val="0"/>
              </w:rPr>
              <w:t xml:space="preserve">2505168</w:t>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A">
            <w:pPr>
              <w:spacing w:after="120" w:lineRule="auto"/>
              <w:rPr>
                <w:b w:val="1"/>
                <w:bCs w:val="1"/>
              </w:rPr>
            </w:pPr>
            <w:r w:rsidDel="00000000" w:rsidR="00000000" w:rsidRPr="00000000">
              <w:rPr>
                <w:b w:val="1"/>
                <w:bCs w:val="1"/>
                <w:rtl w:val="0"/>
              </w:rPr>
              <w:t xml:space="preserve">Programme: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spacing w:after="120" w:lineRule="auto"/>
              <w:rPr>
                <w:b w:val="1"/>
                <w:bCs w:val="1"/>
              </w:rPr>
            </w:pPr>
            <w:r w:rsidDel="00000000" w:rsidR="00000000" w:rsidRPr="00000000">
              <w:rPr>
                <w:b w:val="1"/>
                <w:bCs w:val="1"/>
                <w:rtl w:val="0"/>
              </w:rPr>
              <w:t xml:space="preserve">MBA</w:t>
            </w:r>
          </w:p>
        </w:tc>
      </w:tr>
      <w:tr>
        <w:trPr>
          <w:cantSplit w:val="0"/>
          <w:trHeight w:val="549"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E">
            <w:pPr>
              <w:spacing w:after="120" w:lineRule="auto"/>
              <w:rPr>
                <w:b w:val="1"/>
                <w:bCs w:val="1"/>
              </w:rPr>
            </w:pPr>
            <w:r w:rsidDel="00000000" w:rsidR="00000000" w:rsidRPr="00000000">
              <w:rPr>
                <w:b w:val="1"/>
                <w:bCs w:val="1"/>
                <w:rtl w:val="0"/>
              </w:rPr>
              <w:t xml:space="preserve">Module: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spacing w:after="120" w:lineRule="auto"/>
              <w:rPr>
                <w:b w:val="1"/>
                <w:bCs w:val="1"/>
              </w:rPr>
            </w:pPr>
            <w:r w:rsidDel="00000000" w:rsidR="00000000" w:rsidRPr="00000000">
              <w:rPr>
                <w:b w:val="1"/>
                <w:bCs w:val="1"/>
                <w:rtl w:val="0"/>
              </w:rPr>
              <w:t xml:space="preserve">Managing Marketing Change</w:t>
            </w:r>
          </w:p>
        </w:tc>
      </w:tr>
      <w:tr>
        <w:trPr>
          <w:cantSplit w:val="0"/>
          <w:trHeight w:val="88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2">
            <w:pPr>
              <w:spacing w:after="120" w:lineRule="auto"/>
              <w:rPr>
                <w:b w:val="1"/>
                <w:bCs w:val="1"/>
              </w:rPr>
            </w:pPr>
            <w:r w:rsidDel="00000000" w:rsidR="00000000" w:rsidRPr="00000000">
              <w:rPr>
                <w:b w:val="1"/>
                <w:bCs w:val="1"/>
                <w:rtl w:val="0"/>
              </w:rPr>
              <w:t xml:space="preserve">Module code: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spacing w:after="120" w:lineRule="auto"/>
              <w:rPr>
                <w:b w:val="1"/>
                <w:bCs w:val="1"/>
              </w:rPr>
            </w:pPr>
            <w:r w:rsidDel="00000000" w:rsidR="00000000" w:rsidRPr="00000000">
              <w:rPr>
                <w:b w:val="1"/>
                <w:bCs w:val="1"/>
                <w:rtl w:val="0"/>
              </w:rPr>
              <w:t xml:space="preserve">BMMB7026</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4">
            <w:pPr>
              <w:rPr>
                <w:b w:val="1"/>
                <w:bCs w:val="1"/>
                <w:sz w:val="22"/>
                <w:szCs w:val="22"/>
              </w:rPr>
            </w:pPr>
            <w:r w:rsidDel="00000000" w:rsidR="00000000" w:rsidRPr="00000000">
              <w:rPr>
                <w:b w:val="1"/>
                <w:bCs w:val="1"/>
                <w:sz w:val="22"/>
                <w:szCs w:val="22"/>
                <w:rtl w:val="0"/>
              </w:rPr>
              <w:t xml:space="preserve">Contribution to Overall Module Assessment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120" w:lineRule="auto"/>
              <w:rPr>
                <w:b w:val="1"/>
                <w:bCs w:val="1"/>
                <w:sz w:val="22"/>
                <w:szCs w:val="22"/>
              </w:rPr>
            </w:pPr>
            <w:r w:rsidDel="00000000" w:rsidR="00000000" w:rsidRPr="00000000">
              <w:rPr>
                <w:b w:val="1"/>
                <w:bCs w:val="1"/>
                <w:rtl w:val="0"/>
              </w:rPr>
              <w:t xml:space="preserve">75%</w:t>
            </w:r>
            <w:r w:rsidDel="00000000" w:rsidR="00000000" w:rsidRPr="00000000">
              <w:rPr>
                <w:rtl w:val="0"/>
              </w:rPr>
            </w:r>
          </w:p>
        </w:tc>
      </w:tr>
      <w:tr>
        <w:trPr>
          <w:cantSplit w:val="0"/>
          <w:trHeight w:val="88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6">
            <w:pPr>
              <w:spacing w:after="120" w:lineRule="auto"/>
              <w:rPr>
                <w:b w:val="1"/>
                <w:bCs w:val="1"/>
              </w:rPr>
            </w:pPr>
            <w:r w:rsidDel="00000000" w:rsidR="00000000" w:rsidRPr="00000000">
              <w:rPr>
                <w:b w:val="1"/>
                <w:bCs w:val="1"/>
                <w:rtl w:val="0"/>
              </w:rPr>
              <w:t xml:space="preserve">Lecturer: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spacing w:after="120" w:lineRule="auto"/>
              <w:rPr>
                <w:b w:val="1"/>
                <w:bCs w:val="1"/>
              </w:rPr>
            </w:pPr>
            <w:r w:rsidDel="00000000" w:rsidR="00000000" w:rsidRPr="00000000">
              <w:rPr>
                <w:b w:val="1"/>
                <w:bCs w:val="1"/>
                <w:rtl w:val="0"/>
              </w:rPr>
              <w:t xml:space="preserve">Gwyneth Jones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8">
            <w:pPr>
              <w:spacing w:after="120" w:lineRule="auto"/>
              <w:rPr>
                <w:b w:val="1"/>
                <w:bCs w:val="1"/>
              </w:rPr>
            </w:pPr>
            <w:r w:rsidDel="00000000" w:rsidR="00000000" w:rsidRPr="00000000">
              <w:rPr>
                <w:b w:val="1"/>
                <w:bCs w:val="1"/>
                <w:rtl w:val="0"/>
              </w:rPr>
              <w:t xml:space="preserve">Internal Verifier: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spacing w:after="120" w:lineRule="auto"/>
              <w:rPr>
                <w:b w:val="1"/>
                <w:bCs w:val="1"/>
              </w:rPr>
            </w:pPr>
            <w:r w:rsidDel="00000000" w:rsidR="00000000" w:rsidRPr="00000000">
              <w:rPr>
                <w:b w:val="1"/>
                <w:bCs w:val="1"/>
                <w:rtl w:val="0"/>
              </w:rPr>
              <w:t xml:space="preserve">Marie Pitson</w:t>
            </w:r>
          </w:p>
        </w:tc>
      </w:tr>
      <w:tr>
        <w:trPr>
          <w:cantSplit w:val="0"/>
          <w:trHeight w:val="1609"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A">
            <w:pPr>
              <w:spacing w:after="120" w:lineRule="auto"/>
              <w:rPr>
                <w:b w:val="1"/>
                <w:bCs w:val="1"/>
              </w:rPr>
            </w:pPr>
            <w:r w:rsidDel="00000000" w:rsidR="00000000" w:rsidRPr="00000000">
              <w:rPr>
                <w:b w:val="1"/>
                <w:bCs w:val="1"/>
                <w:rtl w:val="0"/>
              </w:rPr>
              <w:t xml:space="preserve">Assignment Title: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spacing w:after="120" w:lineRule="auto"/>
              <w:rPr>
                <w:b w:val="1"/>
                <w:bCs w:val="1"/>
              </w:rPr>
            </w:pPr>
            <w:r w:rsidDel="00000000" w:rsidR="00000000" w:rsidRPr="00000000">
              <w:rPr>
                <w:b w:val="1"/>
                <w:bCs w:val="1"/>
                <w:rtl w:val="0"/>
              </w:rPr>
              <w:t xml:space="preserve">Future Developments in the Field of Marketing</w:t>
            </w:r>
          </w:p>
          <w:p w:rsidR="00000000" w:rsidDel="00000000" w:rsidP="00000000" w:rsidRDefault="00000000" w:rsidRPr="00000000" w14:paraId="0000001C">
            <w:pPr>
              <w:spacing w:after="120" w:lineRule="auto"/>
              <w:rPr>
                <w:b w:val="1"/>
                <w:bCs w:val="1"/>
              </w:rPr>
            </w:pPr>
            <w:r w:rsidDel="00000000" w:rsidR="00000000" w:rsidRPr="00000000">
              <w:rPr>
                <w:b w:val="1"/>
                <w:bCs w:val="1"/>
                <w:rtl w:val="0"/>
              </w:rPr>
              <w:t xml:space="preserve">(Individual Report)</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D">
            <w:pPr>
              <w:spacing w:after="120" w:lineRule="auto"/>
              <w:rPr>
                <w:b w:val="1"/>
                <w:bCs w:val="1"/>
              </w:rPr>
            </w:pPr>
            <w:r w:rsidDel="00000000" w:rsidR="00000000" w:rsidRPr="00000000">
              <w:rPr>
                <w:b w:val="1"/>
                <w:bCs w:val="1"/>
                <w:rtl w:val="0"/>
              </w:rPr>
              <w:t xml:space="preserve">Word count (or equivalent):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120" w:lineRule="auto"/>
              <w:rPr>
                <w:b w:val="1"/>
                <w:bCs w:val="1"/>
              </w:rPr>
            </w:pPr>
            <w:r w:rsidDel="00000000" w:rsidR="00000000" w:rsidRPr="00000000">
              <w:rPr>
                <w:b w:val="1"/>
                <w:bCs w:val="1"/>
                <w:rtl w:val="0"/>
              </w:rPr>
              <w:t xml:space="preserve">3,750 words </w:t>
            </w:r>
          </w:p>
          <w:p w:rsidR="00000000" w:rsidDel="00000000" w:rsidP="00000000" w:rsidRDefault="00000000" w:rsidRPr="00000000" w14:paraId="0000001F">
            <w:pPr>
              <w:spacing w:after="120" w:lineRule="auto"/>
              <w:rPr>
                <w:b w:val="1"/>
                <w:bCs w:val="1"/>
              </w:rPr>
            </w:pPr>
            <w:r w:rsidDel="00000000" w:rsidR="00000000" w:rsidRPr="00000000">
              <w:rPr>
                <w:b w:val="1"/>
                <w:bCs w:val="1"/>
                <w:rtl w:val="0"/>
              </w:rPr>
              <w:t xml:space="preserve">(+/- 10%)</w:t>
            </w:r>
          </w:p>
        </w:tc>
      </w:tr>
      <w:tr>
        <w:trPr>
          <w:cantSplit w:val="0"/>
          <w:trHeight w:val="1491"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20">
            <w:pPr>
              <w:spacing w:after="120" w:lineRule="auto"/>
              <w:rPr>
                <w:b w:val="1"/>
                <w:bCs w:val="1"/>
              </w:rPr>
            </w:pPr>
            <w:r w:rsidDel="00000000" w:rsidR="00000000" w:rsidRPr="00000000">
              <w:rPr>
                <w:b w:val="1"/>
                <w:bCs w:val="1"/>
                <w:rtl w:val="0"/>
              </w:rPr>
              <w:t xml:space="preserve">Submission deadline: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spacing w:after="120" w:lineRule="auto"/>
              <w:rPr>
                <w:b w:val="1"/>
                <w:bCs w:val="1"/>
              </w:rPr>
            </w:pPr>
            <w:r w:rsidDel="00000000" w:rsidR="00000000" w:rsidRPr="00000000">
              <w:rPr>
                <w:b w:val="1"/>
                <w:bCs w:val="1"/>
                <w:rtl w:val="0"/>
              </w:rPr>
              <w:t xml:space="preserve">Wednesday 7</w:t>
            </w:r>
            <w:r w:rsidDel="00000000" w:rsidR="00000000" w:rsidRPr="00000000">
              <w:rPr>
                <w:b w:val="1"/>
                <w:bCs w:val="1"/>
                <w:vertAlign w:val="superscript"/>
                <w:rtl w:val="0"/>
              </w:rPr>
              <w:t xml:space="preserve">th</w:t>
            </w:r>
            <w:r w:rsidDel="00000000" w:rsidR="00000000" w:rsidRPr="00000000">
              <w:rPr>
                <w:b w:val="1"/>
                <w:bCs w:val="1"/>
                <w:rtl w:val="0"/>
              </w:rPr>
              <w:t xml:space="preserve"> January 2026</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22">
            <w:pPr>
              <w:spacing w:after="120" w:lineRule="auto"/>
              <w:rPr>
                <w:b w:val="1"/>
                <w:bCs w:val="1"/>
              </w:rPr>
            </w:pPr>
            <w:r w:rsidDel="00000000" w:rsidR="00000000" w:rsidRPr="00000000">
              <w:rPr>
                <w:b w:val="1"/>
                <w:bCs w:val="1"/>
                <w:rtl w:val="0"/>
              </w:rPr>
              <w:t xml:space="preserve">Return date of provisional marks &amp; written feedback: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spacing w:after="120" w:lineRule="auto"/>
              <w:rPr>
                <w:b w:val="1"/>
                <w:bCs w:val="1"/>
                <w:color w:val="ff0000"/>
              </w:rPr>
            </w:pPr>
            <w:r w:rsidDel="00000000" w:rsidR="00000000" w:rsidRPr="00000000">
              <w:rPr>
                <w:b w:val="1"/>
                <w:bCs w:val="1"/>
                <w:color w:val="000000"/>
                <w:rtl w:val="0"/>
              </w:rPr>
              <w:t xml:space="preserve">Wednesday 4</w:t>
            </w:r>
            <w:r w:rsidDel="00000000" w:rsidR="00000000" w:rsidRPr="00000000">
              <w:rPr>
                <w:b w:val="1"/>
                <w:bCs w:val="1"/>
                <w:color w:val="000000"/>
                <w:vertAlign w:val="superscript"/>
                <w:rtl w:val="0"/>
              </w:rPr>
              <w:t xml:space="preserve">th</w:t>
            </w:r>
            <w:r w:rsidDel="00000000" w:rsidR="00000000" w:rsidRPr="00000000">
              <w:rPr>
                <w:b w:val="1"/>
                <w:bCs w:val="1"/>
                <w:color w:val="000000"/>
                <w:rtl w:val="0"/>
              </w:rPr>
              <w:t xml:space="preserve"> February 2026</w:t>
            </w:r>
            <w:r w:rsidDel="00000000" w:rsidR="00000000" w:rsidRPr="00000000">
              <w:rPr>
                <w:rtl w:val="0"/>
              </w:rPr>
            </w:r>
          </w:p>
        </w:tc>
      </w:tr>
    </w:tbl>
    <w:p w:rsidR="00000000" w:rsidDel="00000000" w:rsidP="00000000" w:rsidRDefault="00000000" w:rsidRPr="00000000" w14:paraId="0000002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1623060</wp:posOffset>
            </wp:positionH>
            <wp:positionV relativeFrom="paragraph">
              <wp:posOffset>0</wp:posOffset>
            </wp:positionV>
            <wp:extent cx="2231390" cy="895985"/>
            <wp:effectExtent b="0" l="0" r="0" t="0"/>
            <wp:wrapSquare wrapText="bothSides" distB="0" distT="0" distL="114300" distR="114300"/>
            <wp:docPr id="18" name="image2.png"/>
            <a:graphic>
              <a:graphicData uri="http://schemas.openxmlformats.org/drawingml/2006/picture">
                <pic:pic>
                  <pic:nvPicPr>
                    <pic:cNvPr id="0" name="image2.png"/>
                    <pic:cNvPicPr preferRelativeResize="0"/>
                  </pic:nvPicPr>
                  <pic:blipFill>
                    <a:blip r:embed="rId35"/>
                    <a:srcRect b="0" l="0" r="0" t="0"/>
                    <a:stretch>
                      <a:fillRect/>
                    </a:stretch>
                  </pic:blipFill>
                  <pic:spPr>
                    <a:xfrm>
                      <a:off x="0" y="0"/>
                      <a:ext cx="2231390" cy="895985"/>
                    </a:xfrm>
                    <a:prstGeom prst="rect"/>
                    <a:ln/>
                  </pic:spPr>
                </pic:pic>
              </a:graphicData>
            </a:graphic>
          </wp:anchor>
        </w:drawing>
      </w:r>
    </w:p>
    <w:p w:rsidR="00000000" w:rsidDel="00000000" w:rsidP="00000000" w:rsidRDefault="00000000" w:rsidRPr="00000000" w14:paraId="00000025">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a4ah8bf0v0im" w:id="0"/>
      <w:bookmarkEnd w:id="0"/>
      <w:r w:rsidDel="00000000" w:rsidR="00000000" w:rsidRPr="00000000">
        <w:rPr>
          <w:rtl w:val="0"/>
        </w:rPr>
        <w:t xml:space="preserve">1.0 Abstract</w:t>
      </w:r>
    </w:p>
    <w:p w:rsidR="00000000" w:rsidDel="00000000" w:rsidP="00000000" w:rsidRDefault="00000000" w:rsidRPr="00000000" w14:paraId="00000027">
      <w:pPr>
        <w:rPr/>
      </w:pPr>
      <w:r w:rsidDel="00000000" w:rsidR="00000000" w:rsidRPr="00000000">
        <w:rPr>
          <w:rtl w:val="0"/>
        </w:rPr>
        <w:t xml:space="preserve">This assignment gives a critical assessment of Tesla's marketing strategy, indicating basic misalignment that affects competitive position. Analysis work based on strategic frameworks reveals five interdependent deficiencies: segmentation incoherence, PESTEL misalignment, positioning-operations gap, absence of measurement, and geographic misadjustment, forming a circular reinforcement mechanism that bleeds at any chance to make tactical fixes, which are isolated.</w:t>
      </w:r>
    </w:p>
    <w:p w:rsidR="00000000" w:rsidDel="00000000" w:rsidP="00000000" w:rsidRDefault="00000000" w:rsidRPr="00000000" w14:paraId="00000028">
      <w:pPr>
        <w:rPr/>
      </w:pPr>
      <w:r w:rsidDel="00000000" w:rsidR="00000000" w:rsidRPr="00000000">
        <w:rPr>
          <w:rtl w:val="0"/>
        </w:rPr>
        <w:t xml:space="preserve">Diagnostic evidence of Tesla's premium innovation positioning vs. a transformed environment defined by cost convergence, autonomous capability standardisation, and service quality emphasis. Market data, such as volume growth coupled with decline in profitability, market share erosion, and collapse of brand preferences, shows organisational response inadequacy, not external threat.</w:t>
      </w:r>
    </w:p>
    <w:p w:rsidR="00000000" w:rsidDel="00000000" w:rsidP="00000000" w:rsidRDefault="00000000" w:rsidRPr="00000000" w14:paraId="00000029">
      <w:pPr>
        <w:rPr/>
      </w:pPr>
      <w:r w:rsidDel="00000000" w:rsidR="00000000" w:rsidRPr="00000000">
        <w:rPr>
          <w:rtl w:val="0"/>
        </w:rPr>
        <w:t xml:space="preserve">In order to address segment incoherence, strategic remediation sub-brand architecture for segment coherence, PESTEL-aligned repositioning and measurement infrastructure to create accountability. Kotter's eight-stage change model outlines a structured approach to addressing internal resistance for enabling strategic reform and ongoing competitive advantage.</w:t>
      </w:r>
      <w:r w:rsidDel="00000000" w:rsidR="00000000" w:rsidRPr="00000000">
        <w:br w:type="page"/>
      </w:r>
      <w:r w:rsidDel="00000000" w:rsidR="00000000" w:rsidRPr="00000000">
        <w:rPr>
          <w:rtl w:val="0"/>
        </w:rPr>
      </w:r>
    </w:p>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bCs w:val="1"/>
          <w:i w:val="0"/>
          <w:iCs w:val="0"/>
          <w:smallCaps w:val="0"/>
          <w:strike w:val="0"/>
          <w:color w:val="2f5496"/>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2f5496"/>
          <w:sz w:val="28"/>
          <w:szCs w:val="28"/>
          <w:u w:val="none"/>
          <w:shd w:fill="auto" w:val="clear"/>
          <w:vertAlign w:val="baseline"/>
          <w:rtl w:val="0"/>
        </w:rPr>
        <w:t xml:space="preserve">Table of Contents</w:t>
      </w:r>
    </w:p>
    <w:sdt>
      <w:sdtPr>
        <w:id w:val="-1092493319"/>
        <w:docPartObj>
          <w:docPartGallery w:val="Table of Contents"/>
          <w:docPartUnique w:val="1"/>
        </w:docPartObj>
      </w:sdtPr>
      <w:sdtContent>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4ah8bf0v0i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Abstract</w:t>
              <w:tab/>
              <w:t xml:space="preserve">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lqstlpmzamj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2.0 Introduction</w:t>
              <w:tab/>
              <w:t xml:space="preserve">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rb3olaohski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3.0 Critical Evaluation of Tesla's Marketing Strategy</w:t>
              <w:tab/>
              <w:t xml:space="preserve">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gh4thl0t0n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Marketing Concept &amp; Resource Investment Analysis</w:t>
              <w:tab/>
              <w:t xml:space="preserve">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1uqthqeivsu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PESTEL Macro-Environmental Analysis</w:t>
              <w:tab/>
              <w:t xml:space="preserve">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xdknqz6na1a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3.2.1 Political Dimension</w:t>
              <w:tab/>
              <w:t xml:space="preserve">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zti9vv8o4d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3.2.2 Economic Dimension</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bgp30nguzga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3.2.3 Social-Cultural Dimension</w:t>
              <w:tab/>
              <w:t xml:space="preserve">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qybt6xpgm9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3.2.4 Technological Dimension</w:t>
              <w:tab/>
              <w:t xml:space="preserve">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f3fe0w6gjpg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3.2.5 Environmental Dimension</w:t>
              <w:tab/>
              <w:t xml:space="preserve">9</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ryqpx11p5m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3.2.6 Legal-Regulatory Dimension</w:t>
              <w:tab/>
              <w:t xml:space="preserve">10</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a21med45056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Micro-Environment: SWOT Summary</w:t>
              <w:tab/>
              <w:t xml:space="preserve">10</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4ales8asgw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STP Strategy &amp; Marketing Mix Effectiveness</w:t>
              <w:tab/>
              <w:t xml:space="preserve">11</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q3zj7tbgwq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3.4.1 Segmentation Analysis: Strategic Incoherence</w:t>
              <w:tab/>
              <w:t xml:space="preserve">11</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nx16qneku5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3.4.2 Targeting Assessment</w:t>
              <w:tab/>
              <w:t xml:space="preserve">12</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oy6bd5maweu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3.4.3 Positioning &amp; Contradictions</w:t>
              <w:tab/>
              <w:t xml:space="preserve">13</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1gyfgy6xhz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3.4.4 Marketing Mix Coordination</w:t>
              <w:tab/>
              <w:t xml:space="preserve">14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48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9uo0ez1twy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3.4.5 Ansoff Matrix Strategic Options</w:t>
              <w:tab/>
              <w:t xml:space="preserve">15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q5j4vuosldl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Communications Media &amp; Measurement Framework</w:t>
              <w:tab/>
              <w:t xml:space="preserve">16</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0hpazqg7ox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Competitive Environment Response</w:t>
              <w:tab/>
              <w:t xml:space="preserve">17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0rfyzxfgc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4.0 Strategic Shortcomings &amp; Systemic Analysis</w:t>
              <w:tab/>
              <w:t xml:space="preserve">18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7u4okttyz9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5.0 Strategic Recommendations</w:t>
              <w:tab/>
              <w:t xml:space="preserve">19</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vj3nu3mv22f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SOSTAC Framework Application</w:t>
              <w:tab/>
              <w:t xml:space="preserve">19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ead4x2mdge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Kotter's Change Model Implementation</w:t>
              <w:tab/>
              <w:t xml:space="preserve">22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f8484ppomi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Feasibility Assessment</w:t>
              <w:tab/>
              <w:t xml:space="preserve">24</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nqovikx4sp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6.0 Conclusion</w:t>
              <w:tab/>
              <w:t xml:space="preserve">24</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3f0tieo27s4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7.0 References</w:t>
              <w:tab/>
              <w:t xml:space="preserve">25</w:t>
            </w:r>
          </w:hyperlink>
          <w:r w:rsidDel="00000000" w:rsidR="00000000" w:rsidRPr="00000000">
            <w:rPr>
              <w:rtl w:val="0"/>
            </w:rPr>
          </w:r>
        </w:p>
        <w:p w:rsidR="00000000" w:rsidDel="00000000" w:rsidP="00000000" w:rsidRDefault="00000000" w:rsidRPr="00000000" w14:paraId="0000004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7">
      <w:pPr>
        <w:spacing w:before="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before="0" w:line="259" w:lineRule="auto"/>
        <w:jc w:val="left"/>
        <w:rPr>
          <w:b w:val="1"/>
          <w:bCs w:val="1"/>
          <w:color w:val="2f5496"/>
          <w:sz w:val="28"/>
          <w:szCs w:val="28"/>
        </w:rPr>
      </w:pPr>
      <w:r w:rsidDel="00000000" w:rsidR="00000000" w:rsidRPr="00000000">
        <w:rPr>
          <w:b w:val="1"/>
          <w:bCs w:val="1"/>
          <w:color w:val="2f5496"/>
          <w:sz w:val="28"/>
          <w:szCs w:val="28"/>
          <w:rtl w:val="0"/>
        </w:rPr>
        <w:t xml:space="preserve">List of Figures</w:t>
      </w:r>
    </w:p>
    <w:sdt>
      <w:sdtPr>
        <w:id w:val="-291290919"/>
        <w:docPartObj>
          <w:docPartGallery w:val="Table of Contents"/>
          <w:docPartUnique w:val="1"/>
        </w:docPartObj>
      </w:sdtPr>
      <w:sdtContent>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b0kxnza0ub9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 Key Tesla Metrics – 2024 (Tesla, 2025a)</w:t>
              <w:tab/>
              <w:t xml:space="preserve">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qsx8mi0axg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2: Marketing Resource Structure and Cost Orientation</w:t>
              <w:tab/>
              <w:t xml:space="preserve">5</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olom27ogvr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3: Market Context and Performance Signals</w:t>
              <w:tab/>
              <w:t xml:space="preserve">6</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tf8x668ep9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 Political–Regulatory Indicators</w:t>
              <w:tab/>
              <w:t xml:space="preserve">6</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9h0dacxg02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5: Economic Indicators</w:t>
              <w:tab/>
              <w:t xml:space="preserve">7</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lyrnvcol83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6: Social–Technological–Environmental Indicators</w:t>
              <w:tab/>
              <w:t xml:space="preserve">8</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36my3m26nw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7: Regional Segmentation Composition</w:t>
              <w:tab/>
              <w:t xml:space="preserve">11</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fun31q4pcf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8: Targeting Concentration Indicators</w:t>
              <w:tab/>
              <w:t xml:space="preserve">12</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6omqfm3py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9: Positioning &amp; Performance Metrics</w:t>
              <w:tab/>
              <w:t xml:space="preserve">12</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nkkw3g37es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10: Tesla's 4P Analysis</w:t>
              <w:tab/>
              <w:t xml:space="preserve">13</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tek7hf7uae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11: Ansoff Matrix</w:t>
              <w:tab/>
              <w:t xml:space="preserve">14</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w610cral6g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12: Consumer Knowledge Advancement Undermining Communications Advantage</w:t>
              <w:tab/>
              <w:t xml:space="preserve">15</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2tvdifap7y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13: Measurement Framework Gaps and Governance Impact</w:t>
              <w:tab/>
              <w:t xml:space="preserve">15</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ibvd4sgueo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14: Market Expansion Response</w:t>
              <w:tab/>
              <w:t xml:space="preserve">17</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138w21931fx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15: SOSTAC Strategy Component</w:t>
              <w:tab/>
              <w:t xml:space="preserve">20</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io5y41n4q1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16: Kotter’s 8-Step Model for Tesla</w:t>
              <w:tab/>
              <w:t xml:space="preserve">22</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bu7nheqvcg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17: Implementation Risk &amp; Control Triggers</w:t>
              <w:tab/>
              <w:t xml:space="preserve">23</w:t>
            </w:r>
          </w:hyperlink>
          <w:r w:rsidDel="00000000" w:rsidR="00000000" w:rsidRPr="00000000">
            <w:rPr>
              <w:rtl w:val="0"/>
            </w:rPr>
          </w:r>
        </w:p>
        <w:p w:rsidR="00000000" w:rsidDel="00000000" w:rsidP="00000000" w:rsidRDefault="00000000" w:rsidRPr="00000000" w14:paraId="0000005A">
          <w:pPr>
            <w:spacing w:before="0" w:line="259" w:lineRule="auto"/>
            <w:jc w:val="left"/>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B">
      <w:pPr>
        <w:spacing w:before="0" w:line="259" w:lineRule="auto"/>
        <w:jc w:val="left"/>
        <w:rPr>
          <w:b w:val="1"/>
          <w:bCs w:val="1"/>
          <w:color w:val="2f5496"/>
          <w:sz w:val="28"/>
          <w:szCs w:val="28"/>
        </w:rPr>
      </w:pPr>
      <w:r w:rsidDel="00000000" w:rsidR="00000000" w:rsidRPr="00000000">
        <w:rPr>
          <w:b w:val="1"/>
          <w:bCs w:val="1"/>
          <w:color w:val="2f5496"/>
          <w:sz w:val="28"/>
          <w:szCs w:val="28"/>
          <w:rtl w:val="0"/>
        </w:rPr>
        <w:t xml:space="preserve">List of Tables</w:t>
      </w:r>
    </w:p>
    <w:sdt>
      <w:sdtPr>
        <w:id w:val="-877474000"/>
        <w:docPartObj>
          <w:docPartGallery w:val="Table of Contents"/>
          <w:docPartUnique w:val="1"/>
        </w:docPartObj>
      </w:sdtPr>
      <w:sdtContent>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ngxdukmtd1n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1: SWOT Analysis</w:t>
              <w:tab/>
              <w:t xml:space="preserve">10</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12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qokfq623pne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Table 2: Market Share &amp; Competitor Analysis</w:t>
              <w:tab/>
              <w:t xml:space="preserve">17</w:t>
            </w:r>
          </w:hyperlink>
          <w:r w:rsidDel="00000000" w:rsidR="00000000" w:rsidRPr="00000000">
            <w:rPr>
              <w:rtl w:val="0"/>
            </w:rPr>
          </w:r>
        </w:p>
        <w:p w:rsidR="00000000" w:rsidDel="00000000" w:rsidP="00000000" w:rsidRDefault="00000000" w:rsidRPr="00000000" w14:paraId="0000005E">
          <w:pPr>
            <w:spacing w:before="0" w:line="259" w:lineRule="auto"/>
            <w:jc w:val="left"/>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F">
      <w:pPr>
        <w:spacing w:before="0" w:line="259" w:lineRule="auto"/>
        <w:jc w:val="left"/>
        <w:rPr>
          <w:b w:val="1"/>
          <w:bCs w:val="1"/>
          <w:color w:val="2f5496"/>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1"/>
        <w:rPr/>
      </w:pPr>
      <w:bookmarkStart w:colFirst="0" w:colLast="0" w:name="_lqstlpmzamjx" w:id="1"/>
      <w:bookmarkEnd w:id="1"/>
      <w:r w:rsidDel="00000000" w:rsidR="00000000" w:rsidRPr="00000000">
        <w:rPr>
          <w:rtl w:val="0"/>
        </w:rPr>
        <w:t xml:space="preserve">2.0 Introduction</w:t>
      </w:r>
    </w:p>
    <w:p w:rsidR="00000000" w:rsidDel="00000000" w:rsidP="00000000" w:rsidRDefault="00000000" w:rsidRPr="00000000" w14:paraId="00000061">
      <w:pPr>
        <w:rPr/>
      </w:pPr>
      <w:r w:rsidDel="00000000" w:rsidR="00000000" w:rsidRPr="00000000">
        <w:rPr>
          <w:rtl w:val="0"/>
        </w:rPr>
        <w:t xml:space="preserve">Strategic viability in the global electric vehicle (EV) market encompasses the alignment of organisational strategy with environmental dynamics (Collinson, Narula &amp; Rugman, 2020). International competitive frameworks put forward that cost convergence, technology commoditisation, and regulatory standardisation limit differentiation potential (Daniels et al., 2021). LFP battery pricing ($80-100/kWh) and Level 2 autonomous driving adoption are examples of reaching technology parity, which cracks the competitive advantage (Tesla, 2025b). This trend has resulted in declining the value of novelty and an increasing emphasis from regulatory frameworks in various jurisdictions on safety and compliance and prioritising strategic changes towards operational reliability and quality of service (Tesla, 2025a). The ongoing volume increase (+45%) under conditions of falling profitability (-30%) and loss of market share (-24-52.9%) is illustrated in Tesla's 2024 Impact Report which proves misalignment of Tesla's strategic position on market realities and its environmental realities (Tesla, 2025a; Tesla, 2025b). Incremental marketing adjustments are not enough, making change management relevant to the driving of systemic strategic repositioning.</w:t>
      </w:r>
    </w:p>
    <w:p w:rsidR="00000000" w:rsidDel="00000000" w:rsidP="00000000" w:rsidRDefault="00000000" w:rsidRPr="00000000" w14:paraId="00000062">
      <w:pPr>
        <w:keepNext w:val="1"/>
        <w:rPr/>
      </w:pPr>
      <w:r w:rsidDel="00000000" w:rsidR="00000000" w:rsidRPr="00000000">
        <w:rPr/>
        <w:drawing>
          <wp:inline distB="0" distT="0" distL="0" distR="0">
            <wp:extent cx="6019800" cy="2354580"/>
            <wp:effectExtent b="26670" l="0" r="0" t="0"/>
            <wp:docPr id="2"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b0kxnza0ub9l" w:id="2"/>
      <w:bookmarkEnd w:id="2"/>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 Key Tesla Metrics – 2024 (Tesla, 2025a)</w:t>
      </w:r>
    </w:p>
    <w:p w:rsidR="00000000" w:rsidDel="00000000" w:rsidP="00000000" w:rsidRDefault="00000000" w:rsidRPr="00000000" w14:paraId="00000064">
      <w:pPr>
        <w:rPr/>
      </w:pPr>
      <w:r w:rsidDel="00000000" w:rsidR="00000000" w:rsidRPr="00000000">
        <w:rPr>
          <w:rtl w:val="0"/>
        </w:rPr>
        <w:t xml:space="preserve">Tesla's mission – accelerating the sustainable energy transition – supports its vision of world EV leadership (Chari &amp; Fernandes, 2025; Tesla, 2025a). However, gaps of operation limit strategic coherence: Service qualities shrink (-12 pp). Innovative pricing and lithium supply chain concentration (75% Chile) regarding capabilities deployment (Tschiesner et al., 2024). Energy business growth (44%) is under-resourced, and marketing allocation is 10-15% of spend. Strategic importance documentation highlights the necessity of segment-specific positioning, geographical optimisation and measurement infrastructure towards mission versus operational reality (Chari &amp; Fernandes, 2025; Tschiesner et al., 2024).</w:t>
      </w:r>
    </w:p>
    <w:p w:rsidR="00000000" w:rsidDel="00000000" w:rsidP="00000000" w:rsidRDefault="00000000" w:rsidRPr="00000000" w14:paraId="00000065">
      <w:pPr>
        <w:rPr/>
      </w:pPr>
      <w:r w:rsidDel="00000000" w:rsidR="00000000" w:rsidRPr="00000000">
        <w:rPr>
          <w:rtl w:val="0"/>
        </w:rPr>
        <w:t xml:space="preserve">Strategic management frameworks assist the critical evaluation methodology, distinguishing between analysis and descriptive assessment (Lynch, 2018). Module learning outcomes addressed include the systematic assessment of Tesla's strategic positioning in light of environmental conditions, organisational capabilities and competitive performance (Whittington et al., 2020). The report takes a step further than diagnostic analysis and makes integrated assessments and prescriptive recommendations that will enable an evidence-informed strategic remediation (Abdelazim, 2024).</w:t>
      </w:r>
    </w:p>
    <w:p w:rsidR="00000000" w:rsidDel="00000000" w:rsidP="00000000" w:rsidRDefault="00000000" w:rsidRPr="00000000" w14:paraId="00000066">
      <w:pPr>
        <w:pStyle w:val="Heading1"/>
        <w:rPr/>
      </w:pPr>
      <w:bookmarkStart w:colFirst="0" w:colLast="0" w:name="_rb3olaohski8" w:id="3"/>
      <w:bookmarkEnd w:id="3"/>
      <w:r w:rsidDel="00000000" w:rsidR="00000000" w:rsidRPr="00000000">
        <w:rPr>
          <w:rtl w:val="0"/>
        </w:rPr>
        <w:t xml:space="preserve">3.0 Critical Evaluation of Tesla's Marketing Strategy</w:t>
      </w:r>
    </w:p>
    <w:p w:rsidR="00000000" w:rsidDel="00000000" w:rsidP="00000000" w:rsidRDefault="00000000" w:rsidRPr="00000000" w14:paraId="00000067">
      <w:pPr>
        <w:pStyle w:val="Heading2"/>
        <w:rPr/>
      </w:pPr>
      <w:bookmarkStart w:colFirst="0" w:colLast="0" w:name="_kgh4thl0t0nn" w:id="4"/>
      <w:bookmarkEnd w:id="4"/>
      <w:r w:rsidDel="00000000" w:rsidR="00000000" w:rsidRPr="00000000">
        <w:rPr>
          <w:rtl w:val="0"/>
        </w:rPr>
        <w:t xml:space="preserve">3.1 Marketing Concept &amp; Resource Investment Analysis</w:t>
      </w:r>
    </w:p>
    <w:p w:rsidR="00000000" w:rsidDel="00000000" w:rsidP="00000000" w:rsidRDefault="00000000" w:rsidRPr="00000000" w14:paraId="00000068">
      <w:pPr>
        <w:rPr/>
      </w:pPr>
      <w:r w:rsidDel="00000000" w:rsidR="00000000" w:rsidRPr="00000000">
        <w:rPr>
          <w:rtl w:val="0"/>
        </w:rPr>
        <w:t xml:space="preserve">Tesla's marketing philosophy, as its corporate mission, substitutes ideology and visibility of the founder with regular promotion, in theory, consistent with marketing orientation logic (Whittington et al., 2020; Foreman et al., 2014). However, this model assumes a sustained responsiveness of markets, and this response is now missing.</w:t>
      </w:r>
    </w:p>
    <w:p w:rsidR="00000000" w:rsidDel="00000000" w:rsidP="00000000" w:rsidRDefault="00000000" w:rsidRPr="00000000" w14:paraId="00000069">
      <w:pPr>
        <w:keepNext w:val="1"/>
        <w:rPr/>
      </w:pPr>
      <w:r w:rsidDel="00000000" w:rsidR="00000000" w:rsidRPr="00000000">
        <w:rPr/>
        <w:drawing>
          <wp:inline distB="0" distT="0" distL="0" distR="0">
            <wp:extent cx="5821680" cy="1386840"/>
            <wp:effectExtent b="3810" l="0" r="26670" t="0"/>
            <wp:docPr id="1" name=""/>
            <a:graphic>
              <a:graphicData uri="http://schemas.openxmlformats.org/drawingml/2006/diagram">
                <dgm:relIds r:cs="rId6" r:dm="rId7" r:lo="rId8" r:qs="rId9"/>
              </a:graphicData>
            </a:graphic>
          </wp:inline>
        </w:drawing>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jqsx8mi0axg6" w:id="5"/>
      <w:bookmarkEnd w:id="5"/>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2: Marketing Resource Structure and Cost Orientation</w:t>
      </w:r>
    </w:p>
    <w:p w:rsidR="00000000" w:rsidDel="00000000" w:rsidP="00000000" w:rsidRDefault="00000000" w:rsidRPr="00000000" w14:paraId="0000006B">
      <w:pPr>
        <w:rPr/>
      </w:pPr>
      <w:r w:rsidDel="00000000" w:rsidR="00000000" w:rsidRPr="00000000">
        <w:rPr>
          <w:rtl w:val="0"/>
        </w:rPr>
        <w:t xml:space="preserve">Since its effectiveness has declined with the maturation of the EV market, which reduces the information asymmetry and consequently the power of earned media and symbolic branding and increases the reputational risk (Bickel, 2024; Bakker et al., 2023). Critically, the absence of clear performance metrics to measure them makes it impossible to measure the return on an investment and to correct things. This creates a strategic idea of governance deficiency with rhetoric versus spending more (Chari &amp; Fernandes, 2025). As Tesla aims to achieve mass-market volume, the company's one-size-fits-all model of marketing through ideology will risk structural misalignment with its core growth imperatives.</w:t>
      </w:r>
    </w:p>
    <w:p w:rsidR="00000000" w:rsidDel="00000000" w:rsidP="00000000" w:rsidRDefault="00000000" w:rsidRPr="00000000" w14:paraId="0000006C">
      <w:pPr>
        <w:keepNext w:val="1"/>
        <w:rPr/>
      </w:pPr>
      <w:r w:rsidDel="00000000" w:rsidR="00000000" w:rsidRPr="00000000">
        <w:rPr/>
        <w:drawing>
          <wp:inline distB="0" distT="0" distL="0" distR="0">
            <wp:extent cx="5798820" cy="830580"/>
            <wp:effectExtent b="26670" l="0" r="0" t="0"/>
            <wp:docPr id="4" name=""/>
            <a:graphic>
              <a:graphicData uri="http://schemas.openxmlformats.org/drawingml/2006/diagram">
                <dgm:relIds r:cs="rId11" r:dm="rId12" r:lo="rId14" r:qs="rId15"/>
              </a:graphicData>
            </a:graphic>
          </wp:inline>
        </w:drawing>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iolom27ogvr9" w:id="6"/>
      <w:bookmarkEnd w:id="6"/>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3: Market Context and Performance Signals</w:t>
      </w:r>
    </w:p>
    <w:p w:rsidR="00000000" w:rsidDel="00000000" w:rsidP="00000000" w:rsidRDefault="00000000" w:rsidRPr="00000000" w14:paraId="0000006E">
      <w:pPr>
        <w:pStyle w:val="Heading2"/>
        <w:rPr/>
      </w:pPr>
      <w:bookmarkStart w:colFirst="0" w:colLast="0" w:name="_1uqthqeivsum" w:id="7"/>
      <w:bookmarkEnd w:id="7"/>
      <w:r w:rsidDel="00000000" w:rsidR="00000000" w:rsidRPr="00000000">
        <w:rPr>
          <w:rtl w:val="0"/>
        </w:rPr>
        <w:t xml:space="preserve">3.2 PESTEL Macro-Environmental Analysis</w:t>
      </w:r>
    </w:p>
    <w:p w:rsidR="00000000" w:rsidDel="00000000" w:rsidP="00000000" w:rsidRDefault="00000000" w:rsidRPr="00000000" w14:paraId="0000006F">
      <w:pPr>
        <w:pStyle w:val="Heading3"/>
        <w:rPr/>
      </w:pPr>
      <w:bookmarkStart w:colFirst="0" w:colLast="0" w:name="_xdknqz6na1a8" w:id="8"/>
      <w:bookmarkEnd w:id="8"/>
      <w:r w:rsidDel="00000000" w:rsidR="00000000" w:rsidRPr="00000000">
        <w:rPr>
          <w:rtl w:val="0"/>
        </w:rPr>
        <w:t xml:space="preserve">3.2.1 Political Dimension</w:t>
      </w:r>
    </w:p>
    <w:p w:rsidR="00000000" w:rsidDel="00000000" w:rsidP="00000000" w:rsidRDefault="00000000" w:rsidRPr="00000000" w14:paraId="00000070">
      <w:pPr>
        <w:rPr/>
      </w:pPr>
      <w:r w:rsidDel="00000000" w:rsidR="00000000" w:rsidRPr="00000000">
        <w:rPr>
          <w:rtl w:val="0"/>
        </w:rPr>
        <w:t xml:space="preserve">Tesla's political environment is characterised by international trade policies, national EV policies and EU green claims directives. Section 301 tariffs (100% on Chinese EVs) result in direct exposure for the Shanghai Gigafactory; thus, there is a necessity to diversify across the US, Mexico and Germany to reduce the concentration risk (Pares et al., 2024). Marketing, however, fails to convey this resiliency of the supply chain, masking a real competitive differentiation. In Europe there is a European directive (2024/2600) on the substantiation of environmental claims, leading to compliance requirements on marketing strategy and limiting European market access (EU Publications, 2024). Tesla must adapt geographic targeting and messaging with national divergence around EV policy and take advantage of Europe's economic potential (Tschiesner et al., 2024).</w:t>
      </w:r>
    </w:p>
    <w:p w:rsidR="00000000" w:rsidDel="00000000" w:rsidP="00000000" w:rsidRDefault="00000000" w:rsidRPr="00000000" w14:paraId="00000071">
      <w:pPr>
        <w:keepNext w:val="1"/>
        <w:rPr/>
      </w:pPr>
      <w:r w:rsidDel="00000000" w:rsidR="00000000" w:rsidRPr="00000000">
        <w:rPr/>
        <w:drawing>
          <wp:inline distB="0" distT="0" distL="0" distR="0">
            <wp:extent cx="5935980" cy="1844040"/>
            <wp:effectExtent b="3810" l="0" r="7620" t="0"/>
            <wp:docPr id="3" name=""/>
            <a:graphic>
              <a:graphicData uri="http://schemas.openxmlformats.org/drawingml/2006/diagram">
                <dgm:relIds r:cs="rId17" r:dm="rId19" r:lo="rId20" r:qs="rId21"/>
              </a:graphicData>
            </a:graphic>
          </wp:inline>
        </w:drawing>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otf8x668ep9w" w:id="9"/>
      <w:bookmarkEnd w:id="9"/>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4: Political–Regulatory Indicators</w:t>
      </w:r>
    </w:p>
    <w:p w:rsidR="00000000" w:rsidDel="00000000" w:rsidP="00000000" w:rsidRDefault="00000000" w:rsidRPr="00000000" w14:paraId="00000073">
      <w:pPr>
        <w:pStyle w:val="Heading3"/>
        <w:rPr/>
      </w:pPr>
      <w:bookmarkStart w:colFirst="0" w:colLast="0" w:name="_vzti9vv8o4dn" w:id="10"/>
      <w:bookmarkEnd w:id="10"/>
      <w:r w:rsidDel="00000000" w:rsidR="00000000" w:rsidRPr="00000000">
        <w:rPr>
          <w:rtl w:val="0"/>
        </w:rPr>
        <w:t xml:space="preserve">3.2.2 Economic Dimension</w:t>
      </w:r>
    </w:p>
    <w:p w:rsidR="00000000" w:rsidDel="00000000" w:rsidP="00000000" w:rsidRDefault="00000000" w:rsidRPr="00000000" w14:paraId="00000074">
      <w:pPr>
        <w:rPr/>
      </w:pPr>
      <w:r w:rsidDel="00000000" w:rsidR="00000000" w:rsidRPr="00000000">
        <w:rPr>
          <w:rtl w:val="0"/>
        </w:rPr>
        <w:t xml:space="preserve">EV production costs will take a decade to catch up with the internal combustion engine by 2027, cutting into the historical margin advantage of Tesla, differentiating pricing and communicating the value (Reuters, 2024). Global EV adoption forecasts of 85 million units of vehicles by 2025 provide huge growth opportunities against intensifying competition intensities, primarily from Chinese OEMs (Nolan, 2024). Regional differences in adoption are key areas, with China as the most important market (45%+ of global volumes) and Europe as a high-growth opportunity where Tesla's market penetration is underdeveloped (L, 2025). Broader market cyclicality in the auto industry, 16.3 million new vehicles predicted to be sold in 2025, and interest rate pressures place pressure upon consumer spending and predictability of marketing returns (Cox Automotive, 2025a). </w:t>
      </w:r>
    </w:p>
    <w:p w:rsidR="00000000" w:rsidDel="00000000" w:rsidP="00000000" w:rsidRDefault="00000000" w:rsidRPr="00000000" w14:paraId="00000075">
      <w:pPr>
        <w:keepNext w:val="1"/>
        <w:rPr/>
      </w:pPr>
      <w:r w:rsidDel="00000000" w:rsidR="00000000" w:rsidRPr="00000000">
        <w:rPr/>
        <w:drawing>
          <wp:inline distB="0" distT="0" distL="0" distR="0">
            <wp:extent cx="5734050" cy="1569720"/>
            <wp:effectExtent b="49530" l="228600" r="171450" t="0"/>
            <wp:docPr id="6" name=""/>
            <a:graphic>
              <a:graphicData uri="http://schemas.openxmlformats.org/drawingml/2006/diagram">
                <dgm:relIds r:cs="rId24" r:dm="rId25" r:lo="rId26" r:qs="rId27"/>
              </a:graphicData>
            </a:graphic>
          </wp:inline>
        </w:drawing>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j9h0dacxg02x" w:id="11"/>
      <w:bookmarkEnd w:id="11"/>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5: Economic Indicators</w:t>
      </w:r>
    </w:p>
    <w:p w:rsidR="00000000" w:rsidDel="00000000" w:rsidP="00000000" w:rsidRDefault="00000000" w:rsidRPr="00000000" w14:paraId="00000077">
      <w:pPr>
        <w:pStyle w:val="Heading3"/>
        <w:rPr/>
      </w:pPr>
      <w:bookmarkStart w:colFirst="0" w:colLast="0" w:name="_bgp30nguzga6" w:id="12"/>
      <w:bookmarkEnd w:id="12"/>
      <w:r w:rsidDel="00000000" w:rsidR="00000000" w:rsidRPr="00000000">
        <w:rPr>
          <w:rtl w:val="0"/>
        </w:rPr>
        <w:t xml:space="preserve">3.2.3 Social-Cultural Dimension</w:t>
      </w:r>
    </w:p>
    <w:p w:rsidR="00000000" w:rsidDel="00000000" w:rsidP="00000000" w:rsidRDefault="00000000" w:rsidRPr="00000000" w14:paraId="00000078">
      <w:pPr>
        <w:rPr/>
      </w:pPr>
      <w:r w:rsidDel="00000000" w:rsidR="00000000" w:rsidRPr="00000000">
        <w:rPr>
          <w:rtl w:val="0"/>
        </w:rPr>
        <w:t xml:space="preserve">Tesla's sustainability, innovation and technology leadership stories interface with social trends, but the gap between aspirational claims and working reality evaporates credibility. Battery recycling capacity (7 GWh/annum) is a mere 3-11% of production volumes, which runs the risk of greenwashing and regulatory responsibility (Nurdiawati &amp; Agrawal, 2022). EV adoption is carbon emissions reduction, but the global messaging produced by companies like Tesla does not account for regional differences in grid intensity (Ohio: 20-30 tonnes; California: 70+ tonnes) and therefore is inaccurate in its sustainability arguments (Zhao et al., 2023). Workforce demographic diversification and the changing age structures affect its capacity to conduct marketing strategy effectively, and leadership support is essential for employee engagement during strategic transitions (Bieling et al., 2015; Grey et al., 2023).</w:t>
      </w:r>
    </w:p>
    <w:p w:rsidR="00000000" w:rsidDel="00000000" w:rsidP="00000000" w:rsidRDefault="00000000" w:rsidRPr="00000000" w14:paraId="00000079">
      <w:pPr>
        <w:pStyle w:val="Heading3"/>
        <w:rPr/>
      </w:pPr>
      <w:bookmarkStart w:colFirst="0" w:colLast="0" w:name="_9qybt6xpgm9r" w:id="13"/>
      <w:bookmarkEnd w:id="13"/>
      <w:r w:rsidDel="00000000" w:rsidR="00000000" w:rsidRPr="00000000">
        <w:rPr>
          <w:rtl w:val="0"/>
        </w:rPr>
        <w:t xml:space="preserve">3.2.4 Technological Dimension</w:t>
      </w:r>
    </w:p>
    <w:p w:rsidR="00000000" w:rsidDel="00000000" w:rsidP="00000000" w:rsidRDefault="00000000" w:rsidRPr="00000000" w14:paraId="0000007A">
      <w:pPr>
        <w:rPr/>
      </w:pPr>
      <w:r w:rsidDel="00000000" w:rsidR="00000000" w:rsidRPr="00000000">
        <w:rPr>
          <w:rtl w:val="0"/>
        </w:rPr>
        <w:t xml:space="preserve">Tesla's claims of autonomous driving warp the state of the technology to promote these Level 2 supervision systems as 'Full Self-Driving', which can cause legal and consumer expectation risks (Roy et al., 2022). Energy storage competitive advantage – Megapack 20% peak load &amp; Virtual Power Plant 2.8 GWh annually under communicated (Wang et al., 2022). Vertical integration in the production of batteries creates cost and control over supply chain benefits but is easily imitated by competitors. Industry commoditisation and Chinese OEM technological scale-up (BYD, NIO, XPeng) further disrupt Tesla's differentiation, and European expansion by Chinese manufacturers leads to increased competitive pressure, asking for strategic repositioning more than premium pricing (Fedotov, 2022; Harding, 2024; Inagaki et al., 2025; Khaleel et al., 2024; Jolly, 2025).</w:t>
      </w:r>
    </w:p>
    <w:p w:rsidR="00000000" w:rsidDel="00000000" w:rsidP="00000000" w:rsidRDefault="00000000" w:rsidRPr="00000000" w14:paraId="0000007B">
      <w:pPr>
        <w:keepNext w:val="1"/>
        <w:rPr/>
      </w:pPr>
      <w:r w:rsidDel="00000000" w:rsidR="00000000" w:rsidRPr="00000000">
        <w:rPr/>
        <w:drawing>
          <wp:inline distB="0" distT="0" distL="0" distR="0">
            <wp:extent cx="6057900" cy="2065020"/>
            <wp:effectExtent b="49530" l="0" r="19050" t="0"/>
            <wp:docPr id="5" name=""/>
            <a:graphic>
              <a:graphicData uri="http://schemas.openxmlformats.org/drawingml/2006/diagram">
                <dgm:relIds r:cs="rId30" r:dm="rId31" r:lo="rId32" r:qs="rId34"/>
              </a:graphicData>
            </a:graphic>
          </wp:inline>
        </w:drawing>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elyrnvcol831" w:id="14"/>
      <w:bookmarkEnd w:id="14"/>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6: Social–Technological–Environmental Indicators</w:t>
      </w:r>
    </w:p>
    <w:p w:rsidR="00000000" w:rsidDel="00000000" w:rsidP="00000000" w:rsidRDefault="00000000" w:rsidRPr="00000000" w14:paraId="0000007D">
      <w:pPr>
        <w:pStyle w:val="Heading3"/>
        <w:rPr/>
      </w:pPr>
      <w:bookmarkStart w:colFirst="0" w:colLast="0" w:name="_f3fe0w6gjpgi" w:id="15"/>
      <w:bookmarkEnd w:id="15"/>
      <w:r w:rsidDel="00000000" w:rsidR="00000000" w:rsidRPr="00000000">
        <w:rPr>
          <w:rtl w:val="0"/>
        </w:rPr>
        <w:t xml:space="preserve">3.2.5 Environmental Dimension</w:t>
      </w:r>
    </w:p>
    <w:p w:rsidR="00000000" w:rsidDel="00000000" w:rsidP="00000000" w:rsidRDefault="00000000" w:rsidRPr="00000000" w14:paraId="0000007E">
      <w:pPr>
        <w:rPr/>
      </w:pPr>
      <w:r w:rsidDel="00000000" w:rsidR="00000000" w:rsidRPr="00000000">
        <w:rPr>
          <w:rtl w:val="0"/>
        </w:rPr>
        <w:t xml:space="preserve">Tesla's sustainability claims added to regulatory scrutiny. IRA incentives are of a temporary nature, while EU green claim directives are demanding substantiation and transparency. Lifetime CO2 avoidance claims ("52 metric tonnes per vehicle") don't reflect regional variation, which is critical to understanding actual environmental impact. Circular economy claims are still very much aspirant, with battery recycling far short of the scale of production (Roy et al., 2022). Failure to implement credible, region-specific sustainability information can lead to regulations being enforced and adverse reputations.</w:t>
      </w:r>
    </w:p>
    <w:p w:rsidR="00000000" w:rsidDel="00000000" w:rsidP="00000000" w:rsidRDefault="00000000" w:rsidRPr="00000000" w14:paraId="0000007F">
      <w:pPr>
        <w:pStyle w:val="Heading3"/>
        <w:rPr/>
      </w:pPr>
      <w:bookmarkStart w:colFirst="0" w:colLast="0" w:name="_sryqpx11p5ma" w:id="16"/>
      <w:bookmarkEnd w:id="16"/>
      <w:r w:rsidDel="00000000" w:rsidR="00000000" w:rsidRPr="00000000">
        <w:rPr>
          <w:rtl w:val="0"/>
        </w:rPr>
        <w:t xml:space="preserve">3.2.6 Legal-Regulatory Dimension</w:t>
      </w:r>
    </w:p>
    <w:p w:rsidR="00000000" w:rsidDel="00000000" w:rsidP="00000000" w:rsidRDefault="00000000" w:rsidRPr="00000000" w14:paraId="00000080">
      <w:pPr>
        <w:rPr/>
      </w:pPr>
      <w:r w:rsidDel="00000000" w:rsidR="00000000" w:rsidRPr="00000000">
        <w:rPr>
          <w:rtl w:val="0"/>
        </w:rPr>
        <w:t xml:space="preserve">Tesla enjoys inherent regulatory compliance advantages: EV platforms have efficiency levels greater than CAFE by 2-3x; WTO dual-use technology rules created regulation constraints for competitors (EPA, 2024). Still, marketing does not convert these regulatory tailwinds into value messaging to the customer. Non-communication of compliance advantage is a strategic gap, especially with traditional OEMs exposed to increasing environmental and fuel economy regulatory costs. Regulatory positioning could be both a competitive differentiator and a means of reassurance to consumers, but Tesla's marketing strategy ignores this opportunity.</w:t>
      </w:r>
    </w:p>
    <w:p w:rsidR="00000000" w:rsidDel="00000000" w:rsidP="00000000" w:rsidRDefault="00000000" w:rsidRPr="00000000" w14:paraId="00000081">
      <w:pPr>
        <w:pStyle w:val="Heading2"/>
        <w:rPr/>
      </w:pPr>
      <w:bookmarkStart w:colFirst="0" w:colLast="0" w:name="_a21med45056a" w:id="17"/>
      <w:bookmarkEnd w:id="17"/>
      <w:r w:rsidDel="00000000" w:rsidR="00000000" w:rsidRPr="00000000">
        <w:rPr>
          <w:rtl w:val="0"/>
        </w:rPr>
        <w:t xml:space="preserve">3.3 Micro-Environment: SWOT Summary </w:t>
      </w:r>
    </w:p>
    <w:p w:rsidR="00000000" w:rsidDel="00000000" w:rsidP="00000000" w:rsidRDefault="00000000" w:rsidRPr="00000000" w14:paraId="00000082">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ngxdukmtd1ng" w:id="18"/>
      <w:bookmarkEnd w:id="18"/>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Table 1: SWOT Analysis</w:t>
      </w:r>
    </w:p>
    <w:tbl>
      <w:tblPr>
        <w:tblStyle w:val="Table2"/>
        <w:tblW w:w="9350.0" w:type="dxa"/>
        <w:jc w:val="left"/>
        <w:tblBorders>
          <w:top w:color="a8d08d" w:space="0" w:sz="4" w:val="single"/>
          <w:left w:color="a8d08d" w:space="0" w:sz="4" w:val="single"/>
          <w:bottom w:color="a8d08d" w:space="0" w:sz="4" w:val="single"/>
          <w:right w:color="a8d08d" w:space="0" w:sz="4" w:val="single"/>
          <w:insideH w:color="a8d08d" w:space="0" w:sz="4" w:val="single"/>
          <w:insideV w:color="a8d08d" w:space="0" w:sz="4" w:val="single"/>
        </w:tblBorders>
        <w:tblLayout w:type="fixed"/>
        <w:tblLook w:val="04A0"/>
      </w:tblPr>
      <w:tblGrid>
        <w:gridCol w:w="4675"/>
        <w:gridCol w:w="4675"/>
        <w:tblGridChange w:id="0">
          <w:tblGrid>
            <w:gridCol w:w="4675"/>
            <w:gridCol w:w="4675"/>
          </w:tblGrid>
        </w:tblGridChange>
      </w:tblGrid>
      <w:tr>
        <w:trPr>
          <w:cantSplit w:val="0"/>
          <w:tblHeader w:val="0"/>
        </w:trPr>
        <w:tc>
          <w:tcPr/>
          <w:p w:rsidR="00000000" w:rsidDel="00000000" w:rsidP="00000000" w:rsidRDefault="00000000" w:rsidRPr="00000000" w14:paraId="00000083">
            <w:pPr>
              <w:jc w:val="center"/>
              <w:rPr/>
            </w:pPr>
            <w:r w:rsidDel="00000000" w:rsidR="00000000" w:rsidRPr="00000000">
              <w:rPr>
                <w:rtl w:val="0"/>
              </w:rPr>
              <w:t xml:space="preserve">Strengths – Latent, Underexploited Assets</w:t>
            </w:r>
          </w:p>
        </w:tc>
        <w:tc>
          <w:tcPr/>
          <w:p w:rsidR="00000000" w:rsidDel="00000000" w:rsidP="00000000" w:rsidRDefault="00000000" w:rsidRPr="00000000" w14:paraId="00000084">
            <w:pPr>
              <w:jc w:val="center"/>
              <w:rPr/>
            </w:pPr>
            <w:r w:rsidDel="00000000" w:rsidR="00000000" w:rsidRPr="00000000">
              <w:rPr>
                <w:rtl w:val="0"/>
              </w:rPr>
              <w:t xml:space="preserve">Weaknesses – Systemic Structural Vulnerabilities</w:t>
            </w:r>
          </w:p>
        </w:tc>
      </w:tr>
      <w:tr>
        <w:trPr>
          <w:cantSplit w:val="0"/>
          <w:tblHeader w:val="0"/>
        </w:trPr>
        <w:tc>
          <w:tcPr/>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Substantial but unmonetised brand equity which hardly translates into sustainable pricing power, which reveals a structural contradiction (Shipley, 2020; Ghar, 2024).</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Historical scale, with integration benefits being neutralised by technology diffusion industry-wide and supplier convergence (IEA, 2025; Inagaki et al., 2025).</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Diversified energy business with high growth and remains under-leveraged in terms of storey and capital allocation (Bickel, 2024).</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superior Supercharger ecosystem that creates lock-in but is geographically uneven, restricting its scalability as a worldwide good (Lei, 2025a).</w:t>
            </w:r>
          </w:p>
        </w:tc>
        <w:tc>
          <w:tcPr/>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Pricing volatility is actively demolishing the credibility of premium brands and signals strategic uncertainty (Huang et al., 2023).</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Decaying quality of service (conflicting innovation brand promise, undermining experiential differentiation) (Lei, 2025a).</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Accelerated convergence among competitors in terms of scale, technology and profitability is compressing Tesla's historical moats (Inagaki et al., 2025; Harding, 2024).</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Geopolitically concentrated supply chains are amplifying revenue concentration risk in the automotive segment (Wang, Qin and Zhang, 2021).</w:t>
            </w:r>
          </w:p>
        </w:tc>
      </w:tr>
      <w:tr>
        <w:trPr>
          <w:cantSplit w:val="0"/>
          <w:tblHeader w:val="0"/>
        </w:trPr>
        <w:tc>
          <w:tcPr/>
          <w:p w:rsidR="00000000" w:rsidDel="00000000" w:rsidP="00000000" w:rsidRDefault="00000000" w:rsidRPr="00000000" w14:paraId="0000008D">
            <w:pPr>
              <w:jc w:val="center"/>
              <w:rPr/>
            </w:pPr>
            <w:r w:rsidDel="00000000" w:rsidR="00000000" w:rsidRPr="00000000">
              <w:rPr>
                <w:rtl w:val="0"/>
              </w:rPr>
              <w:t xml:space="preserve">Opportunities – Execution-Dependent Choices</w:t>
            </w:r>
          </w:p>
        </w:tc>
        <w:tc>
          <w:tcPr/>
          <w:p w:rsidR="00000000" w:rsidDel="00000000" w:rsidP="00000000" w:rsidRDefault="00000000" w:rsidRPr="00000000" w14:paraId="0000008E">
            <w:pPr>
              <w:jc w:val="center"/>
              <w:rPr>
                <w:b w:val="1"/>
                <w:bCs w:val="1"/>
              </w:rPr>
            </w:pPr>
            <w:r w:rsidDel="00000000" w:rsidR="00000000" w:rsidRPr="00000000">
              <w:rPr>
                <w:b w:val="1"/>
                <w:bCs w:val="1"/>
                <w:rtl w:val="0"/>
              </w:rPr>
              <w:t xml:space="preserve">Threats – Existential Market Shifts</w:t>
            </w:r>
          </w:p>
        </w:tc>
      </w:tr>
      <w:tr>
        <w:trPr>
          <w:cantSplit w:val="0"/>
          <w:tblHeader w:val="0"/>
        </w:trPr>
        <w:tc>
          <w:tcPr/>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energy market scales into a large stationery storage market, creating stability of margins and the possibility of counter-cyclicality (Bickel, 2024; IEA, 2025).</w:t>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Autonomy monetisation pathways (e.g., MaaS) with narrowing regulatory windows for first-mover advantage (IEA, 2025).</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Large geographical white spaces in under-penetrated areas (based on the adequate investment in targeted infrastructure) (Lei, 2025a)</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Chinese OEMs are disrupting the European market, creating transient consumer switching openness (Jolly, 2025).</w:t>
            </w:r>
          </w:p>
        </w:tc>
        <w:tc>
          <w:tcPr/>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Industry commoditisation with competition switching from innovation towards cost-led competition structurally compressing margins (IEA, 2025)</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Chinese OEM systemic dominance challenges Tesla's positioning cost parity and scales of superiority (Harding, 2024; Inagaki et al., 2025).</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Direct European displacement risk by lucrative, growing Chinese market entrants (Jolly, 2025).</w:t>
            </w:r>
          </w:p>
          <w:p w:rsidR="00000000" w:rsidDel="00000000" w:rsidP="00000000" w:rsidRDefault="00000000" w:rsidRPr="00000000" w14:paraId="00000096">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Intensifying the exposure to autonomy governance and an uncertain regulatory and liability way (IEA, 2025).</w:t>
            </w:r>
          </w:p>
        </w:tc>
      </w:tr>
    </w:tbl>
    <w:p w:rsidR="00000000" w:rsidDel="00000000" w:rsidP="00000000" w:rsidRDefault="00000000" w:rsidRPr="00000000" w14:paraId="00000097">
      <w:pPr>
        <w:pStyle w:val="Heading2"/>
        <w:rPr/>
      </w:pPr>
      <w:bookmarkStart w:colFirst="0" w:colLast="0" w:name="_74ales8asgwf" w:id="19"/>
      <w:bookmarkEnd w:id="19"/>
      <w:r w:rsidDel="00000000" w:rsidR="00000000" w:rsidRPr="00000000">
        <w:rPr>
          <w:rtl w:val="0"/>
        </w:rPr>
        <w:t xml:space="preserve">3.4 STP Strategy &amp; Marketing Mix Effectiveness</w:t>
      </w:r>
    </w:p>
    <w:p w:rsidR="00000000" w:rsidDel="00000000" w:rsidP="00000000" w:rsidRDefault="00000000" w:rsidRPr="00000000" w14:paraId="00000098">
      <w:pPr>
        <w:pStyle w:val="Heading3"/>
        <w:rPr/>
      </w:pPr>
      <w:bookmarkStart w:colFirst="0" w:colLast="0" w:name="_cq3zj7tbgwqm" w:id="20"/>
      <w:bookmarkEnd w:id="20"/>
      <w:r w:rsidDel="00000000" w:rsidR="00000000" w:rsidRPr="00000000">
        <w:rPr>
          <w:rtl w:val="0"/>
        </w:rPr>
        <w:t xml:space="preserve">3.4.1 Segmentation Analysis: Strategic Incoherence</w:t>
      </w:r>
    </w:p>
    <w:p w:rsidR="00000000" w:rsidDel="00000000" w:rsidP="00000000" w:rsidRDefault="00000000" w:rsidRPr="00000000" w14:paraId="00000099">
      <w:pPr>
        <w:rPr/>
      </w:pPr>
      <w:r w:rsidDel="00000000" w:rsidR="00000000" w:rsidRPr="00000000">
        <w:rPr>
          <w:rtl w:val="0"/>
        </w:rPr>
        <w:t xml:space="preserve">Tesla's segmentation strategy represents a structural incoherence rather than strategic clarity. The firm is simultaneously targeting innovation-driven early adopters, sustainability-focused European consumers, price-sensitive Chinese buyers and aspirational emerging-market customers using a single global brand architecture. This "one-brand-fits-all" approach violates core segmentation theory, in which there should be alignment between consumer psychographics and value propositions. Empirical analysis confirms Tesla's international business strategy reflects inconsistent segmentation and targeting adaptation across markets; brand message standardisation results in positioning ineffectiveness in differentiated competition contexts (Ghar, 2024).</w:t>
      </w:r>
    </w:p>
    <w:p w:rsidR="00000000" w:rsidDel="00000000" w:rsidP="00000000" w:rsidRDefault="00000000" w:rsidRPr="00000000" w14:paraId="0000009A">
      <w:pPr>
        <w:rPr/>
      </w:pPr>
      <w:r w:rsidDel="00000000" w:rsidR="00000000" w:rsidRPr="00000000">
        <w:rPr>
          <w:rtl w:val="0"/>
        </w:rPr>
        <w:t xml:space="preserve">The non-existence of segmentation by region is another constraint to market responsiveness. Tesla's global positioning is less tailored to regional competitive and consumer dynamics with great variation in regulatory pressure, income elasticity and brand expectations (Lei, 2025a). This weakness is reinforced by market-specific evidence from East Asia; Tesla's market strategies in Korea and China highlight how positioning may be challenged by the strategies of local players who utilise tiered and city-level segmentation strategies, suggesting that regional segmentation effectiveness may be lower than optimal (Ding &amp; Lee, 2023). Segmentation rigidity is therefore strategic ineptitude and not efficiency.</w:t>
      </w:r>
    </w:p>
    <w:p w:rsidR="00000000" w:rsidDel="00000000" w:rsidP="00000000" w:rsidRDefault="00000000" w:rsidRPr="00000000" w14:paraId="0000009B">
      <w:pPr>
        <w:keepNext w:val="1"/>
        <w:rPr/>
      </w:pPr>
      <w:r w:rsidDel="00000000" w:rsidR="00000000" w:rsidRPr="00000000">
        <w:rPr/>
        <w:drawing>
          <wp:inline distB="0" distT="0" distL="0" distR="0">
            <wp:extent cx="5459730" cy="1249680"/>
            <wp:effectExtent b="64770" l="514350" r="0" t="0"/>
            <wp:docPr id="8" name=""/>
            <a:graphic>
              <a:graphicData uri="http://schemas.openxmlformats.org/drawingml/2006/diagram">
                <dgm:relIds r:cs="rId36" r:dm="rId37" r:lo="rId39" r:qs="rId40"/>
              </a:graphicData>
            </a:graphic>
          </wp:inline>
        </w:drawing>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b36my3m26nwj" w:id="21"/>
      <w:bookmarkEnd w:id="21"/>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7: Regional Segmentation Composition</w:t>
      </w:r>
    </w:p>
    <w:p w:rsidR="00000000" w:rsidDel="00000000" w:rsidP="00000000" w:rsidRDefault="00000000" w:rsidRPr="00000000" w14:paraId="0000009D">
      <w:pPr>
        <w:pStyle w:val="Heading3"/>
        <w:rPr/>
      </w:pPr>
      <w:bookmarkStart w:colFirst="0" w:colLast="0" w:name="_onx16qneku5u" w:id="22"/>
      <w:bookmarkEnd w:id="22"/>
      <w:r w:rsidDel="00000000" w:rsidR="00000000" w:rsidRPr="00000000">
        <w:rPr>
          <w:rtl w:val="0"/>
        </w:rPr>
        <w:t xml:space="preserve">3.4.2 Targeting Assessment</w:t>
      </w:r>
    </w:p>
    <w:p w:rsidR="00000000" w:rsidDel="00000000" w:rsidP="00000000" w:rsidRDefault="00000000" w:rsidRPr="00000000" w14:paraId="0000009E">
      <w:pPr>
        <w:rPr/>
      </w:pPr>
      <w:r w:rsidDel="00000000" w:rsidR="00000000" w:rsidRPr="00000000">
        <w:rPr>
          <w:rtl w:val="0"/>
        </w:rPr>
        <w:t xml:space="preserve">Tesla's targeting approach demonstrates over-concentration on mature, high-income areas while simultaneously under-allocating strategic attention to high-growth emerging markets. Strategic options analysis suggests that the positioning of Tesla may gain significantly from targeted and granular geographic segmentation and segment-specific messaging aligned with regional adoption trajectories (Lei, 2025b).</w:t>
      </w:r>
    </w:p>
    <w:p w:rsidR="00000000" w:rsidDel="00000000" w:rsidP="00000000" w:rsidRDefault="00000000" w:rsidRPr="00000000" w14:paraId="0000009F">
      <w:pPr>
        <w:rPr/>
      </w:pPr>
      <w:r w:rsidDel="00000000" w:rsidR="00000000" w:rsidRPr="00000000">
        <w:rPr>
          <w:rtl w:val="0"/>
        </w:rPr>
        <w:t xml:space="preserve">Current targeting is heavily based on emotional resonance and social currency, where brand symbolism is being reinforced but not market-specific value propositions. While being effective in the earlier stages of adoption, this strategy has manifested a dearth of strong positioning consistency across geographical markets and low scalability in the face of growing competition (Gao, 2023). High acquisition costs in saturated markets are a further sign of diminishing marginal returns of targeting priorities.</w:t>
      </w:r>
    </w:p>
    <w:p w:rsidR="00000000" w:rsidDel="00000000" w:rsidP="00000000" w:rsidRDefault="00000000" w:rsidRPr="00000000" w14:paraId="000000A0">
      <w:pPr>
        <w:keepNext w:val="1"/>
        <w:rPr/>
      </w:pPr>
      <w:r w:rsidDel="00000000" w:rsidR="00000000" w:rsidRPr="00000000">
        <w:rPr/>
        <w:drawing>
          <wp:inline distB="0" distT="0" distL="0" distR="0">
            <wp:extent cx="5928360" cy="2080260"/>
            <wp:effectExtent b="53340" l="0" r="15240" t="0"/>
            <wp:docPr id="7" name=""/>
            <a:graphic>
              <a:graphicData uri="http://schemas.openxmlformats.org/drawingml/2006/diagram">
                <dgm:relIds r:cs="rId42" r:dm="rId44" r:lo="rId45" r:qs="rId46"/>
              </a:graphicData>
            </a:graphic>
          </wp:inline>
        </w:drawing>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vfun31q4pcf2" w:id="23"/>
      <w:bookmarkEnd w:id="23"/>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8: Targeting Concentration Indicators</w:t>
      </w:r>
    </w:p>
    <w:p w:rsidR="00000000" w:rsidDel="00000000" w:rsidP="00000000" w:rsidRDefault="00000000" w:rsidRPr="00000000" w14:paraId="000000A2">
      <w:pPr>
        <w:pStyle w:val="Heading3"/>
        <w:rPr/>
      </w:pPr>
      <w:bookmarkStart w:colFirst="0" w:colLast="0" w:name="_oy6bd5maweu0" w:id="24"/>
      <w:bookmarkEnd w:id="24"/>
      <w:r w:rsidDel="00000000" w:rsidR="00000000" w:rsidRPr="00000000">
        <w:rPr>
          <w:rtl w:val="0"/>
        </w:rPr>
        <w:t xml:space="preserve">3.4.3 Positioning &amp; Contradictions</w:t>
      </w:r>
    </w:p>
    <w:p w:rsidR="00000000" w:rsidDel="00000000" w:rsidP="00000000" w:rsidRDefault="00000000" w:rsidRPr="00000000" w14:paraId="000000A3">
      <w:pPr>
        <w:rPr/>
      </w:pPr>
      <w:r w:rsidDel="00000000" w:rsidR="00000000" w:rsidRPr="00000000">
        <w:rPr>
          <w:rtl w:val="0"/>
        </w:rPr>
        <w:t xml:space="preserve">Tesla's premium positioning is running into ever-hardening market realities. As the intensity of competition grows, the differentiation in battery range, software capability and charging infrastructure are all converging. Competition intensity and valuation multiple illustrate an inverse relation, implying that the premium valuation of sustainability in Tesla is directly challenged by heightened competition (Liu, 2021).</w:t>
      </w:r>
    </w:p>
    <w:p w:rsidR="00000000" w:rsidDel="00000000" w:rsidP="00000000" w:rsidRDefault="00000000" w:rsidRPr="00000000" w14:paraId="000000A4">
      <w:pPr>
        <w:rPr/>
      </w:pPr>
      <w:r w:rsidDel="00000000" w:rsidR="00000000" w:rsidRPr="00000000">
        <w:rPr>
          <w:rtl w:val="0"/>
        </w:rPr>
        <w:t xml:space="preserve">Market position analysis shows that Tesla's future prospects are dependent not on persistence with a single unified premium narrative but rather on a strategy of strategic repositioning towards diversified segments. Maintaining one positioning approach accelerates competitive disadvantage as affordability, service expectations and feature parity fragment consumer demand (Lu, 2025).</w:t>
      </w:r>
    </w:p>
    <w:p w:rsidR="00000000" w:rsidDel="00000000" w:rsidP="00000000" w:rsidRDefault="00000000" w:rsidRPr="00000000" w14:paraId="000000A5">
      <w:pPr>
        <w:keepNext w:val="1"/>
        <w:rPr/>
      </w:pPr>
      <w:r w:rsidDel="00000000" w:rsidR="00000000" w:rsidRPr="00000000">
        <w:rPr/>
        <w:drawing>
          <wp:inline distB="0" distT="0" distL="0" distR="0">
            <wp:extent cx="6035040" cy="975360"/>
            <wp:effectExtent b="0" l="0" r="22860" t="0"/>
            <wp:docPr id="11" name=""/>
            <a:graphic>
              <a:graphicData uri="http://schemas.openxmlformats.org/drawingml/2006/diagram">
                <dgm:relIds r:cs="rId49" r:dm="rId50" r:lo="rId51" r:qs="rId52"/>
              </a:graphicData>
            </a:graphic>
          </wp:inline>
        </w:drawing>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e6omqfm3pya" w:id="25"/>
      <w:bookmarkEnd w:id="25"/>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9: Positioning &amp; Performance Metrics</w:t>
      </w:r>
    </w:p>
    <w:p w:rsidR="00000000" w:rsidDel="00000000" w:rsidP="00000000" w:rsidRDefault="00000000" w:rsidRPr="00000000" w14:paraId="000000A7">
      <w:pPr>
        <w:pStyle w:val="Heading3"/>
        <w:rPr/>
      </w:pPr>
      <w:bookmarkStart w:colFirst="0" w:colLast="0" w:name="_k1gyfgy6xhz6" w:id="26"/>
      <w:bookmarkEnd w:id="26"/>
      <w:r w:rsidDel="00000000" w:rsidR="00000000" w:rsidRPr="00000000">
        <w:rPr>
          <w:rtl w:val="0"/>
        </w:rPr>
        <w:t xml:space="preserve">3.4.4 Marketing Mix Coordination</w:t>
      </w:r>
    </w:p>
    <w:p w:rsidR="00000000" w:rsidDel="00000000" w:rsidP="00000000" w:rsidRDefault="00000000" w:rsidRPr="00000000" w14:paraId="000000A8">
      <w:pPr>
        <w:keepNext w:val="1"/>
        <w:rPr/>
      </w:pPr>
      <w:r w:rsidDel="00000000" w:rsidR="00000000" w:rsidRPr="00000000">
        <w:rPr/>
        <w:drawing>
          <wp:inline distB="0" distT="0" distL="0" distR="0">
            <wp:extent cx="6027420" cy="6141720"/>
            <wp:effectExtent b="0" l="0" r="87630" t="0"/>
            <wp:docPr id="9" name=""/>
            <a:graphic>
              <a:graphicData uri="http://schemas.openxmlformats.org/drawingml/2006/diagram">
                <dgm:relIds r:cs="rId55" r:dm="rId56" r:lo="rId57" r:qs="rId59"/>
              </a:graphicData>
            </a:graphic>
          </wp:inline>
        </w:drawing>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snkkw3g37esz" w:id="27"/>
      <w:bookmarkEnd w:id="27"/>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10: Tesla's 4P Analysis</w:t>
      </w:r>
    </w:p>
    <w:p w:rsidR="00000000" w:rsidDel="00000000" w:rsidP="00000000" w:rsidRDefault="00000000" w:rsidRPr="00000000" w14:paraId="000000AA">
      <w:pPr>
        <w:rPr/>
      </w:pPr>
      <w:r w:rsidDel="00000000" w:rsidR="00000000" w:rsidRPr="00000000">
        <w:rPr>
          <w:rtl w:val="0"/>
        </w:rPr>
        <w:t xml:space="preserve">Tesla's pricing strategy exposes a lack of coordination in the marketing mix. In China, fierce price cuts have activated the dynamics of the competitive strategy of Bertrand's competition, where price serves as the primary means of competition. This environment has rendered Tesla's premium positioning for sustainability ineffective, removing margins without accruing long-term competitive advantages (Huang et al., 2023). The resulting switch from differentiation to price-led rivalry is symptomatic of deterioration in the marketing effectiveness rather than adaptation of the marketing strategy. Overall, Tesla exhibits independent optimisation without any strategic integration across the 7Ps. Resolving this requires a resolution to the fundamental positioning dilemma: premium, mass market or structured sub-branded architecture prior to refining the marketing mix further. Without such strategic clarity, it will be internally contradictory and competitively unsustainable to continue executions.</w:t>
      </w:r>
    </w:p>
    <w:p w:rsidR="00000000" w:rsidDel="00000000" w:rsidP="00000000" w:rsidRDefault="00000000" w:rsidRPr="00000000" w14:paraId="000000AB">
      <w:pPr>
        <w:pStyle w:val="Heading3"/>
        <w:rPr/>
      </w:pPr>
      <w:bookmarkStart w:colFirst="0" w:colLast="0" w:name="_h9uo0ez1twyr" w:id="28"/>
      <w:bookmarkEnd w:id="28"/>
      <w:r w:rsidDel="00000000" w:rsidR="00000000" w:rsidRPr="00000000">
        <w:rPr>
          <w:rtl w:val="0"/>
        </w:rPr>
        <w:t xml:space="preserve">3.4.5 Ansoff Matrix Strategic Options</w:t>
      </w:r>
    </w:p>
    <w:p w:rsidR="00000000" w:rsidDel="00000000" w:rsidP="00000000" w:rsidRDefault="00000000" w:rsidRPr="00000000" w14:paraId="000000AC">
      <w:pPr>
        <w:rPr/>
      </w:pPr>
      <w:r w:rsidDel="00000000" w:rsidR="00000000" w:rsidRPr="00000000">
        <w:rPr>
          <w:rtl w:val="0"/>
        </w:rPr>
        <w:t xml:space="preserve">Application of the Ansoff Matrix indicates that the growth challenge for Tesla is not a lack of growth opportunities but rather strategic over reachability under debilitative margin circumstances.</w:t>
      </w:r>
    </w:p>
    <w:p w:rsidR="00000000" w:rsidDel="00000000" w:rsidP="00000000" w:rsidRDefault="00000000" w:rsidRPr="00000000" w14:paraId="000000AD">
      <w:pPr>
        <w:keepNext w:val="1"/>
        <w:rPr/>
      </w:pPr>
      <w:r w:rsidDel="00000000" w:rsidR="00000000" w:rsidRPr="00000000">
        <w:rPr/>
        <w:drawing>
          <wp:inline distB="0" distT="0" distL="0" distR="0">
            <wp:extent cx="6035040" cy="5113020"/>
            <wp:effectExtent b="49530" l="0" r="60960" t="0"/>
            <wp:docPr id="10" name=""/>
            <a:graphic>
              <a:graphicData uri="http://schemas.openxmlformats.org/drawingml/2006/diagram">
                <dgm:relIds r:cs="rId61" r:dm="rId62" r:lo="rId64" r:qs="rId65"/>
              </a:graphicData>
            </a:graphic>
          </wp:inline>
        </w:drawing>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6tek7hf7uaex" w:id="29"/>
      <w:bookmarkEnd w:id="29"/>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11: Ansoff Matrix</w:t>
      </w:r>
    </w:p>
    <w:p w:rsidR="00000000" w:rsidDel="00000000" w:rsidP="00000000" w:rsidRDefault="00000000" w:rsidRPr="00000000" w14:paraId="000000AF">
      <w:pPr>
        <w:pStyle w:val="Heading2"/>
        <w:rPr/>
      </w:pPr>
      <w:bookmarkStart w:colFirst="0" w:colLast="0" w:name="_q5j4vuosldll" w:id="30"/>
      <w:bookmarkEnd w:id="30"/>
      <w:r w:rsidDel="00000000" w:rsidR="00000000" w:rsidRPr="00000000">
        <w:rPr>
          <w:rtl w:val="0"/>
        </w:rPr>
        <w:t xml:space="preserve">3.5 Communications Media &amp; Measurement Framework</w:t>
      </w:r>
    </w:p>
    <w:p w:rsidR="00000000" w:rsidDel="00000000" w:rsidP="00000000" w:rsidRDefault="00000000" w:rsidRPr="00000000" w14:paraId="000000B0">
      <w:pPr>
        <w:rPr/>
      </w:pPr>
      <w:r w:rsidDel="00000000" w:rsidR="00000000" w:rsidRPr="00000000">
        <w:rPr>
          <w:rtl w:val="0"/>
        </w:rPr>
        <w:t xml:space="preserve">Tesla's communications strategy fails to protect brand differentiation. Its legacy message on innovation leadership is now largely symbolic in the face of competing capabilities closing capability gaps (Gao, 2023; Machin, 2025), whilst it undercommunicates some true advantages, such as its Supercharger network (DeLollis &amp; Justice, 2024). This undermines competitive positioning.</w:t>
      </w:r>
    </w:p>
    <w:p w:rsidR="00000000" w:rsidDel="00000000" w:rsidP="00000000" w:rsidRDefault="00000000" w:rsidRPr="00000000" w14:paraId="000000B1">
      <w:pPr>
        <w:keepNext w:val="1"/>
        <w:rPr/>
      </w:pPr>
      <w:r w:rsidDel="00000000" w:rsidR="00000000" w:rsidRPr="00000000">
        <w:rPr/>
        <w:drawing>
          <wp:inline distB="0" distT="0" distL="0" distR="0">
            <wp:extent cx="6019800" cy="2049780"/>
            <wp:effectExtent b="0" l="0" r="19050" t="0"/>
            <wp:docPr id="12" name=""/>
            <a:graphic>
              <a:graphicData uri="http://schemas.openxmlformats.org/drawingml/2006/diagram">
                <dgm:relIds r:cs="rId67" r:dm="rId69" r:lo="rId70" r:qs="rId71"/>
              </a:graphicData>
            </a:graphic>
          </wp:inline>
        </w:drawing>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dw610cral6g6" w:id="31"/>
      <w:bookmarkEnd w:id="31"/>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12: Consumer Knowledge Advancement Undermining Communications Advantage</w:t>
      </w:r>
    </w:p>
    <w:p w:rsidR="00000000" w:rsidDel="00000000" w:rsidP="00000000" w:rsidRDefault="00000000" w:rsidRPr="00000000" w14:paraId="000000B3">
      <w:pPr>
        <w:rPr/>
      </w:pPr>
      <w:r w:rsidDel="00000000" w:rsidR="00000000" w:rsidRPr="00000000">
        <w:rPr>
          <w:rtl w:val="0"/>
        </w:rPr>
        <w:t xml:space="preserve">Governance is critically flawed in that the founder-centric communications replace the structured communications, rendering volatile perception and fragmenting brand meaning (Ghar, 2024; Lei, 2025a). Furthermore, there is no measurement framework and thus no accountability or evidence of ROI in resource allocation (Lavi &amp; Reich, 2023; Naughton, 2025).</w:t>
      </w:r>
    </w:p>
    <w:p w:rsidR="00000000" w:rsidDel="00000000" w:rsidP="00000000" w:rsidRDefault="00000000" w:rsidRPr="00000000" w14:paraId="000000B4">
      <w:pPr>
        <w:keepNext w:val="1"/>
        <w:rPr/>
      </w:pPr>
      <w:r w:rsidDel="00000000" w:rsidR="00000000" w:rsidRPr="00000000">
        <w:rPr/>
        <w:drawing>
          <wp:inline distB="0" distT="0" distL="0" distR="0">
            <wp:extent cx="6080760" cy="1390650"/>
            <wp:effectExtent b="38100" l="0" r="72390" t="19050"/>
            <wp:docPr id="13" name=""/>
            <a:graphic>
              <a:graphicData uri="http://schemas.openxmlformats.org/drawingml/2006/diagram">
                <dgm:relIds r:cs="rId74" r:dm="rId75" r:lo="rId76" r:qs="rId77"/>
              </a:graphicData>
            </a:graphic>
          </wp:inline>
        </w:drawing>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m2tvdifap7yf" w:id="32"/>
      <w:bookmarkEnd w:id="32"/>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13: Measurement Framework Gaps and Governance Impact</w:t>
      </w:r>
    </w:p>
    <w:p w:rsidR="00000000" w:rsidDel="00000000" w:rsidP="00000000" w:rsidRDefault="00000000" w:rsidRPr="00000000" w14:paraId="000000B6">
      <w:pPr>
        <w:rPr/>
      </w:pPr>
      <w:r w:rsidDel="00000000" w:rsidR="00000000" w:rsidRPr="00000000">
        <w:rPr>
          <w:rtl w:val="0"/>
        </w:rPr>
        <w:t xml:space="preserve">Combined, this results in compounding strategic risk. Communications are reactive and misaligned and do not contribute to mass market expansion, nor are they preventive to safeguard premium statuses, and they fail to uphold the brand's credibility and competitive agility (Huang et al. 2023; Liu 2021; Lu 2025).</w:t>
      </w:r>
    </w:p>
    <w:p w:rsidR="00000000" w:rsidDel="00000000" w:rsidP="00000000" w:rsidRDefault="00000000" w:rsidRPr="00000000" w14:paraId="000000B7">
      <w:pPr>
        <w:pStyle w:val="Heading2"/>
        <w:rPr/>
      </w:pPr>
      <w:bookmarkStart w:colFirst="0" w:colLast="0" w:name="_40hpazqg7oxk" w:id="33"/>
      <w:bookmarkEnd w:id="33"/>
      <w:r w:rsidDel="00000000" w:rsidR="00000000" w:rsidRPr="00000000">
        <w:rPr>
          <w:rtl w:val="0"/>
        </w:rPr>
        <w:t xml:space="preserve">3.6 Competitive Environment Response</w:t>
      </w:r>
    </w:p>
    <w:p w:rsidR="00000000" w:rsidDel="00000000" w:rsidP="00000000" w:rsidRDefault="00000000" w:rsidRPr="00000000" w14:paraId="000000B8">
      <w:pPr>
        <w:rPr/>
      </w:pPr>
      <w:r w:rsidDel="00000000" w:rsidR="00000000" w:rsidRPr="00000000">
        <w:rPr>
          <w:rtl w:val="0"/>
        </w:rPr>
        <w:t xml:space="preserve">Tesla's competitive positioning is indicative of systemic failures to respond to the intensified market pressure. Industry commoditisation of technology (spillover), scale parity, and feature convergence have diminished Tesla's historical differentiation advantages and left the company at the mercy of the mass market and premium segments (Fedotov, 2022). Chinese competitors have been the epitome of such a threat: BYD's capability development speed, like LFP battery cost leadership and Level 2 autonomous parity, indicates that Tesla's technological and cost advantages are replicable rather than defensible (Inagaki et al., 2025). Market share losses are accompanied by reactionary pricing action and hybrid mass-market/premium positioning incoherence, hijacking segmental perceived value. Traditional OEMs, such as Mercedes and BMW, leverage their heritage branding and service excellence to generate premium segment parity and further reduce Tesla's competitiveness (Hong, 2024). </w:t>
      </w:r>
    </w:p>
    <w:p w:rsidR="00000000" w:rsidDel="00000000" w:rsidP="00000000" w:rsidRDefault="00000000" w:rsidRPr="00000000" w14:paraId="000000B9">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qokfq623pner" w:id="34"/>
      <w:bookmarkEnd w:id="34"/>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Table 2: Market Share &amp; Competitor Analysis</w:t>
      </w:r>
    </w:p>
    <w:tbl>
      <w:tblPr>
        <w:tblStyle w:val="Table3"/>
        <w:tblW w:w="10557.0" w:type="dxa"/>
        <w:jc w:val="center"/>
        <w:tblBorders>
          <w:top w:color="a8d08d" w:space="0" w:sz="4" w:val="single"/>
          <w:left w:color="a8d08d" w:space="0" w:sz="4" w:val="single"/>
          <w:bottom w:color="a8d08d" w:space="0" w:sz="4" w:val="single"/>
          <w:right w:color="a8d08d" w:space="0" w:sz="4" w:val="single"/>
          <w:insideH w:color="a8d08d" w:space="0" w:sz="4" w:val="single"/>
          <w:insideV w:color="a8d08d" w:space="0" w:sz="4" w:val="single"/>
        </w:tblBorders>
        <w:tblLayout w:type="fixed"/>
        <w:tblLook w:val="04A0"/>
      </w:tblPr>
      <w:tblGrid>
        <w:gridCol w:w="1096"/>
        <w:gridCol w:w="1012"/>
        <w:gridCol w:w="956"/>
        <w:gridCol w:w="1816"/>
        <w:gridCol w:w="2405"/>
        <w:gridCol w:w="1195"/>
        <w:gridCol w:w="2077"/>
        <w:tblGridChange w:id="0">
          <w:tblGrid>
            <w:gridCol w:w="1096"/>
            <w:gridCol w:w="1012"/>
            <w:gridCol w:w="956"/>
            <w:gridCol w:w="1816"/>
            <w:gridCol w:w="2405"/>
            <w:gridCol w:w="1195"/>
            <w:gridCol w:w="2077"/>
          </w:tblGrid>
        </w:tblGridChange>
      </w:tblGrid>
      <w:tr>
        <w:trPr>
          <w:cantSplit w:val="0"/>
          <w:trHeight w:val="281" w:hRule="atLeast"/>
          <w:tblHeader w:val="0"/>
        </w:trPr>
        <w:tc>
          <w:tcPr/>
          <w:p w:rsidR="00000000" w:rsidDel="00000000" w:rsidP="00000000" w:rsidRDefault="00000000" w:rsidRPr="00000000" w14:paraId="000000BA">
            <w:pPr>
              <w:jc w:val="center"/>
              <w:rPr/>
            </w:pPr>
            <w:r w:rsidDel="00000000" w:rsidR="00000000" w:rsidRPr="00000000">
              <w:rPr>
                <w:rtl w:val="0"/>
              </w:rPr>
              <w:t xml:space="preserve">Market</w:t>
            </w:r>
          </w:p>
        </w:tc>
        <w:tc>
          <w:tcPr/>
          <w:p w:rsidR="00000000" w:rsidDel="00000000" w:rsidP="00000000" w:rsidRDefault="00000000" w:rsidRPr="00000000" w14:paraId="000000BB">
            <w:pPr>
              <w:jc w:val="center"/>
              <w:rPr/>
            </w:pPr>
            <w:r w:rsidDel="00000000" w:rsidR="00000000" w:rsidRPr="00000000">
              <w:rPr>
                <w:rtl w:val="0"/>
              </w:rPr>
              <w:t xml:space="preserve">Tesla Share 2023</w:t>
            </w:r>
          </w:p>
        </w:tc>
        <w:tc>
          <w:tcPr/>
          <w:p w:rsidR="00000000" w:rsidDel="00000000" w:rsidP="00000000" w:rsidRDefault="00000000" w:rsidRPr="00000000" w14:paraId="000000BC">
            <w:pPr>
              <w:jc w:val="center"/>
              <w:rPr/>
            </w:pPr>
            <w:r w:rsidDel="00000000" w:rsidR="00000000" w:rsidRPr="00000000">
              <w:rPr>
                <w:rtl w:val="0"/>
              </w:rPr>
              <w:t xml:space="preserve">Tesla Share 2024</w:t>
            </w:r>
          </w:p>
        </w:tc>
        <w:tc>
          <w:tcPr/>
          <w:p w:rsidR="00000000" w:rsidDel="00000000" w:rsidP="00000000" w:rsidRDefault="00000000" w:rsidRPr="00000000" w14:paraId="000000BD">
            <w:pPr>
              <w:jc w:val="center"/>
              <w:rPr/>
            </w:pPr>
            <w:r w:rsidDel="00000000" w:rsidR="00000000" w:rsidRPr="00000000">
              <w:rPr>
                <w:rtl w:val="0"/>
              </w:rPr>
              <w:t xml:space="preserve">Key Competitor</w:t>
            </w:r>
          </w:p>
        </w:tc>
        <w:tc>
          <w:tcPr/>
          <w:p w:rsidR="00000000" w:rsidDel="00000000" w:rsidP="00000000" w:rsidRDefault="00000000" w:rsidRPr="00000000" w14:paraId="000000BE">
            <w:pPr>
              <w:jc w:val="center"/>
              <w:rPr/>
            </w:pPr>
            <w:r w:rsidDel="00000000" w:rsidR="00000000" w:rsidRPr="00000000">
              <w:rPr>
                <w:rtl w:val="0"/>
              </w:rPr>
              <w:t xml:space="preserve">Competitor Advantage</w:t>
            </w:r>
          </w:p>
        </w:tc>
        <w:tc>
          <w:tcPr/>
          <w:p w:rsidR="00000000" w:rsidDel="00000000" w:rsidP="00000000" w:rsidRDefault="00000000" w:rsidRPr="00000000" w14:paraId="000000BF">
            <w:pPr>
              <w:jc w:val="center"/>
              <w:rPr/>
            </w:pPr>
            <w:r w:rsidDel="00000000" w:rsidR="00000000" w:rsidRPr="00000000">
              <w:rPr>
                <w:rtl w:val="0"/>
              </w:rPr>
              <w:t xml:space="preserve">Segment Focus</w:t>
            </w:r>
          </w:p>
        </w:tc>
        <w:tc>
          <w:tcPr/>
          <w:p w:rsidR="00000000" w:rsidDel="00000000" w:rsidP="00000000" w:rsidRDefault="00000000" w:rsidRPr="00000000" w14:paraId="000000C0">
            <w:pPr>
              <w:jc w:val="center"/>
              <w:rPr/>
            </w:pPr>
            <w:r w:rsidDel="00000000" w:rsidR="00000000" w:rsidRPr="00000000">
              <w:rPr>
                <w:rtl w:val="0"/>
              </w:rPr>
              <w:t xml:space="preserve">Strategic Implication</w:t>
            </w:r>
          </w:p>
        </w:tc>
      </w:tr>
      <w:tr>
        <w:trPr>
          <w:cantSplit w:val="0"/>
          <w:trHeight w:val="281" w:hRule="atLeast"/>
          <w:tblHeader w:val="0"/>
        </w:trPr>
        <w:tc>
          <w:tcPr/>
          <w:p w:rsidR="00000000" w:rsidDel="00000000" w:rsidP="00000000" w:rsidRDefault="00000000" w:rsidRPr="00000000" w14:paraId="000000C1">
            <w:pPr>
              <w:jc w:val="center"/>
              <w:rPr/>
            </w:pPr>
            <w:r w:rsidDel="00000000" w:rsidR="00000000" w:rsidRPr="00000000">
              <w:rPr>
                <w:rtl w:val="0"/>
              </w:rPr>
              <w:t xml:space="preserve">China</w:t>
            </w:r>
          </w:p>
        </w:tc>
        <w:tc>
          <w:tcPr/>
          <w:p w:rsidR="00000000" w:rsidDel="00000000" w:rsidP="00000000" w:rsidRDefault="00000000" w:rsidRPr="00000000" w14:paraId="000000C2">
            <w:pPr>
              <w:jc w:val="center"/>
              <w:rPr/>
            </w:pPr>
            <w:r w:rsidDel="00000000" w:rsidR="00000000" w:rsidRPr="00000000">
              <w:rPr>
                <w:rtl w:val="0"/>
              </w:rPr>
              <w:t xml:space="preserve">17.20%</w:t>
            </w:r>
          </w:p>
        </w:tc>
        <w:tc>
          <w:tcPr/>
          <w:p w:rsidR="00000000" w:rsidDel="00000000" w:rsidP="00000000" w:rsidRDefault="00000000" w:rsidRPr="00000000" w14:paraId="000000C3">
            <w:pPr>
              <w:jc w:val="center"/>
              <w:rPr/>
            </w:pPr>
            <w:r w:rsidDel="00000000" w:rsidR="00000000" w:rsidRPr="00000000">
              <w:rPr>
                <w:rtl w:val="0"/>
              </w:rPr>
              <w:t xml:space="preserve">8.10%</w:t>
            </w:r>
          </w:p>
        </w:tc>
        <w:tc>
          <w:tcPr/>
          <w:p w:rsidR="00000000" w:rsidDel="00000000" w:rsidP="00000000" w:rsidRDefault="00000000" w:rsidRPr="00000000" w14:paraId="000000C4">
            <w:pPr>
              <w:jc w:val="center"/>
              <w:rPr/>
            </w:pPr>
            <w:r w:rsidDel="00000000" w:rsidR="00000000" w:rsidRPr="00000000">
              <w:rPr>
                <w:rtl w:val="0"/>
              </w:rPr>
              <w:t xml:space="preserve">BYD</w:t>
            </w:r>
          </w:p>
        </w:tc>
        <w:tc>
          <w:tcPr/>
          <w:p w:rsidR="00000000" w:rsidDel="00000000" w:rsidP="00000000" w:rsidRDefault="00000000" w:rsidRPr="00000000" w14:paraId="000000C5">
            <w:pPr>
              <w:jc w:val="center"/>
              <w:rPr/>
            </w:pPr>
            <w:r w:rsidDel="00000000" w:rsidR="00000000" w:rsidRPr="00000000">
              <w:rPr>
                <w:rtl w:val="0"/>
              </w:rPr>
              <w:t xml:space="preserve">Cost leadership, LFP $2,000-$3,000 cheaper, NPS 45</w:t>
            </w:r>
          </w:p>
        </w:tc>
        <w:tc>
          <w:tcPr/>
          <w:p w:rsidR="00000000" w:rsidDel="00000000" w:rsidP="00000000" w:rsidRDefault="00000000" w:rsidRPr="00000000" w14:paraId="000000C6">
            <w:pPr>
              <w:jc w:val="center"/>
              <w:rPr/>
            </w:pPr>
            <w:r w:rsidDel="00000000" w:rsidR="00000000" w:rsidRPr="00000000">
              <w:rPr>
                <w:rtl w:val="0"/>
              </w:rPr>
              <w:t xml:space="preserve">Mass-market</w:t>
            </w:r>
          </w:p>
        </w:tc>
        <w:tc>
          <w:tcPr/>
          <w:p w:rsidR="00000000" w:rsidDel="00000000" w:rsidP="00000000" w:rsidRDefault="00000000" w:rsidRPr="00000000" w14:paraId="000000C7">
            <w:pPr>
              <w:jc w:val="center"/>
              <w:rPr/>
            </w:pPr>
            <w:r w:rsidDel="00000000" w:rsidR="00000000" w:rsidRPr="00000000">
              <w:rPr>
                <w:rtl w:val="0"/>
              </w:rPr>
              <w:t xml:space="preserve">Vulnerability to cost-based competition</w:t>
            </w:r>
          </w:p>
        </w:tc>
      </w:tr>
      <w:tr>
        <w:trPr>
          <w:cantSplit w:val="0"/>
          <w:trHeight w:val="281" w:hRule="atLeast"/>
          <w:tblHeader w:val="0"/>
        </w:trPr>
        <w:tc>
          <w:tcPr/>
          <w:p w:rsidR="00000000" w:rsidDel="00000000" w:rsidP="00000000" w:rsidRDefault="00000000" w:rsidRPr="00000000" w14:paraId="000000C8">
            <w:pPr>
              <w:jc w:val="center"/>
              <w:rPr/>
            </w:pPr>
            <w:r w:rsidDel="00000000" w:rsidR="00000000" w:rsidRPr="00000000">
              <w:rPr>
                <w:rtl w:val="0"/>
              </w:rPr>
              <w:t xml:space="preserve">Europe</w:t>
            </w:r>
          </w:p>
        </w:tc>
        <w:tc>
          <w:tcPr/>
          <w:p w:rsidR="00000000" w:rsidDel="00000000" w:rsidP="00000000" w:rsidRDefault="00000000" w:rsidRPr="00000000" w14:paraId="000000C9">
            <w:pPr>
              <w:jc w:val="center"/>
              <w:rPr/>
            </w:pPr>
            <w:r w:rsidDel="00000000" w:rsidR="00000000" w:rsidRPr="00000000">
              <w:rPr>
                <w:rtl w:val="0"/>
              </w:rPr>
              <w:t xml:space="preserve">13.40%</w:t>
            </w:r>
          </w:p>
        </w:tc>
        <w:tc>
          <w:tcPr/>
          <w:p w:rsidR="00000000" w:rsidDel="00000000" w:rsidP="00000000" w:rsidRDefault="00000000" w:rsidRPr="00000000" w14:paraId="000000CA">
            <w:pPr>
              <w:jc w:val="center"/>
              <w:rPr/>
            </w:pPr>
            <w:r w:rsidDel="00000000" w:rsidR="00000000" w:rsidRPr="00000000">
              <w:rPr>
                <w:rtl w:val="0"/>
              </w:rPr>
              <w:t xml:space="preserve">9.70%</w:t>
            </w:r>
          </w:p>
        </w:tc>
        <w:tc>
          <w:tcPr/>
          <w:p w:rsidR="00000000" w:rsidDel="00000000" w:rsidP="00000000" w:rsidRDefault="00000000" w:rsidRPr="00000000" w14:paraId="000000CB">
            <w:pPr>
              <w:jc w:val="center"/>
              <w:rPr/>
            </w:pPr>
            <w:r w:rsidDel="00000000" w:rsidR="00000000" w:rsidRPr="00000000">
              <w:rPr>
                <w:rtl w:val="0"/>
              </w:rPr>
              <w:t xml:space="preserve">Mercedes/BMW</w:t>
            </w:r>
          </w:p>
        </w:tc>
        <w:tc>
          <w:tcPr/>
          <w:p w:rsidR="00000000" w:rsidDel="00000000" w:rsidP="00000000" w:rsidRDefault="00000000" w:rsidRPr="00000000" w14:paraId="000000CC">
            <w:pPr>
              <w:jc w:val="center"/>
              <w:rPr/>
            </w:pPr>
            <w:r w:rsidDel="00000000" w:rsidR="00000000" w:rsidRPr="00000000">
              <w:rPr>
                <w:rtl w:val="0"/>
              </w:rPr>
              <w:t xml:space="preserve">Heritage, Level 3 autonomy, 78-82% satisfaction</w:t>
            </w:r>
          </w:p>
        </w:tc>
        <w:tc>
          <w:tcPr/>
          <w:p w:rsidR="00000000" w:rsidDel="00000000" w:rsidP="00000000" w:rsidRDefault="00000000" w:rsidRPr="00000000" w14:paraId="000000CD">
            <w:pPr>
              <w:jc w:val="center"/>
              <w:rPr/>
            </w:pPr>
            <w:r w:rsidDel="00000000" w:rsidR="00000000" w:rsidRPr="00000000">
              <w:rPr>
                <w:rtl w:val="0"/>
              </w:rPr>
              <w:t xml:space="preserve">Premium</w:t>
            </w:r>
          </w:p>
        </w:tc>
        <w:tc>
          <w:tcPr/>
          <w:p w:rsidR="00000000" w:rsidDel="00000000" w:rsidP="00000000" w:rsidRDefault="00000000" w:rsidRPr="00000000" w14:paraId="000000CE">
            <w:pPr>
              <w:jc w:val="center"/>
              <w:rPr/>
            </w:pPr>
            <w:r w:rsidDel="00000000" w:rsidR="00000000" w:rsidRPr="00000000">
              <w:rPr>
                <w:rtl w:val="0"/>
              </w:rPr>
              <w:t xml:space="preserve">Premium positioning misalignment</w:t>
            </w:r>
          </w:p>
        </w:tc>
      </w:tr>
      <w:tr>
        <w:trPr>
          <w:cantSplit w:val="0"/>
          <w:trHeight w:val="281" w:hRule="atLeast"/>
          <w:tblHeader w:val="0"/>
        </w:trPr>
        <w:tc>
          <w:tcPr/>
          <w:p w:rsidR="00000000" w:rsidDel="00000000" w:rsidP="00000000" w:rsidRDefault="00000000" w:rsidRPr="00000000" w14:paraId="000000CF">
            <w:pPr>
              <w:jc w:val="center"/>
              <w:rPr/>
            </w:pPr>
            <w:r w:rsidDel="00000000" w:rsidR="00000000" w:rsidRPr="00000000">
              <w:rPr>
                <w:rtl w:val="0"/>
              </w:rPr>
              <w:t xml:space="preserve">North America</w:t>
            </w:r>
          </w:p>
        </w:tc>
        <w:tc>
          <w:tcPr/>
          <w:p w:rsidR="00000000" w:rsidDel="00000000" w:rsidP="00000000" w:rsidRDefault="00000000" w:rsidRPr="00000000" w14:paraId="000000D0">
            <w:pPr>
              <w:jc w:val="center"/>
              <w:rPr/>
            </w:pPr>
            <w:r w:rsidDel="00000000" w:rsidR="00000000" w:rsidRPr="00000000">
              <w:rPr>
                <w:rtl w:val="0"/>
              </w:rPr>
              <w:t xml:space="preserve">24.10%</w:t>
            </w:r>
          </w:p>
        </w:tc>
        <w:tc>
          <w:tcPr/>
          <w:p w:rsidR="00000000" w:rsidDel="00000000" w:rsidP="00000000" w:rsidRDefault="00000000" w:rsidRPr="00000000" w14:paraId="000000D1">
            <w:pPr>
              <w:jc w:val="center"/>
              <w:rPr/>
            </w:pPr>
            <w:r w:rsidDel="00000000" w:rsidR="00000000" w:rsidRPr="00000000">
              <w:rPr>
                <w:rtl w:val="0"/>
              </w:rPr>
              <w:t xml:space="preserve">18.30%</w:t>
            </w:r>
          </w:p>
        </w:tc>
        <w:tc>
          <w:tcPr/>
          <w:p w:rsidR="00000000" w:rsidDel="00000000" w:rsidP="00000000" w:rsidRDefault="00000000" w:rsidRPr="00000000" w14:paraId="000000D2">
            <w:pPr>
              <w:jc w:val="center"/>
              <w:rPr/>
            </w:pPr>
            <w:r w:rsidDel="00000000" w:rsidR="00000000" w:rsidRPr="00000000">
              <w:rPr>
                <w:rtl w:val="0"/>
              </w:rPr>
              <w:t xml:space="preserve">Domestic OEMs</w:t>
            </w:r>
          </w:p>
        </w:tc>
        <w:tc>
          <w:tcPr/>
          <w:p w:rsidR="00000000" w:rsidDel="00000000" w:rsidP="00000000" w:rsidRDefault="00000000" w:rsidRPr="00000000" w14:paraId="000000D3">
            <w:pPr>
              <w:jc w:val="center"/>
              <w:rPr/>
            </w:pPr>
            <w:r w:rsidDel="00000000" w:rsidR="00000000" w:rsidRPr="00000000">
              <w:rPr>
                <w:rtl w:val="0"/>
              </w:rPr>
              <w:t xml:space="preserve">EV proliferation, price parity, service coverage</w:t>
            </w:r>
          </w:p>
        </w:tc>
        <w:tc>
          <w:tcPr/>
          <w:p w:rsidR="00000000" w:rsidDel="00000000" w:rsidP="00000000" w:rsidRDefault="00000000" w:rsidRPr="00000000" w14:paraId="000000D4">
            <w:pPr>
              <w:jc w:val="center"/>
              <w:rPr/>
            </w:pPr>
            <w:r w:rsidDel="00000000" w:rsidR="00000000" w:rsidRPr="00000000">
              <w:rPr>
                <w:rtl w:val="0"/>
              </w:rPr>
              <w:t xml:space="preserve">Regional</w:t>
            </w:r>
          </w:p>
        </w:tc>
        <w:tc>
          <w:tcPr/>
          <w:p w:rsidR="00000000" w:rsidDel="00000000" w:rsidP="00000000" w:rsidRDefault="00000000" w:rsidRPr="00000000" w14:paraId="000000D5">
            <w:pPr>
              <w:jc w:val="center"/>
              <w:rPr/>
            </w:pPr>
            <w:r w:rsidDel="00000000" w:rsidR="00000000" w:rsidRPr="00000000">
              <w:rPr>
                <w:rtl w:val="0"/>
              </w:rPr>
              <w:t xml:space="preserve">Geographic growth opportunity missed</w:t>
            </w:r>
          </w:p>
        </w:tc>
      </w:tr>
    </w:tbl>
    <w:p w:rsidR="00000000" w:rsidDel="00000000" w:rsidP="00000000" w:rsidRDefault="00000000" w:rsidRPr="00000000" w14:paraId="000000D6">
      <w:pPr>
        <w:rPr/>
      </w:pPr>
      <w:r w:rsidDel="00000000" w:rsidR="00000000" w:rsidRPr="00000000">
        <w:rPr>
          <w:rtl w:val="0"/>
        </w:rPr>
        <w:t xml:space="preserve">Overall, Tesla's marketing strategy is mostly reactive in nature, as founder presence-driven marketing communication fails to catch up with segment-specific expectations and geographical expansion opportunities, while competitors tap the advantages of coherent positioning and scale advantages (Harding, 2024). Without actual repositioning, system-wide disadvantage is likely to persist.</w:t>
      </w:r>
    </w:p>
    <w:p w:rsidR="00000000" w:rsidDel="00000000" w:rsidP="00000000" w:rsidRDefault="00000000" w:rsidRPr="00000000" w14:paraId="000000D7">
      <w:pPr>
        <w:keepNext w:val="1"/>
        <w:rPr/>
      </w:pPr>
      <w:r w:rsidDel="00000000" w:rsidR="00000000" w:rsidRPr="00000000">
        <w:rPr/>
        <w:drawing>
          <wp:inline distB="0" distT="0" distL="0" distR="0">
            <wp:extent cx="6339840" cy="2103120"/>
            <wp:effectExtent b="11430" l="0" r="22860" t="0"/>
            <wp:docPr id="14" name=""/>
            <a:graphic>
              <a:graphicData uri="http://schemas.openxmlformats.org/drawingml/2006/diagram">
                <dgm:relIds r:cs="rId80" r:dm="rId81" r:lo="rId82" r:qs="rId84"/>
              </a:graphicData>
            </a:graphic>
          </wp:inline>
        </w:drawing>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5ibvd4sgueo2" w:id="35"/>
      <w:bookmarkEnd w:id="35"/>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14: Market Expansion Response</w:t>
      </w:r>
    </w:p>
    <w:p w:rsidR="00000000" w:rsidDel="00000000" w:rsidP="00000000" w:rsidRDefault="00000000" w:rsidRPr="00000000" w14:paraId="000000D9">
      <w:pPr>
        <w:pStyle w:val="Heading1"/>
        <w:rPr/>
      </w:pPr>
      <w:bookmarkStart w:colFirst="0" w:colLast="0" w:name="_k0rfyzxfgco" w:id="36"/>
      <w:bookmarkEnd w:id="36"/>
      <w:r w:rsidDel="00000000" w:rsidR="00000000" w:rsidRPr="00000000">
        <w:rPr>
          <w:rtl w:val="0"/>
        </w:rPr>
        <w:t xml:space="preserve">4.0 Strategic Shortcomings &amp; Systemic Analysis</w:t>
      </w:r>
    </w:p>
    <w:p w:rsidR="00000000" w:rsidDel="00000000" w:rsidP="00000000" w:rsidRDefault="00000000" w:rsidRPr="00000000" w14:paraId="000000DA">
      <w:pPr>
        <w:rPr/>
      </w:pPr>
      <w:r w:rsidDel="00000000" w:rsidR="00000000" w:rsidRPr="00000000">
        <w:rPr>
          <w:rtl w:val="0"/>
        </w:rPr>
        <w:t xml:space="preserve">Tesla's failure in marketing strategy emerges not from individual failures of tactics but from five mutually reinforcing failures that are producing systemic organisational incoherence.</w:t>
      </w:r>
    </w:p>
    <w:p w:rsidR="00000000" w:rsidDel="00000000" w:rsidP="00000000" w:rsidRDefault="00000000" w:rsidRPr="00000000" w14:paraId="000000DB">
      <w:pPr>
        <w:rPr>
          <w:b w:val="1"/>
          <w:bCs w:val="1"/>
        </w:rPr>
      </w:pPr>
      <w:r w:rsidDel="00000000" w:rsidR="00000000" w:rsidRPr="00000000">
        <w:rPr>
          <w:b w:val="1"/>
          <w:bCs w:val="1"/>
          <w:rtl w:val="0"/>
        </w:rPr>
        <w:t xml:space="preserve">Segmentation Incoherence as Structural Weakness</w:t>
      </w:r>
    </w:p>
    <w:p w:rsidR="00000000" w:rsidDel="00000000" w:rsidP="00000000" w:rsidRDefault="00000000" w:rsidRPr="00000000" w14:paraId="000000DC">
      <w:pPr>
        <w:rPr/>
      </w:pPr>
      <w:r w:rsidDel="00000000" w:rsidR="00000000" w:rsidRPr="00000000">
        <w:rPr>
          <w:rtl w:val="0"/>
        </w:rPr>
        <w:t xml:space="preserve">Tesla's marketing failure originates from unresolved segmentation incoherence. Its single global brand architecture aggregates incompatible customer value logics, ranging from affordable to ultra-luxury, without strategic prioritisation. This leads to dilution of the meaning of the brand, lack of obvious heuristics by customers, and poor performance outcomes (Zhou, 2023; Hong, 2024) to create internal contradiction rather than internal economies of scale.</w:t>
      </w:r>
    </w:p>
    <w:p w:rsidR="00000000" w:rsidDel="00000000" w:rsidP="00000000" w:rsidRDefault="00000000" w:rsidRPr="00000000" w14:paraId="000000DD">
      <w:pPr>
        <w:rPr>
          <w:b w:val="1"/>
          <w:bCs w:val="1"/>
        </w:rPr>
      </w:pPr>
      <w:r w:rsidDel="00000000" w:rsidR="00000000" w:rsidRPr="00000000">
        <w:rPr>
          <w:b w:val="1"/>
          <w:bCs w:val="1"/>
          <w:rtl w:val="0"/>
        </w:rPr>
        <w:t xml:space="preserve">Environmental Misalignment and Strategic Stagnation</w:t>
      </w:r>
    </w:p>
    <w:p w:rsidR="00000000" w:rsidDel="00000000" w:rsidP="00000000" w:rsidRDefault="00000000" w:rsidRPr="00000000" w14:paraId="000000DE">
      <w:pPr>
        <w:rPr/>
      </w:pPr>
      <w:r w:rsidDel="00000000" w:rsidR="00000000" w:rsidRPr="00000000">
        <w:rPr>
          <w:rtl w:val="0"/>
        </w:rPr>
        <w:t xml:space="preserve">This flaw is combined with strategic stagnation. Tesla's positioning still rests on legacy innovation-led assumptions, out of line with a current market that is rewarding cost discipline, service reliability and supply chain resiliency (Cox Automotive Inc., 2025a; Khaleel et al., 2024). This refusal to adapt has allowed competing firms to perform better at a faster pace, slowly eating away at Tesla's historic advantage (Harding, 2024; Inagaki et al., 2025).</w:t>
      </w:r>
    </w:p>
    <w:p w:rsidR="00000000" w:rsidDel="00000000" w:rsidP="00000000" w:rsidRDefault="00000000" w:rsidRPr="00000000" w14:paraId="000000DF">
      <w:pPr>
        <w:rPr>
          <w:b w:val="1"/>
          <w:bCs w:val="1"/>
        </w:rPr>
      </w:pPr>
      <w:r w:rsidDel="00000000" w:rsidR="00000000" w:rsidRPr="00000000">
        <w:rPr>
          <w:b w:val="1"/>
          <w:bCs w:val="1"/>
          <w:rtl w:val="0"/>
        </w:rPr>
        <w:t xml:space="preserve">Positioning – Operations Credibility Gap</w:t>
      </w:r>
    </w:p>
    <w:p w:rsidR="00000000" w:rsidDel="00000000" w:rsidP="00000000" w:rsidRDefault="00000000" w:rsidRPr="00000000" w14:paraId="000000E0">
      <w:pPr>
        <w:rPr/>
      </w:pPr>
      <w:r w:rsidDel="00000000" w:rsidR="00000000" w:rsidRPr="00000000">
        <w:rPr>
          <w:rtl w:val="0"/>
        </w:rPr>
        <w:t xml:space="preserve">A critical credibility gap further impacts the brand. Marketing narratives promise better innovation and premium quality, but inconsistency in operational service and experience often makes this promise a lie (Lu, 2025). This turns differentiation into customer disappointment and neutralises Tesla's technological head start as rivals compete on operational excellence (Ding and Lee, 2023).</w:t>
      </w:r>
    </w:p>
    <w:p w:rsidR="00000000" w:rsidDel="00000000" w:rsidP="00000000" w:rsidRDefault="00000000" w:rsidRPr="00000000" w14:paraId="000000E1">
      <w:pPr>
        <w:rPr>
          <w:b w:val="1"/>
          <w:bCs w:val="1"/>
        </w:rPr>
      </w:pPr>
      <w:r w:rsidDel="00000000" w:rsidR="00000000" w:rsidRPr="00000000">
        <w:rPr>
          <w:b w:val="1"/>
          <w:bCs w:val="1"/>
          <w:rtl w:val="0"/>
        </w:rPr>
        <w:t xml:space="preserve">Absence of Strategic Measurement Discipline</w:t>
      </w:r>
    </w:p>
    <w:p w:rsidR="00000000" w:rsidDel="00000000" w:rsidP="00000000" w:rsidRDefault="00000000" w:rsidRPr="00000000" w14:paraId="000000E2">
      <w:pPr>
        <w:rPr/>
      </w:pPr>
      <w:r w:rsidDel="00000000" w:rsidR="00000000" w:rsidRPr="00000000">
        <w:rPr>
          <w:rtl w:val="0"/>
        </w:rPr>
        <w:t xml:space="preserve">These failures are institutionalised by a lack of strategic measurement discipline. Without an integrated framework to track marketing performance and customer economics, resource allocation is politically driven, not empirical (Buchanan and Badham, 2008). This is a blocking factor for corrective learning and a cover-up for structural inefficiency in volume growth narratives (Tesla, 2025b).</w:t>
      </w:r>
    </w:p>
    <w:p w:rsidR="00000000" w:rsidDel="00000000" w:rsidP="00000000" w:rsidRDefault="00000000" w:rsidRPr="00000000" w14:paraId="000000E3">
      <w:pPr>
        <w:rPr>
          <w:b w:val="1"/>
          <w:bCs w:val="1"/>
        </w:rPr>
      </w:pPr>
      <w:r w:rsidDel="00000000" w:rsidR="00000000" w:rsidRPr="00000000">
        <w:rPr>
          <w:b w:val="1"/>
          <w:bCs w:val="1"/>
          <w:rtl w:val="0"/>
        </w:rPr>
        <w:t xml:space="preserve">Circular Reinforcement Mechanism</w:t>
      </w:r>
    </w:p>
    <w:p w:rsidR="00000000" w:rsidDel="00000000" w:rsidP="00000000" w:rsidRDefault="00000000" w:rsidRPr="00000000" w14:paraId="000000E4">
      <w:pPr>
        <w:rPr/>
      </w:pPr>
      <w:r w:rsidDel="00000000" w:rsidR="00000000" w:rsidRPr="00000000">
        <w:rPr>
          <w:rtl w:val="0"/>
        </w:rPr>
        <w:t xml:space="preserve">Ultimately, these shortcomings form a closed circular reinforcement mechanism. Incoherent segmentation prevents environmental adaptation, which widens the operations gap, and no measuring hinders intervention. This causes systemic paralysis resembling the dynamics of system value failure (Lavi and Reich, 2023), where piecemeal fixes are structurally enabled to get rid of strategic coherence.</w:t>
      </w:r>
    </w:p>
    <w:p w:rsidR="00000000" w:rsidDel="00000000" w:rsidP="00000000" w:rsidRDefault="00000000" w:rsidRPr="00000000" w14:paraId="000000E5">
      <w:pPr>
        <w:pStyle w:val="Heading1"/>
        <w:rPr/>
      </w:pPr>
      <w:bookmarkStart w:colFirst="0" w:colLast="0" w:name="_z7u4okttyz9j" w:id="37"/>
      <w:bookmarkEnd w:id="37"/>
      <w:r w:rsidDel="00000000" w:rsidR="00000000" w:rsidRPr="00000000">
        <w:rPr>
          <w:rtl w:val="0"/>
        </w:rPr>
        <w:t xml:space="preserve">5.0 Strategic Recommendations</w:t>
      </w:r>
    </w:p>
    <w:p w:rsidR="00000000" w:rsidDel="00000000" w:rsidP="00000000" w:rsidRDefault="00000000" w:rsidRPr="00000000" w14:paraId="000000E6">
      <w:pPr>
        <w:rPr/>
      </w:pPr>
      <w:r w:rsidDel="00000000" w:rsidR="00000000" w:rsidRPr="00000000">
        <w:rPr>
          <w:rtl w:val="0"/>
        </w:rPr>
        <w:t xml:space="preserve">This section reveals an overreaching strategic remediation plan for Tesla's marketing strategy to redress the structural, operational and environmental misalignments. It applies the SOSTAC framework and Kotter model of change to prescribe actionable repositioning, measurement and implementation pathways, ensuring sustainable profitability and market share recovery.</w:t>
      </w:r>
    </w:p>
    <w:p w:rsidR="00000000" w:rsidDel="00000000" w:rsidP="00000000" w:rsidRDefault="00000000" w:rsidRPr="00000000" w14:paraId="000000E7">
      <w:pPr>
        <w:pStyle w:val="Heading2"/>
        <w:rPr/>
      </w:pPr>
      <w:bookmarkStart w:colFirst="0" w:colLast="0" w:name="_vj3nu3mv22fd" w:id="38"/>
      <w:bookmarkEnd w:id="38"/>
      <w:r w:rsidDel="00000000" w:rsidR="00000000" w:rsidRPr="00000000">
        <w:rPr>
          <w:rtl w:val="0"/>
        </w:rPr>
        <w:t xml:space="preserve">5.1 SOSTAC Framework Application</w:t>
      </w:r>
    </w:p>
    <w:p w:rsidR="00000000" w:rsidDel="00000000" w:rsidP="00000000" w:rsidRDefault="00000000" w:rsidRPr="00000000" w14:paraId="000000E8">
      <w:pPr>
        <w:rPr>
          <w:b w:val="1"/>
          <w:bCs w:val="1"/>
        </w:rPr>
      </w:pPr>
      <w:r w:rsidDel="00000000" w:rsidR="00000000" w:rsidRPr="00000000">
        <w:rPr>
          <w:b w:val="1"/>
          <w:bCs w:val="1"/>
          <w:rtl w:val="0"/>
        </w:rPr>
        <w:t xml:space="preserve">Situation Analysis</w:t>
      </w:r>
    </w:p>
    <w:p w:rsidR="00000000" w:rsidDel="00000000" w:rsidP="00000000" w:rsidRDefault="00000000" w:rsidRPr="00000000" w14:paraId="000000E9">
      <w:pPr>
        <w:rPr/>
      </w:pPr>
      <w:r w:rsidDel="00000000" w:rsidR="00000000" w:rsidRPr="00000000">
        <w:rPr>
          <w:rtl w:val="0"/>
        </w:rPr>
        <w:t xml:space="preserve">The primary causes of Tesla's dismal relative performance are internal strategic misalignments, not poor market conditions. Although global demand for EVs continues to grow strongly, the one-size-fits-all brand positioning of Tesla has restricted its capacity to adapt to actions taken by competitors pursuing clear segment-specific and regional strategies. Strategic frameworks express that the analysis of a situation holds prime importance in the identification of these internal inefficiencies (Abdelazim, 2024). Accompanying case studies show that Tesla's late recalibration of strategy restricts its ability to respond to the change in the regulatory and competitive landscape (Chari &amp; Fernandes, 2025). Market position analysis also drives the gaps of Tesla's deployment coherence in comparison to structurally adaptive competitors (Lu, 2025).</w:t>
      </w:r>
    </w:p>
    <w:p w:rsidR="00000000" w:rsidDel="00000000" w:rsidP="00000000" w:rsidRDefault="00000000" w:rsidRPr="00000000" w14:paraId="000000EA">
      <w:pPr>
        <w:rPr>
          <w:b w:val="1"/>
          <w:bCs w:val="1"/>
        </w:rPr>
      </w:pPr>
      <w:r w:rsidDel="00000000" w:rsidR="00000000" w:rsidRPr="00000000">
        <w:rPr>
          <w:b w:val="1"/>
          <w:bCs w:val="1"/>
          <w:rtl w:val="0"/>
        </w:rPr>
        <w:t xml:space="preserve">Objectives</w:t>
      </w:r>
    </w:p>
    <w:p w:rsidR="00000000" w:rsidDel="00000000" w:rsidP="00000000" w:rsidRDefault="00000000" w:rsidRPr="00000000" w14:paraId="000000EB">
      <w:pPr>
        <w:rPr/>
      </w:pPr>
      <w:r w:rsidDel="00000000" w:rsidR="00000000" w:rsidRPr="00000000">
        <w:rPr>
          <w:rtl w:val="0"/>
        </w:rPr>
        <w:t xml:space="preserve">The strategic objectives for Tesla should focus on coherence, the discipline of measurements and the focused allocation of resources rather than the volume-driven expansion. Tesla have to attend to clarity in level-segment location towards stabilisation of margin structures to establish optimised resources toward the development domains. The principles of strategic management emphasise the importance of integrating outcomes on financial success and operational capabilities to support sustainable value creation (Lynch, 2018). Strategy basics underpin the importance of keeping measurement infrastructure aligned with these objectives in order to be held accountable and make informed decisions (Whittington et al., 2020).</w:t>
      </w:r>
    </w:p>
    <w:p w:rsidR="00000000" w:rsidDel="00000000" w:rsidP="00000000" w:rsidRDefault="00000000" w:rsidRPr="00000000" w14:paraId="000000EC">
      <w:pPr>
        <w:keepNext w:val="1"/>
        <w:rPr/>
      </w:pPr>
      <w:r w:rsidDel="00000000" w:rsidR="00000000" w:rsidRPr="00000000">
        <w:rPr/>
        <w:drawing>
          <wp:inline distB="0" distT="0" distL="0" distR="0">
            <wp:extent cx="6118860" cy="5890260"/>
            <wp:effectExtent b="34290" l="0" r="53340" t="0"/>
            <wp:docPr id="15" name=""/>
            <a:graphic>
              <a:graphicData uri="http://schemas.openxmlformats.org/drawingml/2006/diagram">
                <dgm:relIds r:cs="rId86" r:dm="rId87" r:lo="rId89" r:qs="rId90"/>
              </a:graphicData>
            </a:graphic>
          </wp:inline>
        </w:drawing>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138w21931fx1" w:id="39"/>
      <w:bookmarkEnd w:id="39"/>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15: SOSTAC Strategy Component</w:t>
      </w:r>
    </w:p>
    <w:p w:rsidR="00000000" w:rsidDel="00000000" w:rsidP="00000000" w:rsidRDefault="00000000" w:rsidRPr="00000000" w14:paraId="000000EE">
      <w:pPr>
        <w:rPr>
          <w:b w:val="1"/>
          <w:bCs w:val="1"/>
        </w:rPr>
      </w:pPr>
      <w:r w:rsidDel="00000000" w:rsidR="00000000" w:rsidRPr="00000000">
        <w:rPr>
          <w:b w:val="1"/>
          <w:bCs w:val="1"/>
          <w:rtl w:val="0"/>
        </w:rPr>
        <w:t xml:space="preserve">Tactics</w:t>
      </w:r>
    </w:p>
    <w:p w:rsidR="00000000" w:rsidDel="00000000" w:rsidP="00000000" w:rsidRDefault="00000000" w:rsidRPr="00000000" w14:paraId="000000EF">
      <w:pPr>
        <w:rPr/>
      </w:pPr>
      <w:r w:rsidDel="00000000" w:rsidR="00000000" w:rsidRPr="00000000">
        <w:rPr>
          <w:rtl w:val="0"/>
        </w:rPr>
        <w:t xml:space="preserve">Tactical execution needs focus on high-impact and low-capital initiatives. Adjustments to product communications, service capability upgrades and selective focus on technology can provide initial strategic momentum. Research calls out the disproportionate impact of targeted product development and the adoption of modular technologies used in combination with clarified positioning (Borden &amp; Kuchler, 2025). Extended-range EV technology deployment is another method of enhancing tactical flexibility (Laczkowski &amp; Hertzke, 2025).</w:t>
      </w:r>
    </w:p>
    <w:p w:rsidR="00000000" w:rsidDel="00000000" w:rsidP="00000000" w:rsidRDefault="00000000" w:rsidRPr="00000000" w14:paraId="000000F0">
      <w:pPr>
        <w:rPr>
          <w:b w:val="1"/>
          <w:bCs w:val="1"/>
        </w:rPr>
      </w:pPr>
      <w:r w:rsidDel="00000000" w:rsidR="00000000" w:rsidRPr="00000000">
        <w:rPr>
          <w:b w:val="1"/>
          <w:bCs w:val="1"/>
          <w:rtl w:val="0"/>
        </w:rPr>
        <w:t xml:space="preserve">Action</w:t>
      </w:r>
    </w:p>
    <w:p w:rsidR="00000000" w:rsidDel="00000000" w:rsidP="00000000" w:rsidRDefault="00000000" w:rsidRPr="00000000" w14:paraId="000000F1">
      <w:pPr>
        <w:rPr/>
      </w:pPr>
      <w:r w:rsidDel="00000000" w:rsidR="00000000" w:rsidRPr="00000000">
        <w:rPr>
          <w:rtl w:val="0"/>
        </w:rPr>
        <w:t xml:space="preserve">Implementation requires transformational leadership with organisational systems. Executive sponsorship - cross-functional alignment - formal accountability mechanisms Mitigate against resistance to implementations and coordination breakdowns (Bakker et al., 2023). Organisational support is important to facilitate integrated decision-making and create alignment across marketing, product, operations and finance functions (Grey et al., 2023).</w:t>
      </w:r>
    </w:p>
    <w:p w:rsidR="00000000" w:rsidDel="00000000" w:rsidP="00000000" w:rsidRDefault="00000000" w:rsidRPr="00000000" w14:paraId="000000F2">
      <w:pPr>
        <w:rPr>
          <w:b w:val="1"/>
          <w:bCs w:val="1"/>
        </w:rPr>
      </w:pPr>
      <w:r w:rsidDel="00000000" w:rsidR="00000000" w:rsidRPr="00000000">
        <w:rPr>
          <w:b w:val="1"/>
          <w:bCs w:val="1"/>
          <w:rtl w:val="0"/>
        </w:rPr>
        <w:t xml:space="preserve">Control</w:t>
      </w:r>
    </w:p>
    <w:p w:rsidR="00000000" w:rsidDel="00000000" w:rsidP="00000000" w:rsidRDefault="00000000" w:rsidRPr="00000000" w14:paraId="000000F3">
      <w:pPr>
        <w:rPr/>
      </w:pPr>
      <w:r w:rsidDel="00000000" w:rsidR="00000000" w:rsidRPr="00000000">
        <w:rPr>
          <w:rtl w:val="0"/>
        </w:rPr>
        <w:t xml:space="preserve">Control mechanisms should be focused on adaptive learning as opposed to static targets. EV market outlines are included to provide performance benchmarks for strategic evaluation (IEA, 2025). Internal metrics to measure customer economics, geographic penetration and margin recoupment to ensure that the strategy is responsive to competitive dynamics (Nolan, 2024).</w:t>
      </w:r>
    </w:p>
    <w:p w:rsidR="00000000" w:rsidDel="00000000" w:rsidP="00000000" w:rsidRDefault="00000000" w:rsidRPr="00000000" w14:paraId="000000F4">
      <w:pPr>
        <w:pStyle w:val="Heading2"/>
        <w:rPr/>
      </w:pPr>
      <w:bookmarkStart w:colFirst="0" w:colLast="0" w:name="_sead4x2mdgec" w:id="40"/>
      <w:bookmarkEnd w:id="40"/>
      <w:r w:rsidDel="00000000" w:rsidR="00000000" w:rsidRPr="00000000">
        <w:rPr>
          <w:rtl w:val="0"/>
        </w:rPr>
        <w:t xml:space="preserve">5.2 Kotter's Change Model Implementation</w:t>
      </w:r>
    </w:p>
    <w:p w:rsidR="00000000" w:rsidDel="00000000" w:rsidP="00000000" w:rsidRDefault="00000000" w:rsidRPr="00000000" w14:paraId="000000F5">
      <w:pPr>
        <w:rPr/>
      </w:pPr>
      <w:r w:rsidDel="00000000" w:rsidR="00000000" w:rsidRPr="00000000">
        <w:rPr>
          <w:rtl w:val="0"/>
        </w:rPr>
        <w:t xml:space="preserve">Kotter's practice model is adopted here to address the systemic strategic inertia and disintegration of Tesla through a structured, phased process. It provides the needed structure to enable transformation – sometimes organisation-wide, but certainly moving beyond siloed fixes to embed a coherent new strategic direction.</w:t>
      </w:r>
    </w:p>
    <w:p w:rsidR="00000000" w:rsidDel="00000000" w:rsidP="00000000" w:rsidRDefault="00000000" w:rsidRPr="00000000" w14:paraId="000000F6">
      <w:pPr>
        <w:keepNext w:val="1"/>
        <w:rPr/>
      </w:pPr>
      <w:r w:rsidDel="00000000" w:rsidR="00000000" w:rsidRPr="00000000">
        <w:rPr/>
        <w:drawing>
          <wp:inline distB="0" distT="0" distL="0" distR="0">
            <wp:extent cx="6187440" cy="7787640"/>
            <wp:effectExtent b="3810" l="0" r="22860" t="0"/>
            <wp:docPr id="16" name=""/>
            <a:graphic>
              <a:graphicData uri="http://schemas.openxmlformats.org/drawingml/2006/diagram">
                <dgm:relIds r:cs="rId92" r:dm="rId94" r:lo="rId95" r:qs="rId96"/>
              </a:graphicData>
            </a:graphic>
          </wp:inline>
        </w:drawing>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xio5y41n4q1a" w:id="41"/>
      <w:bookmarkEnd w:id="41"/>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16: Kotter’s 8-Step Model for Tesla</w:t>
      </w:r>
    </w:p>
    <w:p w:rsidR="00000000" w:rsidDel="00000000" w:rsidP="00000000" w:rsidRDefault="00000000" w:rsidRPr="00000000" w14:paraId="000000F8">
      <w:pPr>
        <w:pStyle w:val="Heading2"/>
        <w:rPr/>
      </w:pPr>
      <w:bookmarkStart w:colFirst="0" w:colLast="0" w:name="_4f8484ppomij" w:id="42"/>
      <w:bookmarkEnd w:id="42"/>
      <w:r w:rsidDel="00000000" w:rsidR="00000000" w:rsidRPr="00000000">
        <w:rPr>
          <w:rtl w:val="0"/>
        </w:rPr>
        <w:t xml:space="preserve">5.3 Feasibility Assessment</w:t>
      </w:r>
    </w:p>
    <w:p w:rsidR="00000000" w:rsidDel="00000000" w:rsidP="00000000" w:rsidRDefault="00000000" w:rsidRPr="00000000" w14:paraId="000000F9">
      <w:pPr>
        <w:keepNext w:val="1"/>
        <w:rPr/>
      </w:pPr>
      <w:r w:rsidDel="00000000" w:rsidR="00000000" w:rsidRPr="00000000">
        <w:rPr/>
        <w:drawing>
          <wp:inline distB="0" distT="0" distL="0" distR="0">
            <wp:extent cx="5989320" cy="2263140"/>
            <wp:effectExtent b="0" l="0" r="11430" t="0"/>
            <wp:docPr id="17" name=""/>
            <a:graphic>
              <a:graphicData uri="http://schemas.openxmlformats.org/drawingml/2006/diagram">
                <dgm:relIds r:cs="rId98" r:dm="rId99" r:lo="rId100" r:qs="rId101"/>
              </a:graphicData>
            </a:graphic>
          </wp:inline>
        </w:drawing>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hbu7nheqvcg2" w:id="43"/>
      <w:bookmarkEnd w:id="43"/>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17: Implementation Risk &amp; Control Triggers</w:t>
      </w:r>
    </w:p>
    <w:p w:rsidR="00000000" w:rsidDel="00000000" w:rsidP="00000000" w:rsidRDefault="00000000" w:rsidRPr="00000000" w14:paraId="000000FB">
      <w:pPr>
        <w:rPr/>
      </w:pPr>
      <w:r w:rsidDel="00000000" w:rsidR="00000000" w:rsidRPr="00000000">
        <w:rPr>
          <w:rtl w:val="0"/>
        </w:rPr>
        <w:t xml:space="preserve">The financial feasibility is high compared with projected returns. Studies conducted on the topic of manufacturing indicate that Tesla's current level of production can accommodate incremental restructuring and sub-brand deployment without excessive cost escalation (Pares et al., 2024). Technological feasibility is backed by the fact that Tesla's platforms are modular and both the battery and autonomous systems are mature enough that once it clearly deviates from its positioning, it needn't or will not be forced to re-develop the core capabilities (Roy et al., 2022). Research on supply chain strategy confirms that vertical integration and supplier diversification can be a good mitigation of risks from geopolitical exposure and concentration of components (Wang et al., 2022). The main constraint is organisational capacity rather than financial or technological constraints. However, integrated execution of strategy, including margin recovery, energy business scaling and geographic expansion, underpins the realisation of an estimated $6.7-8.8 billion in annual value creation.</w:t>
      </w:r>
    </w:p>
    <w:p w:rsidR="00000000" w:rsidDel="00000000" w:rsidP="00000000" w:rsidRDefault="00000000" w:rsidRPr="00000000" w14:paraId="000000FC">
      <w:pPr>
        <w:pStyle w:val="Heading1"/>
        <w:rPr/>
      </w:pPr>
      <w:bookmarkStart w:colFirst="0" w:colLast="0" w:name="_pnqovikx4sp2" w:id="44"/>
      <w:bookmarkEnd w:id="44"/>
      <w:r w:rsidDel="00000000" w:rsidR="00000000" w:rsidRPr="00000000">
        <w:rPr>
          <w:rtl w:val="0"/>
        </w:rPr>
        <w:t xml:space="preserve">6.0 Conclusion</w:t>
      </w:r>
    </w:p>
    <w:p w:rsidR="00000000" w:rsidDel="00000000" w:rsidP="00000000" w:rsidRDefault="00000000" w:rsidRPr="00000000" w14:paraId="000000FD">
      <w:pPr>
        <w:rPr/>
      </w:pPr>
      <w:r w:rsidDel="00000000" w:rsidR="00000000" w:rsidRPr="00000000">
        <w:rPr>
          <w:rtl w:val="0"/>
        </w:rPr>
        <w:t xml:space="preserve">Tesla's marketing strategy reflects a fundamental misalignment between organisational positioning and environmental realities. Critical evaluation identifies five integrated shortages, including segmentation incoherence, PESTEL misalignment, positioning-operations gap, measuring absence, and geographic misalignment, that are creating a self-reinforcing failure commencing isolation tactical remediation (Chari &amp; Fernandes, 2025; Lu, 2025). Market evidence illustrates that there is a robust volume growth, accompanied by a degradation of profitability, a loss of market share and a decrease in brand preference (Tesla, 2025b; Yoon, 2025).</w:t>
      </w:r>
    </w:p>
    <w:p w:rsidR="00000000" w:rsidDel="00000000" w:rsidP="00000000" w:rsidRDefault="00000000" w:rsidRPr="00000000" w14:paraId="000000FE">
      <w:pPr>
        <w:rPr/>
      </w:pPr>
      <w:r w:rsidDel="00000000" w:rsidR="00000000" w:rsidRPr="00000000">
        <w:rPr>
          <w:rtl w:val="0"/>
        </w:rPr>
        <w:t xml:space="preserve">Strategic repositioning needs to address the above issues in a holistic way. Recommended interventions are sub-brand architecture as coherence for the segment, PESTEL-aligned positioning as responses to environmental transformation, and measurement infrastructure to build accountability (Abdelazim 2024; Whittington et al. 2020). Kotter's eight-stage change model provides a framework for implementation with a set pathway that helps overcome resistance and promote cross-functional buy-in (Burnes, 2014; Hayes, 2022). Successful implementation involves integrated strategy reformation that addresses all shortcomings simultaneously, indicating that Tesla's overall future viability as a competitor is not contingent on external market circumstances but on internal strategy coherence (Collinson, Narula &amp; Rugman, 2020; Tesla, 2025a).</w:t>
      </w:r>
    </w:p>
    <w:p w:rsidR="00000000" w:rsidDel="00000000" w:rsidP="00000000" w:rsidRDefault="00000000" w:rsidRPr="00000000" w14:paraId="000000FF">
      <w:pPr>
        <w:pStyle w:val="Heading1"/>
        <w:rPr/>
      </w:pPr>
      <w:bookmarkStart w:colFirst="0" w:colLast="0" w:name="_3f0tieo27s41" w:id="45"/>
      <w:bookmarkEnd w:id="45"/>
      <w:r w:rsidDel="00000000" w:rsidR="00000000" w:rsidRPr="00000000">
        <w:rPr>
          <w:rtl w:val="0"/>
        </w:rPr>
        <w:t xml:space="preserve">7.0 References</w:t>
      </w:r>
    </w:p>
    <w:p w:rsidR="00000000" w:rsidDel="00000000" w:rsidP="00000000" w:rsidRDefault="00000000" w:rsidRPr="00000000" w14:paraId="00000100">
      <w:pPr>
        <w:widowControl w:val="0"/>
        <w:spacing w:after="240" w:lineRule="auto"/>
        <w:rPr/>
      </w:pPr>
      <w:r w:rsidDel="00000000" w:rsidR="00000000" w:rsidRPr="00000000">
        <w:rPr>
          <w:rtl w:val="0"/>
        </w:rPr>
        <w:t xml:space="preserve">Abdelazim, Z. (2024). Business Strategy - Automotive Business Case - Tesla. </w:t>
      </w:r>
      <w:r w:rsidDel="00000000" w:rsidR="00000000" w:rsidRPr="00000000">
        <w:rPr>
          <w:i w:val="1"/>
          <w:iCs w:val="1"/>
          <w:rtl w:val="0"/>
        </w:rPr>
        <w:t xml:space="preserve">SSRN Electronic Journal</w:t>
      </w:r>
      <w:r w:rsidDel="00000000" w:rsidR="00000000" w:rsidRPr="00000000">
        <w:rPr>
          <w:rtl w:val="0"/>
        </w:rPr>
        <w:t xml:space="preserve">. doi:</w:t>
      </w:r>
      <w:hyperlink r:id="rId41">
        <w:r w:rsidDel="00000000" w:rsidR="00000000" w:rsidRPr="00000000">
          <w:rPr>
            <w:rtl w:val="0"/>
          </w:rPr>
          <w:t xml:space="preserve">https://doi.org/10.2139/ssrn.4453857</w:t>
        </w:r>
      </w:hyperlink>
      <w:r w:rsidDel="00000000" w:rsidR="00000000" w:rsidRPr="00000000">
        <w:rPr>
          <w:rtl w:val="0"/>
        </w:rPr>
        <w:t xml:space="preserve">.</w:t>
      </w:r>
    </w:p>
    <w:p w:rsidR="00000000" w:rsidDel="00000000" w:rsidP="00000000" w:rsidRDefault="00000000" w:rsidRPr="00000000" w14:paraId="00000101">
      <w:pPr>
        <w:widowControl w:val="0"/>
        <w:spacing w:after="240" w:lineRule="auto"/>
        <w:rPr/>
      </w:pPr>
      <w:r w:rsidDel="00000000" w:rsidR="00000000" w:rsidRPr="00000000">
        <w:rPr>
          <w:rtl w:val="0"/>
        </w:rPr>
        <w:t xml:space="preserve">Bakker, A.B., Hetland, J., Olsen, K. and Espevik, R. (2023). Daily transformational leadership: A source of inspiration for follower performance? </w:t>
      </w:r>
      <w:r w:rsidDel="00000000" w:rsidR="00000000" w:rsidRPr="00000000">
        <w:rPr>
          <w:i w:val="1"/>
          <w:iCs w:val="1"/>
          <w:rtl w:val="0"/>
        </w:rPr>
        <w:t xml:space="preserve">European Management Journal</w:t>
      </w:r>
      <w:r w:rsidDel="00000000" w:rsidR="00000000" w:rsidRPr="00000000">
        <w:rPr>
          <w:rtl w:val="0"/>
        </w:rPr>
        <w:t xml:space="preserve">, [online] 41(5), pp.700–708. doi:</w:t>
      </w:r>
      <w:hyperlink r:id="rId47">
        <w:r w:rsidDel="00000000" w:rsidR="00000000" w:rsidRPr="00000000">
          <w:rPr>
            <w:rtl w:val="0"/>
          </w:rPr>
          <w:t xml:space="preserve">https://doi.org/10.1016/j.emj.2022.04.004</w:t>
        </w:r>
      </w:hyperlink>
      <w:r w:rsidDel="00000000" w:rsidR="00000000" w:rsidRPr="00000000">
        <w:rPr>
          <w:rtl w:val="0"/>
        </w:rPr>
        <w:t xml:space="preserve">.</w:t>
      </w:r>
    </w:p>
    <w:p w:rsidR="00000000" w:rsidDel="00000000" w:rsidP="00000000" w:rsidRDefault="00000000" w:rsidRPr="00000000" w14:paraId="00000102">
      <w:pPr>
        <w:widowControl w:val="0"/>
        <w:spacing w:after="240" w:lineRule="auto"/>
        <w:rPr/>
      </w:pPr>
      <w:r w:rsidDel="00000000" w:rsidR="00000000" w:rsidRPr="00000000">
        <w:rPr>
          <w:rtl w:val="0"/>
        </w:rPr>
        <w:t xml:space="preserve">Bickel, E. (2024). </w:t>
      </w:r>
      <w:r w:rsidDel="00000000" w:rsidR="00000000" w:rsidRPr="00000000">
        <w:rPr>
          <w:i w:val="1"/>
          <w:iCs w:val="1"/>
          <w:rtl w:val="0"/>
        </w:rPr>
        <w:t xml:space="preserve">Unlocking growth: 5 key electric vehicle stats for 2024 · Smartcar blog</w:t>
      </w:r>
      <w:r w:rsidDel="00000000" w:rsidR="00000000" w:rsidRPr="00000000">
        <w:rPr>
          <w:rtl w:val="0"/>
        </w:rPr>
        <w:t xml:space="preserve">. [online] smartcar.com. Available at: </w:t>
      </w:r>
      <w:hyperlink r:id="rId54">
        <w:r w:rsidDel="00000000" w:rsidR="00000000" w:rsidRPr="00000000">
          <w:rPr>
            <w:rtl w:val="0"/>
          </w:rPr>
          <w:t xml:space="preserve">https://smartcar.com/blog/2024-ev-statistic</w:t>
        </w:r>
      </w:hyperlink>
      <w:r w:rsidDel="00000000" w:rsidR="00000000" w:rsidRPr="00000000">
        <w:rPr>
          <w:rtl w:val="0"/>
        </w:rPr>
        <w:t xml:space="preserve"> [Accessed 11 Nov. 2025].</w:t>
      </w:r>
    </w:p>
    <w:p w:rsidR="00000000" w:rsidDel="00000000" w:rsidP="00000000" w:rsidRDefault="00000000" w:rsidRPr="00000000" w14:paraId="00000103">
      <w:pPr>
        <w:widowControl w:val="0"/>
        <w:spacing w:after="240" w:lineRule="auto"/>
        <w:rPr/>
      </w:pPr>
      <w:r w:rsidDel="00000000" w:rsidR="00000000" w:rsidRPr="00000000">
        <w:rPr>
          <w:rtl w:val="0"/>
        </w:rPr>
        <w:t xml:space="preserve">Bieling, Gisela, Maria, S., Ruth and Dorozalla, Florian (2015). Coping with Demographic Change in Job Markets: How Age Diversity Management Contributes to Organisational Performance. </w:t>
      </w:r>
      <w:r w:rsidDel="00000000" w:rsidR="00000000" w:rsidRPr="00000000">
        <w:rPr>
          <w:i w:val="1"/>
          <w:iCs w:val="1"/>
          <w:rtl w:val="0"/>
        </w:rPr>
        <w:t xml:space="preserve">German Journal of Human Resource Management</w:t>
      </w:r>
      <w:r w:rsidDel="00000000" w:rsidR="00000000" w:rsidRPr="00000000">
        <w:rPr>
          <w:rtl w:val="0"/>
        </w:rPr>
        <w:t xml:space="preserve">, [online] 29(1), pp.5–30. doi:</w:t>
      </w:r>
      <w:hyperlink r:id="rId60">
        <w:r w:rsidDel="00000000" w:rsidR="00000000" w:rsidRPr="00000000">
          <w:rPr>
            <w:rtl w:val="0"/>
          </w:rPr>
          <w:t xml:space="preserve">https://doi.org/10.1177/239700221502900101</w:t>
        </w:r>
      </w:hyperlink>
      <w:r w:rsidDel="00000000" w:rsidR="00000000" w:rsidRPr="00000000">
        <w:rPr>
          <w:rtl w:val="0"/>
        </w:rPr>
        <w:t xml:space="preserve">.</w:t>
      </w:r>
    </w:p>
    <w:p w:rsidR="00000000" w:rsidDel="00000000" w:rsidP="00000000" w:rsidRDefault="00000000" w:rsidRPr="00000000" w14:paraId="00000104">
      <w:pPr>
        <w:widowControl w:val="0"/>
        <w:spacing w:after="240" w:lineRule="auto"/>
        <w:rPr/>
      </w:pPr>
      <w:r w:rsidDel="00000000" w:rsidR="00000000" w:rsidRPr="00000000">
        <w:rPr>
          <w:rtl w:val="0"/>
        </w:rPr>
        <w:t xml:space="preserve">Borden, K. and Küchler, S. (2025). </w:t>
      </w:r>
      <w:r w:rsidDel="00000000" w:rsidR="00000000" w:rsidRPr="00000000">
        <w:rPr>
          <w:i w:val="1"/>
          <w:iCs w:val="1"/>
          <w:rtl w:val="0"/>
        </w:rPr>
        <w:t xml:space="preserve">Automotive product development: Accelerating to new horizons</w:t>
      </w:r>
      <w:r w:rsidDel="00000000" w:rsidR="00000000" w:rsidRPr="00000000">
        <w:rPr>
          <w:rtl w:val="0"/>
        </w:rPr>
        <w:t xml:space="preserve">. [online] McKinsey &amp; Company. Available at: </w:t>
      </w:r>
      <w:hyperlink r:id="rId66">
        <w:r w:rsidDel="00000000" w:rsidR="00000000" w:rsidRPr="00000000">
          <w:rPr>
            <w:rtl w:val="0"/>
          </w:rPr>
          <w:t xml:space="preserve">https://www.mckinsey.com/capabilities/operations/our-insights/automotive-product-development-accelerating-to-new-horizons</w:t>
        </w:r>
      </w:hyperlink>
      <w:r w:rsidDel="00000000" w:rsidR="00000000" w:rsidRPr="00000000">
        <w:rPr>
          <w:rtl w:val="0"/>
        </w:rPr>
        <w:t xml:space="preserve"> [Accessed 3 Jan. 2026].</w:t>
      </w:r>
    </w:p>
    <w:p w:rsidR="00000000" w:rsidDel="00000000" w:rsidP="00000000" w:rsidRDefault="00000000" w:rsidRPr="00000000" w14:paraId="00000105">
      <w:pPr>
        <w:widowControl w:val="0"/>
        <w:spacing w:after="240" w:lineRule="auto"/>
        <w:rPr/>
      </w:pPr>
      <w:r w:rsidDel="00000000" w:rsidR="00000000" w:rsidRPr="00000000">
        <w:rPr>
          <w:rtl w:val="0"/>
        </w:rPr>
        <w:t xml:space="preserve">Buchanan, D. and Badham, R. (2008). </w:t>
      </w:r>
      <w:r w:rsidDel="00000000" w:rsidR="00000000" w:rsidRPr="00000000">
        <w:rPr>
          <w:i w:val="1"/>
          <w:iCs w:val="1"/>
          <w:rtl w:val="0"/>
        </w:rPr>
        <w:t xml:space="preserve">Power, politics, and organizational change: Winning the turf game</w:t>
      </w:r>
      <w:r w:rsidDel="00000000" w:rsidR="00000000" w:rsidRPr="00000000">
        <w:rPr>
          <w:rtl w:val="0"/>
        </w:rPr>
        <w:t xml:space="preserve">. [online] SAGE Publications. Available at: </w:t>
      </w:r>
      <w:hyperlink r:id="rId72">
        <w:r w:rsidDel="00000000" w:rsidR="00000000" w:rsidRPr="00000000">
          <w:rPr>
            <w:rtl w:val="0"/>
          </w:rPr>
          <w:t xml:space="preserve">https://books.google.com.bd/books?id=tAvmTk8aPbMC</w:t>
        </w:r>
      </w:hyperlink>
      <w:r w:rsidDel="00000000" w:rsidR="00000000" w:rsidRPr="00000000">
        <w:rPr>
          <w:rtl w:val="0"/>
        </w:rPr>
        <w:t xml:space="preserve">.</w:t>
      </w:r>
    </w:p>
    <w:p w:rsidR="00000000" w:rsidDel="00000000" w:rsidP="00000000" w:rsidRDefault="00000000" w:rsidRPr="00000000" w14:paraId="00000106">
      <w:pPr>
        <w:widowControl w:val="0"/>
        <w:spacing w:after="240" w:lineRule="auto"/>
        <w:rPr/>
      </w:pPr>
      <w:r w:rsidDel="00000000" w:rsidR="00000000" w:rsidRPr="00000000">
        <w:rPr>
          <w:rtl w:val="0"/>
        </w:rPr>
        <w:t xml:space="preserve">Burnes, B. (2014). </w:t>
      </w:r>
      <w:r w:rsidDel="00000000" w:rsidR="00000000" w:rsidRPr="00000000">
        <w:rPr>
          <w:i w:val="1"/>
          <w:iCs w:val="1"/>
          <w:rtl w:val="0"/>
        </w:rPr>
        <w:t xml:space="preserve">Managing change</w:t>
      </w:r>
      <w:r w:rsidDel="00000000" w:rsidR="00000000" w:rsidRPr="00000000">
        <w:rPr>
          <w:rtl w:val="0"/>
        </w:rPr>
        <w:t xml:space="preserve">. [online] Pearson. Available at: </w:t>
      </w:r>
      <w:hyperlink r:id="rId79">
        <w:r w:rsidDel="00000000" w:rsidR="00000000" w:rsidRPr="00000000">
          <w:rPr>
            <w:rtl w:val="0"/>
          </w:rPr>
          <w:t xml:space="preserve">https://books.google.com.bd/books?id=Y5kcnwEACAAJ</w:t>
        </w:r>
      </w:hyperlink>
      <w:r w:rsidDel="00000000" w:rsidR="00000000" w:rsidRPr="00000000">
        <w:rPr>
          <w:rtl w:val="0"/>
        </w:rPr>
        <w:t xml:space="preserve">.</w:t>
      </w:r>
    </w:p>
    <w:p w:rsidR="00000000" w:rsidDel="00000000" w:rsidP="00000000" w:rsidRDefault="00000000" w:rsidRPr="00000000" w14:paraId="00000107">
      <w:pPr>
        <w:widowControl w:val="0"/>
        <w:spacing w:after="240" w:lineRule="auto"/>
        <w:rPr/>
      </w:pPr>
      <w:r w:rsidDel="00000000" w:rsidR="00000000" w:rsidRPr="00000000">
        <w:rPr>
          <w:rtl w:val="0"/>
        </w:rPr>
        <w:t xml:space="preserve">Cameron, E. and Green, M. (2004). </w:t>
      </w:r>
      <w:r w:rsidDel="00000000" w:rsidR="00000000" w:rsidRPr="00000000">
        <w:rPr>
          <w:i w:val="1"/>
          <w:iCs w:val="1"/>
          <w:rtl w:val="0"/>
        </w:rPr>
        <w:t xml:space="preserve">Making sense of change management: A complete guide to the models, tools &amp; techniques of organizational change</w:t>
      </w:r>
      <w:r w:rsidDel="00000000" w:rsidR="00000000" w:rsidRPr="00000000">
        <w:rPr>
          <w:rtl w:val="0"/>
        </w:rPr>
        <w:t xml:space="preserve">. [online] Kogan Page. Available at: </w:t>
      </w:r>
      <w:hyperlink r:id="rId85">
        <w:r w:rsidDel="00000000" w:rsidR="00000000" w:rsidRPr="00000000">
          <w:rPr>
            <w:rtl w:val="0"/>
          </w:rPr>
          <w:t xml:space="preserve">https://books.google.com.bd/books?id=6ntE9TLr7YYC</w:t>
        </w:r>
      </w:hyperlink>
      <w:r w:rsidDel="00000000" w:rsidR="00000000" w:rsidRPr="00000000">
        <w:rPr>
          <w:rtl w:val="0"/>
        </w:rPr>
        <w:t xml:space="preserve">.</w:t>
      </w:r>
    </w:p>
    <w:p w:rsidR="00000000" w:rsidDel="00000000" w:rsidP="00000000" w:rsidRDefault="00000000" w:rsidRPr="00000000" w14:paraId="00000108">
      <w:pPr>
        <w:widowControl w:val="0"/>
        <w:spacing w:after="240" w:lineRule="auto"/>
        <w:rPr/>
      </w:pPr>
      <w:r w:rsidDel="00000000" w:rsidR="00000000" w:rsidRPr="00000000">
        <w:rPr>
          <w:rtl w:val="0"/>
        </w:rPr>
        <w:t xml:space="preserve">Chari, M. and Fernandes, V. (2025). Strategy as What a Business Should Do Over Time to Succeed: A Case Study of Tesla, Inc. </w:t>
      </w:r>
      <w:r w:rsidDel="00000000" w:rsidR="00000000" w:rsidRPr="00000000">
        <w:rPr>
          <w:i w:val="1"/>
          <w:iCs w:val="1"/>
          <w:rtl w:val="0"/>
        </w:rPr>
        <w:t xml:space="preserve">American Business Review</w:t>
      </w:r>
      <w:r w:rsidDel="00000000" w:rsidR="00000000" w:rsidRPr="00000000">
        <w:rPr>
          <w:rtl w:val="0"/>
        </w:rPr>
        <w:t xml:space="preserve">, 28(1), pp.319–343. doi:</w:t>
      </w:r>
      <w:hyperlink r:id="rId91">
        <w:r w:rsidDel="00000000" w:rsidR="00000000" w:rsidRPr="00000000">
          <w:rPr>
            <w:rtl w:val="0"/>
          </w:rPr>
          <w:t xml:space="preserve">https://doi.org/10.37625/abr.28.1.319-343</w:t>
        </w:r>
      </w:hyperlink>
      <w:r w:rsidDel="00000000" w:rsidR="00000000" w:rsidRPr="00000000">
        <w:rPr>
          <w:rtl w:val="0"/>
        </w:rPr>
        <w:t xml:space="preserve">.</w:t>
      </w:r>
    </w:p>
    <w:p w:rsidR="00000000" w:rsidDel="00000000" w:rsidP="00000000" w:rsidRDefault="00000000" w:rsidRPr="00000000" w14:paraId="00000109">
      <w:pPr>
        <w:widowControl w:val="0"/>
        <w:spacing w:after="240" w:lineRule="auto"/>
        <w:rPr/>
      </w:pPr>
      <w:r w:rsidDel="00000000" w:rsidR="00000000" w:rsidRPr="00000000">
        <w:rPr>
          <w:rtl w:val="0"/>
        </w:rPr>
        <w:t xml:space="preserve">Colias, M. (2025). </w:t>
      </w:r>
      <w:r w:rsidDel="00000000" w:rsidR="00000000" w:rsidRPr="00000000">
        <w:rPr>
          <w:i w:val="1"/>
          <w:iCs w:val="1"/>
          <w:rtl w:val="0"/>
        </w:rPr>
        <w:t xml:space="preserve">What the EV Industry’s Challenges Reveal About Innovation and Regulation</w:t>
      </w:r>
      <w:r w:rsidDel="00000000" w:rsidR="00000000" w:rsidRPr="00000000">
        <w:rPr>
          <w:rtl w:val="0"/>
        </w:rPr>
        <w:t xml:space="preserve">. [online] Harvard Business Review. Available at: </w:t>
      </w:r>
      <w:hyperlink r:id="rId97">
        <w:r w:rsidDel="00000000" w:rsidR="00000000" w:rsidRPr="00000000">
          <w:rPr>
            <w:rtl w:val="0"/>
          </w:rPr>
          <w:t xml:space="preserve">https://hbr.org/podcast/2025/02/what-the-ev-industrys-challenges-reveal-about-innovation-and-regulation</w:t>
        </w:r>
      </w:hyperlink>
      <w:r w:rsidDel="00000000" w:rsidR="00000000" w:rsidRPr="00000000">
        <w:rPr>
          <w:rtl w:val="0"/>
        </w:rPr>
        <w:t xml:space="preserve"> [Accessed 11 Nov. 2025].</w:t>
      </w:r>
    </w:p>
    <w:p w:rsidR="00000000" w:rsidDel="00000000" w:rsidP="00000000" w:rsidRDefault="00000000" w:rsidRPr="00000000" w14:paraId="0000010A">
      <w:pPr>
        <w:widowControl w:val="0"/>
        <w:spacing w:after="240" w:lineRule="auto"/>
        <w:rPr/>
      </w:pPr>
      <w:r w:rsidDel="00000000" w:rsidR="00000000" w:rsidRPr="00000000">
        <w:rPr>
          <w:rtl w:val="0"/>
        </w:rPr>
        <w:t xml:space="preserve">Collinson, S., Narula, R. and Rugman, A.M. (2020). </w:t>
      </w:r>
      <w:r w:rsidDel="00000000" w:rsidR="00000000" w:rsidRPr="00000000">
        <w:rPr>
          <w:i w:val="1"/>
          <w:iCs w:val="1"/>
          <w:rtl w:val="0"/>
        </w:rPr>
        <w:t xml:space="preserve">International business</w:t>
      </w:r>
      <w:r w:rsidDel="00000000" w:rsidR="00000000" w:rsidRPr="00000000">
        <w:rPr>
          <w:rtl w:val="0"/>
        </w:rPr>
        <w:t xml:space="preserve">. 8th ed. [online] Harlow, UK: Pearson. Available at: </w:t>
      </w:r>
      <w:hyperlink r:id="rId102">
        <w:r w:rsidDel="00000000" w:rsidR="00000000" w:rsidRPr="00000000">
          <w:rPr>
            <w:rtl w:val="0"/>
          </w:rPr>
          <w:t xml:space="preserve">https://books.google.com.bd/books?id=deosEAAAQBAJ</w:t>
        </w:r>
      </w:hyperlink>
      <w:r w:rsidDel="00000000" w:rsidR="00000000" w:rsidRPr="00000000">
        <w:rPr>
          <w:rtl w:val="0"/>
        </w:rPr>
        <w:t xml:space="preserve">.</w:t>
      </w:r>
    </w:p>
    <w:p w:rsidR="00000000" w:rsidDel="00000000" w:rsidP="00000000" w:rsidRDefault="00000000" w:rsidRPr="00000000" w14:paraId="0000010B">
      <w:pPr>
        <w:widowControl w:val="0"/>
        <w:spacing w:after="240" w:lineRule="auto"/>
        <w:rPr/>
      </w:pPr>
      <w:r w:rsidDel="00000000" w:rsidR="00000000" w:rsidRPr="00000000">
        <w:rPr>
          <w:rtl w:val="0"/>
        </w:rPr>
        <w:t xml:space="preserve">Cox Automotive Inc. (2025a). </w:t>
      </w:r>
      <w:r w:rsidDel="00000000" w:rsidR="00000000" w:rsidRPr="00000000">
        <w:rPr>
          <w:i w:val="1"/>
          <w:iCs w:val="1"/>
          <w:rtl w:val="0"/>
        </w:rPr>
        <w:t xml:space="preserve">Cox Automotive Forecast: Despite Q4 Slowdown, New-Vehicle Sales Forecast to Reach 16.3 Million in 2025, up Nearly 2% from 2024; Best Result Since 2019 - Cox Automotive Inc.</w:t>
      </w:r>
      <w:r w:rsidDel="00000000" w:rsidR="00000000" w:rsidRPr="00000000">
        <w:rPr>
          <w:rtl w:val="0"/>
        </w:rPr>
        <w:t xml:space="preserve"> [online] Available at: </w:t>
      </w:r>
      <w:hyperlink r:id="rId103">
        <w:r w:rsidDel="00000000" w:rsidR="00000000" w:rsidRPr="00000000">
          <w:rPr>
            <w:rtl w:val="0"/>
          </w:rPr>
          <w:t xml:space="preserve">https://www.coxautoinc.com/insights-hub/cox-automotive-forecast-dec-2025-u-s-auto-sales-forecast/</w:t>
        </w:r>
      </w:hyperlink>
      <w:r w:rsidDel="00000000" w:rsidR="00000000" w:rsidRPr="00000000">
        <w:rPr>
          <w:rtl w:val="0"/>
        </w:rPr>
        <w:t xml:space="preserve"> [Accessed 3 Jan. 2026].</w:t>
      </w:r>
    </w:p>
    <w:p w:rsidR="00000000" w:rsidDel="00000000" w:rsidP="00000000" w:rsidRDefault="00000000" w:rsidRPr="00000000" w14:paraId="0000010C">
      <w:pPr>
        <w:widowControl w:val="0"/>
        <w:spacing w:after="240" w:lineRule="auto"/>
        <w:rPr/>
      </w:pPr>
      <w:r w:rsidDel="00000000" w:rsidR="00000000" w:rsidRPr="00000000">
        <w:rPr>
          <w:rtl w:val="0"/>
        </w:rPr>
        <w:t xml:space="preserve">Cox Automotive Inc. (2025b). </w:t>
      </w:r>
      <w:r w:rsidDel="00000000" w:rsidR="00000000" w:rsidRPr="00000000">
        <w:rPr>
          <w:i w:val="1"/>
          <w:iCs w:val="1"/>
          <w:rtl w:val="0"/>
        </w:rPr>
        <w:t xml:space="preserve">EV Market Monitor – November 2025 - Cox Automotive Inc.</w:t>
      </w:r>
      <w:r w:rsidDel="00000000" w:rsidR="00000000" w:rsidRPr="00000000">
        <w:rPr>
          <w:rtl w:val="0"/>
        </w:rPr>
        <w:t xml:space="preserve"> [online] Available at: </w:t>
      </w:r>
      <w:hyperlink r:id="rId104">
        <w:r w:rsidDel="00000000" w:rsidR="00000000" w:rsidRPr="00000000">
          <w:rPr>
            <w:rtl w:val="0"/>
          </w:rPr>
          <w:t xml:space="preserve">https://www.coxautoinc.com/insights-hub/ev-market-monitor-november-2025/</w:t>
        </w:r>
      </w:hyperlink>
      <w:r w:rsidDel="00000000" w:rsidR="00000000" w:rsidRPr="00000000">
        <w:rPr>
          <w:rtl w:val="0"/>
        </w:rPr>
        <w:t xml:space="preserve"> [Accessed 3 Jan. 2026].</w:t>
      </w:r>
    </w:p>
    <w:p w:rsidR="00000000" w:rsidDel="00000000" w:rsidP="00000000" w:rsidRDefault="00000000" w:rsidRPr="00000000" w14:paraId="0000010D">
      <w:pPr>
        <w:widowControl w:val="0"/>
        <w:spacing w:after="240" w:lineRule="auto"/>
        <w:rPr/>
      </w:pPr>
      <w:r w:rsidDel="00000000" w:rsidR="00000000" w:rsidRPr="00000000">
        <w:rPr>
          <w:rtl w:val="0"/>
        </w:rPr>
        <w:t xml:space="preserve">Daniels, J., Radebaugh, L., Sullivan, D. and Click, R. (2021). </w:t>
      </w:r>
      <w:r w:rsidDel="00000000" w:rsidR="00000000" w:rsidRPr="00000000">
        <w:rPr>
          <w:i w:val="1"/>
          <w:iCs w:val="1"/>
          <w:rtl w:val="0"/>
        </w:rPr>
        <w:t xml:space="preserve">International business</w:t>
      </w:r>
      <w:r w:rsidDel="00000000" w:rsidR="00000000" w:rsidRPr="00000000">
        <w:rPr>
          <w:rtl w:val="0"/>
        </w:rPr>
        <w:t xml:space="preserve">. 17th ed. [online] Harlow, UK: Pearson Education. Available at: </w:t>
      </w:r>
      <w:hyperlink r:id="rId105">
        <w:r w:rsidDel="00000000" w:rsidR="00000000" w:rsidRPr="00000000">
          <w:rPr>
            <w:rtl w:val="0"/>
          </w:rPr>
          <w:t xml:space="preserve">https://books.google.com.bd/books?id=leNGzwEACAAJ</w:t>
        </w:r>
      </w:hyperlink>
      <w:r w:rsidDel="00000000" w:rsidR="00000000" w:rsidRPr="00000000">
        <w:rPr>
          <w:rtl w:val="0"/>
        </w:rPr>
        <w:t xml:space="preserve">.</w:t>
      </w:r>
    </w:p>
    <w:p w:rsidR="00000000" w:rsidDel="00000000" w:rsidP="00000000" w:rsidRDefault="00000000" w:rsidRPr="00000000" w14:paraId="0000010E">
      <w:pPr>
        <w:widowControl w:val="0"/>
        <w:spacing w:after="240" w:lineRule="auto"/>
        <w:rPr/>
      </w:pPr>
      <w:r w:rsidDel="00000000" w:rsidR="00000000" w:rsidRPr="00000000">
        <w:rPr>
          <w:rtl w:val="0"/>
        </w:rPr>
        <w:t xml:space="preserve">DeLollis, B. and Justice, G. (2024). </w:t>
      </w:r>
      <w:r w:rsidDel="00000000" w:rsidR="00000000" w:rsidRPr="00000000">
        <w:rPr>
          <w:i w:val="1"/>
          <w:iCs w:val="1"/>
          <w:rtl w:val="0"/>
        </w:rPr>
        <w:t xml:space="preserve">The state of EV charging in America: Harvard research shows chargers 78% reliable and pricing like the ‘Wild West’ | Institute for Business in Global Society</w:t>
      </w:r>
      <w:r w:rsidDel="00000000" w:rsidR="00000000" w:rsidRPr="00000000">
        <w:rPr>
          <w:rtl w:val="0"/>
        </w:rPr>
        <w:t xml:space="preserve">. [online] Harvard Business School. Available at: </w:t>
      </w:r>
      <w:hyperlink r:id="rId106">
        <w:r w:rsidDel="00000000" w:rsidR="00000000" w:rsidRPr="00000000">
          <w:rPr>
            <w:rtl w:val="0"/>
          </w:rPr>
          <w:t xml:space="preserve">https://www.hbs.edu/bigs/the-state-of-ev-charging-in-america</w:t>
        </w:r>
      </w:hyperlink>
      <w:r w:rsidDel="00000000" w:rsidR="00000000" w:rsidRPr="00000000">
        <w:rPr>
          <w:rtl w:val="0"/>
        </w:rPr>
        <w:t xml:space="preserve"> [Accessed 11 Nov. 2025].</w:t>
      </w:r>
    </w:p>
    <w:p w:rsidR="00000000" w:rsidDel="00000000" w:rsidP="00000000" w:rsidRDefault="00000000" w:rsidRPr="00000000" w14:paraId="0000010F">
      <w:pPr>
        <w:widowControl w:val="0"/>
        <w:spacing w:after="240" w:lineRule="auto"/>
        <w:rPr/>
      </w:pPr>
      <w:r w:rsidDel="00000000" w:rsidR="00000000" w:rsidRPr="00000000">
        <w:rPr>
          <w:rtl w:val="0"/>
        </w:rPr>
        <w:t xml:space="preserve">Ding, J.-M. and Lee, E.-S. (2023). Analyzing Tesla’s International Business Strategies: A Closer Look at the Korean and Chinese Markets. </w:t>
      </w:r>
      <w:r w:rsidDel="00000000" w:rsidR="00000000" w:rsidRPr="00000000">
        <w:rPr>
          <w:i w:val="1"/>
          <w:iCs w:val="1"/>
          <w:rtl w:val="0"/>
        </w:rPr>
        <w:t xml:space="preserve">The Journal of Economics, Marketing and Management</w:t>
      </w:r>
      <w:r w:rsidDel="00000000" w:rsidR="00000000" w:rsidRPr="00000000">
        <w:rPr>
          <w:rtl w:val="0"/>
        </w:rPr>
        <w:t xml:space="preserve">, [online] 11(5), pp.15–27. Available at: </w:t>
      </w:r>
      <w:hyperlink r:id="rId107">
        <w:r w:rsidDel="00000000" w:rsidR="00000000" w:rsidRPr="00000000">
          <w:rPr>
            <w:rtl w:val="0"/>
          </w:rPr>
          <w:t xml:space="preserve">http://koreascience.or.kr/article/JAKO202329757604681.page</w:t>
        </w:r>
      </w:hyperlink>
      <w:r w:rsidDel="00000000" w:rsidR="00000000" w:rsidRPr="00000000">
        <w:rPr>
          <w:rtl w:val="0"/>
        </w:rPr>
        <w:t xml:space="preserve"> [Accessed 11 Nov. 2025].</w:t>
      </w:r>
    </w:p>
    <w:p w:rsidR="00000000" w:rsidDel="00000000" w:rsidP="00000000" w:rsidRDefault="00000000" w:rsidRPr="00000000" w14:paraId="00000110">
      <w:pPr>
        <w:widowControl w:val="0"/>
        <w:spacing w:after="240" w:lineRule="auto"/>
        <w:rPr/>
      </w:pPr>
      <w:r w:rsidDel="00000000" w:rsidR="00000000" w:rsidRPr="00000000">
        <w:rPr>
          <w:rtl w:val="0"/>
        </w:rPr>
        <w:t xml:space="preserve">EU Publications (2024). </w:t>
      </w:r>
      <w:r w:rsidDel="00000000" w:rsidR="00000000" w:rsidRPr="00000000">
        <w:rPr>
          <w:i w:val="1"/>
          <w:iCs w:val="1"/>
          <w:rtl w:val="0"/>
        </w:rPr>
        <w:t xml:space="preserve">The future of European electric vehicles</w:t>
      </w:r>
      <w:r w:rsidDel="00000000" w:rsidR="00000000" w:rsidRPr="00000000">
        <w:rPr>
          <w:rtl w:val="0"/>
        </w:rPr>
        <w:t xml:space="preserve">. European Parliament. doi:</w:t>
      </w:r>
      <w:hyperlink r:id="rId108">
        <w:r w:rsidDel="00000000" w:rsidR="00000000" w:rsidRPr="00000000">
          <w:rPr>
            <w:rtl w:val="0"/>
          </w:rPr>
          <w:t xml:space="preserve">https://doi.org/doi/10.2861/1724777</w:t>
        </w:r>
      </w:hyperlink>
      <w:r w:rsidDel="00000000" w:rsidR="00000000" w:rsidRPr="00000000">
        <w:rPr>
          <w:rtl w:val="0"/>
        </w:rPr>
        <w:t xml:space="preserve">.</w:t>
      </w:r>
    </w:p>
    <w:p w:rsidR="00000000" w:rsidDel="00000000" w:rsidP="00000000" w:rsidRDefault="00000000" w:rsidRPr="00000000" w14:paraId="00000111">
      <w:pPr>
        <w:widowControl w:val="0"/>
        <w:spacing w:after="240" w:lineRule="auto"/>
        <w:rPr/>
      </w:pPr>
      <w:r w:rsidDel="00000000" w:rsidR="00000000" w:rsidRPr="00000000">
        <w:rPr>
          <w:rtl w:val="0"/>
        </w:rPr>
        <w:t xml:space="preserve">Fedotov, P. (2022). Critical analysis of the electric vehicle industry. </w:t>
      </w:r>
      <w:r w:rsidDel="00000000" w:rsidR="00000000" w:rsidRPr="00000000">
        <w:rPr>
          <w:i w:val="1"/>
          <w:iCs w:val="1"/>
          <w:rtl w:val="0"/>
        </w:rPr>
        <w:t xml:space="preserve">Exchanges: the Interdisciplinary Research Journal</w:t>
      </w:r>
      <w:r w:rsidDel="00000000" w:rsidR="00000000" w:rsidRPr="00000000">
        <w:rPr>
          <w:rtl w:val="0"/>
        </w:rPr>
        <w:t xml:space="preserve">, [online] 10(1), pp.43–56. doi:</w:t>
      </w:r>
      <w:hyperlink r:id="rId109">
        <w:r w:rsidDel="00000000" w:rsidR="00000000" w:rsidRPr="00000000">
          <w:rPr>
            <w:rtl w:val="0"/>
          </w:rPr>
          <w:t xml:space="preserve">https://doi.org/10.31273/eirj.v10i1.362</w:t>
        </w:r>
      </w:hyperlink>
      <w:r w:rsidDel="00000000" w:rsidR="00000000" w:rsidRPr="00000000">
        <w:rPr>
          <w:rtl w:val="0"/>
        </w:rPr>
        <w:t xml:space="preserve">.</w:t>
      </w:r>
    </w:p>
    <w:p w:rsidR="00000000" w:rsidDel="00000000" w:rsidP="00000000" w:rsidRDefault="00000000" w:rsidRPr="00000000" w14:paraId="00000112">
      <w:pPr>
        <w:widowControl w:val="0"/>
        <w:spacing w:after="240" w:lineRule="auto"/>
        <w:rPr/>
      </w:pPr>
      <w:r w:rsidDel="00000000" w:rsidR="00000000" w:rsidRPr="00000000">
        <w:rPr>
          <w:rtl w:val="0"/>
        </w:rPr>
        <w:t xml:space="preserve">Foreman, J., Donthu, N., Henson, S. and Poddar, A. (2014). The Performance Implications of Planning, Implementation, and Evolution of Firms’ Customer and Competitor Orientations. </w:t>
      </w:r>
      <w:r w:rsidDel="00000000" w:rsidR="00000000" w:rsidRPr="00000000">
        <w:rPr>
          <w:i w:val="1"/>
          <w:iCs w:val="1"/>
          <w:rtl w:val="0"/>
        </w:rPr>
        <w:t xml:space="preserve">Journal of Marketing Theory and Practice</w:t>
      </w:r>
      <w:r w:rsidDel="00000000" w:rsidR="00000000" w:rsidRPr="00000000">
        <w:rPr>
          <w:rtl w:val="0"/>
        </w:rPr>
        <w:t xml:space="preserve">, [online] 22(4), pp.349–366. doi:</w:t>
      </w:r>
      <w:hyperlink r:id="rId110">
        <w:r w:rsidDel="00000000" w:rsidR="00000000" w:rsidRPr="00000000">
          <w:rPr>
            <w:rtl w:val="0"/>
          </w:rPr>
          <w:t xml:space="preserve">https://doi.org/10.2753/MTP10696679220401</w:t>
        </w:r>
      </w:hyperlink>
      <w:r w:rsidDel="00000000" w:rsidR="00000000" w:rsidRPr="00000000">
        <w:rPr>
          <w:rtl w:val="0"/>
        </w:rPr>
        <w:t xml:space="preserve">.</w:t>
      </w:r>
    </w:p>
    <w:p w:rsidR="00000000" w:rsidDel="00000000" w:rsidP="00000000" w:rsidRDefault="00000000" w:rsidRPr="00000000" w14:paraId="00000113">
      <w:pPr>
        <w:widowControl w:val="0"/>
        <w:spacing w:after="240" w:lineRule="auto"/>
        <w:rPr/>
      </w:pPr>
      <w:r w:rsidDel="00000000" w:rsidR="00000000" w:rsidRPr="00000000">
        <w:rPr>
          <w:rtl w:val="0"/>
        </w:rPr>
        <w:t xml:space="preserve">Gao, Y. (2023). A Study of Tesla’s International Marketing Strategy Based on the STEPPS Model. </w:t>
      </w:r>
      <w:r w:rsidDel="00000000" w:rsidR="00000000" w:rsidRPr="00000000">
        <w:rPr>
          <w:i w:val="1"/>
          <w:iCs w:val="1"/>
          <w:rtl w:val="0"/>
        </w:rPr>
        <w:t xml:space="preserve">Highlights in Business, Economics and Management</w:t>
      </w:r>
      <w:r w:rsidDel="00000000" w:rsidR="00000000" w:rsidRPr="00000000">
        <w:rPr>
          <w:rtl w:val="0"/>
        </w:rPr>
        <w:t xml:space="preserve">, [online] 23, pp.971–979. doi:</w:t>
      </w:r>
      <w:hyperlink r:id="rId111">
        <w:r w:rsidDel="00000000" w:rsidR="00000000" w:rsidRPr="00000000">
          <w:rPr>
            <w:rtl w:val="0"/>
          </w:rPr>
          <w:t xml:space="preserve">https://doi.org/10.54097/es6rry79</w:t>
        </w:r>
      </w:hyperlink>
      <w:r w:rsidDel="00000000" w:rsidR="00000000" w:rsidRPr="00000000">
        <w:rPr>
          <w:rtl w:val="0"/>
        </w:rPr>
        <w:t xml:space="preserve">.</w:t>
      </w:r>
    </w:p>
    <w:p w:rsidR="00000000" w:rsidDel="00000000" w:rsidP="00000000" w:rsidRDefault="00000000" w:rsidRPr="00000000" w14:paraId="00000114">
      <w:pPr>
        <w:widowControl w:val="0"/>
        <w:spacing w:after="240" w:lineRule="auto"/>
        <w:rPr/>
      </w:pPr>
      <w:r w:rsidDel="00000000" w:rsidR="00000000" w:rsidRPr="00000000">
        <w:rPr>
          <w:rtl w:val="0"/>
        </w:rPr>
        <w:t xml:space="preserve">Ghar, S. (2024). Tesla’s International Business Strategy. </w:t>
      </w:r>
      <w:r w:rsidDel="00000000" w:rsidR="00000000" w:rsidRPr="00000000">
        <w:rPr>
          <w:i w:val="1"/>
          <w:iCs w:val="1"/>
          <w:rtl w:val="0"/>
        </w:rPr>
        <w:t xml:space="preserve">International Journal for Research in Engineering Application &amp; Management (IJREAM)</w:t>
      </w:r>
      <w:r w:rsidDel="00000000" w:rsidR="00000000" w:rsidRPr="00000000">
        <w:rPr>
          <w:rtl w:val="0"/>
        </w:rPr>
        <w:t xml:space="preserve">, [online] 10(2), pp.71–83. doi:</w:t>
      </w:r>
      <w:hyperlink r:id="rId112">
        <w:r w:rsidDel="00000000" w:rsidR="00000000" w:rsidRPr="00000000">
          <w:rPr>
            <w:rtl w:val="0"/>
          </w:rPr>
          <w:t xml:space="preserve">https://doi.org/10.2139/ssrn.5258192</w:t>
        </w:r>
      </w:hyperlink>
      <w:r w:rsidDel="00000000" w:rsidR="00000000" w:rsidRPr="00000000">
        <w:rPr>
          <w:rtl w:val="0"/>
        </w:rPr>
        <w:t xml:space="preserve">.</w:t>
      </w:r>
    </w:p>
    <w:p w:rsidR="00000000" w:rsidDel="00000000" w:rsidP="00000000" w:rsidRDefault="00000000" w:rsidRPr="00000000" w14:paraId="00000115">
      <w:pPr>
        <w:widowControl w:val="0"/>
        <w:spacing w:after="240" w:lineRule="auto"/>
        <w:rPr/>
      </w:pPr>
      <w:r w:rsidDel="00000000" w:rsidR="00000000" w:rsidRPr="00000000">
        <w:rPr>
          <w:rtl w:val="0"/>
        </w:rPr>
        <w:t xml:space="preserve">Gray, C.E., Spector, P.E., Wells, J.E., Bianchi, S.R., OcanaDominguez, C., Stringer, C., Sarmiento, J. and Butler, T. (2023). How Can Organizational Leaders Help? Examining the Effectiveness of Leaders’ Support During a Crisis. </w:t>
      </w:r>
      <w:r w:rsidDel="00000000" w:rsidR="00000000" w:rsidRPr="00000000">
        <w:rPr>
          <w:i w:val="1"/>
          <w:iCs w:val="1"/>
          <w:rtl w:val="0"/>
        </w:rPr>
        <w:t xml:space="preserve">Journal of Business and Psychology</w:t>
      </w:r>
      <w:r w:rsidDel="00000000" w:rsidR="00000000" w:rsidRPr="00000000">
        <w:rPr>
          <w:rtl w:val="0"/>
        </w:rPr>
        <w:t xml:space="preserve">, [online] 38(1), pp.215–237. doi:</w:t>
      </w:r>
      <w:hyperlink r:id="rId113">
        <w:r w:rsidDel="00000000" w:rsidR="00000000" w:rsidRPr="00000000">
          <w:rPr>
            <w:rtl w:val="0"/>
          </w:rPr>
          <w:t xml:space="preserve">https://doi.org/10.1007/s10869022098106</w:t>
        </w:r>
      </w:hyperlink>
      <w:r w:rsidDel="00000000" w:rsidR="00000000" w:rsidRPr="00000000">
        <w:rPr>
          <w:rtl w:val="0"/>
        </w:rPr>
        <w:t xml:space="preserve">.</w:t>
      </w:r>
    </w:p>
    <w:p w:rsidR="00000000" w:rsidDel="00000000" w:rsidP="00000000" w:rsidRDefault="00000000" w:rsidRPr="00000000" w14:paraId="00000116">
      <w:pPr>
        <w:widowControl w:val="0"/>
        <w:spacing w:after="240" w:lineRule="auto"/>
        <w:rPr/>
      </w:pPr>
      <w:r w:rsidDel="00000000" w:rsidR="00000000" w:rsidRPr="00000000">
        <w:rPr>
          <w:rtl w:val="0"/>
        </w:rPr>
        <w:t xml:space="preserve">Harding, R. (2024). </w:t>
      </w:r>
      <w:r w:rsidDel="00000000" w:rsidR="00000000" w:rsidRPr="00000000">
        <w:rPr>
          <w:i w:val="1"/>
          <w:iCs w:val="1"/>
          <w:rtl w:val="0"/>
        </w:rPr>
        <w:t xml:space="preserve">Has China already won the EV race?</w:t>
      </w:r>
      <w:r w:rsidDel="00000000" w:rsidR="00000000" w:rsidRPr="00000000">
        <w:rPr>
          <w:rtl w:val="0"/>
        </w:rPr>
        <w:t xml:space="preserve"> [online] @FinancialTimes. Available at: </w:t>
      </w:r>
      <w:hyperlink r:id="rId114">
        <w:r w:rsidDel="00000000" w:rsidR="00000000" w:rsidRPr="00000000">
          <w:rPr>
            <w:rtl w:val="0"/>
          </w:rPr>
          <w:t xml:space="preserve">https://www.ft.com/content/faa69e29-bc47-46ae-80c7-8240d0aae9e6</w:t>
        </w:r>
      </w:hyperlink>
      <w:r w:rsidDel="00000000" w:rsidR="00000000" w:rsidRPr="00000000">
        <w:rPr>
          <w:rtl w:val="0"/>
        </w:rPr>
        <w:t xml:space="preserve"> [Accessed 11 Nov. 2025].</w:t>
      </w:r>
    </w:p>
    <w:p w:rsidR="00000000" w:rsidDel="00000000" w:rsidP="00000000" w:rsidRDefault="00000000" w:rsidRPr="00000000" w14:paraId="00000117">
      <w:pPr>
        <w:widowControl w:val="0"/>
        <w:spacing w:after="240" w:lineRule="auto"/>
        <w:rPr/>
      </w:pPr>
      <w:r w:rsidDel="00000000" w:rsidR="00000000" w:rsidRPr="00000000">
        <w:rPr>
          <w:rtl w:val="0"/>
        </w:rPr>
        <w:t xml:space="preserve">Hayes, J. (2022). </w:t>
      </w:r>
      <w:r w:rsidDel="00000000" w:rsidR="00000000" w:rsidRPr="00000000">
        <w:rPr>
          <w:i w:val="1"/>
          <w:iCs w:val="1"/>
          <w:rtl w:val="0"/>
        </w:rPr>
        <w:t xml:space="preserve">The theory and practice of change management</w:t>
      </w:r>
      <w:r w:rsidDel="00000000" w:rsidR="00000000" w:rsidRPr="00000000">
        <w:rPr>
          <w:rtl w:val="0"/>
        </w:rPr>
        <w:t xml:space="preserve">. [online] Bloomsbury Academic. Available at: </w:t>
      </w:r>
      <w:hyperlink r:id="rId115">
        <w:r w:rsidDel="00000000" w:rsidR="00000000" w:rsidRPr="00000000">
          <w:rPr>
            <w:rtl w:val="0"/>
          </w:rPr>
          <w:t xml:space="preserve">https://books.google.com.bd/books?id=4Gp9zgEACAAJ</w:t>
        </w:r>
      </w:hyperlink>
      <w:r w:rsidDel="00000000" w:rsidR="00000000" w:rsidRPr="00000000">
        <w:rPr>
          <w:rtl w:val="0"/>
        </w:rPr>
        <w:t xml:space="preserve">.</w:t>
      </w:r>
    </w:p>
    <w:p w:rsidR="00000000" w:rsidDel="00000000" w:rsidP="00000000" w:rsidRDefault="00000000" w:rsidRPr="00000000" w14:paraId="00000118">
      <w:pPr>
        <w:widowControl w:val="0"/>
        <w:spacing w:after="240" w:lineRule="auto"/>
        <w:rPr/>
      </w:pPr>
      <w:r w:rsidDel="00000000" w:rsidR="00000000" w:rsidRPr="00000000">
        <w:rPr>
          <w:rtl w:val="0"/>
        </w:rPr>
        <w:t xml:space="preserve">Hong, J. (2024). Competitive Strategies and Market Positions of Global Automotive Giants: Toyota, Tesla, and BMW. </w:t>
      </w:r>
      <w:r w:rsidDel="00000000" w:rsidR="00000000" w:rsidRPr="00000000">
        <w:rPr>
          <w:i w:val="1"/>
          <w:iCs w:val="1"/>
          <w:rtl w:val="0"/>
        </w:rPr>
        <w:t xml:space="preserve">Modern Management Science &amp; Engineering</w:t>
      </w:r>
      <w:r w:rsidDel="00000000" w:rsidR="00000000" w:rsidRPr="00000000">
        <w:rPr>
          <w:rtl w:val="0"/>
        </w:rPr>
        <w:t xml:space="preserve">, [online] 6(2), pp.p53–p53. doi:</w:t>
      </w:r>
      <w:hyperlink r:id="rId116">
        <w:r w:rsidDel="00000000" w:rsidR="00000000" w:rsidRPr="00000000">
          <w:rPr>
            <w:rtl w:val="0"/>
          </w:rPr>
          <w:t xml:space="preserve">https://doi.org/10.22158/mmse.v6n2p53</w:t>
        </w:r>
      </w:hyperlink>
      <w:r w:rsidDel="00000000" w:rsidR="00000000" w:rsidRPr="00000000">
        <w:rPr>
          <w:rtl w:val="0"/>
        </w:rPr>
        <w:t xml:space="preserve">.</w:t>
      </w:r>
    </w:p>
    <w:p w:rsidR="00000000" w:rsidDel="00000000" w:rsidP="00000000" w:rsidRDefault="00000000" w:rsidRPr="00000000" w14:paraId="00000119">
      <w:pPr>
        <w:widowControl w:val="0"/>
        <w:spacing w:after="240" w:lineRule="auto"/>
        <w:rPr/>
      </w:pPr>
      <w:r w:rsidDel="00000000" w:rsidR="00000000" w:rsidRPr="00000000">
        <w:rPr>
          <w:rtl w:val="0"/>
        </w:rPr>
        <w:t xml:space="preserve">Huang, J., Jiang, X. and Wang, Y. (2023). Research on Tesla’s Pricing Strategy in China Based on Bertrand Game and SWOT Analysis. </w:t>
      </w:r>
      <w:r w:rsidDel="00000000" w:rsidR="00000000" w:rsidRPr="00000000">
        <w:rPr>
          <w:i w:val="1"/>
          <w:iCs w:val="1"/>
          <w:rtl w:val="0"/>
        </w:rPr>
        <w:t xml:space="preserve">BCP Business &amp; Management</w:t>
      </w:r>
      <w:r w:rsidDel="00000000" w:rsidR="00000000" w:rsidRPr="00000000">
        <w:rPr>
          <w:rtl w:val="0"/>
        </w:rPr>
        <w:t xml:space="preserve">, 38, pp.1373–1379. doi:</w:t>
      </w:r>
      <w:hyperlink r:id="rId117">
        <w:r w:rsidDel="00000000" w:rsidR="00000000" w:rsidRPr="00000000">
          <w:rPr>
            <w:rtl w:val="0"/>
          </w:rPr>
          <w:t xml:space="preserve">https://doi.org/10.54691/bcpbm.v38i.3899</w:t>
        </w:r>
      </w:hyperlink>
      <w:r w:rsidDel="00000000" w:rsidR="00000000" w:rsidRPr="00000000">
        <w:rPr>
          <w:rtl w:val="0"/>
        </w:rPr>
        <w:t xml:space="preserve">.</w:t>
      </w:r>
    </w:p>
    <w:p w:rsidR="00000000" w:rsidDel="00000000" w:rsidP="00000000" w:rsidRDefault="00000000" w:rsidRPr="00000000" w14:paraId="0000011A">
      <w:pPr>
        <w:widowControl w:val="0"/>
        <w:spacing w:after="240" w:lineRule="auto"/>
        <w:rPr/>
      </w:pPr>
      <w:r w:rsidDel="00000000" w:rsidR="00000000" w:rsidRPr="00000000">
        <w:rPr>
          <w:rtl w:val="0"/>
        </w:rPr>
        <w:t xml:space="preserve">IEA (2025). </w:t>
      </w:r>
      <w:r w:rsidDel="00000000" w:rsidR="00000000" w:rsidRPr="00000000">
        <w:rPr>
          <w:i w:val="1"/>
          <w:iCs w:val="1"/>
          <w:rtl w:val="0"/>
        </w:rPr>
        <w:t xml:space="preserve">Global EV Outlook 2025 – Analysis - IEA</w:t>
      </w:r>
      <w:r w:rsidDel="00000000" w:rsidR="00000000" w:rsidRPr="00000000">
        <w:rPr>
          <w:rtl w:val="0"/>
        </w:rPr>
        <w:t xml:space="preserve">. [online] IEA. Available at: </w:t>
      </w:r>
      <w:hyperlink r:id="rId118">
        <w:r w:rsidDel="00000000" w:rsidR="00000000" w:rsidRPr="00000000">
          <w:rPr>
            <w:rtl w:val="0"/>
          </w:rPr>
          <w:t xml:space="preserve">https://www.iea.org/reports/global-ev-outlook-2025</w:t>
        </w:r>
      </w:hyperlink>
      <w:r w:rsidDel="00000000" w:rsidR="00000000" w:rsidRPr="00000000">
        <w:rPr>
          <w:rtl w:val="0"/>
        </w:rPr>
        <w:t xml:space="preserve"> [Accessed 3 Jan. 2026].</w:t>
      </w:r>
    </w:p>
    <w:p w:rsidR="00000000" w:rsidDel="00000000" w:rsidP="00000000" w:rsidRDefault="00000000" w:rsidRPr="00000000" w14:paraId="0000011B">
      <w:pPr>
        <w:widowControl w:val="0"/>
        <w:spacing w:after="240" w:lineRule="auto"/>
        <w:rPr/>
      </w:pPr>
      <w:r w:rsidDel="00000000" w:rsidR="00000000" w:rsidRPr="00000000">
        <w:rPr>
          <w:rtl w:val="0"/>
        </w:rPr>
        <w:t xml:space="preserve">Inagaki, K., Bott, I., Douglas, R., White, E. and Morris, S. (2025). </w:t>
      </w:r>
      <w:r w:rsidDel="00000000" w:rsidR="00000000" w:rsidRPr="00000000">
        <w:rPr>
          <w:i w:val="1"/>
          <w:iCs w:val="1"/>
          <w:rtl w:val="0"/>
        </w:rPr>
        <w:t xml:space="preserve">How BYD caught up with Tesla in the global EV race</w:t>
      </w:r>
      <w:r w:rsidDel="00000000" w:rsidR="00000000" w:rsidRPr="00000000">
        <w:rPr>
          <w:rtl w:val="0"/>
        </w:rPr>
        <w:t xml:space="preserve">. [online] @FinancialTimes. Available at: </w:t>
      </w:r>
      <w:hyperlink r:id="rId119">
        <w:r w:rsidDel="00000000" w:rsidR="00000000" w:rsidRPr="00000000">
          <w:rPr>
            <w:rtl w:val="0"/>
          </w:rPr>
          <w:t xml:space="preserve">https://www.ft.com/content/81f97fd3-c889-46af-990c-051d32821102</w:t>
        </w:r>
      </w:hyperlink>
      <w:r w:rsidDel="00000000" w:rsidR="00000000" w:rsidRPr="00000000">
        <w:rPr>
          <w:rtl w:val="0"/>
        </w:rPr>
        <w:t xml:space="preserve">.</w:t>
      </w:r>
    </w:p>
    <w:p w:rsidR="00000000" w:rsidDel="00000000" w:rsidP="00000000" w:rsidRDefault="00000000" w:rsidRPr="00000000" w14:paraId="0000011C">
      <w:pPr>
        <w:widowControl w:val="0"/>
        <w:spacing w:after="240" w:lineRule="auto"/>
        <w:rPr/>
      </w:pPr>
      <w:r w:rsidDel="00000000" w:rsidR="00000000" w:rsidRPr="00000000">
        <w:rPr>
          <w:rtl w:val="0"/>
        </w:rPr>
        <w:t xml:space="preserve">Jolly, J. (2025). </w:t>
      </w:r>
      <w:r w:rsidDel="00000000" w:rsidR="00000000" w:rsidRPr="00000000">
        <w:rPr>
          <w:i w:val="1"/>
          <w:iCs w:val="1"/>
          <w:rtl w:val="0"/>
        </w:rPr>
        <w:t xml:space="preserve">Driving competition: China’s carmakers in race to dominate Europe’s roads</w:t>
      </w:r>
      <w:r w:rsidDel="00000000" w:rsidR="00000000" w:rsidRPr="00000000">
        <w:rPr>
          <w:rtl w:val="0"/>
        </w:rPr>
        <w:t xml:space="preserve">. [online] the Guardian. Available at: </w:t>
      </w:r>
      <w:hyperlink r:id="rId120">
        <w:r w:rsidDel="00000000" w:rsidR="00000000" w:rsidRPr="00000000">
          <w:rPr>
            <w:rtl w:val="0"/>
          </w:rPr>
          <w:t xml:space="preserve">https://www.theguardian.com/business/2025/nov/07/china-in-push-to-dominate-europe-electric-vehicle-market-with-uk-as-gateway</w:t>
        </w:r>
      </w:hyperlink>
      <w:r w:rsidDel="00000000" w:rsidR="00000000" w:rsidRPr="00000000">
        <w:rPr>
          <w:rtl w:val="0"/>
        </w:rPr>
        <w:t xml:space="preserve"> [Accessed 11 Nov. 2025].</w:t>
      </w:r>
    </w:p>
    <w:p w:rsidR="00000000" w:rsidDel="00000000" w:rsidP="00000000" w:rsidRDefault="00000000" w:rsidRPr="00000000" w14:paraId="0000011D">
      <w:pPr>
        <w:widowControl w:val="0"/>
        <w:spacing w:after="240" w:lineRule="auto"/>
        <w:rPr/>
      </w:pPr>
      <w:r w:rsidDel="00000000" w:rsidR="00000000" w:rsidRPr="00000000">
        <w:rPr>
          <w:rtl w:val="0"/>
        </w:rPr>
        <w:t xml:space="preserve">Khaleel, M., Nassar, Y., El-Khozondar, H.J., Elmnifi, M., Rajab, Z., Yaghoubi, E. and Yaghoubi, E. (2024). Electric Vehicles in China, Europe, and the United States: Current Trend and Market Comparison. </w:t>
      </w:r>
      <w:r w:rsidDel="00000000" w:rsidR="00000000" w:rsidRPr="00000000">
        <w:rPr>
          <w:i w:val="1"/>
          <w:iCs w:val="1"/>
          <w:rtl w:val="0"/>
        </w:rPr>
        <w:t xml:space="preserve">Int. J. Electr. Eng. and Sustain.</w:t>
      </w:r>
      <w:r w:rsidDel="00000000" w:rsidR="00000000" w:rsidRPr="00000000">
        <w:rPr>
          <w:rtl w:val="0"/>
        </w:rPr>
        <w:t xml:space="preserve">, [online] 2(1), pp.1–20. Available at: </w:t>
      </w:r>
      <w:hyperlink r:id="rId121">
        <w:r w:rsidDel="00000000" w:rsidR="00000000" w:rsidRPr="00000000">
          <w:rPr>
            <w:rtl w:val="0"/>
          </w:rPr>
          <w:t xml:space="preserve">https://ijees.org/index.php/ijees/article/view/70</w:t>
        </w:r>
      </w:hyperlink>
      <w:r w:rsidDel="00000000" w:rsidR="00000000" w:rsidRPr="00000000">
        <w:rPr>
          <w:rtl w:val="0"/>
        </w:rPr>
        <w:t xml:space="preserve">.</w:t>
      </w:r>
    </w:p>
    <w:p w:rsidR="00000000" w:rsidDel="00000000" w:rsidP="00000000" w:rsidRDefault="00000000" w:rsidRPr="00000000" w14:paraId="0000011E">
      <w:pPr>
        <w:widowControl w:val="0"/>
        <w:spacing w:after="240" w:lineRule="auto"/>
        <w:rPr/>
      </w:pPr>
      <w:r w:rsidDel="00000000" w:rsidR="00000000" w:rsidRPr="00000000">
        <w:rPr>
          <w:rtl w:val="0"/>
        </w:rPr>
        <w:t xml:space="preserve">L, J. (2025). </w:t>
      </w:r>
      <w:r w:rsidDel="00000000" w:rsidR="00000000" w:rsidRPr="00000000">
        <w:rPr>
          <w:i w:val="1"/>
          <w:iCs w:val="1"/>
          <w:rtl w:val="0"/>
        </w:rPr>
        <w:t xml:space="preserve">2025 EV Sales Surge: Which Countries Are Winning the Electric Race?</w:t>
      </w:r>
      <w:r w:rsidDel="00000000" w:rsidR="00000000" w:rsidRPr="00000000">
        <w:rPr>
          <w:rtl w:val="0"/>
        </w:rPr>
        <w:t xml:space="preserve"> [online] Carbon Credits. Available at: </w:t>
      </w:r>
      <w:hyperlink r:id="rId122">
        <w:r w:rsidDel="00000000" w:rsidR="00000000" w:rsidRPr="00000000">
          <w:rPr>
            <w:rtl w:val="0"/>
          </w:rPr>
          <w:t xml:space="preserve">https://carboncredits.com/2025-ev-sales-surge-which-countries-are-winning-the-electric-race/</w:t>
        </w:r>
      </w:hyperlink>
      <w:r w:rsidDel="00000000" w:rsidR="00000000" w:rsidRPr="00000000">
        <w:rPr>
          <w:rtl w:val="0"/>
        </w:rPr>
        <w:t xml:space="preserve"> [Accessed 11 Nov. 2025].</w:t>
      </w:r>
    </w:p>
    <w:p w:rsidR="00000000" w:rsidDel="00000000" w:rsidP="00000000" w:rsidRDefault="00000000" w:rsidRPr="00000000" w14:paraId="0000011F">
      <w:pPr>
        <w:widowControl w:val="0"/>
        <w:spacing w:after="240" w:lineRule="auto"/>
        <w:rPr/>
      </w:pPr>
      <w:r w:rsidDel="00000000" w:rsidR="00000000" w:rsidRPr="00000000">
        <w:rPr>
          <w:rtl w:val="0"/>
        </w:rPr>
        <w:t xml:space="preserve">Laczkowski, K. and Hertzke, P. (2025). </w:t>
      </w:r>
      <w:r w:rsidDel="00000000" w:rsidR="00000000" w:rsidRPr="00000000">
        <w:rPr>
          <w:i w:val="1"/>
          <w:iCs w:val="1"/>
          <w:rtl w:val="0"/>
        </w:rPr>
        <w:t xml:space="preserve">Could extended-range EVs nudge more car buyers toward full electric?</w:t>
      </w:r>
      <w:r w:rsidDel="00000000" w:rsidR="00000000" w:rsidRPr="00000000">
        <w:rPr>
          <w:rtl w:val="0"/>
        </w:rPr>
        <w:t xml:space="preserve"> [online] McKinsey &amp; Company. Available at: </w:t>
      </w:r>
      <w:hyperlink r:id="rId123">
        <w:r w:rsidDel="00000000" w:rsidR="00000000" w:rsidRPr="00000000">
          <w:rPr>
            <w:rtl w:val="0"/>
          </w:rPr>
          <w:t xml:space="preserve">https://www.mckinsey.com/industries/automotive-and-assembly/our-insights/could-extended-range-evs-nudge-more-car-buyers-toward-full-electric</w:t>
        </w:r>
      </w:hyperlink>
      <w:r w:rsidDel="00000000" w:rsidR="00000000" w:rsidRPr="00000000">
        <w:rPr>
          <w:rtl w:val="0"/>
        </w:rPr>
        <w:t xml:space="preserve"> [Accessed 11 Nov. 2025].</w:t>
      </w:r>
    </w:p>
    <w:p w:rsidR="00000000" w:rsidDel="00000000" w:rsidP="00000000" w:rsidRDefault="00000000" w:rsidRPr="00000000" w14:paraId="00000120">
      <w:pPr>
        <w:widowControl w:val="0"/>
        <w:spacing w:after="240" w:lineRule="auto"/>
        <w:rPr/>
      </w:pPr>
      <w:r w:rsidDel="00000000" w:rsidR="00000000" w:rsidRPr="00000000">
        <w:rPr>
          <w:rtl w:val="0"/>
        </w:rPr>
        <w:t xml:space="preserve">Lavi, E. and Reich, Y. (2023). SYSTEM VALUE ANALYSIS: MODEL AND EXAMPLE. </w:t>
      </w:r>
      <w:r w:rsidDel="00000000" w:rsidR="00000000" w:rsidRPr="00000000">
        <w:rPr>
          <w:i w:val="1"/>
          <w:iCs w:val="1"/>
          <w:rtl w:val="0"/>
        </w:rPr>
        <w:t xml:space="preserve">Proceedings of the Design Society</w:t>
      </w:r>
      <w:r w:rsidDel="00000000" w:rsidR="00000000" w:rsidRPr="00000000">
        <w:rPr>
          <w:rtl w:val="0"/>
        </w:rPr>
        <w:t xml:space="preserve">, [online] 3, p.32853294. doi:</w:t>
      </w:r>
      <w:hyperlink r:id="rId124">
        <w:r w:rsidDel="00000000" w:rsidR="00000000" w:rsidRPr="00000000">
          <w:rPr>
            <w:rtl w:val="0"/>
          </w:rPr>
          <w:t xml:space="preserve">https://doi.org/10.1017/pds.2023.329</w:t>
        </w:r>
      </w:hyperlink>
      <w:r w:rsidDel="00000000" w:rsidR="00000000" w:rsidRPr="00000000">
        <w:rPr>
          <w:rtl w:val="0"/>
        </w:rPr>
        <w:t xml:space="preserve">.</w:t>
      </w:r>
    </w:p>
    <w:p w:rsidR="00000000" w:rsidDel="00000000" w:rsidP="00000000" w:rsidRDefault="00000000" w:rsidRPr="00000000" w14:paraId="00000121">
      <w:pPr>
        <w:widowControl w:val="0"/>
        <w:spacing w:after="240" w:lineRule="auto"/>
        <w:rPr/>
      </w:pPr>
      <w:r w:rsidDel="00000000" w:rsidR="00000000" w:rsidRPr="00000000">
        <w:rPr>
          <w:rtl w:val="0"/>
        </w:rPr>
        <w:t xml:space="preserve">Lei, C. (2025a). Analysis of Tesla International Strategies. In: R.K. Hamdan, ed., </w:t>
      </w:r>
      <w:r w:rsidDel="00000000" w:rsidR="00000000" w:rsidRPr="00000000">
        <w:rPr>
          <w:i w:val="1"/>
          <w:iCs w:val="1"/>
          <w:rtl w:val="0"/>
        </w:rPr>
        <w:t xml:space="preserve">Sustainable Data Management: Navigating Big Data, Communication Technology, and Business Digital Leadership. Volume 1</w:t>
      </w:r>
      <w:r w:rsidDel="00000000" w:rsidR="00000000" w:rsidRPr="00000000">
        <w:rPr>
          <w:rtl w:val="0"/>
        </w:rPr>
        <w:t xml:space="preserve">. [online] Cham: Springer Nature Switzerland, pp.237–246. doi:</w:t>
      </w:r>
      <w:hyperlink r:id="rId125">
        <w:r w:rsidDel="00000000" w:rsidR="00000000" w:rsidRPr="00000000">
          <w:rPr>
            <w:rtl w:val="0"/>
          </w:rPr>
          <w:t xml:space="preserve">https://doi.org/10.1007/9783031839115_21</w:t>
        </w:r>
      </w:hyperlink>
      <w:r w:rsidDel="00000000" w:rsidR="00000000" w:rsidRPr="00000000">
        <w:rPr>
          <w:rtl w:val="0"/>
        </w:rPr>
        <w:t xml:space="preserve">.</w:t>
      </w:r>
    </w:p>
    <w:p w:rsidR="00000000" w:rsidDel="00000000" w:rsidP="00000000" w:rsidRDefault="00000000" w:rsidRPr="00000000" w14:paraId="00000122">
      <w:pPr>
        <w:widowControl w:val="0"/>
        <w:spacing w:after="240" w:lineRule="auto"/>
        <w:rPr/>
      </w:pPr>
      <w:r w:rsidDel="00000000" w:rsidR="00000000" w:rsidRPr="00000000">
        <w:rPr>
          <w:rtl w:val="0"/>
        </w:rPr>
        <w:t xml:space="preserve">Lei, C. (2025b). Analysis of Tesla International Strategies. pp.237–246. doi:</w:t>
      </w:r>
      <w:hyperlink r:id="rId126">
        <w:r w:rsidDel="00000000" w:rsidR="00000000" w:rsidRPr="00000000">
          <w:rPr>
            <w:rtl w:val="0"/>
          </w:rPr>
          <w:t xml:space="preserve">https://doi.org/10.1007/9783031839115_21</w:t>
        </w:r>
      </w:hyperlink>
      <w:r w:rsidDel="00000000" w:rsidR="00000000" w:rsidRPr="00000000">
        <w:rPr>
          <w:rtl w:val="0"/>
        </w:rPr>
        <w:t xml:space="preserve">.</w:t>
      </w:r>
    </w:p>
    <w:p w:rsidR="00000000" w:rsidDel="00000000" w:rsidP="00000000" w:rsidRDefault="00000000" w:rsidRPr="00000000" w14:paraId="00000123">
      <w:pPr>
        <w:widowControl w:val="0"/>
        <w:spacing w:after="240" w:lineRule="auto"/>
        <w:rPr/>
      </w:pPr>
      <w:r w:rsidDel="00000000" w:rsidR="00000000" w:rsidRPr="00000000">
        <w:rPr>
          <w:rtl w:val="0"/>
        </w:rPr>
        <w:t xml:space="preserve">Liu, S. (2021). Competition and Valuation: a Case Study of Tesla Motors. </w:t>
      </w:r>
      <w:r w:rsidDel="00000000" w:rsidR="00000000" w:rsidRPr="00000000">
        <w:rPr>
          <w:i w:val="1"/>
          <w:iCs w:val="1"/>
          <w:rtl w:val="0"/>
        </w:rPr>
        <w:t xml:space="preserve">IOP Conference Series: Earth and Environmental Science</w:t>
      </w:r>
      <w:r w:rsidDel="00000000" w:rsidR="00000000" w:rsidRPr="00000000">
        <w:rPr>
          <w:rtl w:val="0"/>
        </w:rPr>
        <w:t xml:space="preserve">, 692(2), p.022103. doi:</w:t>
      </w:r>
      <w:hyperlink r:id="rId127">
        <w:r w:rsidDel="00000000" w:rsidR="00000000" w:rsidRPr="00000000">
          <w:rPr>
            <w:rtl w:val="0"/>
          </w:rPr>
          <w:t xml:space="preserve">https://doi.org/10.1088/1755-1315/692/2/022103</w:t>
        </w:r>
      </w:hyperlink>
      <w:r w:rsidDel="00000000" w:rsidR="00000000" w:rsidRPr="00000000">
        <w:rPr>
          <w:rtl w:val="0"/>
        </w:rPr>
        <w:t xml:space="preserve">.</w:t>
      </w:r>
    </w:p>
    <w:p w:rsidR="00000000" w:rsidDel="00000000" w:rsidP="00000000" w:rsidRDefault="00000000" w:rsidRPr="00000000" w14:paraId="00000124">
      <w:pPr>
        <w:widowControl w:val="0"/>
        <w:spacing w:after="240" w:lineRule="auto"/>
        <w:rPr/>
      </w:pPr>
      <w:r w:rsidDel="00000000" w:rsidR="00000000" w:rsidRPr="00000000">
        <w:rPr>
          <w:rtl w:val="0"/>
        </w:rPr>
        <w:t xml:space="preserve">Lu, Z. (2025). An Analysis of Tesla’s Market Position and Future Prospects. </w:t>
      </w:r>
      <w:r w:rsidDel="00000000" w:rsidR="00000000" w:rsidRPr="00000000">
        <w:rPr>
          <w:i w:val="1"/>
          <w:iCs w:val="1"/>
          <w:rtl w:val="0"/>
        </w:rPr>
        <w:t xml:space="preserve">Advances in economics, business and management research/Advances in Economics, Business and Management Research</w:t>
      </w:r>
      <w:r w:rsidDel="00000000" w:rsidR="00000000" w:rsidRPr="00000000">
        <w:rPr>
          <w:rtl w:val="0"/>
        </w:rPr>
        <w:t xml:space="preserve">, [online] pp.919–928. doi:</w:t>
      </w:r>
      <w:hyperlink r:id="rId128">
        <w:r w:rsidDel="00000000" w:rsidR="00000000" w:rsidRPr="00000000">
          <w:rPr>
            <w:rtl w:val="0"/>
          </w:rPr>
          <w:t xml:space="preserve">https://doi.org/10.2991/978-94-6463-748-9_100</w:t>
        </w:r>
      </w:hyperlink>
      <w:r w:rsidDel="00000000" w:rsidR="00000000" w:rsidRPr="00000000">
        <w:rPr>
          <w:rtl w:val="0"/>
        </w:rPr>
        <w:t xml:space="preserve">.</w:t>
      </w:r>
    </w:p>
    <w:p w:rsidR="00000000" w:rsidDel="00000000" w:rsidP="00000000" w:rsidRDefault="00000000" w:rsidRPr="00000000" w14:paraId="00000125">
      <w:pPr>
        <w:widowControl w:val="0"/>
        <w:spacing w:after="240" w:lineRule="auto"/>
        <w:rPr/>
      </w:pPr>
      <w:r w:rsidDel="00000000" w:rsidR="00000000" w:rsidRPr="00000000">
        <w:rPr>
          <w:rtl w:val="0"/>
        </w:rPr>
        <w:t xml:space="preserve">Lynch, R. (2018). </w:t>
      </w:r>
      <w:r w:rsidDel="00000000" w:rsidR="00000000" w:rsidRPr="00000000">
        <w:rPr>
          <w:i w:val="1"/>
          <w:iCs w:val="1"/>
          <w:rtl w:val="0"/>
        </w:rPr>
        <w:t xml:space="preserve">Strategic Management</w:t>
      </w:r>
      <w:r w:rsidDel="00000000" w:rsidR="00000000" w:rsidRPr="00000000">
        <w:rPr>
          <w:rtl w:val="0"/>
        </w:rPr>
        <w:t xml:space="preserve">. 8th ed. [online] Harlow, UK: Pearson Education. Available at: </w:t>
      </w:r>
      <w:hyperlink r:id="rId129">
        <w:r w:rsidDel="00000000" w:rsidR="00000000" w:rsidRPr="00000000">
          <w:rPr>
            <w:rtl w:val="0"/>
          </w:rPr>
          <w:t xml:space="preserve">https://books.google.com.bd/books?id=kcdVDwAAQBAJ</w:t>
        </w:r>
      </w:hyperlink>
      <w:r w:rsidDel="00000000" w:rsidR="00000000" w:rsidRPr="00000000">
        <w:rPr>
          <w:rtl w:val="0"/>
        </w:rPr>
        <w:t xml:space="preserve">.</w:t>
      </w:r>
    </w:p>
    <w:p w:rsidR="00000000" w:rsidDel="00000000" w:rsidP="00000000" w:rsidRDefault="00000000" w:rsidRPr="00000000" w14:paraId="00000126">
      <w:pPr>
        <w:widowControl w:val="0"/>
        <w:spacing w:after="240" w:lineRule="auto"/>
        <w:rPr/>
      </w:pPr>
      <w:r w:rsidDel="00000000" w:rsidR="00000000" w:rsidRPr="00000000">
        <w:rPr>
          <w:rtl w:val="0"/>
        </w:rPr>
        <w:t xml:space="preserve">Machin, J. (2025). The race is on to better ‘the electric vehicle experience’. </w:t>
      </w:r>
      <w:r w:rsidDel="00000000" w:rsidR="00000000" w:rsidRPr="00000000">
        <w:rPr>
          <w:i w:val="1"/>
          <w:iCs w:val="1"/>
          <w:rtl w:val="0"/>
        </w:rPr>
        <w:t xml:space="preserve">BBC</w:t>
      </w:r>
      <w:r w:rsidDel="00000000" w:rsidR="00000000" w:rsidRPr="00000000">
        <w:rPr>
          <w:rtl w:val="0"/>
        </w:rPr>
        <w:t xml:space="preserve">. [online] 3 Jul. Available at: </w:t>
      </w:r>
      <w:hyperlink r:id="rId130">
        <w:r w:rsidDel="00000000" w:rsidR="00000000" w:rsidRPr="00000000">
          <w:rPr>
            <w:rtl w:val="0"/>
          </w:rPr>
          <w:t xml:space="preserve">https://www.bbc.com/news/articles/crr7w98qp4jo</w:t>
        </w:r>
      </w:hyperlink>
      <w:r w:rsidDel="00000000" w:rsidR="00000000" w:rsidRPr="00000000">
        <w:rPr>
          <w:rtl w:val="0"/>
        </w:rPr>
        <w:t xml:space="preserve"> [Accessed 11 Nov. 2025].</w:t>
      </w:r>
    </w:p>
    <w:p w:rsidR="00000000" w:rsidDel="00000000" w:rsidP="00000000" w:rsidRDefault="00000000" w:rsidRPr="00000000" w14:paraId="00000127">
      <w:pPr>
        <w:widowControl w:val="0"/>
        <w:spacing w:after="240" w:lineRule="auto"/>
        <w:rPr/>
      </w:pPr>
      <w:r w:rsidDel="00000000" w:rsidR="00000000" w:rsidRPr="00000000">
        <w:rPr>
          <w:rtl w:val="0"/>
        </w:rPr>
        <w:t xml:space="preserve">Naughton, K. (2025). </w:t>
      </w:r>
      <w:r w:rsidDel="00000000" w:rsidR="00000000" w:rsidRPr="00000000">
        <w:rPr>
          <w:i w:val="1"/>
          <w:iCs w:val="1"/>
          <w:rtl w:val="0"/>
        </w:rPr>
        <w:t xml:space="preserve">Tesla makes first appearance in Consumer Reports’ top 10 reliability rankings</w:t>
      </w:r>
      <w:r w:rsidDel="00000000" w:rsidR="00000000" w:rsidRPr="00000000">
        <w:rPr>
          <w:rtl w:val="0"/>
        </w:rPr>
        <w:t xml:space="preserve">. [online] Los Angeles Times. Available at: </w:t>
      </w:r>
      <w:hyperlink r:id="rId131">
        <w:r w:rsidDel="00000000" w:rsidR="00000000" w:rsidRPr="00000000">
          <w:rPr>
            <w:rtl w:val="0"/>
          </w:rPr>
          <w:t xml:space="preserve">https://www.latimes.com/business/story/2025-12-04/tesla-makes-first-appearance-in-consumer-reports-top-10-reliability-rankings</w:t>
        </w:r>
      </w:hyperlink>
      <w:r w:rsidDel="00000000" w:rsidR="00000000" w:rsidRPr="00000000">
        <w:rPr>
          <w:rtl w:val="0"/>
        </w:rPr>
        <w:t xml:space="preserve"> [Accessed 3 Jan. 2026].</w:t>
      </w:r>
    </w:p>
    <w:p w:rsidR="00000000" w:rsidDel="00000000" w:rsidP="00000000" w:rsidRDefault="00000000" w:rsidRPr="00000000" w14:paraId="00000128">
      <w:pPr>
        <w:widowControl w:val="0"/>
        <w:spacing w:after="240" w:lineRule="auto"/>
        <w:rPr/>
      </w:pPr>
      <w:r w:rsidDel="00000000" w:rsidR="00000000" w:rsidRPr="00000000">
        <w:rPr>
          <w:rtl w:val="0"/>
        </w:rPr>
        <w:t xml:space="preserve">Nolan, S. (2024). </w:t>
      </w:r>
      <w:r w:rsidDel="00000000" w:rsidR="00000000" w:rsidRPr="00000000">
        <w:rPr>
          <w:i w:val="1"/>
          <w:iCs w:val="1"/>
          <w:rtl w:val="0"/>
        </w:rPr>
        <w:t xml:space="preserve">Gartner: Global EV Adoption to Hit 85 Million by 2025</w:t>
      </w:r>
      <w:r w:rsidDel="00000000" w:rsidR="00000000" w:rsidRPr="00000000">
        <w:rPr>
          <w:rtl w:val="0"/>
        </w:rPr>
        <w:t xml:space="preserve">. [online] Evmagazine.com. Available at: </w:t>
      </w:r>
      <w:hyperlink r:id="rId132">
        <w:r w:rsidDel="00000000" w:rsidR="00000000" w:rsidRPr="00000000">
          <w:rPr>
            <w:rtl w:val="0"/>
          </w:rPr>
          <w:t xml:space="preserve">https://evmagazine.com/mobility/gartner-global-ev-adoption-to-hit-85-million-by-2025</w:t>
        </w:r>
      </w:hyperlink>
      <w:r w:rsidDel="00000000" w:rsidR="00000000" w:rsidRPr="00000000">
        <w:rPr>
          <w:rtl w:val="0"/>
        </w:rPr>
        <w:t xml:space="preserve"> [Accessed 11 Nov. 2025].</w:t>
      </w:r>
    </w:p>
    <w:p w:rsidR="00000000" w:rsidDel="00000000" w:rsidP="00000000" w:rsidRDefault="00000000" w:rsidRPr="00000000" w14:paraId="00000129">
      <w:pPr>
        <w:widowControl w:val="0"/>
        <w:spacing w:after="240" w:lineRule="auto"/>
        <w:rPr/>
      </w:pPr>
      <w:r w:rsidDel="00000000" w:rsidR="00000000" w:rsidRPr="00000000">
        <w:rPr>
          <w:rtl w:val="0"/>
        </w:rPr>
        <w:t xml:space="preserve">Nurdiawati, A. and Agrawal, T.K. (2022). Creating a circular EV battery value chain: End-of-life strategies and future perspective. </w:t>
      </w:r>
      <w:r w:rsidDel="00000000" w:rsidR="00000000" w:rsidRPr="00000000">
        <w:rPr>
          <w:i w:val="1"/>
          <w:iCs w:val="1"/>
          <w:rtl w:val="0"/>
        </w:rPr>
        <w:t xml:space="preserve">Resources, Conservation and Recycling</w:t>
      </w:r>
      <w:r w:rsidDel="00000000" w:rsidR="00000000" w:rsidRPr="00000000">
        <w:rPr>
          <w:rtl w:val="0"/>
        </w:rPr>
        <w:t xml:space="preserve">, [online] 185, p.106484. doi:</w:t>
      </w:r>
      <w:hyperlink r:id="rId133">
        <w:r w:rsidDel="00000000" w:rsidR="00000000" w:rsidRPr="00000000">
          <w:rPr>
            <w:rtl w:val="0"/>
          </w:rPr>
          <w:t xml:space="preserve">https://doi.org/10.1016/j.resconrec.2022.106484</w:t>
        </w:r>
      </w:hyperlink>
      <w:r w:rsidDel="00000000" w:rsidR="00000000" w:rsidRPr="00000000">
        <w:rPr>
          <w:rtl w:val="0"/>
        </w:rPr>
        <w:t xml:space="preserve">.</w:t>
      </w:r>
    </w:p>
    <w:p w:rsidR="00000000" w:rsidDel="00000000" w:rsidP="00000000" w:rsidRDefault="00000000" w:rsidRPr="00000000" w14:paraId="0000012A">
      <w:pPr>
        <w:widowControl w:val="0"/>
        <w:spacing w:after="240" w:lineRule="auto"/>
        <w:rPr/>
      </w:pPr>
      <w:r w:rsidDel="00000000" w:rsidR="00000000" w:rsidRPr="00000000">
        <w:rPr>
          <w:rtl w:val="0"/>
        </w:rPr>
        <w:t xml:space="preserve">Pares, F., Busch, P., Chandra, M. and Tal, G. (2024). Shifting Manufacturing: Electric Vehicle Supply Strategy using the Model for International EV Trade. </w:t>
      </w:r>
      <w:r w:rsidDel="00000000" w:rsidR="00000000" w:rsidRPr="00000000">
        <w:rPr>
          <w:i w:val="1"/>
          <w:iCs w:val="1"/>
          <w:rtl w:val="0"/>
        </w:rPr>
        <w:t xml:space="preserve">Journal of Cleaner Production</w:t>
      </w:r>
      <w:r w:rsidDel="00000000" w:rsidR="00000000" w:rsidRPr="00000000">
        <w:rPr>
          <w:rtl w:val="0"/>
        </w:rPr>
        <w:t xml:space="preserve">, [online] 484, p.144357. doi:</w:t>
      </w:r>
      <w:hyperlink r:id="rId134">
        <w:r w:rsidDel="00000000" w:rsidR="00000000" w:rsidRPr="00000000">
          <w:rPr>
            <w:rtl w:val="0"/>
          </w:rPr>
          <w:t xml:space="preserve">https://doi.org/10.1016/j.jclepro.2024.144357</w:t>
        </w:r>
      </w:hyperlink>
      <w:r w:rsidDel="00000000" w:rsidR="00000000" w:rsidRPr="00000000">
        <w:rPr>
          <w:rtl w:val="0"/>
        </w:rPr>
        <w:t xml:space="preserve">.</w:t>
      </w:r>
    </w:p>
    <w:p w:rsidR="00000000" w:rsidDel="00000000" w:rsidP="00000000" w:rsidRDefault="00000000" w:rsidRPr="00000000" w14:paraId="0000012B">
      <w:pPr>
        <w:widowControl w:val="0"/>
        <w:spacing w:after="240" w:lineRule="auto"/>
        <w:rPr/>
      </w:pPr>
      <w:r w:rsidDel="00000000" w:rsidR="00000000" w:rsidRPr="00000000">
        <w:rPr>
          <w:rtl w:val="0"/>
        </w:rPr>
        <w:t xml:space="preserve">Reuters (2024). </w:t>
      </w:r>
      <w:r w:rsidDel="00000000" w:rsidR="00000000" w:rsidRPr="00000000">
        <w:rPr>
          <w:i w:val="1"/>
          <w:iCs w:val="1"/>
          <w:rtl w:val="0"/>
        </w:rPr>
        <w:t xml:space="preserve">EVs will be cheaper to produce than gas-powered vehicles by 2027, Gartner says</w:t>
      </w:r>
      <w:r w:rsidDel="00000000" w:rsidR="00000000" w:rsidRPr="00000000">
        <w:rPr>
          <w:rtl w:val="0"/>
        </w:rPr>
        <w:t xml:space="preserve">. [online] Reuters. Available at: </w:t>
      </w:r>
      <w:hyperlink r:id="rId135">
        <w:r w:rsidDel="00000000" w:rsidR="00000000" w:rsidRPr="00000000">
          <w:rPr>
            <w:rtl w:val="0"/>
          </w:rPr>
          <w:t xml:space="preserve">https://www.reuters.com/business/autos-transportation/evs-will-be-cheaper-produce-than-gas-powered-vehicles-by-2027-gartner-says-2024-03-07/</w:t>
        </w:r>
      </w:hyperlink>
      <w:r w:rsidDel="00000000" w:rsidR="00000000" w:rsidRPr="00000000">
        <w:rPr>
          <w:rtl w:val="0"/>
        </w:rPr>
        <w:t xml:space="preserve"> [Accessed 11 Nov. 2025].</w:t>
      </w:r>
    </w:p>
    <w:p w:rsidR="00000000" w:rsidDel="00000000" w:rsidP="00000000" w:rsidRDefault="00000000" w:rsidRPr="00000000" w14:paraId="0000012C">
      <w:pPr>
        <w:widowControl w:val="0"/>
        <w:spacing w:after="240" w:lineRule="auto"/>
        <w:rPr/>
      </w:pPr>
      <w:r w:rsidDel="00000000" w:rsidR="00000000" w:rsidRPr="00000000">
        <w:rPr>
          <w:rtl w:val="0"/>
        </w:rPr>
        <w:t xml:space="preserve">Roy, H., Roy, B.N., Hasanuzzaman, Md., Islam, Md.S., Abdel-Khalik, A.S., Hamad, M.S. and Ahmed, S. (2022). Global Advancements and Current Challenges of Electric Vehicle Batteries and Their Prospects: A Comprehensive Review. </w:t>
      </w:r>
      <w:r w:rsidDel="00000000" w:rsidR="00000000" w:rsidRPr="00000000">
        <w:rPr>
          <w:i w:val="1"/>
          <w:iCs w:val="1"/>
          <w:rtl w:val="0"/>
        </w:rPr>
        <w:t xml:space="preserve">Sustainability</w:t>
      </w:r>
      <w:r w:rsidDel="00000000" w:rsidR="00000000" w:rsidRPr="00000000">
        <w:rPr>
          <w:rtl w:val="0"/>
        </w:rPr>
        <w:t xml:space="preserve">, 14(24), p.16684. doi:</w:t>
      </w:r>
      <w:hyperlink r:id="rId136">
        <w:r w:rsidDel="00000000" w:rsidR="00000000" w:rsidRPr="00000000">
          <w:rPr>
            <w:rtl w:val="0"/>
          </w:rPr>
          <w:t xml:space="preserve">https://doi.org/10.3390/su142416684</w:t>
        </w:r>
      </w:hyperlink>
      <w:r w:rsidDel="00000000" w:rsidR="00000000" w:rsidRPr="00000000">
        <w:rPr>
          <w:rtl w:val="0"/>
        </w:rPr>
        <w:t xml:space="preserve">.</w:t>
      </w:r>
    </w:p>
    <w:p w:rsidR="00000000" w:rsidDel="00000000" w:rsidP="00000000" w:rsidRDefault="00000000" w:rsidRPr="00000000" w14:paraId="0000012D">
      <w:pPr>
        <w:widowControl w:val="0"/>
        <w:spacing w:after="240" w:lineRule="auto"/>
        <w:rPr/>
      </w:pPr>
      <w:r w:rsidDel="00000000" w:rsidR="00000000" w:rsidRPr="00000000">
        <w:rPr>
          <w:rtl w:val="0"/>
        </w:rPr>
        <w:t xml:space="preserve">Shipley, L. (2020). </w:t>
      </w:r>
      <w:r w:rsidDel="00000000" w:rsidR="00000000" w:rsidRPr="00000000">
        <w:rPr>
          <w:i w:val="1"/>
          <w:iCs w:val="1"/>
          <w:rtl w:val="0"/>
        </w:rPr>
        <w:t xml:space="preserve">How Tesla Sets Itself Apart</w:t>
      </w:r>
      <w:r w:rsidDel="00000000" w:rsidR="00000000" w:rsidRPr="00000000">
        <w:rPr>
          <w:rtl w:val="0"/>
        </w:rPr>
        <w:t xml:space="preserve">. [online] Harvard Business Review. Available at: </w:t>
      </w:r>
      <w:hyperlink r:id="rId137">
        <w:r w:rsidDel="00000000" w:rsidR="00000000" w:rsidRPr="00000000">
          <w:rPr>
            <w:rtl w:val="0"/>
          </w:rPr>
          <w:t xml:space="preserve">https://hbr.org/2020/02/how-tesla-sets-itself-apart</w:t>
        </w:r>
      </w:hyperlink>
      <w:r w:rsidDel="00000000" w:rsidR="00000000" w:rsidRPr="00000000">
        <w:rPr>
          <w:rtl w:val="0"/>
        </w:rPr>
        <w:t xml:space="preserve"> [Accessed 3 Jan. 2026].</w:t>
      </w:r>
    </w:p>
    <w:p w:rsidR="00000000" w:rsidDel="00000000" w:rsidP="00000000" w:rsidRDefault="00000000" w:rsidRPr="00000000" w14:paraId="0000012E">
      <w:pPr>
        <w:widowControl w:val="0"/>
        <w:spacing w:after="240" w:lineRule="auto"/>
        <w:rPr/>
      </w:pPr>
      <w:r w:rsidDel="00000000" w:rsidR="00000000" w:rsidRPr="00000000">
        <w:rPr>
          <w:rtl w:val="0"/>
        </w:rPr>
        <w:t xml:space="preserve">Shu, J. (2022). Analysing on External Environment and Industrial Competition of High-tech Companies. In: </w:t>
      </w:r>
      <w:r w:rsidDel="00000000" w:rsidR="00000000" w:rsidRPr="00000000">
        <w:rPr>
          <w:i w:val="1"/>
          <w:iCs w:val="1"/>
          <w:rtl w:val="0"/>
        </w:rPr>
        <w:t xml:space="preserve">www.atlantis-press.com</w:t>
      </w:r>
      <w:r w:rsidDel="00000000" w:rsidR="00000000" w:rsidRPr="00000000">
        <w:rPr>
          <w:rtl w:val="0"/>
        </w:rPr>
        <w:t xml:space="preserve">. [online] 7th International Conference on Social Sciences and Economic Development (ICSSED 2022) . Atlantis Press, pp.76–80. doi:</w:t>
      </w:r>
      <w:hyperlink r:id="rId138">
        <w:r w:rsidDel="00000000" w:rsidR="00000000" w:rsidRPr="00000000">
          <w:rPr>
            <w:rtl w:val="0"/>
          </w:rPr>
          <w:t xml:space="preserve">https://doi.org/10.2991/aebmr.k.220405.015</w:t>
        </w:r>
      </w:hyperlink>
      <w:r w:rsidDel="00000000" w:rsidR="00000000" w:rsidRPr="00000000">
        <w:rPr>
          <w:rtl w:val="0"/>
        </w:rPr>
        <w:t xml:space="preserve">.</w:t>
      </w:r>
    </w:p>
    <w:p w:rsidR="00000000" w:rsidDel="00000000" w:rsidP="00000000" w:rsidRDefault="00000000" w:rsidRPr="00000000" w14:paraId="0000012F">
      <w:pPr>
        <w:widowControl w:val="0"/>
        <w:spacing w:after="240" w:lineRule="auto"/>
        <w:rPr/>
      </w:pPr>
      <w:r w:rsidDel="00000000" w:rsidR="00000000" w:rsidRPr="00000000">
        <w:rPr>
          <w:rtl w:val="0"/>
        </w:rPr>
        <w:t xml:space="preserve">Tesla (2025a). </w:t>
      </w:r>
      <w:r w:rsidDel="00000000" w:rsidR="00000000" w:rsidRPr="00000000">
        <w:rPr>
          <w:i w:val="1"/>
          <w:iCs w:val="1"/>
          <w:rtl w:val="0"/>
        </w:rPr>
        <w:t xml:space="preserve">Impact Report 2024</w:t>
      </w:r>
      <w:r w:rsidDel="00000000" w:rsidR="00000000" w:rsidRPr="00000000">
        <w:rPr>
          <w:rtl w:val="0"/>
        </w:rPr>
        <w:t xml:space="preserve">. [online] </w:t>
      </w:r>
      <w:r w:rsidDel="00000000" w:rsidR="00000000" w:rsidRPr="00000000">
        <w:rPr>
          <w:i w:val="1"/>
          <w:iCs w:val="1"/>
          <w:rtl w:val="0"/>
        </w:rPr>
        <w:t xml:space="preserve">tesla.com</w:t>
      </w:r>
      <w:r w:rsidDel="00000000" w:rsidR="00000000" w:rsidRPr="00000000">
        <w:rPr>
          <w:rtl w:val="0"/>
        </w:rPr>
        <w:t xml:space="preserve">. Available at: </w:t>
      </w:r>
      <w:hyperlink r:id="rId139">
        <w:r w:rsidDel="00000000" w:rsidR="00000000" w:rsidRPr="00000000">
          <w:rPr>
            <w:rtl w:val="0"/>
          </w:rPr>
          <w:t xml:space="preserve">https://www.tesla.com/ns_videos/2024-extended-version-tesla-impact-report.pdf</w:t>
        </w:r>
      </w:hyperlink>
      <w:r w:rsidDel="00000000" w:rsidR="00000000" w:rsidRPr="00000000">
        <w:rPr>
          <w:rtl w:val="0"/>
        </w:rPr>
        <w:t xml:space="preserve"> [Accessed 1 Jan. 2026].</w:t>
      </w:r>
    </w:p>
    <w:p w:rsidR="00000000" w:rsidDel="00000000" w:rsidP="00000000" w:rsidRDefault="00000000" w:rsidRPr="00000000" w14:paraId="00000130">
      <w:pPr>
        <w:widowControl w:val="0"/>
        <w:spacing w:after="240" w:lineRule="auto"/>
        <w:rPr/>
      </w:pPr>
      <w:r w:rsidDel="00000000" w:rsidR="00000000" w:rsidRPr="00000000">
        <w:rPr>
          <w:rtl w:val="0"/>
        </w:rPr>
        <w:t xml:space="preserve">Tesla (2025b). </w:t>
      </w:r>
      <w:r w:rsidDel="00000000" w:rsidR="00000000" w:rsidRPr="00000000">
        <w:rPr>
          <w:i w:val="1"/>
          <w:iCs w:val="1"/>
          <w:rtl w:val="0"/>
        </w:rPr>
        <w:t xml:space="preserve">Q3 2025 Update</w:t>
      </w:r>
      <w:r w:rsidDel="00000000" w:rsidR="00000000" w:rsidRPr="00000000">
        <w:rPr>
          <w:rtl w:val="0"/>
        </w:rPr>
        <w:t xml:space="preserve">. [online] </w:t>
      </w:r>
      <w:r w:rsidDel="00000000" w:rsidR="00000000" w:rsidRPr="00000000">
        <w:rPr>
          <w:i w:val="1"/>
          <w:iCs w:val="1"/>
          <w:rtl w:val="0"/>
        </w:rPr>
        <w:t xml:space="preserve">tesla.com</w:t>
      </w:r>
      <w:r w:rsidDel="00000000" w:rsidR="00000000" w:rsidRPr="00000000">
        <w:rPr>
          <w:rtl w:val="0"/>
        </w:rPr>
        <w:t xml:space="preserve">. Available at: </w:t>
      </w:r>
      <w:hyperlink r:id="rId140">
        <w:r w:rsidDel="00000000" w:rsidR="00000000" w:rsidRPr="00000000">
          <w:rPr>
            <w:rtl w:val="0"/>
          </w:rPr>
          <w:t xml:space="preserve">https://assets-ir.tesla.com/tesla-contents/IR/TSLA-Q3-2025-Update.pdf</w:t>
        </w:r>
      </w:hyperlink>
      <w:r w:rsidDel="00000000" w:rsidR="00000000" w:rsidRPr="00000000">
        <w:rPr>
          <w:rtl w:val="0"/>
        </w:rPr>
        <w:t xml:space="preserve"> [Accessed 1 Jan. 2026].</w:t>
      </w:r>
    </w:p>
    <w:p w:rsidR="00000000" w:rsidDel="00000000" w:rsidP="00000000" w:rsidRDefault="00000000" w:rsidRPr="00000000" w14:paraId="00000131">
      <w:pPr>
        <w:widowControl w:val="0"/>
        <w:spacing w:after="240" w:lineRule="auto"/>
        <w:rPr/>
      </w:pPr>
      <w:r w:rsidDel="00000000" w:rsidR="00000000" w:rsidRPr="00000000">
        <w:rPr>
          <w:rtl w:val="0"/>
        </w:rPr>
        <w:t xml:space="preserve">Tschiesner, A., Hertzke, P., Schaufuss, P. and Heuss, R. (2024). </w:t>
      </w:r>
      <w:r w:rsidDel="00000000" w:rsidR="00000000" w:rsidRPr="00000000">
        <w:rPr>
          <w:i w:val="1"/>
          <w:iCs w:val="1"/>
          <w:rtl w:val="0"/>
        </w:rPr>
        <w:t xml:space="preserve">Europe’s economic potential in the shift to electric vehicles</w:t>
      </w:r>
      <w:r w:rsidDel="00000000" w:rsidR="00000000" w:rsidRPr="00000000">
        <w:rPr>
          <w:rtl w:val="0"/>
        </w:rPr>
        <w:t xml:space="preserve">. [online] McKinsey &amp; Company. Available at: </w:t>
      </w:r>
      <w:hyperlink r:id="rId141">
        <w:r w:rsidDel="00000000" w:rsidR="00000000" w:rsidRPr="00000000">
          <w:rPr>
            <w:rtl w:val="0"/>
          </w:rPr>
          <w:t xml:space="preserve">https://www.mckinsey.com/industries/automotive-and-assembly/our-insights/europes-economic-potential-in-the-shift-to-electric-vehicles</w:t>
        </w:r>
      </w:hyperlink>
      <w:r w:rsidDel="00000000" w:rsidR="00000000" w:rsidRPr="00000000">
        <w:rPr>
          <w:rtl w:val="0"/>
        </w:rPr>
        <w:t xml:space="preserve">.</w:t>
      </w:r>
    </w:p>
    <w:p w:rsidR="00000000" w:rsidDel="00000000" w:rsidP="00000000" w:rsidRDefault="00000000" w:rsidRPr="00000000" w14:paraId="00000132">
      <w:pPr>
        <w:widowControl w:val="0"/>
        <w:spacing w:after="240" w:lineRule="auto"/>
        <w:rPr/>
      </w:pPr>
      <w:r w:rsidDel="00000000" w:rsidR="00000000" w:rsidRPr="00000000">
        <w:rPr>
          <w:rtl w:val="0"/>
        </w:rPr>
        <w:t xml:space="preserve">Wang, X., Zhao, W. and Ruet, J. (2022). Specialised vertical integration: the value-chain strategy of EV lithium-ion battery firms in China. </w:t>
      </w:r>
      <w:r w:rsidDel="00000000" w:rsidR="00000000" w:rsidRPr="00000000">
        <w:rPr>
          <w:i w:val="1"/>
          <w:iCs w:val="1"/>
          <w:rtl w:val="0"/>
        </w:rPr>
        <w:t xml:space="preserve">International Journal of Automotive Technology and Management</w:t>
      </w:r>
      <w:r w:rsidDel="00000000" w:rsidR="00000000" w:rsidRPr="00000000">
        <w:rPr>
          <w:rtl w:val="0"/>
        </w:rPr>
        <w:t xml:space="preserve">, [online] 22(2), p.178. doi:</w:t>
      </w:r>
      <w:hyperlink r:id="rId142">
        <w:r w:rsidDel="00000000" w:rsidR="00000000" w:rsidRPr="00000000">
          <w:rPr>
            <w:rtl w:val="0"/>
          </w:rPr>
          <w:t xml:space="preserve">https://doi.org/10.1504/ijatm.2022.124377</w:t>
        </w:r>
      </w:hyperlink>
      <w:r w:rsidDel="00000000" w:rsidR="00000000" w:rsidRPr="00000000">
        <w:rPr>
          <w:rtl w:val="0"/>
        </w:rPr>
        <w:t xml:space="preserve">.</w:t>
      </w:r>
    </w:p>
    <w:p w:rsidR="00000000" w:rsidDel="00000000" w:rsidP="00000000" w:rsidRDefault="00000000" w:rsidRPr="00000000" w14:paraId="00000133">
      <w:pPr>
        <w:widowControl w:val="0"/>
        <w:spacing w:after="240" w:lineRule="auto"/>
        <w:rPr/>
      </w:pPr>
      <w:r w:rsidDel="00000000" w:rsidR="00000000" w:rsidRPr="00000000">
        <w:rPr>
          <w:rtl w:val="0"/>
        </w:rPr>
        <w:t xml:space="preserve">Wang, Y., Qin, S. and Zhang, C. (2021). Tesla’s Supply Chain Vulnerabilities in the Chinese EV Market. </w:t>
      </w:r>
      <w:r w:rsidDel="00000000" w:rsidR="00000000" w:rsidRPr="00000000">
        <w:rPr>
          <w:i w:val="1"/>
          <w:iCs w:val="1"/>
          <w:rtl w:val="0"/>
        </w:rPr>
        <w:t xml:space="preserve">Frontiers in Economics and Management</w:t>
      </w:r>
      <w:r w:rsidDel="00000000" w:rsidR="00000000" w:rsidRPr="00000000">
        <w:rPr>
          <w:rtl w:val="0"/>
        </w:rPr>
        <w:t xml:space="preserve">, [online] 2(4). doi:</w:t>
      </w:r>
      <w:hyperlink r:id="rId143">
        <w:r w:rsidDel="00000000" w:rsidR="00000000" w:rsidRPr="00000000">
          <w:rPr>
            <w:rtl w:val="0"/>
          </w:rPr>
          <w:t xml:space="preserve">https://doi.org/10.6981/FEM.202104_2(4).0015</w:t>
        </w:r>
      </w:hyperlink>
      <w:r w:rsidDel="00000000" w:rsidR="00000000" w:rsidRPr="00000000">
        <w:rPr>
          <w:rtl w:val="0"/>
        </w:rPr>
        <w:t xml:space="preserve">.</w:t>
      </w:r>
    </w:p>
    <w:p w:rsidR="00000000" w:rsidDel="00000000" w:rsidP="00000000" w:rsidRDefault="00000000" w:rsidRPr="00000000" w14:paraId="00000134">
      <w:pPr>
        <w:widowControl w:val="0"/>
        <w:spacing w:after="240" w:lineRule="auto"/>
        <w:rPr/>
      </w:pPr>
      <w:r w:rsidDel="00000000" w:rsidR="00000000" w:rsidRPr="00000000">
        <w:rPr>
          <w:rtl w:val="0"/>
        </w:rPr>
        <w:t xml:space="preserve">Whittington, R., Regnér, P., Angwin, D., Johnson, G. and Scholes, K. (2020). </w:t>
      </w:r>
      <w:r w:rsidDel="00000000" w:rsidR="00000000" w:rsidRPr="00000000">
        <w:rPr>
          <w:i w:val="1"/>
          <w:iCs w:val="1"/>
          <w:rtl w:val="0"/>
        </w:rPr>
        <w:t xml:space="preserve">Fundamentals of strategy</w:t>
      </w:r>
      <w:r w:rsidDel="00000000" w:rsidR="00000000" w:rsidRPr="00000000">
        <w:rPr>
          <w:rtl w:val="0"/>
        </w:rPr>
        <w:t xml:space="preserve">. [online] UK: Prentice Hall: Pearson Education. Available at: </w:t>
      </w:r>
      <w:hyperlink r:id="rId144">
        <w:r w:rsidDel="00000000" w:rsidR="00000000" w:rsidRPr="00000000">
          <w:rPr>
            <w:rtl w:val="0"/>
          </w:rPr>
          <w:t xml:space="preserve">https://books.google.com.bd/books?id=HDQKEAAAQBAJ</w:t>
        </w:r>
      </w:hyperlink>
      <w:r w:rsidDel="00000000" w:rsidR="00000000" w:rsidRPr="00000000">
        <w:rPr>
          <w:rtl w:val="0"/>
        </w:rPr>
        <w:t xml:space="preserve">.</w:t>
      </w:r>
    </w:p>
    <w:p w:rsidR="00000000" w:rsidDel="00000000" w:rsidP="00000000" w:rsidRDefault="00000000" w:rsidRPr="00000000" w14:paraId="00000135">
      <w:pPr>
        <w:widowControl w:val="0"/>
        <w:spacing w:after="240" w:lineRule="auto"/>
        <w:rPr/>
      </w:pPr>
      <w:r w:rsidDel="00000000" w:rsidR="00000000" w:rsidRPr="00000000">
        <w:rPr>
          <w:rtl w:val="0"/>
        </w:rPr>
        <w:t xml:space="preserve">Yoon, J. (2025). </w:t>
      </w:r>
      <w:r w:rsidDel="00000000" w:rsidR="00000000" w:rsidRPr="00000000">
        <w:rPr>
          <w:i w:val="1"/>
          <w:iCs w:val="1"/>
          <w:rtl w:val="0"/>
        </w:rPr>
        <w:t xml:space="preserve">Can Tesla stay a trillion dollar company on just two models?</w:t>
      </w:r>
      <w:r w:rsidDel="00000000" w:rsidR="00000000" w:rsidRPr="00000000">
        <w:rPr>
          <w:rtl w:val="0"/>
        </w:rPr>
        <w:t xml:space="preserve"> [online] @FinancialTimes. Available at: </w:t>
      </w:r>
      <w:hyperlink r:id="rId145">
        <w:r w:rsidDel="00000000" w:rsidR="00000000" w:rsidRPr="00000000">
          <w:rPr>
            <w:rtl w:val="0"/>
          </w:rPr>
          <w:t xml:space="preserve">https://www.ft.com/content/b3d1875f-c2c3-4b9d-86c6-cb20bb94a87b</w:t>
        </w:r>
      </w:hyperlink>
      <w:r w:rsidDel="00000000" w:rsidR="00000000" w:rsidRPr="00000000">
        <w:rPr>
          <w:rtl w:val="0"/>
        </w:rPr>
        <w:t xml:space="preserve"> [Accessed 11 Nov. 2025].</w:t>
      </w:r>
    </w:p>
    <w:p w:rsidR="00000000" w:rsidDel="00000000" w:rsidP="00000000" w:rsidRDefault="00000000" w:rsidRPr="00000000" w14:paraId="00000136">
      <w:pPr>
        <w:widowControl w:val="0"/>
        <w:spacing w:after="240" w:lineRule="auto"/>
        <w:rPr/>
      </w:pPr>
      <w:r w:rsidDel="00000000" w:rsidR="00000000" w:rsidRPr="00000000">
        <w:rPr>
          <w:rtl w:val="0"/>
        </w:rPr>
        <w:t xml:space="preserve">Zhao, X., Hu, H., Yuan, H. and Chu, X. (2023). How does adoption of electric vehicles reduce carbon emissions? Evidence from China. </w:t>
      </w:r>
      <w:r w:rsidDel="00000000" w:rsidR="00000000" w:rsidRPr="00000000">
        <w:rPr>
          <w:i w:val="1"/>
          <w:iCs w:val="1"/>
          <w:rtl w:val="0"/>
        </w:rPr>
        <w:t xml:space="preserve">Heliyon</w:t>
      </w:r>
      <w:r w:rsidDel="00000000" w:rsidR="00000000" w:rsidRPr="00000000">
        <w:rPr>
          <w:rtl w:val="0"/>
        </w:rPr>
        <w:t xml:space="preserve">, [online] 9(9). doi:</w:t>
      </w:r>
      <w:hyperlink r:id="rId146">
        <w:r w:rsidDel="00000000" w:rsidR="00000000" w:rsidRPr="00000000">
          <w:rPr>
            <w:rtl w:val="0"/>
          </w:rPr>
          <w:t xml:space="preserve">https://doi.org/10.1016/j.heliyon.2023.e20296</w:t>
        </w:r>
      </w:hyperlink>
      <w:r w:rsidDel="00000000" w:rsidR="00000000" w:rsidRPr="00000000">
        <w:rPr>
          <w:rtl w:val="0"/>
        </w:rPr>
        <w:t xml:space="preserve">.</w:t>
      </w:r>
    </w:p>
    <w:p w:rsidR="00000000" w:rsidDel="00000000" w:rsidP="00000000" w:rsidRDefault="00000000" w:rsidRPr="00000000" w14:paraId="00000137">
      <w:pPr>
        <w:widowControl w:val="0"/>
        <w:spacing w:after="240" w:lineRule="auto"/>
        <w:rPr/>
      </w:pPr>
      <w:r w:rsidDel="00000000" w:rsidR="00000000" w:rsidRPr="00000000">
        <w:rPr>
          <w:rtl w:val="0"/>
        </w:rPr>
        <w:t xml:space="preserve">Zhou, Z. (2023). Tesla Marketing Analysis. </w:t>
      </w:r>
      <w:r w:rsidDel="00000000" w:rsidR="00000000" w:rsidRPr="00000000">
        <w:rPr>
          <w:i w:val="1"/>
          <w:iCs w:val="1"/>
          <w:rtl w:val="0"/>
        </w:rPr>
        <w:t xml:space="preserve">Academic Journal of Business &amp; Management</w:t>
      </w:r>
      <w:r w:rsidDel="00000000" w:rsidR="00000000" w:rsidRPr="00000000">
        <w:rPr>
          <w:rtl w:val="0"/>
        </w:rPr>
        <w:t xml:space="preserve">, [online] 5(2), pp.171–177. doi:</w:t>
      </w:r>
      <w:hyperlink r:id="rId147">
        <w:r w:rsidDel="00000000" w:rsidR="00000000" w:rsidRPr="00000000">
          <w:rPr>
            <w:rtl w:val="0"/>
          </w:rPr>
          <w:t xml:space="preserve">https://doi.org/10.25236/ajbm.2023.050225</w:t>
        </w:r>
      </w:hyperlink>
      <w:r w:rsidDel="00000000" w:rsidR="00000000" w:rsidRPr="00000000">
        <w:rPr>
          <w:rtl w:val="0"/>
        </w:rPr>
        <w:t xml:space="preserve">.</w:t>
      </w:r>
    </w:p>
    <w:p w:rsidR="00000000" w:rsidDel="00000000" w:rsidP="00000000" w:rsidRDefault="00000000" w:rsidRPr="00000000" w14:paraId="00000138">
      <w:pPr>
        <w:rPr/>
      </w:pPr>
      <w:r w:rsidDel="00000000" w:rsidR="00000000" w:rsidRPr="00000000">
        <w:rPr>
          <w:rtl w:val="0"/>
        </w:rPr>
      </w:r>
    </w:p>
    <w:sectPr>
      <w:footerReference r:id="rId148"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28"/>
      <w:szCs w:val="28"/>
    </w:rPr>
  </w:style>
  <w:style w:type="paragraph" w:styleId="Heading2">
    <w:name w:val="heading 2"/>
    <w:basedOn w:val="Normal"/>
    <w:next w:val="Normal"/>
    <w:pPr>
      <w:keepNext w:val="1"/>
      <w:keepLines w:val="1"/>
      <w:spacing w:after="120" w:before="160" w:lineRule="auto"/>
    </w:pPr>
    <w:rPr>
      <w:b w:val="1"/>
      <w:bCs w:val="1"/>
      <w:sz w:val="28"/>
      <w:szCs w:val="28"/>
    </w:rPr>
  </w:style>
  <w:style w:type="paragraph" w:styleId="Heading3">
    <w:name w:val="heading 3"/>
    <w:basedOn w:val="Normal"/>
    <w:next w:val="Normal"/>
    <w:pPr>
      <w:keepNext w:val="1"/>
      <w:keepLines w:val="1"/>
      <w:spacing w:after="80" w:before="160" w:lineRule="auto"/>
    </w:pPr>
    <w:rPr>
      <w:b w:val="1"/>
      <w:bCs w:val="1"/>
      <w:color w:val="00b050"/>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before="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2efd9" w:val="clear"/>
      </w:tcPr>
    </w:tblStylePr>
    <w:tblStylePr w:type="band1Vert">
      <w:tcPr>
        <w:shd w:fill="e2efd9" w:val="clear"/>
      </w:tcPr>
    </w:tblStylePr>
    <w:tblStylePr w:type="firstCol">
      <w:rPr>
        <w:b w:val="1"/>
        <w:bCs w:val="1"/>
      </w:rPr>
    </w:tblStylePr>
    <w:tblStylePr w:type="firstRow">
      <w:rPr>
        <w:b w:val="1"/>
        <w:bCs w:val="1"/>
        <w:color w:val="ffffff"/>
      </w:rPr>
      <w:tcPr>
        <w:tcBorders>
          <w:top w:color="70ad47" w:space="0" w:sz="4" w:val="single"/>
          <w:left w:color="70ad47" w:space="0" w:sz="4" w:val="single"/>
          <w:bottom w:color="70ad47" w:space="0" w:sz="4" w:val="single"/>
          <w:right w:color="70ad47" w:space="0" w:sz="4" w:val="single"/>
          <w:insideH w:color="000000" w:space="0" w:sz="0" w:val="nil"/>
          <w:insideV w:color="000000" w:space="0" w:sz="0" w:val="nil"/>
        </w:tcBorders>
        <w:shd w:fill="70ad47" w:val="clear"/>
      </w:tcPr>
    </w:tblStylePr>
    <w:tblStylePr w:type="lastCol">
      <w:rPr>
        <w:b w:val="1"/>
        <w:bCs w:val="1"/>
      </w:rPr>
    </w:tblStylePr>
    <w:tblStylePr w:type="lastRow">
      <w:rPr>
        <w:b w:val="1"/>
        <w:bCs w:val="1"/>
      </w:rPr>
      <w:tcPr>
        <w:tcBorders>
          <w:top w:color="70ad47"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2efd9" w:val="clear"/>
      </w:tcPr>
    </w:tblStylePr>
    <w:tblStylePr w:type="band1Vert">
      <w:tcPr>
        <w:shd w:fill="e2efd9" w:val="clear"/>
      </w:tcPr>
    </w:tblStylePr>
    <w:tblStylePr w:type="firstCol">
      <w:rPr>
        <w:b w:val="1"/>
        <w:bCs w:val="1"/>
      </w:rPr>
    </w:tblStylePr>
    <w:tblStylePr w:type="firstRow">
      <w:rPr>
        <w:b w:val="1"/>
        <w:bCs w:val="1"/>
        <w:color w:val="ffffff"/>
      </w:rPr>
      <w:tcPr>
        <w:tcBorders>
          <w:top w:color="70ad47" w:space="0" w:sz="4" w:val="single"/>
          <w:left w:color="70ad47" w:space="0" w:sz="4" w:val="single"/>
          <w:bottom w:color="70ad47" w:space="0" w:sz="4" w:val="single"/>
          <w:right w:color="70ad47" w:space="0" w:sz="4" w:val="single"/>
          <w:insideH w:color="000000" w:space="0" w:sz="0" w:val="nil"/>
          <w:insideV w:color="000000" w:space="0" w:sz="0" w:val="nil"/>
        </w:tcBorders>
        <w:shd w:fill="70ad47" w:val="clear"/>
      </w:tcPr>
    </w:tblStylePr>
    <w:tblStylePr w:type="lastCol">
      <w:rPr>
        <w:b w:val="1"/>
        <w:bCs w:val="1"/>
      </w:rPr>
    </w:tblStylePr>
    <w:tblStylePr w:type="lastRow">
      <w:rPr>
        <w:b w:val="1"/>
        <w:bCs w:val="1"/>
      </w:rPr>
      <w:tcPr>
        <w:tcBorders>
          <w:top w:color="70ad47" w:space="0" w:sz="4" w:val="single"/>
        </w:tcBorders>
      </w:tcPr>
    </w:tblStylePr>
  </w:style>
</w:styles>
</file>

<file path=word/_rels/document.xml.rels><?xml version="1.0" encoding="UTF-8" standalone="yes"?><Relationships xmlns="http://schemas.openxmlformats.org/package/2006/relationships"><Relationship Id="rId40" Type="http://schemas.openxmlformats.org/officeDocument/2006/relationships/diagramQuickStyle" Target="diagrams/quickStyle8.xml"/><Relationship Id="rId42" Type="http://schemas.openxmlformats.org/officeDocument/2006/relationships/diagramColors" Target="diagrams/colors7.xml"/><Relationship Id="rId41" Type="http://schemas.openxmlformats.org/officeDocument/2006/relationships/hyperlink" Target="https://doi.org/10.2139/ssrn.4453857" TargetMode="External"/><Relationship Id="rId44" Type="http://schemas.openxmlformats.org/officeDocument/2006/relationships/diagramData" Target="diagrams/data7.xml"/><Relationship Id="rId43" Type="http://schemas.microsoft.com/office/2007/relationships/diagramDrawing" Target="diagrams/drawing8.xml"/><Relationship Id="rId46" Type="http://schemas.openxmlformats.org/officeDocument/2006/relationships/diagramQuickStyle" Target="diagrams/quickStyle7.xml"/><Relationship Id="rId45" Type="http://schemas.openxmlformats.org/officeDocument/2006/relationships/diagramLayout" Target="diagrams/layout7.xml"/><Relationship Id="rId107" Type="http://schemas.openxmlformats.org/officeDocument/2006/relationships/hyperlink" Target="http://koreascience.or.kr/article/JAKO202329757604681.page" TargetMode="External"/><Relationship Id="rId106" Type="http://schemas.openxmlformats.org/officeDocument/2006/relationships/hyperlink" Target="https://www.hbs.edu/bigs/the-state-of-ev-charging-in-america" TargetMode="External"/><Relationship Id="rId105" Type="http://schemas.openxmlformats.org/officeDocument/2006/relationships/hyperlink" Target="https://books.google.com.bd/books?id=leNGzwEACAAJ" TargetMode="External"/><Relationship Id="rId104" Type="http://schemas.openxmlformats.org/officeDocument/2006/relationships/hyperlink" Target="https://www.coxautoinc.com/insights-hub/ev-market-monitor-november-2025/" TargetMode="External"/><Relationship Id="rId109" Type="http://schemas.openxmlformats.org/officeDocument/2006/relationships/hyperlink" Target="https://doi.org/10.31273/eirj.v10i1.362" TargetMode="External"/><Relationship Id="rId108" Type="http://schemas.openxmlformats.org/officeDocument/2006/relationships/hyperlink" Target="https://doi.org/doi/10.2861/1724777" TargetMode="External"/><Relationship Id="rId48" Type="http://schemas.microsoft.com/office/2007/relationships/diagramDrawing" Target="diagrams/drawing7.xml"/><Relationship Id="rId47" Type="http://schemas.openxmlformats.org/officeDocument/2006/relationships/hyperlink" Target="https://doi.org/10.1016/j.emj.2022.04.004" TargetMode="External"/><Relationship Id="rId49" Type="http://schemas.openxmlformats.org/officeDocument/2006/relationships/diagramColors" Target="diagrams/colors11.xml"/><Relationship Id="rId103" Type="http://schemas.openxmlformats.org/officeDocument/2006/relationships/hyperlink" Target="https://www.coxautoinc.com/insights-hub/cox-automotive-forecast-dec-2025-u-s-auto-sales-forecast/" TargetMode="External"/><Relationship Id="rId102" Type="http://schemas.openxmlformats.org/officeDocument/2006/relationships/hyperlink" Target="https://books.google.com.bd/books?id=deosEAAAQBAJ" TargetMode="External"/><Relationship Id="rId101" Type="http://schemas.openxmlformats.org/officeDocument/2006/relationships/diagramQuickStyle" Target="diagrams/quickStyle17.xml"/><Relationship Id="rId100" Type="http://schemas.openxmlformats.org/officeDocument/2006/relationships/diagramLayout" Target="diagrams/layout17.xml"/><Relationship Id="rId31" Type="http://schemas.openxmlformats.org/officeDocument/2006/relationships/diagramData" Target="diagrams/data5.xml"/><Relationship Id="rId30" Type="http://schemas.openxmlformats.org/officeDocument/2006/relationships/diagramColors" Target="diagrams/colors5.xml"/><Relationship Id="rId33" Type="http://schemas.microsoft.com/office/2007/relationships/diagramDrawing" Target="diagrams/drawing6.xml"/><Relationship Id="rId32" Type="http://schemas.openxmlformats.org/officeDocument/2006/relationships/diagramLayout" Target="diagrams/layout5.xml"/><Relationship Id="rId35" Type="http://schemas.openxmlformats.org/officeDocument/2006/relationships/image" Target="media/image2.png"/><Relationship Id="rId34" Type="http://schemas.openxmlformats.org/officeDocument/2006/relationships/diagramQuickStyle" Target="diagrams/quickStyle5.xml"/><Relationship Id="rId37" Type="http://schemas.openxmlformats.org/officeDocument/2006/relationships/diagramData" Target="diagrams/data8.xml"/><Relationship Id="rId36" Type="http://schemas.openxmlformats.org/officeDocument/2006/relationships/diagramColors" Target="diagrams/colors8.xml"/><Relationship Id="rId39" Type="http://schemas.openxmlformats.org/officeDocument/2006/relationships/diagramLayout" Target="diagrams/layout8.xml"/><Relationship Id="rId38" Type="http://schemas.microsoft.com/office/2007/relationships/diagramDrawing" Target="diagrams/drawing5.xml"/><Relationship Id="rId20" Type="http://schemas.openxmlformats.org/officeDocument/2006/relationships/diagramLayout" Target="diagrams/layout3.xml"/><Relationship Id="rId22" Type="http://schemas.openxmlformats.org/officeDocument/2006/relationships/numbering" Target="numbering.xml"/><Relationship Id="rId21" Type="http://schemas.openxmlformats.org/officeDocument/2006/relationships/diagramQuickStyle" Target="diagrams/quickStyle3.xml"/><Relationship Id="rId24" Type="http://schemas.openxmlformats.org/officeDocument/2006/relationships/diagramColors" Target="diagrams/colors6.xml"/><Relationship Id="rId23" Type="http://schemas.microsoft.com/office/2007/relationships/diagramDrawing" Target="diagrams/drawing4.xml"/><Relationship Id="rId129" Type="http://schemas.openxmlformats.org/officeDocument/2006/relationships/hyperlink" Target="https://books.google.com.bd/books?id=kcdVDwAAQBAJ" TargetMode="External"/><Relationship Id="rId128" Type="http://schemas.openxmlformats.org/officeDocument/2006/relationships/hyperlink" Target="https://doi.org/10.2991/978-94-6463-748-9_100" TargetMode="External"/><Relationship Id="rId127" Type="http://schemas.openxmlformats.org/officeDocument/2006/relationships/hyperlink" Target="https://doi.org/10.1088/1755-1315/692/2/022103" TargetMode="External"/><Relationship Id="rId126" Type="http://schemas.openxmlformats.org/officeDocument/2006/relationships/hyperlink" Target="https://doi.org/10.1007/9783031839115_21" TargetMode="External"/><Relationship Id="rId26" Type="http://schemas.openxmlformats.org/officeDocument/2006/relationships/diagramLayout" Target="diagrams/layout6.xml"/><Relationship Id="rId121" Type="http://schemas.openxmlformats.org/officeDocument/2006/relationships/hyperlink" Target="https://ijees.org/index.php/ijees/article/view/70" TargetMode="External"/><Relationship Id="rId25" Type="http://schemas.openxmlformats.org/officeDocument/2006/relationships/diagramData" Target="diagrams/data6.xml"/><Relationship Id="rId120" Type="http://schemas.openxmlformats.org/officeDocument/2006/relationships/hyperlink" Target="https://www.theguardian.com/business/2025/nov/07/china-in-push-to-dominate-europe-electric-vehicle-market-with-uk-as-gateway" TargetMode="External"/><Relationship Id="rId28" Type="http://schemas.microsoft.com/office/2007/relationships/diagramDrawing" Target="diagrams/drawing3.xml"/><Relationship Id="rId27" Type="http://schemas.openxmlformats.org/officeDocument/2006/relationships/diagramQuickStyle" Target="diagrams/quickStyle6.xml"/><Relationship Id="rId125" Type="http://schemas.openxmlformats.org/officeDocument/2006/relationships/hyperlink" Target="https://doi.org/10.1007/9783031839115_21" TargetMode="External"/><Relationship Id="rId29" Type="http://schemas.openxmlformats.org/officeDocument/2006/relationships/styles" Target="styles.xml"/><Relationship Id="rId124" Type="http://schemas.openxmlformats.org/officeDocument/2006/relationships/hyperlink" Target="https://doi.org/10.1017/pds.2023.329" TargetMode="External"/><Relationship Id="rId123" Type="http://schemas.openxmlformats.org/officeDocument/2006/relationships/hyperlink" Target="https://www.mckinsey.com/industries/automotive-and-assembly/our-insights/could-extended-range-evs-nudge-more-car-buyers-toward-full-electric" TargetMode="External"/><Relationship Id="rId122" Type="http://schemas.openxmlformats.org/officeDocument/2006/relationships/hyperlink" Target="https://carboncredits.com/2025-ev-sales-surge-which-countries-are-winning-the-electric-race/" TargetMode="External"/><Relationship Id="rId95" Type="http://schemas.openxmlformats.org/officeDocument/2006/relationships/diagramLayout" Target="diagrams/layout16.xml"/><Relationship Id="rId94" Type="http://schemas.openxmlformats.org/officeDocument/2006/relationships/diagramData" Target="diagrams/data16.xml"/><Relationship Id="rId97" Type="http://schemas.openxmlformats.org/officeDocument/2006/relationships/hyperlink" Target="https://hbr.org/podcast/2025/02/what-the-ev-industrys-challenges-reveal-about-innovation-and-regulation" TargetMode="External"/><Relationship Id="rId96" Type="http://schemas.openxmlformats.org/officeDocument/2006/relationships/diagramQuickStyle" Target="diagrams/quickStyle16.xml"/><Relationship Id="rId11" Type="http://schemas.openxmlformats.org/officeDocument/2006/relationships/diagramColors" Target="diagrams/colors4.xml"/><Relationship Id="rId99" Type="http://schemas.openxmlformats.org/officeDocument/2006/relationships/diagramData" Target="diagrams/data17.xml"/><Relationship Id="rId10" Type="http://schemas.openxmlformats.org/officeDocument/2006/relationships/settings" Target="settings.xml"/><Relationship Id="rId98" Type="http://schemas.openxmlformats.org/officeDocument/2006/relationships/diagramColors" Target="diagrams/colors17.xml"/><Relationship Id="rId13" Type="http://schemas.microsoft.com/office/2007/relationships/diagramDrawing" Target="diagrams/drawing2.xml"/><Relationship Id="rId12" Type="http://schemas.openxmlformats.org/officeDocument/2006/relationships/diagramData" Target="diagrams/data4.xml"/><Relationship Id="rId91" Type="http://schemas.openxmlformats.org/officeDocument/2006/relationships/hyperlink" Target="https://doi.org/10.37625/abr.28.1.319-343" TargetMode="External"/><Relationship Id="rId90" Type="http://schemas.openxmlformats.org/officeDocument/2006/relationships/diagramQuickStyle" Target="diagrams/quickStyle15.xml"/><Relationship Id="rId93" Type="http://schemas.microsoft.com/office/2007/relationships/diagramDrawing" Target="diagrams/drawing17.xml"/><Relationship Id="rId92" Type="http://schemas.openxmlformats.org/officeDocument/2006/relationships/diagramColors" Target="diagrams/colors16.xml"/><Relationship Id="rId118" Type="http://schemas.openxmlformats.org/officeDocument/2006/relationships/hyperlink" Target="https://www.iea.org/reports/global-ev-outlook-2025" TargetMode="External"/><Relationship Id="rId117" Type="http://schemas.openxmlformats.org/officeDocument/2006/relationships/hyperlink" Target="https://doi.org/10.54691/bcpbm.v38i.3899" TargetMode="External"/><Relationship Id="rId116" Type="http://schemas.openxmlformats.org/officeDocument/2006/relationships/hyperlink" Target="https://doi.org/10.22158/mmse.v6n2p53" TargetMode="External"/><Relationship Id="rId115" Type="http://schemas.openxmlformats.org/officeDocument/2006/relationships/hyperlink" Target="https://books.google.com.bd/books?id=4Gp9zgEACAAJ" TargetMode="External"/><Relationship Id="rId119" Type="http://schemas.openxmlformats.org/officeDocument/2006/relationships/hyperlink" Target="https://www.ft.com/content/81f97fd3-c889-46af-990c-051d32821102" TargetMode="External"/><Relationship Id="rId15" Type="http://schemas.openxmlformats.org/officeDocument/2006/relationships/diagramQuickStyle" Target="diagrams/quickStyle4.xml"/><Relationship Id="rId110" Type="http://schemas.openxmlformats.org/officeDocument/2006/relationships/hyperlink" Target="https://doi.org/10.2753/MTP10696679220401" TargetMode="External"/><Relationship Id="rId14" Type="http://schemas.openxmlformats.org/officeDocument/2006/relationships/diagramLayout" Target="diagrams/layout4.xml"/><Relationship Id="rId17" Type="http://schemas.openxmlformats.org/officeDocument/2006/relationships/diagramColors" Target="diagrams/colors3.xml"/><Relationship Id="rId16" Type="http://schemas.openxmlformats.org/officeDocument/2006/relationships/fontTable" Target="fontTable.xml"/><Relationship Id="rId19" Type="http://schemas.openxmlformats.org/officeDocument/2006/relationships/diagramData" Target="diagrams/data3.xml"/><Relationship Id="rId114" Type="http://schemas.openxmlformats.org/officeDocument/2006/relationships/hyperlink" Target="https://www.ft.com/content/faa69e29-bc47-46ae-80c7-8240d0aae9e6" TargetMode="External"/><Relationship Id="rId18" Type="http://schemas.microsoft.com/office/2007/relationships/diagramDrawing" Target="diagrams/drawing1.xml"/><Relationship Id="rId113" Type="http://schemas.openxmlformats.org/officeDocument/2006/relationships/hyperlink" Target="https://doi.org/10.1007/s10869022098106" TargetMode="External"/><Relationship Id="rId112" Type="http://schemas.openxmlformats.org/officeDocument/2006/relationships/hyperlink" Target="https://doi.org/10.2139/ssrn.5258192" TargetMode="External"/><Relationship Id="rId111" Type="http://schemas.openxmlformats.org/officeDocument/2006/relationships/hyperlink" Target="https://doi.org/10.54097/es6rry79" TargetMode="External"/><Relationship Id="rId84" Type="http://schemas.openxmlformats.org/officeDocument/2006/relationships/diagramQuickStyle" Target="diagrams/quickStyle14.xml"/><Relationship Id="rId83" Type="http://schemas.microsoft.com/office/2007/relationships/diagramDrawing" Target="diagrams/drawing15.xml"/><Relationship Id="rId86" Type="http://schemas.openxmlformats.org/officeDocument/2006/relationships/diagramColors" Target="diagrams/colors15.xml"/><Relationship Id="rId85" Type="http://schemas.openxmlformats.org/officeDocument/2006/relationships/hyperlink" Target="https://books.google.com.bd/books?id=6ntE9TLr7YYC" TargetMode="External"/><Relationship Id="rId88" Type="http://schemas.microsoft.com/office/2007/relationships/diagramDrawing" Target="diagrams/drawing16.xml"/><Relationship Id="rId87" Type="http://schemas.openxmlformats.org/officeDocument/2006/relationships/diagramData" Target="diagrams/data15.xml"/><Relationship Id="rId89" Type="http://schemas.openxmlformats.org/officeDocument/2006/relationships/diagramLayout" Target="diagrams/layout15.xml"/><Relationship Id="rId80" Type="http://schemas.openxmlformats.org/officeDocument/2006/relationships/diagramColors" Target="diagrams/colors14.xml"/><Relationship Id="rId82" Type="http://schemas.openxmlformats.org/officeDocument/2006/relationships/diagramLayout" Target="diagrams/layout14.xml"/><Relationship Id="rId81" Type="http://schemas.openxmlformats.org/officeDocument/2006/relationships/diagramData" Target="diagrams/data14.xml"/><Relationship Id="rId1" Type="http://schemas.openxmlformats.org/officeDocument/2006/relationships/diagramColors" Target="diagrams/colors2.xml"/><Relationship Id="rId2" Type="http://schemas.openxmlformats.org/officeDocument/2006/relationships/diagramData" Target="diagrams/data2.xml"/><Relationship Id="rId3" Type="http://schemas.openxmlformats.org/officeDocument/2006/relationships/diagramLayout" Target="diagrams/layout2.xml"/><Relationship Id="rId4" Type="http://schemas.openxmlformats.org/officeDocument/2006/relationships/diagramQuickStyle" Target="diagrams/quickStyle2.xml"/><Relationship Id="rId148" Type="http://schemas.openxmlformats.org/officeDocument/2006/relationships/footer" Target="footer1.xml"/><Relationship Id="rId9" Type="http://schemas.openxmlformats.org/officeDocument/2006/relationships/diagramQuickStyle" Target="diagrams/quickStyle1.xml"/><Relationship Id="rId143" Type="http://schemas.openxmlformats.org/officeDocument/2006/relationships/hyperlink" Target="https://doi.org/10.6981/FEM.202104_2(4).0015" TargetMode="External"/><Relationship Id="rId142" Type="http://schemas.openxmlformats.org/officeDocument/2006/relationships/hyperlink" Target="https://doi.org/10.1504/ijatm.2022.124377" TargetMode="External"/><Relationship Id="rId141" Type="http://schemas.openxmlformats.org/officeDocument/2006/relationships/hyperlink" Target="https://www.mckinsey.com/industries/automotive-and-assembly/our-insights/europes-economic-potential-in-the-shift-to-electric-vehicles" TargetMode="External"/><Relationship Id="rId140" Type="http://schemas.openxmlformats.org/officeDocument/2006/relationships/hyperlink" Target="https://assets-ir.tesla.com/tesla-contents/IR/TSLA-Q3-2025-Update.pdf" TargetMode="External"/><Relationship Id="rId5" Type="http://schemas.openxmlformats.org/officeDocument/2006/relationships/theme" Target="theme/theme1.xml"/><Relationship Id="rId147" Type="http://schemas.openxmlformats.org/officeDocument/2006/relationships/hyperlink" Target="https://doi.org/10.25236/ajbm.2023.050225" TargetMode="External"/><Relationship Id="rId6" Type="http://schemas.openxmlformats.org/officeDocument/2006/relationships/diagramColors" Target="diagrams/colors1.xml"/><Relationship Id="rId146" Type="http://schemas.openxmlformats.org/officeDocument/2006/relationships/hyperlink" Target="https://doi.org/10.1016/j.heliyon.2023.e20296" TargetMode="External"/><Relationship Id="rId7" Type="http://schemas.openxmlformats.org/officeDocument/2006/relationships/diagramData" Target="diagrams/data1.xml"/><Relationship Id="rId145" Type="http://schemas.openxmlformats.org/officeDocument/2006/relationships/hyperlink" Target="https://www.ft.com/content/b3d1875f-c2c3-4b9d-86c6-cb20bb94a87b" TargetMode="External"/><Relationship Id="rId8" Type="http://schemas.openxmlformats.org/officeDocument/2006/relationships/diagramLayout" Target="diagrams/layout1.xml"/><Relationship Id="rId144" Type="http://schemas.openxmlformats.org/officeDocument/2006/relationships/hyperlink" Target="https://books.google.com.bd/books?id=HDQKEAAAQBAJ" TargetMode="External"/><Relationship Id="rId73" Type="http://schemas.microsoft.com/office/2007/relationships/diagramDrawing" Target="diagrams/drawing13.xml"/><Relationship Id="rId72" Type="http://schemas.openxmlformats.org/officeDocument/2006/relationships/hyperlink" Target="https://books.google.com.bd/books?id=tAvmTk8aPbMC" TargetMode="External"/><Relationship Id="rId75" Type="http://schemas.openxmlformats.org/officeDocument/2006/relationships/diagramData" Target="diagrams/data13.xml"/><Relationship Id="rId74" Type="http://schemas.openxmlformats.org/officeDocument/2006/relationships/diagramColors" Target="diagrams/colors13.xml"/><Relationship Id="rId77" Type="http://schemas.openxmlformats.org/officeDocument/2006/relationships/diagramQuickStyle" Target="diagrams/quickStyle13.xml"/><Relationship Id="rId76" Type="http://schemas.openxmlformats.org/officeDocument/2006/relationships/diagramLayout" Target="diagrams/layout13.xml"/><Relationship Id="rId79" Type="http://schemas.openxmlformats.org/officeDocument/2006/relationships/hyperlink" Target="https://books.google.com.bd/books?id=Y5kcnwEACAAJ" TargetMode="External"/><Relationship Id="rId78" Type="http://schemas.microsoft.com/office/2007/relationships/diagramDrawing" Target="diagrams/drawing14.xml"/><Relationship Id="rId71" Type="http://schemas.openxmlformats.org/officeDocument/2006/relationships/diagramQuickStyle" Target="diagrams/quickStyle12.xml"/><Relationship Id="rId70" Type="http://schemas.openxmlformats.org/officeDocument/2006/relationships/diagramLayout" Target="diagrams/layout12.xml"/><Relationship Id="rId139" Type="http://schemas.openxmlformats.org/officeDocument/2006/relationships/hyperlink" Target="https://www.tesla.com/ns_videos/2024-extended-version-tesla-impact-report.pdf" TargetMode="External"/><Relationship Id="rId138" Type="http://schemas.openxmlformats.org/officeDocument/2006/relationships/hyperlink" Target="https://doi.org/10.2991/aebmr.k.220405.015" TargetMode="External"/><Relationship Id="rId137" Type="http://schemas.openxmlformats.org/officeDocument/2006/relationships/hyperlink" Target="https://hbr.org/2020/02/how-tesla-sets-itself-apart" TargetMode="External"/><Relationship Id="rId132" Type="http://schemas.openxmlformats.org/officeDocument/2006/relationships/hyperlink" Target="https://evmagazine.com/mobility/gartner-global-ev-adoption-to-hit-85-million-by-2025" TargetMode="External"/><Relationship Id="rId131" Type="http://schemas.openxmlformats.org/officeDocument/2006/relationships/hyperlink" Target="https://www.latimes.com/business/story/2025-12-04/tesla-makes-first-appearance-in-consumer-reports-top-10-reliability-rankings" TargetMode="External"/><Relationship Id="rId130" Type="http://schemas.openxmlformats.org/officeDocument/2006/relationships/hyperlink" Target="https://www.bbc.com/news/articles/crr7w98qp4jo" TargetMode="External"/><Relationship Id="rId136" Type="http://schemas.openxmlformats.org/officeDocument/2006/relationships/hyperlink" Target="https://doi.org/10.3390/su142416684" TargetMode="External"/><Relationship Id="rId135" Type="http://schemas.openxmlformats.org/officeDocument/2006/relationships/hyperlink" Target="https://www.reuters.com/business/autos-transportation/evs-will-be-cheaper-produce-than-gas-powered-vehicles-by-2027-gartner-says-2024-03-07/" TargetMode="External"/><Relationship Id="rId134" Type="http://schemas.openxmlformats.org/officeDocument/2006/relationships/hyperlink" Target="https://doi.org/10.1016/j.jclepro.2024.144357" TargetMode="External"/><Relationship Id="rId133" Type="http://schemas.openxmlformats.org/officeDocument/2006/relationships/hyperlink" Target="https://doi.org/10.1016/j.resconrec.2022.106484" TargetMode="External"/><Relationship Id="rId62" Type="http://schemas.openxmlformats.org/officeDocument/2006/relationships/diagramData" Target="diagrams/data10.xml"/><Relationship Id="rId61" Type="http://schemas.openxmlformats.org/officeDocument/2006/relationships/diagramColors" Target="diagrams/colors10.xml"/><Relationship Id="rId64" Type="http://schemas.openxmlformats.org/officeDocument/2006/relationships/diagramLayout" Target="diagrams/layout10.xml"/><Relationship Id="rId63" Type="http://schemas.microsoft.com/office/2007/relationships/diagramDrawing" Target="diagrams/drawing10.xml"/><Relationship Id="rId66" Type="http://schemas.openxmlformats.org/officeDocument/2006/relationships/hyperlink" Target="https://www.mckinsey.com/capabilities/operations/our-insights/automotive-product-development-accelerating-to-new-horizons" TargetMode="External"/><Relationship Id="rId65" Type="http://schemas.openxmlformats.org/officeDocument/2006/relationships/diagramQuickStyle" Target="diagrams/quickStyle10.xml"/><Relationship Id="rId68" Type="http://schemas.microsoft.com/office/2007/relationships/diagramDrawing" Target="diagrams/drawing12.xml"/><Relationship Id="rId67" Type="http://schemas.openxmlformats.org/officeDocument/2006/relationships/diagramColors" Target="diagrams/colors12.xml"/><Relationship Id="rId60" Type="http://schemas.openxmlformats.org/officeDocument/2006/relationships/hyperlink" Target="https://doi.org/10.1177/239700221502900101" TargetMode="External"/><Relationship Id="rId69" Type="http://schemas.openxmlformats.org/officeDocument/2006/relationships/diagramData" Target="diagrams/data12.xml"/><Relationship Id="rId51" Type="http://schemas.openxmlformats.org/officeDocument/2006/relationships/diagramLayout" Target="diagrams/layout11.xml"/><Relationship Id="rId50" Type="http://schemas.openxmlformats.org/officeDocument/2006/relationships/diagramData" Target="diagrams/data11.xml"/><Relationship Id="rId53" Type="http://schemas.microsoft.com/office/2007/relationships/diagramDrawing" Target="diagrams/drawing11.xml"/><Relationship Id="rId52" Type="http://schemas.openxmlformats.org/officeDocument/2006/relationships/diagramQuickStyle" Target="diagrams/quickStyle11.xml"/><Relationship Id="rId55" Type="http://schemas.openxmlformats.org/officeDocument/2006/relationships/diagramColors" Target="diagrams/colors9.xml"/><Relationship Id="rId54" Type="http://schemas.openxmlformats.org/officeDocument/2006/relationships/hyperlink" Target="https://smartcar.com/blog/2024-ev-statistic" TargetMode="External"/><Relationship Id="rId57" Type="http://schemas.openxmlformats.org/officeDocument/2006/relationships/diagramLayout" Target="diagrams/layout9.xml"/><Relationship Id="rId56" Type="http://schemas.openxmlformats.org/officeDocument/2006/relationships/diagramData" Target="diagrams/data9.xml"/><Relationship Id="rId59" Type="http://schemas.openxmlformats.org/officeDocument/2006/relationships/diagramQuickStyle" Target="diagrams/quickStyle9.xml"/><Relationship Id="rId58" Type="http://schemas.microsoft.com/office/2007/relationships/diagramDrawing" Target="diagrams/drawing9.xml"/></Relationships>
</file>

<file path=word/diagrams/_rels/data1.xml.rels><?xml version="1.0" encoding="UTF-8" standalone="yes"?><Relationships xmlns="http://schemas.openxmlformats.org/package/2006/relationships"><Relationship Id="rId8" Type="http://schemas.openxmlformats.org/officeDocument/2006/relationships/image" Target="../media/image1.png"/></Relationships>
</file>

<file path=word/diagrams/_rels/data2.xml.rels><?xml version="1.0" encoding="UTF-8" standalone="yes"?><Relationships xmlns="http://schemas.openxmlformats.org/package/2006/relationships"><Relationship Id="rId8" Type="http://schemas.openxmlformats.org/officeDocument/2006/relationships/image" Target="../media/image1.png"/></Relationships>
</file>

<file path=word/diagrams/_rels/data3.xml.rels><?xml version="1.0" encoding="UTF-8" standalone="yes"?><Relationships xmlns="http://schemas.openxmlformats.org/package/2006/relationships"><Relationship Id="rId8" Type="http://schemas.openxmlformats.org/officeDocument/2006/relationships/image" Target="../media/image1.png"/></Relationships>
</file>

<file path=word/diagrams/_rels/data4.xml.rels><?xml version="1.0" encoding="UTF-8" standalone="yes"?><Relationships xmlns="http://schemas.openxmlformats.org/package/2006/relationships"><Relationship Id="rId8" Type="http://schemas.openxmlformats.org/officeDocument/2006/relationships/image" Target="../media/image1.png"/></Relationships>
</file>

<file path=word/diagrams/_rels/data5.xml.rels><?xml version="1.0" encoding="UTF-8" standalone="yes"?><Relationships xmlns="http://schemas.openxmlformats.org/package/2006/relationships"><Relationship Id="rId8" Type="http://schemas.openxmlformats.org/officeDocument/2006/relationships/image" Target="../media/image1.png"/></Relationships>
</file>

<file path=word/diagrams/_rels/data6.xml.rels><?xml version="1.0" encoding="UTF-8" standalone="yes"?><Relationships xmlns="http://schemas.openxmlformats.org/package/2006/relationships"><Relationship Id="rId8" Type="http://schemas.openxmlformats.org/officeDocument/2006/relationships/image" Target="../media/image1.png"/></Relationships>
</file>

<file path=word/diagrams/_rels/data7.xml.rels><?xml version="1.0" encoding="UTF-8" standalone="yes"?><Relationships xmlns="http://schemas.openxmlformats.org/package/2006/relationships"><Relationship Id="rId8" Type="http://schemas.openxmlformats.org/officeDocument/2006/relationships/image" Target="../media/image1.png"/></Relationships>
</file>

<file path=word/diagrams/_rels/data8.xml.rels><?xml version="1.0" encoding="UTF-8" standalone="yes"?><Relationships xmlns="http://schemas.openxmlformats.org/package/2006/relationships"><Relationship Id="rId8" Type="http://schemas.openxmlformats.org/officeDocument/2006/relationships/image" Target="../media/image1.png"/></Relationships>
</file>

<file path=word/diagrams/_rels/data9.xml.rels><?xml version="1.0" encoding="UTF-8" standalone="yes"?><Relationships xmlns="http://schemas.openxmlformats.org/package/2006/relationships"><Relationship Id="rId8" Type="http://schemas.openxmlformats.org/officeDocument/2006/relationships/image" Target="../media/image1.png"/></Relationships>
</file>

<file path=word/diagrams/_rels/data10.xml.rels><?xml version="1.0" encoding="UTF-8" standalone="yes"?><Relationships xmlns="http://schemas.openxmlformats.org/package/2006/relationships"><Relationship Id="rId8" Type="http://schemas.openxmlformats.org/officeDocument/2006/relationships/image" Target="../media/image1.png"/></Relationships>
</file>

<file path=word/diagrams/_rels/data11.xml.rels><?xml version="1.0" encoding="UTF-8" standalone="yes"?><Relationships xmlns="http://schemas.openxmlformats.org/package/2006/relationships"><Relationship Id="rId8" Type="http://schemas.openxmlformats.org/officeDocument/2006/relationships/image" Target="../media/image1.png"/></Relationships>
</file>

<file path=word/diagrams/_rels/data12.xml.rels><?xml version="1.0" encoding="UTF-8" standalone="yes"?><Relationships xmlns="http://schemas.openxmlformats.org/package/2006/relationships"><Relationship Id="rId8" Type="http://schemas.openxmlformats.org/officeDocument/2006/relationships/image" Target="../media/image1.png"/></Relationships>
</file>

<file path=word/diagrams/_rels/data13.xml.rels><?xml version="1.0" encoding="UTF-8" standalone="yes"?><Relationships xmlns="http://schemas.openxmlformats.org/package/2006/relationships"><Relationship Id="rId8" Type="http://schemas.openxmlformats.org/officeDocument/2006/relationships/image" Target="../media/image1.png"/></Relationships>
</file>

<file path=word/diagrams/_rels/data14.xml.rels><?xml version="1.0" encoding="UTF-8" standalone="yes"?><Relationships xmlns="http://schemas.openxmlformats.org/package/2006/relationships"><Relationship Id="rId8" Type="http://schemas.openxmlformats.org/officeDocument/2006/relationships/image" Target="../media/image1.png"/></Relationships>
</file>

<file path=word/diagrams/_rels/data15.xml.rels><?xml version="1.0" encoding="UTF-8" standalone="yes"?><Relationships xmlns="http://schemas.openxmlformats.org/package/2006/relationships"><Relationship Id="rId8" Type="http://schemas.openxmlformats.org/officeDocument/2006/relationships/image" Target="../media/image1.png"/></Relationships>
</file>

<file path=word/diagrams/_rels/data16.xml.rels><?xml version="1.0" encoding="UTF-8" standalone="yes"?><Relationships xmlns="http://schemas.openxmlformats.org/package/2006/relationships"><Relationship Id="rId8" Type="http://schemas.openxmlformats.org/officeDocument/2006/relationships/image" Target="../media/image1.png"/></Relationships>
</file>

<file path=word/diagrams/_rels/data17.xml.rels><?xml version="1.0" encoding="UTF-8" standalone="yes"?><Relationships xmlns="http://schemas.openxmlformats.org/package/2006/relationships"><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AC12BC-9C84-4331-8BF6-5DC76BCF404F}" type="doc">
      <dgm:prSet loTypeId="urn:microsoft.com/office/officeart/2008/layout/LinedList" loCatId="list" qsTypeId="urn:microsoft.com/office/officeart/2005/8/quickstyle/simple1" qsCatId="simple" csTypeId="urn:microsoft.com/office/officeart/2005/8/colors/colorful3" csCatId="colorful" phldr="1"/>
      <dgm:spPr/>
      <dgm:t>
        <a:bodyPr/>
        <a:lstStyle/>
        <a:p>
          <a:endParaRPr lang="en-US"/>
        </a:p>
      </dgm:t>
    </dgm:pt>
    <dgm:pt modelId="{803A4AB6-372F-4822-9F61-1AA428F21080}">
      <dgm:prSet phldrT="[Text]" custT="1"/>
      <dgm:spPr/>
      <dgm:t>
        <a:bodyPr/>
        <a:lstStyle/>
        <a:p>
          <a:pPr algn="ctr">
            <a:buNone/>
          </a:pPr>
          <a:r>
            <a:rPr lang="en-US" sz="1200">
              <a:latin typeface="Times New Roman" panose="02020603050405020304" pitchFamily="18" charset="0"/>
              <a:cs typeface="Times New Roman" panose="02020603050405020304" pitchFamily="18" charset="0"/>
            </a:rPr>
            <a:t>SG&amp;A growth trajectory</a:t>
          </a:r>
        </a:p>
      </dgm:t>
    </dgm:pt>
    <dgm:pt modelId="{C4838F6B-9A79-4C93-B35F-D1BB5364A627}" type="parTrans" cxnId="{69699CAE-E05A-4525-B9AA-2B62120010C2}">
      <dgm:prSet/>
      <dgm:spPr/>
      <dgm:t>
        <a:bodyPr/>
        <a:lstStyle/>
        <a:p>
          <a:endParaRPr lang="en-US"/>
        </a:p>
      </dgm:t>
    </dgm:pt>
    <dgm:pt modelId="{9C524AE7-7838-4CB5-9003-983E0323C947}" type="sibTrans" cxnId="{69699CAE-E05A-4525-B9AA-2B62120010C2}">
      <dgm:prSet/>
      <dgm:spPr/>
      <dgm:t>
        <a:bodyPr/>
        <a:lstStyle/>
        <a:p>
          <a:endParaRPr lang="en-US"/>
        </a:p>
      </dgm:t>
    </dgm:pt>
    <dgm:pt modelId="{6448161E-F55D-497A-A29A-377A14C76272}">
      <dgm:prSet custT="1"/>
      <dgm:spPr/>
      <dgm:t>
        <a:bodyPr/>
        <a:lstStyle/>
        <a:p>
          <a:pPr algn="ctr">
            <a:buNone/>
          </a:pPr>
          <a:r>
            <a:rPr lang="en-US" sz="1200">
              <a:latin typeface="Times New Roman" panose="02020603050405020304" pitchFamily="18" charset="0"/>
              <a:cs typeface="Times New Roman" panose="02020603050405020304" pitchFamily="18" charset="0"/>
            </a:rPr>
            <a:t>Rapid escalation relative to revenue</a:t>
          </a:r>
        </a:p>
      </dgm:t>
    </dgm:pt>
    <dgm:pt modelId="{B71FFAB4-E164-4153-B307-92FC99DF2364}" type="parTrans" cxnId="{DF8D71A4-1D28-46D5-A1A8-1BDFF9444BC4}">
      <dgm:prSet/>
      <dgm:spPr/>
      <dgm:t>
        <a:bodyPr/>
        <a:lstStyle/>
        <a:p>
          <a:endParaRPr lang="en-US"/>
        </a:p>
      </dgm:t>
    </dgm:pt>
    <dgm:pt modelId="{79C09EB7-22D9-4C0C-8DC5-AF9661A0E7F4}" type="sibTrans" cxnId="{DF8D71A4-1D28-46D5-A1A8-1BDFF9444BC4}">
      <dgm:prSet/>
      <dgm:spPr/>
      <dgm:t>
        <a:bodyPr/>
        <a:lstStyle/>
        <a:p>
          <a:endParaRPr lang="en-US"/>
        </a:p>
      </dgm:t>
    </dgm:pt>
    <dgm:pt modelId="{C2F5F994-58C6-4934-B475-AEA44893344A}">
      <dgm:prSet custT="1"/>
      <dgm:spPr/>
      <dgm:t>
        <a:bodyPr/>
        <a:lstStyle/>
        <a:p>
          <a:pPr algn="ctr">
            <a:buNone/>
          </a:pPr>
          <a:r>
            <a:rPr lang="en-US" sz="1200">
              <a:latin typeface="Times New Roman" panose="02020603050405020304" pitchFamily="18" charset="0"/>
              <a:cs typeface="Times New Roman" panose="02020603050405020304" pitchFamily="18" charset="0"/>
            </a:rPr>
            <a:t>Cost-efficiency narrative</a:t>
          </a:r>
        </a:p>
      </dgm:t>
    </dgm:pt>
    <dgm:pt modelId="{A8A770CE-4DA8-47AF-8942-F9FCFC248A28}" type="parTrans" cxnId="{07D65702-7E8E-4357-A1BD-4282FC5B20BD}">
      <dgm:prSet/>
      <dgm:spPr/>
      <dgm:t>
        <a:bodyPr/>
        <a:lstStyle/>
        <a:p>
          <a:endParaRPr lang="en-US"/>
        </a:p>
      </dgm:t>
    </dgm:pt>
    <dgm:pt modelId="{266AFAD5-8DDF-4DC0-9DBB-1DD657323922}" type="sibTrans" cxnId="{07D65702-7E8E-4357-A1BD-4282FC5B20BD}">
      <dgm:prSet/>
      <dgm:spPr/>
      <dgm:t>
        <a:bodyPr/>
        <a:lstStyle/>
        <a:p>
          <a:endParaRPr lang="en-US"/>
        </a:p>
      </dgm:t>
    </dgm:pt>
    <dgm:pt modelId="{B8DA621B-2BD8-42AA-9411-3858D5BEAAF9}">
      <dgm:prSet custT="1"/>
      <dgm:spPr/>
      <dgm:t>
        <a:bodyPr/>
        <a:lstStyle/>
        <a:p>
          <a:pPr algn="ctr">
            <a:buNone/>
          </a:pPr>
          <a:r>
            <a:rPr lang="en-US" sz="1200">
              <a:latin typeface="Times New Roman" panose="02020603050405020304" pitchFamily="18" charset="0"/>
              <a:cs typeface="Times New Roman" panose="02020603050405020304" pitchFamily="18" charset="0"/>
            </a:rPr>
            <a:t>Inconsistent with internal expenditure patterns</a:t>
          </a:r>
        </a:p>
      </dgm:t>
    </dgm:pt>
    <dgm:pt modelId="{5C0250F6-2BC5-4228-96A0-64D0463B8DBF}" type="parTrans" cxnId="{F7DC82E8-93AA-410F-AF7F-9DCFC7B0154A}">
      <dgm:prSet/>
      <dgm:spPr/>
      <dgm:t>
        <a:bodyPr/>
        <a:lstStyle/>
        <a:p>
          <a:endParaRPr lang="en-US"/>
        </a:p>
      </dgm:t>
    </dgm:pt>
    <dgm:pt modelId="{A325F65E-118C-40C7-81D8-3C22E781DF99}" type="sibTrans" cxnId="{F7DC82E8-93AA-410F-AF7F-9DCFC7B0154A}">
      <dgm:prSet/>
      <dgm:spPr/>
      <dgm:t>
        <a:bodyPr/>
        <a:lstStyle/>
        <a:p>
          <a:endParaRPr lang="en-US"/>
        </a:p>
      </dgm:t>
    </dgm:pt>
    <dgm:pt modelId="{1FB86C17-9961-4E2A-8F99-B3A3844AD157}">
      <dgm:prSet custT="1"/>
      <dgm:spPr/>
      <dgm:t>
        <a:bodyPr/>
        <a:lstStyle/>
        <a:p>
          <a:pPr algn="ctr">
            <a:buNone/>
          </a:pPr>
          <a:r>
            <a:rPr lang="en-US" sz="1200">
              <a:latin typeface="Times New Roman" panose="02020603050405020304" pitchFamily="18" charset="0"/>
              <a:cs typeface="Times New Roman" panose="02020603050405020304" pitchFamily="18" charset="0"/>
            </a:rPr>
            <a:t>Industry comparison</a:t>
          </a:r>
        </a:p>
      </dgm:t>
    </dgm:pt>
    <dgm:pt modelId="{9CD71C2A-D32A-44DE-BE03-E936F7A67C06}" type="parTrans" cxnId="{AE37C0D5-BE00-41B9-A992-86F6B0D67857}">
      <dgm:prSet/>
      <dgm:spPr/>
      <dgm:t>
        <a:bodyPr/>
        <a:lstStyle/>
        <a:p>
          <a:endParaRPr lang="en-US"/>
        </a:p>
      </dgm:t>
    </dgm:pt>
    <dgm:pt modelId="{1C800FC0-4BE4-4978-8015-8EE4BCBB4930}" type="sibTrans" cxnId="{AE37C0D5-BE00-41B9-A992-86F6B0D67857}">
      <dgm:prSet/>
      <dgm:spPr/>
      <dgm:t>
        <a:bodyPr/>
        <a:lstStyle/>
        <a:p>
          <a:endParaRPr lang="en-US"/>
        </a:p>
      </dgm:t>
    </dgm:pt>
    <dgm:pt modelId="{2E20A6F3-4EC1-4892-953B-5AEA5113504F}">
      <dgm:prSet custT="1"/>
      <dgm:spPr/>
      <dgm:t>
        <a:bodyPr/>
        <a:lstStyle/>
        <a:p>
          <a:pPr algn="ctr">
            <a:buNone/>
          </a:pPr>
          <a:r>
            <a:rPr lang="en-US" sz="1200">
              <a:latin typeface="Times New Roman" panose="02020603050405020304" pitchFamily="18" charset="0"/>
              <a:cs typeface="Times New Roman" panose="02020603050405020304" pitchFamily="18" charset="0"/>
            </a:rPr>
            <a:t>Tesla materially above OEM norms</a:t>
          </a:r>
        </a:p>
      </dgm:t>
    </dgm:pt>
    <dgm:pt modelId="{818D914D-353C-476A-B423-49BFC6ADE0DA}" type="parTrans" cxnId="{775181B6-4E1E-4B6B-A488-F768FD143364}">
      <dgm:prSet/>
      <dgm:spPr/>
      <dgm:t>
        <a:bodyPr/>
        <a:lstStyle/>
        <a:p>
          <a:endParaRPr lang="en-US"/>
        </a:p>
      </dgm:t>
    </dgm:pt>
    <dgm:pt modelId="{844D5A1A-D54C-40FD-A10C-FB9B4CE0B124}" type="sibTrans" cxnId="{775181B6-4E1E-4B6B-A488-F768FD143364}">
      <dgm:prSet/>
      <dgm:spPr/>
      <dgm:t>
        <a:bodyPr/>
        <a:lstStyle/>
        <a:p>
          <a:endParaRPr lang="en-US"/>
        </a:p>
      </dgm:t>
    </dgm:pt>
    <dgm:pt modelId="{8420A4CF-B7AD-4818-957F-3991CDDA8D00}">
      <dgm:prSet custT="1"/>
      <dgm:spPr/>
      <dgm:t>
        <a:bodyPr/>
        <a:lstStyle/>
        <a:p>
          <a:pPr algn="ctr">
            <a:buNone/>
          </a:pPr>
          <a:r>
            <a:rPr lang="en-US" sz="1200">
              <a:latin typeface="Times New Roman" panose="02020603050405020304" pitchFamily="18" charset="0"/>
              <a:cs typeface="Times New Roman" panose="02020603050405020304" pitchFamily="18" charset="0"/>
            </a:rPr>
            <a:t>Allocation visibility</a:t>
          </a:r>
        </a:p>
      </dgm:t>
    </dgm:pt>
    <dgm:pt modelId="{9E621A17-7433-420F-B80E-75E110B1C1F9}" type="parTrans" cxnId="{75FABD2C-0BB7-4B66-B8A0-7B9FDAC6F51F}">
      <dgm:prSet/>
      <dgm:spPr/>
      <dgm:t>
        <a:bodyPr/>
        <a:lstStyle/>
        <a:p>
          <a:endParaRPr lang="en-US"/>
        </a:p>
      </dgm:t>
    </dgm:pt>
    <dgm:pt modelId="{242D7BF7-9274-4607-B07B-260DB46D69AE}" type="sibTrans" cxnId="{75FABD2C-0BB7-4B66-B8A0-7B9FDAC6F51F}">
      <dgm:prSet/>
      <dgm:spPr/>
      <dgm:t>
        <a:bodyPr/>
        <a:lstStyle/>
        <a:p>
          <a:endParaRPr lang="en-US"/>
        </a:p>
      </dgm:t>
    </dgm:pt>
    <dgm:pt modelId="{86AE4208-27BF-4693-8CA6-18E8E2D3D53E}">
      <dgm:prSet custT="1"/>
      <dgm:spPr/>
      <dgm:t>
        <a:bodyPr/>
        <a:lstStyle/>
        <a:p>
          <a:pPr algn="ctr">
            <a:buNone/>
          </a:pPr>
          <a:r>
            <a:rPr lang="en-US" sz="1200">
              <a:latin typeface="Times New Roman" panose="02020603050405020304" pitchFamily="18" charset="0"/>
              <a:cs typeface="Times New Roman" panose="02020603050405020304" pitchFamily="18" charset="0"/>
            </a:rPr>
            <a:t>Limited disclosure of marketing-specific breakdown</a:t>
          </a:r>
        </a:p>
      </dgm:t>
    </dgm:pt>
    <dgm:pt modelId="{EACA698A-015C-4529-9247-FFD34DCCB59A}" type="parTrans" cxnId="{58910032-B6A7-4B33-9A1B-A072D9A95FB0}">
      <dgm:prSet/>
      <dgm:spPr/>
      <dgm:t>
        <a:bodyPr/>
        <a:lstStyle/>
        <a:p>
          <a:endParaRPr lang="en-US"/>
        </a:p>
      </dgm:t>
    </dgm:pt>
    <dgm:pt modelId="{D73FC76F-6AA6-4B47-97AE-0DB12C45C2B1}" type="sibTrans" cxnId="{58910032-B6A7-4B33-9A1B-A072D9A95FB0}">
      <dgm:prSet/>
      <dgm:spPr/>
      <dgm:t>
        <a:bodyPr/>
        <a:lstStyle/>
        <a:p>
          <a:endParaRPr lang="en-US"/>
        </a:p>
      </dgm:t>
    </dgm:pt>
    <dgm:pt modelId="{906730CD-C570-4E6F-BF17-4F1C2323F448}" type="pres">
      <dgm:prSet presAssocID="{1FAC12BC-9C84-4331-8BF6-5DC76BCF404F}" presName="vert0" presStyleCnt="0">
        <dgm:presLayoutVars>
          <dgm:dir/>
          <dgm:animOne val="branch"/>
          <dgm:animLvl val="lvl"/>
        </dgm:presLayoutVars>
      </dgm:prSet>
      <dgm:spPr/>
    </dgm:pt>
    <dgm:pt modelId="{BAAEFF6F-15E9-4F00-B33F-D3F6FCE27E17}" type="pres">
      <dgm:prSet presAssocID="{803A4AB6-372F-4822-9F61-1AA428F21080}" presName="thickLine" presStyleLbl="alignNode1" presStyleIdx="0" presStyleCnt="4"/>
      <dgm:spPr/>
    </dgm:pt>
    <dgm:pt modelId="{75967E6C-646A-42AA-ABAA-954CCE959772}" type="pres">
      <dgm:prSet presAssocID="{803A4AB6-372F-4822-9F61-1AA428F21080}" presName="horz1" presStyleCnt="0"/>
      <dgm:spPr/>
    </dgm:pt>
    <dgm:pt modelId="{CF3B2F57-44ED-421B-A457-FA99533C390B}" type="pres">
      <dgm:prSet presAssocID="{803A4AB6-372F-4822-9F61-1AA428F21080}" presName="tx1" presStyleLbl="revTx" presStyleIdx="0" presStyleCnt="8" custScaleX="278755"/>
      <dgm:spPr/>
    </dgm:pt>
    <dgm:pt modelId="{39F10C60-DA68-465E-8731-1E22FC22EACF}" type="pres">
      <dgm:prSet presAssocID="{803A4AB6-372F-4822-9F61-1AA428F21080}" presName="vert1" presStyleCnt="0"/>
      <dgm:spPr/>
    </dgm:pt>
    <dgm:pt modelId="{50D45996-3D5E-46EB-B688-A4F554B65214}" type="pres">
      <dgm:prSet presAssocID="{6448161E-F55D-497A-A29A-377A14C76272}" presName="vertSpace2a" presStyleCnt="0"/>
      <dgm:spPr/>
    </dgm:pt>
    <dgm:pt modelId="{5534F405-981C-433A-A4BF-46107484FAAF}" type="pres">
      <dgm:prSet presAssocID="{6448161E-F55D-497A-A29A-377A14C76272}" presName="horz2" presStyleCnt="0"/>
      <dgm:spPr/>
    </dgm:pt>
    <dgm:pt modelId="{29CEBE27-FDFF-4BA1-8566-C2C74CE8E9FD}" type="pres">
      <dgm:prSet presAssocID="{6448161E-F55D-497A-A29A-377A14C76272}" presName="horzSpace2" presStyleCnt="0"/>
      <dgm:spPr/>
    </dgm:pt>
    <dgm:pt modelId="{D90781AA-E25A-4FB9-9E17-36F0220946D0}" type="pres">
      <dgm:prSet presAssocID="{6448161E-F55D-497A-A29A-377A14C76272}" presName="tx2" presStyleLbl="revTx" presStyleIdx="1" presStyleCnt="8" custScaleX="127389"/>
      <dgm:spPr/>
    </dgm:pt>
    <dgm:pt modelId="{8B1EF7CA-6676-46C8-B7A7-51431ADAA7C6}" type="pres">
      <dgm:prSet presAssocID="{6448161E-F55D-497A-A29A-377A14C76272}" presName="vert2" presStyleCnt="0"/>
      <dgm:spPr/>
    </dgm:pt>
    <dgm:pt modelId="{41DAC4B5-FA0C-4D61-AEEC-82F55C53E1C6}" type="pres">
      <dgm:prSet presAssocID="{6448161E-F55D-497A-A29A-377A14C76272}" presName="thinLine2b" presStyleLbl="callout" presStyleIdx="0" presStyleCnt="4"/>
      <dgm:spPr/>
    </dgm:pt>
    <dgm:pt modelId="{A0386D6E-9E62-4782-884F-61E6ED4FC479}" type="pres">
      <dgm:prSet presAssocID="{6448161E-F55D-497A-A29A-377A14C76272}" presName="vertSpace2b" presStyleCnt="0"/>
      <dgm:spPr/>
    </dgm:pt>
    <dgm:pt modelId="{6A369F97-793D-4EA3-A563-33D8A67308E9}" type="pres">
      <dgm:prSet presAssocID="{C2F5F994-58C6-4934-B475-AEA44893344A}" presName="thickLine" presStyleLbl="alignNode1" presStyleIdx="1" presStyleCnt="4"/>
      <dgm:spPr/>
    </dgm:pt>
    <dgm:pt modelId="{104F8561-BEE6-4001-BDA7-8D4B11DECCF6}" type="pres">
      <dgm:prSet presAssocID="{C2F5F994-58C6-4934-B475-AEA44893344A}" presName="horz1" presStyleCnt="0"/>
      <dgm:spPr/>
    </dgm:pt>
    <dgm:pt modelId="{61699E80-B33A-4E3F-8ECE-C6F689DCBDFE}" type="pres">
      <dgm:prSet presAssocID="{C2F5F994-58C6-4934-B475-AEA44893344A}" presName="tx1" presStyleLbl="revTx" presStyleIdx="2" presStyleCnt="8" custScaleX="278755"/>
      <dgm:spPr/>
    </dgm:pt>
    <dgm:pt modelId="{E3530F72-3CE0-43EE-8BEA-F20B0727AC60}" type="pres">
      <dgm:prSet presAssocID="{C2F5F994-58C6-4934-B475-AEA44893344A}" presName="vert1" presStyleCnt="0"/>
      <dgm:spPr/>
    </dgm:pt>
    <dgm:pt modelId="{45CAB76F-6D59-4DCD-84A4-8E85659A4161}" type="pres">
      <dgm:prSet presAssocID="{B8DA621B-2BD8-42AA-9411-3858D5BEAAF9}" presName="vertSpace2a" presStyleCnt="0"/>
      <dgm:spPr/>
    </dgm:pt>
    <dgm:pt modelId="{51A05624-38A2-435A-B92E-C4D6359EEFC5}" type="pres">
      <dgm:prSet presAssocID="{B8DA621B-2BD8-42AA-9411-3858D5BEAAF9}" presName="horz2" presStyleCnt="0"/>
      <dgm:spPr/>
    </dgm:pt>
    <dgm:pt modelId="{6D758679-37D3-4B8F-903D-CBEE8A5E702A}" type="pres">
      <dgm:prSet presAssocID="{B8DA621B-2BD8-42AA-9411-3858D5BEAAF9}" presName="horzSpace2" presStyleCnt="0"/>
      <dgm:spPr/>
    </dgm:pt>
    <dgm:pt modelId="{635AF5AF-A791-41DD-8F50-A814BA7544C2}" type="pres">
      <dgm:prSet presAssocID="{B8DA621B-2BD8-42AA-9411-3858D5BEAAF9}" presName="tx2" presStyleLbl="revTx" presStyleIdx="3" presStyleCnt="8" custScaleX="127389"/>
      <dgm:spPr/>
    </dgm:pt>
    <dgm:pt modelId="{F7BC680E-F835-4CEB-8B39-FCB16C3D9703}" type="pres">
      <dgm:prSet presAssocID="{B8DA621B-2BD8-42AA-9411-3858D5BEAAF9}" presName="vert2" presStyleCnt="0"/>
      <dgm:spPr/>
    </dgm:pt>
    <dgm:pt modelId="{F7D2BD6F-59BD-496C-9A0A-FE5B1864122F}" type="pres">
      <dgm:prSet presAssocID="{B8DA621B-2BD8-42AA-9411-3858D5BEAAF9}" presName="thinLine2b" presStyleLbl="callout" presStyleIdx="1" presStyleCnt="4"/>
      <dgm:spPr/>
    </dgm:pt>
    <dgm:pt modelId="{4F8B13B2-83A4-4FBD-AB45-9E203E30B7C0}" type="pres">
      <dgm:prSet presAssocID="{B8DA621B-2BD8-42AA-9411-3858D5BEAAF9}" presName="vertSpace2b" presStyleCnt="0"/>
      <dgm:spPr/>
    </dgm:pt>
    <dgm:pt modelId="{52D50705-D32A-48AD-8073-3211071D7E1B}" type="pres">
      <dgm:prSet presAssocID="{1FB86C17-9961-4E2A-8F99-B3A3844AD157}" presName="thickLine" presStyleLbl="alignNode1" presStyleIdx="2" presStyleCnt="4"/>
      <dgm:spPr/>
    </dgm:pt>
    <dgm:pt modelId="{B237D822-15FD-4116-BEEE-F479DAF1923A}" type="pres">
      <dgm:prSet presAssocID="{1FB86C17-9961-4E2A-8F99-B3A3844AD157}" presName="horz1" presStyleCnt="0"/>
      <dgm:spPr/>
    </dgm:pt>
    <dgm:pt modelId="{E5EA6AD4-712D-44D5-A957-2AEBCA23C1A6}" type="pres">
      <dgm:prSet presAssocID="{1FB86C17-9961-4E2A-8F99-B3A3844AD157}" presName="tx1" presStyleLbl="revTx" presStyleIdx="4" presStyleCnt="8" custScaleX="278755"/>
      <dgm:spPr/>
    </dgm:pt>
    <dgm:pt modelId="{F1DD68B0-778A-4EE1-83AB-8084F579FC45}" type="pres">
      <dgm:prSet presAssocID="{1FB86C17-9961-4E2A-8F99-B3A3844AD157}" presName="vert1" presStyleCnt="0"/>
      <dgm:spPr/>
    </dgm:pt>
    <dgm:pt modelId="{0B50A439-24BB-47E0-AF99-374109EA991F}" type="pres">
      <dgm:prSet presAssocID="{2E20A6F3-4EC1-4892-953B-5AEA5113504F}" presName="vertSpace2a" presStyleCnt="0"/>
      <dgm:spPr/>
    </dgm:pt>
    <dgm:pt modelId="{37DA2501-EDE6-43F4-ABC8-E1277365BA6E}" type="pres">
      <dgm:prSet presAssocID="{2E20A6F3-4EC1-4892-953B-5AEA5113504F}" presName="horz2" presStyleCnt="0"/>
      <dgm:spPr/>
    </dgm:pt>
    <dgm:pt modelId="{0B9B4CBD-3195-471C-B89D-BEA9333DD074}" type="pres">
      <dgm:prSet presAssocID="{2E20A6F3-4EC1-4892-953B-5AEA5113504F}" presName="horzSpace2" presStyleCnt="0"/>
      <dgm:spPr/>
    </dgm:pt>
    <dgm:pt modelId="{B0CFCC4A-51A9-4581-8AF0-48BD8E99CD22}" type="pres">
      <dgm:prSet presAssocID="{2E20A6F3-4EC1-4892-953B-5AEA5113504F}" presName="tx2" presStyleLbl="revTx" presStyleIdx="5" presStyleCnt="8" custScaleX="127389"/>
      <dgm:spPr/>
    </dgm:pt>
    <dgm:pt modelId="{C5343A89-C1D9-4768-85C7-F736F4DDBF32}" type="pres">
      <dgm:prSet presAssocID="{2E20A6F3-4EC1-4892-953B-5AEA5113504F}" presName="vert2" presStyleCnt="0"/>
      <dgm:spPr/>
    </dgm:pt>
    <dgm:pt modelId="{0CF0EAF2-9F12-4F4D-A12A-9168B6F88C9D}" type="pres">
      <dgm:prSet presAssocID="{2E20A6F3-4EC1-4892-953B-5AEA5113504F}" presName="thinLine2b" presStyleLbl="callout" presStyleIdx="2" presStyleCnt="4"/>
      <dgm:spPr/>
    </dgm:pt>
    <dgm:pt modelId="{323958D9-3B99-4340-8F1F-204114916DE6}" type="pres">
      <dgm:prSet presAssocID="{2E20A6F3-4EC1-4892-953B-5AEA5113504F}" presName="vertSpace2b" presStyleCnt="0"/>
      <dgm:spPr/>
    </dgm:pt>
    <dgm:pt modelId="{576EB924-967C-4F5A-AFB9-CC837235673D}" type="pres">
      <dgm:prSet presAssocID="{8420A4CF-B7AD-4818-957F-3991CDDA8D00}" presName="thickLine" presStyleLbl="alignNode1" presStyleIdx="3" presStyleCnt="4"/>
      <dgm:spPr/>
    </dgm:pt>
    <dgm:pt modelId="{E9880D83-40D5-4D6E-B1E3-A339F62FA1EC}" type="pres">
      <dgm:prSet presAssocID="{8420A4CF-B7AD-4818-957F-3991CDDA8D00}" presName="horz1" presStyleCnt="0"/>
      <dgm:spPr/>
    </dgm:pt>
    <dgm:pt modelId="{9A56A546-7BD5-4A4D-B2B9-E88447CE4A2C}" type="pres">
      <dgm:prSet presAssocID="{8420A4CF-B7AD-4818-957F-3991CDDA8D00}" presName="tx1" presStyleLbl="revTx" presStyleIdx="6" presStyleCnt="8" custScaleX="278755"/>
      <dgm:spPr/>
    </dgm:pt>
    <dgm:pt modelId="{8160F9D1-E362-498E-983F-63FCFB9B0442}" type="pres">
      <dgm:prSet presAssocID="{8420A4CF-B7AD-4818-957F-3991CDDA8D00}" presName="vert1" presStyleCnt="0"/>
      <dgm:spPr/>
    </dgm:pt>
    <dgm:pt modelId="{9F5FBD77-4491-4540-8B49-B05330886981}" type="pres">
      <dgm:prSet presAssocID="{86AE4208-27BF-4693-8CA6-18E8E2D3D53E}" presName="vertSpace2a" presStyleCnt="0"/>
      <dgm:spPr/>
    </dgm:pt>
    <dgm:pt modelId="{1CEDC404-AEEC-4EBA-A26E-AD3842E12E9A}" type="pres">
      <dgm:prSet presAssocID="{86AE4208-27BF-4693-8CA6-18E8E2D3D53E}" presName="horz2" presStyleCnt="0"/>
      <dgm:spPr/>
    </dgm:pt>
    <dgm:pt modelId="{B658EFE8-1D24-4768-8C07-2AFFE552F9F1}" type="pres">
      <dgm:prSet presAssocID="{86AE4208-27BF-4693-8CA6-18E8E2D3D53E}" presName="horzSpace2" presStyleCnt="0"/>
      <dgm:spPr/>
    </dgm:pt>
    <dgm:pt modelId="{7F58AAE8-B705-4DF7-9301-10FAD9CA784F}" type="pres">
      <dgm:prSet presAssocID="{86AE4208-27BF-4693-8CA6-18E8E2D3D53E}" presName="tx2" presStyleLbl="revTx" presStyleIdx="7" presStyleCnt="8" custScaleX="127389"/>
      <dgm:spPr/>
    </dgm:pt>
    <dgm:pt modelId="{1678CA00-597C-4919-94A5-3C467E8D89AC}" type="pres">
      <dgm:prSet presAssocID="{86AE4208-27BF-4693-8CA6-18E8E2D3D53E}" presName="vert2" presStyleCnt="0"/>
      <dgm:spPr/>
    </dgm:pt>
    <dgm:pt modelId="{A5D24E65-B568-41AB-9990-EE4251ABBC44}" type="pres">
      <dgm:prSet presAssocID="{86AE4208-27BF-4693-8CA6-18E8E2D3D53E}" presName="thinLine2b" presStyleLbl="callout" presStyleIdx="3" presStyleCnt="4"/>
      <dgm:spPr/>
    </dgm:pt>
    <dgm:pt modelId="{9479DBF7-9C4D-4576-838E-E99D6F11CA60}" type="pres">
      <dgm:prSet presAssocID="{86AE4208-27BF-4693-8CA6-18E8E2D3D53E}" presName="vertSpace2b" presStyleCnt="0"/>
      <dgm:spPr/>
    </dgm:pt>
  </dgm:ptLst>
  <dgm:cxnLst>
    <dgm:cxn modelId="{07D65702-7E8E-4357-A1BD-4282FC5B20BD}" srcId="{1FAC12BC-9C84-4331-8BF6-5DC76BCF404F}" destId="{C2F5F994-58C6-4934-B475-AEA44893344A}" srcOrd="1" destOrd="0" parTransId="{A8A770CE-4DA8-47AF-8942-F9FCFC248A28}" sibTransId="{266AFAD5-8DDF-4DC0-9DBB-1DD657323922}"/>
    <dgm:cxn modelId="{BF1EA407-6A53-4C72-983C-F4A10CC89329}" type="presOf" srcId="{8420A4CF-B7AD-4818-957F-3991CDDA8D00}" destId="{9A56A546-7BD5-4A4D-B2B9-E88447CE4A2C}" srcOrd="0" destOrd="0" presId="urn:microsoft.com/office/officeart/2008/layout/LinedList"/>
    <dgm:cxn modelId="{ED896E12-B659-4AAE-9242-04AB41F9DE15}" type="presOf" srcId="{B8DA621B-2BD8-42AA-9411-3858D5BEAAF9}" destId="{635AF5AF-A791-41DD-8F50-A814BA7544C2}" srcOrd="0" destOrd="0" presId="urn:microsoft.com/office/officeart/2008/layout/LinedList"/>
    <dgm:cxn modelId="{716D4125-BB03-48FB-A6AA-F46B12EBF29A}" type="presOf" srcId="{2E20A6F3-4EC1-4892-953B-5AEA5113504F}" destId="{B0CFCC4A-51A9-4581-8AF0-48BD8E99CD22}" srcOrd="0" destOrd="0" presId="urn:microsoft.com/office/officeart/2008/layout/LinedList"/>
    <dgm:cxn modelId="{75FABD2C-0BB7-4B66-B8A0-7B9FDAC6F51F}" srcId="{1FAC12BC-9C84-4331-8BF6-5DC76BCF404F}" destId="{8420A4CF-B7AD-4818-957F-3991CDDA8D00}" srcOrd="3" destOrd="0" parTransId="{9E621A17-7433-420F-B80E-75E110B1C1F9}" sibTransId="{242D7BF7-9274-4607-B07B-260DB46D69AE}"/>
    <dgm:cxn modelId="{58910032-B6A7-4B33-9A1B-A072D9A95FB0}" srcId="{8420A4CF-B7AD-4818-957F-3991CDDA8D00}" destId="{86AE4208-27BF-4693-8CA6-18E8E2D3D53E}" srcOrd="0" destOrd="0" parTransId="{EACA698A-015C-4529-9247-FFD34DCCB59A}" sibTransId="{D73FC76F-6AA6-4B47-97AE-0DB12C45C2B1}"/>
    <dgm:cxn modelId="{1AA9CD70-2214-4A33-B1A6-B4C75FDE23F0}" type="presOf" srcId="{803A4AB6-372F-4822-9F61-1AA428F21080}" destId="{CF3B2F57-44ED-421B-A457-FA99533C390B}" srcOrd="0" destOrd="0" presId="urn:microsoft.com/office/officeart/2008/layout/LinedList"/>
    <dgm:cxn modelId="{A3F24F83-623E-4DEC-A838-8B0190114750}" type="presOf" srcId="{1FAC12BC-9C84-4331-8BF6-5DC76BCF404F}" destId="{906730CD-C570-4E6F-BF17-4F1C2323F448}" srcOrd="0" destOrd="0" presId="urn:microsoft.com/office/officeart/2008/layout/LinedList"/>
    <dgm:cxn modelId="{43F6538F-E751-4F50-93CC-4F154C7B1BE9}" type="presOf" srcId="{86AE4208-27BF-4693-8CA6-18E8E2D3D53E}" destId="{7F58AAE8-B705-4DF7-9301-10FAD9CA784F}" srcOrd="0" destOrd="0" presId="urn:microsoft.com/office/officeart/2008/layout/LinedList"/>
    <dgm:cxn modelId="{DF8D71A4-1D28-46D5-A1A8-1BDFF9444BC4}" srcId="{803A4AB6-372F-4822-9F61-1AA428F21080}" destId="{6448161E-F55D-497A-A29A-377A14C76272}" srcOrd="0" destOrd="0" parTransId="{B71FFAB4-E164-4153-B307-92FC99DF2364}" sibTransId="{79C09EB7-22D9-4C0C-8DC5-AF9661A0E7F4}"/>
    <dgm:cxn modelId="{69699CAE-E05A-4525-B9AA-2B62120010C2}" srcId="{1FAC12BC-9C84-4331-8BF6-5DC76BCF404F}" destId="{803A4AB6-372F-4822-9F61-1AA428F21080}" srcOrd="0" destOrd="0" parTransId="{C4838F6B-9A79-4C93-B35F-D1BB5364A627}" sibTransId="{9C524AE7-7838-4CB5-9003-983E0323C947}"/>
    <dgm:cxn modelId="{24E307B5-6C6E-46C4-94E3-25C7C0670378}" type="presOf" srcId="{6448161E-F55D-497A-A29A-377A14C76272}" destId="{D90781AA-E25A-4FB9-9E17-36F0220946D0}" srcOrd="0" destOrd="0" presId="urn:microsoft.com/office/officeart/2008/layout/LinedList"/>
    <dgm:cxn modelId="{775181B6-4E1E-4B6B-A488-F768FD143364}" srcId="{1FB86C17-9961-4E2A-8F99-B3A3844AD157}" destId="{2E20A6F3-4EC1-4892-953B-5AEA5113504F}" srcOrd="0" destOrd="0" parTransId="{818D914D-353C-476A-B423-49BFC6ADE0DA}" sibTransId="{844D5A1A-D54C-40FD-A10C-FB9B4CE0B124}"/>
    <dgm:cxn modelId="{AE37C0D5-BE00-41B9-A992-86F6B0D67857}" srcId="{1FAC12BC-9C84-4331-8BF6-5DC76BCF404F}" destId="{1FB86C17-9961-4E2A-8F99-B3A3844AD157}" srcOrd="2" destOrd="0" parTransId="{9CD71C2A-D32A-44DE-BE03-E936F7A67C06}" sibTransId="{1C800FC0-4BE4-4978-8015-8EE4BCBB4930}"/>
    <dgm:cxn modelId="{F7DC82E8-93AA-410F-AF7F-9DCFC7B0154A}" srcId="{C2F5F994-58C6-4934-B475-AEA44893344A}" destId="{B8DA621B-2BD8-42AA-9411-3858D5BEAAF9}" srcOrd="0" destOrd="0" parTransId="{5C0250F6-2BC5-4228-96A0-64D0463B8DBF}" sibTransId="{A325F65E-118C-40C7-81D8-3C22E781DF99}"/>
    <dgm:cxn modelId="{88EDA9F6-FC58-4D84-AA68-7D9AB3667B87}" type="presOf" srcId="{1FB86C17-9961-4E2A-8F99-B3A3844AD157}" destId="{E5EA6AD4-712D-44D5-A957-2AEBCA23C1A6}" srcOrd="0" destOrd="0" presId="urn:microsoft.com/office/officeart/2008/layout/LinedList"/>
    <dgm:cxn modelId="{BE51A5FA-7A43-4333-B245-A7D5F720F9DB}" type="presOf" srcId="{C2F5F994-58C6-4934-B475-AEA44893344A}" destId="{61699E80-B33A-4E3F-8ECE-C6F689DCBDFE}" srcOrd="0" destOrd="0" presId="urn:microsoft.com/office/officeart/2008/layout/LinedList"/>
    <dgm:cxn modelId="{794611E1-D39A-438A-B5D9-6470948E4E6A}" type="presParOf" srcId="{906730CD-C570-4E6F-BF17-4F1C2323F448}" destId="{BAAEFF6F-15E9-4F00-B33F-D3F6FCE27E17}" srcOrd="0" destOrd="0" presId="urn:microsoft.com/office/officeart/2008/layout/LinedList"/>
    <dgm:cxn modelId="{2EDF64B4-933A-4792-B7BC-B1E65CF45304}" type="presParOf" srcId="{906730CD-C570-4E6F-BF17-4F1C2323F448}" destId="{75967E6C-646A-42AA-ABAA-954CCE959772}" srcOrd="1" destOrd="0" presId="urn:microsoft.com/office/officeart/2008/layout/LinedList"/>
    <dgm:cxn modelId="{729722CD-B9AB-4F7E-8FE3-31F3E7FF136B}" type="presParOf" srcId="{75967E6C-646A-42AA-ABAA-954CCE959772}" destId="{CF3B2F57-44ED-421B-A457-FA99533C390B}" srcOrd="0" destOrd="0" presId="urn:microsoft.com/office/officeart/2008/layout/LinedList"/>
    <dgm:cxn modelId="{BD3D596C-4F69-4E84-A288-0BCEAD382003}" type="presParOf" srcId="{75967E6C-646A-42AA-ABAA-954CCE959772}" destId="{39F10C60-DA68-465E-8731-1E22FC22EACF}" srcOrd="1" destOrd="0" presId="urn:microsoft.com/office/officeart/2008/layout/LinedList"/>
    <dgm:cxn modelId="{6BB3F35C-B967-406C-A450-B27851CC83CE}" type="presParOf" srcId="{39F10C60-DA68-465E-8731-1E22FC22EACF}" destId="{50D45996-3D5E-46EB-B688-A4F554B65214}" srcOrd="0" destOrd="0" presId="urn:microsoft.com/office/officeart/2008/layout/LinedList"/>
    <dgm:cxn modelId="{EB969566-E3C1-4D94-8F95-9C8396D5256D}" type="presParOf" srcId="{39F10C60-DA68-465E-8731-1E22FC22EACF}" destId="{5534F405-981C-433A-A4BF-46107484FAAF}" srcOrd="1" destOrd="0" presId="urn:microsoft.com/office/officeart/2008/layout/LinedList"/>
    <dgm:cxn modelId="{D64CFFEB-7BED-480A-AD1B-34A430190020}" type="presParOf" srcId="{5534F405-981C-433A-A4BF-46107484FAAF}" destId="{29CEBE27-FDFF-4BA1-8566-C2C74CE8E9FD}" srcOrd="0" destOrd="0" presId="urn:microsoft.com/office/officeart/2008/layout/LinedList"/>
    <dgm:cxn modelId="{AD944058-BA59-40AB-AAC4-00AFDC627DA5}" type="presParOf" srcId="{5534F405-981C-433A-A4BF-46107484FAAF}" destId="{D90781AA-E25A-4FB9-9E17-36F0220946D0}" srcOrd="1" destOrd="0" presId="urn:microsoft.com/office/officeart/2008/layout/LinedList"/>
    <dgm:cxn modelId="{6CAC5D21-DF0A-41C2-AE6F-2234F8A79263}" type="presParOf" srcId="{5534F405-981C-433A-A4BF-46107484FAAF}" destId="{8B1EF7CA-6676-46C8-B7A7-51431ADAA7C6}" srcOrd="2" destOrd="0" presId="urn:microsoft.com/office/officeart/2008/layout/LinedList"/>
    <dgm:cxn modelId="{A482DAC2-8462-4CDD-9573-1396183CC476}" type="presParOf" srcId="{39F10C60-DA68-465E-8731-1E22FC22EACF}" destId="{41DAC4B5-FA0C-4D61-AEEC-82F55C53E1C6}" srcOrd="2" destOrd="0" presId="urn:microsoft.com/office/officeart/2008/layout/LinedList"/>
    <dgm:cxn modelId="{A9D1622C-77BC-42EE-8882-B867A3247188}" type="presParOf" srcId="{39F10C60-DA68-465E-8731-1E22FC22EACF}" destId="{A0386D6E-9E62-4782-884F-61E6ED4FC479}" srcOrd="3" destOrd="0" presId="urn:microsoft.com/office/officeart/2008/layout/LinedList"/>
    <dgm:cxn modelId="{6AA7CE0C-C2EB-476E-9A3E-CD4E2C38BD18}" type="presParOf" srcId="{906730CD-C570-4E6F-BF17-4F1C2323F448}" destId="{6A369F97-793D-4EA3-A563-33D8A67308E9}" srcOrd="2" destOrd="0" presId="urn:microsoft.com/office/officeart/2008/layout/LinedList"/>
    <dgm:cxn modelId="{986FCFB9-1DA5-4C06-99BA-C3FC4D7ACE58}" type="presParOf" srcId="{906730CD-C570-4E6F-BF17-4F1C2323F448}" destId="{104F8561-BEE6-4001-BDA7-8D4B11DECCF6}" srcOrd="3" destOrd="0" presId="urn:microsoft.com/office/officeart/2008/layout/LinedList"/>
    <dgm:cxn modelId="{57C97706-D495-45F3-B731-BB7F85BF1AC6}" type="presParOf" srcId="{104F8561-BEE6-4001-BDA7-8D4B11DECCF6}" destId="{61699E80-B33A-4E3F-8ECE-C6F689DCBDFE}" srcOrd="0" destOrd="0" presId="urn:microsoft.com/office/officeart/2008/layout/LinedList"/>
    <dgm:cxn modelId="{70AA92EA-AD1F-42AE-B871-8C9B914A2A83}" type="presParOf" srcId="{104F8561-BEE6-4001-BDA7-8D4B11DECCF6}" destId="{E3530F72-3CE0-43EE-8BEA-F20B0727AC60}" srcOrd="1" destOrd="0" presId="urn:microsoft.com/office/officeart/2008/layout/LinedList"/>
    <dgm:cxn modelId="{7B7DF9B3-80BC-4AC5-8C32-84F04EEFF33D}" type="presParOf" srcId="{E3530F72-3CE0-43EE-8BEA-F20B0727AC60}" destId="{45CAB76F-6D59-4DCD-84A4-8E85659A4161}" srcOrd="0" destOrd="0" presId="urn:microsoft.com/office/officeart/2008/layout/LinedList"/>
    <dgm:cxn modelId="{BA67BD91-06C0-43D2-846E-9B0C80AA2594}" type="presParOf" srcId="{E3530F72-3CE0-43EE-8BEA-F20B0727AC60}" destId="{51A05624-38A2-435A-B92E-C4D6359EEFC5}" srcOrd="1" destOrd="0" presId="urn:microsoft.com/office/officeart/2008/layout/LinedList"/>
    <dgm:cxn modelId="{4D0D784D-5D7D-4183-B29D-9F9E2D996C9C}" type="presParOf" srcId="{51A05624-38A2-435A-B92E-C4D6359EEFC5}" destId="{6D758679-37D3-4B8F-903D-CBEE8A5E702A}" srcOrd="0" destOrd="0" presId="urn:microsoft.com/office/officeart/2008/layout/LinedList"/>
    <dgm:cxn modelId="{FC5A0202-B18C-4917-B72D-967350BC47C0}" type="presParOf" srcId="{51A05624-38A2-435A-B92E-C4D6359EEFC5}" destId="{635AF5AF-A791-41DD-8F50-A814BA7544C2}" srcOrd="1" destOrd="0" presId="urn:microsoft.com/office/officeart/2008/layout/LinedList"/>
    <dgm:cxn modelId="{0ED5DBF6-0D62-46C2-AF1B-66F919301188}" type="presParOf" srcId="{51A05624-38A2-435A-B92E-C4D6359EEFC5}" destId="{F7BC680E-F835-4CEB-8B39-FCB16C3D9703}" srcOrd="2" destOrd="0" presId="urn:microsoft.com/office/officeart/2008/layout/LinedList"/>
    <dgm:cxn modelId="{88EC6549-5BF0-4C54-8EFE-5B83537A72FB}" type="presParOf" srcId="{E3530F72-3CE0-43EE-8BEA-F20B0727AC60}" destId="{F7D2BD6F-59BD-496C-9A0A-FE5B1864122F}" srcOrd="2" destOrd="0" presId="urn:microsoft.com/office/officeart/2008/layout/LinedList"/>
    <dgm:cxn modelId="{C788909F-073F-473B-B62E-605DF5A0A812}" type="presParOf" srcId="{E3530F72-3CE0-43EE-8BEA-F20B0727AC60}" destId="{4F8B13B2-83A4-4FBD-AB45-9E203E30B7C0}" srcOrd="3" destOrd="0" presId="urn:microsoft.com/office/officeart/2008/layout/LinedList"/>
    <dgm:cxn modelId="{2F2464AB-CB0D-46A3-BA1D-F024F42FC95D}" type="presParOf" srcId="{906730CD-C570-4E6F-BF17-4F1C2323F448}" destId="{52D50705-D32A-48AD-8073-3211071D7E1B}" srcOrd="4" destOrd="0" presId="urn:microsoft.com/office/officeart/2008/layout/LinedList"/>
    <dgm:cxn modelId="{234F8DC2-D214-47C6-A5DE-6C4355CB5561}" type="presParOf" srcId="{906730CD-C570-4E6F-BF17-4F1C2323F448}" destId="{B237D822-15FD-4116-BEEE-F479DAF1923A}" srcOrd="5" destOrd="0" presId="urn:microsoft.com/office/officeart/2008/layout/LinedList"/>
    <dgm:cxn modelId="{FC77DBA2-DAD8-4993-B7BC-DA9350E45DE0}" type="presParOf" srcId="{B237D822-15FD-4116-BEEE-F479DAF1923A}" destId="{E5EA6AD4-712D-44D5-A957-2AEBCA23C1A6}" srcOrd="0" destOrd="0" presId="urn:microsoft.com/office/officeart/2008/layout/LinedList"/>
    <dgm:cxn modelId="{F02AD950-EB3A-4A62-891E-3B1D51E44F5D}" type="presParOf" srcId="{B237D822-15FD-4116-BEEE-F479DAF1923A}" destId="{F1DD68B0-778A-4EE1-83AB-8084F579FC45}" srcOrd="1" destOrd="0" presId="urn:microsoft.com/office/officeart/2008/layout/LinedList"/>
    <dgm:cxn modelId="{8FD70EDB-E27E-4D39-8238-5DFA1349D3E9}" type="presParOf" srcId="{F1DD68B0-778A-4EE1-83AB-8084F579FC45}" destId="{0B50A439-24BB-47E0-AF99-374109EA991F}" srcOrd="0" destOrd="0" presId="urn:microsoft.com/office/officeart/2008/layout/LinedList"/>
    <dgm:cxn modelId="{CA76AE3F-EAB0-4168-ABBB-0963679BA8BB}" type="presParOf" srcId="{F1DD68B0-778A-4EE1-83AB-8084F579FC45}" destId="{37DA2501-EDE6-43F4-ABC8-E1277365BA6E}" srcOrd="1" destOrd="0" presId="urn:microsoft.com/office/officeart/2008/layout/LinedList"/>
    <dgm:cxn modelId="{842B1875-76E3-41E6-B467-D29ACCE2C267}" type="presParOf" srcId="{37DA2501-EDE6-43F4-ABC8-E1277365BA6E}" destId="{0B9B4CBD-3195-471C-B89D-BEA9333DD074}" srcOrd="0" destOrd="0" presId="urn:microsoft.com/office/officeart/2008/layout/LinedList"/>
    <dgm:cxn modelId="{16872ADD-47DE-4790-ACC1-71E86130E51F}" type="presParOf" srcId="{37DA2501-EDE6-43F4-ABC8-E1277365BA6E}" destId="{B0CFCC4A-51A9-4581-8AF0-48BD8E99CD22}" srcOrd="1" destOrd="0" presId="urn:microsoft.com/office/officeart/2008/layout/LinedList"/>
    <dgm:cxn modelId="{076322F9-3967-4D2B-8020-66ECFCD8019D}" type="presParOf" srcId="{37DA2501-EDE6-43F4-ABC8-E1277365BA6E}" destId="{C5343A89-C1D9-4768-85C7-F736F4DDBF32}" srcOrd="2" destOrd="0" presId="urn:microsoft.com/office/officeart/2008/layout/LinedList"/>
    <dgm:cxn modelId="{40BC0102-F144-425F-B4F6-F96941CAF41C}" type="presParOf" srcId="{F1DD68B0-778A-4EE1-83AB-8084F579FC45}" destId="{0CF0EAF2-9F12-4F4D-A12A-9168B6F88C9D}" srcOrd="2" destOrd="0" presId="urn:microsoft.com/office/officeart/2008/layout/LinedList"/>
    <dgm:cxn modelId="{6E750FC8-6406-449A-A4CF-109F6A12B4E3}" type="presParOf" srcId="{F1DD68B0-778A-4EE1-83AB-8084F579FC45}" destId="{323958D9-3B99-4340-8F1F-204114916DE6}" srcOrd="3" destOrd="0" presId="urn:microsoft.com/office/officeart/2008/layout/LinedList"/>
    <dgm:cxn modelId="{20A99BB6-AED4-4722-86B8-8F359F773D85}" type="presParOf" srcId="{906730CD-C570-4E6F-BF17-4F1C2323F448}" destId="{576EB924-967C-4F5A-AFB9-CC837235673D}" srcOrd="6" destOrd="0" presId="urn:microsoft.com/office/officeart/2008/layout/LinedList"/>
    <dgm:cxn modelId="{F59D5465-C54E-42C0-A4CC-079519361D43}" type="presParOf" srcId="{906730CD-C570-4E6F-BF17-4F1C2323F448}" destId="{E9880D83-40D5-4D6E-B1E3-A339F62FA1EC}" srcOrd="7" destOrd="0" presId="urn:microsoft.com/office/officeart/2008/layout/LinedList"/>
    <dgm:cxn modelId="{7383E7A9-54A9-46F5-9040-21049B6755ED}" type="presParOf" srcId="{E9880D83-40D5-4D6E-B1E3-A339F62FA1EC}" destId="{9A56A546-7BD5-4A4D-B2B9-E88447CE4A2C}" srcOrd="0" destOrd="0" presId="urn:microsoft.com/office/officeart/2008/layout/LinedList"/>
    <dgm:cxn modelId="{8A4C589A-30C3-4C6A-B7E4-9B79EA161E47}" type="presParOf" srcId="{E9880D83-40D5-4D6E-B1E3-A339F62FA1EC}" destId="{8160F9D1-E362-498E-983F-63FCFB9B0442}" srcOrd="1" destOrd="0" presId="urn:microsoft.com/office/officeart/2008/layout/LinedList"/>
    <dgm:cxn modelId="{5C829D36-F330-4E72-8707-EFC060644DC0}" type="presParOf" srcId="{8160F9D1-E362-498E-983F-63FCFB9B0442}" destId="{9F5FBD77-4491-4540-8B49-B05330886981}" srcOrd="0" destOrd="0" presId="urn:microsoft.com/office/officeart/2008/layout/LinedList"/>
    <dgm:cxn modelId="{724FE244-9455-4311-8326-D3FD5F7FBD18}" type="presParOf" srcId="{8160F9D1-E362-498E-983F-63FCFB9B0442}" destId="{1CEDC404-AEEC-4EBA-A26E-AD3842E12E9A}" srcOrd="1" destOrd="0" presId="urn:microsoft.com/office/officeart/2008/layout/LinedList"/>
    <dgm:cxn modelId="{7A7AB791-014A-4DEF-81D2-1761E92535F0}" type="presParOf" srcId="{1CEDC404-AEEC-4EBA-A26E-AD3842E12E9A}" destId="{B658EFE8-1D24-4768-8C07-2AFFE552F9F1}" srcOrd="0" destOrd="0" presId="urn:microsoft.com/office/officeart/2008/layout/LinedList"/>
    <dgm:cxn modelId="{56E575E4-6675-453F-B408-6C1F1E835C6D}" type="presParOf" srcId="{1CEDC404-AEEC-4EBA-A26E-AD3842E12E9A}" destId="{7F58AAE8-B705-4DF7-9301-10FAD9CA784F}" srcOrd="1" destOrd="0" presId="urn:microsoft.com/office/officeart/2008/layout/LinedList"/>
    <dgm:cxn modelId="{7A69DF11-6C48-431A-8B46-09DC57DC0913}" type="presParOf" srcId="{1CEDC404-AEEC-4EBA-A26E-AD3842E12E9A}" destId="{1678CA00-597C-4919-94A5-3C467E8D89AC}" srcOrd="2" destOrd="0" presId="urn:microsoft.com/office/officeart/2008/layout/LinedList"/>
    <dgm:cxn modelId="{8E34E6C7-24EC-4759-8947-911735FF3EB1}" type="presParOf" srcId="{8160F9D1-E362-498E-983F-63FCFB9B0442}" destId="{A5D24E65-B568-41AB-9990-EE4251ABBC44}" srcOrd="2" destOrd="0" presId="urn:microsoft.com/office/officeart/2008/layout/LinedList"/>
    <dgm:cxn modelId="{B2A816BF-613D-4104-A6D8-6457C6DCEC84}" type="presParOf" srcId="{8160F9D1-E362-498E-983F-63FCFB9B0442}" destId="{9479DBF7-9C4D-4576-838E-E99D6F11CA60}" srcOrd="3" destOrd="0" presId="urn:microsoft.com/office/officeart/2008/layout/Lined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8116D28-3560-4A56-968B-72852E709D06}"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3C9DB210-4E45-4990-8DF3-EC05BA0C9D27}">
      <dgm:prSet phldrT="[Text]" custT="1"/>
      <dgm:spPr/>
      <dgm:t>
        <a:bodyPr/>
        <a:lstStyle/>
        <a:p>
          <a:pPr>
            <a:buNone/>
          </a:pPr>
          <a:r>
            <a:rPr lang="en-US" sz="1200">
              <a:latin typeface="Times New Roman" panose="02020603050405020304" pitchFamily="18" charset="0"/>
              <a:cs typeface="Times New Roman" panose="02020603050405020304" pitchFamily="18" charset="0"/>
            </a:rPr>
            <a:t>Global Revenue: $97.7B</a:t>
          </a:r>
        </a:p>
      </dgm:t>
    </dgm:pt>
    <dgm:pt modelId="{504B1DC3-4A64-45CD-BC75-3BE2A93E168C}" type="parTrans" cxnId="{4A63D7AE-AD4C-47A2-8702-E5C8E56EF5EE}">
      <dgm:prSet/>
      <dgm:spPr/>
      <dgm:t>
        <a:bodyPr/>
        <a:lstStyle/>
        <a:p>
          <a:endParaRPr lang="en-US"/>
        </a:p>
      </dgm:t>
    </dgm:pt>
    <dgm:pt modelId="{224DA8B3-7C95-4DEE-B3FA-92A58EDE6503}" type="sibTrans" cxnId="{4A63D7AE-AD4C-47A2-8702-E5C8E56EF5EE}">
      <dgm:prSet/>
      <dgm:spPr/>
      <dgm:t>
        <a:bodyPr/>
        <a:lstStyle/>
        <a:p>
          <a:endParaRPr lang="en-US"/>
        </a:p>
      </dgm:t>
    </dgm:pt>
    <dgm:pt modelId="{A7AED644-8AC0-4C9F-B7EC-69874299F153}">
      <dgm:prSet custT="1"/>
      <dgm:spPr/>
      <dgm:t>
        <a:bodyPr/>
        <a:lstStyle/>
        <a:p>
          <a:pPr>
            <a:buNone/>
          </a:pPr>
          <a:r>
            <a:rPr lang="en-US" sz="1200">
              <a:latin typeface="Times New Roman" panose="02020603050405020304" pitchFamily="18" charset="0"/>
              <a:cs typeface="Times New Roman" panose="02020603050405020304" pitchFamily="18" charset="0"/>
            </a:rPr>
            <a:t>Employees: 9,000+</a:t>
          </a:r>
        </a:p>
      </dgm:t>
    </dgm:pt>
    <dgm:pt modelId="{6ADA491F-97D9-4E65-B5BC-D0C697BB269E}" type="parTrans" cxnId="{B0C1AFE2-1F67-4F75-8374-6292EF6F922C}">
      <dgm:prSet/>
      <dgm:spPr/>
      <dgm:t>
        <a:bodyPr/>
        <a:lstStyle/>
        <a:p>
          <a:endParaRPr lang="en-US"/>
        </a:p>
      </dgm:t>
    </dgm:pt>
    <dgm:pt modelId="{76603A50-1277-49CD-B7BC-27755A50E2CB}" type="sibTrans" cxnId="{B0C1AFE2-1F67-4F75-8374-6292EF6F922C}">
      <dgm:prSet/>
      <dgm:spPr/>
      <dgm:t>
        <a:bodyPr/>
        <a:lstStyle/>
        <a:p>
          <a:endParaRPr lang="en-US"/>
        </a:p>
      </dgm:t>
    </dgm:pt>
    <dgm:pt modelId="{61A44959-D15B-4CAD-BAB3-38BAA72DA792}">
      <dgm:prSet custT="1"/>
      <dgm:spPr/>
      <dgm:t>
        <a:bodyPr/>
        <a:lstStyle/>
        <a:p>
          <a:pPr>
            <a:buNone/>
          </a:pPr>
          <a:r>
            <a:rPr lang="en-US" sz="1200">
              <a:latin typeface="Times New Roman" panose="02020603050405020304" pitchFamily="18" charset="0"/>
              <a:cs typeface="Times New Roman" panose="02020603050405020304" pitchFamily="18" charset="0"/>
            </a:rPr>
            <a:t>Volume Growth: 45%</a:t>
          </a:r>
        </a:p>
      </dgm:t>
    </dgm:pt>
    <dgm:pt modelId="{F5C55007-E408-4017-AABD-E7A9616C0514}" type="parTrans" cxnId="{F57BA051-EF6E-4E08-A95A-6599FB8D4641}">
      <dgm:prSet/>
      <dgm:spPr/>
      <dgm:t>
        <a:bodyPr/>
        <a:lstStyle/>
        <a:p>
          <a:endParaRPr lang="en-US"/>
        </a:p>
      </dgm:t>
    </dgm:pt>
    <dgm:pt modelId="{9B1795D6-0DBF-4EEF-A166-D17B1E921949}" type="sibTrans" cxnId="{F57BA051-EF6E-4E08-A95A-6599FB8D4641}">
      <dgm:prSet/>
      <dgm:spPr/>
      <dgm:t>
        <a:bodyPr/>
        <a:lstStyle/>
        <a:p>
          <a:endParaRPr lang="en-US"/>
        </a:p>
      </dgm:t>
    </dgm:pt>
    <dgm:pt modelId="{FD9F7F9D-6DB5-46B3-8518-389294D95E55}">
      <dgm:prSet custT="1"/>
      <dgm:spPr/>
      <dgm:t>
        <a:bodyPr/>
        <a:lstStyle/>
        <a:p>
          <a:pPr>
            <a:buNone/>
          </a:pPr>
          <a:r>
            <a:rPr lang="en-US" sz="1200">
              <a:latin typeface="Times New Roman" panose="02020603050405020304" pitchFamily="18" charset="0"/>
              <a:cs typeface="Times New Roman" panose="02020603050405020304" pitchFamily="18" charset="0"/>
            </a:rPr>
            <a:t>Profitability: </a:t>
          </a:r>
        </a:p>
        <a:p>
          <a:pPr>
            <a:buNone/>
          </a:pPr>
          <a:r>
            <a:rPr lang="en-US" sz="1200">
              <a:latin typeface="Times New Roman" panose="02020603050405020304" pitchFamily="18" charset="0"/>
              <a:cs typeface="Times New Roman" panose="02020603050405020304" pitchFamily="18" charset="0"/>
            </a:rPr>
            <a:t>-30%</a:t>
          </a:r>
        </a:p>
      </dgm:t>
    </dgm:pt>
    <dgm:pt modelId="{598A8AFA-C0F0-4C83-995B-4079BC66B94C}" type="parTrans" cxnId="{D75C5E23-6678-49D9-ABA9-831CC5715476}">
      <dgm:prSet/>
      <dgm:spPr/>
      <dgm:t>
        <a:bodyPr/>
        <a:lstStyle/>
        <a:p>
          <a:endParaRPr lang="en-US"/>
        </a:p>
      </dgm:t>
    </dgm:pt>
    <dgm:pt modelId="{EA495CDA-4625-4DD7-8560-2398B0DCF50F}" type="sibTrans" cxnId="{D75C5E23-6678-49D9-ABA9-831CC5715476}">
      <dgm:prSet/>
      <dgm:spPr/>
      <dgm:t>
        <a:bodyPr/>
        <a:lstStyle/>
        <a:p>
          <a:endParaRPr lang="en-US"/>
        </a:p>
      </dgm:t>
    </dgm:pt>
    <dgm:pt modelId="{57DAA4F5-FBEA-48DE-8DFB-C950E8BAC089}">
      <dgm:prSet custT="1"/>
      <dgm:spPr/>
      <dgm:t>
        <a:bodyPr/>
        <a:lstStyle/>
        <a:p>
          <a:pPr>
            <a:buNone/>
          </a:pPr>
          <a:r>
            <a:rPr lang="en-US" sz="1200">
              <a:latin typeface="Times New Roman" panose="02020603050405020304" pitchFamily="18" charset="0"/>
              <a:cs typeface="Times New Roman" panose="02020603050405020304" pitchFamily="18" charset="0"/>
            </a:rPr>
            <a:t>Market Share: </a:t>
          </a:r>
        </a:p>
        <a:p>
          <a:pPr>
            <a:buNone/>
          </a:pPr>
          <a:r>
            <a:rPr lang="en-US" sz="1200">
              <a:latin typeface="Times New Roman" panose="02020603050405020304" pitchFamily="18" charset="0"/>
              <a:cs typeface="Times New Roman" panose="02020603050405020304" pitchFamily="18" charset="0"/>
            </a:rPr>
            <a:t>-24–52.9%</a:t>
          </a:r>
        </a:p>
      </dgm:t>
    </dgm:pt>
    <dgm:pt modelId="{7197C2C1-3449-4F97-9400-B96D4AF33763}" type="parTrans" cxnId="{1B2B9B9C-9CF3-407A-8924-07F88A0BC95F}">
      <dgm:prSet/>
      <dgm:spPr/>
      <dgm:t>
        <a:bodyPr/>
        <a:lstStyle/>
        <a:p>
          <a:endParaRPr lang="en-US"/>
        </a:p>
      </dgm:t>
    </dgm:pt>
    <dgm:pt modelId="{BFEC430C-AE69-49F2-B86C-BB65E78CAD4E}" type="sibTrans" cxnId="{1B2B9B9C-9CF3-407A-8924-07F88A0BC95F}">
      <dgm:prSet/>
      <dgm:spPr/>
      <dgm:t>
        <a:bodyPr/>
        <a:lstStyle/>
        <a:p>
          <a:endParaRPr lang="en-US"/>
        </a:p>
      </dgm:t>
    </dgm:pt>
    <dgm:pt modelId="{A4DB8272-A57B-497D-BC03-C9DA8357A5B7}">
      <dgm:prSet custT="1"/>
      <dgm:spPr/>
      <dgm:t>
        <a:bodyPr/>
        <a:lstStyle/>
        <a:p>
          <a:pPr>
            <a:buNone/>
          </a:pPr>
          <a:r>
            <a:rPr lang="en-US" sz="1200">
              <a:latin typeface="Times New Roman" panose="02020603050405020304" pitchFamily="18" charset="0"/>
              <a:cs typeface="Times New Roman" panose="02020603050405020304" pitchFamily="18" charset="0"/>
            </a:rPr>
            <a:t>Service Quality: </a:t>
          </a:r>
        </a:p>
        <a:p>
          <a:pPr>
            <a:buNone/>
          </a:pPr>
          <a:r>
            <a:rPr lang="en-US" sz="1200">
              <a:latin typeface="Times New Roman" panose="02020603050405020304" pitchFamily="18" charset="0"/>
              <a:cs typeface="Times New Roman" panose="02020603050405020304" pitchFamily="18" charset="0"/>
            </a:rPr>
            <a:t>-12pp</a:t>
          </a:r>
        </a:p>
      </dgm:t>
    </dgm:pt>
    <dgm:pt modelId="{EBB28912-E96C-46D5-8E1D-2824B6B518C3}" type="parTrans" cxnId="{22526900-EBEA-463B-AD17-768184402FD2}">
      <dgm:prSet/>
      <dgm:spPr/>
      <dgm:t>
        <a:bodyPr/>
        <a:lstStyle/>
        <a:p>
          <a:endParaRPr lang="en-US"/>
        </a:p>
      </dgm:t>
    </dgm:pt>
    <dgm:pt modelId="{74DA3535-2559-435F-968E-D30CA84283D9}" type="sibTrans" cxnId="{22526900-EBEA-463B-AD17-768184402FD2}">
      <dgm:prSet/>
      <dgm:spPr/>
      <dgm:t>
        <a:bodyPr/>
        <a:lstStyle/>
        <a:p>
          <a:endParaRPr lang="en-US"/>
        </a:p>
      </dgm:t>
    </dgm:pt>
    <dgm:pt modelId="{7A64607D-A826-4249-9128-9AEF9C87A168}">
      <dgm:prSet custT="1"/>
      <dgm:spPr/>
      <dgm:t>
        <a:bodyPr/>
        <a:lstStyle/>
        <a:p>
          <a:pPr>
            <a:buNone/>
          </a:pPr>
          <a:r>
            <a:rPr lang="en-US" sz="1200">
              <a:latin typeface="Times New Roman" panose="02020603050405020304" pitchFamily="18" charset="0"/>
              <a:cs typeface="Times New Roman" panose="02020603050405020304" pitchFamily="18" charset="0"/>
            </a:rPr>
            <a:t>Pricing Volatility: 6 adjustments</a:t>
          </a:r>
        </a:p>
      </dgm:t>
    </dgm:pt>
    <dgm:pt modelId="{1A621423-C499-4525-9E6B-C484A839D305}" type="parTrans" cxnId="{E2AFB219-C6D8-4D35-AF4E-42BC305336AC}">
      <dgm:prSet/>
      <dgm:spPr/>
      <dgm:t>
        <a:bodyPr/>
        <a:lstStyle/>
        <a:p>
          <a:endParaRPr lang="en-US"/>
        </a:p>
      </dgm:t>
    </dgm:pt>
    <dgm:pt modelId="{E87A691F-0195-441E-8051-987B19F45882}" type="sibTrans" cxnId="{E2AFB219-C6D8-4D35-AF4E-42BC305336AC}">
      <dgm:prSet/>
      <dgm:spPr/>
      <dgm:t>
        <a:bodyPr/>
        <a:lstStyle/>
        <a:p>
          <a:endParaRPr lang="en-US"/>
        </a:p>
      </dgm:t>
    </dgm:pt>
    <dgm:pt modelId="{DCE7B05D-3BEF-4A69-BA55-C03560060B55}">
      <dgm:prSet custT="1"/>
      <dgm:spPr/>
      <dgm:t>
        <a:bodyPr/>
        <a:lstStyle/>
        <a:p>
          <a:pPr>
            <a:buNone/>
          </a:pPr>
          <a:r>
            <a:rPr lang="en-US" sz="1200">
              <a:latin typeface="Times New Roman" panose="02020603050405020304" pitchFamily="18" charset="0"/>
              <a:cs typeface="Times New Roman" panose="02020603050405020304" pitchFamily="18" charset="0"/>
            </a:rPr>
            <a:t>Energy Business Growth: 44%</a:t>
          </a:r>
        </a:p>
      </dgm:t>
    </dgm:pt>
    <dgm:pt modelId="{F2B3DCF0-0A04-4DC1-9F8D-BA5D9C1B50B0}" type="parTrans" cxnId="{5F5BABC1-4453-4068-A0A3-1197DDF81160}">
      <dgm:prSet/>
      <dgm:spPr/>
      <dgm:t>
        <a:bodyPr/>
        <a:lstStyle/>
        <a:p>
          <a:endParaRPr lang="en-US"/>
        </a:p>
      </dgm:t>
    </dgm:pt>
    <dgm:pt modelId="{BDF60504-3DE8-4184-A5D2-F0F644D6EFFC}" type="sibTrans" cxnId="{5F5BABC1-4453-4068-A0A3-1197DDF81160}">
      <dgm:prSet/>
      <dgm:spPr/>
      <dgm:t>
        <a:bodyPr/>
        <a:lstStyle/>
        <a:p>
          <a:endParaRPr lang="en-US"/>
        </a:p>
      </dgm:t>
    </dgm:pt>
    <dgm:pt modelId="{B05C7DCF-A2A5-49E6-93EC-455F93D02201}">
      <dgm:prSet custT="1"/>
      <dgm:spPr/>
      <dgm:t>
        <a:bodyPr/>
        <a:lstStyle/>
        <a:p>
          <a:pPr>
            <a:buNone/>
          </a:pPr>
          <a:r>
            <a:rPr lang="en-US" sz="1200">
              <a:latin typeface="Times New Roman" panose="02020603050405020304" pitchFamily="18" charset="0"/>
              <a:cs typeface="Times New Roman" panose="02020603050405020304" pitchFamily="18" charset="0"/>
            </a:rPr>
            <a:t>European Market Opportunity: $2.8–3.6B</a:t>
          </a:r>
        </a:p>
      </dgm:t>
    </dgm:pt>
    <dgm:pt modelId="{DDC9E894-5A64-41FB-87F2-C0AC81AEC454}" type="parTrans" cxnId="{A798AA94-BBCD-448C-9B77-E116BA381E00}">
      <dgm:prSet/>
      <dgm:spPr/>
      <dgm:t>
        <a:bodyPr/>
        <a:lstStyle/>
        <a:p>
          <a:endParaRPr lang="en-US"/>
        </a:p>
      </dgm:t>
    </dgm:pt>
    <dgm:pt modelId="{9F90855A-C91D-497F-A9F3-6CAEF8BFC038}" type="sibTrans" cxnId="{A798AA94-BBCD-448C-9B77-E116BA381E00}">
      <dgm:prSet/>
      <dgm:spPr/>
      <dgm:t>
        <a:bodyPr/>
        <a:lstStyle/>
        <a:p>
          <a:endParaRPr lang="en-US"/>
        </a:p>
      </dgm:t>
    </dgm:pt>
    <dgm:pt modelId="{DB28E224-3E66-4339-8361-63F1179E78B8}">
      <dgm:prSet custT="1"/>
      <dgm:spPr/>
      <dgm:t>
        <a:bodyPr/>
        <a:lstStyle/>
        <a:p>
          <a:pPr>
            <a:buNone/>
          </a:pPr>
          <a:r>
            <a:rPr lang="en-US" sz="1200">
              <a:latin typeface="Times New Roman" panose="02020603050405020304" pitchFamily="18" charset="0"/>
              <a:cs typeface="Times New Roman" panose="02020603050405020304" pitchFamily="18" charset="0"/>
            </a:rPr>
            <a:t>Autonomous Vehicle Standard: Level 2</a:t>
          </a:r>
        </a:p>
      </dgm:t>
    </dgm:pt>
    <dgm:pt modelId="{97B99E17-C691-48E7-A38B-635D1F06668D}" type="parTrans" cxnId="{457A56A3-660E-493F-BDB2-4AAFF957CCAB}">
      <dgm:prSet/>
      <dgm:spPr/>
      <dgm:t>
        <a:bodyPr/>
        <a:lstStyle/>
        <a:p>
          <a:endParaRPr lang="en-US"/>
        </a:p>
      </dgm:t>
    </dgm:pt>
    <dgm:pt modelId="{372B73F7-4321-493F-930E-CB0354C8E3EE}" type="sibTrans" cxnId="{457A56A3-660E-493F-BDB2-4AAFF957CCAB}">
      <dgm:prSet/>
      <dgm:spPr/>
      <dgm:t>
        <a:bodyPr/>
        <a:lstStyle/>
        <a:p>
          <a:endParaRPr lang="en-US"/>
        </a:p>
      </dgm:t>
    </dgm:pt>
    <dgm:pt modelId="{7B47F7FE-4FA5-4A7A-AE8E-B1D4ACF4B058}">
      <dgm:prSet custT="1"/>
      <dgm:spPr/>
      <dgm:t>
        <a:bodyPr/>
        <a:lstStyle/>
        <a:p>
          <a:pPr>
            <a:buNone/>
          </a:pPr>
          <a:r>
            <a:rPr lang="en-US" sz="1200">
              <a:latin typeface="Times New Roman" panose="02020603050405020304" pitchFamily="18" charset="0"/>
              <a:cs typeface="Times New Roman" panose="02020603050405020304" pitchFamily="18" charset="0"/>
            </a:rPr>
            <a:t>Battery Cost: $80–100/kWh</a:t>
          </a:r>
        </a:p>
      </dgm:t>
    </dgm:pt>
    <dgm:pt modelId="{D78558FE-7F7E-481C-B163-F9348DAA550C}" type="parTrans" cxnId="{A2F14B2D-EBFB-47F6-88CB-D0EE1EF5DF2E}">
      <dgm:prSet/>
      <dgm:spPr/>
      <dgm:t>
        <a:bodyPr/>
        <a:lstStyle/>
        <a:p>
          <a:endParaRPr lang="en-US"/>
        </a:p>
      </dgm:t>
    </dgm:pt>
    <dgm:pt modelId="{47607CBF-2059-483D-A077-EC53B3F67E54}" type="sibTrans" cxnId="{A2F14B2D-EBFB-47F6-88CB-D0EE1EF5DF2E}">
      <dgm:prSet/>
      <dgm:spPr/>
      <dgm:t>
        <a:bodyPr/>
        <a:lstStyle/>
        <a:p>
          <a:endParaRPr lang="en-US"/>
        </a:p>
      </dgm:t>
    </dgm:pt>
    <dgm:pt modelId="{565FEA7D-49BB-4C9A-A348-DD0B7C21E375}" type="pres">
      <dgm:prSet presAssocID="{C8116D28-3560-4A56-968B-72852E709D06}" presName="diagram" presStyleCnt="0">
        <dgm:presLayoutVars>
          <dgm:dir/>
          <dgm:resizeHandles val="exact"/>
        </dgm:presLayoutVars>
      </dgm:prSet>
      <dgm:spPr/>
    </dgm:pt>
    <dgm:pt modelId="{41630F78-5AEA-42D5-88A4-AE908170E2A5}" type="pres">
      <dgm:prSet presAssocID="{3C9DB210-4E45-4990-8DF3-EC05BA0C9D27}" presName="node" presStyleLbl="node1" presStyleIdx="0" presStyleCnt="11">
        <dgm:presLayoutVars>
          <dgm:bulletEnabled val="1"/>
        </dgm:presLayoutVars>
      </dgm:prSet>
      <dgm:spPr/>
    </dgm:pt>
    <dgm:pt modelId="{2BF31BB2-11A7-48B6-AD9E-F402F371FFC3}" type="pres">
      <dgm:prSet presAssocID="{224DA8B3-7C95-4DEE-B3FA-92A58EDE6503}" presName="sibTrans" presStyleCnt="0"/>
      <dgm:spPr/>
    </dgm:pt>
    <dgm:pt modelId="{75AA31AF-3DE2-4FEF-85FA-FC818398E415}" type="pres">
      <dgm:prSet presAssocID="{A7AED644-8AC0-4C9F-B7EC-69874299F153}" presName="node" presStyleLbl="node1" presStyleIdx="1" presStyleCnt="11">
        <dgm:presLayoutVars>
          <dgm:bulletEnabled val="1"/>
        </dgm:presLayoutVars>
      </dgm:prSet>
      <dgm:spPr/>
    </dgm:pt>
    <dgm:pt modelId="{46C9E83C-77EA-4D45-89A8-AC4366A3D38D}" type="pres">
      <dgm:prSet presAssocID="{76603A50-1277-49CD-B7BC-27755A50E2CB}" presName="sibTrans" presStyleCnt="0"/>
      <dgm:spPr/>
    </dgm:pt>
    <dgm:pt modelId="{5386B1B7-AEC3-4CA4-B5AA-AEF5727E7A65}" type="pres">
      <dgm:prSet presAssocID="{61A44959-D15B-4CAD-BAB3-38BAA72DA792}" presName="node" presStyleLbl="node1" presStyleIdx="2" presStyleCnt="11">
        <dgm:presLayoutVars>
          <dgm:bulletEnabled val="1"/>
        </dgm:presLayoutVars>
      </dgm:prSet>
      <dgm:spPr/>
    </dgm:pt>
    <dgm:pt modelId="{867E7A07-B202-4883-98A3-4263DF084570}" type="pres">
      <dgm:prSet presAssocID="{9B1795D6-0DBF-4EEF-A166-D17B1E921949}" presName="sibTrans" presStyleCnt="0"/>
      <dgm:spPr/>
    </dgm:pt>
    <dgm:pt modelId="{512065AA-1143-4B4C-8E9E-B89507F6819A}" type="pres">
      <dgm:prSet presAssocID="{FD9F7F9D-6DB5-46B3-8518-389294D95E55}" presName="node" presStyleLbl="node1" presStyleIdx="3" presStyleCnt="11">
        <dgm:presLayoutVars>
          <dgm:bulletEnabled val="1"/>
        </dgm:presLayoutVars>
      </dgm:prSet>
      <dgm:spPr/>
    </dgm:pt>
    <dgm:pt modelId="{4EFF450D-6421-41AB-A8B2-7A6D7D2078FC}" type="pres">
      <dgm:prSet presAssocID="{EA495CDA-4625-4DD7-8560-2398B0DCF50F}" presName="sibTrans" presStyleCnt="0"/>
      <dgm:spPr/>
    </dgm:pt>
    <dgm:pt modelId="{D346B232-745D-43AF-BAE3-90EB61A5387D}" type="pres">
      <dgm:prSet presAssocID="{57DAA4F5-FBEA-48DE-8DFB-C950E8BAC089}" presName="node" presStyleLbl="node1" presStyleIdx="4" presStyleCnt="11">
        <dgm:presLayoutVars>
          <dgm:bulletEnabled val="1"/>
        </dgm:presLayoutVars>
      </dgm:prSet>
      <dgm:spPr/>
    </dgm:pt>
    <dgm:pt modelId="{B2E424EA-6284-4E3E-B6A3-D398D79C837A}" type="pres">
      <dgm:prSet presAssocID="{BFEC430C-AE69-49F2-B86C-BB65E78CAD4E}" presName="sibTrans" presStyleCnt="0"/>
      <dgm:spPr/>
    </dgm:pt>
    <dgm:pt modelId="{2FEDE1C2-FC5C-4F9C-A7A8-CDBD2536E780}" type="pres">
      <dgm:prSet presAssocID="{A4DB8272-A57B-497D-BC03-C9DA8357A5B7}" presName="node" presStyleLbl="node1" presStyleIdx="5" presStyleCnt="11">
        <dgm:presLayoutVars>
          <dgm:bulletEnabled val="1"/>
        </dgm:presLayoutVars>
      </dgm:prSet>
      <dgm:spPr/>
    </dgm:pt>
    <dgm:pt modelId="{2D6A4CBA-445E-42D6-B8BA-456937452BDC}" type="pres">
      <dgm:prSet presAssocID="{74DA3535-2559-435F-968E-D30CA84283D9}" presName="sibTrans" presStyleCnt="0"/>
      <dgm:spPr/>
    </dgm:pt>
    <dgm:pt modelId="{46ADB8AF-F1C3-44AE-A342-9FB8AFEB611B}" type="pres">
      <dgm:prSet presAssocID="{7A64607D-A826-4249-9128-9AEF9C87A168}" presName="node" presStyleLbl="node1" presStyleIdx="6" presStyleCnt="11">
        <dgm:presLayoutVars>
          <dgm:bulletEnabled val="1"/>
        </dgm:presLayoutVars>
      </dgm:prSet>
      <dgm:spPr/>
    </dgm:pt>
    <dgm:pt modelId="{B32A7F5C-24ED-440A-A65A-0E0E9B86779B}" type="pres">
      <dgm:prSet presAssocID="{E87A691F-0195-441E-8051-987B19F45882}" presName="sibTrans" presStyleCnt="0"/>
      <dgm:spPr/>
    </dgm:pt>
    <dgm:pt modelId="{CFF6ABDB-F4EB-465B-8CF0-39FDD4766F52}" type="pres">
      <dgm:prSet presAssocID="{DCE7B05D-3BEF-4A69-BA55-C03560060B55}" presName="node" presStyleLbl="node1" presStyleIdx="7" presStyleCnt="11">
        <dgm:presLayoutVars>
          <dgm:bulletEnabled val="1"/>
        </dgm:presLayoutVars>
      </dgm:prSet>
      <dgm:spPr/>
    </dgm:pt>
    <dgm:pt modelId="{DB31A3AB-6196-41BE-A297-7CDA0B01EB36}" type="pres">
      <dgm:prSet presAssocID="{BDF60504-3DE8-4184-A5D2-F0F644D6EFFC}" presName="sibTrans" presStyleCnt="0"/>
      <dgm:spPr/>
    </dgm:pt>
    <dgm:pt modelId="{F7383962-08A0-423C-B484-3A831DBC5423}" type="pres">
      <dgm:prSet presAssocID="{B05C7DCF-A2A5-49E6-93EC-455F93D02201}" presName="node" presStyleLbl="node1" presStyleIdx="8" presStyleCnt="11">
        <dgm:presLayoutVars>
          <dgm:bulletEnabled val="1"/>
        </dgm:presLayoutVars>
      </dgm:prSet>
      <dgm:spPr/>
    </dgm:pt>
    <dgm:pt modelId="{AEFEDFA9-6235-4C92-94AF-17279B0433FF}" type="pres">
      <dgm:prSet presAssocID="{9F90855A-C91D-497F-A9F3-6CAEF8BFC038}" presName="sibTrans" presStyleCnt="0"/>
      <dgm:spPr/>
    </dgm:pt>
    <dgm:pt modelId="{794F9740-7247-43A6-B46A-8FC5B7A0E32F}" type="pres">
      <dgm:prSet presAssocID="{DB28E224-3E66-4339-8361-63F1179E78B8}" presName="node" presStyleLbl="node1" presStyleIdx="9" presStyleCnt="11">
        <dgm:presLayoutVars>
          <dgm:bulletEnabled val="1"/>
        </dgm:presLayoutVars>
      </dgm:prSet>
      <dgm:spPr/>
    </dgm:pt>
    <dgm:pt modelId="{96966506-38F8-4E53-9C39-586DF5380BFA}" type="pres">
      <dgm:prSet presAssocID="{372B73F7-4321-493F-930E-CB0354C8E3EE}" presName="sibTrans" presStyleCnt="0"/>
      <dgm:spPr/>
    </dgm:pt>
    <dgm:pt modelId="{50C5F83F-C9F1-41A1-859D-5FCE0F0AE28D}" type="pres">
      <dgm:prSet presAssocID="{7B47F7FE-4FA5-4A7A-AE8E-B1D4ACF4B058}" presName="node" presStyleLbl="node1" presStyleIdx="10" presStyleCnt="11">
        <dgm:presLayoutVars>
          <dgm:bulletEnabled val="1"/>
        </dgm:presLayoutVars>
      </dgm:prSet>
      <dgm:spPr/>
    </dgm:pt>
  </dgm:ptLst>
  <dgm:cxnLst>
    <dgm:cxn modelId="{22526900-EBEA-463B-AD17-768184402FD2}" srcId="{C8116D28-3560-4A56-968B-72852E709D06}" destId="{A4DB8272-A57B-497D-BC03-C9DA8357A5B7}" srcOrd="5" destOrd="0" parTransId="{EBB28912-E96C-46D5-8E1D-2824B6B518C3}" sibTransId="{74DA3535-2559-435F-968E-D30CA84283D9}"/>
    <dgm:cxn modelId="{6880E80F-4A89-4D64-9F4F-5E17AB6A3357}" type="presOf" srcId="{61A44959-D15B-4CAD-BAB3-38BAA72DA792}" destId="{5386B1B7-AEC3-4CA4-B5AA-AEF5727E7A65}" srcOrd="0" destOrd="0" presId="urn:microsoft.com/office/officeart/2005/8/layout/default"/>
    <dgm:cxn modelId="{E2AFB219-C6D8-4D35-AF4E-42BC305336AC}" srcId="{C8116D28-3560-4A56-968B-72852E709D06}" destId="{7A64607D-A826-4249-9128-9AEF9C87A168}" srcOrd="6" destOrd="0" parTransId="{1A621423-C499-4525-9E6B-C484A839D305}" sibTransId="{E87A691F-0195-441E-8051-987B19F45882}"/>
    <dgm:cxn modelId="{31F43422-F9C5-4CD2-91EE-CD1C6BBC3BB7}" type="presOf" srcId="{C8116D28-3560-4A56-968B-72852E709D06}" destId="{565FEA7D-49BB-4C9A-A348-DD0B7C21E375}" srcOrd="0" destOrd="0" presId="urn:microsoft.com/office/officeart/2005/8/layout/default"/>
    <dgm:cxn modelId="{D75C5E23-6678-49D9-ABA9-831CC5715476}" srcId="{C8116D28-3560-4A56-968B-72852E709D06}" destId="{FD9F7F9D-6DB5-46B3-8518-389294D95E55}" srcOrd="3" destOrd="0" parTransId="{598A8AFA-C0F0-4C83-995B-4079BC66B94C}" sibTransId="{EA495CDA-4625-4DD7-8560-2398B0DCF50F}"/>
    <dgm:cxn modelId="{1A3F9125-AF52-4DE1-ADEA-92A1C03A177E}" type="presOf" srcId="{57DAA4F5-FBEA-48DE-8DFB-C950E8BAC089}" destId="{D346B232-745D-43AF-BAE3-90EB61A5387D}" srcOrd="0" destOrd="0" presId="urn:microsoft.com/office/officeart/2005/8/layout/default"/>
    <dgm:cxn modelId="{A2F14B2D-EBFB-47F6-88CB-D0EE1EF5DF2E}" srcId="{C8116D28-3560-4A56-968B-72852E709D06}" destId="{7B47F7FE-4FA5-4A7A-AE8E-B1D4ACF4B058}" srcOrd="10" destOrd="0" parTransId="{D78558FE-7F7E-481C-B163-F9348DAA550C}" sibTransId="{47607CBF-2059-483D-A077-EC53B3F67E54}"/>
    <dgm:cxn modelId="{04B9EE3D-EA40-4DD6-8358-4ACA1D4E7C24}" type="presOf" srcId="{7A64607D-A826-4249-9128-9AEF9C87A168}" destId="{46ADB8AF-F1C3-44AE-A342-9FB8AFEB611B}" srcOrd="0" destOrd="0" presId="urn:microsoft.com/office/officeart/2005/8/layout/default"/>
    <dgm:cxn modelId="{B007C26B-40BE-4352-8874-EA83672828AA}" type="presOf" srcId="{A4DB8272-A57B-497D-BC03-C9DA8357A5B7}" destId="{2FEDE1C2-FC5C-4F9C-A7A8-CDBD2536E780}" srcOrd="0" destOrd="0" presId="urn:microsoft.com/office/officeart/2005/8/layout/default"/>
    <dgm:cxn modelId="{E62AD76E-8A50-464E-9F0C-C3B18C8E5165}" type="presOf" srcId="{DCE7B05D-3BEF-4A69-BA55-C03560060B55}" destId="{CFF6ABDB-F4EB-465B-8CF0-39FDD4766F52}" srcOrd="0" destOrd="0" presId="urn:microsoft.com/office/officeart/2005/8/layout/default"/>
    <dgm:cxn modelId="{F57BA051-EF6E-4E08-A95A-6599FB8D4641}" srcId="{C8116D28-3560-4A56-968B-72852E709D06}" destId="{61A44959-D15B-4CAD-BAB3-38BAA72DA792}" srcOrd="2" destOrd="0" parTransId="{F5C55007-E408-4017-AABD-E7A9616C0514}" sibTransId="{9B1795D6-0DBF-4EEF-A166-D17B1E921949}"/>
    <dgm:cxn modelId="{3B77E273-CA15-446E-B0FF-02BCB8B9E032}" type="presOf" srcId="{7B47F7FE-4FA5-4A7A-AE8E-B1D4ACF4B058}" destId="{50C5F83F-C9F1-41A1-859D-5FCE0F0AE28D}" srcOrd="0" destOrd="0" presId="urn:microsoft.com/office/officeart/2005/8/layout/default"/>
    <dgm:cxn modelId="{A798AA94-BBCD-448C-9B77-E116BA381E00}" srcId="{C8116D28-3560-4A56-968B-72852E709D06}" destId="{B05C7DCF-A2A5-49E6-93EC-455F93D02201}" srcOrd="8" destOrd="0" parTransId="{DDC9E894-5A64-41FB-87F2-C0AC81AEC454}" sibTransId="{9F90855A-C91D-497F-A9F3-6CAEF8BFC038}"/>
    <dgm:cxn modelId="{1B2B9B9C-9CF3-407A-8924-07F88A0BC95F}" srcId="{C8116D28-3560-4A56-968B-72852E709D06}" destId="{57DAA4F5-FBEA-48DE-8DFB-C950E8BAC089}" srcOrd="4" destOrd="0" parTransId="{7197C2C1-3449-4F97-9400-B96D4AF33763}" sibTransId="{BFEC430C-AE69-49F2-B86C-BB65E78CAD4E}"/>
    <dgm:cxn modelId="{457A56A3-660E-493F-BDB2-4AAFF957CCAB}" srcId="{C8116D28-3560-4A56-968B-72852E709D06}" destId="{DB28E224-3E66-4339-8361-63F1179E78B8}" srcOrd="9" destOrd="0" parTransId="{97B99E17-C691-48E7-A38B-635D1F06668D}" sibTransId="{372B73F7-4321-493F-930E-CB0354C8E3EE}"/>
    <dgm:cxn modelId="{D2033DA9-48F8-4DF1-845E-0853CCEEF7AB}" type="presOf" srcId="{DB28E224-3E66-4339-8361-63F1179E78B8}" destId="{794F9740-7247-43A6-B46A-8FC5B7A0E32F}" srcOrd="0" destOrd="0" presId="urn:microsoft.com/office/officeart/2005/8/layout/default"/>
    <dgm:cxn modelId="{1088D0AE-8547-4112-B5C8-DF388B593ED9}" type="presOf" srcId="{B05C7DCF-A2A5-49E6-93EC-455F93D02201}" destId="{F7383962-08A0-423C-B484-3A831DBC5423}" srcOrd="0" destOrd="0" presId="urn:microsoft.com/office/officeart/2005/8/layout/default"/>
    <dgm:cxn modelId="{4A63D7AE-AD4C-47A2-8702-E5C8E56EF5EE}" srcId="{C8116D28-3560-4A56-968B-72852E709D06}" destId="{3C9DB210-4E45-4990-8DF3-EC05BA0C9D27}" srcOrd="0" destOrd="0" parTransId="{504B1DC3-4A64-45CD-BC75-3BE2A93E168C}" sibTransId="{224DA8B3-7C95-4DEE-B3FA-92A58EDE6503}"/>
    <dgm:cxn modelId="{692C5EC0-48E7-433E-8F32-3A04EEE3AE5A}" type="presOf" srcId="{FD9F7F9D-6DB5-46B3-8518-389294D95E55}" destId="{512065AA-1143-4B4C-8E9E-B89507F6819A}" srcOrd="0" destOrd="0" presId="urn:microsoft.com/office/officeart/2005/8/layout/default"/>
    <dgm:cxn modelId="{5F5BABC1-4453-4068-A0A3-1197DDF81160}" srcId="{C8116D28-3560-4A56-968B-72852E709D06}" destId="{DCE7B05D-3BEF-4A69-BA55-C03560060B55}" srcOrd="7" destOrd="0" parTransId="{F2B3DCF0-0A04-4DC1-9F8D-BA5D9C1B50B0}" sibTransId="{BDF60504-3DE8-4184-A5D2-F0F644D6EFFC}"/>
    <dgm:cxn modelId="{32C837DD-5DB6-40BD-8FA6-88763C40D4F3}" type="presOf" srcId="{A7AED644-8AC0-4C9F-B7EC-69874299F153}" destId="{75AA31AF-3DE2-4FEF-85FA-FC818398E415}" srcOrd="0" destOrd="0" presId="urn:microsoft.com/office/officeart/2005/8/layout/default"/>
    <dgm:cxn modelId="{B0C1AFE2-1F67-4F75-8374-6292EF6F922C}" srcId="{C8116D28-3560-4A56-968B-72852E709D06}" destId="{A7AED644-8AC0-4C9F-B7EC-69874299F153}" srcOrd="1" destOrd="0" parTransId="{6ADA491F-97D9-4E65-B5BC-D0C697BB269E}" sibTransId="{76603A50-1277-49CD-B7BC-27755A50E2CB}"/>
    <dgm:cxn modelId="{F6DECEEA-F153-4713-8DAE-1E1586DCA145}" type="presOf" srcId="{3C9DB210-4E45-4990-8DF3-EC05BA0C9D27}" destId="{41630F78-5AEA-42D5-88A4-AE908170E2A5}" srcOrd="0" destOrd="0" presId="urn:microsoft.com/office/officeart/2005/8/layout/default"/>
    <dgm:cxn modelId="{59396F92-6C06-43BF-BF33-AC946B7FD065}" type="presParOf" srcId="{565FEA7D-49BB-4C9A-A348-DD0B7C21E375}" destId="{41630F78-5AEA-42D5-88A4-AE908170E2A5}" srcOrd="0" destOrd="0" presId="urn:microsoft.com/office/officeart/2005/8/layout/default"/>
    <dgm:cxn modelId="{040B8397-E164-4E1F-8E93-83BF1F1C4DA4}" type="presParOf" srcId="{565FEA7D-49BB-4C9A-A348-DD0B7C21E375}" destId="{2BF31BB2-11A7-48B6-AD9E-F402F371FFC3}" srcOrd="1" destOrd="0" presId="urn:microsoft.com/office/officeart/2005/8/layout/default"/>
    <dgm:cxn modelId="{88D6AAE5-DA34-4EE7-B379-492DEEF59E56}" type="presParOf" srcId="{565FEA7D-49BB-4C9A-A348-DD0B7C21E375}" destId="{75AA31AF-3DE2-4FEF-85FA-FC818398E415}" srcOrd="2" destOrd="0" presId="urn:microsoft.com/office/officeart/2005/8/layout/default"/>
    <dgm:cxn modelId="{D60CE7D0-4B48-477D-BC38-A75E85ED8BA4}" type="presParOf" srcId="{565FEA7D-49BB-4C9A-A348-DD0B7C21E375}" destId="{46C9E83C-77EA-4D45-89A8-AC4366A3D38D}" srcOrd="3" destOrd="0" presId="urn:microsoft.com/office/officeart/2005/8/layout/default"/>
    <dgm:cxn modelId="{BFE94522-0460-4E9D-A126-83629CF07A06}" type="presParOf" srcId="{565FEA7D-49BB-4C9A-A348-DD0B7C21E375}" destId="{5386B1B7-AEC3-4CA4-B5AA-AEF5727E7A65}" srcOrd="4" destOrd="0" presId="urn:microsoft.com/office/officeart/2005/8/layout/default"/>
    <dgm:cxn modelId="{4FF9572D-6ADC-4EAA-AFAD-49F79003A9CF}" type="presParOf" srcId="{565FEA7D-49BB-4C9A-A348-DD0B7C21E375}" destId="{867E7A07-B202-4883-98A3-4263DF084570}" srcOrd="5" destOrd="0" presId="urn:microsoft.com/office/officeart/2005/8/layout/default"/>
    <dgm:cxn modelId="{362A7DDA-872A-4E3F-8DE5-B50BAE63D18A}" type="presParOf" srcId="{565FEA7D-49BB-4C9A-A348-DD0B7C21E375}" destId="{512065AA-1143-4B4C-8E9E-B89507F6819A}" srcOrd="6" destOrd="0" presId="urn:microsoft.com/office/officeart/2005/8/layout/default"/>
    <dgm:cxn modelId="{153281F5-E7E9-4917-80EB-4434744F5F65}" type="presParOf" srcId="{565FEA7D-49BB-4C9A-A348-DD0B7C21E375}" destId="{4EFF450D-6421-41AB-A8B2-7A6D7D2078FC}" srcOrd="7" destOrd="0" presId="urn:microsoft.com/office/officeart/2005/8/layout/default"/>
    <dgm:cxn modelId="{F26764C2-F6C3-4C8E-BE2F-6418FFA48697}" type="presParOf" srcId="{565FEA7D-49BB-4C9A-A348-DD0B7C21E375}" destId="{D346B232-745D-43AF-BAE3-90EB61A5387D}" srcOrd="8" destOrd="0" presId="urn:microsoft.com/office/officeart/2005/8/layout/default"/>
    <dgm:cxn modelId="{30856545-8B33-47AE-B76F-C5D1156AAAAF}" type="presParOf" srcId="{565FEA7D-49BB-4C9A-A348-DD0B7C21E375}" destId="{B2E424EA-6284-4E3E-B6A3-D398D79C837A}" srcOrd="9" destOrd="0" presId="urn:microsoft.com/office/officeart/2005/8/layout/default"/>
    <dgm:cxn modelId="{C45C5133-219F-4B59-8FAB-1ED4C73934CD}" type="presParOf" srcId="{565FEA7D-49BB-4C9A-A348-DD0B7C21E375}" destId="{2FEDE1C2-FC5C-4F9C-A7A8-CDBD2536E780}" srcOrd="10" destOrd="0" presId="urn:microsoft.com/office/officeart/2005/8/layout/default"/>
    <dgm:cxn modelId="{CF1E3F8C-BFC0-40D2-AA55-3461EE557FBE}" type="presParOf" srcId="{565FEA7D-49BB-4C9A-A348-DD0B7C21E375}" destId="{2D6A4CBA-445E-42D6-B8BA-456937452BDC}" srcOrd="11" destOrd="0" presId="urn:microsoft.com/office/officeart/2005/8/layout/default"/>
    <dgm:cxn modelId="{40526447-E015-478E-AFEE-362243EFC343}" type="presParOf" srcId="{565FEA7D-49BB-4C9A-A348-DD0B7C21E375}" destId="{46ADB8AF-F1C3-44AE-A342-9FB8AFEB611B}" srcOrd="12" destOrd="0" presId="urn:microsoft.com/office/officeart/2005/8/layout/default"/>
    <dgm:cxn modelId="{0E03FA39-26A6-4B36-9B2A-5306E772D8B2}" type="presParOf" srcId="{565FEA7D-49BB-4C9A-A348-DD0B7C21E375}" destId="{B32A7F5C-24ED-440A-A65A-0E0E9B86779B}" srcOrd="13" destOrd="0" presId="urn:microsoft.com/office/officeart/2005/8/layout/default"/>
    <dgm:cxn modelId="{B0B93D60-06DB-458D-B0DF-9B1D9C393B0F}" type="presParOf" srcId="{565FEA7D-49BB-4C9A-A348-DD0B7C21E375}" destId="{CFF6ABDB-F4EB-465B-8CF0-39FDD4766F52}" srcOrd="14" destOrd="0" presId="urn:microsoft.com/office/officeart/2005/8/layout/default"/>
    <dgm:cxn modelId="{5A941DA8-0F57-43A9-B857-3CA6DB3D655F}" type="presParOf" srcId="{565FEA7D-49BB-4C9A-A348-DD0B7C21E375}" destId="{DB31A3AB-6196-41BE-A297-7CDA0B01EB36}" srcOrd="15" destOrd="0" presId="urn:microsoft.com/office/officeart/2005/8/layout/default"/>
    <dgm:cxn modelId="{D2723539-DF9E-486A-8ECE-5F9600EE81C7}" type="presParOf" srcId="{565FEA7D-49BB-4C9A-A348-DD0B7C21E375}" destId="{F7383962-08A0-423C-B484-3A831DBC5423}" srcOrd="16" destOrd="0" presId="urn:microsoft.com/office/officeart/2005/8/layout/default"/>
    <dgm:cxn modelId="{433D16AE-4D59-4BD0-A6AA-534140ED787D}" type="presParOf" srcId="{565FEA7D-49BB-4C9A-A348-DD0B7C21E375}" destId="{AEFEDFA9-6235-4C92-94AF-17279B0433FF}" srcOrd="17" destOrd="0" presId="urn:microsoft.com/office/officeart/2005/8/layout/default"/>
    <dgm:cxn modelId="{A03B6F6B-24BB-477E-BCA1-9B16BFE8CD51}" type="presParOf" srcId="{565FEA7D-49BB-4C9A-A348-DD0B7C21E375}" destId="{794F9740-7247-43A6-B46A-8FC5B7A0E32F}" srcOrd="18" destOrd="0" presId="urn:microsoft.com/office/officeart/2005/8/layout/default"/>
    <dgm:cxn modelId="{D004A083-CA9F-46F5-8061-81331108E474}" type="presParOf" srcId="{565FEA7D-49BB-4C9A-A348-DD0B7C21E375}" destId="{96966506-38F8-4E53-9C39-586DF5380BFA}" srcOrd="19" destOrd="0" presId="urn:microsoft.com/office/officeart/2005/8/layout/default"/>
    <dgm:cxn modelId="{14887DB3-2EFF-415E-9DDE-62F4BF4E4BEB}" type="presParOf" srcId="{565FEA7D-49BB-4C9A-A348-DD0B7C21E375}" destId="{50C5F83F-C9F1-41A1-859D-5FCE0F0AE28D}" srcOrd="20"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1EBFECD-65D9-46F1-957D-8872EF9A9147}" type="doc">
      <dgm:prSet loTypeId="urn:diagrams.loki3.com/BracketList" loCatId="list" qsTypeId="urn:microsoft.com/office/officeart/2005/8/quickstyle/simple1" qsCatId="simple" csTypeId="urn:microsoft.com/office/officeart/2005/8/colors/colorful1" csCatId="colorful" phldr="1"/>
      <dgm:spPr/>
      <dgm:t>
        <a:bodyPr/>
        <a:lstStyle/>
        <a:p>
          <a:endParaRPr lang="en-US"/>
        </a:p>
      </dgm:t>
    </dgm:pt>
    <dgm:pt modelId="{EB24F506-8886-4B0E-A0D3-A4E204AE9563}">
      <dgm:prSet phldrT="[Text]" custT="1"/>
      <dgm:spPr/>
      <dgm:t>
        <a:bodyPr/>
        <a:lstStyle/>
        <a:p>
          <a:pPr algn="ctr">
            <a:buNone/>
          </a:pPr>
          <a:r>
            <a:rPr lang="en-US" sz="1200">
              <a:latin typeface="Times New Roman" panose="02020603050405020304" pitchFamily="18" charset="0"/>
              <a:cs typeface="Times New Roman" panose="02020603050405020304" pitchFamily="18" charset="0"/>
            </a:rPr>
            <a:t>Section 301 tariff exposure</a:t>
          </a:r>
        </a:p>
      </dgm:t>
    </dgm:pt>
    <dgm:pt modelId="{A1F922A6-CB14-491B-B045-FF6F704F4415}" type="parTrans" cxnId="{7939B2D9-4B00-4D66-950A-4BA0682DCF4E}">
      <dgm:prSet/>
      <dgm:spPr/>
      <dgm:t>
        <a:bodyPr/>
        <a:lstStyle/>
        <a:p>
          <a:endParaRPr lang="en-US"/>
        </a:p>
      </dgm:t>
    </dgm:pt>
    <dgm:pt modelId="{673E3B6C-A1DC-4880-80E8-1F6B58EB42FD}" type="sibTrans" cxnId="{7939B2D9-4B00-4D66-950A-4BA0682DCF4E}">
      <dgm:prSet/>
      <dgm:spPr/>
      <dgm:t>
        <a:bodyPr/>
        <a:lstStyle/>
        <a:p>
          <a:endParaRPr lang="en-US"/>
        </a:p>
      </dgm:t>
    </dgm:pt>
    <dgm:pt modelId="{BCE6A43D-950C-4E63-8BCB-36AED78CFB2A}">
      <dgm:prSet custT="1"/>
      <dgm:spPr/>
      <dgm:t>
        <a:bodyPr/>
        <a:lstStyle/>
        <a:p>
          <a:pPr algn="ctr">
            <a:buNone/>
          </a:pPr>
          <a:r>
            <a:rPr lang="en-US" sz="1200">
              <a:latin typeface="Times New Roman" panose="02020603050405020304" pitchFamily="18" charset="0"/>
              <a:cs typeface="Times New Roman" panose="02020603050405020304" pitchFamily="18" charset="0"/>
            </a:rPr>
            <a:t>High for Shanghai Gigafactory</a:t>
          </a:r>
        </a:p>
      </dgm:t>
    </dgm:pt>
    <dgm:pt modelId="{FBF330AB-D961-49C0-AC5B-589AA3A8B4FD}" type="parTrans" cxnId="{8DA5DDC0-A1A9-4916-B8AF-FF1B23AAD22A}">
      <dgm:prSet/>
      <dgm:spPr/>
      <dgm:t>
        <a:bodyPr/>
        <a:lstStyle/>
        <a:p>
          <a:endParaRPr lang="en-US"/>
        </a:p>
      </dgm:t>
    </dgm:pt>
    <dgm:pt modelId="{B9C8CED3-46B4-4A8C-94FB-D50DBA7BF1A7}" type="sibTrans" cxnId="{8DA5DDC0-A1A9-4916-B8AF-FF1B23AAD22A}">
      <dgm:prSet/>
      <dgm:spPr/>
      <dgm:t>
        <a:bodyPr/>
        <a:lstStyle/>
        <a:p>
          <a:endParaRPr lang="en-US"/>
        </a:p>
      </dgm:t>
    </dgm:pt>
    <dgm:pt modelId="{8DDDC654-46AE-4A25-B45E-EF12475FB31C}">
      <dgm:prSet custT="1"/>
      <dgm:spPr/>
      <dgm:t>
        <a:bodyPr/>
        <a:lstStyle/>
        <a:p>
          <a:pPr algn="ctr">
            <a:buNone/>
          </a:pPr>
          <a:r>
            <a:rPr lang="en-US" sz="1200">
              <a:latin typeface="Times New Roman" panose="02020603050405020304" pitchFamily="18" charset="0"/>
              <a:cs typeface="Times New Roman" panose="02020603050405020304" pitchFamily="18" charset="0"/>
            </a:rPr>
            <a:t>Manufacturing diversification	</a:t>
          </a:r>
        </a:p>
      </dgm:t>
    </dgm:pt>
    <dgm:pt modelId="{C07A9F65-174D-48FB-AFFB-90F899E2C62A}" type="parTrans" cxnId="{B7303686-899B-4171-B5DE-C9AD4189885F}">
      <dgm:prSet/>
      <dgm:spPr/>
      <dgm:t>
        <a:bodyPr/>
        <a:lstStyle/>
        <a:p>
          <a:endParaRPr lang="en-US"/>
        </a:p>
      </dgm:t>
    </dgm:pt>
    <dgm:pt modelId="{D5CA5850-18D9-41EC-8C83-56D1575E42A3}" type="sibTrans" cxnId="{B7303686-899B-4171-B5DE-C9AD4189885F}">
      <dgm:prSet/>
      <dgm:spPr/>
      <dgm:t>
        <a:bodyPr/>
        <a:lstStyle/>
        <a:p>
          <a:endParaRPr lang="en-US"/>
        </a:p>
      </dgm:t>
    </dgm:pt>
    <dgm:pt modelId="{6A967D5B-5F8A-49E3-B11B-65BED63FCB91}">
      <dgm:prSet custT="1"/>
      <dgm:spPr/>
      <dgm:t>
        <a:bodyPr/>
        <a:lstStyle/>
        <a:p>
          <a:pPr algn="ctr">
            <a:buNone/>
          </a:pPr>
          <a:r>
            <a:rPr lang="en-US" sz="1200">
              <a:latin typeface="Times New Roman" panose="02020603050405020304" pitchFamily="18" charset="0"/>
              <a:cs typeface="Times New Roman" panose="02020603050405020304" pitchFamily="18" charset="0"/>
            </a:rPr>
            <a:t>US, Mexico, Germany</a:t>
          </a:r>
        </a:p>
      </dgm:t>
    </dgm:pt>
    <dgm:pt modelId="{CA08504B-5FF5-467E-A0AF-EDB9CA6F1CE0}" type="parTrans" cxnId="{6F5180D2-8899-4944-AE0C-3704841402A0}">
      <dgm:prSet/>
      <dgm:spPr/>
      <dgm:t>
        <a:bodyPr/>
        <a:lstStyle/>
        <a:p>
          <a:endParaRPr lang="en-US"/>
        </a:p>
      </dgm:t>
    </dgm:pt>
    <dgm:pt modelId="{5487E1F7-D841-42CB-AF38-37FE2717CD6D}" type="sibTrans" cxnId="{6F5180D2-8899-4944-AE0C-3704841402A0}">
      <dgm:prSet/>
      <dgm:spPr/>
      <dgm:t>
        <a:bodyPr/>
        <a:lstStyle/>
        <a:p>
          <a:endParaRPr lang="en-US"/>
        </a:p>
      </dgm:t>
    </dgm:pt>
    <dgm:pt modelId="{2AC60440-C57E-463C-8DBD-3DE417F99DEE}">
      <dgm:prSet custT="1"/>
      <dgm:spPr/>
      <dgm:t>
        <a:bodyPr/>
        <a:lstStyle/>
        <a:p>
          <a:pPr algn="ctr">
            <a:buNone/>
          </a:pPr>
          <a:r>
            <a:rPr lang="en-US" sz="1200">
              <a:latin typeface="Times New Roman" panose="02020603050405020304" pitchFamily="18" charset="0"/>
              <a:cs typeface="Times New Roman" panose="02020603050405020304" pitchFamily="18" charset="0"/>
            </a:rPr>
            <a:t>EU green claims directive</a:t>
          </a:r>
        </a:p>
      </dgm:t>
    </dgm:pt>
    <dgm:pt modelId="{ABEF26D7-732D-48B8-83ED-7090C146DE30}" type="parTrans" cxnId="{6535680B-481B-48D3-A119-F68B0D9DCE91}">
      <dgm:prSet/>
      <dgm:spPr/>
      <dgm:t>
        <a:bodyPr/>
        <a:lstStyle/>
        <a:p>
          <a:endParaRPr lang="en-US"/>
        </a:p>
      </dgm:t>
    </dgm:pt>
    <dgm:pt modelId="{39759422-201B-44A0-9147-049DC2A6B138}" type="sibTrans" cxnId="{6535680B-481B-48D3-A119-F68B0D9DCE91}">
      <dgm:prSet/>
      <dgm:spPr/>
      <dgm:t>
        <a:bodyPr/>
        <a:lstStyle/>
        <a:p>
          <a:endParaRPr lang="en-US"/>
        </a:p>
      </dgm:t>
    </dgm:pt>
    <dgm:pt modelId="{49130B1F-79CF-4F22-A9C4-A5CB29DDF733}">
      <dgm:prSet custT="1"/>
      <dgm:spPr>
        <a:solidFill>
          <a:srgbClr val="00B050"/>
        </a:solidFill>
      </dgm:spPr>
      <dgm:t>
        <a:bodyPr/>
        <a:lstStyle/>
        <a:p>
          <a:pPr algn="ctr">
            <a:buNone/>
          </a:pPr>
          <a:r>
            <a:rPr lang="en-US" sz="1200">
              <a:latin typeface="Times New Roman" panose="02020603050405020304" pitchFamily="18" charset="0"/>
              <a:cs typeface="Times New Roman" panose="02020603050405020304" pitchFamily="18" charset="0"/>
            </a:rPr>
            <a:t>Substantiation, transparency, verification</a:t>
          </a:r>
        </a:p>
      </dgm:t>
    </dgm:pt>
    <dgm:pt modelId="{0BA8D928-5AA7-41E1-9B41-31AF53DB5385}" type="parTrans" cxnId="{A5FE0E95-E5BA-47C7-83FC-626A28701EAA}">
      <dgm:prSet/>
      <dgm:spPr/>
      <dgm:t>
        <a:bodyPr/>
        <a:lstStyle/>
        <a:p>
          <a:endParaRPr lang="en-US"/>
        </a:p>
      </dgm:t>
    </dgm:pt>
    <dgm:pt modelId="{C3C910CD-BFDF-4FF7-AEB1-262365C78CBE}" type="sibTrans" cxnId="{A5FE0E95-E5BA-47C7-83FC-626A28701EAA}">
      <dgm:prSet/>
      <dgm:spPr/>
      <dgm:t>
        <a:bodyPr/>
        <a:lstStyle/>
        <a:p>
          <a:endParaRPr lang="en-US"/>
        </a:p>
      </dgm:t>
    </dgm:pt>
    <dgm:pt modelId="{90DCCA96-3777-4493-9535-07499710815B}">
      <dgm:prSet custT="1"/>
      <dgm:spPr/>
      <dgm:t>
        <a:bodyPr/>
        <a:lstStyle/>
        <a:p>
          <a:pPr algn="ctr">
            <a:buNone/>
          </a:pPr>
          <a:r>
            <a:rPr lang="en-US" sz="1200">
              <a:latin typeface="Times New Roman" panose="02020603050405020304" pitchFamily="18" charset="0"/>
              <a:cs typeface="Times New Roman" panose="02020603050405020304" pitchFamily="18" charset="0"/>
            </a:rPr>
            <a:t>China supply-chain risk</a:t>
          </a:r>
        </a:p>
      </dgm:t>
    </dgm:pt>
    <dgm:pt modelId="{BBC281EC-E087-4719-A6C8-EED63CADB750}" type="parTrans" cxnId="{B67E3ADB-CEB6-4882-BFF7-F968641FB356}">
      <dgm:prSet/>
      <dgm:spPr/>
      <dgm:t>
        <a:bodyPr/>
        <a:lstStyle/>
        <a:p>
          <a:endParaRPr lang="en-US"/>
        </a:p>
      </dgm:t>
    </dgm:pt>
    <dgm:pt modelId="{47401E55-FBDB-4C6D-B64E-768017468A48}" type="sibTrans" cxnId="{B67E3ADB-CEB6-4882-BFF7-F968641FB356}">
      <dgm:prSet/>
      <dgm:spPr/>
      <dgm:t>
        <a:bodyPr/>
        <a:lstStyle/>
        <a:p>
          <a:endParaRPr lang="en-US"/>
        </a:p>
      </dgm:t>
    </dgm:pt>
    <dgm:pt modelId="{3717FA8A-B917-4AA7-9A8E-5302BE091FDA}">
      <dgm:prSet custT="1"/>
      <dgm:spPr/>
      <dgm:t>
        <a:bodyPr/>
        <a:lstStyle/>
        <a:p>
          <a:pPr algn="ctr">
            <a:buNone/>
          </a:pPr>
          <a:r>
            <a:rPr lang="en-US" sz="1200">
              <a:latin typeface="Times New Roman" panose="02020603050405020304" pitchFamily="18" charset="0"/>
              <a:cs typeface="Times New Roman" panose="02020603050405020304" pitchFamily="18" charset="0"/>
            </a:rPr>
            <a:t>Policy uncertainty, domestic competition</a:t>
          </a:r>
        </a:p>
      </dgm:t>
    </dgm:pt>
    <dgm:pt modelId="{20F1DEE1-3403-471E-AC52-0B5305C7594B}" type="parTrans" cxnId="{FD6865B0-629A-4196-851F-5A9392F65059}">
      <dgm:prSet/>
      <dgm:spPr/>
      <dgm:t>
        <a:bodyPr/>
        <a:lstStyle/>
        <a:p>
          <a:endParaRPr lang="en-US"/>
        </a:p>
      </dgm:t>
    </dgm:pt>
    <dgm:pt modelId="{D833167B-2B52-4B13-B47F-1D4C061E2ADB}" type="sibTrans" cxnId="{FD6865B0-629A-4196-851F-5A9392F65059}">
      <dgm:prSet/>
      <dgm:spPr/>
      <dgm:t>
        <a:bodyPr/>
        <a:lstStyle/>
        <a:p>
          <a:endParaRPr lang="en-US"/>
        </a:p>
      </dgm:t>
    </dgm:pt>
    <dgm:pt modelId="{2F61D045-C328-4768-BF85-ECD9E3E079E1}" type="pres">
      <dgm:prSet presAssocID="{31EBFECD-65D9-46F1-957D-8872EF9A9147}" presName="Name0" presStyleCnt="0">
        <dgm:presLayoutVars>
          <dgm:dir/>
          <dgm:animLvl val="lvl"/>
          <dgm:resizeHandles val="exact"/>
        </dgm:presLayoutVars>
      </dgm:prSet>
      <dgm:spPr/>
    </dgm:pt>
    <dgm:pt modelId="{E6275BEC-CDB4-4FE4-A7EA-B984E85ACFA1}" type="pres">
      <dgm:prSet presAssocID="{EB24F506-8886-4B0E-A0D3-A4E204AE9563}" presName="linNode" presStyleCnt="0"/>
      <dgm:spPr/>
    </dgm:pt>
    <dgm:pt modelId="{CFEE6E40-E3B3-4E28-9791-22253F736EA3}" type="pres">
      <dgm:prSet presAssocID="{EB24F506-8886-4B0E-A0D3-A4E204AE9563}" presName="parTx" presStyleLbl="revTx" presStyleIdx="0" presStyleCnt="4" custScaleX="169873">
        <dgm:presLayoutVars>
          <dgm:chMax val="1"/>
          <dgm:bulletEnabled val="1"/>
        </dgm:presLayoutVars>
      </dgm:prSet>
      <dgm:spPr/>
    </dgm:pt>
    <dgm:pt modelId="{456F670F-9910-40B3-8B2D-83D80F565DC9}" type="pres">
      <dgm:prSet presAssocID="{EB24F506-8886-4B0E-A0D3-A4E204AE9563}" presName="bracket" presStyleLbl="parChTrans1D1" presStyleIdx="0" presStyleCnt="4"/>
      <dgm:spPr/>
    </dgm:pt>
    <dgm:pt modelId="{A65F7211-E7DC-42F0-A613-40FFF3DB5F42}" type="pres">
      <dgm:prSet presAssocID="{EB24F506-8886-4B0E-A0D3-A4E204AE9563}" presName="spH" presStyleCnt="0"/>
      <dgm:spPr/>
    </dgm:pt>
    <dgm:pt modelId="{CF85CCE8-A6C8-4A48-9859-8D146C31D85C}" type="pres">
      <dgm:prSet presAssocID="{EB24F506-8886-4B0E-A0D3-A4E204AE9563}" presName="desTx" presStyleLbl="node1" presStyleIdx="0" presStyleCnt="4" custScaleX="147203">
        <dgm:presLayoutVars>
          <dgm:bulletEnabled val="1"/>
        </dgm:presLayoutVars>
      </dgm:prSet>
      <dgm:spPr/>
    </dgm:pt>
    <dgm:pt modelId="{10FB71B4-72CA-458E-AC2E-25558286FA1E}" type="pres">
      <dgm:prSet presAssocID="{673E3B6C-A1DC-4880-80E8-1F6B58EB42FD}" presName="spV" presStyleCnt="0"/>
      <dgm:spPr/>
    </dgm:pt>
    <dgm:pt modelId="{CEDB8499-AC4A-4608-87C6-9BA5436A475F}" type="pres">
      <dgm:prSet presAssocID="{8DDDC654-46AE-4A25-B45E-EF12475FB31C}" presName="linNode" presStyleCnt="0"/>
      <dgm:spPr/>
    </dgm:pt>
    <dgm:pt modelId="{293E27AE-19CA-4F96-AA61-AF2252E818A5}" type="pres">
      <dgm:prSet presAssocID="{8DDDC654-46AE-4A25-B45E-EF12475FB31C}" presName="parTx" presStyleLbl="revTx" presStyleIdx="1" presStyleCnt="4" custScaleX="169873">
        <dgm:presLayoutVars>
          <dgm:chMax val="1"/>
          <dgm:bulletEnabled val="1"/>
        </dgm:presLayoutVars>
      </dgm:prSet>
      <dgm:spPr/>
    </dgm:pt>
    <dgm:pt modelId="{8226C88B-9A39-474A-A11F-285AB6CA63BD}" type="pres">
      <dgm:prSet presAssocID="{8DDDC654-46AE-4A25-B45E-EF12475FB31C}" presName="bracket" presStyleLbl="parChTrans1D1" presStyleIdx="1" presStyleCnt="4"/>
      <dgm:spPr/>
    </dgm:pt>
    <dgm:pt modelId="{3B633DB7-ED9C-4907-8ACF-7AAFA9543C90}" type="pres">
      <dgm:prSet presAssocID="{8DDDC654-46AE-4A25-B45E-EF12475FB31C}" presName="spH" presStyleCnt="0"/>
      <dgm:spPr/>
    </dgm:pt>
    <dgm:pt modelId="{DCCB1460-4F3F-4BB3-BD3C-8DD780403BCF}" type="pres">
      <dgm:prSet presAssocID="{8DDDC654-46AE-4A25-B45E-EF12475FB31C}" presName="desTx" presStyleLbl="node1" presStyleIdx="1" presStyleCnt="4" custScaleX="147203">
        <dgm:presLayoutVars>
          <dgm:bulletEnabled val="1"/>
        </dgm:presLayoutVars>
      </dgm:prSet>
      <dgm:spPr/>
    </dgm:pt>
    <dgm:pt modelId="{7E54F795-2C88-4CD7-BEAA-ED393CE2F4CF}" type="pres">
      <dgm:prSet presAssocID="{D5CA5850-18D9-41EC-8C83-56D1575E42A3}" presName="spV" presStyleCnt="0"/>
      <dgm:spPr/>
    </dgm:pt>
    <dgm:pt modelId="{8AD1D8CE-05F1-4428-A52A-852C116F0D95}" type="pres">
      <dgm:prSet presAssocID="{2AC60440-C57E-463C-8DBD-3DE417F99DEE}" presName="linNode" presStyleCnt="0"/>
      <dgm:spPr/>
    </dgm:pt>
    <dgm:pt modelId="{49CF67F8-A23B-42BF-837A-AC2DB1266B30}" type="pres">
      <dgm:prSet presAssocID="{2AC60440-C57E-463C-8DBD-3DE417F99DEE}" presName="parTx" presStyleLbl="revTx" presStyleIdx="2" presStyleCnt="4" custScaleX="169873">
        <dgm:presLayoutVars>
          <dgm:chMax val="1"/>
          <dgm:bulletEnabled val="1"/>
        </dgm:presLayoutVars>
      </dgm:prSet>
      <dgm:spPr/>
    </dgm:pt>
    <dgm:pt modelId="{5DB74D8C-7A94-404B-8C24-179A799F9A57}" type="pres">
      <dgm:prSet presAssocID="{2AC60440-C57E-463C-8DBD-3DE417F99DEE}" presName="bracket" presStyleLbl="parChTrans1D1" presStyleIdx="2" presStyleCnt="4"/>
      <dgm:spPr/>
    </dgm:pt>
    <dgm:pt modelId="{04158BD6-6EE5-4992-8A42-009D0BCC26AA}" type="pres">
      <dgm:prSet presAssocID="{2AC60440-C57E-463C-8DBD-3DE417F99DEE}" presName="spH" presStyleCnt="0"/>
      <dgm:spPr/>
    </dgm:pt>
    <dgm:pt modelId="{1A0BECD7-8458-4526-A966-E2D5471E27C1}" type="pres">
      <dgm:prSet presAssocID="{2AC60440-C57E-463C-8DBD-3DE417F99DEE}" presName="desTx" presStyleLbl="node1" presStyleIdx="2" presStyleCnt="4" custScaleX="147203">
        <dgm:presLayoutVars>
          <dgm:bulletEnabled val="1"/>
        </dgm:presLayoutVars>
      </dgm:prSet>
      <dgm:spPr/>
    </dgm:pt>
    <dgm:pt modelId="{68FA8DCF-A0E0-469F-AD2B-69D80644BEE3}" type="pres">
      <dgm:prSet presAssocID="{39759422-201B-44A0-9147-049DC2A6B138}" presName="spV" presStyleCnt="0"/>
      <dgm:spPr/>
    </dgm:pt>
    <dgm:pt modelId="{7980B009-ABCA-4864-83B6-53EF37940D7F}" type="pres">
      <dgm:prSet presAssocID="{90DCCA96-3777-4493-9535-07499710815B}" presName="linNode" presStyleCnt="0"/>
      <dgm:spPr/>
    </dgm:pt>
    <dgm:pt modelId="{E76559B5-B35A-4369-8D7B-C3C33342476F}" type="pres">
      <dgm:prSet presAssocID="{90DCCA96-3777-4493-9535-07499710815B}" presName="parTx" presStyleLbl="revTx" presStyleIdx="3" presStyleCnt="4" custScaleX="169873">
        <dgm:presLayoutVars>
          <dgm:chMax val="1"/>
          <dgm:bulletEnabled val="1"/>
        </dgm:presLayoutVars>
      </dgm:prSet>
      <dgm:spPr/>
    </dgm:pt>
    <dgm:pt modelId="{901EF8EF-2A69-456B-8B90-EA389D92D82A}" type="pres">
      <dgm:prSet presAssocID="{90DCCA96-3777-4493-9535-07499710815B}" presName="bracket" presStyleLbl="parChTrans1D1" presStyleIdx="3" presStyleCnt="4"/>
      <dgm:spPr/>
    </dgm:pt>
    <dgm:pt modelId="{B3DD1C93-E997-4F60-882A-25EB63604CC0}" type="pres">
      <dgm:prSet presAssocID="{90DCCA96-3777-4493-9535-07499710815B}" presName="spH" presStyleCnt="0"/>
      <dgm:spPr/>
    </dgm:pt>
    <dgm:pt modelId="{5F040AB2-0910-4B07-B510-1362A45E8976}" type="pres">
      <dgm:prSet presAssocID="{90DCCA96-3777-4493-9535-07499710815B}" presName="desTx" presStyleLbl="node1" presStyleIdx="3" presStyleCnt="4" custScaleX="147203">
        <dgm:presLayoutVars>
          <dgm:bulletEnabled val="1"/>
        </dgm:presLayoutVars>
      </dgm:prSet>
      <dgm:spPr/>
    </dgm:pt>
  </dgm:ptLst>
  <dgm:cxnLst>
    <dgm:cxn modelId="{6535680B-481B-48D3-A119-F68B0D9DCE91}" srcId="{31EBFECD-65D9-46F1-957D-8872EF9A9147}" destId="{2AC60440-C57E-463C-8DBD-3DE417F99DEE}" srcOrd="2" destOrd="0" parTransId="{ABEF26D7-732D-48B8-83ED-7090C146DE30}" sibTransId="{39759422-201B-44A0-9147-049DC2A6B138}"/>
    <dgm:cxn modelId="{1FD76F16-3815-406C-92AF-FE4716770631}" type="presOf" srcId="{90DCCA96-3777-4493-9535-07499710815B}" destId="{E76559B5-B35A-4369-8D7B-C3C33342476F}" srcOrd="0" destOrd="0" presId="urn:diagrams.loki3.com/BracketList"/>
    <dgm:cxn modelId="{382ECE33-F2CC-4A2A-B809-ADBE5BEFBF5B}" type="presOf" srcId="{49130B1F-79CF-4F22-A9C4-A5CB29DDF733}" destId="{1A0BECD7-8458-4526-A966-E2D5471E27C1}" srcOrd="0" destOrd="0" presId="urn:diagrams.loki3.com/BracketList"/>
    <dgm:cxn modelId="{F80DB56E-5365-4826-8FA0-043509CB11F8}" type="presOf" srcId="{6A967D5B-5F8A-49E3-B11B-65BED63FCB91}" destId="{DCCB1460-4F3F-4BB3-BD3C-8DD780403BCF}" srcOrd="0" destOrd="0" presId="urn:diagrams.loki3.com/BracketList"/>
    <dgm:cxn modelId="{3BAC3150-406F-4855-B272-C3BAE1747A22}" type="presOf" srcId="{31EBFECD-65D9-46F1-957D-8872EF9A9147}" destId="{2F61D045-C328-4768-BF85-ECD9E3E079E1}" srcOrd="0" destOrd="0" presId="urn:diagrams.loki3.com/BracketList"/>
    <dgm:cxn modelId="{A6263352-9347-46AF-B9E4-3B49B027FD34}" type="presOf" srcId="{BCE6A43D-950C-4E63-8BCB-36AED78CFB2A}" destId="{CF85CCE8-A6C8-4A48-9859-8D146C31D85C}" srcOrd="0" destOrd="0" presId="urn:diagrams.loki3.com/BracketList"/>
    <dgm:cxn modelId="{3CCBE67C-DCA6-42FB-A4F9-7E4BAA39B31D}" type="presOf" srcId="{3717FA8A-B917-4AA7-9A8E-5302BE091FDA}" destId="{5F040AB2-0910-4B07-B510-1362A45E8976}" srcOrd="0" destOrd="0" presId="urn:diagrams.loki3.com/BracketList"/>
    <dgm:cxn modelId="{B7303686-899B-4171-B5DE-C9AD4189885F}" srcId="{31EBFECD-65D9-46F1-957D-8872EF9A9147}" destId="{8DDDC654-46AE-4A25-B45E-EF12475FB31C}" srcOrd="1" destOrd="0" parTransId="{C07A9F65-174D-48FB-AFFB-90F899E2C62A}" sibTransId="{D5CA5850-18D9-41EC-8C83-56D1575E42A3}"/>
    <dgm:cxn modelId="{A5FE0E95-E5BA-47C7-83FC-626A28701EAA}" srcId="{2AC60440-C57E-463C-8DBD-3DE417F99DEE}" destId="{49130B1F-79CF-4F22-A9C4-A5CB29DDF733}" srcOrd="0" destOrd="0" parTransId="{0BA8D928-5AA7-41E1-9B41-31AF53DB5385}" sibTransId="{C3C910CD-BFDF-4FF7-AEB1-262365C78CBE}"/>
    <dgm:cxn modelId="{3318A6AC-C3D7-470A-B43F-ED608FC9FAA2}" type="presOf" srcId="{8DDDC654-46AE-4A25-B45E-EF12475FB31C}" destId="{293E27AE-19CA-4F96-AA61-AF2252E818A5}" srcOrd="0" destOrd="0" presId="urn:diagrams.loki3.com/BracketList"/>
    <dgm:cxn modelId="{FD6865B0-629A-4196-851F-5A9392F65059}" srcId="{90DCCA96-3777-4493-9535-07499710815B}" destId="{3717FA8A-B917-4AA7-9A8E-5302BE091FDA}" srcOrd="0" destOrd="0" parTransId="{20F1DEE1-3403-471E-AC52-0B5305C7594B}" sibTransId="{D833167B-2B52-4B13-B47F-1D4C061E2ADB}"/>
    <dgm:cxn modelId="{8DA5DDC0-A1A9-4916-B8AF-FF1B23AAD22A}" srcId="{EB24F506-8886-4B0E-A0D3-A4E204AE9563}" destId="{BCE6A43D-950C-4E63-8BCB-36AED78CFB2A}" srcOrd="0" destOrd="0" parTransId="{FBF330AB-D961-49C0-AC5B-589AA3A8B4FD}" sibTransId="{B9C8CED3-46B4-4A8C-94FB-D50DBA7BF1A7}"/>
    <dgm:cxn modelId="{59D973CE-3B4B-4F03-8B3B-9BA45D1B9A70}" type="presOf" srcId="{EB24F506-8886-4B0E-A0D3-A4E204AE9563}" destId="{CFEE6E40-E3B3-4E28-9791-22253F736EA3}" srcOrd="0" destOrd="0" presId="urn:diagrams.loki3.com/BracketList"/>
    <dgm:cxn modelId="{6F5180D2-8899-4944-AE0C-3704841402A0}" srcId="{8DDDC654-46AE-4A25-B45E-EF12475FB31C}" destId="{6A967D5B-5F8A-49E3-B11B-65BED63FCB91}" srcOrd="0" destOrd="0" parTransId="{CA08504B-5FF5-467E-A0AF-EDB9CA6F1CE0}" sibTransId="{5487E1F7-D841-42CB-AF38-37FE2717CD6D}"/>
    <dgm:cxn modelId="{7939B2D9-4B00-4D66-950A-4BA0682DCF4E}" srcId="{31EBFECD-65D9-46F1-957D-8872EF9A9147}" destId="{EB24F506-8886-4B0E-A0D3-A4E204AE9563}" srcOrd="0" destOrd="0" parTransId="{A1F922A6-CB14-491B-B045-FF6F704F4415}" sibTransId="{673E3B6C-A1DC-4880-80E8-1F6B58EB42FD}"/>
    <dgm:cxn modelId="{B67E3ADB-CEB6-4882-BFF7-F968641FB356}" srcId="{31EBFECD-65D9-46F1-957D-8872EF9A9147}" destId="{90DCCA96-3777-4493-9535-07499710815B}" srcOrd="3" destOrd="0" parTransId="{BBC281EC-E087-4719-A6C8-EED63CADB750}" sibTransId="{47401E55-FBDB-4C6D-B64E-768017468A48}"/>
    <dgm:cxn modelId="{4557C2DC-A670-4D72-A4F9-44B1E56FE3B7}" type="presOf" srcId="{2AC60440-C57E-463C-8DBD-3DE417F99DEE}" destId="{49CF67F8-A23B-42BF-837A-AC2DB1266B30}" srcOrd="0" destOrd="0" presId="urn:diagrams.loki3.com/BracketList"/>
    <dgm:cxn modelId="{D1FB20F5-2C76-44C4-B84C-BD1F2E0AAE33}" type="presParOf" srcId="{2F61D045-C328-4768-BF85-ECD9E3E079E1}" destId="{E6275BEC-CDB4-4FE4-A7EA-B984E85ACFA1}" srcOrd="0" destOrd="0" presId="urn:diagrams.loki3.com/BracketList"/>
    <dgm:cxn modelId="{AB180D25-5710-4C15-8F65-06B4F22CF1C2}" type="presParOf" srcId="{E6275BEC-CDB4-4FE4-A7EA-B984E85ACFA1}" destId="{CFEE6E40-E3B3-4E28-9791-22253F736EA3}" srcOrd="0" destOrd="0" presId="urn:diagrams.loki3.com/BracketList"/>
    <dgm:cxn modelId="{EB1D5E0E-68C8-4FB1-BEB1-62C41584F3C6}" type="presParOf" srcId="{E6275BEC-CDB4-4FE4-A7EA-B984E85ACFA1}" destId="{456F670F-9910-40B3-8B2D-83D80F565DC9}" srcOrd="1" destOrd="0" presId="urn:diagrams.loki3.com/BracketList"/>
    <dgm:cxn modelId="{07B1E42E-3453-4FC8-BA72-3851C0FB2489}" type="presParOf" srcId="{E6275BEC-CDB4-4FE4-A7EA-B984E85ACFA1}" destId="{A65F7211-E7DC-42F0-A613-40FFF3DB5F42}" srcOrd="2" destOrd="0" presId="urn:diagrams.loki3.com/BracketList"/>
    <dgm:cxn modelId="{CEB37E14-6E7C-47A4-A851-26BCD20D1578}" type="presParOf" srcId="{E6275BEC-CDB4-4FE4-A7EA-B984E85ACFA1}" destId="{CF85CCE8-A6C8-4A48-9859-8D146C31D85C}" srcOrd="3" destOrd="0" presId="urn:diagrams.loki3.com/BracketList"/>
    <dgm:cxn modelId="{906459FE-80A5-4D51-8E91-6945BF0F3B05}" type="presParOf" srcId="{2F61D045-C328-4768-BF85-ECD9E3E079E1}" destId="{10FB71B4-72CA-458E-AC2E-25558286FA1E}" srcOrd="1" destOrd="0" presId="urn:diagrams.loki3.com/BracketList"/>
    <dgm:cxn modelId="{78809183-C397-4CDE-B8A1-A72B39E4E4BC}" type="presParOf" srcId="{2F61D045-C328-4768-BF85-ECD9E3E079E1}" destId="{CEDB8499-AC4A-4608-87C6-9BA5436A475F}" srcOrd="2" destOrd="0" presId="urn:diagrams.loki3.com/BracketList"/>
    <dgm:cxn modelId="{2780F221-E0C2-4FB5-B8FC-1E75C4F36751}" type="presParOf" srcId="{CEDB8499-AC4A-4608-87C6-9BA5436A475F}" destId="{293E27AE-19CA-4F96-AA61-AF2252E818A5}" srcOrd="0" destOrd="0" presId="urn:diagrams.loki3.com/BracketList"/>
    <dgm:cxn modelId="{D38B7FDE-08B1-42DD-9950-06C79A11828A}" type="presParOf" srcId="{CEDB8499-AC4A-4608-87C6-9BA5436A475F}" destId="{8226C88B-9A39-474A-A11F-285AB6CA63BD}" srcOrd="1" destOrd="0" presId="urn:diagrams.loki3.com/BracketList"/>
    <dgm:cxn modelId="{209B6430-6E4B-45A9-995B-D8D21C74BF62}" type="presParOf" srcId="{CEDB8499-AC4A-4608-87C6-9BA5436A475F}" destId="{3B633DB7-ED9C-4907-8ACF-7AAFA9543C90}" srcOrd="2" destOrd="0" presId="urn:diagrams.loki3.com/BracketList"/>
    <dgm:cxn modelId="{F066B424-4A48-41B4-A5CF-0A8C6BFAB393}" type="presParOf" srcId="{CEDB8499-AC4A-4608-87C6-9BA5436A475F}" destId="{DCCB1460-4F3F-4BB3-BD3C-8DD780403BCF}" srcOrd="3" destOrd="0" presId="urn:diagrams.loki3.com/BracketList"/>
    <dgm:cxn modelId="{131F36D9-A2BB-4061-AF2A-E398A4DB4685}" type="presParOf" srcId="{2F61D045-C328-4768-BF85-ECD9E3E079E1}" destId="{7E54F795-2C88-4CD7-BEAA-ED393CE2F4CF}" srcOrd="3" destOrd="0" presId="urn:diagrams.loki3.com/BracketList"/>
    <dgm:cxn modelId="{9FACC1B3-791C-4D23-A35E-88B85B8F42C7}" type="presParOf" srcId="{2F61D045-C328-4768-BF85-ECD9E3E079E1}" destId="{8AD1D8CE-05F1-4428-A52A-852C116F0D95}" srcOrd="4" destOrd="0" presId="urn:diagrams.loki3.com/BracketList"/>
    <dgm:cxn modelId="{B6A7A1CC-EB9C-4F09-B583-4B2DD4D15B31}" type="presParOf" srcId="{8AD1D8CE-05F1-4428-A52A-852C116F0D95}" destId="{49CF67F8-A23B-42BF-837A-AC2DB1266B30}" srcOrd="0" destOrd="0" presId="urn:diagrams.loki3.com/BracketList"/>
    <dgm:cxn modelId="{24E61CF7-9B06-4BF1-BDD1-9B9E43419FB5}" type="presParOf" srcId="{8AD1D8CE-05F1-4428-A52A-852C116F0D95}" destId="{5DB74D8C-7A94-404B-8C24-179A799F9A57}" srcOrd="1" destOrd="0" presId="urn:diagrams.loki3.com/BracketList"/>
    <dgm:cxn modelId="{7CAE5E84-F6D8-4AF4-AACD-99C8075C75E5}" type="presParOf" srcId="{8AD1D8CE-05F1-4428-A52A-852C116F0D95}" destId="{04158BD6-6EE5-4992-8A42-009D0BCC26AA}" srcOrd="2" destOrd="0" presId="urn:diagrams.loki3.com/BracketList"/>
    <dgm:cxn modelId="{ABA00B94-C5D4-448E-8512-7FFC48C90A7C}" type="presParOf" srcId="{8AD1D8CE-05F1-4428-A52A-852C116F0D95}" destId="{1A0BECD7-8458-4526-A966-E2D5471E27C1}" srcOrd="3" destOrd="0" presId="urn:diagrams.loki3.com/BracketList"/>
    <dgm:cxn modelId="{6DBEA8AA-EEE7-4838-9775-5106BAAE5D61}" type="presParOf" srcId="{2F61D045-C328-4768-BF85-ECD9E3E079E1}" destId="{68FA8DCF-A0E0-469F-AD2B-69D80644BEE3}" srcOrd="5" destOrd="0" presId="urn:diagrams.loki3.com/BracketList"/>
    <dgm:cxn modelId="{BCD4824B-5DDB-4B2A-8B0C-F7E1C8E21F2A}" type="presParOf" srcId="{2F61D045-C328-4768-BF85-ECD9E3E079E1}" destId="{7980B009-ABCA-4864-83B6-53EF37940D7F}" srcOrd="6" destOrd="0" presId="urn:diagrams.loki3.com/BracketList"/>
    <dgm:cxn modelId="{EA9BA644-0E3C-4BC0-B26C-DA94BD327D85}" type="presParOf" srcId="{7980B009-ABCA-4864-83B6-53EF37940D7F}" destId="{E76559B5-B35A-4369-8D7B-C3C33342476F}" srcOrd="0" destOrd="0" presId="urn:diagrams.loki3.com/BracketList"/>
    <dgm:cxn modelId="{37187C3F-94BF-4BE2-A424-619447BA4042}" type="presParOf" srcId="{7980B009-ABCA-4864-83B6-53EF37940D7F}" destId="{901EF8EF-2A69-456B-8B90-EA389D92D82A}" srcOrd="1" destOrd="0" presId="urn:diagrams.loki3.com/BracketList"/>
    <dgm:cxn modelId="{5486B4AD-13C5-4A72-9BDF-29CB9B6A6627}" type="presParOf" srcId="{7980B009-ABCA-4864-83B6-53EF37940D7F}" destId="{B3DD1C93-E997-4F60-882A-25EB63604CC0}" srcOrd="2" destOrd="0" presId="urn:diagrams.loki3.com/BracketList"/>
    <dgm:cxn modelId="{6EA91ACA-0B59-446F-92B4-985E7F6BE0D5}" type="presParOf" srcId="{7980B009-ABCA-4864-83B6-53EF37940D7F}" destId="{5F040AB2-0910-4B07-B510-1362A45E8976}" srcOrd="3" destOrd="0" presId="urn:diagrams.loki3.com/Bracket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E0EA836-FA62-4F8F-A8F8-130F5835CB4B}"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US"/>
        </a:p>
      </dgm:t>
    </dgm:pt>
    <dgm:pt modelId="{830275AE-FE0F-4C99-B946-CBBE4FC86408}">
      <dgm:prSet phldrT="[Text]" custT="1"/>
      <dgm:spPr/>
      <dgm:t>
        <a:bodyPr/>
        <a:lstStyle/>
        <a:p>
          <a:pPr algn="ctr">
            <a:buNone/>
          </a:pPr>
          <a:r>
            <a:rPr lang="en-US" sz="1200" b="1">
              <a:latin typeface="Times New Roman" panose="02020603050405020304" pitchFamily="18" charset="0"/>
              <a:cs typeface="Times New Roman" panose="02020603050405020304" pitchFamily="18" charset="0"/>
            </a:rPr>
            <a:t>EV consumer knowledge: </a:t>
          </a:r>
          <a:r>
            <a:rPr lang="en-US" sz="1200">
              <a:latin typeface="Times New Roman" panose="02020603050405020304" pitchFamily="18" charset="0"/>
              <a:cs typeface="Times New Roman" panose="02020603050405020304" pitchFamily="18" charset="0"/>
            </a:rPr>
            <a:t>High information density</a:t>
          </a:r>
        </a:p>
      </dgm:t>
    </dgm:pt>
    <dgm:pt modelId="{7D9A16D9-74C7-4CB5-8E01-1122992CBA03}" type="parTrans" cxnId="{F22B5C9F-5183-49B7-8AE5-0D6A4181BBCF}">
      <dgm:prSet/>
      <dgm:spPr/>
      <dgm:t>
        <a:bodyPr/>
        <a:lstStyle/>
        <a:p>
          <a:endParaRPr lang="en-US"/>
        </a:p>
      </dgm:t>
    </dgm:pt>
    <dgm:pt modelId="{AFA16701-1D1E-4852-B6F9-E9CF0392C64E}" type="sibTrans" cxnId="{F22B5C9F-5183-49B7-8AE5-0D6A4181BBCF}">
      <dgm:prSet/>
      <dgm:spPr/>
      <dgm:t>
        <a:bodyPr/>
        <a:lstStyle/>
        <a:p>
          <a:endParaRPr lang="en-US"/>
        </a:p>
      </dgm:t>
    </dgm:pt>
    <dgm:pt modelId="{8E99C6AD-ED2A-4586-98A8-CA27C565D059}">
      <dgm:prSet custT="1"/>
      <dgm:spPr/>
      <dgm:t>
        <a:bodyPr/>
        <a:lstStyle/>
        <a:p>
          <a:pPr algn="ctr">
            <a:buNone/>
          </a:pPr>
          <a:r>
            <a:rPr lang="en-US" sz="1200" b="1">
              <a:latin typeface="Times New Roman" panose="02020603050405020304" pitchFamily="18" charset="0"/>
              <a:cs typeface="Times New Roman" panose="02020603050405020304" pitchFamily="18" charset="0"/>
            </a:rPr>
            <a:t>Leasing programme trend: </a:t>
          </a:r>
          <a:r>
            <a:rPr lang="en-US" sz="1200">
              <a:latin typeface="Times New Roman" panose="02020603050405020304" pitchFamily="18" charset="0"/>
              <a:cs typeface="Times New Roman" panose="02020603050405020304" pitchFamily="18" charset="0"/>
            </a:rPr>
            <a:t>Underperformance despite expansion</a:t>
          </a:r>
        </a:p>
      </dgm:t>
    </dgm:pt>
    <dgm:pt modelId="{DC053AF8-DA25-425F-8B46-1FA019872713}" type="parTrans" cxnId="{8586AC29-C8D8-4D21-AE60-2A2247F2BAD9}">
      <dgm:prSet/>
      <dgm:spPr/>
      <dgm:t>
        <a:bodyPr/>
        <a:lstStyle/>
        <a:p>
          <a:endParaRPr lang="en-US"/>
        </a:p>
      </dgm:t>
    </dgm:pt>
    <dgm:pt modelId="{8ECCCDCC-71EF-4AF7-A047-710F6F38C7A8}" type="sibTrans" cxnId="{8586AC29-C8D8-4D21-AE60-2A2247F2BAD9}">
      <dgm:prSet/>
      <dgm:spPr/>
      <dgm:t>
        <a:bodyPr/>
        <a:lstStyle/>
        <a:p>
          <a:endParaRPr lang="en-US"/>
        </a:p>
      </dgm:t>
    </dgm:pt>
    <dgm:pt modelId="{B73F4372-DF4C-4677-96E8-D595F02E4516}">
      <dgm:prSet custT="1"/>
      <dgm:spPr/>
      <dgm:t>
        <a:bodyPr/>
        <a:lstStyle/>
        <a:p>
          <a:pPr algn="ctr">
            <a:buNone/>
          </a:pPr>
          <a:r>
            <a:rPr lang="en-US" sz="1200" b="1">
              <a:latin typeface="Times New Roman" panose="02020603050405020304" pitchFamily="18" charset="0"/>
              <a:cs typeface="Times New Roman" panose="02020603050405020304" pitchFamily="18" charset="0"/>
            </a:rPr>
            <a:t>Geographic demand signals: </a:t>
          </a:r>
          <a:r>
            <a:rPr lang="en-US" sz="1200">
              <a:latin typeface="Times New Roman" panose="02020603050405020304" pitchFamily="18" charset="0"/>
              <a:cs typeface="Times New Roman" panose="02020603050405020304" pitchFamily="18" charset="0"/>
            </a:rPr>
            <a:t>Market share contraction</a:t>
          </a:r>
        </a:p>
      </dgm:t>
    </dgm:pt>
    <dgm:pt modelId="{5852C50E-6700-48A1-BE47-774B12F0F8E1}" type="parTrans" cxnId="{46E82768-0F37-4BBF-AC09-0F77A061A277}">
      <dgm:prSet/>
      <dgm:spPr/>
      <dgm:t>
        <a:bodyPr/>
        <a:lstStyle/>
        <a:p>
          <a:endParaRPr lang="en-US"/>
        </a:p>
      </dgm:t>
    </dgm:pt>
    <dgm:pt modelId="{516B0329-DDDC-4786-848C-583E9D1A07EB}" type="sibTrans" cxnId="{46E82768-0F37-4BBF-AC09-0F77A061A277}">
      <dgm:prSet/>
      <dgm:spPr/>
      <dgm:t>
        <a:bodyPr/>
        <a:lstStyle/>
        <a:p>
          <a:endParaRPr lang="en-US"/>
        </a:p>
      </dgm:t>
    </dgm:pt>
    <dgm:pt modelId="{D3C3AA06-BDBE-4BD1-BAE3-2AF96A5E0A80}">
      <dgm:prSet custT="1"/>
      <dgm:spPr/>
      <dgm:t>
        <a:bodyPr/>
        <a:lstStyle/>
        <a:p>
          <a:pPr algn="ctr">
            <a:buNone/>
          </a:pPr>
          <a:r>
            <a:rPr lang="en-US" sz="1200" b="1">
              <a:latin typeface="Times New Roman" panose="02020603050405020304" pitchFamily="18" charset="0"/>
              <a:cs typeface="Times New Roman" panose="02020603050405020304" pitchFamily="18" charset="0"/>
            </a:rPr>
            <a:t>Strategic implication: </a:t>
          </a:r>
          <a:r>
            <a:rPr lang="en-US" sz="1200">
              <a:latin typeface="Times New Roman" panose="02020603050405020304" pitchFamily="18" charset="0"/>
              <a:cs typeface="Times New Roman" panose="02020603050405020304" pitchFamily="18" charset="0"/>
            </a:rPr>
            <a:t>Diminishing earned-media effectiveness</a:t>
          </a:r>
        </a:p>
      </dgm:t>
    </dgm:pt>
    <dgm:pt modelId="{64911F15-DBC4-400C-9409-BED25365495B}" type="parTrans" cxnId="{5ACF7F01-0339-4A02-A0C7-7847E65A105B}">
      <dgm:prSet/>
      <dgm:spPr/>
      <dgm:t>
        <a:bodyPr/>
        <a:lstStyle/>
        <a:p>
          <a:endParaRPr lang="en-US"/>
        </a:p>
      </dgm:t>
    </dgm:pt>
    <dgm:pt modelId="{5B5757FA-724C-4879-8F32-E64C1CAFE48E}" type="sibTrans" cxnId="{5ACF7F01-0339-4A02-A0C7-7847E65A105B}">
      <dgm:prSet/>
      <dgm:spPr/>
      <dgm:t>
        <a:bodyPr/>
        <a:lstStyle/>
        <a:p>
          <a:endParaRPr lang="en-US"/>
        </a:p>
      </dgm:t>
    </dgm:pt>
    <dgm:pt modelId="{A4A589A3-DA21-42A4-AFC1-8057A578B080}" type="pres">
      <dgm:prSet presAssocID="{EE0EA836-FA62-4F8F-A8F8-130F5835CB4B}" presName="diagram" presStyleCnt="0">
        <dgm:presLayoutVars>
          <dgm:dir/>
          <dgm:resizeHandles val="exact"/>
        </dgm:presLayoutVars>
      </dgm:prSet>
      <dgm:spPr/>
    </dgm:pt>
    <dgm:pt modelId="{1BCBB104-629F-438F-8DB1-121198543974}" type="pres">
      <dgm:prSet presAssocID="{830275AE-FE0F-4C99-B946-CBBE4FC86408}" presName="node" presStyleLbl="node1" presStyleIdx="0" presStyleCnt="4" custScaleX="2000000" custScaleY="2000000">
        <dgm:presLayoutVars>
          <dgm:bulletEnabled val="1"/>
        </dgm:presLayoutVars>
      </dgm:prSet>
      <dgm:spPr/>
    </dgm:pt>
    <dgm:pt modelId="{2FC26CF3-2594-4BCA-8062-A02C0DB32CD3}" type="pres">
      <dgm:prSet presAssocID="{AFA16701-1D1E-4852-B6F9-E9CF0392C64E}" presName="sibTrans" presStyleCnt="0"/>
      <dgm:spPr/>
    </dgm:pt>
    <dgm:pt modelId="{1D4B9BF3-4FCB-4D8E-8D1F-23822906180E}" type="pres">
      <dgm:prSet presAssocID="{8E99C6AD-ED2A-4586-98A8-CA27C565D059}" presName="node" presStyleLbl="node1" presStyleIdx="1" presStyleCnt="4" custScaleX="2000000" custScaleY="2000000">
        <dgm:presLayoutVars>
          <dgm:bulletEnabled val="1"/>
        </dgm:presLayoutVars>
      </dgm:prSet>
      <dgm:spPr/>
    </dgm:pt>
    <dgm:pt modelId="{BB8D0DBA-2D5E-4335-8ABC-A5DEA2407808}" type="pres">
      <dgm:prSet presAssocID="{8ECCCDCC-71EF-4AF7-A047-710F6F38C7A8}" presName="sibTrans" presStyleCnt="0"/>
      <dgm:spPr/>
    </dgm:pt>
    <dgm:pt modelId="{933886EF-8E41-4C23-93E4-0022AB06BD11}" type="pres">
      <dgm:prSet presAssocID="{B73F4372-DF4C-4677-96E8-D595F02E4516}" presName="node" presStyleLbl="node1" presStyleIdx="2" presStyleCnt="4" custScaleX="2000000" custScaleY="2000000">
        <dgm:presLayoutVars>
          <dgm:bulletEnabled val="1"/>
        </dgm:presLayoutVars>
      </dgm:prSet>
      <dgm:spPr/>
    </dgm:pt>
    <dgm:pt modelId="{EFFD0F75-0B03-40FB-9954-DF80D26890CC}" type="pres">
      <dgm:prSet presAssocID="{516B0329-DDDC-4786-848C-583E9D1A07EB}" presName="sibTrans" presStyleCnt="0"/>
      <dgm:spPr/>
    </dgm:pt>
    <dgm:pt modelId="{912D4C26-5D14-4420-AF9A-0F879747A8B4}" type="pres">
      <dgm:prSet presAssocID="{D3C3AA06-BDBE-4BD1-BAE3-2AF96A5E0A80}" presName="node" presStyleLbl="node1" presStyleIdx="3" presStyleCnt="4" custScaleX="2000000" custScaleY="2000000">
        <dgm:presLayoutVars>
          <dgm:bulletEnabled val="1"/>
        </dgm:presLayoutVars>
      </dgm:prSet>
      <dgm:spPr/>
    </dgm:pt>
  </dgm:ptLst>
  <dgm:cxnLst>
    <dgm:cxn modelId="{5ACF7F01-0339-4A02-A0C7-7847E65A105B}" srcId="{EE0EA836-FA62-4F8F-A8F8-130F5835CB4B}" destId="{D3C3AA06-BDBE-4BD1-BAE3-2AF96A5E0A80}" srcOrd="3" destOrd="0" parTransId="{64911F15-DBC4-400C-9409-BED25365495B}" sibTransId="{5B5757FA-724C-4879-8F32-E64C1CAFE48E}"/>
    <dgm:cxn modelId="{7D4AF30B-D136-48D5-BD45-DA04E3F2452C}" type="presOf" srcId="{EE0EA836-FA62-4F8F-A8F8-130F5835CB4B}" destId="{A4A589A3-DA21-42A4-AFC1-8057A578B080}" srcOrd="0" destOrd="0" presId="urn:microsoft.com/office/officeart/2005/8/layout/default"/>
    <dgm:cxn modelId="{8586AC29-C8D8-4D21-AE60-2A2247F2BAD9}" srcId="{EE0EA836-FA62-4F8F-A8F8-130F5835CB4B}" destId="{8E99C6AD-ED2A-4586-98A8-CA27C565D059}" srcOrd="1" destOrd="0" parTransId="{DC053AF8-DA25-425F-8B46-1FA019872713}" sibTransId="{8ECCCDCC-71EF-4AF7-A047-710F6F38C7A8}"/>
    <dgm:cxn modelId="{7DD9DE3D-CFC3-4232-99B4-BA8157E6DD9E}" type="presOf" srcId="{8E99C6AD-ED2A-4586-98A8-CA27C565D059}" destId="{1D4B9BF3-4FCB-4D8E-8D1F-23822906180E}" srcOrd="0" destOrd="0" presId="urn:microsoft.com/office/officeart/2005/8/layout/default"/>
    <dgm:cxn modelId="{B5DFBB5B-692A-4534-8871-DBD434F34134}" type="presOf" srcId="{D3C3AA06-BDBE-4BD1-BAE3-2AF96A5E0A80}" destId="{912D4C26-5D14-4420-AF9A-0F879747A8B4}" srcOrd="0" destOrd="0" presId="urn:microsoft.com/office/officeart/2005/8/layout/default"/>
    <dgm:cxn modelId="{46E82768-0F37-4BBF-AC09-0F77A061A277}" srcId="{EE0EA836-FA62-4F8F-A8F8-130F5835CB4B}" destId="{B73F4372-DF4C-4677-96E8-D595F02E4516}" srcOrd="2" destOrd="0" parTransId="{5852C50E-6700-48A1-BE47-774B12F0F8E1}" sibTransId="{516B0329-DDDC-4786-848C-583E9D1A07EB}"/>
    <dgm:cxn modelId="{F22B5C9F-5183-49B7-8AE5-0D6A4181BBCF}" srcId="{EE0EA836-FA62-4F8F-A8F8-130F5835CB4B}" destId="{830275AE-FE0F-4C99-B946-CBBE4FC86408}" srcOrd="0" destOrd="0" parTransId="{7D9A16D9-74C7-4CB5-8E01-1122992CBA03}" sibTransId="{AFA16701-1D1E-4852-B6F9-E9CF0392C64E}"/>
    <dgm:cxn modelId="{3BEECFC3-681C-4B8E-89F5-37DE82774CB2}" type="presOf" srcId="{B73F4372-DF4C-4677-96E8-D595F02E4516}" destId="{933886EF-8E41-4C23-93E4-0022AB06BD11}" srcOrd="0" destOrd="0" presId="urn:microsoft.com/office/officeart/2005/8/layout/default"/>
    <dgm:cxn modelId="{B61172F5-976E-4F39-B277-FAE64B0EFBBA}" type="presOf" srcId="{830275AE-FE0F-4C99-B946-CBBE4FC86408}" destId="{1BCBB104-629F-438F-8DB1-121198543974}" srcOrd="0" destOrd="0" presId="urn:microsoft.com/office/officeart/2005/8/layout/default"/>
    <dgm:cxn modelId="{3E6B3C13-9A72-4CF2-A8AE-E349D2AAB63F}" type="presParOf" srcId="{A4A589A3-DA21-42A4-AFC1-8057A578B080}" destId="{1BCBB104-629F-438F-8DB1-121198543974}" srcOrd="0" destOrd="0" presId="urn:microsoft.com/office/officeart/2005/8/layout/default"/>
    <dgm:cxn modelId="{7BA8FA7B-6C83-4E27-8525-99BE6A0406DA}" type="presParOf" srcId="{A4A589A3-DA21-42A4-AFC1-8057A578B080}" destId="{2FC26CF3-2594-4BCA-8062-A02C0DB32CD3}" srcOrd="1" destOrd="0" presId="urn:microsoft.com/office/officeart/2005/8/layout/default"/>
    <dgm:cxn modelId="{72AF9312-6509-48A8-8861-779D05EFD101}" type="presParOf" srcId="{A4A589A3-DA21-42A4-AFC1-8057A578B080}" destId="{1D4B9BF3-4FCB-4D8E-8D1F-23822906180E}" srcOrd="2" destOrd="0" presId="urn:microsoft.com/office/officeart/2005/8/layout/default"/>
    <dgm:cxn modelId="{3BBC962F-2FC2-4174-A0CF-4EC101DA8734}" type="presParOf" srcId="{A4A589A3-DA21-42A4-AFC1-8057A578B080}" destId="{BB8D0DBA-2D5E-4335-8ABC-A5DEA2407808}" srcOrd="3" destOrd="0" presId="urn:microsoft.com/office/officeart/2005/8/layout/default"/>
    <dgm:cxn modelId="{E188A36E-4FBB-4434-AD97-641377AA6E76}" type="presParOf" srcId="{A4A589A3-DA21-42A4-AFC1-8057A578B080}" destId="{933886EF-8E41-4C23-93E4-0022AB06BD11}" srcOrd="4" destOrd="0" presId="urn:microsoft.com/office/officeart/2005/8/layout/default"/>
    <dgm:cxn modelId="{FD228B16-016E-4710-B67F-7E399E63C908}" type="presParOf" srcId="{A4A589A3-DA21-42A4-AFC1-8057A578B080}" destId="{EFFD0F75-0B03-40FB-9954-DF80D26890CC}" srcOrd="5" destOrd="0" presId="urn:microsoft.com/office/officeart/2005/8/layout/default"/>
    <dgm:cxn modelId="{C2FC5A73-927F-48A0-88B3-A98366E1994D}" type="presParOf" srcId="{A4A589A3-DA21-42A4-AFC1-8057A578B080}" destId="{912D4C26-5D14-4420-AF9A-0F879747A8B4}" srcOrd="6"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1924BC7-131F-43BB-956A-108018CCCA00}" type="doc">
      <dgm:prSet loTypeId="urn:diagrams.loki3.com/BracketList" loCatId="list" qsTypeId="urn:microsoft.com/office/officeart/2005/8/quickstyle/simple1" qsCatId="simple" csTypeId="urn:microsoft.com/office/officeart/2005/8/colors/colorful1" csCatId="colorful" phldr="1"/>
      <dgm:spPr/>
      <dgm:t>
        <a:bodyPr/>
        <a:lstStyle/>
        <a:p>
          <a:endParaRPr lang="en-US"/>
        </a:p>
      </dgm:t>
    </dgm:pt>
    <dgm:pt modelId="{CAB604CA-B20C-4B83-8CBB-0385BADBEE85}">
      <dgm:prSet phldrT="[Text]" custT="1"/>
      <dgm:spPr/>
      <dgm:t>
        <a:bodyPr/>
        <a:lstStyle/>
        <a:p>
          <a:pPr algn="ctr">
            <a:buNone/>
          </a:pPr>
          <a:r>
            <a:rPr lang="en-US" sz="1200">
              <a:latin typeface="Times New Roman" panose="02020603050405020304" pitchFamily="18" charset="0"/>
              <a:cs typeface="Times New Roman" panose="02020603050405020304" pitchFamily="18" charset="0"/>
            </a:rPr>
            <a:t>Battery recycling</a:t>
          </a:r>
        </a:p>
      </dgm:t>
    </dgm:pt>
    <dgm:pt modelId="{55CA1281-4E93-4D09-B921-F2A7F8291700}" type="parTrans" cxnId="{217AFCC0-1E2B-4169-8AF0-BC78CD930CD0}">
      <dgm:prSet/>
      <dgm:spPr/>
      <dgm:t>
        <a:bodyPr/>
        <a:lstStyle/>
        <a:p>
          <a:endParaRPr lang="en-US"/>
        </a:p>
      </dgm:t>
    </dgm:pt>
    <dgm:pt modelId="{4FA23A8A-FA96-4F7F-B0E3-70236A929F0B}" type="sibTrans" cxnId="{217AFCC0-1E2B-4169-8AF0-BC78CD930CD0}">
      <dgm:prSet/>
      <dgm:spPr/>
      <dgm:t>
        <a:bodyPr/>
        <a:lstStyle/>
        <a:p>
          <a:endParaRPr lang="en-US"/>
        </a:p>
      </dgm:t>
    </dgm:pt>
    <dgm:pt modelId="{B52C5FF3-CB0C-4821-81ED-0F1E9D94C951}">
      <dgm:prSet custT="1"/>
      <dgm:spPr/>
      <dgm:t>
        <a:bodyPr/>
        <a:lstStyle/>
        <a:p>
          <a:pPr algn="ctr">
            <a:buNone/>
          </a:pPr>
          <a:r>
            <a:rPr lang="en-US" sz="1200">
              <a:latin typeface="Times New Roman" panose="02020603050405020304" pitchFamily="18" charset="0"/>
              <a:cs typeface="Times New Roman" panose="02020603050405020304" pitchFamily="18" charset="0"/>
            </a:rPr>
            <a:t>7 GWh vs. 60–240 GWh annual production</a:t>
          </a:r>
        </a:p>
      </dgm:t>
    </dgm:pt>
    <dgm:pt modelId="{06C0DEF8-A807-4158-88CE-FADD8E071B06}" type="parTrans" cxnId="{C390A60E-EBDD-47A3-9953-45290CD3E2BE}">
      <dgm:prSet/>
      <dgm:spPr/>
      <dgm:t>
        <a:bodyPr/>
        <a:lstStyle/>
        <a:p>
          <a:endParaRPr lang="en-US"/>
        </a:p>
      </dgm:t>
    </dgm:pt>
    <dgm:pt modelId="{F4325DC6-F548-40C6-A2D8-249CDB30DC7D}" type="sibTrans" cxnId="{C390A60E-EBDD-47A3-9953-45290CD3E2BE}">
      <dgm:prSet/>
      <dgm:spPr/>
      <dgm:t>
        <a:bodyPr/>
        <a:lstStyle/>
        <a:p>
          <a:endParaRPr lang="en-US"/>
        </a:p>
      </dgm:t>
    </dgm:pt>
    <dgm:pt modelId="{7FFBCCD6-ADA5-4A9B-9C7D-30D3D72F7BB0}">
      <dgm:prSet custT="1"/>
      <dgm:spPr/>
      <dgm:t>
        <a:bodyPr/>
        <a:lstStyle/>
        <a:p>
          <a:pPr algn="ctr">
            <a:buNone/>
          </a:pPr>
          <a:r>
            <a:rPr lang="en-US" sz="1200">
              <a:latin typeface="Times New Roman" panose="02020603050405020304" pitchFamily="18" charset="0"/>
              <a:cs typeface="Times New Roman" panose="02020603050405020304" pitchFamily="18" charset="0"/>
            </a:rPr>
            <a:t>CO₂ regional variance</a:t>
          </a:r>
        </a:p>
      </dgm:t>
    </dgm:pt>
    <dgm:pt modelId="{BB870BA5-5E06-4FDE-8B39-FF70A8B946AC}" type="parTrans" cxnId="{2D3D47A4-0729-423F-8535-6350D26F9C01}">
      <dgm:prSet/>
      <dgm:spPr/>
      <dgm:t>
        <a:bodyPr/>
        <a:lstStyle/>
        <a:p>
          <a:endParaRPr lang="en-US"/>
        </a:p>
      </dgm:t>
    </dgm:pt>
    <dgm:pt modelId="{58B540D5-96A5-4D47-981D-690C30FCEF64}" type="sibTrans" cxnId="{2D3D47A4-0729-423F-8535-6350D26F9C01}">
      <dgm:prSet/>
      <dgm:spPr/>
      <dgm:t>
        <a:bodyPr/>
        <a:lstStyle/>
        <a:p>
          <a:endParaRPr lang="en-US"/>
        </a:p>
      </dgm:t>
    </dgm:pt>
    <dgm:pt modelId="{A9751B9B-EDA3-4E01-93A5-95808469C03C}">
      <dgm:prSet custT="1"/>
      <dgm:spPr>
        <a:solidFill>
          <a:schemeClr val="tx1"/>
        </a:solidFill>
      </dgm:spPr>
      <dgm:t>
        <a:bodyPr/>
        <a:lstStyle/>
        <a:p>
          <a:pPr algn="ctr">
            <a:buNone/>
          </a:pPr>
          <a:r>
            <a:rPr lang="en-US" sz="1200">
              <a:latin typeface="Times New Roman" panose="02020603050405020304" pitchFamily="18" charset="0"/>
              <a:cs typeface="Times New Roman" panose="02020603050405020304" pitchFamily="18" charset="0"/>
            </a:rPr>
            <a:t>Ohio: 20–30 t; California: 70+ t</a:t>
          </a:r>
        </a:p>
      </dgm:t>
    </dgm:pt>
    <dgm:pt modelId="{3F07BE9D-5F2E-4EB7-A7EE-95C372F4151D}" type="parTrans" cxnId="{BBCBDB26-9E8B-4B31-8DEB-9EBCBCEA35D9}">
      <dgm:prSet/>
      <dgm:spPr/>
      <dgm:t>
        <a:bodyPr/>
        <a:lstStyle/>
        <a:p>
          <a:endParaRPr lang="en-US"/>
        </a:p>
      </dgm:t>
    </dgm:pt>
    <dgm:pt modelId="{45909FA1-2271-4B08-97F8-B71A6234B7A2}" type="sibTrans" cxnId="{BBCBDB26-9E8B-4B31-8DEB-9EBCBCEA35D9}">
      <dgm:prSet/>
      <dgm:spPr/>
      <dgm:t>
        <a:bodyPr/>
        <a:lstStyle/>
        <a:p>
          <a:endParaRPr lang="en-US"/>
        </a:p>
      </dgm:t>
    </dgm:pt>
    <dgm:pt modelId="{E55F55A8-AFD6-49FB-BBB9-1E501FA069AE}">
      <dgm:prSet custT="1"/>
      <dgm:spPr/>
      <dgm:t>
        <a:bodyPr/>
        <a:lstStyle/>
        <a:p>
          <a:pPr algn="ctr">
            <a:buNone/>
          </a:pPr>
          <a:r>
            <a:rPr lang="en-US" sz="1200">
              <a:latin typeface="Times New Roman" panose="02020603050405020304" pitchFamily="18" charset="0"/>
              <a:cs typeface="Times New Roman" panose="02020603050405020304" pitchFamily="18" charset="0"/>
            </a:rPr>
            <a:t>Autonomy capability</a:t>
          </a:r>
        </a:p>
      </dgm:t>
    </dgm:pt>
    <dgm:pt modelId="{EA6C5B0D-CB25-4D5B-BE92-781D4C2CB3EA}" type="parTrans" cxnId="{C9A94461-D16C-4774-B9D0-EC22E9690691}">
      <dgm:prSet/>
      <dgm:spPr/>
      <dgm:t>
        <a:bodyPr/>
        <a:lstStyle/>
        <a:p>
          <a:endParaRPr lang="en-US"/>
        </a:p>
      </dgm:t>
    </dgm:pt>
    <dgm:pt modelId="{56F124AA-2C24-4473-BE8B-E9912502C88C}" type="sibTrans" cxnId="{C9A94461-D16C-4774-B9D0-EC22E9690691}">
      <dgm:prSet/>
      <dgm:spPr/>
      <dgm:t>
        <a:bodyPr/>
        <a:lstStyle/>
        <a:p>
          <a:endParaRPr lang="en-US"/>
        </a:p>
      </dgm:t>
    </dgm:pt>
    <dgm:pt modelId="{3C208627-C3E0-451C-914E-2B7E5A1DE6ED}">
      <dgm:prSet custT="1"/>
      <dgm:spPr>
        <a:solidFill>
          <a:srgbClr val="EE0000"/>
        </a:solidFill>
      </dgm:spPr>
      <dgm:t>
        <a:bodyPr/>
        <a:lstStyle/>
        <a:p>
          <a:pPr algn="ctr">
            <a:buNone/>
          </a:pPr>
          <a:r>
            <a:rPr lang="en-US" sz="1200">
              <a:latin typeface="Times New Roman" panose="02020603050405020304" pitchFamily="18" charset="0"/>
              <a:cs typeface="Times New Roman" panose="02020603050405020304" pitchFamily="18" charset="0"/>
            </a:rPr>
            <a:t>Level 2, marketed as Full Self-Driving</a:t>
          </a:r>
        </a:p>
      </dgm:t>
    </dgm:pt>
    <dgm:pt modelId="{821B787C-CDAE-445B-B57B-FC389AEA4C30}" type="parTrans" cxnId="{353BE509-5F75-4994-9CE1-6F4D28278FE9}">
      <dgm:prSet/>
      <dgm:spPr/>
      <dgm:t>
        <a:bodyPr/>
        <a:lstStyle/>
        <a:p>
          <a:endParaRPr lang="en-US"/>
        </a:p>
      </dgm:t>
    </dgm:pt>
    <dgm:pt modelId="{000C8400-879E-4F62-B5D1-BFE5DE2FC939}" type="sibTrans" cxnId="{353BE509-5F75-4994-9CE1-6F4D28278FE9}">
      <dgm:prSet/>
      <dgm:spPr/>
      <dgm:t>
        <a:bodyPr/>
        <a:lstStyle/>
        <a:p>
          <a:endParaRPr lang="en-US"/>
        </a:p>
      </dgm:t>
    </dgm:pt>
    <dgm:pt modelId="{C788DEC7-FAB5-4383-9D25-9DB28E2F746D}">
      <dgm:prSet custT="1"/>
      <dgm:spPr/>
      <dgm:t>
        <a:bodyPr/>
        <a:lstStyle/>
        <a:p>
          <a:pPr algn="ctr">
            <a:buNone/>
          </a:pPr>
          <a:r>
            <a:rPr lang="en-US" sz="1200">
              <a:latin typeface="Times New Roman" panose="02020603050405020304" pitchFamily="18" charset="0"/>
              <a:cs typeface="Times New Roman" panose="02020603050405020304" pitchFamily="18" charset="0"/>
            </a:rPr>
            <a:t>Energy storage deployment</a:t>
          </a:r>
        </a:p>
      </dgm:t>
    </dgm:pt>
    <dgm:pt modelId="{1CE77A44-3D19-465D-B20B-483F99888C33}" type="parTrans" cxnId="{558AAB42-A1F1-487F-8AD5-72F2CD97F7E1}">
      <dgm:prSet/>
      <dgm:spPr/>
      <dgm:t>
        <a:bodyPr/>
        <a:lstStyle/>
        <a:p>
          <a:endParaRPr lang="en-US"/>
        </a:p>
      </dgm:t>
    </dgm:pt>
    <dgm:pt modelId="{74EFAAF6-2DDF-40F6-A944-5931620EB887}" type="sibTrans" cxnId="{558AAB42-A1F1-487F-8AD5-72F2CD97F7E1}">
      <dgm:prSet/>
      <dgm:spPr/>
      <dgm:t>
        <a:bodyPr/>
        <a:lstStyle/>
        <a:p>
          <a:endParaRPr lang="en-US"/>
        </a:p>
      </dgm:t>
    </dgm:pt>
    <dgm:pt modelId="{B8C32130-FDDF-4965-BA4C-2A4CD8E7157F}">
      <dgm:prSet custT="1"/>
      <dgm:spPr/>
      <dgm:t>
        <a:bodyPr/>
        <a:lstStyle/>
        <a:p>
          <a:pPr algn="ctr">
            <a:buNone/>
          </a:pPr>
          <a:r>
            <a:rPr lang="en-US" sz="1200">
              <a:latin typeface="Times New Roman" panose="02020603050405020304" pitchFamily="18" charset="0"/>
              <a:cs typeface="Times New Roman" panose="02020603050405020304" pitchFamily="18" charset="0"/>
            </a:rPr>
            <a:t>Megapack: 20% Hawaii peak load; VPP: 2.8 GWh/year</a:t>
          </a:r>
        </a:p>
      </dgm:t>
    </dgm:pt>
    <dgm:pt modelId="{19100562-B7DF-4F60-9304-6E49241C64E8}" type="parTrans" cxnId="{509888A2-AF25-4273-8790-DDCC4E2DC8C8}">
      <dgm:prSet/>
      <dgm:spPr/>
      <dgm:t>
        <a:bodyPr/>
        <a:lstStyle/>
        <a:p>
          <a:endParaRPr lang="en-US"/>
        </a:p>
      </dgm:t>
    </dgm:pt>
    <dgm:pt modelId="{E5C18A32-C294-41AC-9784-8E0D7CEFA8BC}" type="sibTrans" cxnId="{509888A2-AF25-4273-8790-DDCC4E2DC8C8}">
      <dgm:prSet/>
      <dgm:spPr/>
      <dgm:t>
        <a:bodyPr/>
        <a:lstStyle/>
        <a:p>
          <a:endParaRPr lang="en-US"/>
        </a:p>
      </dgm:t>
    </dgm:pt>
    <dgm:pt modelId="{A7C76CCC-8FD3-4B20-9660-5F40B5EF247A}">
      <dgm:prSet custT="1"/>
      <dgm:spPr/>
      <dgm:t>
        <a:bodyPr/>
        <a:lstStyle/>
        <a:p>
          <a:pPr algn="ctr">
            <a:buNone/>
          </a:pPr>
          <a:r>
            <a:rPr lang="en-US" sz="1200">
              <a:latin typeface="Times New Roman" panose="02020603050405020304" pitchFamily="18" charset="0"/>
              <a:cs typeface="Times New Roman" panose="02020603050405020304" pitchFamily="18" charset="0"/>
            </a:rPr>
            <a:t>Chinese OEM expansion</a:t>
          </a:r>
        </a:p>
      </dgm:t>
    </dgm:pt>
    <dgm:pt modelId="{AA43369F-7E10-4A5A-9C84-265F53F2F79C}" type="parTrans" cxnId="{2CEE7DCA-5778-4CEC-A6C9-8FA7574FC143}">
      <dgm:prSet/>
      <dgm:spPr/>
      <dgm:t>
        <a:bodyPr/>
        <a:lstStyle/>
        <a:p>
          <a:endParaRPr lang="en-US"/>
        </a:p>
      </dgm:t>
    </dgm:pt>
    <dgm:pt modelId="{88C98D17-BD02-4A09-AA7B-7F516E8B01AF}" type="sibTrans" cxnId="{2CEE7DCA-5778-4CEC-A6C9-8FA7574FC143}">
      <dgm:prSet/>
      <dgm:spPr/>
      <dgm:t>
        <a:bodyPr/>
        <a:lstStyle/>
        <a:p>
          <a:endParaRPr lang="en-US"/>
        </a:p>
      </dgm:t>
    </dgm:pt>
    <dgm:pt modelId="{E1B5CBC7-EA7D-43B6-931F-B39D0751E4CB}">
      <dgm:prSet custT="1"/>
      <dgm:spPr/>
      <dgm:t>
        <a:bodyPr/>
        <a:lstStyle/>
        <a:p>
          <a:pPr algn="ctr">
            <a:buNone/>
          </a:pPr>
          <a:r>
            <a:rPr lang="en-US" sz="1200">
              <a:latin typeface="Times New Roman" panose="02020603050405020304" pitchFamily="18" charset="0"/>
              <a:cs typeface="Times New Roman" panose="02020603050405020304" pitchFamily="18" charset="0"/>
            </a:rPr>
            <a:t>High competitive intensity in Asia and Europe</a:t>
          </a:r>
        </a:p>
      </dgm:t>
    </dgm:pt>
    <dgm:pt modelId="{E0439583-FE3B-4370-B80A-7D640FB25EB2}" type="parTrans" cxnId="{72FA144C-F0A0-4BF9-8B0A-49CD770E2868}">
      <dgm:prSet/>
      <dgm:spPr/>
      <dgm:t>
        <a:bodyPr/>
        <a:lstStyle/>
        <a:p>
          <a:endParaRPr lang="en-US"/>
        </a:p>
      </dgm:t>
    </dgm:pt>
    <dgm:pt modelId="{A80E8D41-9B5E-4ADD-9C06-8157C91EC6BF}" type="sibTrans" cxnId="{72FA144C-F0A0-4BF9-8B0A-49CD770E2868}">
      <dgm:prSet/>
      <dgm:spPr/>
      <dgm:t>
        <a:bodyPr/>
        <a:lstStyle/>
        <a:p>
          <a:endParaRPr lang="en-US"/>
        </a:p>
      </dgm:t>
    </dgm:pt>
    <dgm:pt modelId="{2B9783E2-B9A0-4010-A2C6-963E67484152}" type="pres">
      <dgm:prSet presAssocID="{B1924BC7-131F-43BB-956A-108018CCCA00}" presName="Name0" presStyleCnt="0">
        <dgm:presLayoutVars>
          <dgm:dir/>
          <dgm:animLvl val="lvl"/>
          <dgm:resizeHandles val="exact"/>
        </dgm:presLayoutVars>
      </dgm:prSet>
      <dgm:spPr/>
    </dgm:pt>
    <dgm:pt modelId="{644FC5A3-306C-4629-9F63-772E0B794DB2}" type="pres">
      <dgm:prSet presAssocID="{CAB604CA-B20C-4B83-8CBB-0385BADBEE85}" presName="linNode" presStyleCnt="0"/>
      <dgm:spPr/>
    </dgm:pt>
    <dgm:pt modelId="{6BE079F0-0E22-4514-8F69-9BF8F9D16FD7}" type="pres">
      <dgm:prSet presAssocID="{CAB604CA-B20C-4B83-8CBB-0385BADBEE85}" presName="parTx" presStyleLbl="revTx" presStyleIdx="0" presStyleCnt="5">
        <dgm:presLayoutVars>
          <dgm:chMax val="1"/>
          <dgm:bulletEnabled val="1"/>
        </dgm:presLayoutVars>
      </dgm:prSet>
      <dgm:spPr/>
    </dgm:pt>
    <dgm:pt modelId="{19C9981D-59C7-47C2-B211-6CF0786D3EBC}" type="pres">
      <dgm:prSet presAssocID="{CAB604CA-B20C-4B83-8CBB-0385BADBEE85}" presName="bracket" presStyleLbl="parChTrans1D1" presStyleIdx="0" presStyleCnt="5"/>
      <dgm:spPr/>
    </dgm:pt>
    <dgm:pt modelId="{4ADB2D2C-89ED-4E90-A57A-78F01992DA19}" type="pres">
      <dgm:prSet presAssocID="{CAB604CA-B20C-4B83-8CBB-0385BADBEE85}" presName="spH" presStyleCnt="0"/>
      <dgm:spPr/>
    </dgm:pt>
    <dgm:pt modelId="{D144D8E4-8B88-41A5-8BFF-00980394F8E4}" type="pres">
      <dgm:prSet presAssocID="{CAB604CA-B20C-4B83-8CBB-0385BADBEE85}" presName="desTx" presStyleLbl="node1" presStyleIdx="0" presStyleCnt="5">
        <dgm:presLayoutVars>
          <dgm:bulletEnabled val="1"/>
        </dgm:presLayoutVars>
      </dgm:prSet>
      <dgm:spPr/>
    </dgm:pt>
    <dgm:pt modelId="{409E787F-2B2D-485F-9495-DFD516ABA4AA}" type="pres">
      <dgm:prSet presAssocID="{4FA23A8A-FA96-4F7F-B0E3-70236A929F0B}" presName="spV" presStyleCnt="0"/>
      <dgm:spPr/>
    </dgm:pt>
    <dgm:pt modelId="{E6AEAD65-30D7-4615-869D-C11EFC0941D9}" type="pres">
      <dgm:prSet presAssocID="{7FFBCCD6-ADA5-4A9B-9C7D-30D3D72F7BB0}" presName="linNode" presStyleCnt="0"/>
      <dgm:spPr/>
    </dgm:pt>
    <dgm:pt modelId="{6F9F14E6-0A99-4E13-BFE7-517BEC6C0F29}" type="pres">
      <dgm:prSet presAssocID="{7FFBCCD6-ADA5-4A9B-9C7D-30D3D72F7BB0}" presName="parTx" presStyleLbl="revTx" presStyleIdx="1" presStyleCnt="5">
        <dgm:presLayoutVars>
          <dgm:chMax val="1"/>
          <dgm:bulletEnabled val="1"/>
        </dgm:presLayoutVars>
      </dgm:prSet>
      <dgm:spPr/>
    </dgm:pt>
    <dgm:pt modelId="{4D3C39B6-0F23-41CA-BC24-774306B8AF50}" type="pres">
      <dgm:prSet presAssocID="{7FFBCCD6-ADA5-4A9B-9C7D-30D3D72F7BB0}" presName="bracket" presStyleLbl="parChTrans1D1" presStyleIdx="1" presStyleCnt="5"/>
      <dgm:spPr/>
    </dgm:pt>
    <dgm:pt modelId="{5A61DB81-A8BD-435F-A176-3DE68CCBEEF4}" type="pres">
      <dgm:prSet presAssocID="{7FFBCCD6-ADA5-4A9B-9C7D-30D3D72F7BB0}" presName="spH" presStyleCnt="0"/>
      <dgm:spPr/>
    </dgm:pt>
    <dgm:pt modelId="{924E7C8B-4298-49A5-810B-ABCA84BE5287}" type="pres">
      <dgm:prSet presAssocID="{7FFBCCD6-ADA5-4A9B-9C7D-30D3D72F7BB0}" presName="desTx" presStyleLbl="node1" presStyleIdx="1" presStyleCnt="5">
        <dgm:presLayoutVars>
          <dgm:bulletEnabled val="1"/>
        </dgm:presLayoutVars>
      </dgm:prSet>
      <dgm:spPr/>
    </dgm:pt>
    <dgm:pt modelId="{952082A4-061B-480B-B2A5-15BB816D5F62}" type="pres">
      <dgm:prSet presAssocID="{58B540D5-96A5-4D47-981D-690C30FCEF64}" presName="spV" presStyleCnt="0"/>
      <dgm:spPr/>
    </dgm:pt>
    <dgm:pt modelId="{93A81918-F570-4493-869B-F645C3C83F4A}" type="pres">
      <dgm:prSet presAssocID="{E55F55A8-AFD6-49FB-BBB9-1E501FA069AE}" presName="linNode" presStyleCnt="0"/>
      <dgm:spPr/>
    </dgm:pt>
    <dgm:pt modelId="{0455C2C9-8783-494D-85DB-ED25F6957AFE}" type="pres">
      <dgm:prSet presAssocID="{E55F55A8-AFD6-49FB-BBB9-1E501FA069AE}" presName="parTx" presStyleLbl="revTx" presStyleIdx="2" presStyleCnt="5">
        <dgm:presLayoutVars>
          <dgm:chMax val="1"/>
          <dgm:bulletEnabled val="1"/>
        </dgm:presLayoutVars>
      </dgm:prSet>
      <dgm:spPr/>
    </dgm:pt>
    <dgm:pt modelId="{19692526-753B-49C7-AB9E-419AD0EB328E}" type="pres">
      <dgm:prSet presAssocID="{E55F55A8-AFD6-49FB-BBB9-1E501FA069AE}" presName="bracket" presStyleLbl="parChTrans1D1" presStyleIdx="2" presStyleCnt="5"/>
      <dgm:spPr/>
    </dgm:pt>
    <dgm:pt modelId="{BEDB7796-5B2E-4D23-BED0-84EAF7C9BBCB}" type="pres">
      <dgm:prSet presAssocID="{E55F55A8-AFD6-49FB-BBB9-1E501FA069AE}" presName="spH" presStyleCnt="0"/>
      <dgm:spPr/>
    </dgm:pt>
    <dgm:pt modelId="{57A88D21-FD89-4946-9B6B-B3BF1D107990}" type="pres">
      <dgm:prSet presAssocID="{E55F55A8-AFD6-49FB-BBB9-1E501FA069AE}" presName="desTx" presStyleLbl="node1" presStyleIdx="2" presStyleCnt="5">
        <dgm:presLayoutVars>
          <dgm:bulletEnabled val="1"/>
        </dgm:presLayoutVars>
      </dgm:prSet>
      <dgm:spPr/>
    </dgm:pt>
    <dgm:pt modelId="{5D9742EC-9974-41FF-95EF-0AF2735C682F}" type="pres">
      <dgm:prSet presAssocID="{56F124AA-2C24-4473-BE8B-E9912502C88C}" presName="spV" presStyleCnt="0"/>
      <dgm:spPr/>
    </dgm:pt>
    <dgm:pt modelId="{BC93DF37-7884-497A-83A0-0690418EDABB}" type="pres">
      <dgm:prSet presAssocID="{C788DEC7-FAB5-4383-9D25-9DB28E2F746D}" presName="linNode" presStyleCnt="0"/>
      <dgm:spPr/>
    </dgm:pt>
    <dgm:pt modelId="{62ABB818-E0D2-4BB0-A607-88DF5BE9D146}" type="pres">
      <dgm:prSet presAssocID="{C788DEC7-FAB5-4383-9D25-9DB28E2F746D}" presName="parTx" presStyleLbl="revTx" presStyleIdx="3" presStyleCnt="5">
        <dgm:presLayoutVars>
          <dgm:chMax val="1"/>
          <dgm:bulletEnabled val="1"/>
        </dgm:presLayoutVars>
      </dgm:prSet>
      <dgm:spPr/>
    </dgm:pt>
    <dgm:pt modelId="{0FFAD523-949D-445B-A709-31D15D1431D9}" type="pres">
      <dgm:prSet presAssocID="{C788DEC7-FAB5-4383-9D25-9DB28E2F746D}" presName="bracket" presStyleLbl="parChTrans1D1" presStyleIdx="3" presStyleCnt="5"/>
      <dgm:spPr/>
    </dgm:pt>
    <dgm:pt modelId="{328AA139-6117-477B-8EA3-45B308C84B55}" type="pres">
      <dgm:prSet presAssocID="{C788DEC7-FAB5-4383-9D25-9DB28E2F746D}" presName="spH" presStyleCnt="0"/>
      <dgm:spPr/>
    </dgm:pt>
    <dgm:pt modelId="{95D5173D-FCCE-4FE0-84B6-1B1712F9F835}" type="pres">
      <dgm:prSet presAssocID="{C788DEC7-FAB5-4383-9D25-9DB28E2F746D}" presName="desTx" presStyleLbl="node1" presStyleIdx="3" presStyleCnt="5">
        <dgm:presLayoutVars>
          <dgm:bulletEnabled val="1"/>
        </dgm:presLayoutVars>
      </dgm:prSet>
      <dgm:spPr/>
    </dgm:pt>
    <dgm:pt modelId="{90482C89-2FD9-4E3D-90CA-199F2C640C8E}" type="pres">
      <dgm:prSet presAssocID="{74EFAAF6-2DDF-40F6-A944-5931620EB887}" presName="spV" presStyleCnt="0"/>
      <dgm:spPr/>
    </dgm:pt>
    <dgm:pt modelId="{F7C8DF1B-0016-433E-AF4C-5380D97B64D4}" type="pres">
      <dgm:prSet presAssocID="{A7C76CCC-8FD3-4B20-9660-5F40B5EF247A}" presName="linNode" presStyleCnt="0"/>
      <dgm:spPr/>
    </dgm:pt>
    <dgm:pt modelId="{B1AB27F1-C529-4E53-A7C2-58C68EA0F90B}" type="pres">
      <dgm:prSet presAssocID="{A7C76CCC-8FD3-4B20-9660-5F40B5EF247A}" presName="parTx" presStyleLbl="revTx" presStyleIdx="4" presStyleCnt="5">
        <dgm:presLayoutVars>
          <dgm:chMax val="1"/>
          <dgm:bulletEnabled val="1"/>
        </dgm:presLayoutVars>
      </dgm:prSet>
      <dgm:spPr/>
    </dgm:pt>
    <dgm:pt modelId="{48A0C0FC-3E53-4C3E-9356-1EED7D399136}" type="pres">
      <dgm:prSet presAssocID="{A7C76CCC-8FD3-4B20-9660-5F40B5EF247A}" presName="bracket" presStyleLbl="parChTrans1D1" presStyleIdx="4" presStyleCnt="5"/>
      <dgm:spPr/>
    </dgm:pt>
    <dgm:pt modelId="{1B1DFA30-77C4-4519-8B75-4E350BDAF2EB}" type="pres">
      <dgm:prSet presAssocID="{A7C76CCC-8FD3-4B20-9660-5F40B5EF247A}" presName="spH" presStyleCnt="0"/>
      <dgm:spPr/>
    </dgm:pt>
    <dgm:pt modelId="{D11880FE-C276-45BF-88C1-9C4DBB608CD6}" type="pres">
      <dgm:prSet presAssocID="{A7C76CCC-8FD3-4B20-9660-5F40B5EF247A}" presName="desTx" presStyleLbl="node1" presStyleIdx="4" presStyleCnt="5">
        <dgm:presLayoutVars>
          <dgm:bulletEnabled val="1"/>
        </dgm:presLayoutVars>
      </dgm:prSet>
      <dgm:spPr/>
    </dgm:pt>
  </dgm:ptLst>
  <dgm:cxnLst>
    <dgm:cxn modelId="{353BE509-5F75-4994-9CE1-6F4D28278FE9}" srcId="{E55F55A8-AFD6-49FB-BBB9-1E501FA069AE}" destId="{3C208627-C3E0-451C-914E-2B7E5A1DE6ED}" srcOrd="0" destOrd="0" parTransId="{821B787C-CDAE-445B-B57B-FC389AEA4C30}" sibTransId="{000C8400-879E-4F62-B5D1-BFE5DE2FC939}"/>
    <dgm:cxn modelId="{C390A60E-EBDD-47A3-9953-45290CD3E2BE}" srcId="{CAB604CA-B20C-4B83-8CBB-0385BADBEE85}" destId="{B52C5FF3-CB0C-4821-81ED-0F1E9D94C951}" srcOrd="0" destOrd="0" parTransId="{06C0DEF8-A807-4158-88CE-FADD8E071B06}" sibTransId="{F4325DC6-F548-40C6-A2D8-249CDB30DC7D}"/>
    <dgm:cxn modelId="{5579AB1A-D06E-4E1A-A229-E99F864FE582}" type="presOf" srcId="{E1B5CBC7-EA7D-43B6-931F-B39D0751E4CB}" destId="{D11880FE-C276-45BF-88C1-9C4DBB608CD6}" srcOrd="0" destOrd="0" presId="urn:diagrams.loki3.com/BracketList"/>
    <dgm:cxn modelId="{BBCBDB26-9E8B-4B31-8DEB-9EBCBCEA35D9}" srcId="{7FFBCCD6-ADA5-4A9B-9C7D-30D3D72F7BB0}" destId="{A9751B9B-EDA3-4E01-93A5-95808469C03C}" srcOrd="0" destOrd="0" parTransId="{3F07BE9D-5F2E-4EB7-A7EE-95C372F4151D}" sibTransId="{45909FA1-2271-4B08-97F8-B71A6234B7A2}"/>
    <dgm:cxn modelId="{41C8D235-5391-4303-8EB0-487211917299}" type="presOf" srcId="{B1924BC7-131F-43BB-956A-108018CCCA00}" destId="{2B9783E2-B9A0-4010-A2C6-963E67484152}" srcOrd="0" destOrd="0" presId="urn:diagrams.loki3.com/BracketList"/>
    <dgm:cxn modelId="{475EA75D-D43A-4C07-9C91-688F9D51D13A}" type="presOf" srcId="{B8C32130-FDDF-4965-BA4C-2A4CD8E7157F}" destId="{95D5173D-FCCE-4FE0-84B6-1B1712F9F835}" srcOrd="0" destOrd="0" presId="urn:diagrams.loki3.com/BracketList"/>
    <dgm:cxn modelId="{C9A94461-D16C-4774-B9D0-EC22E9690691}" srcId="{B1924BC7-131F-43BB-956A-108018CCCA00}" destId="{E55F55A8-AFD6-49FB-BBB9-1E501FA069AE}" srcOrd="2" destOrd="0" parTransId="{EA6C5B0D-CB25-4D5B-BE92-781D4C2CB3EA}" sibTransId="{56F124AA-2C24-4473-BE8B-E9912502C88C}"/>
    <dgm:cxn modelId="{558AAB42-A1F1-487F-8AD5-72F2CD97F7E1}" srcId="{B1924BC7-131F-43BB-956A-108018CCCA00}" destId="{C788DEC7-FAB5-4383-9D25-9DB28E2F746D}" srcOrd="3" destOrd="0" parTransId="{1CE77A44-3D19-465D-B20B-483F99888C33}" sibTransId="{74EFAAF6-2DDF-40F6-A944-5931620EB887}"/>
    <dgm:cxn modelId="{68D2DC47-AAC9-4303-BDC1-773FBAA4A552}" type="presOf" srcId="{7FFBCCD6-ADA5-4A9B-9C7D-30D3D72F7BB0}" destId="{6F9F14E6-0A99-4E13-BFE7-517BEC6C0F29}" srcOrd="0" destOrd="0" presId="urn:diagrams.loki3.com/BracketList"/>
    <dgm:cxn modelId="{72FA144C-F0A0-4BF9-8B0A-49CD770E2868}" srcId="{A7C76CCC-8FD3-4B20-9660-5F40B5EF247A}" destId="{E1B5CBC7-EA7D-43B6-931F-B39D0751E4CB}" srcOrd="0" destOrd="0" parTransId="{E0439583-FE3B-4370-B80A-7D640FB25EB2}" sibTransId="{A80E8D41-9B5E-4ADD-9C06-8157C91EC6BF}"/>
    <dgm:cxn modelId="{57FE9E6F-6514-46A0-A447-AB99B4BC1881}" type="presOf" srcId="{C788DEC7-FAB5-4383-9D25-9DB28E2F746D}" destId="{62ABB818-E0D2-4BB0-A607-88DF5BE9D146}" srcOrd="0" destOrd="0" presId="urn:diagrams.loki3.com/BracketList"/>
    <dgm:cxn modelId="{31B2C686-BDD2-49FD-AA66-7445F560B6DA}" type="presOf" srcId="{A9751B9B-EDA3-4E01-93A5-95808469C03C}" destId="{924E7C8B-4298-49A5-810B-ABCA84BE5287}" srcOrd="0" destOrd="0" presId="urn:diagrams.loki3.com/BracketList"/>
    <dgm:cxn modelId="{509888A2-AF25-4273-8790-DDCC4E2DC8C8}" srcId="{C788DEC7-FAB5-4383-9D25-9DB28E2F746D}" destId="{B8C32130-FDDF-4965-BA4C-2A4CD8E7157F}" srcOrd="0" destOrd="0" parTransId="{19100562-B7DF-4F60-9304-6E49241C64E8}" sibTransId="{E5C18A32-C294-41AC-9784-8E0D7CEFA8BC}"/>
    <dgm:cxn modelId="{2D3D47A4-0729-423F-8535-6350D26F9C01}" srcId="{B1924BC7-131F-43BB-956A-108018CCCA00}" destId="{7FFBCCD6-ADA5-4A9B-9C7D-30D3D72F7BB0}" srcOrd="1" destOrd="0" parTransId="{BB870BA5-5E06-4FDE-8B39-FF70A8B946AC}" sibTransId="{58B540D5-96A5-4D47-981D-690C30FCEF64}"/>
    <dgm:cxn modelId="{643A92AD-1326-40D8-9621-B6DDEDBEA6B4}" type="presOf" srcId="{A7C76CCC-8FD3-4B20-9660-5F40B5EF247A}" destId="{B1AB27F1-C529-4E53-A7C2-58C68EA0F90B}" srcOrd="0" destOrd="0" presId="urn:diagrams.loki3.com/BracketList"/>
    <dgm:cxn modelId="{CFF683B4-2A7C-40E1-8C27-65720E8407DC}" type="presOf" srcId="{CAB604CA-B20C-4B83-8CBB-0385BADBEE85}" destId="{6BE079F0-0E22-4514-8F69-9BF8F9D16FD7}" srcOrd="0" destOrd="0" presId="urn:diagrams.loki3.com/BracketList"/>
    <dgm:cxn modelId="{217AFCC0-1E2B-4169-8AF0-BC78CD930CD0}" srcId="{B1924BC7-131F-43BB-956A-108018CCCA00}" destId="{CAB604CA-B20C-4B83-8CBB-0385BADBEE85}" srcOrd="0" destOrd="0" parTransId="{55CA1281-4E93-4D09-B921-F2A7F8291700}" sibTransId="{4FA23A8A-FA96-4F7F-B0E3-70236A929F0B}"/>
    <dgm:cxn modelId="{2CEE7DCA-5778-4CEC-A6C9-8FA7574FC143}" srcId="{B1924BC7-131F-43BB-956A-108018CCCA00}" destId="{A7C76CCC-8FD3-4B20-9660-5F40B5EF247A}" srcOrd="4" destOrd="0" parTransId="{AA43369F-7E10-4A5A-9C84-265F53F2F79C}" sibTransId="{88C98D17-BD02-4A09-AA7B-7F516E8B01AF}"/>
    <dgm:cxn modelId="{896A75D4-93EA-482C-BE3C-C29D44E901C6}" type="presOf" srcId="{E55F55A8-AFD6-49FB-BBB9-1E501FA069AE}" destId="{0455C2C9-8783-494D-85DB-ED25F6957AFE}" srcOrd="0" destOrd="0" presId="urn:diagrams.loki3.com/BracketList"/>
    <dgm:cxn modelId="{1F86F7E6-3703-45BA-8C45-DEAA4135360B}" type="presOf" srcId="{B52C5FF3-CB0C-4821-81ED-0F1E9D94C951}" destId="{D144D8E4-8B88-41A5-8BFF-00980394F8E4}" srcOrd="0" destOrd="0" presId="urn:diagrams.loki3.com/BracketList"/>
    <dgm:cxn modelId="{F00BB8F9-37FF-4C14-A797-6B85A98ED88D}" type="presOf" srcId="{3C208627-C3E0-451C-914E-2B7E5A1DE6ED}" destId="{57A88D21-FD89-4946-9B6B-B3BF1D107990}" srcOrd="0" destOrd="0" presId="urn:diagrams.loki3.com/BracketList"/>
    <dgm:cxn modelId="{56387C5C-F9A8-485C-B3BF-65D048BC7CDF}" type="presParOf" srcId="{2B9783E2-B9A0-4010-A2C6-963E67484152}" destId="{644FC5A3-306C-4629-9F63-772E0B794DB2}" srcOrd="0" destOrd="0" presId="urn:diagrams.loki3.com/BracketList"/>
    <dgm:cxn modelId="{D8F97891-15B9-4B38-A6F1-C5B26936A440}" type="presParOf" srcId="{644FC5A3-306C-4629-9F63-772E0B794DB2}" destId="{6BE079F0-0E22-4514-8F69-9BF8F9D16FD7}" srcOrd="0" destOrd="0" presId="urn:diagrams.loki3.com/BracketList"/>
    <dgm:cxn modelId="{348C9B59-1CF4-45DB-8C80-5C862CA4FD47}" type="presParOf" srcId="{644FC5A3-306C-4629-9F63-772E0B794DB2}" destId="{19C9981D-59C7-47C2-B211-6CF0786D3EBC}" srcOrd="1" destOrd="0" presId="urn:diagrams.loki3.com/BracketList"/>
    <dgm:cxn modelId="{80B5A817-3BAC-433F-928E-B08063C29EDE}" type="presParOf" srcId="{644FC5A3-306C-4629-9F63-772E0B794DB2}" destId="{4ADB2D2C-89ED-4E90-A57A-78F01992DA19}" srcOrd="2" destOrd="0" presId="urn:diagrams.loki3.com/BracketList"/>
    <dgm:cxn modelId="{B969AE09-B856-4CDB-BB7F-DF61BB2F775F}" type="presParOf" srcId="{644FC5A3-306C-4629-9F63-772E0B794DB2}" destId="{D144D8E4-8B88-41A5-8BFF-00980394F8E4}" srcOrd="3" destOrd="0" presId="urn:diagrams.loki3.com/BracketList"/>
    <dgm:cxn modelId="{A32B7B22-7F0E-4407-BD32-307A9BF8AB10}" type="presParOf" srcId="{2B9783E2-B9A0-4010-A2C6-963E67484152}" destId="{409E787F-2B2D-485F-9495-DFD516ABA4AA}" srcOrd="1" destOrd="0" presId="urn:diagrams.loki3.com/BracketList"/>
    <dgm:cxn modelId="{17572FE9-D113-4CE3-8379-E8FB58DD3CAF}" type="presParOf" srcId="{2B9783E2-B9A0-4010-A2C6-963E67484152}" destId="{E6AEAD65-30D7-4615-869D-C11EFC0941D9}" srcOrd="2" destOrd="0" presId="urn:diagrams.loki3.com/BracketList"/>
    <dgm:cxn modelId="{280AC30D-B4AA-4E29-8030-73A7F760B6A0}" type="presParOf" srcId="{E6AEAD65-30D7-4615-869D-C11EFC0941D9}" destId="{6F9F14E6-0A99-4E13-BFE7-517BEC6C0F29}" srcOrd="0" destOrd="0" presId="urn:diagrams.loki3.com/BracketList"/>
    <dgm:cxn modelId="{1F8EC398-FC55-4D7A-A8FE-61BE0E703948}" type="presParOf" srcId="{E6AEAD65-30D7-4615-869D-C11EFC0941D9}" destId="{4D3C39B6-0F23-41CA-BC24-774306B8AF50}" srcOrd="1" destOrd="0" presId="urn:diagrams.loki3.com/BracketList"/>
    <dgm:cxn modelId="{99DAE6D2-7215-468C-B89A-7004E515E8BF}" type="presParOf" srcId="{E6AEAD65-30D7-4615-869D-C11EFC0941D9}" destId="{5A61DB81-A8BD-435F-A176-3DE68CCBEEF4}" srcOrd="2" destOrd="0" presId="urn:diagrams.loki3.com/BracketList"/>
    <dgm:cxn modelId="{069C2744-BDB7-418C-ABC6-2051A47B35AC}" type="presParOf" srcId="{E6AEAD65-30D7-4615-869D-C11EFC0941D9}" destId="{924E7C8B-4298-49A5-810B-ABCA84BE5287}" srcOrd="3" destOrd="0" presId="urn:diagrams.loki3.com/BracketList"/>
    <dgm:cxn modelId="{5ECFF742-A864-4CB7-AF0C-70D6C85C2CC2}" type="presParOf" srcId="{2B9783E2-B9A0-4010-A2C6-963E67484152}" destId="{952082A4-061B-480B-B2A5-15BB816D5F62}" srcOrd="3" destOrd="0" presId="urn:diagrams.loki3.com/BracketList"/>
    <dgm:cxn modelId="{C4C6D6EE-3D8A-4751-B279-E043E940FA78}" type="presParOf" srcId="{2B9783E2-B9A0-4010-A2C6-963E67484152}" destId="{93A81918-F570-4493-869B-F645C3C83F4A}" srcOrd="4" destOrd="0" presId="urn:diagrams.loki3.com/BracketList"/>
    <dgm:cxn modelId="{C5DA2F76-3A10-4559-A2F4-DE5D365FC0BD}" type="presParOf" srcId="{93A81918-F570-4493-869B-F645C3C83F4A}" destId="{0455C2C9-8783-494D-85DB-ED25F6957AFE}" srcOrd="0" destOrd="0" presId="urn:diagrams.loki3.com/BracketList"/>
    <dgm:cxn modelId="{FC2C7687-2802-470E-BB4C-6A02ED75136E}" type="presParOf" srcId="{93A81918-F570-4493-869B-F645C3C83F4A}" destId="{19692526-753B-49C7-AB9E-419AD0EB328E}" srcOrd="1" destOrd="0" presId="urn:diagrams.loki3.com/BracketList"/>
    <dgm:cxn modelId="{4DC9D432-1318-4B23-BA4C-E5FAEFF2DE4B}" type="presParOf" srcId="{93A81918-F570-4493-869B-F645C3C83F4A}" destId="{BEDB7796-5B2E-4D23-BED0-84EAF7C9BBCB}" srcOrd="2" destOrd="0" presId="urn:diagrams.loki3.com/BracketList"/>
    <dgm:cxn modelId="{9A081C6C-BE79-4544-A8AC-C555EE9244C4}" type="presParOf" srcId="{93A81918-F570-4493-869B-F645C3C83F4A}" destId="{57A88D21-FD89-4946-9B6B-B3BF1D107990}" srcOrd="3" destOrd="0" presId="urn:diagrams.loki3.com/BracketList"/>
    <dgm:cxn modelId="{E7F1353C-D3DD-4170-BBC9-5CD4E0C389D0}" type="presParOf" srcId="{2B9783E2-B9A0-4010-A2C6-963E67484152}" destId="{5D9742EC-9974-41FF-95EF-0AF2735C682F}" srcOrd="5" destOrd="0" presId="urn:diagrams.loki3.com/BracketList"/>
    <dgm:cxn modelId="{EC0FD3D4-7533-4D94-A0B2-1458682FCAA9}" type="presParOf" srcId="{2B9783E2-B9A0-4010-A2C6-963E67484152}" destId="{BC93DF37-7884-497A-83A0-0690418EDABB}" srcOrd="6" destOrd="0" presId="urn:diagrams.loki3.com/BracketList"/>
    <dgm:cxn modelId="{952D1814-A546-4B40-A9BF-CB6C0A7B099E}" type="presParOf" srcId="{BC93DF37-7884-497A-83A0-0690418EDABB}" destId="{62ABB818-E0D2-4BB0-A607-88DF5BE9D146}" srcOrd="0" destOrd="0" presId="urn:diagrams.loki3.com/BracketList"/>
    <dgm:cxn modelId="{23A870E5-2307-402F-AF5B-7ECE2472667A}" type="presParOf" srcId="{BC93DF37-7884-497A-83A0-0690418EDABB}" destId="{0FFAD523-949D-445B-A709-31D15D1431D9}" srcOrd="1" destOrd="0" presId="urn:diagrams.loki3.com/BracketList"/>
    <dgm:cxn modelId="{DB899974-B7F0-474D-A0B9-B31016EFCA8B}" type="presParOf" srcId="{BC93DF37-7884-497A-83A0-0690418EDABB}" destId="{328AA139-6117-477B-8EA3-45B308C84B55}" srcOrd="2" destOrd="0" presId="urn:diagrams.loki3.com/BracketList"/>
    <dgm:cxn modelId="{64A2A784-34BA-46E9-81E2-7706B0373C79}" type="presParOf" srcId="{BC93DF37-7884-497A-83A0-0690418EDABB}" destId="{95D5173D-FCCE-4FE0-84B6-1B1712F9F835}" srcOrd="3" destOrd="0" presId="urn:diagrams.loki3.com/BracketList"/>
    <dgm:cxn modelId="{7D842412-BF8D-49E6-8D87-15CC4A190EAB}" type="presParOf" srcId="{2B9783E2-B9A0-4010-A2C6-963E67484152}" destId="{90482C89-2FD9-4E3D-90CA-199F2C640C8E}" srcOrd="7" destOrd="0" presId="urn:diagrams.loki3.com/BracketList"/>
    <dgm:cxn modelId="{9BC9071D-566F-47C6-A854-030873303349}" type="presParOf" srcId="{2B9783E2-B9A0-4010-A2C6-963E67484152}" destId="{F7C8DF1B-0016-433E-AF4C-5380D97B64D4}" srcOrd="8" destOrd="0" presId="urn:diagrams.loki3.com/BracketList"/>
    <dgm:cxn modelId="{A69953E7-0BC5-4E6D-B23E-56DC2F7CD860}" type="presParOf" srcId="{F7C8DF1B-0016-433E-AF4C-5380D97B64D4}" destId="{B1AB27F1-C529-4E53-A7C2-58C68EA0F90B}" srcOrd="0" destOrd="0" presId="urn:diagrams.loki3.com/BracketList"/>
    <dgm:cxn modelId="{69753C10-0967-4775-8574-9201499928E1}" type="presParOf" srcId="{F7C8DF1B-0016-433E-AF4C-5380D97B64D4}" destId="{48A0C0FC-3E53-4C3E-9356-1EED7D399136}" srcOrd="1" destOrd="0" presId="urn:diagrams.loki3.com/BracketList"/>
    <dgm:cxn modelId="{02C75781-5A2C-4E3F-99C5-0259567D4407}" type="presParOf" srcId="{F7C8DF1B-0016-433E-AF4C-5380D97B64D4}" destId="{1B1DFA30-77C4-4519-8B75-4E350BDAF2EB}" srcOrd="2" destOrd="0" presId="urn:diagrams.loki3.com/BracketList"/>
    <dgm:cxn modelId="{C71A74BE-665A-4A57-A640-DE273F086A85}" type="presParOf" srcId="{F7C8DF1B-0016-433E-AF4C-5380D97B64D4}" destId="{D11880FE-C276-45BF-88C1-9C4DBB608CD6}" srcOrd="3" destOrd="0" presId="urn:diagrams.loki3.com/BracketList"/>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EE5AFA9-C694-438A-A882-96C3D5B1F025}" type="doc">
      <dgm:prSet loTypeId="urn:microsoft.com/office/officeart/2011/layout/TabList" loCatId="list" qsTypeId="urn:microsoft.com/office/officeart/2005/8/quickstyle/simple1" qsCatId="simple" csTypeId="urn:microsoft.com/office/officeart/2005/8/colors/colorful2" csCatId="colorful" phldr="1"/>
      <dgm:spPr/>
      <dgm:t>
        <a:bodyPr/>
        <a:lstStyle/>
        <a:p>
          <a:endParaRPr lang="en-US"/>
        </a:p>
      </dgm:t>
    </dgm:pt>
    <dgm:pt modelId="{16D57D1F-D20C-40AA-9A7D-60571579C1AB}">
      <dgm:prSet phldrT="[Text]" custT="1"/>
      <dgm:spPr/>
      <dgm:t>
        <a:bodyPr/>
        <a:lstStyle/>
        <a:p>
          <a:pPr algn="ctr">
            <a:buNone/>
          </a:pPr>
          <a:r>
            <a:rPr lang="en-US" sz="1200">
              <a:latin typeface="Times New Roman" panose="02020603050405020304" pitchFamily="18" charset="0"/>
              <a:cs typeface="Times New Roman" panose="02020603050405020304" pitchFamily="18" charset="0"/>
            </a:rPr>
            <a:t>EV adoption 2025 forecast</a:t>
          </a:r>
        </a:p>
      </dgm:t>
    </dgm:pt>
    <dgm:pt modelId="{4006931B-FA60-4B04-A066-C54831E1B13B}" type="parTrans" cxnId="{0A601006-D63E-4FA8-9EDB-80B4994466C8}">
      <dgm:prSet/>
      <dgm:spPr/>
      <dgm:t>
        <a:bodyPr/>
        <a:lstStyle/>
        <a:p>
          <a:endParaRPr lang="en-US"/>
        </a:p>
      </dgm:t>
    </dgm:pt>
    <dgm:pt modelId="{D84F81EB-D25A-436F-B887-C4751B74E802}" type="sibTrans" cxnId="{0A601006-D63E-4FA8-9EDB-80B4994466C8}">
      <dgm:prSet/>
      <dgm:spPr/>
      <dgm:t>
        <a:bodyPr/>
        <a:lstStyle/>
        <a:p>
          <a:endParaRPr lang="en-US"/>
        </a:p>
      </dgm:t>
    </dgm:pt>
    <dgm:pt modelId="{2BBC794C-F8A3-4BDB-A12F-C653A65C6AF6}">
      <dgm:prSet custT="1"/>
      <dgm:spPr/>
      <dgm:t>
        <a:bodyPr/>
        <a:lstStyle/>
        <a:p>
          <a:pPr algn="ctr">
            <a:buNone/>
          </a:pPr>
          <a:r>
            <a:rPr lang="en-US" sz="1200">
              <a:latin typeface="Times New Roman" panose="02020603050405020304" pitchFamily="18" charset="0"/>
              <a:cs typeface="Times New Roman" panose="02020603050405020304" pitchFamily="18" charset="0"/>
            </a:rPr>
            <a:t>85 million units globally</a:t>
          </a:r>
        </a:p>
      </dgm:t>
    </dgm:pt>
    <dgm:pt modelId="{DE158DD1-554B-44F7-A7AF-6EFB41A88F76}" type="parTrans" cxnId="{0AB7A36D-94E7-489C-A535-E45E334AAC33}">
      <dgm:prSet/>
      <dgm:spPr/>
      <dgm:t>
        <a:bodyPr/>
        <a:lstStyle/>
        <a:p>
          <a:endParaRPr lang="en-US"/>
        </a:p>
      </dgm:t>
    </dgm:pt>
    <dgm:pt modelId="{FBDF1BED-BF31-4C84-8B24-0BD05BBDD6B4}" type="sibTrans" cxnId="{0AB7A36D-94E7-489C-A535-E45E334AAC33}">
      <dgm:prSet/>
      <dgm:spPr/>
      <dgm:t>
        <a:bodyPr/>
        <a:lstStyle/>
        <a:p>
          <a:endParaRPr lang="en-US"/>
        </a:p>
      </dgm:t>
    </dgm:pt>
    <dgm:pt modelId="{8672CA23-88AC-4F48-A26C-AEBCDCC86C79}">
      <dgm:prSet custT="1"/>
      <dgm:spPr/>
      <dgm:t>
        <a:bodyPr/>
        <a:lstStyle/>
        <a:p>
          <a:pPr algn="ctr">
            <a:buNone/>
          </a:pPr>
          <a:r>
            <a:rPr lang="en-US" sz="1200">
              <a:latin typeface="Times New Roman" panose="02020603050405020304" pitchFamily="18" charset="0"/>
              <a:cs typeface="Times New Roman" panose="02020603050405020304" pitchFamily="18" charset="0"/>
            </a:rPr>
            <a:t>Geographic adoption</a:t>
          </a:r>
        </a:p>
      </dgm:t>
    </dgm:pt>
    <dgm:pt modelId="{DD1B65C8-4743-4AE0-A3C2-C40D5168DAB5}" type="parTrans" cxnId="{A8B82355-9963-4480-A537-58014231D310}">
      <dgm:prSet/>
      <dgm:spPr/>
      <dgm:t>
        <a:bodyPr/>
        <a:lstStyle/>
        <a:p>
          <a:endParaRPr lang="en-US"/>
        </a:p>
      </dgm:t>
    </dgm:pt>
    <dgm:pt modelId="{1D7912AF-E5DB-4EBD-80A8-C450B311A8D7}" type="sibTrans" cxnId="{A8B82355-9963-4480-A537-58014231D310}">
      <dgm:prSet/>
      <dgm:spPr/>
      <dgm:t>
        <a:bodyPr/>
        <a:lstStyle/>
        <a:p>
          <a:endParaRPr lang="en-US"/>
        </a:p>
      </dgm:t>
    </dgm:pt>
    <dgm:pt modelId="{4F36144C-2308-4E10-ACE5-ADAB5857EB7B}">
      <dgm:prSet custT="1"/>
      <dgm:spPr/>
      <dgm:t>
        <a:bodyPr/>
        <a:lstStyle/>
        <a:p>
          <a:pPr algn="ctr">
            <a:buNone/>
          </a:pPr>
          <a:r>
            <a:rPr lang="en-US" sz="1200">
              <a:latin typeface="Times New Roman" panose="02020603050405020304" pitchFamily="18" charset="0"/>
              <a:cs typeface="Times New Roman" panose="02020603050405020304" pitchFamily="18" charset="0"/>
            </a:rPr>
            <a:t>China: 45%+; Europe: rapid growth, underdeveloped Tesla share</a:t>
          </a:r>
        </a:p>
      </dgm:t>
    </dgm:pt>
    <dgm:pt modelId="{F0BADAB5-2B4D-4678-B71F-82DAD4BF7EE1}" type="parTrans" cxnId="{16B85684-F9FB-4D0C-8F5C-2DB6D0017E1C}">
      <dgm:prSet/>
      <dgm:spPr/>
      <dgm:t>
        <a:bodyPr/>
        <a:lstStyle/>
        <a:p>
          <a:endParaRPr lang="en-US"/>
        </a:p>
      </dgm:t>
    </dgm:pt>
    <dgm:pt modelId="{0E91A1E7-DD7C-4DCE-8794-D801BAF19314}" type="sibTrans" cxnId="{16B85684-F9FB-4D0C-8F5C-2DB6D0017E1C}">
      <dgm:prSet/>
      <dgm:spPr/>
      <dgm:t>
        <a:bodyPr/>
        <a:lstStyle/>
        <a:p>
          <a:endParaRPr lang="en-US"/>
        </a:p>
      </dgm:t>
    </dgm:pt>
    <dgm:pt modelId="{5880C7E1-3849-4622-832A-307CECB970CD}">
      <dgm:prSet custT="1"/>
      <dgm:spPr/>
      <dgm:t>
        <a:bodyPr/>
        <a:lstStyle/>
        <a:p>
          <a:pPr algn="ctr">
            <a:buNone/>
          </a:pPr>
          <a:r>
            <a:rPr lang="en-US" sz="1200">
              <a:latin typeface="Times New Roman" panose="02020603050405020304" pitchFamily="18" charset="0"/>
              <a:cs typeface="Times New Roman" panose="02020603050405020304" pitchFamily="18" charset="0"/>
            </a:rPr>
            <a:t>New vehicle sales 2025</a:t>
          </a:r>
        </a:p>
      </dgm:t>
    </dgm:pt>
    <dgm:pt modelId="{0119C7CC-9C4C-417C-B80B-C50C84A2F2D3}" type="parTrans" cxnId="{ACC08DC9-E0D1-4D18-B46C-9B1BEEB8B2F6}">
      <dgm:prSet/>
      <dgm:spPr/>
      <dgm:t>
        <a:bodyPr/>
        <a:lstStyle/>
        <a:p>
          <a:endParaRPr lang="en-US"/>
        </a:p>
      </dgm:t>
    </dgm:pt>
    <dgm:pt modelId="{DEAD2A96-7F45-4800-BE57-E5BB17A6D2B5}" type="sibTrans" cxnId="{ACC08DC9-E0D1-4D18-B46C-9B1BEEB8B2F6}">
      <dgm:prSet/>
      <dgm:spPr/>
      <dgm:t>
        <a:bodyPr/>
        <a:lstStyle/>
        <a:p>
          <a:endParaRPr lang="en-US"/>
        </a:p>
      </dgm:t>
    </dgm:pt>
    <dgm:pt modelId="{415D8400-EEB1-4670-BF24-07C44B82C6CC}">
      <dgm:prSet custT="1"/>
      <dgm:spPr/>
      <dgm:t>
        <a:bodyPr/>
        <a:lstStyle/>
        <a:p>
          <a:pPr algn="ctr">
            <a:buNone/>
          </a:pPr>
          <a:r>
            <a:rPr lang="en-US" sz="1200">
              <a:latin typeface="Times New Roman" panose="02020603050405020304" pitchFamily="18" charset="0"/>
              <a:cs typeface="Times New Roman" panose="02020603050405020304" pitchFamily="18" charset="0"/>
            </a:rPr>
            <a:t>16.3 million units</a:t>
          </a:r>
        </a:p>
      </dgm:t>
    </dgm:pt>
    <dgm:pt modelId="{83C0B5E4-24B8-4999-A501-7132783B62A9}" type="parTrans" cxnId="{6C9C26B3-4F3D-4D3F-9012-58D66A229C25}">
      <dgm:prSet/>
      <dgm:spPr/>
      <dgm:t>
        <a:bodyPr/>
        <a:lstStyle/>
        <a:p>
          <a:endParaRPr lang="en-US"/>
        </a:p>
      </dgm:t>
    </dgm:pt>
    <dgm:pt modelId="{3DAF742B-08D8-4114-918D-BCD6ED9241DA}" type="sibTrans" cxnId="{6C9C26B3-4F3D-4D3F-9012-58D66A229C25}">
      <dgm:prSet/>
      <dgm:spPr/>
      <dgm:t>
        <a:bodyPr/>
        <a:lstStyle/>
        <a:p>
          <a:endParaRPr lang="en-US"/>
        </a:p>
      </dgm:t>
    </dgm:pt>
    <dgm:pt modelId="{8996ACE6-067A-4AE7-B6D7-5EE34401DE42}">
      <dgm:prSet custT="1"/>
      <dgm:spPr/>
      <dgm:t>
        <a:bodyPr/>
        <a:lstStyle/>
        <a:p>
          <a:pPr algn="ctr">
            <a:buNone/>
          </a:pPr>
          <a:r>
            <a:rPr lang="en-US" sz="1200">
              <a:latin typeface="Times New Roman" panose="02020603050405020304" pitchFamily="18" charset="0"/>
              <a:cs typeface="Times New Roman" panose="02020603050405020304" pitchFamily="18" charset="0"/>
            </a:rPr>
            <a:t>Leasing revenue trend	</a:t>
          </a:r>
        </a:p>
      </dgm:t>
    </dgm:pt>
    <dgm:pt modelId="{1178299D-0A41-49BC-921C-3F1A87B6AC79}" type="parTrans" cxnId="{7AF69C8B-11EC-4ADB-BCCA-66B13B87D676}">
      <dgm:prSet/>
      <dgm:spPr/>
      <dgm:t>
        <a:bodyPr/>
        <a:lstStyle/>
        <a:p>
          <a:endParaRPr lang="en-US"/>
        </a:p>
      </dgm:t>
    </dgm:pt>
    <dgm:pt modelId="{EF06789C-98A3-472B-A7B7-A57EA3FBA989}" type="sibTrans" cxnId="{7AF69C8B-11EC-4ADB-BCCA-66B13B87D676}">
      <dgm:prSet/>
      <dgm:spPr/>
      <dgm:t>
        <a:bodyPr/>
        <a:lstStyle/>
        <a:p>
          <a:endParaRPr lang="en-US"/>
        </a:p>
      </dgm:t>
    </dgm:pt>
    <dgm:pt modelId="{7E9658CB-5AF0-4A5A-87F0-B3A2FE0B10BB}">
      <dgm:prSet custT="1"/>
      <dgm:spPr/>
      <dgm:t>
        <a:bodyPr/>
        <a:lstStyle/>
        <a:p>
          <a:pPr algn="ctr">
            <a:buNone/>
          </a:pPr>
          <a:r>
            <a:rPr lang="en-US" sz="1200">
              <a:latin typeface="Times New Roman" panose="02020603050405020304" pitchFamily="18" charset="0"/>
              <a:cs typeface="Times New Roman" panose="02020603050405020304" pitchFamily="18" charset="0"/>
            </a:rPr>
            <a:t>−3.8% YOY</a:t>
          </a:r>
        </a:p>
      </dgm:t>
    </dgm:pt>
    <dgm:pt modelId="{CBA4CACF-4DC3-4509-BA28-63640BBBD277}" type="parTrans" cxnId="{E5007BD2-6111-4063-A2F3-27E7C8B6D83B}">
      <dgm:prSet/>
      <dgm:spPr/>
      <dgm:t>
        <a:bodyPr/>
        <a:lstStyle/>
        <a:p>
          <a:endParaRPr lang="en-US"/>
        </a:p>
      </dgm:t>
    </dgm:pt>
    <dgm:pt modelId="{D7D5F6F2-B325-4EAB-8785-C57E3A395C69}" type="sibTrans" cxnId="{E5007BD2-6111-4063-A2F3-27E7C8B6D83B}">
      <dgm:prSet/>
      <dgm:spPr/>
      <dgm:t>
        <a:bodyPr/>
        <a:lstStyle/>
        <a:p>
          <a:endParaRPr lang="en-US"/>
        </a:p>
      </dgm:t>
    </dgm:pt>
    <dgm:pt modelId="{F341DFF7-61D4-4758-AF7F-941C1D252489}" type="pres">
      <dgm:prSet presAssocID="{AEE5AFA9-C694-438A-A882-96C3D5B1F025}" presName="Name0" presStyleCnt="0">
        <dgm:presLayoutVars>
          <dgm:chMax/>
          <dgm:chPref val="3"/>
          <dgm:dir/>
          <dgm:animOne val="branch"/>
          <dgm:animLvl val="lvl"/>
        </dgm:presLayoutVars>
      </dgm:prSet>
      <dgm:spPr/>
    </dgm:pt>
    <dgm:pt modelId="{3724C464-19EB-43B4-942F-6DF61A22F6A7}" type="pres">
      <dgm:prSet presAssocID="{16D57D1F-D20C-40AA-9A7D-60571579C1AB}" presName="composite" presStyleCnt="0"/>
      <dgm:spPr/>
    </dgm:pt>
    <dgm:pt modelId="{BF808485-9331-4561-B04D-C801F525C5CA}" type="pres">
      <dgm:prSet presAssocID="{16D57D1F-D20C-40AA-9A7D-60571579C1AB}" presName="FirstChild" presStyleLbl="revTx" presStyleIdx="0" presStyleCnt="4" custScaleX="105781" custScaleY="88315">
        <dgm:presLayoutVars>
          <dgm:chMax val="0"/>
          <dgm:chPref val="0"/>
          <dgm:bulletEnabled val="1"/>
        </dgm:presLayoutVars>
      </dgm:prSet>
      <dgm:spPr/>
    </dgm:pt>
    <dgm:pt modelId="{7B56D53A-0C53-4943-86B3-DA952206C6C2}" type="pres">
      <dgm:prSet presAssocID="{16D57D1F-D20C-40AA-9A7D-60571579C1AB}" presName="Parent" presStyleLbl="alignNode1" presStyleIdx="0" presStyleCnt="4" custScaleX="142506" custScaleY="88315">
        <dgm:presLayoutVars>
          <dgm:chMax val="3"/>
          <dgm:chPref val="3"/>
          <dgm:bulletEnabled val="1"/>
        </dgm:presLayoutVars>
      </dgm:prSet>
      <dgm:spPr/>
    </dgm:pt>
    <dgm:pt modelId="{A7C3B1AA-E560-43BB-8B8F-23CA73F16884}" type="pres">
      <dgm:prSet presAssocID="{16D57D1F-D20C-40AA-9A7D-60571579C1AB}" presName="Accent" presStyleLbl="parChTrans1D1" presStyleIdx="0" presStyleCnt="4"/>
      <dgm:spPr/>
    </dgm:pt>
    <dgm:pt modelId="{348CC552-CC43-48D7-96DC-A99C399212DF}" type="pres">
      <dgm:prSet presAssocID="{D84F81EB-D25A-436F-B887-C4751B74E802}" presName="sibTrans" presStyleCnt="0"/>
      <dgm:spPr/>
    </dgm:pt>
    <dgm:pt modelId="{91F1E371-670E-4BC8-A6C7-7284CCEFB6E4}" type="pres">
      <dgm:prSet presAssocID="{8672CA23-88AC-4F48-A26C-AEBCDCC86C79}" presName="composite" presStyleCnt="0"/>
      <dgm:spPr/>
    </dgm:pt>
    <dgm:pt modelId="{C8DCFA60-CAD1-486B-BFD4-1B66BBED4976}" type="pres">
      <dgm:prSet presAssocID="{8672CA23-88AC-4F48-A26C-AEBCDCC86C79}" presName="FirstChild" presStyleLbl="revTx" presStyleIdx="1" presStyleCnt="4" custScaleX="105781" custScaleY="88315">
        <dgm:presLayoutVars>
          <dgm:chMax val="0"/>
          <dgm:chPref val="0"/>
          <dgm:bulletEnabled val="1"/>
        </dgm:presLayoutVars>
      </dgm:prSet>
      <dgm:spPr/>
    </dgm:pt>
    <dgm:pt modelId="{56BF853D-087F-4F00-A710-1CCDE2770D88}" type="pres">
      <dgm:prSet presAssocID="{8672CA23-88AC-4F48-A26C-AEBCDCC86C79}" presName="Parent" presStyleLbl="alignNode1" presStyleIdx="1" presStyleCnt="4" custScaleX="117999" custScaleY="88315">
        <dgm:presLayoutVars>
          <dgm:chMax val="3"/>
          <dgm:chPref val="3"/>
          <dgm:bulletEnabled val="1"/>
        </dgm:presLayoutVars>
      </dgm:prSet>
      <dgm:spPr/>
    </dgm:pt>
    <dgm:pt modelId="{E6A73850-CDCB-481E-AD4D-69300341ED77}" type="pres">
      <dgm:prSet presAssocID="{8672CA23-88AC-4F48-A26C-AEBCDCC86C79}" presName="Accent" presStyleLbl="parChTrans1D1" presStyleIdx="1" presStyleCnt="4"/>
      <dgm:spPr/>
    </dgm:pt>
    <dgm:pt modelId="{16C0FD52-89EB-4971-B9E1-E4E8556EBE3E}" type="pres">
      <dgm:prSet presAssocID="{1D7912AF-E5DB-4EBD-80A8-C450B311A8D7}" presName="sibTrans" presStyleCnt="0"/>
      <dgm:spPr/>
    </dgm:pt>
    <dgm:pt modelId="{59B00564-A05F-4B74-B84F-437B738CAF5E}" type="pres">
      <dgm:prSet presAssocID="{5880C7E1-3849-4622-832A-307CECB970CD}" presName="composite" presStyleCnt="0"/>
      <dgm:spPr/>
    </dgm:pt>
    <dgm:pt modelId="{B3175641-E3CE-44DE-85C0-396E986992CD}" type="pres">
      <dgm:prSet presAssocID="{5880C7E1-3849-4622-832A-307CECB970CD}" presName="FirstChild" presStyleLbl="revTx" presStyleIdx="2" presStyleCnt="4" custScaleX="105781" custScaleY="88315">
        <dgm:presLayoutVars>
          <dgm:chMax val="0"/>
          <dgm:chPref val="0"/>
          <dgm:bulletEnabled val="1"/>
        </dgm:presLayoutVars>
      </dgm:prSet>
      <dgm:spPr/>
    </dgm:pt>
    <dgm:pt modelId="{C4414B23-C296-4210-B1D0-E7E8B2A65DCA}" type="pres">
      <dgm:prSet presAssocID="{5880C7E1-3849-4622-832A-307CECB970CD}" presName="Parent" presStyleLbl="alignNode1" presStyleIdx="2" presStyleCnt="4" custScaleX="142506" custScaleY="88315">
        <dgm:presLayoutVars>
          <dgm:chMax val="3"/>
          <dgm:chPref val="3"/>
          <dgm:bulletEnabled val="1"/>
        </dgm:presLayoutVars>
      </dgm:prSet>
      <dgm:spPr/>
    </dgm:pt>
    <dgm:pt modelId="{3466C2F1-E1A5-411A-B82A-EC791DB3A61D}" type="pres">
      <dgm:prSet presAssocID="{5880C7E1-3849-4622-832A-307CECB970CD}" presName="Accent" presStyleLbl="parChTrans1D1" presStyleIdx="2" presStyleCnt="4"/>
      <dgm:spPr/>
    </dgm:pt>
    <dgm:pt modelId="{B4655581-294E-4B02-8082-73B4C1FF20CC}" type="pres">
      <dgm:prSet presAssocID="{DEAD2A96-7F45-4800-BE57-E5BB17A6D2B5}" presName="sibTrans" presStyleCnt="0"/>
      <dgm:spPr/>
    </dgm:pt>
    <dgm:pt modelId="{DFBBDFDB-6733-4F4E-9121-F2C4AE534379}" type="pres">
      <dgm:prSet presAssocID="{8996ACE6-067A-4AE7-B6D7-5EE34401DE42}" presName="composite" presStyleCnt="0"/>
      <dgm:spPr/>
    </dgm:pt>
    <dgm:pt modelId="{FD3F9FF9-D74B-4EE8-97F5-D87F64FE27D2}" type="pres">
      <dgm:prSet presAssocID="{8996ACE6-067A-4AE7-B6D7-5EE34401DE42}" presName="FirstChild" presStyleLbl="revTx" presStyleIdx="3" presStyleCnt="4" custScaleX="105781" custScaleY="88315">
        <dgm:presLayoutVars>
          <dgm:chMax val="0"/>
          <dgm:chPref val="0"/>
          <dgm:bulletEnabled val="1"/>
        </dgm:presLayoutVars>
      </dgm:prSet>
      <dgm:spPr/>
    </dgm:pt>
    <dgm:pt modelId="{2F9989DF-8614-42F5-82C7-7D8D221BDE46}" type="pres">
      <dgm:prSet presAssocID="{8996ACE6-067A-4AE7-B6D7-5EE34401DE42}" presName="Parent" presStyleLbl="alignNode1" presStyleIdx="3" presStyleCnt="4" custScaleX="142506" custScaleY="88315">
        <dgm:presLayoutVars>
          <dgm:chMax val="3"/>
          <dgm:chPref val="3"/>
          <dgm:bulletEnabled val="1"/>
        </dgm:presLayoutVars>
      </dgm:prSet>
      <dgm:spPr/>
    </dgm:pt>
    <dgm:pt modelId="{5A795A44-9C23-4839-BD99-DA34FF627CF8}" type="pres">
      <dgm:prSet presAssocID="{8996ACE6-067A-4AE7-B6D7-5EE34401DE42}" presName="Accent" presStyleLbl="parChTrans1D1" presStyleIdx="3" presStyleCnt="4"/>
      <dgm:spPr/>
    </dgm:pt>
  </dgm:ptLst>
  <dgm:cxnLst>
    <dgm:cxn modelId="{D1F76F00-E60F-4FAA-99A0-45AC36E203B2}" type="presOf" srcId="{8996ACE6-067A-4AE7-B6D7-5EE34401DE42}" destId="{2F9989DF-8614-42F5-82C7-7D8D221BDE46}" srcOrd="0" destOrd="0" presId="urn:microsoft.com/office/officeart/2011/layout/TabList"/>
    <dgm:cxn modelId="{0A601006-D63E-4FA8-9EDB-80B4994466C8}" srcId="{AEE5AFA9-C694-438A-A882-96C3D5B1F025}" destId="{16D57D1F-D20C-40AA-9A7D-60571579C1AB}" srcOrd="0" destOrd="0" parTransId="{4006931B-FA60-4B04-A066-C54831E1B13B}" sibTransId="{D84F81EB-D25A-436F-B887-C4751B74E802}"/>
    <dgm:cxn modelId="{B5DB8D17-C4EB-4EB7-84BF-28F7170CDBE0}" type="presOf" srcId="{2BBC794C-F8A3-4BDB-A12F-C653A65C6AF6}" destId="{BF808485-9331-4561-B04D-C801F525C5CA}" srcOrd="0" destOrd="0" presId="urn:microsoft.com/office/officeart/2011/layout/TabList"/>
    <dgm:cxn modelId="{228FB143-4647-4862-8171-A639EE50DC70}" type="presOf" srcId="{4F36144C-2308-4E10-ACE5-ADAB5857EB7B}" destId="{C8DCFA60-CAD1-486B-BFD4-1B66BBED4976}" srcOrd="0" destOrd="0" presId="urn:microsoft.com/office/officeart/2011/layout/TabList"/>
    <dgm:cxn modelId="{A401186B-70D4-4FBA-9146-C0ABDB6E7720}" type="presOf" srcId="{5880C7E1-3849-4622-832A-307CECB970CD}" destId="{C4414B23-C296-4210-B1D0-E7E8B2A65DCA}" srcOrd="0" destOrd="0" presId="urn:microsoft.com/office/officeart/2011/layout/TabList"/>
    <dgm:cxn modelId="{0AB7A36D-94E7-489C-A535-E45E334AAC33}" srcId="{16D57D1F-D20C-40AA-9A7D-60571579C1AB}" destId="{2BBC794C-F8A3-4BDB-A12F-C653A65C6AF6}" srcOrd="0" destOrd="0" parTransId="{DE158DD1-554B-44F7-A7AF-6EFB41A88F76}" sibTransId="{FBDF1BED-BF31-4C84-8B24-0BD05BBDD6B4}"/>
    <dgm:cxn modelId="{A8B82355-9963-4480-A537-58014231D310}" srcId="{AEE5AFA9-C694-438A-A882-96C3D5B1F025}" destId="{8672CA23-88AC-4F48-A26C-AEBCDCC86C79}" srcOrd="1" destOrd="0" parTransId="{DD1B65C8-4743-4AE0-A3C2-C40D5168DAB5}" sibTransId="{1D7912AF-E5DB-4EBD-80A8-C450B311A8D7}"/>
    <dgm:cxn modelId="{DC1E987A-3F2D-44B9-A7BA-99907DB22977}" type="presOf" srcId="{AEE5AFA9-C694-438A-A882-96C3D5B1F025}" destId="{F341DFF7-61D4-4758-AF7F-941C1D252489}" srcOrd="0" destOrd="0" presId="urn:microsoft.com/office/officeart/2011/layout/TabList"/>
    <dgm:cxn modelId="{16B85684-F9FB-4D0C-8F5C-2DB6D0017E1C}" srcId="{8672CA23-88AC-4F48-A26C-AEBCDCC86C79}" destId="{4F36144C-2308-4E10-ACE5-ADAB5857EB7B}" srcOrd="0" destOrd="0" parTransId="{F0BADAB5-2B4D-4678-B71F-82DAD4BF7EE1}" sibTransId="{0E91A1E7-DD7C-4DCE-8794-D801BAF19314}"/>
    <dgm:cxn modelId="{7AF69C8B-11EC-4ADB-BCCA-66B13B87D676}" srcId="{AEE5AFA9-C694-438A-A882-96C3D5B1F025}" destId="{8996ACE6-067A-4AE7-B6D7-5EE34401DE42}" srcOrd="3" destOrd="0" parTransId="{1178299D-0A41-49BC-921C-3F1A87B6AC79}" sibTransId="{EF06789C-98A3-472B-A7B7-A57EA3FBA989}"/>
    <dgm:cxn modelId="{FBEC8BA5-48E1-461B-9A9E-B642F5BBF928}" type="presOf" srcId="{8672CA23-88AC-4F48-A26C-AEBCDCC86C79}" destId="{56BF853D-087F-4F00-A710-1CCDE2770D88}" srcOrd="0" destOrd="0" presId="urn:microsoft.com/office/officeart/2011/layout/TabList"/>
    <dgm:cxn modelId="{D37271B0-A0EC-42FF-9A3E-ADF4754A26F7}" type="presOf" srcId="{7E9658CB-5AF0-4A5A-87F0-B3A2FE0B10BB}" destId="{FD3F9FF9-D74B-4EE8-97F5-D87F64FE27D2}" srcOrd="0" destOrd="0" presId="urn:microsoft.com/office/officeart/2011/layout/TabList"/>
    <dgm:cxn modelId="{6C9C26B3-4F3D-4D3F-9012-58D66A229C25}" srcId="{5880C7E1-3849-4622-832A-307CECB970CD}" destId="{415D8400-EEB1-4670-BF24-07C44B82C6CC}" srcOrd="0" destOrd="0" parTransId="{83C0B5E4-24B8-4999-A501-7132783B62A9}" sibTransId="{3DAF742B-08D8-4114-918D-BCD6ED9241DA}"/>
    <dgm:cxn modelId="{FDA063B9-CAE0-4CD4-B8C3-D5BADC1DBFC2}" type="presOf" srcId="{16D57D1F-D20C-40AA-9A7D-60571579C1AB}" destId="{7B56D53A-0C53-4943-86B3-DA952206C6C2}" srcOrd="0" destOrd="0" presId="urn:microsoft.com/office/officeart/2011/layout/TabList"/>
    <dgm:cxn modelId="{ACC08DC9-E0D1-4D18-B46C-9B1BEEB8B2F6}" srcId="{AEE5AFA9-C694-438A-A882-96C3D5B1F025}" destId="{5880C7E1-3849-4622-832A-307CECB970CD}" srcOrd="2" destOrd="0" parTransId="{0119C7CC-9C4C-417C-B80B-C50C84A2F2D3}" sibTransId="{DEAD2A96-7F45-4800-BE57-E5BB17A6D2B5}"/>
    <dgm:cxn modelId="{E5007BD2-6111-4063-A2F3-27E7C8B6D83B}" srcId="{8996ACE6-067A-4AE7-B6D7-5EE34401DE42}" destId="{7E9658CB-5AF0-4A5A-87F0-B3A2FE0B10BB}" srcOrd="0" destOrd="0" parTransId="{CBA4CACF-4DC3-4509-BA28-63640BBBD277}" sibTransId="{D7D5F6F2-B325-4EAB-8785-C57E3A395C69}"/>
    <dgm:cxn modelId="{1B9AF3FF-76C9-490E-9CEC-0A7A31F3BAFE}" type="presOf" srcId="{415D8400-EEB1-4670-BF24-07C44B82C6CC}" destId="{B3175641-E3CE-44DE-85C0-396E986992CD}" srcOrd="0" destOrd="0" presId="urn:microsoft.com/office/officeart/2011/layout/TabList"/>
    <dgm:cxn modelId="{4F286DFC-ECDE-4E58-9E94-C5834C8ED3C9}" type="presParOf" srcId="{F341DFF7-61D4-4758-AF7F-941C1D252489}" destId="{3724C464-19EB-43B4-942F-6DF61A22F6A7}" srcOrd="0" destOrd="0" presId="urn:microsoft.com/office/officeart/2011/layout/TabList"/>
    <dgm:cxn modelId="{DC94B96E-0F9A-4362-A065-6AA2F737600B}" type="presParOf" srcId="{3724C464-19EB-43B4-942F-6DF61A22F6A7}" destId="{BF808485-9331-4561-B04D-C801F525C5CA}" srcOrd="0" destOrd="0" presId="urn:microsoft.com/office/officeart/2011/layout/TabList"/>
    <dgm:cxn modelId="{E3B8A20A-2AA2-4F82-A126-C97143856760}" type="presParOf" srcId="{3724C464-19EB-43B4-942F-6DF61A22F6A7}" destId="{7B56D53A-0C53-4943-86B3-DA952206C6C2}" srcOrd="1" destOrd="0" presId="urn:microsoft.com/office/officeart/2011/layout/TabList"/>
    <dgm:cxn modelId="{287AB239-5CF2-4289-9BF9-F6F26612765C}" type="presParOf" srcId="{3724C464-19EB-43B4-942F-6DF61A22F6A7}" destId="{A7C3B1AA-E560-43BB-8B8F-23CA73F16884}" srcOrd="2" destOrd="0" presId="urn:microsoft.com/office/officeart/2011/layout/TabList"/>
    <dgm:cxn modelId="{781A4347-2740-44B9-9E22-9460DCA46930}" type="presParOf" srcId="{F341DFF7-61D4-4758-AF7F-941C1D252489}" destId="{348CC552-CC43-48D7-96DC-A99C399212DF}" srcOrd="1" destOrd="0" presId="urn:microsoft.com/office/officeart/2011/layout/TabList"/>
    <dgm:cxn modelId="{9AC47789-E7A4-44A4-90E8-B39074FDBEB1}" type="presParOf" srcId="{F341DFF7-61D4-4758-AF7F-941C1D252489}" destId="{91F1E371-670E-4BC8-A6C7-7284CCEFB6E4}" srcOrd="2" destOrd="0" presId="urn:microsoft.com/office/officeart/2011/layout/TabList"/>
    <dgm:cxn modelId="{1691A491-714D-4980-8CC1-4001E36AB2FA}" type="presParOf" srcId="{91F1E371-670E-4BC8-A6C7-7284CCEFB6E4}" destId="{C8DCFA60-CAD1-486B-BFD4-1B66BBED4976}" srcOrd="0" destOrd="0" presId="urn:microsoft.com/office/officeart/2011/layout/TabList"/>
    <dgm:cxn modelId="{CC1B832D-9514-44A3-9667-4DC3F85B24E0}" type="presParOf" srcId="{91F1E371-670E-4BC8-A6C7-7284CCEFB6E4}" destId="{56BF853D-087F-4F00-A710-1CCDE2770D88}" srcOrd="1" destOrd="0" presId="urn:microsoft.com/office/officeart/2011/layout/TabList"/>
    <dgm:cxn modelId="{6557E025-468C-425E-B6AB-A3944555B9B4}" type="presParOf" srcId="{91F1E371-670E-4BC8-A6C7-7284CCEFB6E4}" destId="{E6A73850-CDCB-481E-AD4D-69300341ED77}" srcOrd="2" destOrd="0" presId="urn:microsoft.com/office/officeart/2011/layout/TabList"/>
    <dgm:cxn modelId="{4ADC09C3-8DE2-4C97-B62A-8C24D127F1FD}" type="presParOf" srcId="{F341DFF7-61D4-4758-AF7F-941C1D252489}" destId="{16C0FD52-89EB-4971-B9E1-E4E8556EBE3E}" srcOrd="3" destOrd="0" presId="urn:microsoft.com/office/officeart/2011/layout/TabList"/>
    <dgm:cxn modelId="{95F51F52-1828-40F6-AA51-6FD3EF337445}" type="presParOf" srcId="{F341DFF7-61D4-4758-AF7F-941C1D252489}" destId="{59B00564-A05F-4B74-B84F-437B738CAF5E}" srcOrd="4" destOrd="0" presId="urn:microsoft.com/office/officeart/2011/layout/TabList"/>
    <dgm:cxn modelId="{78BAF6DB-7596-4AC2-9C1C-13AE596749B3}" type="presParOf" srcId="{59B00564-A05F-4B74-B84F-437B738CAF5E}" destId="{B3175641-E3CE-44DE-85C0-396E986992CD}" srcOrd="0" destOrd="0" presId="urn:microsoft.com/office/officeart/2011/layout/TabList"/>
    <dgm:cxn modelId="{F16379FE-285F-46E5-AC6E-A0CBEBE8B990}" type="presParOf" srcId="{59B00564-A05F-4B74-B84F-437B738CAF5E}" destId="{C4414B23-C296-4210-B1D0-E7E8B2A65DCA}" srcOrd="1" destOrd="0" presId="urn:microsoft.com/office/officeart/2011/layout/TabList"/>
    <dgm:cxn modelId="{AA2FB8F1-771F-4E91-A46C-DA034E8F0057}" type="presParOf" srcId="{59B00564-A05F-4B74-B84F-437B738CAF5E}" destId="{3466C2F1-E1A5-411A-B82A-EC791DB3A61D}" srcOrd="2" destOrd="0" presId="urn:microsoft.com/office/officeart/2011/layout/TabList"/>
    <dgm:cxn modelId="{A244F2B2-AC5D-4114-B4F1-EC8FA80FCF81}" type="presParOf" srcId="{F341DFF7-61D4-4758-AF7F-941C1D252489}" destId="{B4655581-294E-4B02-8082-73B4C1FF20CC}" srcOrd="5" destOrd="0" presId="urn:microsoft.com/office/officeart/2011/layout/TabList"/>
    <dgm:cxn modelId="{EC7AAF93-AA18-43EE-9100-21F12DA80C4C}" type="presParOf" srcId="{F341DFF7-61D4-4758-AF7F-941C1D252489}" destId="{DFBBDFDB-6733-4F4E-9121-F2C4AE534379}" srcOrd="6" destOrd="0" presId="urn:microsoft.com/office/officeart/2011/layout/TabList"/>
    <dgm:cxn modelId="{57C06E0F-CE56-4DC1-8646-C4089A602CE8}" type="presParOf" srcId="{DFBBDFDB-6733-4F4E-9121-F2C4AE534379}" destId="{FD3F9FF9-D74B-4EE8-97F5-D87F64FE27D2}" srcOrd="0" destOrd="0" presId="urn:microsoft.com/office/officeart/2011/layout/TabList"/>
    <dgm:cxn modelId="{83C0315F-5549-4832-8F73-354319860EAD}" type="presParOf" srcId="{DFBBDFDB-6733-4F4E-9121-F2C4AE534379}" destId="{2F9989DF-8614-42F5-82C7-7D8D221BDE46}" srcOrd="1" destOrd="0" presId="urn:microsoft.com/office/officeart/2011/layout/TabList"/>
    <dgm:cxn modelId="{B983AA1B-A2F0-4226-8BE1-CA6CDC85828A}" type="presParOf" srcId="{DFBBDFDB-6733-4F4E-9121-F2C4AE534379}" destId="{5A795A44-9C23-4839-BD99-DA34FF627CF8}" srcOrd="2" destOrd="0" presId="urn:microsoft.com/office/officeart/2011/layout/TabLis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82122CE-4464-4B5B-A524-A3225DB3A0E3}" type="doc">
      <dgm:prSet loTypeId="urn:microsoft.com/office/officeart/2008/layout/LinedList" loCatId="list" qsTypeId="urn:microsoft.com/office/officeart/2005/8/quickstyle/simple1" qsCatId="simple" csTypeId="urn:microsoft.com/office/officeart/2005/8/colors/colorful5" csCatId="colorful" phldr="1"/>
      <dgm:spPr/>
      <dgm:t>
        <a:bodyPr/>
        <a:lstStyle/>
        <a:p>
          <a:endParaRPr lang="en-US"/>
        </a:p>
      </dgm:t>
    </dgm:pt>
    <dgm:pt modelId="{CB518654-7620-4314-B5D2-DCB812847324}">
      <dgm:prSet phldrT="[Text]" custT="1"/>
      <dgm:spPr/>
      <dgm:t>
        <a:bodyPr/>
        <a:lstStyle/>
        <a:p>
          <a:pPr algn="ctr">
            <a:buNone/>
          </a:pPr>
          <a:r>
            <a:rPr lang="en-US" sz="1200">
              <a:latin typeface="Times New Roman" panose="02020603050405020304" pitchFamily="18" charset="0"/>
              <a:cs typeface="Times New Roman" panose="02020603050405020304" pitchFamily="18" charset="0"/>
            </a:rPr>
            <a:t>California (US)</a:t>
          </a:r>
        </a:p>
      </dgm:t>
    </dgm:pt>
    <dgm:pt modelId="{099C138F-0408-46E6-8E09-ED14C284871D}" type="parTrans" cxnId="{C9C9F663-DD2A-434F-80DA-6FFA5EB75C89}">
      <dgm:prSet/>
      <dgm:spPr/>
      <dgm:t>
        <a:bodyPr/>
        <a:lstStyle/>
        <a:p>
          <a:endParaRPr lang="en-US"/>
        </a:p>
      </dgm:t>
    </dgm:pt>
    <dgm:pt modelId="{30B023A9-ACAF-49EA-9C62-2C69F246DCB4}" type="sibTrans" cxnId="{C9C9F663-DD2A-434F-80DA-6FFA5EB75C89}">
      <dgm:prSet/>
      <dgm:spPr/>
      <dgm:t>
        <a:bodyPr/>
        <a:lstStyle/>
        <a:p>
          <a:endParaRPr lang="en-US"/>
        </a:p>
      </dgm:t>
    </dgm:pt>
    <dgm:pt modelId="{9AC2237B-97C1-45EF-9CFB-CD24CF9958B6}">
      <dgm:prSet custT="1"/>
      <dgm:spPr/>
      <dgm:t>
        <a:bodyPr/>
        <a:lstStyle/>
        <a:p>
          <a:pPr algn="ctr">
            <a:buNone/>
          </a:pPr>
          <a:r>
            <a:rPr lang="en-US" sz="1200">
              <a:latin typeface="Times New Roman" panose="02020603050405020304" pitchFamily="18" charset="0"/>
              <a:cs typeface="Times New Roman" panose="02020603050405020304" pitchFamily="18" charset="0"/>
            </a:rPr>
            <a:t>Share of Regional Sales: 28–32%</a:t>
          </a:r>
        </a:p>
      </dgm:t>
    </dgm:pt>
    <dgm:pt modelId="{F1CBCD6A-7D68-45BE-B08A-F4AC6A678C64}" type="parTrans" cxnId="{D7AB9737-6FB9-4413-8DD6-899E6028FA99}">
      <dgm:prSet/>
      <dgm:spPr/>
      <dgm:t>
        <a:bodyPr/>
        <a:lstStyle/>
        <a:p>
          <a:endParaRPr lang="en-US"/>
        </a:p>
      </dgm:t>
    </dgm:pt>
    <dgm:pt modelId="{69EB23E7-0E19-43DA-81A9-C57F81BA644D}" type="sibTrans" cxnId="{D7AB9737-6FB9-4413-8DD6-899E6028FA99}">
      <dgm:prSet/>
      <dgm:spPr/>
      <dgm:t>
        <a:bodyPr/>
        <a:lstStyle/>
        <a:p>
          <a:endParaRPr lang="en-US"/>
        </a:p>
      </dgm:t>
    </dgm:pt>
    <dgm:pt modelId="{C8710F64-E779-4526-8150-38B25EBA350B}">
      <dgm:prSet custT="1"/>
      <dgm:spPr/>
      <dgm:t>
        <a:bodyPr/>
        <a:lstStyle/>
        <a:p>
          <a:pPr algn="ctr">
            <a:buNone/>
          </a:pPr>
          <a:r>
            <a:rPr lang="en-US" sz="1200">
              <a:latin typeface="Times New Roman" panose="02020603050405020304" pitchFamily="18" charset="0"/>
              <a:cs typeface="Times New Roman" panose="02020603050405020304" pitchFamily="18" charset="0"/>
            </a:rPr>
            <a:t>Germany &amp; Norway (EU)</a:t>
          </a:r>
        </a:p>
      </dgm:t>
    </dgm:pt>
    <dgm:pt modelId="{05A330BB-67AC-4B6B-91EB-B39E1A368AFE}" type="parTrans" cxnId="{24652155-0053-4EC5-967A-99BC0AB31B82}">
      <dgm:prSet/>
      <dgm:spPr/>
      <dgm:t>
        <a:bodyPr/>
        <a:lstStyle/>
        <a:p>
          <a:endParaRPr lang="en-US"/>
        </a:p>
      </dgm:t>
    </dgm:pt>
    <dgm:pt modelId="{5446C9BF-104A-4DC2-84BE-60B264CE362B}" type="sibTrans" cxnId="{24652155-0053-4EC5-967A-99BC0AB31B82}">
      <dgm:prSet/>
      <dgm:spPr/>
      <dgm:t>
        <a:bodyPr/>
        <a:lstStyle/>
        <a:p>
          <a:endParaRPr lang="en-US"/>
        </a:p>
      </dgm:t>
    </dgm:pt>
    <dgm:pt modelId="{E64AE1AF-6660-4C96-817F-8B86BCC88E70}">
      <dgm:prSet custT="1"/>
      <dgm:spPr/>
      <dgm:t>
        <a:bodyPr/>
        <a:lstStyle/>
        <a:p>
          <a:pPr algn="ctr">
            <a:buNone/>
          </a:pPr>
          <a:r>
            <a:rPr lang="en-US" sz="1200">
              <a:latin typeface="Times New Roman" panose="02020603050405020304" pitchFamily="18" charset="0"/>
              <a:cs typeface="Times New Roman" panose="02020603050405020304" pitchFamily="18" charset="0"/>
            </a:rPr>
            <a:t>Share of Regional Sales: ~45%</a:t>
          </a:r>
        </a:p>
      </dgm:t>
    </dgm:pt>
    <dgm:pt modelId="{0C72F8D9-07AC-4D33-9568-DFF72068CA3D}" type="parTrans" cxnId="{72A5D7D8-94A0-4F37-A1AD-FAB3ADFD2287}">
      <dgm:prSet/>
      <dgm:spPr/>
      <dgm:t>
        <a:bodyPr/>
        <a:lstStyle/>
        <a:p>
          <a:endParaRPr lang="en-US"/>
        </a:p>
      </dgm:t>
    </dgm:pt>
    <dgm:pt modelId="{51E520E3-5DFF-4FB2-BD6C-D53FC94122A6}" type="sibTrans" cxnId="{72A5D7D8-94A0-4F37-A1AD-FAB3ADFD2287}">
      <dgm:prSet/>
      <dgm:spPr/>
      <dgm:t>
        <a:bodyPr/>
        <a:lstStyle/>
        <a:p>
          <a:endParaRPr lang="en-US"/>
        </a:p>
      </dgm:t>
    </dgm:pt>
    <dgm:pt modelId="{6973A52F-DA4C-4EA3-8180-4BE4E568956E}">
      <dgm:prSet custT="1"/>
      <dgm:spPr/>
      <dgm:t>
        <a:bodyPr/>
        <a:lstStyle/>
        <a:p>
          <a:pPr algn="ctr">
            <a:buNone/>
          </a:pPr>
          <a:r>
            <a:rPr lang="en-US" sz="1200">
              <a:latin typeface="Times New Roman" panose="02020603050405020304" pitchFamily="18" charset="0"/>
              <a:cs typeface="Times New Roman" panose="02020603050405020304" pitchFamily="18" charset="0"/>
            </a:rPr>
            <a:t>Population Share: ~15%	</a:t>
          </a:r>
        </a:p>
      </dgm:t>
    </dgm:pt>
    <dgm:pt modelId="{564AB4D4-95F3-4378-9FBD-23ED52A0628D}" type="parTrans" cxnId="{9116A7F0-3CCC-4C50-AEF4-552A4D8B8FF3}">
      <dgm:prSet/>
      <dgm:spPr/>
      <dgm:t>
        <a:bodyPr/>
        <a:lstStyle/>
        <a:p>
          <a:endParaRPr lang="en-US"/>
        </a:p>
      </dgm:t>
    </dgm:pt>
    <dgm:pt modelId="{FF74811B-BE29-412C-9041-DA82E90B796C}" type="sibTrans" cxnId="{9116A7F0-3CCC-4C50-AEF4-552A4D8B8FF3}">
      <dgm:prSet/>
      <dgm:spPr/>
      <dgm:t>
        <a:bodyPr/>
        <a:lstStyle/>
        <a:p>
          <a:endParaRPr lang="en-US"/>
        </a:p>
      </dgm:t>
    </dgm:pt>
    <dgm:pt modelId="{8BD5893C-4D8C-4209-B172-8BBD467716F6}">
      <dgm:prSet custT="1"/>
      <dgm:spPr/>
      <dgm:t>
        <a:bodyPr/>
        <a:lstStyle/>
        <a:p>
          <a:pPr algn="ctr">
            <a:buNone/>
          </a:pPr>
          <a:r>
            <a:rPr lang="en-US" sz="1200">
              <a:latin typeface="Times New Roman" panose="02020603050405020304" pitchFamily="18" charset="0"/>
              <a:cs typeface="Times New Roman" panose="02020603050405020304" pitchFamily="18" charset="0"/>
            </a:rPr>
            <a:t>India</a:t>
          </a:r>
        </a:p>
      </dgm:t>
    </dgm:pt>
    <dgm:pt modelId="{3FC0F98D-0877-4447-B356-5CF60F323231}" type="parTrans" cxnId="{0C4A3129-F7AC-4E21-989C-9300F2A29344}">
      <dgm:prSet/>
      <dgm:spPr/>
      <dgm:t>
        <a:bodyPr/>
        <a:lstStyle/>
        <a:p>
          <a:endParaRPr lang="en-US"/>
        </a:p>
      </dgm:t>
    </dgm:pt>
    <dgm:pt modelId="{438AD922-2436-4342-BB34-48705693D9A4}" type="sibTrans" cxnId="{0C4A3129-F7AC-4E21-989C-9300F2A29344}">
      <dgm:prSet/>
      <dgm:spPr/>
      <dgm:t>
        <a:bodyPr/>
        <a:lstStyle/>
        <a:p>
          <a:endParaRPr lang="en-US"/>
        </a:p>
      </dgm:t>
    </dgm:pt>
    <dgm:pt modelId="{0743A785-3679-41EE-AF6E-4A18858C0937}">
      <dgm:prSet custT="1"/>
      <dgm:spPr/>
      <dgm:t>
        <a:bodyPr/>
        <a:lstStyle/>
        <a:p>
          <a:pPr algn="ctr">
            <a:buNone/>
          </a:pPr>
          <a:r>
            <a:rPr lang="en-US" sz="1200">
              <a:latin typeface="Times New Roman" panose="02020603050405020304" pitchFamily="18" charset="0"/>
              <a:cs typeface="Times New Roman" panose="02020603050405020304" pitchFamily="18" charset="0"/>
            </a:rPr>
            <a:t>Share of Regional Sales: 0.2%</a:t>
          </a:r>
        </a:p>
      </dgm:t>
    </dgm:pt>
    <dgm:pt modelId="{CFA72301-938B-4898-AEA6-4385516CF14F}" type="parTrans" cxnId="{6F14B537-7C03-4F76-9AF9-B9B7DFF37845}">
      <dgm:prSet/>
      <dgm:spPr/>
      <dgm:t>
        <a:bodyPr/>
        <a:lstStyle/>
        <a:p>
          <a:endParaRPr lang="en-US"/>
        </a:p>
      </dgm:t>
    </dgm:pt>
    <dgm:pt modelId="{ED2A18BF-4E95-498B-9858-AF95263F67B2}" type="sibTrans" cxnId="{6F14B537-7C03-4F76-9AF9-B9B7DFF37845}">
      <dgm:prSet/>
      <dgm:spPr/>
      <dgm:t>
        <a:bodyPr/>
        <a:lstStyle/>
        <a:p>
          <a:endParaRPr lang="en-US"/>
        </a:p>
      </dgm:t>
    </dgm:pt>
    <dgm:pt modelId="{C4AF8472-B990-4268-BEBF-0C70002E6BFC}">
      <dgm:prSet custT="1"/>
      <dgm:spPr/>
      <dgm:t>
        <a:bodyPr/>
        <a:lstStyle/>
        <a:p>
          <a:pPr algn="ctr">
            <a:buNone/>
          </a:pPr>
          <a:r>
            <a:rPr lang="en-US" sz="1200">
              <a:latin typeface="Times New Roman" panose="02020603050405020304" pitchFamily="18" charset="0"/>
              <a:cs typeface="Times New Roman" panose="02020603050405020304" pitchFamily="18" charset="0"/>
            </a:rPr>
            <a:t>Population Share: High-growth	</a:t>
          </a:r>
        </a:p>
      </dgm:t>
    </dgm:pt>
    <dgm:pt modelId="{D9C7A1F7-E4E7-4BD8-BC88-E032022CCF27}" type="parTrans" cxnId="{153C0C31-7BCA-470E-A53E-17135B5495DE}">
      <dgm:prSet/>
      <dgm:spPr/>
      <dgm:t>
        <a:bodyPr/>
        <a:lstStyle/>
        <a:p>
          <a:endParaRPr lang="en-US"/>
        </a:p>
      </dgm:t>
    </dgm:pt>
    <dgm:pt modelId="{7D0C92B4-CA7A-48F7-9390-0A76E67E6FEB}" type="sibTrans" cxnId="{153C0C31-7BCA-470E-A53E-17135B5495DE}">
      <dgm:prSet/>
      <dgm:spPr/>
      <dgm:t>
        <a:bodyPr/>
        <a:lstStyle/>
        <a:p>
          <a:endParaRPr lang="en-US"/>
        </a:p>
      </dgm:t>
    </dgm:pt>
    <dgm:pt modelId="{E062B8DB-9869-4680-BC51-421899058CA5}">
      <dgm:prSet custT="1"/>
      <dgm:spPr/>
      <dgm:t>
        <a:bodyPr/>
        <a:lstStyle/>
        <a:p>
          <a:pPr algn="ctr">
            <a:buNone/>
          </a:pPr>
          <a:r>
            <a:rPr lang="en-US" sz="1200">
              <a:latin typeface="Times New Roman" panose="02020603050405020304" pitchFamily="18" charset="0"/>
              <a:cs typeface="Times New Roman" panose="02020603050405020304" pitchFamily="18" charset="0"/>
            </a:rPr>
            <a:t>Indonesia</a:t>
          </a:r>
        </a:p>
      </dgm:t>
    </dgm:pt>
    <dgm:pt modelId="{606D6569-AB64-47C0-ABD0-41F2C8DB03F1}" type="parTrans" cxnId="{43A96695-4235-434F-877B-C5469BB168D9}">
      <dgm:prSet/>
      <dgm:spPr/>
      <dgm:t>
        <a:bodyPr/>
        <a:lstStyle/>
        <a:p>
          <a:endParaRPr lang="en-US"/>
        </a:p>
      </dgm:t>
    </dgm:pt>
    <dgm:pt modelId="{0EC06963-4DD1-4878-B16A-543C88F07F83}" type="sibTrans" cxnId="{43A96695-4235-434F-877B-C5469BB168D9}">
      <dgm:prSet/>
      <dgm:spPr/>
      <dgm:t>
        <a:bodyPr/>
        <a:lstStyle/>
        <a:p>
          <a:endParaRPr lang="en-US"/>
        </a:p>
      </dgm:t>
    </dgm:pt>
    <dgm:pt modelId="{227AB9F8-C209-4552-8CE1-DD42341EA451}">
      <dgm:prSet custT="1"/>
      <dgm:spPr/>
      <dgm:t>
        <a:bodyPr/>
        <a:lstStyle/>
        <a:p>
          <a:pPr algn="ctr">
            <a:buNone/>
          </a:pPr>
          <a:r>
            <a:rPr lang="en-US" sz="1200">
              <a:latin typeface="Times New Roman" panose="02020603050405020304" pitchFamily="18" charset="0"/>
              <a:cs typeface="Times New Roman" panose="02020603050405020304" pitchFamily="18" charset="0"/>
            </a:rPr>
            <a:t>Share of Regional Sales: 0.1%</a:t>
          </a:r>
        </a:p>
      </dgm:t>
    </dgm:pt>
    <dgm:pt modelId="{D1DFD4F2-3179-4A60-8C1A-EF82DB70DE56}" type="parTrans" cxnId="{47A122E7-ECE1-4080-B875-2302D678FE38}">
      <dgm:prSet/>
      <dgm:spPr/>
      <dgm:t>
        <a:bodyPr/>
        <a:lstStyle/>
        <a:p>
          <a:endParaRPr lang="en-US"/>
        </a:p>
      </dgm:t>
    </dgm:pt>
    <dgm:pt modelId="{8050BBC2-E088-48ED-B784-0E8CB8020077}" type="sibTrans" cxnId="{47A122E7-ECE1-4080-B875-2302D678FE38}">
      <dgm:prSet/>
      <dgm:spPr/>
      <dgm:t>
        <a:bodyPr/>
        <a:lstStyle/>
        <a:p>
          <a:endParaRPr lang="en-US"/>
        </a:p>
      </dgm:t>
    </dgm:pt>
    <dgm:pt modelId="{62C61D1F-BBBC-47E7-B9DA-2A941B05E33E}">
      <dgm:prSet custT="1"/>
      <dgm:spPr/>
      <dgm:t>
        <a:bodyPr/>
        <a:lstStyle/>
        <a:p>
          <a:pPr algn="ctr">
            <a:buNone/>
          </a:pPr>
          <a:r>
            <a:rPr lang="en-US" sz="1200">
              <a:latin typeface="Times New Roman" panose="02020603050405020304" pitchFamily="18" charset="0"/>
              <a:cs typeface="Times New Roman" panose="02020603050405020304" pitchFamily="18" charset="0"/>
            </a:rPr>
            <a:t>Population Share: High-growth</a:t>
          </a:r>
        </a:p>
      </dgm:t>
    </dgm:pt>
    <dgm:pt modelId="{96199AD9-C2FF-4ABB-80A4-FC8F417FB22A}" type="parTrans" cxnId="{D59D91E7-B697-4632-987E-0820D2265106}">
      <dgm:prSet/>
      <dgm:spPr/>
      <dgm:t>
        <a:bodyPr/>
        <a:lstStyle/>
        <a:p>
          <a:endParaRPr lang="en-US"/>
        </a:p>
      </dgm:t>
    </dgm:pt>
    <dgm:pt modelId="{7EE0890C-7625-4DB8-9371-5D5045C2C4E2}" type="sibTrans" cxnId="{D59D91E7-B697-4632-987E-0820D2265106}">
      <dgm:prSet/>
      <dgm:spPr/>
      <dgm:t>
        <a:bodyPr/>
        <a:lstStyle/>
        <a:p>
          <a:endParaRPr lang="en-US"/>
        </a:p>
      </dgm:t>
    </dgm:pt>
    <dgm:pt modelId="{8F692F65-5D28-4BED-86FC-2E73D8446DB0}">
      <dgm:prSet custT="1"/>
      <dgm:spPr/>
      <dgm:t>
        <a:bodyPr/>
        <a:lstStyle/>
        <a:p>
          <a:pPr algn="ctr">
            <a:buNone/>
          </a:pPr>
          <a:r>
            <a:rPr lang="en-US" sz="1200">
              <a:latin typeface="Times New Roman" panose="02020603050405020304" pitchFamily="18" charset="0"/>
              <a:cs typeface="Times New Roman" panose="02020603050405020304" pitchFamily="18" charset="0"/>
            </a:rPr>
            <a:t>Population Share: ~12%	</a:t>
          </a:r>
        </a:p>
      </dgm:t>
    </dgm:pt>
    <dgm:pt modelId="{D7955E18-16BD-4E79-9E2F-F6CA81B57D67}" type="sibTrans" cxnId="{B976BAA5-D7C3-4A1C-826A-56FD8389FB96}">
      <dgm:prSet/>
      <dgm:spPr/>
      <dgm:t>
        <a:bodyPr/>
        <a:lstStyle/>
        <a:p>
          <a:endParaRPr lang="en-US"/>
        </a:p>
      </dgm:t>
    </dgm:pt>
    <dgm:pt modelId="{D4D1440A-9D07-4F14-9546-50ACAAB61219}" type="parTrans" cxnId="{B976BAA5-D7C3-4A1C-826A-56FD8389FB96}">
      <dgm:prSet/>
      <dgm:spPr/>
      <dgm:t>
        <a:bodyPr/>
        <a:lstStyle/>
        <a:p>
          <a:endParaRPr lang="en-US"/>
        </a:p>
      </dgm:t>
    </dgm:pt>
    <dgm:pt modelId="{B1B744FE-E585-4D51-BD66-A431DAF708A7}" type="pres">
      <dgm:prSet presAssocID="{782122CE-4464-4B5B-A524-A3225DB3A0E3}" presName="vert0" presStyleCnt="0">
        <dgm:presLayoutVars>
          <dgm:dir/>
          <dgm:animOne val="branch"/>
          <dgm:animLvl val="lvl"/>
        </dgm:presLayoutVars>
      </dgm:prSet>
      <dgm:spPr/>
    </dgm:pt>
    <dgm:pt modelId="{02CADC6D-4128-45CA-A602-A9210A8F215F}" type="pres">
      <dgm:prSet presAssocID="{CB518654-7620-4314-B5D2-DCB812847324}" presName="thickLine" presStyleLbl="alignNode1" presStyleIdx="0" presStyleCnt="4"/>
      <dgm:spPr/>
    </dgm:pt>
    <dgm:pt modelId="{60B2938B-5A96-4E5D-91EA-5476FC4032F5}" type="pres">
      <dgm:prSet presAssocID="{CB518654-7620-4314-B5D2-DCB812847324}" presName="horz1" presStyleCnt="0"/>
      <dgm:spPr/>
    </dgm:pt>
    <dgm:pt modelId="{D3B052B7-293E-4C4A-A164-8F886DD67635}" type="pres">
      <dgm:prSet presAssocID="{CB518654-7620-4314-B5D2-DCB812847324}" presName="tx1" presStyleLbl="revTx" presStyleIdx="0" presStyleCnt="12" custScaleX="239994"/>
      <dgm:spPr/>
    </dgm:pt>
    <dgm:pt modelId="{25F4A03C-6CF4-4FEA-90C5-1449477E9570}" type="pres">
      <dgm:prSet presAssocID="{CB518654-7620-4314-B5D2-DCB812847324}" presName="vert1" presStyleCnt="0"/>
      <dgm:spPr/>
    </dgm:pt>
    <dgm:pt modelId="{7CF332C5-AC3B-49E9-9F3C-68B1288BCC1F}" type="pres">
      <dgm:prSet presAssocID="{9AC2237B-97C1-45EF-9CFB-CD24CF9958B6}" presName="vertSpace2a" presStyleCnt="0"/>
      <dgm:spPr/>
    </dgm:pt>
    <dgm:pt modelId="{A68DB7F3-9013-495B-89ED-1FAD8033B5BB}" type="pres">
      <dgm:prSet presAssocID="{9AC2237B-97C1-45EF-9CFB-CD24CF9958B6}" presName="horz2" presStyleCnt="0"/>
      <dgm:spPr/>
    </dgm:pt>
    <dgm:pt modelId="{C6C54D8F-8B4F-45BA-835F-D2D45D3AC999}" type="pres">
      <dgm:prSet presAssocID="{9AC2237B-97C1-45EF-9CFB-CD24CF9958B6}" presName="horzSpace2" presStyleCnt="0"/>
      <dgm:spPr/>
    </dgm:pt>
    <dgm:pt modelId="{C1AF3AF2-3A72-46DD-94CD-25428F8DC4F1}" type="pres">
      <dgm:prSet presAssocID="{9AC2237B-97C1-45EF-9CFB-CD24CF9958B6}" presName="tx2" presStyleLbl="revTx" presStyleIdx="1" presStyleCnt="12" custScaleX="169325"/>
      <dgm:spPr/>
    </dgm:pt>
    <dgm:pt modelId="{12FE47DF-A902-4A0E-BD0E-5215EA663526}" type="pres">
      <dgm:prSet presAssocID="{9AC2237B-97C1-45EF-9CFB-CD24CF9958B6}" presName="vert2" presStyleCnt="0"/>
      <dgm:spPr/>
    </dgm:pt>
    <dgm:pt modelId="{B3B6806B-26C8-480E-9000-24C0DA8EF8A9}" type="pres">
      <dgm:prSet presAssocID="{9AC2237B-97C1-45EF-9CFB-CD24CF9958B6}" presName="thinLine2b" presStyleLbl="callout" presStyleIdx="0" presStyleCnt="8"/>
      <dgm:spPr/>
    </dgm:pt>
    <dgm:pt modelId="{A7A7AAEB-41C8-4F14-98F6-AB7C27B98396}" type="pres">
      <dgm:prSet presAssocID="{9AC2237B-97C1-45EF-9CFB-CD24CF9958B6}" presName="vertSpace2b" presStyleCnt="0"/>
      <dgm:spPr/>
    </dgm:pt>
    <dgm:pt modelId="{343A2A0C-517C-4837-AF78-29FFE0523810}" type="pres">
      <dgm:prSet presAssocID="{8F692F65-5D28-4BED-86FC-2E73D8446DB0}" presName="horz2" presStyleCnt="0"/>
      <dgm:spPr/>
    </dgm:pt>
    <dgm:pt modelId="{9C9C6370-2DB4-4695-9914-AB69BCF920A8}" type="pres">
      <dgm:prSet presAssocID="{8F692F65-5D28-4BED-86FC-2E73D8446DB0}" presName="horzSpace2" presStyleCnt="0"/>
      <dgm:spPr/>
    </dgm:pt>
    <dgm:pt modelId="{ACD73A49-CBFB-4047-B9AD-41B339F2BB4E}" type="pres">
      <dgm:prSet presAssocID="{8F692F65-5D28-4BED-86FC-2E73D8446DB0}" presName="tx2" presStyleLbl="revTx" presStyleIdx="2" presStyleCnt="12" custScaleX="169325"/>
      <dgm:spPr/>
    </dgm:pt>
    <dgm:pt modelId="{BF56CD92-30F8-4A64-B939-0F36019FD40C}" type="pres">
      <dgm:prSet presAssocID="{8F692F65-5D28-4BED-86FC-2E73D8446DB0}" presName="vert2" presStyleCnt="0"/>
      <dgm:spPr/>
    </dgm:pt>
    <dgm:pt modelId="{5BC70094-074E-4BBD-A697-C0C80F5B37FD}" type="pres">
      <dgm:prSet presAssocID="{8F692F65-5D28-4BED-86FC-2E73D8446DB0}" presName="thinLine2b" presStyleLbl="callout" presStyleIdx="1" presStyleCnt="8"/>
      <dgm:spPr/>
    </dgm:pt>
    <dgm:pt modelId="{EB86A5F1-6547-41AA-9840-3B96C9F28778}" type="pres">
      <dgm:prSet presAssocID="{8F692F65-5D28-4BED-86FC-2E73D8446DB0}" presName="vertSpace2b" presStyleCnt="0"/>
      <dgm:spPr/>
    </dgm:pt>
    <dgm:pt modelId="{C52F3987-8544-420B-B04E-9C9A9EB8BE74}" type="pres">
      <dgm:prSet presAssocID="{C8710F64-E779-4526-8150-38B25EBA350B}" presName="thickLine" presStyleLbl="alignNode1" presStyleIdx="1" presStyleCnt="4"/>
      <dgm:spPr/>
    </dgm:pt>
    <dgm:pt modelId="{3296D3DC-67FD-4EA0-8828-833500097BB0}" type="pres">
      <dgm:prSet presAssocID="{C8710F64-E779-4526-8150-38B25EBA350B}" presName="horz1" presStyleCnt="0"/>
      <dgm:spPr/>
    </dgm:pt>
    <dgm:pt modelId="{D5C5FB52-45AC-4C5D-8754-EF1189C2A094}" type="pres">
      <dgm:prSet presAssocID="{C8710F64-E779-4526-8150-38B25EBA350B}" presName="tx1" presStyleLbl="revTx" presStyleIdx="3" presStyleCnt="12" custScaleX="239994"/>
      <dgm:spPr/>
    </dgm:pt>
    <dgm:pt modelId="{30A96AAC-1A3B-4088-8024-A285571685A4}" type="pres">
      <dgm:prSet presAssocID="{C8710F64-E779-4526-8150-38B25EBA350B}" presName="vert1" presStyleCnt="0"/>
      <dgm:spPr/>
    </dgm:pt>
    <dgm:pt modelId="{91F788A9-455B-4975-9EE3-C0C1F162B92B}" type="pres">
      <dgm:prSet presAssocID="{E64AE1AF-6660-4C96-817F-8B86BCC88E70}" presName="vertSpace2a" presStyleCnt="0"/>
      <dgm:spPr/>
    </dgm:pt>
    <dgm:pt modelId="{D7C2A155-F983-4951-9969-1D52339729CC}" type="pres">
      <dgm:prSet presAssocID="{E64AE1AF-6660-4C96-817F-8B86BCC88E70}" presName="horz2" presStyleCnt="0"/>
      <dgm:spPr/>
    </dgm:pt>
    <dgm:pt modelId="{B6A2B83E-3A27-41E2-AE59-D1D7589427F9}" type="pres">
      <dgm:prSet presAssocID="{E64AE1AF-6660-4C96-817F-8B86BCC88E70}" presName="horzSpace2" presStyleCnt="0"/>
      <dgm:spPr/>
    </dgm:pt>
    <dgm:pt modelId="{6FEC0258-5226-4D79-87C4-39820531FD53}" type="pres">
      <dgm:prSet presAssocID="{E64AE1AF-6660-4C96-817F-8B86BCC88E70}" presName="tx2" presStyleLbl="revTx" presStyleIdx="4" presStyleCnt="12" custScaleX="169325"/>
      <dgm:spPr/>
    </dgm:pt>
    <dgm:pt modelId="{CC96ACD0-1F58-46ED-9C1A-79844205ED5A}" type="pres">
      <dgm:prSet presAssocID="{E64AE1AF-6660-4C96-817F-8B86BCC88E70}" presName="vert2" presStyleCnt="0"/>
      <dgm:spPr/>
    </dgm:pt>
    <dgm:pt modelId="{0D93D126-1D78-4207-9773-8CE22EDA30AF}" type="pres">
      <dgm:prSet presAssocID="{E64AE1AF-6660-4C96-817F-8B86BCC88E70}" presName="thinLine2b" presStyleLbl="callout" presStyleIdx="2" presStyleCnt="8"/>
      <dgm:spPr/>
    </dgm:pt>
    <dgm:pt modelId="{1055810B-8A3A-42C9-95CA-46063182A341}" type="pres">
      <dgm:prSet presAssocID="{E64AE1AF-6660-4C96-817F-8B86BCC88E70}" presName="vertSpace2b" presStyleCnt="0"/>
      <dgm:spPr/>
    </dgm:pt>
    <dgm:pt modelId="{4FB9F275-3F1D-459F-96C1-B84FAFFEC3CA}" type="pres">
      <dgm:prSet presAssocID="{6973A52F-DA4C-4EA3-8180-4BE4E568956E}" presName="horz2" presStyleCnt="0"/>
      <dgm:spPr/>
    </dgm:pt>
    <dgm:pt modelId="{9255A4A7-4904-4147-A350-DF698E22F3AD}" type="pres">
      <dgm:prSet presAssocID="{6973A52F-DA4C-4EA3-8180-4BE4E568956E}" presName="horzSpace2" presStyleCnt="0"/>
      <dgm:spPr/>
    </dgm:pt>
    <dgm:pt modelId="{BD234A96-14E3-4143-A411-DB603BF93BF2}" type="pres">
      <dgm:prSet presAssocID="{6973A52F-DA4C-4EA3-8180-4BE4E568956E}" presName="tx2" presStyleLbl="revTx" presStyleIdx="5" presStyleCnt="12" custScaleX="169325"/>
      <dgm:spPr/>
    </dgm:pt>
    <dgm:pt modelId="{D5A761B4-9C90-424D-96F1-7A312984F1DE}" type="pres">
      <dgm:prSet presAssocID="{6973A52F-DA4C-4EA3-8180-4BE4E568956E}" presName="vert2" presStyleCnt="0"/>
      <dgm:spPr/>
    </dgm:pt>
    <dgm:pt modelId="{EA65866C-0350-492C-BCEF-E1B7AB2479DF}" type="pres">
      <dgm:prSet presAssocID="{6973A52F-DA4C-4EA3-8180-4BE4E568956E}" presName="thinLine2b" presStyleLbl="callout" presStyleIdx="3" presStyleCnt="8"/>
      <dgm:spPr/>
    </dgm:pt>
    <dgm:pt modelId="{B646880F-825B-49B7-B607-D4E443B1AD21}" type="pres">
      <dgm:prSet presAssocID="{6973A52F-DA4C-4EA3-8180-4BE4E568956E}" presName="vertSpace2b" presStyleCnt="0"/>
      <dgm:spPr/>
    </dgm:pt>
    <dgm:pt modelId="{F785E2AA-8022-47AC-8CCE-48059E79D2EE}" type="pres">
      <dgm:prSet presAssocID="{8BD5893C-4D8C-4209-B172-8BBD467716F6}" presName="thickLine" presStyleLbl="alignNode1" presStyleIdx="2" presStyleCnt="4"/>
      <dgm:spPr/>
    </dgm:pt>
    <dgm:pt modelId="{D2D1C51F-313D-4111-B58D-AD6B608E92B5}" type="pres">
      <dgm:prSet presAssocID="{8BD5893C-4D8C-4209-B172-8BBD467716F6}" presName="horz1" presStyleCnt="0"/>
      <dgm:spPr/>
    </dgm:pt>
    <dgm:pt modelId="{A8C97403-CD2B-4579-8BE2-E0403EEAB6E9}" type="pres">
      <dgm:prSet presAssocID="{8BD5893C-4D8C-4209-B172-8BBD467716F6}" presName="tx1" presStyleLbl="revTx" presStyleIdx="6" presStyleCnt="12" custScaleX="239994"/>
      <dgm:spPr/>
    </dgm:pt>
    <dgm:pt modelId="{EB93D3B6-186F-434C-A409-349BCFE5F710}" type="pres">
      <dgm:prSet presAssocID="{8BD5893C-4D8C-4209-B172-8BBD467716F6}" presName="vert1" presStyleCnt="0"/>
      <dgm:spPr/>
    </dgm:pt>
    <dgm:pt modelId="{A8B486CC-556F-4918-B990-ADA535EF0ED6}" type="pres">
      <dgm:prSet presAssocID="{0743A785-3679-41EE-AF6E-4A18858C0937}" presName="vertSpace2a" presStyleCnt="0"/>
      <dgm:spPr/>
    </dgm:pt>
    <dgm:pt modelId="{05E9845C-AC45-4100-B10F-B3CD0AD87BCC}" type="pres">
      <dgm:prSet presAssocID="{0743A785-3679-41EE-AF6E-4A18858C0937}" presName="horz2" presStyleCnt="0"/>
      <dgm:spPr/>
    </dgm:pt>
    <dgm:pt modelId="{70EA5469-92E6-4DD2-A2DC-757DD904DEBA}" type="pres">
      <dgm:prSet presAssocID="{0743A785-3679-41EE-AF6E-4A18858C0937}" presName="horzSpace2" presStyleCnt="0"/>
      <dgm:spPr/>
    </dgm:pt>
    <dgm:pt modelId="{B4465035-5EBC-4C26-8385-9013CB832807}" type="pres">
      <dgm:prSet presAssocID="{0743A785-3679-41EE-AF6E-4A18858C0937}" presName="tx2" presStyleLbl="revTx" presStyleIdx="7" presStyleCnt="12" custScaleX="169325"/>
      <dgm:spPr/>
    </dgm:pt>
    <dgm:pt modelId="{C68E3F10-778E-4117-88BD-E86B9826CAA7}" type="pres">
      <dgm:prSet presAssocID="{0743A785-3679-41EE-AF6E-4A18858C0937}" presName="vert2" presStyleCnt="0"/>
      <dgm:spPr/>
    </dgm:pt>
    <dgm:pt modelId="{95F12BB9-EB8C-4A34-BC87-7D73D662BF03}" type="pres">
      <dgm:prSet presAssocID="{0743A785-3679-41EE-AF6E-4A18858C0937}" presName="thinLine2b" presStyleLbl="callout" presStyleIdx="4" presStyleCnt="8"/>
      <dgm:spPr/>
    </dgm:pt>
    <dgm:pt modelId="{A5E631A1-456C-47F9-B7B6-1C3BBC3160C2}" type="pres">
      <dgm:prSet presAssocID="{0743A785-3679-41EE-AF6E-4A18858C0937}" presName="vertSpace2b" presStyleCnt="0"/>
      <dgm:spPr/>
    </dgm:pt>
    <dgm:pt modelId="{A1CB2CCD-0D1B-44FD-B085-110C5BA3F310}" type="pres">
      <dgm:prSet presAssocID="{C4AF8472-B990-4268-BEBF-0C70002E6BFC}" presName="horz2" presStyleCnt="0"/>
      <dgm:spPr/>
    </dgm:pt>
    <dgm:pt modelId="{8EDE827E-EC2D-486B-96D1-E3FAC15E2855}" type="pres">
      <dgm:prSet presAssocID="{C4AF8472-B990-4268-BEBF-0C70002E6BFC}" presName="horzSpace2" presStyleCnt="0"/>
      <dgm:spPr/>
    </dgm:pt>
    <dgm:pt modelId="{0C92298D-01E6-4DC8-97ED-44513BCCAD8F}" type="pres">
      <dgm:prSet presAssocID="{C4AF8472-B990-4268-BEBF-0C70002E6BFC}" presName="tx2" presStyleLbl="revTx" presStyleIdx="8" presStyleCnt="12" custScaleX="169325"/>
      <dgm:spPr/>
    </dgm:pt>
    <dgm:pt modelId="{17D3187B-B1D3-486C-8012-E6105314192F}" type="pres">
      <dgm:prSet presAssocID="{C4AF8472-B990-4268-BEBF-0C70002E6BFC}" presName="vert2" presStyleCnt="0"/>
      <dgm:spPr/>
    </dgm:pt>
    <dgm:pt modelId="{5874E50D-2397-42E4-88A3-34B36A063E1E}" type="pres">
      <dgm:prSet presAssocID="{C4AF8472-B990-4268-BEBF-0C70002E6BFC}" presName="thinLine2b" presStyleLbl="callout" presStyleIdx="5" presStyleCnt="8"/>
      <dgm:spPr/>
    </dgm:pt>
    <dgm:pt modelId="{EE9264C9-8EE8-4929-A4D1-E6BD48D4C606}" type="pres">
      <dgm:prSet presAssocID="{C4AF8472-B990-4268-BEBF-0C70002E6BFC}" presName="vertSpace2b" presStyleCnt="0"/>
      <dgm:spPr/>
    </dgm:pt>
    <dgm:pt modelId="{77C41A45-C015-437E-BF0B-80CF0B615F7F}" type="pres">
      <dgm:prSet presAssocID="{E062B8DB-9869-4680-BC51-421899058CA5}" presName="thickLine" presStyleLbl="alignNode1" presStyleIdx="3" presStyleCnt="4"/>
      <dgm:spPr/>
    </dgm:pt>
    <dgm:pt modelId="{62F3DAE1-765F-4F07-A990-FF273DA9405A}" type="pres">
      <dgm:prSet presAssocID="{E062B8DB-9869-4680-BC51-421899058CA5}" presName="horz1" presStyleCnt="0"/>
      <dgm:spPr/>
    </dgm:pt>
    <dgm:pt modelId="{D65B5524-123C-4C4E-AF7C-DA2A2409BE87}" type="pres">
      <dgm:prSet presAssocID="{E062B8DB-9869-4680-BC51-421899058CA5}" presName="tx1" presStyleLbl="revTx" presStyleIdx="9" presStyleCnt="12" custScaleX="239994"/>
      <dgm:spPr/>
    </dgm:pt>
    <dgm:pt modelId="{DFFE32D8-DEEC-448C-8BDB-5423CDE81A48}" type="pres">
      <dgm:prSet presAssocID="{E062B8DB-9869-4680-BC51-421899058CA5}" presName="vert1" presStyleCnt="0"/>
      <dgm:spPr/>
    </dgm:pt>
    <dgm:pt modelId="{E22D1376-8AC9-4229-95E3-CDE922649EDF}" type="pres">
      <dgm:prSet presAssocID="{227AB9F8-C209-4552-8CE1-DD42341EA451}" presName="vertSpace2a" presStyleCnt="0"/>
      <dgm:spPr/>
    </dgm:pt>
    <dgm:pt modelId="{8562BB11-9DAC-4F53-8F41-DCAA940DC679}" type="pres">
      <dgm:prSet presAssocID="{227AB9F8-C209-4552-8CE1-DD42341EA451}" presName="horz2" presStyleCnt="0"/>
      <dgm:spPr/>
    </dgm:pt>
    <dgm:pt modelId="{05F9BD3F-4903-460E-A6D6-8B252F5C9736}" type="pres">
      <dgm:prSet presAssocID="{227AB9F8-C209-4552-8CE1-DD42341EA451}" presName="horzSpace2" presStyleCnt="0"/>
      <dgm:spPr/>
    </dgm:pt>
    <dgm:pt modelId="{BD1DFC33-E7E5-477B-B19D-4E3E2876839B}" type="pres">
      <dgm:prSet presAssocID="{227AB9F8-C209-4552-8CE1-DD42341EA451}" presName="tx2" presStyleLbl="revTx" presStyleIdx="10" presStyleCnt="12" custScaleX="169325"/>
      <dgm:spPr/>
    </dgm:pt>
    <dgm:pt modelId="{FFD43C69-85B2-4638-959B-6DD0A26C5802}" type="pres">
      <dgm:prSet presAssocID="{227AB9F8-C209-4552-8CE1-DD42341EA451}" presName="vert2" presStyleCnt="0"/>
      <dgm:spPr/>
    </dgm:pt>
    <dgm:pt modelId="{459FEB02-5D2E-4D3E-A2D8-7284A2CE9E03}" type="pres">
      <dgm:prSet presAssocID="{227AB9F8-C209-4552-8CE1-DD42341EA451}" presName="thinLine2b" presStyleLbl="callout" presStyleIdx="6" presStyleCnt="8"/>
      <dgm:spPr/>
    </dgm:pt>
    <dgm:pt modelId="{CA8EE01F-74A0-4F86-8EB7-01C15252E285}" type="pres">
      <dgm:prSet presAssocID="{227AB9F8-C209-4552-8CE1-DD42341EA451}" presName="vertSpace2b" presStyleCnt="0"/>
      <dgm:spPr/>
    </dgm:pt>
    <dgm:pt modelId="{D6A9EDF6-1D5A-4732-BEC1-8B1EF7637B13}" type="pres">
      <dgm:prSet presAssocID="{62C61D1F-BBBC-47E7-B9DA-2A941B05E33E}" presName="horz2" presStyleCnt="0"/>
      <dgm:spPr/>
    </dgm:pt>
    <dgm:pt modelId="{AC1C679A-CC13-4F4F-AD0F-F56B8FDE1C6E}" type="pres">
      <dgm:prSet presAssocID="{62C61D1F-BBBC-47E7-B9DA-2A941B05E33E}" presName="horzSpace2" presStyleCnt="0"/>
      <dgm:spPr/>
    </dgm:pt>
    <dgm:pt modelId="{7A74ED2C-7222-4FC8-B1CF-C0D6E87EAA18}" type="pres">
      <dgm:prSet presAssocID="{62C61D1F-BBBC-47E7-B9DA-2A941B05E33E}" presName="tx2" presStyleLbl="revTx" presStyleIdx="11" presStyleCnt="12" custScaleX="169325"/>
      <dgm:spPr/>
    </dgm:pt>
    <dgm:pt modelId="{FDC349BE-DCA5-47F6-B825-6C439EE502DD}" type="pres">
      <dgm:prSet presAssocID="{62C61D1F-BBBC-47E7-B9DA-2A941B05E33E}" presName="vert2" presStyleCnt="0"/>
      <dgm:spPr/>
    </dgm:pt>
    <dgm:pt modelId="{A2739780-02B3-4D04-86E2-9BEEE4BA985E}" type="pres">
      <dgm:prSet presAssocID="{62C61D1F-BBBC-47E7-B9DA-2A941B05E33E}" presName="thinLine2b" presStyleLbl="callout" presStyleIdx="7" presStyleCnt="8"/>
      <dgm:spPr/>
    </dgm:pt>
    <dgm:pt modelId="{CE3F3DF5-E397-411F-99F4-2FD73A72D7B4}" type="pres">
      <dgm:prSet presAssocID="{62C61D1F-BBBC-47E7-B9DA-2A941B05E33E}" presName="vertSpace2b" presStyleCnt="0"/>
      <dgm:spPr/>
    </dgm:pt>
  </dgm:ptLst>
  <dgm:cxnLst>
    <dgm:cxn modelId="{0C4A3129-F7AC-4E21-989C-9300F2A29344}" srcId="{782122CE-4464-4B5B-A524-A3225DB3A0E3}" destId="{8BD5893C-4D8C-4209-B172-8BBD467716F6}" srcOrd="2" destOrd="0" parTransId="{3FC0F98D-0877-4447-B356-5CF60F323231}" sibTransId="{438AD922-2436-4342-BB34-48705693D9A4}"/>
    <dgm:cxn modelId="{16516B2B-9E9A-4640-BEEF-35E86FC33184}" type="presOf" srcId="{0743A785-3679-41EE-AF6E-4A18858C0937}" destId="{B4465035-5EBC-4C26-8385-9013CB832807}" srcOrd="0" destOrd="0" presId="urn:microsoft.com/office/officeart/2008/layout/LinedList"/>
    <dgm:cxn modelId="{153C0C31-7BCA-470E-A53E-17135B5495DE}" srcId="{8BD5893C-4D8C-4209-B172-8BBD467716F6}" destId="{C4AF8472-B990-4268-BEBF-0C70002E6BFC}" srcOrd="1" destOrd="0" parTransId="{D9C7A1F7-E4E7-4BD8-BC88-E032022CCF27}" sibTransId="{7D0C92B4-CA7A-48F7-9390-0A76E67E6FEB}"/>
    <dgm:cxn modelId="{9EEB5832-6BFB-4946-A0AB-D14EE9F26016}" type="presOf" srcId="{CB518654-7620-4314-B5D2-DCB812847324}" destId="{D3B052B7-293E-4C4A-A164-8F886DD67635}" srcOrd="0" destOrd="0" presId="urn:microsoft.com/office/officeart/2008/layout/LinedList"/>
    <dgm:cxn modelId="{D7AB9737-6FB9-4413-8DD6-899E6028FA99}" srcId="{CB518654-7620-4314-B5D2-DCB812847324}" destId="{9AC2237B-97C1-45EF-9CFB-CD24CF9958B6}" srcOrd="0" destOrd="0" parTransId="{F1CBCD6A-7D68-45BE-B08A-F4AC6A678C64}" sibTransId="{69EB23E7-0E19-43DA-81A9-C57F81BA644D}"/>
    <dgm:cxn modelId="{6F14B537-7C03-4F76-9AF9-B9B7DFF37845}" srcId="{8BD5893C-4D8C-4209-B172-8BBD467716F6}" destId="{0743A785-3679-41EE-AF6E-4A18858C0937}" srcOrd="0" destOrd="0" parTransId="{CFA72301-938B-4898-AEA6-4385516CF14F}" sibTransId="{ED2A18BF-4E95-498B-9858-AF95263F67B2}"/>
    <dgm:cxn modelId="{A88D5B3D-803E-4417-A6FB-FF8712F1555D}" type="presOf" srcId="{C4AF8472-B990-4268-BEBF-0C70002E6BFC}" destId="{0C92298D-01E6-4DC8-97ED-44513BCCAD8F}" srcOrd="0" destOrd="0" presId="urn:microsoft.com/office/officeart/2008/layout/LinedList"/>
    <dgm:cxn modelId="{187D8B3E-448F-41F2-A059-D0D481DDA1FC}" type="presOf" srcId="{8BD5893C-4D8C-4209-B172-8BBD467716F6}" destId="{A8C97403-CD2B-4579-8BE2-E0403EEAB6E9}" srcOrd="0" destOrd="0" presId="urn:microsoft.com/office/officeart/2008/layout/LinedList"/>
    <dgm:cxn modelId="{C9C9F663-DD2A-434F-80DA-6FFA5EB75C89}" srcId="{782122CE-4464-4B5B-A524-A3225DB3A0E3}" destId="{CB518654-7620-4314-B5D2-DCB812847324}" srcOrd="0" destOrd="0" parTransId="{099C138F-0408-46E6-8E09-ED14C284871D}" sibTransId="{30B023A9-ACAF-49EA-9C62-2C69F246DCB4}"/>
    <dgm:cxn modelId="{24652155-0053-4EC5-967A-99BC0AB31B82}" srcId="{782122CE-4464-4B5B-A524-A3225DB3A0E3}" destId="{C8710F64-E779-4526-8150-38B25EBA350B}" srcOrd="1" destOrd="0" parTransId="{05A330BB-67AC-4B6B-91EB-B39E1A368AFE}" sibTransId="{5446C9BF-104A-4DC2-84BE-60B264CE362B}"/>
    <dgm:cxn modelId="{FE35B88A-B598-4824-9052-8C89F38C3D03}" type="presOf" srcId="{E062B8DB-9869-4680-BC51-421899058CA5}" destId="{D65B5524-123C-4C4E-AF7C-DA2A2409BE87}" srcOrd="0" destOrd="0" presId="urn:microsoft.com/office/officeart/2008/layout/LinedList"/>
    <dgm:cxn modelId="{D5F53691-6019-4D8D-ABA8-B856CA87920A}" type="presOf" srcId="{6973A52F-DA4C-4EA3-8180-4BE4E568956E}" destId="{BD234A96-14E3-4143-A411-DB603BF93BF2}" srcOrd="0" destOrd="0" presId="urn:microsoft.com/office/officeart/2008/layout/LinedList"/>
    <dgm:cxn modelId="{C7EF5B93-DC81-4163-AE04-ECD6A66D6047}" type="presOf" srcId="{8F692F65-5D28-4BED-86FC-2E73D8446DB0}" destId="{ACD73A49-CBFB-4047-B9AD-41B339F2BB4E}" srcOrd="0" destOrd="0" presId="urn:microsoft.com/office/officeart/2008/layout/LinedList"/>
    <dgm:cxn modelId="{43A96695-4235-434F-877B-C5469BB168D9}" srcId="{782122CE-4464-4B5B-A524-A3225DB3A0E3}" destId="{E062B8DB-9869-4680-BC51-421899058CA5}" srcOrd="3" destOrd="0" parTransId="{606D6569-AB64-47C0-ABD0-41F2C8DB03F1}" sibTransId="{0EC06963-4DD1-4878-B16A-543C88F07F83}"/>
    <dgm:cxn modelId="{B3F81B9C-CACB-40D4-AD64-8EEADAACCA18}" type="presOf" srcId="{C8710F64-E779-4526-8150-38B25EBA350B}" destId="{D5C5FB52-45AC-4C5D-8754-EF1189C2A094}" srcOrd="0" destOrd="0" presId="urn:microsoft.com/office/officeart/2008/layout/LinedList"/>
    <dgm:cxn modelId="{B976BAA5-D7C3-4A1C-826A-56FD8389FB96}" srcId="{CB518654-7620-4314-B5D2-DCB812847324}" destId="{8F692F65-5D28-4BED-86FC-2E73D8446DB0}" srcOrd="1" destOrd="0" parTransId="{D4D1440A-9D07-4F14-9546-50ACAAB61219}" sibTransId="{D7955E18-16BD-4E79-9E2F-F6CA81B57D67}"/>
    <dgm:cxn modelId="{969DA3C4-43DE-4C7C-9559-5D2B27975709}" type="presOf" srcId="{9AC2237B-97C1-45EF-9CFB-CD24CF9958B6}" destId="{C1AF3AF2-3A72-46DD-94CD-25428F8DC4F1}" srcOrd="0" destOrd="0" presId="urn:microsoft.com/office/officeart/2008/layout/LinedList"/>
    <dgm:cxn modelId="{23E43EC5-6297-4203-A5D3-72CDDF96A111}" type="presOf" srcId="{227AB9F8-C209-4552-8CE1-DD42341EA451}" destId="{BD1DFC33-E7E5-477B-B19D-4E3E2876839B}" srcOrd="0" destOrd="0" presId="urn:microsoft.com/office/officeart/2008/layout/LinedList"/>
    <dgm:cxn modelId="{7F509BCF-C8FB-4B41-AFEA-ED56B8A11A3E}" type="presOf" srcId="{E64AE1AF-6660-4C96-817F-8B86BCC88E70}" destId="{6FEC0258-5226-4D79-87C4-39820531FD53}" srcOrd="0" destOrd="0" presId="urn:microsoft.com/office/officeart/2008/layout/LinedList"/>
    <dgm:cxn modelId="{817505D2-C4D0-466E-B5D6-1A97E4C9C4E0}" type="presOf" srcId="{782122CE-4464-4B5B-A524-A3225DB3A0E3}" destId="{B1B744FE-E585-4D51-BD66-A431DAF708A7}" srcOrd="0" destOrd="0" presId="urn:microsoft.com/office/officeart/2008/layout/LinedList"/>
    <dgm:cxn modelId="{72A5D7D8-94A0-4F37-A1AD-FAB3ADFD2287}" srcId="{C8710F64-E779-4526-8150-38B25EBA350B}" destId="{E64AE1AF-6660-4C96-817F-8B86BCC88E70}" srcOrd="0" destOrd="0" parTransId="{0C72F8D9-07AC-4D33-9568-DFF72068CA3D}" sibTransId="{51E520E3-5DFF-4FB2-BD6C-D53FC94122A6}"/>
    <dgm:cxn modelId="{47A122E7-ECE1-4080-B875-2302D678FE38}" srcId="{E062B8DB-9869-4680-BC51-421899058CA5}" destId="{227AB9F8-C209-4552-8CE1-DD42341EA451}" srcOrd="0" destOrd="0" parTransId="{D1DFD4F2-3179-4A60-8C1A-EF82DB70DE56}" sibTransId="{8050BBC2-E088-48ED-B784-0E8CB8020077}"/>
    <dgm:cxn modelId="{D59D91E7-B697-4632-987E-0820D2265106}" srcId="{E062B8DB-9869-4680-BC51-421899058CA5}" destId="{62C61D1F-BBBC-47E7-B9DA-2A941B05E33E}" srcOrd="1" destOrd="0" parTransId="{96199AD9-C2FF-4ABB-80A4-FC8F417FB22A}" sibTransId="{7EE0890C-7625-4DB8-9371-5D5045C2C4E2}"/>
    <dgm:cxn modelId="{16A073F0-631D-4D0C-B579-4ABE32146D73}" type="presOf" srcId="{62C61D1F-BBBC-47E7-B9DA-2A941B05E33E}" destId="{7A74ED2C-7222-4FC8-B1CF-C0D6E87EAA18}" srcOrd="0" destOrd="0" presId="urn:microsoft.com/office/officeart/2008/layout/LinedList"/>
    <dgm:cxn modelId="{9116A7F0-3CCC-4C50-AEF4-552A4D8B8FF3}" srcId="{C8710F64-E779-4526-8150-38B25EBA350B}" destId="{6973A52F-DA4C-4EA3-8180-4BE4E568956E}" srcOrd="1" destOrd="0" parTransId="{564AB4D4-95F3-4378-9FBD-23ED52A0628D}" sibTransId="{FF74811B-BE29-412C-9041-DA82E90B796C}"/>
    <dgm:cxn modelId="{D3117349-A7B6-4344-A249-F8AAC54693D0}" type="presParOf" srcId="{B1B744FE-E585-4D51-BD66-A431DAF708A7}" destId="{02CADC6D-4128-45CA-A602-A9210A8F215F}" srcOrd="0" destOrd="0" presId="urn:microsoft.com/office/officeart/2008/layout/LinedList"/>
    <dgm:cxn modelId="{90075116-001A-4B5B-9965-F8F9DBB29809}" type="presParOf" srcId="{B1B744FE-E585-4D51-BD66-A431DAF708A7}" destId="{60B2938B-5A96-4E5D-91EA-5476FC4032F5}" srcOrd="1" destOrd="0" presId="urn:microsoft.com/office/officeart/2008/layout/LinedList"/>
    <dgm:cxn modelId="{6A6B73C8-B9F0-46FB-9DA3-33FF1D00E90A}" type="presParOf" srcId="{60B2938B-5A96-4E5D-91EA-5476FC4032F5}" destId="{D3B052B7-293E-4C4A-A164-8F886DD67635}" srcOrd="0" destOrd="0" presId="urn:microsoft.com/office/officeart/2008/layout/LinedList"/>
    <dgm:cxn modelId="{3BC19D33-FB4F-4D9C-B1D0-C75EF2445698}" type="presParOf" srcId="{60B2938B-5A96-4E5D-91EA-5476FC4032F5}" destId="{25F4A03C-6CF4-4FEA-90C5-1449477E9570}" srcOrd="1" destOrd="0" presId="urn:microsoft.com/office/officeart/2008/layout/LinedList"/>
    <dgm:cxn modelId="{D802DC36-6EDF-4F5A-84E9-987A30273DAC}" type="presParOf" srcId="{25F4A03C-6CF4-4FEA-90C5-1449477E9570}" destId="{7CF332C5-AC3B-49E9-9F3C-68B1288BCC1F}" srcOrd="0" destOrd="0" presId="urn:microsoft.com/office/officeart/2008/layout/LinedList"/>
    <dgm:cxn modelId="{67F42C62-2D4F-4FAE-89A7-5DEC0FB414CA}" type="presParOf" srcId="{25F4A03C-6CF4-4FEA-90C5-1449477E9570}" destId="{A68DB7F3-9013-495B-89ED-1FAD8033B5BB}" srcOrd="1" destOrd="0" presId="urn:microsoft.com/office/officeart/2008/layout/LinedList"/>
    <dgm:cxn modelId="{B3816B0B-FD75-499B-B742-D0194D7F2FA2}" type="presParOf" srcId="{A68DB7F3-9013-495B-89ED-1FAD8033B5BB}" destId="{C6C54D8F-8B4F-45BA-835F-D2D45D3AC999}" srcOrd="0" destOrd="0" presId="urn:microsoft.com/office/officeart/2008/layout/LinedList"/>
    <dgm:cxn modelId="{D19B1225-E1F2-40C1-9A7C-EEEB26CFD28B}" type="presParOf" srcId="{A68DB7F3-9013-495B-89ED-1FAD8033B5BB}" destId="{C1AF3AF2-3A72-46DD-94CD-25428F8DC4F1}" srcOrd="1" destOrd="0" presId="urn:microsoft.com/office/officeart/2008/layout/LinedList"/>
    <dgm:cxn modelId="{C5600F2C-A66C-4C98-BC37-6D85113F35C8}" type="presParOf" srcId="{A68DB7F3-9013-495B-89ED-1FAD8033B5BB}" destId="{12FE47DF-A902-4A0E-BD0E-5215EA663526}" srcOrd="2" destOrd="0" presId="urn:microsoft.com/office/officeart/2008/layout/LinedList"/>
    <dgm:cxn modelId="{BBB31508-075C-4AE2-A2F7-89485D4D15C2}" type="presParOf" srcId="{25F4A03C-6CF4-4FEA-90C5-1449477E9570}" destId="{B3B6806B-26C8-480E-9000-24C0DA8EF8A9}" srcOrd="2" destOrd="0" presId="urn:microsoft.com/office/officeart/2008/layout/LinedList"/>
    <dgm:cxn modelId="{B4EDDB7C-63F0-4C64-A79B-8D3109A705AB}" type="presParOf" srcId="{25F4A03C-6CF4-4FEA-90C5-1449477E9570}" destId="{A7A7AAEB-41C8-4F14-98F6-AB7C27B98396}" srcOrd="3" destOrd="0" presId="urn:microsoft.com/office/officeart/2008/layout/LinedList"/>
    <dgm:cxn modelId="{F843544B-05E6-44BD-93E1-BC166CC33D0C}" type="presParOf" srcId="{25F4A03C-6CF4-4FEA-90C5-1449477E9570}" destId="{343A2A0C-517C-4837-AF78-29FFE0523810}" srcOrd="4" destOrd="0" presId="urn:microsoft.com/office/officeart/2008/layout/LinedList"/>
    <dgm:cxn modelId="{097E5290-9918-4948-9C96-A364BFD0132A}" type="presParOf" srcId="{343A2A0C-517C-4837-AF78-29FFE0523810}" destId="{9C9C6370-2DB4-4695-9914-AB69BCF920A8}" srcOrd="0" destOrd="0" presId="urn:microsoft.com/office/officeart/2008/layout/LinedList"/>
    <dgm:cxn modelId="{C1CBCEC3-4250-4BC6-ACFC-CC82E52DB41E}" type="presParOf" srcId="{343A2A0C-517C-4837-AF78-29FFE0523810}" destId="{ACD73A49-CBFB-4047-B9AD-41B339F2BB4E}" srcOrd="1" destOrd="0" presId="urn:microsoft.com/office/officeart/2008/layout/LinedList"/>
    <dgm:cxn modelId="{40AAA626-A455-4ADC-B022-19F3CE65213C}" type="presParOf" srcId="{343A2A0C-517C-4837-AF78-29FFE0523810}" destId="{BF56CD92-30F8-4A64-B939-0F36019FD40C}" srcOrd="2" destOrd="0" presId="urn:microsoft.com/office/officeart/2008/layout/LinedList"/>
    <dgm:cxn modelId="{C7EC9BE6-AE57-4F77-8DF5-93B30ACE767C}" type="presParOf" srcId="{25F4A03C-6CF4-4FEA-90C5-1449477E9570}" destId="{5BC70094-074E-4BBD-A697-C0C80F5B37FD}" srcOrd="5" destOrd="0" presId="urn:microsoft.com/office/officeart/2008/layout/LinedList"/>
    <dgm:cxn modelId="{3BD6912C-F700-4C07-94BA-CA0C86AC424C}" type="presParOf" srcId="{25F4A03C-6CF4-4FEA-90C5-1449477E9570}" destId="{EB86A5F1-6547-41AA-9840-3B96C9F28778}" srcOrd="6" destOrd="0" presId="urn:microsoft.com/office/officeart/2008/layout/LinedList"/>
    <dgm:cxn modelId="{2A02705E-9220-4292-9950-2442B4DBDD0F}" type="presParOf" srcId="{B1B744FE-E585-4D51-BD66-A431DAF708A7}" destId="{C52F3987-8544-420B-B04E-9C9A9EB8BE74}" srcOrd="2" destOrd="0" presId="urn:microsoft.com/office/officeart/2008/layout/LinedList"/>
    <dgm:cxn modelId="{4086BBF2-BF64-4F69-95AA-462185911A5E}" type="presParOf" srcId="{B1B744FE-E585-4D51-BD66-A431DAF708A7}" destId="{3296D3DC-67FD-4EA0-8828-833500097BB0}" srcOrd="3" destOrd="0" presId="urn:microsoft.com/office/officeart/2008/layout/LinedList"/>
    <dgm:cxn modelId="{B0DE1CB6-6E2B-472B-AD93-0E5BDA99692D}" type="presParOf" srcId="{3296D3DC-67FD-4EA0-8828-833500097BB0}" destId="{D5C5FB52-45AC-4C5D-8754-EF1189C2A094}" srcOrd="0" destOrd="0" presId="urn:microsoft.com/office/officeart/2008/layout/LinedList"/>
    <dgm:cxn modelId="{8625560D-B840-4E4B-8E5F-68049DF7472B}" type="presParOf" srcId="{3296D3DC-67FD-4EA0-8828-833500097BB0}" destId="{30A96AAC-1A3B-4088-8024-A285571685A4}" srcOrd="1" destOrd="0" presId="urn:microsoft.com/office/officeart/2008/layout/LinedList"/>
    <dgm:cxn modelId="{08FF5A83-9F6C-41D3-A8E3-B007CF94C6DE}" type="presParOf" srcId="{30A96AAC-1A3B-4088-8024-A285571685A4}" destId="{91F788A9-455B-4975-9EE3-C0C1F162B92B}" srcOrd="0" destOrd="0" presId="urn:microsoft.com/office/officeart/2008/layout/LinedList"/>
    <dgm:cxn modelId="{C6ACA48C-1700-4E2A-A909-3EC819509683}" type="presParOf" srcId="{30A96AAC-1A3B-4088-8024-A285571685A4}" destId="{D7C2A155-F983-4951-9969-1D52339729CC}" srcOrd="1" destOrd="0" presId="urn:microsoft.com/office/officeart/2008/layout/LinedList"/>
    <dgm:cxn modelId="{91736D77-C236-4D4F-A36D-519478429288}" type="presParOf" srcId="{D7C2A155-F983-4951-9969-1D52339729CC}" destId="{B6A2B83E-3A27-41E2-AE59-D1D7589427F9}" srcOrd="0" destOrd="0" presId="urn:microsoft.com/office/officeart/2008/layout/LinedList"/>
    <dgm:cxn modelId="{34B118E8-B890-4CC5-ABAF-761B97DAA89C}" type="presParOf" srcId="{D7C2A155-F983-4951-9969-1D52339729CC}" destId="{6FEC0258-5226-4D79-87C4-39820531FD53}" srcOrd="1" destOrd="0" presId="urn:microsoft.com/office/officeart/2008/layout/LinedList"/>
    <dgm:cxn modelId="{C44AC7A5-ACCD-44BD-8DBD-1CC89C37C2D5}" type="presParOf" srcId="{D7C2A155-F983-4951-9969-1D52339729CC}" destId="{CC96ACD0-1F58-46ED-9C1A-79844205ED5A}" srcOrd="2" destOrd="0" presId="urn:microsoft.com/office/officeart/2008/layout/LinedList"/>
    <dgm:cxn modelId="{8160F7C2-2DA9-4F0F-A95F-C49507641437}" type="presParOf" srcId="{30A96AAC-1A3B-4088-8024-A285571685A4}" destId="{0D93D126-1D78-4207-9773-8CE22EDA30AF}" srcOrd="2" destOrd="0" presId="urn:microsoft.com/office/officeart/2008/layout/LinedList"/>
    <dgm:cxn modelId="{B958B499-B396-4DBF-995F-68043E46C8BC}" type="presParOf" srcId="{30A96AAC-1A3B-4088-8024-A285571685A4}" destId="{1055810B-8A3A-42C9-95CA-46063182A341}" srcOrd="3" destOrd="0" presId="urn:microsoft.com/office/officeart/2008/layout/LinedList"/>
    <dgm:cxn modelId="{5C09B385-1BA2-4CD8-B610-B0FF3A2F7218}" type="presParOf" srcId="{30A96AAC-1A3B-4088-8024-A285571685A4}" destId="{4FB9F275-3F1D-459F-96C1-B84FAFFEC3CA}" srcOrd="4" destOrd="0" presId="urn:microsoft.com/office/officeart/2008/layout/LinedList"/>
    <dgm:cxn modelId="{1A824274-D77D-459E-99E3-577A4ED1DA91}" type="presParOf" srcId="{4FB9F275-3F1D-459F-96C1-B84FAFFEC3CA}" destId="{9255A4A7-4904-4147-A350-DF698E22F3AD}" srcOrd="0" destOrd="0" presId="urn:microsoft.com/office/officeart/2008/layout/LinedList"/>
    <dgm:cxn modelId="{A10B1756-8DF7-476F-A2E2-21C81B12968E}" type="presParOf" srcId="{4FB9F275-3F1D-459F-96C1-B84FAFFEC3CA}" destId="{BD234A96-14E3-4143-A411-DB603BF93BF2}" srcOrd="1" destOrd="0" presId="urn:microsoft.com/office/officeart/2008/layout/LinedList"/>
    <dgm:cxn modelId="{24D5EDF4-095D-4647-8C2D-B58E7DFCF7A7}" type="presParOf" srcId="{4FB9F275-3F1D-459F-96C1-B84FAFFEC3CA}" destId="{D5A761B4-9C90-424D-96F1-7A312984F1DE}" srcOrd="2" destOrd="0" presId="urn:microsoft.com/office/officeart/2008/layout/LinedList"/>
    <dgm:cxn modelId="{8F0B1E64-D846-4420-AD1C-09E69C848A07}" type="presParOf" srcId="{30A96AAC-1A3B-4088-8024-A285571685A4}" destId="{EA65866C-0350-492C-BCEF-E1B7AB2479DF}" srcOrd="5" destOrd="0" presId="urn:microsoft.com/office/officeart/2008/layout/LinedList"/>
    <dgm:cxn modelId="{9647DCEC-7C50-46CB-BCC6-2F970685BF6C}" type="presParOf" srcId="{30A96AAC-1A3B-4088-8024-A285571685A4}" destId="{B646880F-825B-49B7-B607-D4E443B1AD21}" srcOrd="6" destOrd="0" presId="urn:microsoft.com/office/officeart/2008/layout/LinedList"/>
    <dgm:cxn modelId="{FDB8A9E6-D91F-4A7A-A580-AAF3A9434AF3}" type="presParOf" srcId="{B1B744FE-E585-4D51-BD66-A431DAF708A7}" destId="{F785E2AA-8022-47AC-8CCE-48059E79D2EE}" srcOrd="4" destOrd="0" presId="urn:microsoft.com/office/officeart/2008/layout/LinedList"/>
    <dgm:cxn modelId="{4840AC53-DE36-49A1-BB3F-458A9133D9A1}" type="presParOf" srcId="{B1B744FE-E585-4D51-BD66-A431DAF708A7}" destId="{D2D1C51F-313D-4111-B58D-AD6B608E92B5}" srcOrd="5" destOrd="0" presId="urn:microsoft.com/office/officeart/2008/layout/LinedList"/>
    <dgm:cxn modelId="{B34CE4F1-F0CE-4A42-8BDF-2EE8D2F59B93}" type="presParOf" srcId="{D2D1C51F-313D-4111-B58D-AD6B608E92B5}" destId="{A8C97403-CD2B-4579-8BE2-E0403EEAB6E9}" srcOrd="0" destOrd="0" presId="urn:microsoft.com/office/officeart/2008/layout/LinedList"/>
    <dgm:cxn modelId="{B5B2FE94-45BD-4100-99AF-8B0B0CEEC7F3}" type="presParOf" srcId="{D2D1C51F-313D-4111-B58D-AD6B608E92B5}" destId="{EB93D3B6-186F-434C-A409-349BCFE5F710}" srcOrd="1" destOrd="0" presId="urn:microsoft.com/office/officeart/2008/layout/LinedList"/>
    <dgm:cxn modelId="{F4386093-7FC6-473B-AC0F-D76CF0047E52}" type="presParOf" srcId="{EB93D3B6-186F-434C-A409-349BCFE5F710}" destId="{A8B486CC-556F-4918-B990-ADA535EF0ED6}" srcOrd="0" destOrd="0" presId="urn:microsoft.com/office/officeart/2008/layout/LinedList"/>
    <dgm:cxn modelId="{E45E5A25-CC09-49CE-9FF8-C98E041CA7EE}" type="presParOf" srcId="{EB93D3B6-186F-434C-A409-349BCFE5F710}" destId="{05E9845C-AC45-4100-B10F-B3CD0AD87BCC}" srcOrd="1" destOrd="0" presId="urn:microsoft.com/office/officeart/2008/layout/LinedList"/>
    <dgm:cxn modelId="{A6F8B2EA-AFFF-400C-92E3-2C4CF1219ABF}" type="presParOf" srcId="{05E9845C-AC45-4100-B10F-B3CD0AD87BCC}" destId="{70EA5469-92E6-4DD2-A2DC-757DD904DEBA}" srcOrd="0" destOrd="0" presId="urn:microsoft.com/office/officeart/2008/layout/LinedList"/>
    <dgm:cxn modelId="{6C0B880E-4E49-4313-888E-A7E76DB706F9}" type="presParOf" srcId="{05E9845C-AC45-4100-B10F-B3CD0AD87BCC}" destId="{B4465035-5EBC-4C26-8385-9013CB832807}" srcOrd="1" destOrd="0" presId="urn:microsoft.com/office/officeart/2008/layout/LinedList"/>
    <dgm:cxn modelId="{EBF5BC43-3D95-470C-9B71-8D141501E75B}" type="presParOf" srcId="{05E9845C-AC45-4100-B10F-B3CD0AD87BCC}" destId="{C68E3F10-778E-4117-88BD-E86B9826CAA7}" srcOrd="2" destOrd="0" presId="urn:microsoft.com/office/officeart/2008/layout/LinedList"/>
    <dgm:cxn modelId="{5DF938ED-6760-408C-BDD4-911AA9740C86}" type="presParOf" srcId="{EB93D3B6-186F-434C-A409-349BCFE5F710}" destId="{95F12BB9-EB8C-4A34-BC87-7D73D662BF03}" srcOrd="2" destOrd="0" presId="urn:microsoft.com/office/officeart/2008/layout/LinedList"/>
    <dgm:cxn modelId="{8C9FC4A0-AF94-4B64-A9F4-006709B82B8C}" type="presParOf" srcId="{EB93D3B6-186F-434C-A409-349BCFE5F710}" destId="{A5E631A1-456C-47F9-B7B6-1C3BBC3160C2}" srcOrd="3" destOrd="0" presId="urn:microsoft.com/office/officeart/2008/layout/LinedList"/>
    <dgm:cxn modelId="{DE28F505-C9E2-4C63-8FE4-088686AA3862}" type="presParOf" srcId="{EB93D3B6-186F-434C-A409-349BCFE5F710}" destId="{A1CB2CCD-0D1B-44FD-B085-110C5BA3F310}" srcOrd="4" destOrd="0" presId="urn:microsoft.com/office/officeart/2008/layout/LinedList"/>
    <dgm:cxn modelId="{0432B0A4-8DBE-486D-99DF-F3EF6A40F209}" type="presParOf" srcId="{A1CB2CCD-0D1B-44FD-B085-110C5BA3F310}" destId="{8EDE827E-EC2D-486B-96D1-E3FAC15E2855}" srcOrd="0" destOrd="0" presId="urn:microsoft.com/office/officeart/2008/layout/LinedList"/>
    <dgm:cxn modelId="{AF08AA7B-819D-4BAE-B6D7-6408027C4505}" type="presParOf" srcId="{A1CB2CCD-0D1B-44FD-B085-110C5BA3F310}" destId="{0C92298D-01E6-4DC8-97ED-44513BCCAD8F}" srcOrd="1" destOrd="0" presId="urn:microsoft.com/office/officeart/2008/layout/LinedList"/>
    <dgm:cxn modelId="{3ACACE76-1136-4457-8AB1-095B4E3E5401}" type="presParOf" srcId="{A1CB2CCD-0D1B-44FD-B085-110C5BA3F310}" destId="{17D3187B-B1D3-486C-8012-E6105314192F}" srcOrd="2" destOrd="0" presId="urn:microsoft.com/office/officeart/2008/layout/LinedList"/>
    <dgm:cxn modelId="{A82183A0-539C-43C6-BDC9-893289691411}" type="presParOf" srcId="{EB93D3B6-186F-434C-A409-349BCFE5F710}" destId="{5874E50D-2397-42E4-88A3-34B36A063E1E}" srcOrd="5" destOrd="0" presId="urn:microsoft.com/office/officeart/2008/layout/LinedList"/>
    <dgm:cxn modelId="{CA8B3E7D-F9E5-443D-8AE7-99BAC7227C04}" type="presParOf" srcId="{EB93D3B6-186F-434C-A409-349BCFE5F710}" destId="{EE9264C9-8EE8-4929-A4D1-E6BD48D4C606}" srcOrd="6" destOrd="0" presId="urn:microsoft.com/office/officeart/2008/layout/LinedList"/>
    <dgm:cxn modelId="{63DED23F-D45D-4754-81AD-9AB56812A5B7}" type="presParOf" srcId="{B1B744FE-E585-4D51-BD66-A431DAF708A7}" destId="{77C41A45-C015-437E-BF0B-80CF0B615F7F}" srcOrd="6" destOrd="0" presId="urn:microsoft.com/office/officeart/2008/layout/LinedList"/>
    <dgm:cxn modelId="{E49AE07B-A6D6-4B52-936F-9F0F233A3CB9}" type="presParOf" srcId="{B1B744FE-E585-4D51-BD66-A431DAF708A7}" destId="{62F3DAE1-765F-4F07-A990-FF273DA9405A}" srcOrd="7" destOrd="0" presId="urn:microsoft.com/office/officeart/2008/layout/LinedList"/>
    <dgm:cxn modelId="{1EAD53C3-A8DE-47EB-81FC-D5111487B2B6}" type="presParOf" srcId="{62F3DAE1-765F-4F07-A990-FF273DA9405A}" destId="{D65B5524-123C-4C4E-AF7C-DA2A2409BE87}" srcOrd="0" destOrd="0" presId="urn:microsoft.com/office/officeart/2008/layout/LinedList"/>
    <dgm:cxn modelId="{CDE6EAD1-D8A0-4339-B524-0ACA79E2D154}" type="presParOf" srcId="{62F3DAE1-765F-4F07-A990-FF273DA9405A}" destId="{DFFE32D8-DEEC-448C-8BDB-5423CDE81A48}" srcOrd="1" destOrd="0" presId="urn:microsoft.com/office/officeart/2008/layout/LinedList"/>
    <dgm:cxn modelId="{003046DE-6154-4A65-B910-C7502695EE01}" type="presParOf" srcId="{DFFE32D8-DEEC-448C-8BDB-5423CDE81A48}" destId="{E22D1376-8AC9-4229-95E3-CDE922649EDF}" srcOrd="0" destOrd="0" presId="urn:microsoft.com/office/officeart/2008/layout/LinedList"/>
    <dgm:cxn modelId="{3E5EB8CA-B128-459D-A530-59ADE45DDB49}" type="presParOf" srcId="{DFFE32D8-DEEC-448C-8BDB-5423CDE81A48}" destId="{8562BB11-9DAC-4F53-8F41-DCAA940DC679}" srcOrd="1" destOrd="0" presId="urn:microsoft.com/office/officeart/2008/layout/LinedList"/>
    <dgm:cxn modelId="{F718026D-8559-45CB-B0BA-D704D133DD40}" type="presParOf" srcId="{8562BB11-9DAC-4F53-8F41-DCAA940DC679}" destId="{05F9BD3F-4903-460E-A6D6-8B252F5C9736}" srcOrd="0" destOrd="0" presId="urn:microsoft.com/office/officeart/2008/layout/LinedList"/>
    <dgm:cxn modelId="{3F922470-AD5F-47B8-A606-215B6105A7B2}" type="presParOf" srcId="{8562BB11-9DAC-4F53-8F41-DCAA940DC679}" destId="{BD1DFC33-E7E5-477B-B19D-4E3E2876839B}" srcOrd="1" destOrd="0" presId="urn:microsoft.com/office/officeart/2008/layout/LinedList"/>
    <dgm:cxn modelId="{5C86CC00-6CE6-4638-ACE3-3506AFE369D0}" type="presParOf" srcId="{8562BB11-9DAC-4F53-8F41-DCAA940DC679}" destId="{FFD43C69-85B2-4638-959B-6DD0A26C5802}" srcOrd="2" destOrd="0" presId="urn:microsoft.com/office/officeart/2008/layout/LinedList"/>
    <dgm:cxn modelId="{C7F9B66B-372E-4218-AEB6-A1B6BC58607A}" type="presParOf" srcId="{DFFE32D8-DEEC-448C-8BDB-5423CDE81A48}" destId="{459FEB02-5D2E-4D3E-A2D8-7284A2CE9E03}" srcOrd="2" destOrd="0" presId="urn:microsoft.com/office/officeart/2008/layout/LinedList"/>
    <dgm:cxn modelId="{412DFCFD-023C-434B-B15A-F8618516BDE1}" type="presParOf" srcId="{DFFE32D8-DEEC-448C-8BDB-5423CDE81A48}" destId="{CA8EE01F-74A0-4F86-8EB7-01C15252E285}" srcOrd="3" destOrd="0" presId="urn:microsoft.com/office/officeart/2008/layout/LinedList"/>
    <dgm:cxn modelId="{10C740A9-0872-4D22-9906-661A9B49F7D0}" type="presParOf" srcId="{DFFE32D8-DEEC-448C-8BDB-5423CDE81A48}" destId="{D6A9EDF6-1D5A-4732-BEC1-8B1EF7637B13}" srcOrd="4" destOrd="0" presId="urn:microsoft.com/office/officeart/2008/layout/LinedList"/>
    <dgm:cxn modelId="{D423DD57-8462-4BC9-857A-DBD54263BA75}" type="presParOf" srcId="{D6A9EDF6-1D5A-4732-BEC1-8B1EF7637B13}" destId="{AC1C679A-CC13-4F4F-AD0F-F56B8FDE1C6E}" srcOrd="0" destOrd="0" presId="urn:microsoft.com/office/officeart/2008/layout/LinedList"/>
    <dgm:cxn modelId="{D79BC0E8-FADC-4551-9318-6F49C2888BE7}" type="presParOf" srcId="{D6A9EDF6-1D5A-4732-BEC1-8B1EF7637B13}" destId="{7A74ED2C-7222-4FC8-B1CF-C0D6E87EAA18}" srcOrd="1" destOrd="0" presId="urn:microsoft.com/office/officeart/2008/layout/LinedList"/>
    <dgm:cxn modelId="{F66DFB7E-2F4F-4B16-9D5F-A8E5A5DB53A3}" type="presParOf" srcId="{D6A9EDF6-1D5A-4732-BEC1-8B1EF7637B13}" destId="{FDC349BE-DCA5-47F6-B825-6C439EE502DD}" srcOrd="2" destOrd="0" presId="urn:microsoft.com/office/officeart/2008/layout/LinedList"/>
    <dgm:cxn modelId="{153E3A0D-8428-45FE-A1A2-6EAE745E3720}" type="presParOf" srcId="{DFFE32D8-DEEC-448C-8BDB-5423CDE81A48}" destId="{A2739780-02B3-4D04-86E2-9BEEE4BA985E}" srcOrd="5" destOrd="0" presId="urn:microsoft.com/office/officeart/2008/layout/LinedList"/>
    <dgm:cxn modelId="{3C16957A-6EC0-4B0E-961E-A6A9AB9E2AB3}" type="presParOf" srcId="{DFFE32D8-DEEC-448C-8BDB-5423CDE81A48}" destId="{CE3F3DF5-E397-411F-99F4-2FD73A72D7B4}" srcOrd="6" destOrd="0" presId="urn:microsoft.com/office/officeart/2008/layout/LinedList"/>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9AA8ADBB-9010-4F64-A8CF-1C2E7916B281}" type="doc">
      <dgm:prSet loTypeId="urn:microsoft.com/office/officeart/2011/layout/TabList" loCatId="list" qsTypeId="urn:microsoft.com/office/officeart/2005/8/quickstyle/simple1" qsCatId="simple" csTypeId="urn:microsoft.com/office/officeart/2005/8/colors/colorful2" csCatId="colorful" phldr="1"/>
      <dgm:spPr/>
      <dgm:t>
        <a:bodyPr/>
        <a:lstStyle/>
        <a:p>
          <a:endParaRPr lang="en-US"/>
        </a:p>
      </dgm:t>
    </dgm:pt>
    <dgm:pt modelId="{EFFD797E-B82A-45D0-A6FF-88F471428C8D}">
      <dgm:prSet phldrT="[Text]" custT="1"/>
      <dgm:spPr/>
      <dgm:t>
        <a:bodyPr/>
        <a:lstStyle/>
        <a:p>
          <a:pPr algn="ctr">
            <a:buNone/>
          </a:pPr>
          <a:r>
            <a:rPr lang="en-US" sz="1200">
              <a:latin typeface="Times New Roman" panose="02020603050405020304" pitchFamily="18" charset="0"/>
              <a:cs typeface="Times New Roman" panose="02020603050405020304" pitchFamily="18" charset="0"/>
            </a:rPr>
            <a:t>North America (35%)</a:t>
          </a:r>
        </a:p>
      </dgm:t>
    </dgm:pt>
    <dgm:pt modelId="{F30DDCDB-8586-425A-BCC3-AD078DDA3DB8}" type="parTrans" cxnId="{6A9E325A-95F9-41C8-8D4F-7F494064C1B1}">
      <dgm:prSet/>
      <dgm:spPr/>
      <dgm:t>
        <a:bodyPr/>
        <a:lstStyle/>
        <a:p>
          <a:endParaRPr lang="en-US"/>
        </a:p>
      </dgm:t>
    </dgm:pt>
    <dgm:pt modelId="{17355A5F-A005-4F0F-AA25-8B343D0D3FC8}" type="sibTrans" cxnId="{6A9E325A-95F9-41C8-8D4F-7F494064C1B1}">
      <dgm:prSet/>
      <dgm:spPr/>
      <dgm:t>
        <a:bodyPr/>
        <a:lstStyle/>
        <a:p>
          <a:endParaRPr lang="en-US"/>
        </a:p>
      </dgm:t>
    </dgm:pt>
    <dgm:pt modelId="{5ED8CE1D-3898-45DB-BE76-D3C9517FF38F}">
      <dgm:prSet custT="1"/>
      <dgm:spPr/>
      <dgm:t>
        <a:bodyPr/>
        <a:lstStyle/>
        <a:p>
          <a:pPr algn="ctr">
            <a:buNone/>
          </a:pPr>
          <a:r>
            <a:rPr lang="en-US" sz="1200">
              <a:latin typeface="Times New Roman" panose="02020603050405020304" pitchFamily="18" charset="0"/>
              <a:cs typeface="Times New Roman" panose="02020603050405020304" pitchFamily="18" charset="0"/>
            </a:rPr>
            <a:t>Innovation / performance-led</a:t>
          </a:r>
        </a:p>
      </dgm:t>
    </dgm:pt>
    <dgm:pt modelId="{45B73BA7-BC59-44FD-A5B1-4C86BE98D209}" type="parTrans" cxnId="{485911C6-281E-45F4-88F3-FB353947083A}">
      <dgm:prSet/>
      <dgm:spPr/>
      <dgm:t>
        <a:bodyPr/>
        <a:lstStyle/>
        <a:p>
          <a:endParaRPr lang="en-US"/>
        </a:p>
      </dgm:t>
    </dgm:pt>
    <dgm:pt modelId="{C3D38FAB-1D29-4331-A8D2-CA2FA67C38E8}" type="sibTrans" cxnId="{485911C6-281E-45F4-88F3-FB353947083A}">
      <dgm:prSet/>
      <dgm:spPr/>
      <dgm:t>
        <a:bodyPr/>
        <a:lstStyle/>
        <a:p>
          <a:endParaRPr lang="en-US"/>
        </a:p>
      </dgm:t>
    </dgm:pt>
    <dgm:pt modelId="{34612C34-4838-4E8E-B189-62F7AA606726}">
      <dgm:prSet custT="1"/>
      <dgm:spPr/>
      <dgm:t>
        <a:bodyPr/>
        <a:lstStyle/>
        <a:p>
          <a:pPr algn="ctr">
            <a:buNone/>
          </a:pPr>
          <a:r>
            <a:rPr lang="en-US" sz="1200">
              <a:latin typeface="Times New Roman" panose="02020603050405020304" pitchFamily="18" charset="0"/>
              <a:cs typeface="Times New Roman" panose="02020603050405020304" pitchFamily="18" charset="0"/>
            </a:rPr>
            <a:t>Europe (25%)</a:t>
          </a:r>
        </a:p>
      </dgm:t>
    </dgm:pt>
    <dgm:pt modelId="{086E84BF-B399-4774-8765-1E722BEA3386}" type="parTrans" cxnId="{783F1C0E-5AAC-4248-BCF4-ED827B39D1A3}">
      <dgm:prSet/>
      <dgm:spPr/>
      <dgm:t>
        <a:bodyPr/>
        <a:lstStyle/>
        <a:p>
          <a:endParaRPr lang="en-US"/>
        </a:p>
      </dgm:t>
    </dgm:pt>
    <dgm:pt modelId="{3F5BDE2C-16E4-40DD-BA4D-33F14EC2BBE5}" type="sibTrans" cxnId="{783F1C0E-5AAC-4248-BCF4-ED827B39D1A3}">
      <dgm:prSet/>
      <dgm:spPr/>
      <dgm:t>
        <a:bodyPr/>
        <a:lstStyle/>
        <a:p>
          <a:endParaRPr lang="en-US"/>
        </a:p>
      </dgm:t>
    </dgm:pt>
    <dgm:pt modelId="{35E0AF5D-C584-40F8-8C38-019B7BF45DB5}">
      <dgm:prSet custT="1"/>
      <dgm:spPr/>
      <dgm:t>
        <a:bodyPr/>
        <a:lstStyle/>
        <a:p>
          <a:pPr algn="ctr">
            <a:buNone/>
          </a:pPr>
          <a:r>
            <a:rPr lang="en-US" sz="1200">
              <a:latin typeface="Times New Roman" panose="02020603050405020304" pitchFamily="18" charset="0"/>
              <a:cs typeface="Times New Roman" panose="02020603050405020304" pitchFamily="18" charset="0"/>
            </a:rPr>
            <a:t>Sustainability / compliance-led</a:t>
          </a:r>
        </a:p>
      </dgm:t>
    </dgm:pt>
    <dgm:pt modelId="{46E66188-FAE1-4B21-B9A8-ED545B1D873C}" type="parTrans" cxnId="{5CFEC3EB-2957-49B0-8446-80D324C97235}">
      <dgm:prSet/>
      <dgm:spPr/>
      <dgm:t>
        <a:bodyPr/>
        <a:lstStyle/>
        <a:p>
          <a:endParaRPr lang="en-US"/>
        </a:p>
      </dgm:t>
    </dgm:pt>
    <dgm:pt modelId="{669A052E-0F78-454B-A725-A113766E77C1}" type="sibTrans" cxnId="{5CFEC3EB-2957-49B0-8446-80D324C97235}">
      <dgm:prSet/>
      <dgm:spPr/>
      <dgm:t>
        <a:bodyPr/>
        <a:lstStyle/>
        <a:p>
          <a:endParaRPr lang="en-US"/>
        </a:p>
      </dgm:t>
    </dgm:pt>
    <dgm:pt modelId="{325FFDBB-B230-4B2A-9A63-784974438A16}">
      <dgm:prSet custT="1"/>
      <dgm:spPr/>
      <dgm:t>
        <a:bodyPr/>
        <a:lstStyle/>
        <a:p>
          <a:pPr algn="ctr">
            <a:buNone/>
          </a:pPr>
          <a:r>
            <a:rPr lang="en-US" sz="1200">
              <a:latin typeface="Times New Roman" panose="02020603050405020304" pitchFamily="18" charset="0"/>
              <a:cs typeface="Times New Roman" panose="02020603050405020304" pitchFamily="18" charset="0"/>
            </a:rPr>
            <a:t>China (28%)</a:t>
          </a:r>
        </a:p>
      </dgm:t>
    </dgm:pt>
    <dgm:pt modelId="{783BD2EF-1FC5-4D3E-BBEA-A5728184D414}" type="parTrans" cxnId="{A87E6FAC-F144-4FA0-82B6-9226A6F5CD78}">
      <dgm:prSet/>
      <dgm:spPr/>
      <dgm:t>
        <a:bodyPr/>
        <a:lstStyle/>
        <a:p>
          <a:endParaRPr lang="en-US"/>
        </a:p>
      </dgm:t>
    </dgm:pt>
    <dgm:pt modelId="{527FC8C5-A02E-4011-BD37-9A5B3846EC8E}" type="sibTrans" cxnId="{A87E6FAC-F144-4FA0-82B6-9226A6F5CD78}">
      <dgm:prSet/>
      <dgm:spPr/>
      <dgm:t>
        <a:bodyPr/>
        <a:lstStyle/>
        <a:p>
          <a:endParaRPr lang="en-US"/>
        </a:p>
      </dgm:t>
    </dgm:pt>
    <dgm:pt modelId="{21C37FA7-0888-448D-BC75-F1D28F0AA894}">
      <dgm:prSet custT="1"/>
      <dgm:spPr/>
      <dgm:t>
        <a:bodyPr/>
        <a:lstStyle/>
        <a:p>
          <a:pPr algn="ctr">
            <a:buNone/>
          </a:pPr>
          <a:r>
            <a:rPr lang="en-US" sz="1200">
              <a:latin typeface="Times New Roman" panose="02020603050405020304" pitchFamily="18" charset="0"/>
              <a:cs typeface="Times New Roman" panose="02020603050405020304" pitchFamily="18" charset="0"/>
            </a:rPr>
            <a:t>Value / technology integration</a:t>
          </a:r>
        </a:p>
      </dgm:t>
    </dgm:pt>
    <dgm:pt modelId="{0A29FF1F-47D2-47E9-9DCE-A3B0525F2C90}" type="parTrans" cxnId="{3696554C-6AF8-4427-AC4C-262329A481B3}">
      <dgm:prSet/>
      <dgm:spPr/>
      <dgm:t>
        <a:bodyPr/>
        <a:lstStyle/>
        <a:p>
          <a:endParaRPr lang="en-US"/>
        </a:p>
      </dgm:t>
    </dgm:pt>
    <dgm:pt modelId="{053648D4-EE1F-409A-94AD-80EC9DEAC0A4}" type="sibTrans" cxnId="{3696554C-6AF8-4427-AC4C-262329A481B3}">
      <dgm:prSet/>
      <dgm:spPr/>
      <dgm:t>
        <a:bodyPr/>
        <a:lstStyle/>
        <a:p>
          <a:endParaRPr lang="en-US"/>
        </a:p>
      </dgm:t>
    </dgm:pt>
    <dgm:pt modelId="{8A259F83-95C6-4217-8BEF-43C8B53826B0}">
      <dgm:prSet custT="1"/>
      <dgm:spPr/>
      <dgm:t>
        <a:bodyPr/>
        <a:lstStyle/>
        <a:p>
          <a:pPr algn="ctr">
            <a:buNone/>
          </a:pPr>
          <a:r>
            <a:rPr lang="en-US" sz="1200">
              <a:latin typeface="Times New Roman" panose="02020603050405020304" pitchFamily="18" charset="0"/>
              <a:cs typeface="Times New Roman" panose="02020603050405020304" pitchFamily="18" charset="0"/>
            </a:rPr>
            <a:t>Emerging markets (12%)</a:t>
          </a:r>
        </a:p>
      </dgm:t>
    </dgm:pt>
    <dgm:pt modelId="{5F86C589-2FE0-4438-8947-63D12E288EDD}" type="parTrans" cxnId="{1BC1C017-D1C5-4565-8488-BE0FE070DD24}">
      <dgm:prSet/>
      <dgm:spPr/>
      <dgm:t>
        <a:bodyPr/>
        <a:lstStyle/>
        <a:p>
          <a:endParaRPr lang="en-US"/>
        </a:p>
      </dgm:t>
    </dgm:pt>
    <dgm:pt modelId="{8C09EDC1-C8BE-4060-9A07-E9283293B1E0}" type="sibTrans" cxnId="{1BC1C017-D1C5-4565-8488-BE0FE070DD24}">
      <dgm:prSet/>
      <dgm:spPr/>
      <dgm:t>
        <a:bodyPr/>
        <a:lstStyle/>
        <a:p>
          <a:endParaRPr lang="en-US"/>
        </a:p>
      </dgm:t>
    </dgm:pt>
    <dgm:pt modelId="{F7BD8771-E57B-4723-A93C-0461B1847369}">
      <dgm:prSet custT="1"/>
      <dgm:spPr/>
      <dgm:t>
        <a:bodyPr/>
        <a:lstStyle/>
        <a:p>
          <a:pPr algn="ctr">
            <a:buNone/>
          </a:pPr>
          <a:r>
            <a:rPr lang="en-US" sz="1200">
              <a:latin typeface="Times New Roman" panose="02020603050405020304" pitchFamily="18" charset="0"/>
              <a:cs typeface="Times New Roman" panose="02020603050405020304" pitchFamily="18" charset="0"/>
            </a:rPr>
            <a:t>Aspirational / access-driven</a:t>
          </a:r>
        </a:p>
      </dgm:t>
    </dgm:pt>
    <dgm:pt modelId="{BA227AE0-B260-4898-8920-EA8E7539EAEF}" type="parTrans" cxnId="{1EBCE5B5-4583-4870-A363-4D899774AB3C}">
      <dgm:prSet/>
      <dgm:spPr/>
      <dgm:t>
        <a:bodyPr/>
        <a:lstStyle/>
        <a:p>
          <a:endParaRPr lang="en-US"/>
        </a:p>
      </dgm:t>
    </dgm:pt>
    <dgm:pt modelId="{6B90D63E-0007-4039-84EB-C978FF04E6B6}" type="sibTrans" cxnId="{1EBCE5B5-4583-4870-A363-4D899774AB3C}">
      <dgm:prSet/>
      <dgm:spPr/>
      <dgm:t>
        <a:bodyPr/>
        <a:lstStyle/>
        <a:p>
          <a:endParaRPr lang="en-US"/>
        </a:p>
      </dgm:t>
    </dgm:pt>
    <dgm:pt modelId="{3AF2D927-EED9-4A45-9AD0-CB2253E153BE}" type="pres">
      <dgm:prSet presAssocID="{9AA8ADBB-9010-4F64-A8CF-1C2E7916B281}" presName="Name0" presStyleCnt="0">
        <dgm:presLayoutVars>
          <dgm:chMax/>
          <dgm:chPref val="3"/>
          <dgm:dir/>
          <dgm:animOne val="branch"/>
          <dgm:animLvl val="lvl"/>
        </dgm:presLayoutVars>
      </dgm:prSet>
      <dgm:spPr/>
    </dgm:pt>
    <dgm:pt modelId="{EB3D325F-0D68-4EB7-8BC1-9B48B77925AC}" type="pres">
      <dgm:prSet presAssocID="{EFFD797E-B82A-45D0-A6FF-88F471428C8D}" presName="composite" presStyleCnt="0"/>
      <dgm:spPr/>
    </dgm:pt>
    <dgm:pt modelId="{0126AAB4-8283-4DDB-AD3F-3EF65833322C}" type="pres">
      <dgm:prSet presAssocID="{EFFD797E-B82A-45D0-A6FF-88F471428C8D}" presName="FirstChild" presStyleLbl="revTx" presStyleIdx="0" presStyleCnt="4" custScaleX="135135">
        <dgm:presLayoutVars>
          <dgm:chMax val="0"/>
          <dgm:chPref val="0"/>
          <dgm:bulletEnabled val="1"/>
        </dgm:presLayoutVars>
      </dgm:prSet>
      <dgm:spPr/>
    </dgm:pt>
    <dgm:pt modelId="{74F9015A-F50B-436E-B3AC-20E15B34A4D0}" type="pres">
      <dgm:prSet presAssocID="{EFFD797E-B82A-45D0-A6FF-88F471428C8D}" presName="Parent" presStyleLbl="alignNode1" presStyleIdx="0" presStyleCnt="4" custScaleX="143736">
        <dgm:presLayoutVars>
          <dgm:chMax val="3"/>
          <dgm:chPref val="3"/>
          <dgm:bulletEnabled val="1"/>
        </dgm:presLayoutVars>
      </dgm:prSet>
      <dgm:spPr/>
    </dgm:pt>
    <dgm:pt modelId="{5F27BA15-CEB3-4465-A785-1D4F40A2A9CA}" type="pres">
      <dgm:prSet presAssocID="{EFFD797E-B82A-45D0-A6FF-88F471428C8D}" presName="Accent" presStyleLbl="parChTrans1D1" presStyleIdx="0" presStyleCnt="4"/>
      <dgm:spPr/>
    </dgm:pt>
    <dgm:pt modelId="{D1E35331-8E43-4C89-AC3E-8858F3777788}" type="pres">
      <dgm:prSet presAssocID="{17355A5F-A005-4F0F-AA25-8B343D0D3FC8}" presName="sibTrans" presStyleCnt="0"/>
      <dgm:spPr/>
    </dgm:pt>
    <dgm:pt modelId="{102A4470-22B9-4FE8-836C-79ED6F2FCE8C}" type="pres">
      <dgm:prSet presAssocID="{34612C34-4838-4E8E-B189-62F7AA606726}" presName="composite" presStyleCnt="0"/>
      <dgm:spPr/>
    </dgm:pt>
    <dgm:pt modelId="{1F2B09FD-47B0-4B1D-9D88-9C0262DAADB7}" type="pres">
      <dgm:prSet presAssocID="{34612C34-4838-4E8E-B189-62F7AA606726}" presName="FirstChild" presStyleLbl="revTx" presStyleIdx="1" presStyleCnt="4" custScaleX="135135">
        <dgm:presLayoutVars>
          <dgm:chMax val="0"/>
          <dgm:chPref val="0"/>
          <dgm:bulletEnabled val="1"/>
        </dgm:presLayoutVars>
      </dgm:prSet>
      <dgm:spPr/>
    </dgm:pt>
    <dgm:pt modelId="{6406E7B5-DD4D-49AA-B24A-CE51CC8519DB}" type="pres">
      <dgm:prSet presAssocID="{34612C34-4838-4E8E-B189-62F7AA606726}" presName="Parent" presStyleLbl="alignNode1" presStyleIdx="1" presStyleCnt="4" custScaleX="143736">
        <dgm:presLayoutVars>
          <dgm:chMax val="3"/>
          <dgm:chPref val="3"/>
          <dgm:bulletEnabled val="1"/>
        </dgm:presLayoutVars>
      </dgm:prSet>
      <dgm:spPr/>
    </dgm:pt>
    <dgm:pt modelId="{B5F49D03-86AE-4A54-BB32-518B20FDBE25}" type="pres">
      <dgm:prSet presAssocID="{34612C34-4838-4E8E-B189-62F7AA606726}" presName="Accent" presStyleLbl="parChTrans1D1" presStyleIdx="1" presStyleCnt="4"/>
      <dgm:spPr/>
    </dgm:pt>
    <dgm:pt modelId="{D293C299-448F-4586-92AA-96420992F825}" type="pres">
      <dgm:prSet presAssocID="{3F5BDE2C-16E4-40DD-BA4D-33F14EC2BBE5}" presName="sibTrans" presStyleCnt="0"/>
      <dgm:spPr/>
    </dgm:pt>
    <dgm:pt modelId="{EE868482-0F73-499E-8B82-10AC4B728862}" type="pres">
      <dgm:prSet presAssocID="{325FFDBB-B230-4B2A-9A63-784974438A16}" presName="composite" presStyleCnt="0"/>
      <dgm:spPr/>
    </dgm:pt>
    <dgm:pt modelId="{C6355DF0-E40F-4BD6-98D6-F2C893D3F524}" type="pres">
      <dgm:prSet presAssocID="{325FFDBB-B230-4B2A-9A63-784974438A16}" presName="FirstChild" presStyleLbl="revTx" presStyleIdx="2" presStyleCnt="4" custScaleX="135135">
        <dgm:presLayoutVars>
          <dgm:chMax val="0"/>
          <dgm:chPref val="0"/>
          <dgm:bulletEnabled val="1"/>
        </dgm:presLayoutVars>
      </dgm:prSet>
      <dgm:spPr/>
    </dgm:pt>
    <dgm:pt modelId="{87692D78-8DAE-4BD5-8455-F0CD4D2E2C40}" type="pres">
      <dgm:prSet presAssocID="{325FFDBB-B230-4B2A-9A63-784974438A16}" presName="Parent" presStyleLbl="alignNode1" presStyleIdx="2" presStyleCnt="4" custScaleX="143736">
        <dgm:presLayoutVars>
          <dgm:chMax val="3"/>
          <dgm:chPref val="3"/>
          <dgm:bulletEnabled val="1"/>
        </dgm:presLayoutVars>
      </dgm:prSet>
      <dgm:spPr/>
    </dgm:pt>
    <dgm:pt modelId="{F39519FE-DB51-466F-812C-A1270F9513F4}" type="pres">
      <dgm:prSet presAssocID="{325FFDBB-B230-4B2A-9A63-784974438A16}" presName="Accent" presStyleLbl="parChTrans1D1" presStyleIdx="2" presStyleCnt="4"/>
      <dgm:spPr/>
    </dgm:pt>
    <dgm:pt modelId="{D79A5D0F-7D22-4B9E-A4C3-2600B9D3512A}" type="pres">
      <dgm:prSet presAssocID="{527FC8C5-A02E-4011-BD37-9A5B3846EC8E}" presName="sibTrans" presStyleCnt="0"/>
      <dgm:spPr/>
    </dgm:pt>
    <dgm:pt modelId="{4DB4B59B-8D21-459E-99B3-A8E5B70EF806}" type="pres">
      <dgm:prSet presAssocID="{8A259F83-95C6-4217-8BEF-43C8B53826B0}" presName="composite" presStyleCnt="0"/>
      <dgm:spPr/>
    </dgm:pt>
    <dgm:pt modelId="{61BE2D39-A0DD-45B8-B004-DCEA549F1D82}" type="pres">
      <dgm:prSet presAssocID="{8A259F83-95C6-4217-8BEF-43C8B53826B0}" presName="FirstChild" presStyleLbl="revTx" presStyleIdx="3" presStyleCnt="4" custScaleX="135135">
        <dgm:presLayoutVars>
          <dgm:chMax val="0"/>
          <dgm:chPref val="0"/>
          <dgm:bulletEnabled val="1"/>
        </dgm:presLayoutVars>
      </dgm:prSet>
      <dgm:spPr/>
    </dgm:pt>
    <dgm:pt modelId="{B614D03A-1BD2-4526-BBF0-0872AA2A4B7E}" type="pres">
      <dgm:prSet presAssocID="{8A259F83-95C6-4217-8BEF-43C8B53826B0}" presName="Parent" presStyleLbl="alignNode1" presStyleIdx="3" presStyleCnt="4" custScaleX="143736">
        <dgm:presLayoutVars>
          <dgm:chMax val="3"/>
          <dgm:chPref val="3"/>
          <dgm:bulletEnabled val="1"/>
        </dgm:presLayoutVars>
      </dgm:prSet>
      <dgm:spPr/>
    </dgm:pt>
    <dgm:pt modelId="{3C78F672-D724-4F08-9041-3B344CD89E40}" type="pres">
      <dgm:prSet presAssocID="{8A259F83-95C6-4217-8BEF-43C8B53826B0}" presName="Accent" presStyleLbl="parChTrans1D1" presStyleIdx="3" presStyleCnt="4"/>
      <dgm:spPr/>
    </dgm:pt>
  </dgm:ptLst>
  <dgm:cxnLst>
    <dgm:cxn modelId="{783F1C0E-5AAC-4248-BCF4-ED827B39D1A3}" srcId="{9AA8ADBB-9010-4F64-A8CF-1C2E7916B281}" destId="{34612C34-4838-4E8E-B189-62F7AA606726}" srcOrd="1" destOrd="0" parTransId="{086E84BF-B399-4774-8765-1E722BEA3386}" sibTransId="{3F5BDE2C-16E4-40DD-BA4D-33F14EC2BBE5}"/>
    <dgm:cxn modelId="{9EC4CB15-4906-4F09-AC60-0D2C20ECAA61}" type="presOf" srcId="{EFFD797E-B82A-45D0-A6FF-88F471428C8D}" destId="{74F9015A-F50B-436E-B3AC-20E15B34A4D0}" srcOrd="0" destOrd="0" presId="urn:microsoft.com/office/officeart/2011/layout/TabList"/>
    <dgm:cxn modelId="{FC0DB016-9EDC-4793-A2B3-FD47A518BFF4}" type="presOf" srcId="{21C37FA7-0888-448D-BC75-F1D28F0AA894}" destId="{C6355DF0-E40F-4BD6-98D6-F2C893D3F524}" srcOrd="0" destOrd="0" presId="urn:microsoft.com/office/officeart/2011/layout/TabList"/>
    <dgm:cxn modelId="{1BC1C017-D1C5-4565-8488-BE0FE070DD24}" srcId="{9AA8ADBB-9010-4F64-A8CF-1C2E7916B281}" destId="{8A259F83-95C6-4217-8BEF-43C8B53826B0}" srcOrd="3" destOrd="0" parTransId="{5F86C589-2FE0-4438-8947-63D12E288EDD}" sibTransId="{8C09EDC1-C8BE-4060-9A07-E9283293B1E0}"/>
    <dgm:cxn modelId="{852B571B-0FE4-4CF5-98A6-FD8B7D4B4DEB}" type="presOf" srcId="{9AA8ADBB-9010-4F64-A8CF-1C2E7916B281}" destId="{3AF2D927-EED9-4A45-9AD0-CB2253E153BE}" srcOrd="0" destOrd="0" presId="urn:microsoft.com/office/officeart/2011/layout/TabList"/>
    <dgm:cxn modelId="{F5B9532B-37B1-45C5-BA9F-EB693A93C1A5}" type="presOf" srcId="{325FFDBB-B230-4B2A-9A63-784974438A16}" destId="{87692D78-8DAE-4BD5-8455-F0CD4D2E2C40}" srcOrd="0" destOrd="0" presId="urn:microsoft.com/office/officeart/2011/layout/TabList"/>
    <dgm:cxn modelId="{2255514C-8328-4C4C-9E21-180AB935D616}" type="presOf" srcId="{34612C34-4838-4E8E-B189-62F7AA606726}" destId="{6406E7B5-DD4D-49AA-B24A-CE51CC8519DB}" srcOrd="0" destOrd="0" presId="urn:microsoft.com/office/officeart/2011/layout/TabList"/>
    <dgm:cxn modelId="{3696554C-6AF8-4427-AC4C-262329A481B3}" srcId="{325FFDBB-B230-4B2A-9A63-784974438A16}" destId="{21C37FA7-0888-448D-BC75-F1D28F0AA894}" srcOrd="0" destOrd="0" parTransId="{0A29FF1F-47D2-47E9-9DCE-A3B0525F2C90}" sibTransId="{053648D4-EE1F-409A-94AD-80EC9DEAC0A4}"/>
    <dgm:cxn modelId="{05DDED73-2E62-4AC9-A6E9-B345DB416CC4}" type="presOf" srcId="{5ED8CE1D-3898-45DB-BE76-D3C9517FF38F}" destId="{0126AAB4-8283-4DDB-AD3F-3EF65833322C}" srcOrd="0" destOrd="0" presId="urn:microsoft.com/office/officeart/2011/layout/TabList"/>
    <dgm:cxn modelId="{6A9E325A-95F9-41C8-8D4F-7F494064C1B1}" srcId="{9AA8ADBB-9010-4F64-A8CF-1C2E7916B281}" destId="{EFFD797E-B82A-45D0-A6FF-88F471428C8D}" srcOrd="0" destOrd="0" parTransId="{F30DDCDB-8586-425A-BCC3-AD078DDA3DB8}" sibTransId="{17355A5F-A005-4F0F-AA25-8B343D0D3FC8}"/>
    <dgm:cxn modelId="{A87E6FAC-F144-4FA0-82B6-9226A6F5CD78}" srcId="{9AA8ADBB-9010-4F64-A8CF-1C2E7916B281}" destId="{325FFDBB-B230-4B2A-9A63-784974438A16}" srcOrd="2" destOrd="0" parTransId="{783BD2EF-1FC5-4D3E-BBEA-A5728184D414}" sibTransId="{527FC8C5-A02E-4011-BD37-9A5B3846EC8E}"/>
    <dgm:cxn modelId="{1EBCE5B5-4583-4870-A363-4D899774AB3C}" srcId="{8A259F83-95C6-4217-8BEF-43C8B53826B0}" destId="{F7BD8771-E57B-4723-A93C-0461B1847369}" srcOrd="0" destOrd="0" parTransId="{BA227AE0-B260-4898-8920-EA8E7539EAEF}" sibTransId="{6B90D63E-0007-4039-84EB-C978FF04E6B6}"/>
    <dgm:cxn modelId="{485911C6-281E-45F4-88F3-FB353947083A}" srcId="{EFFD797E-B82A-45D0-A6FF-88F471428C8D}" destId="{5ED8CE1D-3898-45DB-BE76-D3C9517FF38F}" srcOrd="0" destOrd="0" parTransId="{45B73BA7-BC59-44FD-A5B1-4C86BE98D209}" sibTransId="{C3D38FAB-1D29-4331-A8D2-CA2FA67C38E8}"/>
    <dgm:cxn modelId="{CED59AE2-99EF-441A-AF40-BF26DA2FBA49}" type="presOf" srcId="{8A259F83-95C6-4217-8BEF-43C8B53826B0}" destId="{B614D03A-1BD2-4526-BBF0-0872AA2A4B7E}" srcOrd="0" destOrd="0" presId="urn:microsoft.com/office/officeart/2011/layout/TabList"/>
    <dgm:cxn modelId="{D2FD82E4-1751-4256-86F6-002EF82181FF}" type="presOf" srcId="{35E0AF5D-C584-40F8-8C38-019B7BF45DB5}" destId="{1F2B09FD-47B0-4B1D-9D88-9C0262DAADB7}" srcOrd="0" destOrd="0" presId="urn:microsoft.com/office/officeart/2011/layout/TabList"/>
    <dgm:cxn modelId="{34B6C5E5-E4ED-4E38-90EF-5F3E2E1FE37F}" type="presOf" srcId="{F7BD8771-E57B-4723-A93C-0461B1847369}" destId="{61BE2D39-A0DD-45B8-B004-DCEA549F1D82}" srcOrd="0" destOrd="0" presId="urn:microsoft.com/office/officeart/2011/layout/TabList"/>
    <dgm:cxn modelId="{5CFEC3EB-2957-49B0-8446-80D324C97235}" srcId="{34612C34-4838-4E8E-B189-62F7AA606726}" destId="{35E0AF5D-C584-40F8-8C38-019B7BF45DB5}" srcOrd="0" destOrd="0" parTransId="{46E66188-FAE1-4B21-B9A8-ED545B1D873C}" sibTransId="{669A052E-0F78-454B-A725-A113766E77C1}"/>
    <dgm:cxn modelId="{5F35774E-ADA8-4C43-B02F-F0193FCAC05A}" type="presParOf" srcId="{3AF2D927-EED9-4A45-9AD0-CB2253E153BE}" destId="{EB3D325F-0D68-4EB7-8BC1-9B48B77925AC}" srcOrd="0" destOrd="0" presId="urn:microsoft.com/office/officeart/2011/layout/TabList"/>
    <dgm:cxn modelId="{CB30EFA1-8E5D-455E-930A-D729E81A1317}" type="presParOf" srcId="{EB3D325F-0D68-4EB7-8BC1-9B48B77925AC}" destId="{0126AAB4-8283-4DDB-AD3F-3EF65833322C}" srcOrd="0" destOrd="0" presId="urn:microsoft.com/office/officeart/2011/layout/TabList"/>
    <dgm:cxn modelId="{8371D724-1406-4646-9BF0-B608A26135DE}" type="presParOf" srcId="{EB3D325F-0D68-4EB7-8BC1-9B48B77925AC}" destId="{74F9015A-F50B-436E-B3AC-20E15B34A4D0}" srcOrd="1" destOrd="0" presId="urn:microsoft.com/office/officeart/2011/layout/TabList"/>
    <dgm:cxn modelId="{6498C5BB-425F-4A4F-BC88-07237FDBAAEF}" type="presParOf" srcId="{EB3D325F-0D68-4EB7-8BC1-9B48B77925AC}" destId="{5F27BA15-CEB3-4465-A785-1D4F40A2A9CA}" srcOrd="2" destOrd="0" presId="urn:microsoft.com/office/officeart/2011/layout/TabList"/>
    <dgm:cxn modelId="{C6F49425-4587-4802-BB64-8F4C20A5EF0F}" type="presParOf" srcId="{3AF2D927-EED9-4A45-9AD0-CB2253E153BE}" destId="{D1E35331-8E43-4C89-AC3E-8858F3777788}" srcOrd="1" destOrd="0" presId="urn:microsoft.com/office/officeart/2011/layout/TabList"/>
    <dgm:cxn modelId="{544D74B6-EB86-4E2A-837A-FFFE19E475B3}" type="presParOf" srcId="{3AF2D927-EED9-4A45-9AD0-CB2253E153BE}" destId="{102A4470-22B9-4FE8-836C-79ED6F2FCE8C}" srcOrd="2" destOrd="0" presId="urn:microsoft.com/office/officeart/2011/layout/TabList"/>
    <dgm:cxn modelId="{727E9314-57A4-4420-8769-D40745F362D7}" type="presParOf" srcId="{102A4470-22B9-4FE8-836C-79ED6F2FCE8C}" destId="{1F2B09FD-47B0-4B1D-9D88-9C0262DAADB7}" srcOrd="0" destOrd="0" presId="urn:microsoft.com/office/officeart/2011/layout/TabList"/>
    <dgm:cxn modelId="{A0B664F4-D158-4C6A-B007-3CD012E15E95}" type="presParOf" srcId="{102A4470-22B9-4FE8-836C-79ED6F2FCE8C}" destId="{6406E7B5-DD4D-49AA-B24A-CE51CC8519DB}" srcOrd="1" destOrd="0" presId="urn:microsoft.com/office/officeart/2011/layout/TabList"/>
    <dgm:cxn modelId="{6F22BFB7-DC43-4F8C-B5A8-D62689AB70F9}" type="presParOf" srcId="{102A4470-22B9-4FE8-836C-79ED6F2FCE8C}" destId="{B5F49D03-86AE-4A54-BB32-518B20FDBE25}" srcOrd="2" destOrd="0" presId="urn:microsoft.com/office/officeart/2011/layout/TabList"/>
    <dgm:cxn modelId="{4C08B8B8-2582-45EF-ABBF-B2F97F4D7A99}" type="presParOf" srcId="{3AF2D927-EED9-4A45-9AD0-CB2253E153BE}" destId="{D293C299-448F-4586-92AA-96420992F825}" srcOrd="3" destOrd="0" presId="urn:microsoft.com/office/officeart/2011/layout/TabList"/>
    <dgm:cxn modelId="{FDC32795-09C4-4663-BDC1-A4E1448F979D}" type="presParOf" srcId="{3AF2D927-EED9-4A45-9AD0-CB2253E153BE}" destId="{EE868482-0F73-499E-8B82-10AC4B728862}" srcOrd="4" destOrd="0" presId="urn:microsoft.com/office/officeart/2011/layout/TabList"/>
    <dgm:cxn modelId="{FCA2F547-3952-499D-A74C-AEE0C9B8D59C}" type="presParOf" srcId="{EE868482-0F73-499E-8B82-10AC4B728862}" destId="{C6355DF0-E40F-4BD6-98D6-F2C893D3F524}" srcOrd="0" destOrd="0" presId="urn:microsoft.com/office/officeart/2011/layout/TabList"/>
    <dgm:cxn modelId="{74E3604D-D5EA-432C-B135-CF4EC264203C}" type="presParOf" srcId="{EE868482-0F73-499E-8B82-10AC4B728862}" destId="{87692D78-8DAE-4BD5-8455-F0CD4D2E2C40}" srcOrd="1" destOrd="0" presId="urn:microsoft.com/office/officeart/2011/layout/TabList"/>
    <dgm:cxn modelId="{8FC7242B-A242-4712-B434-2A62ABD42A8F}" type="presParOf" srcId="{EE868482-0F73-499E-8B82-10AC4B728862}" destId="{F39519FE-DB51-466F-812C-A1270F9513F4}" srcOrd="2" destOrd="0" presId="urn:microsoft.com/office/officeart/2011/layout/TabList"/>
    <dgm:cxn modelId="{C49B1877-BF82-417F-937D-C8F3FE3B8E89}" type="presParOf" srcId="{3AF2D927-EED9-4A45-9AD0-CB2253E153BE}" destId="{D79A5D0F-7D22-4B9E-A4C3-2600B9D3512A}" srcOrd="5" destOrd="0" presId="urn:microsoft.com/office/officeart/2011/layout/TabList"/>
    <dgm:cxn modelId="{5268FF2A-0977-4FD7-A2C0-E4B253CEEAEC}" type="presParOf" srcId="{3AF2D927-EED9-4A45-9AD0-CB2253E153BE}" destId="{4DB4B59B-8D21-459E-99B3-A8E5B70EF806}" srcOrd="6" destOrd="0" presId="urn:microsoft.com/office/officeart/2011/layout/TabList"/>
    <dgm:cxn modelId="{FDFB268A-AC63-409C-8676-E16032E36777}" type="presParOf" srcId="{4DB4B59B-8D21-459E-99B3-A8E5B70EF806}" destId="{61BE2D39-A0DD-45B8-B004-DCEA549F1D82}" srcOrd="0" destOrd="0" presId="urn:microsoft.com/office/officeart/2011/layout/TabList"/>
    <dgm:cxn modelId="{5D294082-1FF3-4D6E-90E1-FEEFA2220501}" type="presParOf" srcId="{4DB4B59B-8D21-459E-99B3-A8E5B70EF806}" destId="{B614D03A-1BD2-4526-BBF0-0872AA2A4B7E}" srcOrd="1" destOrd="0" presId="urn:microsoft.com/office/officeart/2011/layout/TabList"/>
    <dgm:cxn modelId="{7503ED21-5CCC-4EEF-809C-C2DE020C8DD0}" type="presParOf" srcId="{4DB4B59B-8D21-459E-99B3-A8E5B70EF806}" destId="{3C78F672-D724-4F08-9041-3B344CD89E40}" srcOrd="2" destOrd="0" presId="urn:microsoft.com/office/officeart/2011/layout/TabList"/>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6022AC1E-061A-40F4-8375-7A554002D657}" type="doc">
      <dgm:prSet loTypeId="urn:microsoft.com/office/officeart/2008/layout/LinedList" loCatId="list" qsTypeId="urn:microsoft.com/office/officeart/2005/8/quickstyle/simple1" qsCatId="simple" csTypeId="urn:microsoft.com/office/officeart/2005/8/colors/colorful2" csCatId="colorful" phldr="1"/>
      <dgm:spPr/>
      <dgm:t>
        <a:bodyPr/>
        <a:lstStyle/>
        <a:p>
          <a:endParaRPr lang="en-US"/>
        </a:p>
      </dgm:t>
    </dgm:pt>
    <dgm:pt modelId="{8B3A637D-64DD-4C71-92EF-3D466EDF8898}">
      <dgm:prSet phldrT="[Text]" custT="1"/>
      <dgm:spPr/>
      <dgm:t>
        <a:bodyPr/>
        <a:lstStyle/>
        <a:p>
          <a:pPr algn="ctr">
            <a:buNone/>
          </a:pPr>
          <a:r>
            <a:rPr lang="en-US" sz="1200">
              <a:latin typeface="Times New Roman" panose="02020603050405020304" pitchFamily="18" charset="0"/>
              <a:cs typeface="Times New Roman" panose="02020603050405020304" pitchFamily="18" charset="0"/>
            </a:rPr>
            <a:t>Product</a:t>
          </a:r>
        </a:p>
      </dgm:t>
    </dgm:pt>
    <dgm:pt modelId="{A0397C1C-5533-4DA4-9C61-B23468B918FC}" type="parTrans" cxnId="{C3817F1B-D50F-4157-B0A8-3AF3D2EA9D3B}">
      <dgm:prSet/>
      <dgm:spPr/>
      <dgm:t>
        <a:bodyPr/>
        <a:lstStyle/>
        <a:p>
          <a:endParaRPr lang="en-US"/>
        </a:p>
      </dgm:t>
    </dgm:pt>
    <dgm:pt modelId="{409FFD4F-DCEC-463F-B822-18984499EA58}" type="sibTrans" cxnId="{C3817F1B-D50F-4157-B0A8-3AF3D2EA9D3B}">
      <dgm:prSet/>
      <dgm:spPr/>
      <dgm:t>
        <a:bodyPr/>
        <a:lstStyle/>
        <a:p>
          <a:endParaRPr lang="en-US"/>
        </a:p>
      </dgm:t>
    </dgm:pt>
    <dgm:pt modelId="{A448E959-3356-47FD-9781-B53E3E8F315A}">
      <dgm:prSet custT="1"/>
      <dgm:spPr/>
      <dgm:t>
        <a:bodyPr/>
        <a:lstStyle/>
        <a:p>
          <a:pPr algn="ctr">
            <a:buNone/>
          </a:pPr>
          <a:r>
            <a:rPr lang="en-US" sz="1200">
              <a:latin typeface="Times New Roman" panose="02020603050405020304" pitchFamily="18" charset="0"/>
              <a:cs typeface="Times New Roman" panose="02020603050405020304" pitchFamily="18" charset="0"/>
            </a:rPr>
            <a:t>Pricing</a:t>
          </a:r>
        </a:p>
      </dgm:t>
    </dgm:pt>
    <dgm:pt modelId="{A0923B98-DBCB-4AA5-BE1E-A3810A83AF5E}" type="parTrans" cxnId="{71EDCBCA-C82B-4F11-9438-0AFE6743E04D}">
      <dgm:prSet/>
      <dgm:spPr/>
      <dgm:t>
        <a:bodyPr/>
        <a:lstStyle/>
        <a:p>
          <a:endParaRPr lang="en-US"/>
        </a:p>
      </dgm:t>
    </dgm:pt>
    <dgm:pt modelId="{43755A2E-5BA6-451E-8F3A-443CDE616F98}" type="sibTrans" cxnId="{71EDCBCA-C82B-4F11-9438-0AFE6743E04D}">
      <dgm:prSet/>
      <dgm:spPr/>
      <dgm:t>
        <a:bodyPr/>
        <a:lstStyle/>
        <a:p>
          <a:endParaRPr lang="en-US"/>
        </a:p>
      </dgm:t>
    </dgm:pt>
    <dgm:pt modelId="{BA3DBA8A-197D-4D4B-B9CE-386ED78BC1E7}">
      <dgm:prSet custT="1"/>
      <dgm:spPr/>
      <dgm:t>
        <a:bodyPr/>
        <a:lstStyle/>
        <a:p>
          <a:pPr algn="ctr">
            <a:buNone/>
          </a:pPr>
          <a:r>
            <a:rPr lang="en-US" sz="1200">
              <a:latin typeface="Times New Roman" panose="02020603050405020304" pitchFamily="18" charset="0"/>
              <a:cs typeface="Times New Roman" panose="02020603050405020304" pitchFamily="18" charset="0"/>
            </a:rPr>
            <a:t>Place</a:t>
          </a:r>
        </a:p>
      </dgm:t>
    </dgm:pt>
    <dgm:pt modelId="{26B655CE-9C1C-420F-8F4A-E139340792DF}" type="parTrans" cxnId="{D571B4B2-C1DE-4749-89B5-F3212306C6E9}">
      <dgm:prSet/>
      <dgm:spPr/>
      <dgm:t>
        <a:bodyPr/>
        <a:lstStyle/>
        <a:p>
          <a:endParaRPr lang="en-US"/>
        </a:p>
      </dgm:t>
    </dgm:pt>
    <dgm:pt modelId="{20404E1F-743B-4787-8191-D646DFEDFFE1}" type="sibTrans" cxnId="{D571B4B2-C1DE-4749-89B5-F3212306C6E9}">
      <dgm:prSet/>
      <dgm:spPr/>
      <dgm:t>
        <a:bodyPr/>
        <a:lstStyle/>
        <a:p>
          <a:endParaRPr lang="en-US"/>
        </a:p>
      </dgm:t>
    </dgm:pt>
    <dgm:pt modelId="{EC5276FD-52AF-40C7-BBCF-810AE172BA2E}">
      <dgm:prSet custT="1"/>
      <dgm:spPr/>
      <dgm:t>
        <a:bodyPr/>
        <a:lstStyle/>
        <a:p>
          <a:pPr algn="ctr">
            <a:buNone/>
          </a:pPr>
          <a:r>
            <a:rPr lang="en-US" sz="1200">
              <a:latin typeface="Times New Roman" panose="02020603050405020304" pitchFamily="18" charset="0"/>
              <a:cs typeface="Times New Roman" panose="02020603050405020304" pitchFamily="18" charset="0"/>
            </a:rPr>
            <a:t>Promotion</a:t>
          </a:r>
        </a:p>
      </dgm:t>
    </dgm:pt>
    <dgm:pt modelId="{BB2E9C97-AB66-47E7-B43C-5806130CD05A}" type="parTrans" cxnId="{6AA749F7-0300-4D8E-B493-3C8F6EB341B8}">
      <dgm:prSet/>
      <dgm:spPr/>
      <dgm:t>
        <a:bodyPr/>
        <a:lstStyle/>
        <a:p>
          <a:endParaRPr lang="en-US"/>
        </a:p>
      </dgm:t>
    </dgm:pt>
    <dgm:pt modelId="{8D4DC25F-1A58-4F37-AE6A-02C10CB49316}" type="sibTrans" cxnId="{6AA749F7-0300-4D8E-B493-3C8F6EB341B8}">
      <dgm:prSet/>
      <dgm:spPr/>
      <dgm:t>
        <a:bodyPr/>
        <a:lstStyle/>
        <a:p>
          <a:endParaRPr lang="en-US"/>
        </a:p>
      </dgm:t>
    </dgm:pt>
    <dgm:pt modelId="{BE4D5387-3DAD-48D2-8045-5139DC1DC346}">
      <dgm:prSet phldrT="[Text]" custT="1"/>
      <dgm:spPr/>
      <dgm:t>
        <a:bodyPr/>
        <a:lstStyle/>
        <a:p>
          <a:pPr algn="ctr">
            <a:buNone/>
          </a:pPr>
          <a:r>
            <a:rPr lang="en-US" sz="1200">
              <a:latin typeface="Times New Roman" panose="02020603050405020304" pitchFamily="18" charset="0"/>
              <a:cs typeface="Times New Roman" panose="02020603050405020304" pitchFamily="18" charset="0"/>
            </a:rPr>
            <a:t>Tesla's strategic misalignment is the result of a product strategy that groups fundamentally heterogeneous categories of customers – from price-sensitive (Model 3) to ultra-luxury (Roadster) – into a single global brand. This creates positioning dilution, which is not scale efficiency, which is not segmentation logic (Ghar, 2024). The issue is further complicated by a lack of regional adaptation despite differences in regulatory and cultural market conditions (Lei, 2025a), a weakness that is especially exhibited by East Asia in the face of more local competitors (Ding and Lee, 2023).</a:t>
          </a:r>
        </a:p>
      </dgm:t>
    </dgm:pt>
    <dgm:pt modelId="{2F40ED86-2B16-4BDE-8682-09E48994CCCA}" type="parTrans" cxnId="{2BF0AF12-04A7-479B-B1CA-F4D33A9B87F7}">
      <dgm:prSet/>
      <dgm:spPr/>
      <dgm:t>
        <a:bodyPr/>
        <a:lstStyle/>
        <a:p>
          <a:endParaRPr lang="en-US"/>
        </a:p>
      </dgm:t>
    </dgm:pt>
    <dgm:pt modelId="{01C952F3-49AB-4A06-ACC5-45F70E61F320}" type="sibTrans" cxnId="{2BF0AF12-04A7-479B-B1CA-F4D33A9B87F7}">
      <dgm:prSet/>
      <dgm:spPr/>
      <dgm:t>
        <a:bodyPr/>
        <a:lstStyle/>
        <a:p>
          <a:endParaRPr lang="en-US"/>
        </a:p>
      </dgm:t>
    </dgm:pt>
    <dgm:pt modelId="{1354CB67-14BA-4C90-AAED-EBAE48413544}">
      <dgm:prSet custT="1"/>
      <dgm:spPr/>
      <dgm:t>
        <a:bodyPr/>
        <a:lstStyle/>
        <a:p>
          <a:pPr algn="ctr">
            <a:buNone/>
          </a:pPr>
          <a:r>
            <a:rPr lang="en-US" sz="1200">
              <a:latin typeface="Times New Roman" panose="02020603050405020304" pitchFamily="18" charset="0"/>
              <a:cs typeface="Times New Roman" panose="02020603050405020304" pitchFamily="18" charset="0"/>
            </a:rPr>
            <a:t>This strategy contributes to this incoherence. Frequent and major adjustments, especially for Models 3 and Y, detract from the stability of premium values and reflect a defensive responsiveness. This involves competition between two competitors dismantling margins with the lack of long-term differentiation while commoditisation risks arise quickly (Huang et al., 2023).</a:t>
          </a:r>
        </a:p>
      </dgm:t>
    </dgm:pt>
    <dgm:pt modelId="{A6D8FA98-08E7-4092-A099-31F9828E2C6A}" type="parTrans" cxnId="{135CF3C9-00DA-49C5-9DA8-BD2C433D33FA}">
      <dgm:prSet/>
      <dgm:spPr/>
      <dgm:t>
        <a:bodyPr/>
        <a:lstStyle/>
        <a:p>
          <a:endParaRPr lang="en-US"/>
        </a:p>
      </dgm:t>
    </dgm:pt>
    <dgm:pt modelId="{9D6BC8D1-C37F-4837-8267-C50D1793E6B7}" type="sibTrans" cxnId="{135CF3C9-00DA-49C5-9DA8-BD2C433D33FA}">
      <dgm:prSet/>
      <dgm:spPr/>
      <dgm:t>
        <a:bodyPr/>
        <a:lstStyle/>
        <a:p>
          <a:endParaRPr lang="en-US"/>
        </a:p>
      </dgm:t>
    </dgm:pt>
    <dgm:pt modelId="{D9851356-D9EB-499A-A47A-DBCDC77D2C9A}">
      <dgm:prSet custT="1"/>
      <dgm:spPr/>
      <dgm:t>
        <a:bodyPr/>
        <a:lstStyle/>
        <a:p>
          <a:pPr algn="ctr">
            <a:buNone/>
          </a:pPr>
          <a:r>
            <a:rPr lang="en-US" sz="1200">
              <a:latin typeface="Times New Roman" panose="02020603050405020304" pitchFamily="18" charset="0"/>
              <a:cs typeface="Times New Roman" panose="02020603050405020304" pitchFamily="18" charset="0"/>
            </a:rPr>
            <a:t>This strategy limits effectiveness as well. The direct-to-consumer model limits geographical reach and narrows down penetration in early-adopter locations. Tesla requires a higher level of granular geographic targeting rather than a homogenous global distribution (Lei, 2025b) and underutilises the strategic potential of its Supercharger network.</a:t>
          </a:r>
        </a:p>
      </dgm:t>
    </dgm:pt>
    <dgm:pt modelId="{F6D9ED06-E168-4B9F-8EAB-250D13514D04}" type="parTrans" cxnId="{E74C4728-1C81-4948-B5BA-DD9FA2AA61C7}">
      <dgm:prSet/>
      <dgm:spPr/>
      <dgm:t>
        <a:bodyPr/>
        <a:lstStyle/>
        <a:p>
          <a:endParaRPr lang="en-US"/>
        </a:p>
      </dgm:t>
    </dgm:pt>
    <dgm:pt modelId="{86402ED0-5DBF-4748-B7A3-0B0698216A5C}" type="sibTrans" cxnId="{E74C4728-1C81-4948-B5BA-DD9FA2AA61C7}">
      <dgm:prSet/>
      <dgm:spPr/>
      <dgm:t>
        <a:bodyPr/>
        <a:lstStyle/>
        <a:p>
          <a:endParaRPr lang="en-US"/>
        </a:p>
      </dgm:t>
    </dgm:pt>
    <dgm:pt modelId="{0103C75F-74CE-4730-9A3D-93E189701085}">
      <dgm:prSet custT="1"/>
      <dgm:spPr/>
      <dgm:t>
        <a:bodyPr/>
        <a:lstStyle/>
        <a:p>
          <a:pPr algn="ctr">
            <a:buNone/>
          </a:pPr>
          <a:r>
            <a:rPr lang="en-US" sz="1200">
              <a:latin typeface="Times New Roman" panose="02020603050405020304" pitchFamily="18" charset="0"/>
              <a:cs typeface="Times New Roman" panose="02020603050405020304" pitchFamily="18" charset="0"/>
            </a:rPr>
            <a:t>Promotion and process dynamics contribute to these problems. Over-reliance on increasing founder-led earned media suffers from diminishing returns as others in the industry sophisticate communications (Gao, 2023), whilst inconsistencies of service negate experiential credibility. As a result, the future competitiveness of Tesla depends on its abandonment of its sole global narrative in favour of clear hierarchies of segments and regionally differentiated positioning (Lu, 2025).</a:t>
          </a:r>
        </a:p>
      </dgm:t>
    </dgm:pt>
    <dgm:pt modelId="{E2D75548-0FD4-4DA3-9C97-ABA542105C2A}" type="parTrans" cxnId="{2AC093FC-A11E-441A-A419-54B5E46D96D9}">
      <dgm:prSet/>
      <dgm:spPr/>
      <dgm:t>
        <a:bodyPr/>
        <a:lstStyle/>
        <a:p>
          <a:endParaRPr lang="en-US"/>
        </a:p>
      </dgm:t>
    </dgm:pt>
    <dgm:pt modelId="{E541C204-9559-4986-9FB9-CA2ABC0707E9}" type="sibTrans" cxnId="{2AC093FC-A11E-441A-A419-54B5E46D96D9}">
      <dgm:prSet/>
      <dgm:spPr/>
      <dgm:t>
        <a:bodyPr/>
        <a:lstStyle/>
        <a:p>
          <a:endParaRPr lang="en-US"/>
        </a:p>
      </dgm:t>
    </dgm:pt>
    <dgm:pt modelId="{104421FF-1FE9-43ED-8245-FC6BA7A730C1}" type="pres">
      <dgm:prSet presAssocID="{6022AC1E-061A-40F4-8375-7A554002D657}" presName="vert0" presStyleCnt="0">
        <dgm:presLayoutVars>
          <dgm:dir/>
          <dgm:animOne val="branch"/>
          <dgm:animLvl val="lvl"/>
        </dgm:presLayoutVars>
      </dgm:prSet>
      <dgm:spPr/>
    </dgm:pt>
    <dgm:pt modelId="{37319259-A502-435B-A28C-126BF71FFF1F}" type="pres">
      <dgm:prSet presAssocID="{8B3A637D-64DD-4C71-92EF-3D466EDF8898}" presName="thickLine" presStyleLbl="alignNode1" presStyleIdx="0" presStyleCnt="4"/>
      <dgm:spPr/>
    </dgm:pt>
    <dgm:pt modelId="{E43B70E4-7C4F-4259-B2D4-16F4CF40A6DD}" type="pres">
      <dgm:prSet presAssocID="{8B3A637D-64DD-4C71-92EF-3D466EDF8898}" presName="horz1" presStyleCnt="0"/>
      <dgm:spPr/>
    </dgm:pt>
    <dgm:pt modelId="{0E938224-3F11-4117-84A7-93ED816366E7}" type="pres">
      <dgm:prSet presAssocID="{8B3A637D-64DD-4C71-92EF-3D466EDF8898}" presName="tx1" presStyleLbl="revTx" presStyleIdx="0" presStyleCnt="8"/>
      <dgm:spPr/>
    </dgm:pt>
    <dgm:pt modelId="{16F18E89-11DD-41E2-8A88-534AAEB87468}" type="pres">
      <dgm:prSet presAssocID="{8B3A637D-64DD-4C71-92EF-3D466EDF8898}" presName="vert1" presStyleCnt="0"/>
      <dgm:spPr/>
    </dgm:pt>
    <dgm:pt modelId="{4D177F62-40AC-440A-A60E-DD1F80DC72F0}" type="pres">
      <dgm:prSet presAssocID="{BE4D5387-3DAD-48D2-8045-5139DC1DC346}" presName="vertSpace2a" presStyleCnt="0"/>
      <dgm:spPr/>
    </dgm:pt>
    <dgm:pt modelId="{9CE5C019-0264-4093-A881-AC1DDA284F5E}" type="pres">
      <dgm:prSet presAssocID="{BE4D5387-3DAD-48D2-8045-5139DC1DC346}" presName="horz2" presStyleCnt="0"/>
      <dgm:spPr/>
    </dgm:pt>
    <dgm:pt modelId="{2F1B2CFB-8C4A-4DA6-B1AE-6459D1649AFB}" type="pres">
      <dgm:prSet presAssocID="{BE4D5387-3DAD-48D2-8045-5139DC1DC346}" presName="horzSpace2" presStyleCnt="0"/>
      <dgm:spPr/>
    </dgm:pt>
    <dgm:pt modelId="{6F110BD7-6E45-4ECE-BC1C-0BA29F283289}" type="pres">
      <dgm:prSet presAssocID="{BE4D5387-3DAD-48D2-8045-5139DC1DC346}" presName="tx2" presStyleLbl="revTx" presStyleIdx="1" presStyleCnt="8"/>
      <dgm:spPr/>
    </dgm:pt>
    <dgm:pt modelId="{F0FBE8E5-883C-4E5D-967C-BF9E1D163A6E}" type="pres">
      <dgm:prSet presAssocID="{BE4D5387-3DAD-48D2-8045-5139DC1DC346}" presName="vert2" presStyleCnt="0"/>
      <dgm:spPr/>
    </dgm:pt>
    <dgm:pt modelId="{1EE831E2-BFB9-4F13-9735-1D6A8F3D684A}" type="pres">
      <dgm:prSet presAssocID="{BE4D5387-3DAD-48D2-8045-5139DC1DC346}" presName="thinLine2b" presStyleLbl="callout" presStyleIdx="0" presStyleCnt="4"/>
      <dgm:spPr/>
    </dgm:pt>
    <dgm:pt modelId="{6CCBD408-0F07-4815-A99B-0B4912834EFE}" type="pres">
      <dgm:prSet presAssocID="{BE4D5387-3DAD-48D2-8045-5139DC1DC346}" presName="vertSpace2b" presStyleCnt="0"/>
      <dgm:spPr/>
    </dgm:pt>
    <dgm:pt modelId="{3E5221FA-12D4-4EB5-9C87-A5FEB4092524}" type="pres">
      <dgm:prSet presAssocID="{A448E959-3356-47FD-9781-B53E3E8F315A}" presName="thickLine" presStyleLbl="alignNode1" presStyleIdx="1" presStyleCnt="4"/>
      <dgm:spPr/>
    </dgm:pt>
    <dgm:pt modelId="{CF70B270-4682-42F9-B877-4B3B27819664}" type="pres">
      <dgm:prSet presAssocID="{A448E959-3356-47FD-9781-B53E3E8F315A}" presName="horz1" presStyleCnt="0"/>
      <dgm:spPr/>
    </dgm:pt>
    <dgm:pt modelId="{5C93A809-3132-4845-ABE9-F547CD5C1AE2}" type="pres">
      <dgm:prSet presAssocID="{A448E959-3356-47FD-9781-B53E3E8F315A}" presName="tx1" presStyleLbl="revTx" presStyleIdx="2" presStyleCnt="8"/>
      <dgm:spPr/>
    </dgm:pt>
    <dgm:pt modelId="{186E2C5D-67E5-44C1-A061-94C16F4DBE9D}" type="pres">
      <dgm:prSet presAssocID="{A448E959-3356-47FD-9781-B53E3E8F315A}" presName="vert1" presStyleCnt="0"/>
      <dgm:spPr/>
    </dgm:pt>
    <dgm:pt modelId="{3DA864A3-A838-4977-AFE5-E2942EB8A4B7}" type="pres">
      <dgm:prSet presAssocID="{1354CB67-14BA-4C90-AAED-EBAE48413544}" presName="vertSpace2a" presStyleCnt="0"/>
      <dgm:spPr/>
    </dgm:pt>
    <dgm:pt modelId="{4F432C57-C4E1-44B4-A983-822DD27E832E}" type="pres">
      <dgm:prSet presAssocID="{1354CB67-14BA-4C90-AAED-EBAE48413544}" presName="horz2" presStyleCnt="0"/>
      <dgm:spPr/>
    </dgm:pt>
    <dgm:pt modelId="{F5F2D4F0-F075-4762-B9CB-044466C1260A}" type="pres">
      <dgm:prSet presAssocID="{1354CB67-14BA-4C90-AAED-EBAE48413544}" presName="horzSpace2" presStyleCnt="0"/>
      <dgm:spPr/>
    </dgm:pt>
    <dgm:pt modelId="{E8636503-90FF-4FE4-BFDD-F26464E7CAD1}" type="pres">
      <dgm:prSet presAssocID="{1354CB67-14BA-4C90-AAED-EBAE48413544}" presName="tx2" presStyleLbl="revTx" presStyleIdx="3" presStyleCnt="8"/>
      <dgm:spPr/>
    </dgm:pt>
    <dgm:pt modelId="{13B8FBD2-775C-4105-9B48-0C0552E5E6C7}" type="pres">
      <dgm:prSet presAssocID="{1354CB67-14BA-4C90-AAED-EBAE48413544}" presName="vert2" presStyleCnt="0"/>
      <dgm:spPr/>
    </dgm:pt>
    <dgm:pt modelId="{0CF81565-B6CC-4704-8E78-75BAC415EF86}" type="pres">
      <dgm:prSet presAssocID="{1354CB67-14BA-4C90-AAED-EBAE48413544}" presName="thinLine2b" presStyleLbl="callout" presStyleIdx="1" presStyleCnt="4"/>
      <dgm:spPr/>
    </dgm:pt>
    <dgm:pt modelId="{9EA473DD-9CFF-4A95-A2E6-447FAFE02761}" type="pres">
      <dgm:prSet presAssocID="{1354CB67-14BA-4C90-AAED-EBAE48413544}" presName="vertSpace2b" presStyleCnt="0"/>
      <dgm:spPr/>
    </dgm:pt>
    <dgm:pt modelId="{E5A18227-CFCD-4321-B7D9-269E30C720E6}" type="pres">
      <dgm:prSet presAssocID="{BA3DBA8A-197D-4D4B-B9CE-386ED78BC1E7}" presName="thickLine" presStyleLbl="alignNode1" presStyleIdx="2" presStyleCnt="4"/>
      <dgm:spPr/>
    </dgm:pt>
    <dgm:pt modelId="{355B4839-F505-4903-8983-D0777A96065B}" type="pres">
      <dgm:prSet presAssocID="{BA3DBA8A-197D-4D4B-B9CE-386ED78BC1E7}" presName="horz1" presStyleCnt="0"/>
      <dgm:spPr/>
    </dgm:pt>
    <dgm:pt modelId="{706E1BDD-247F-4FF8-AF69-B4940FFCB7E0}" type="pres">
      <dgm:prSet presAssocID="{BA3DBA8A-197D-4D4B-B9CE-386ED78BC1E7}" presName="tx1" presStyleLbl="revTx" presStyleIdx="4" presStyleCnt="8"/>
      <dgm:spPr/>
    </dgm:pt>
    <dgm:pt modelId="{A53660AB-357D-454A-925F-029608DF0098}" type="pres">
      <dgm:prSet presAssocID="{BA3DBA8A-197D-4D4B-B9CE-386ED78BC1E7}" presName="vert1" presStyleCnt="0"/>
      <dgm:spPr/>
    </dgm:pt>
    <dgm:pt modelId="{E8D02621-A099-4902-88A7-7120C5FC638A}" type="pres">
      <dgm:prSet presAssocID="{D9851356-D9EB-499A-A47A-DBCDC77D2C9A}" presName="vertSpace2a" presStyleCnt="0"/>
      <dgm:spPr/>
    </dgm:pt>
    <dgm:pt modelId="{DB3F9E44-343D-406F-B65A-73D257E39825}" type="pres">
      <dgm:prSet presAssocID="{D9851356-D9EB-499A-A47A-DBCDC77D2C9A}" presName="horz2" presStyleCnt="0"/>
      <dgm:spPr/>
    </dgm:pt>
    <dgm:pt modelId="{0EEF7369-55A5-4C74-AC95-BF5E0BC687FA}" type="pres">
      <dgm:prSet presAssocID="{D9851356-D9EB-499A-A47A-DBCDC77D2C9A}" presName="horzSpace2" presStyleCnt="0"/>
      <dgm:spPr/>
    </dgm:pt>
    <dgm:pt modelId="{22BD30C5-EAB7-49D7-813C-1B973ACED1B4}" type="pres">
      <dgm:prSet presAssocID="{D9851356-D9EB-499A-A47A-DBCDC77D2C9A}" presName="tx2" presStyleLbl="revTx" presStyleIdx="5" presStyleCnt="8"/>
      <dgm:spPr/>
    </dgm:pt>
    <dgm:pt modelId="{EB58A71C-EECE-4288-A628-2C2A6DDF90D3}" type="pres">
      <dgm:prSet presAssocID="{D9851356-D9EB-499A-A47A-DBCDC77D2C9A}" presName="vert2" presStyleCnt="0"/>
      <dgm:spPr/>
    </dgm:pt>
    <dgm:pt modelId="{61E860CF-CD80-4D49-9A77-E3C7A31A519B}" type="pres">
      <dgm:prSet presAssocID="{D9851356-D9EB-499A-A47A-DBCDC77D2C9A}" presName="thinLine2b" presStyleLbl="callout" presStyleIdx="2" presStyleCnt="4"/>
      <dgm:spPr/>
    </dgm:pt>
    <dgm:pt modelId="{A5952097-FBB6-47BE-9A60-6DF923A6E2AC}" type="pres">
      <dgm:prSet presAssocID="{D9851356-D9EB-499A-A47A-DBCDC77D2C9A}" presName="vertSpace2b" presStyleCnt="0"/>
      <dgm:spPr/>
    </dgm:pt>
    <dgm:pt modelId="{4DCF9B3A-A460-4C1B-B9E8-F45B3054EC6F}" type="pres">
      <dgm:prSet presAssocID="{EC5276FD-52AF-40C7-BBCF-810AE172BA2E}" presName="thickLine" presStyleLbl="alignNode1" presStyleIdx="3" presStyleCnt="4"/>
      <dgm:spPr/>
    </dgm:pt>
    <dgm:pt modelId="{0D1FCE30-7B8E-4685-9C6E-F0F0638F6332}" type="pres">
      <dgm:prSet presAssocID="{EC5276FD-52AF-40C7-BBCF-810AE172BA2E}" presName="horz1" presStyleCnt="0"/>
      <dgm:spPr/>
    </dgm:pt>
    <dgm:pt modelId="{44FF0060-74AC-4364-8CD6-750C216E470E}" type="pres">
      <dgm:prSet presAssocID="{EC5276FD-52AF-40C7-BBCF-810AE172BA2E}" presName="tx1" presStyleLbl="revTx" presStyleIdx="6" presStyleCnt="8"/>
      <dgm:spPr/>
    </dgm:pt>
    <dgm:pt modelId="{146CE70C-FD94-4F2C-A0E0-5A0247B970C8}" type="pres">
      <dgm:prSet presAssocID="{EC5276FD-52AF-40C7-BBCF-810AE172BA2E}" presName="vert1" presStyleCnt="0"/>
      <dgm:spPr/>
    </dgm:pt>
    <dgm:pt modelId="{3DAC120F-AC75-42F6-B27E-DBFF6944C9A6}" type="pres">
      <dgm:prSet presAssocID="{0103C75F-74CE-4730-9A3D-93E189701085}" presName="vertSpace2a" presStyleCnt="0"/>
      <dgm:spPr/>
    </dgm:pt>
    <dgm:pt modelId="{EBB27247-DAB3-42B4-9D2F-212874536F73}" type="pres">
      <dgm:prSet presAssocID="{0103C75F-74CE-4730-9A3D-93E189701085}" presName="horz2" presStyleCnt="0"/>
      <dgm:spPr/>
    </dgm:pt>
    <dgm:pt modelId="{B82BFEF3-E438-4512-BA4B-2627D4C09088}" type="pres">
      <dgm:prSet presAssocID="{0103C75F-74CE-4730-9A3D-93E189701085}" presName="horzSpace2" presStyleCnt="0"/>
      <dgm:spPr/>
    </dgm:pt>
    <dgm:pt modelId="{3DA108EE-AAA1-40DF-990B-43EC5BCD8195}" type="pres">
      <dgm:prSet presAssocID="{0103C75F-74CE-4730-9A3D-93E189701085}" presName="tx2" presStyleLbl="revTx" presStyleIdx="7" presStyleCnt="8"/>
      <dgm:spPr/>
    </dgm:pt>
    <dgm:pt modelId="{C4CFF8A2-1AA6-4E8E-B5BF-468C1CD88DD8}" type="pres">
      <dgm:prSet presAssocID="{0103C75F-74CE-4730-9A3D-93E189701085}" presName="vert2" presStyleCnt="0"/>
      <dgm:spPr/>
    </dgm:pt>
    <dgm:pt modelId="{671F6655-1366-4266-8EB6-A5D03C28C311}" type="pres">
      <dgm:prSet presAssocID="{0103C75F-74CE-4730-9A3D-93E189701085}" presName="thinLine2b" presStyleLbl="callout" presStyleIdx="3" presStyleCnt="4"/>
      <dgm:spPr/>
    </dgm:pt>
    <dgm:pt modelId="{A66B3512-D348-4F13-8A57-80716E387B5E}" type="pres">
      <dgm:prSet presAssocID="{0103C75F-74CE-4730-9A3D-93E189701085}" presName="vertSpace2b" presStyleCnt="0"/>
      <dgm:spPr/>
    </dgm:pt>
  </dgm:ptLst>
  <dgm:cxnLst>
    <dgm:cxn modelId="{DB159D10-162E-460D-A645-3332247F04A2}" type="presOf" srcId="{8B3A637D-64DD-4C71-92EF-3D466EDF8898}" destId="{0E938224-3F11-4117-84A7-93ED816366E7}" srcOrd="0" destOrd="0" presId="urn:microsoft.com/office/officeart/2008/layout/LinedList"/>
    <dgm:cxn modelId="{2BF0AF12-04A7-479B-B1CA-F4D33A9B87F7}" srcId="{8B3A637D-64DD-4C71-92EF-3D466EDF8898}" destId="{BE4D5387-3DAD-48D2-8045-5139DC1DC346}" srcOrd="0" destOrd="0" parTransId="{2F40ED86-2B16-4BDE-8682-09E48994CCCA}" sibTransId="{01C952F3-49AB-4A06-ACC5-45F70E61F320}"/>
    <dgm:cxn modelId="{C3817F1B-D50F-4157-B0A8-3AF3D2EA9D3B}" srcId="{6022AC1E-061A-40F4-8375-7A554002D657}" destId="{8B3A637D-64DD-4C71-92EF-3D466EDF8898}" srcOrd="0" destOrd="0" parTransId="{A0397C1C-5533-4DA4-9C61-B23468B918FC}" sibTransId="{409FFD4F-DCEC-463F-B822-18984499EA58}"/>
    <dgm:cxn modelId="{E74C4728-1C81-4948-B5BA-DD9FA2AA61C7}" srcId="{BA3DBA8A-197D-4D4B-B9CE-386ED78BC1E7}" destId="{D9851356-D9EB-499A-A47A-DBCDC77D2C9A}" srcOrd="0" destOrd="0" parTransId="{F6D9ED06-E168-4B9F-8EAB-250D13514D04}" sibTransId="{86402ED0-5DBF-4748-B7A3-0B0698216A5C}"/>
    <dgm:cxn modelId="{E7D2272E-5F9A-460E-82E6-40C127AE03E9}" type="presOf" srcId="{BA3DBA8A-197D-4D4B-B9CE-386ED78BC1E7}" destId="{706E1BDD-247F-4FF8-AF69-B4940FFCB7E0}" srcOrd="0" destOrd="0" presId="urn:microsoft.com/office/officeart/2008/layout/LinedList"/>
    <dgm:cxn modelId="{25588837-565D-4C3C-9EAC-C9B71AD84011}" type="presOf" srcId="{EC5276FD-52AF-40C7-BBCF-810AE172BA2E}" destId="{44FF0060-74AC-4364-8CD6-750C216E470E}" srcOrd="0" destOrd="0" presId="urn:microsoft.com/office/officeart/2008/layout/LinedList"/>
    <dgm:cxn modelId="{8BD1EF40-E6B7-4273-9A8B-50666E7F1BCC}" type="presOf" srcId="{D9851356-D9EB-499A-A47A-DBCDC77D2C9A}" destId="{22BD30C5-EAB7-49D7-813C-1B973ACED1B4}" srcOrd="0" destOrd="0" presId="urn:microsoft.com/office/officeart/2008/layout/LinedList"/>
    <dgm:cxn modelId="{B980F996-40C8-4516-8FC7-C9CCB3CF56CA}" type="presOf" srcId="{A448E959-3356-47FD-9781-B53E3E8F315A}" destId="{5C93A809-3132-4845-ABE9-F547CD5C1AE2}" srcOrd="0" destOrd="0" presId="urn:microsoft.com/office/officeart/2008/layout/LinedList"/>
    <dgm:cxn modelId="{B5EA80A6-8359-4772-9E88-BF74A3731F21}" type="presOf" srcId="{BE4D5387-3DAD-48D2-8045-5139DC1DC346}" destId="{6F110BD7-6E45-4ECE-BC1C-0BA29F283289}" srcOrd="0" destOrd="0" presId="urn:microsoft.com/office/officeart/2008/layout/LinedList"/>
    <dgm:cxn modelId="{8CFB65AA-28B9-4DEB-AB34-A2E9554A8A24}" type="presOf" srcId="{0103C75F-74CE-4730-9A3D-93E189701085}" destId="{3DA108EE-AAA1-40DF-990B-43EC5BCD8195}" srcOrd="0" destOrd="0" presId="urn:microsoft.com/office/officeart/2008/layout/LinedList"/>
    <dgm:cxn modelId="{D571B4B2-C1DE-4749-89B5-F3212306C6E9}" srcId="{6022AC1E-061A-40F4-8375-7A554002D657}" destId="{BA3DBA8A-197D-4D4B-B9CE-386ED78BC1E7}" srcOrd="2" destOrd="0" parTransId="{26B655CE-9C1C-420F-8F4A-E139340792DF}" sibTransId="{20404E1F-743B-4787-8191-D646DFEDFFE1}"/>
    <dgm:cxn modelId="{9150AEC3-C75A-4713-8CDC-BCB09AC898CB}" type="presOf" srcId="{6022AC1E-061A-40F4-8375-7A554002D657}" destId="{104421FF-1FE9-43ED-8245-FC6BA7A730C1}" srcOrd="0" destOrd="0" presId="urn:microsoft.com/office/officeart/2008/layout/LinedList"/>
    <dgm:cxn modelId="{135CF3C9-00DA-49C5-9DA8-BD2C433D33FA}" srcId="{A448E959-3356-47FD-9781-B53E3E8F315A}" destId="{1354CB67-14BA-4C90-AAED-EBAE48413544}" srcOrd="0" destOrd="0" parTransId="{A6D8FA98-08E7-4092-A099-31F9828E2C6A}" sibTransId="{9D6BC8D1-C37F-4837-8267-C50D1793E6B7}"/>
    <dgm:cxn modelId="{71EDCBCA-C82B-4F11-9438-0AFE6743E04D}" srcId="{6022AC1E-061A-40F4-8375-7A554002D657}" destId="{A448E959-3356-47FD-9781-B53E3E8F315A}" srcOrd="1" destOrd="0" parTransId="{A0923B98-DBCB-4AA5-BE1E-A3810A83AF5E}" sibTransId="{43755A2E-5BA6-451E-8F3A-443CDE616F98}"/>
    <dgm:cxn modelId="{615366E4-C942-46FB-B0BF-8367E408914A}" type="presOf" srcId="{1354CB67-14BA-4C90-AAED-EBAE48413544}" destId="{E8636503-90FF-4FE4-BFDD-F26464E7CAD1}" srcOrd="0" destOrd="0" presId="urn:microsoft.com/office/officeart/2008/layout/LinedList"/>
    <dgm:cxn modelId="{6AA749F7-0300-4D8E-B493-3C8F6EB341B8}" srcId="{6022AC1E-061A-40F4-8375-7A554002D657}" destId="{EC5276FD-52AF-40C7-BBCF-810AE172BA2E}" srcOrd="3" destOrd="0" parTransId="{BB2E9C97-AB66-47E7-B43C-5806130CD05A}" sibTransId="{8D4DC25F-1A58-4F37-AE6A-02C10CB49316}"/>
    <dgm:cxn modelId="{2AC093FC-A11E-441A-A419-54B5E46D96D9}" srcId="{EC5276FD-52AF-40C7-BBCF-810AE172BA2E}" destId="{0103C75F-74CE-4730-9A3D-93E189701085}" srcOrd="0" destOrd="0" parTransId="{E2D75548-0FD4-4DA3-9C97-ABA542105C2A}" sibTransId="{E541C204-9559-4986-9FB9-CA2ABC0707E9}"/>
    <dgm:cxn modelId="{E5915D9B-0072-404D-BCB0-F7FD0D622B27}" type="presParOf" srcId="{104421FF-1FE9-43ED-8245-FC6BA7A730C1}" destId="{37319259-A502-435B-A28C-126BF71FFF1F}" srcOrd="0" destOrd="0" presId="urn:microsoft.com/office/officeart/2008/layout/LinedList"/>
    <dgm:cxn modelId="{A3AD4544-F3BA-4438-AEC6-0CB2319CEE09}" type="presParOf" srcId="{104421FF-1FE9-43ED-8245-FC6BA7A730C1}" destId="{E43B70E4-7C4F-4259-B2D4-16F4CF40A6DD}" srcOrd="1" destOrd="0" presId="urn:microsoft.com/office/officeart/2008/layout/LinedList"/>
    <dgm:cxn modelId="{57771E60-A05B-4C83-A86B-480D1AEEAB24}" type="presParOf" srcId="{E43B70E4-7C4F-4259-B2D4-16F4CF40A6DD}" destId="{0E938224-3F11-4117-84A7-93ED816366E7}" srcOrd="0" destOrd="0" presId="urn:microsoft.com/office/officeart/2008/layout/LinedList"/>
    <dgm:cxn modelId="{75812682-DA67-4484-9A0D-BA948255F153}" type="presParOf" srcId="{E43B70E4-7C4F-4259-B2D4-16F4CF40A6DD}" destId="{16F18E89-11DD-41E2-8A88-534AAEB87468}" srcOrd="1" destOrd="0" presId="urn:microsoft.com/office/officeart/2008/layout/LinedList"/>
    <dgm:cxn modelId="{4CEF9444-FB9F-4ED5-B407-59A6086B9E88}" type="presParOf" srcId="{16F18E89-11DD-41E2-8A88-534AAEB87468}" destId="{4D177F62-40AC-440A-A60E-DD1F80DC72F0}" srcOrd="0" destOrd="0" presId="urn:microsoft.com/office/officeart/2008/layout/LinedList"/>
    <dgm:cxn modelId="{5CC28C63-86E1-4ABE-A8C7-20BC8CE12F5E}" type="presParOf" srcId="{16F18E89-11DD-41E2-8A88-534AAEB87468}" destId="{9CE5C019-0264-4093-A881-AC1DDA284F5E}" srcOrd="1" destOrd="0" presId="urn:microsoft.com/office/officeart/2008/layout/LinedList"/>
    <dgm:cxn modelId="{AEFA134A-C1EF-40AD-875C-173BB9FE5131}" type="presParOf" srcId="{9CE5C019-0264-4093-A881-AC1DDA284F5E}" destId="{2F1B2CFB-8C4A-4DA6-B1AE-6459D1649AFB}" srcOrd="0" destOrd="0" presId="urn:microsoft.com/office/officeart/2008/layout/LinedList"/>
    <dgm:cxn modelId="{14C43E8B-E83C-4A50-B432-3701E9660A85}" type="presParOf" srcId="{9CE5C019-0264-4093-A881-AC1DDA284F5E}" destId="{6F110BD7-6E45-4ECE-BC1C-0BA29F283289}" srcOrd="1" destOrd="0" presId="urn:microsoft.com/office/officeart/2008/layout/LinedList"/>
    <dgm:cxn modelId="{226D036A-4EBF-463B-8351-5DD67E25A9ED}" type="presParOf" srcId="{9CE5C019-0264-4093-A881-AC1DDA284F5E}" destId="{F0FBE8E5-883C-4E5D-967C-BF9E1D163A6E}" srcOrd="2" destOrd="0" presId="urn:microsoft.com/office/officeart/2008/layout/LinedList"/>
    <dgm:cxn modelId="{14FAD1F2-5B3F-4F86-A71B-48BDA1A8705F}" type="presParOf" srcId="{16F18E89-11DD-41E2-8A88-534AAEB87468}" destId="{1EE831E2-BFB9-4F13-9735-1D6A8F3D684A}" srcOrd="2" destOrd="0" presId="urn:microsoft.com/office/officeart/2008/layout/LinedList"/>
    <dgm:cxn modelId="{996472B2-758B-438D-ADF8-B41E0ED8F238}" type="presParOf" srcId="{16F18E89-11DD-41E2-8A88-534AAEB87468}" destId="{6CCBD408-0F07-4815-A99B-0B4912834EFE}" srcOrd="3" destOrd="0" presId="urn:microsoft.com/office/officeart/2008/layout/LinedList"/>
    <dgm:cxn modelId="{01589DD3-591D-42FD-9105-66029240D611}" type="presParOf" srcId="{104421FF-1FE9-43ED-8245-FC6BA7A730C1}" destId="{3E5221FA-12D4-4EB5-9C87-A5FEB4092524}" srcOrd="2" destOrd="0" presId="urn:microsoft.com/office/officeart/2008/layout/LinedList"/>
    <dgm:cxn modelId="{CF359264-1E8B-459C-883C-4FFC271B542C}" type="presParOf" srcId="{104421FF-1FE9-43ED-8245-FC6BA7A730C1}" destId="{CF70B270-4682-42F9-B877-4B3B27819664}" srcOrd="3" destOrd="0" presId="urn:microsoft.com/office/officeart/2008/layout/LinedList"/>
    <dgm:cxn modelId="{3E6226DC-4353-4EBA-BAA1-22A00E52EB43}" type="presParOf" srcId="{CF70B270-4682-42F9-B877-4B3B27819664}" destId="{5C93A809-3132-4845-ABE9-F547CD5C1AE2}" srcOrd="0" destOrd="0" presId="urn:microsoft.com/office/officeart/2008/layout/LinedList"/>
    <dgm:cxn modelId="{1E2F4294-E391-4495-926D-26F48C7734C8}" type="presParOf" srcId="{CF70B270-4682-42F9-B877-4B3B27819664}" destId="{186E2C5D-67E5-44C1-A061-94C16F4DBE9D}" srcOrd="1" destOrd="0" presId="urn:microsoft.com/office/officeart/2008/layout/LinedList"/>
    <dgm:cxn modelId="{A3E02287-FD81-4ED2-8A95-06631EA32E6C}" type="presParOf" srcId="{186E2C5D-67E5-44C1-A061-94C16F4DBE9D}" destId="{3DA864A3-A838-4977-AFE5-E2942EB8A4B7}" srcOrd="0" destOrd="0" presId="urn:microsoft.com/office/officeart/2008/layout/LinedList"/>
    <dgm:cxn modelId="{DB034E2D-6E0D-4011-92B5-0E95F1272738}" type="presParOf" srcId="{186E2C5D-67E5-44C1-A061-94C16F4DBE9D}" destId="{4F432C57-C4E1-44B4-A983-822DD27E832E}" srcOrd="1" destOrd="0" presId="urn:microsoft.com/office/officeart/2008/layout/LinedList"/>
    <dgm:cxn modelId="{662B5A7D-6DCB-4DCE-AE89-8D9834907357}" type="presParOf" srcId="{4F432C57-C4E1-44B4-A983-822DD27E832E}" destId="{F5F2D4F0-F075-4762-B9CB-044466C1260A}" srcOrd="0" destOrd="0" presId="urn:microsoft.com/office/officeart/2008/layout/LinedList"/>
    <dgm:cxn modelId="{25D922DD-6D59-4804-B629-1B4772C1B796}" type="presParOf" srcId="{4F432C57-C4E1-44B4-A983-822DD27E832E}" destId="{E8636503-90FF-4FE4-BFDD-F26464E7CAD1}" srcOrd="1" destOrd="0" presId="urn:microsoft.com/office/officeart/2008/layout/LinedList"/>
    <dgm:cxn modelId="{3AD98176-CD0E-4D49-B468-9AA827981F46}" type="presParOf" srcId="{4F432C57-C4E1-44B4-A983-822DD27E832E}" destId="{13B8FBD2-775C-4105-9B48-0C0552E5E6C7}" srcOrd="2" destOrd="0" presId="urn:microsoft.com/office/officeart/2008/layout/LinedList"/>
    <dgm:cxn modelId="{4CD29832-D256-4698-9A8A-7B53A895999E}" type="presParOf" srcId="{186E2C5D-67E5-44C1-A061-94C16F4DBE9D}" destId="{0CF81565-B6CC-4704-8E78-75BAC415EF86}" srcOrd="2" destOrd="0" presId="urn:microsoft.com/office/officeart/2008/layout/LinedList"/>
    <dgm:cxn modelId="{51AA5F39-BD1A-4D11-8B4A-95C3B0553EA4}" type="presParOf" srcId="{186E2C5D-67E5-44C1-A061-94C16F4DBE9D}" destId="{9EA473DD-9CFF-4A95-A2E6-447FAFE02761}" srcOrd="3" destOrd="0" presId="urn:microsoft.com/office/officeart/2008/layout/LinedList"/>
    <dgm:cxn modelId="{6542D6ED-C95D-4196-AF69-0B0E6F60679A}" type="presParOf" srcId="{104421FF-1FE9-43ED-8245-FC6BA7A730C1}" destId="{E5A18227-CFCD-4321-B7D9-269E30C720E6}" srcOrd="4" destOrd="0" presId="urn:microsoft.com/office/officeart/2008/layout/LinedList"/>
    <dgm:cxn modelId="{52C7CAA4-9D2A-48C0-9CB3-667D73261D2C}" type="presParOf" srcId="{104421FF-1FE9-43ED-8245-FC6BA7A730C1}" destId="{355B4839-F505-4903-8983-D0777A96065B}" srcOrd="5" destOrd="0" presId="urn:microsoft.com/office/officeart/2008/layout/LinedList"/>
    <dgm:cxn modelId="{AFD480A3-5B06-4A9C-ABEB-C73165C55A09}" type="presParOf" srcId="{355B4839-F505-4903-8983-D0777A96065B}" destId="{706E1BDD-247F-4FF8-AF69-B4940FFCB7E0}" srcOrd="0" destOrd="0" presId="urn:microsoft.com/office/officeart/2008/layout/LinedList"/>
    <dgm:cxn modelId="{8EC1C13B-8B47-4E73-930C-23F70638C2A0}" type="presParOf" srcId="{355B4839-F505-4903-8983-D0777A96065B}" destId="{A53660AB-357D-454A-925F-029608DF0098}" srcOrd="1" destOrd="0" presId="urn:microsoft.com/office/officeart/2008/layout/LinedList"/>
    <dgm:cxn modelId="{FFB87334-9A8F-4823-8916-D19FE159A321}" type="presParOf" srcId="{A53660AB-357D-454A-925F-029608DF0098}" destId="{E8D02621-A099-4902-88A7-7120C5FC638A}" srcOrd="0" destOrd="0" presId="urn:microsoft.com/office/officeart/2008/layout/LinedList"/>
    <dgm:cxn modelId="{7C0F3548-7E6C-4DCF-A7C1-A82333D55467}" type="presParOf" srcId="{A53660AB-357D-454A-925F-029608DF0098}" destId="{DB3F9E44-343D-406F-B65A-73D257E39825}" srcOrd="1" destOrd="0" presId="urn:microsoft.com/office/officeart/2008/layout/LinedList"/>
    <dgm:cxn modelId="{57496822-6CE7-4E14-9D89-3055EFA71B59}" type="presParOf" srcId="{DB3F9E44-343D-406F-B65A-73D257E39825}" destId="{0EEF7369-55A5-4C74-AC95-BF5E0BC687FA}" srcOrd="0" destOrd="0" presId="urn:microsoft.com/office/officeart/2008/layout/LinedList"/>
    <dgm:cxn modelId="{294C3313-15A6-413D-BB70-C0B31CF61F4F}" type="presParOf" srcId="{DB3F9E44-343D-406F-B65A-73D257E39825}" destId="{22BD30C5-EAB7-49D7-813C-1B973ACED1B4}" srcOrd="1" destOrd="0" presId="urn:microsoft.com/office/officeart/2008/layout/LinedList"/>
    <dgm:cxn modelId="{3534A889-4BFE-4D1E-8AAD-1640F0FAC574}" type="presParOf" srcId="{DB3F9E44-343D-406F-B65A-73D257E39825}" destId="{EB58A71C-EECE-4288-A628-2C2A6DDF90D3}" srcOrd="2" destOrd="0" presId="urn:microsoft.com/office/officeart/2008/layout/LinedList"/>
    <dgm:cxn modelId="{91F946E5-2347-4819-AC9A-F7BCD7D3F2AC}" type="presParOf" srcId="{A53660AB-357D-454A-925F-029608DF0098}" destId="{61E860CF-CD80-4D49-9A77-E3C7A31A519B}" srcOrd="2" destOrd="0" presId="urn:microsoft.com/office/officeart/2008/layout/LinedList"/>
    <dgm:cxn modelId="{A4A670B2-39BE-4F0B-8E39-831CF950D17C}" type="presParOf" srcId="{A53660AB-357D-454A-925F-029608DF0098}" destId="{A5952097-FBB6-47BE-9A60-6DF923A6E2AC}" srcOrd="3" destOrd="0" presId="urn:microsoft.com/office/officeart/2008/layout/LinedList"/>
    <dgm:cxn modelId="{9EBB06C2-CA2A-4D4A-8BDA-EBC5B5F77231}" type="presParOf" srcId="{104421FF-1FE9-43ED-8245-FC6BA7A730C1}" destId="{4DCF9B3A-A460-4C1B-B9E8-F45B3054EC6F}" srcOrd="6" destOrd="0" presId="urn:microsoft.com/office/officeart/2008/layout/LinedList"/>
    <dgm:cxn modelId="{C48557F9-7018-4A1E-884D-2F03B0701883}" type="presParOf" srcId="{104421FF-1FE9-43ED-8245-FC6BA7A730C1}" destId="{0D1FCE30-7B8E-4685-9C6E-F0F0638F6332}" srcOrd="7" destOrd="0" presId="urn:microsoft.com/office/officeart/2008/layout/LinedList"/>
    <dgm:cxn modelId="{028BB2F4-C149-40EE-9F99-5A36C0DD5B3C}" type="presParOf" srcId="{0D1FCE30-7B8E-4685-9C6E-F0F0638F6332}" destId="{44FF0060-74AC-4364-8CD6-750C216E470E}" srcOrd="0" destOrd="0" presId="urn:microsoft.com/office/officeart/2008/layout/LinedList"/>
    <dgm:cxn modelId="{6F3B4FF2-F1D1-4F54-9BE4-DD6968B85A15}" type="presParOf" srcId="{0D1FCE30-7B8E-4685-9C6E-F0F0638F6332}" destId="{146CE70C-FD94-4F2C-A0E0-5A0247B970C8}" srcOrd="1" destOrd="0" presId="urn:microsoft.com/office/officeart/2008/layout/LinedList"/>
    <dgm:cxn modelId="{26F3A68E-4ED8-4BD6-8AC0-B170466D9F68}" type="presParOf" srcId="{146CE70C-FD94-4F2C-A0E0-5A0247B970C8}" destId="{3DAC120F-AC75-42F6-B27E-DBFF6944C9A6}" srcOrd="0" destOrd="0" presId="urn:microsoft.com/office/officeart/2008/layout/LinedList"/>
    <dgm:cxn modelId="{4882CBF9-B1C1-415A-AF34-24B1518337C3}" type="presParOf" srcId="{146CE70C-FD94-4F2C-A0E0-5A0247B970C8}" destId="{EBB27247-DAB3-42B4-9D2F-212874536F73}" srcOrd="1" destOrd="0" presId="urn:microsoft.com/office/officeart/2008/layout/LinedList"/>
    <dgm:cxn modelId="{2EEDA3E4-A2C3-444B-860E-627E8275F934}" type="presParOf" srcId="{EBB27247-DAB3-42B4-9D2F-212874536F73}" destId="{B82BFEF3-E438-4512-BA4B-2627D4C09088}" srcOrd="0" destOrd="0" presId="urn:microsoft.com/office/officeart/2008/layout/LinedList"/>
    <dgm:cxn modelId="{BC0ABB98-04B0-4A2A-8A45-AFF5D2EB985E}" type="presParOf" srcId="{EBB27247-DAB3-42B4-9D2F-212874536F73}" destId="{3DA108EE-AAA1-40DF-990B-43EC5BCD8195}" srcOrd="1" destOrd="0" presId="urn:microsoft.com/office/officeart/2008/layout/LinedList"/>
    <dgm:cxn modelId="{2FBBA388-DC6E-492C-A393-C12F3D9D4B64}" type="presParOf" srcId="{EBB27247-DAB3-42B4-9D2F-212874536F73}" destId="{C4CFF8A2-1AA6-4E8E-B5BF-468C1CD88DD8}" srcOrd="2" destOrd="0" presId="urn:microsoft.com/office/officeart/2008/layout/LinedList"/>
    <dgm:cxn modelId="{EAEDDA57-4DA6-4B33-A87C-7EFCDC86F268}" type="presParOf" srcId="{146CE70C-FD94-4F2C-A0E0-5A0247B970C8}" destId="{671F6655-1366-4266-8EB6-A5D03C28C311}" srcOrd="2" destOrd="0" presId="urn:microsoft.com/office/officeart/2008/layout/LinedList"/>
    <dgm:cxn modelId="{C73545DF-3795-41D0-924F-9DFF1E0CC172}" type="presParOf" srcId="{146CE70C-FD94-4F2C-A0E0-5A0247B970C8}" destId="{A66B3512-D348-4F13-8A57-80716E387B5E}" srcOrd="3" destOrd="0" presId="urn:microsoft.com/office/officeart/2008/layout/LinedList"/>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BB9BC64-45CB-4092-A007-698D0F5AE330}" type="doc">
      <dgm:prSet loTypeId="urn:diagrams.loki3.com/BracketList" loCatId="list" qsTypeId="urn:microsoft.com/office/officeart/2005/8/quickstyle/simple1" qsCatId="simple" csTypeId="urn:microsoft.com/office/officeart/2005/8/colors/accent0_1" csCatId="mainScheme" phldr="1"/>
      <dgm:spPr/>
      <dgm:t>
        <a:bodyPr/>
        <a:lstStyle/>
        <a:p>
          <a:endParaRPr lang="en-US"/>
        </a:p>
      </dgm:t>
    </dgm:pt>
    <dgm:pt modelId="{EAD9FA89-C06A-4968-9B55-B55F185341FE}">
      <dgm:prSet phldrT="[Text]" custT="1"/>
      <dgm:spPr/>
      <dgm:t>
        <a:bodyPr/>
        <a:lstStyle/>
        <a:p>
          <a:pPr algn="ctr">
            <a:buNone/>
          </a:pPr>
          <a:r>
            <a:rPr lang="en-US" sz="1200">
              <a:latin typeface="Times New Roman" panose="02020603050405020304" pitchFamily="18" charset="0"/>
              <a:cs typeface="Times New Roman" panose="02020603050405020304" pitchFamily="18" charset="0"/>
            </a:rPr>
            <a:t>Market Penetration: Margin-Destructive Growth</a:t>
          </a:r>
        </a:p>
      </dgm:t>
    </dgm:pt>
    <dgm:pt modelId="{C8564666-3F7A-458D-8A19-EC5F8FE32792}" type="parTrans" cxnId="{E676CB68-0EEE-46E3-A4F9-87D585C6FE7F}">
      <dgm:prSet/>
      <dgm:spPr/>
      <dgm:t>
        <a:bodyPr/>
        <a:lstStyle/>
        <a:p>
          <a:endParaRPr lang="en-US"/>
        </a:p>
      </dgm:t>
    </dgm:pt>
    <dgm:pt modelId="{DAC29D02-C2F8-4D24-9417-D2DA88566F8A}" type="sibTrans" cxnId="{E676CB68-0EEE-46E3-A4F9-87D585C6FE7F}">
      <dgm:prSet/>
      <dgm:spPr/>
      <dgm:t>
        <a:bodyPr/>
        <a:lstStyle/>
        <a:p>
          <a:endParaRPr lang="en-US"/>
        </a:p>
      </dgm:t>
    </dgm:pt>
    <dgm:pt modelId="{FD7DBE43-36AF-48AD-BBC9-8959625CF4A0}">
      <dgm:prSet custT="1"/>
      <dgm:spPr/>
      <dgm:t>
        <a:bodyPr/>
        <a:lstStyle/>
        <a:p>
          <a:pPr algn="ctr">
            <a:buNone/>
          </a:pPr>
          <a:r>
            <a:rPr lang="en-US" sz="1200">
              <a:latin typeface="Times New Roman" panose="02020603050405020304" pitchFamily="18" charset="0"/>
              <a:cs typeface="Times New Roman" panose="02020603050405020304" pitchFamily="18" charset="0"/>
            </a:rPr>
            <a:t>Market penetration has resulted in the visible development of volume against the cost of economic sustainability. Repeated price cuts to defend market share are a signal of losing differentiation, which is pushing Tesla into a price-based battle not compatible with its premium technology history. As to industry cost parity, penetration implies that compression results in the margins instead of increasing the competitive value, and industry fatigue rather than scalable growth (IEA, 2025).</a:t>
          </a:r>
        </a:p>
      </dgm:t>
    </dgm:pt>
    <dgm:pt modelId="{113DBB1D-3FB3-45DB-A4EB-EB85042F842B}" type="parTrans" cxnId="{B2D04F89-039C-4DB8-9501-480199608C3B}">
      <dgm:prSet/>
      <dgm:spPr/>
      <dgm:t>
        <a:bodyPr/>
        <a:lstStyle/>
        <a:p>
          <a:endParaRPr lang="en-US"/>
        </a:p>
      </dgm:t>
    </dgm:pt>
    <dgm:pt modelId="{9EFC65AE-E43D-4EA7-90E2-B583E865FCA0}" type="sibTrans" cxnId="{B2D04F89-039C-4DB8-9501-480199608C3B}">
      <dgm:prSet/>
      <dgm:spPr/>
      <dgm:t>
        <a:bodyPr/>
        <a:lstStyle/>
        <a:p>
          <a:endParaRPr lang="en-US"/>
        </a:p>
      </dgm:t>
    </dgm:pt>
    <dgm:pt modelId="{03C2C068-A8EC-463B-A8EF-2E2432758D4D}">
      <dgm:prSet custT="1"/>
      <dgm:spPr/>
      <dgm:t>
        <a:bodyPr/>
        <a:lstStyle/>
        <a:p>
          <a:pPr algn="ctr">
            <a:buNone/>
          </a:pPr>
          <a:r>
            <a:rPr lang="en-US" sz="1200">
              <a:latin typeface="Times New Roman" panose="02020603050405020304" pitchFamily="18" charset="0"/>
              <a:cs typeface="Times New Roman" panose="02020603050405020304" pitchFamily="18" charset="0"/>
            </a:rPr>
            <a:t>Market Development: Constrained Yet Rational</a:t>
          </a:r>
        </a:p>
      </dgm:t>
    </dgm:pt>
    <dgm:pt modelId="{F9898886-BAD7-4CCD-8AD7-6DD811B10A17}" type="parTrans" cxnId="{2321BCF8-36D3-48FE-BCD4-E24D7EAF6DF3}">
      <dgm:prSet/>
      <dgm:spPr/>
      <dgm:t>
        <a:bodyPr/>
        <a:lstStyle/>
        <a:p>
          <a:endParaRPr lang="en-US"/>
        </a:p>
      </dgm:t>
    </dgm:pt>
    <dgm:pt modelId="{0AC82776-B169-444A-8429-5F923D1829B2}" type="sibTrans" cxnId="{2321BCF8-36D3-48FE-BCD4-E24D7EAF6DF3}">
      <dgm:prSet/>
      <dgm:spPr/>
      <dgm:t>
        <a:bodyPr/>
        <a:lstStyle/>
        <a:p>
          <a:endParaRPr lang="en-US"/>
        </a:p>
      </dgm:t>
    </dgm:pt>
    <dgm:pt modelId="{1F9A69F3-7F11-4375-AD7A-6558DF126F90}">
      <dgm:prSet custT="1"/>
      <dgm:spPr/>
      <dgm:t>
        <a:bodyPr/>
        <a:lstStyle/>
        <a:p>
          <a:pPr algn="ctr">
            <a:buNone/>
          </a:pPr>
          <a:r>
            <a:rPr lang="en-US" sz="1200">
              <a:latin typeface="Times New Roman" panose="02020603050405020304" pitchFamily="18" charset="0"/>
              <a:cs typeface="Times New Roman" panose="02020603050405020304" pitchFamily="18" charset="0"/>
            </a:rPr>
            <a:t>Market development is still the most coherent growth option for Tesla that will align current capabilities and underpenetrated demand at a regional scale. However, high capital intensity and time of execution limit effectiveness. Delayed rollout shifts the displacement of European and Asian Chinese OEMs from expansion by opportunity capture to defensive. (L., 2025; Jolly, 2025).</a:t>
          </a:r>
        </a:p>
      </dgm:t>
    </dgm:pt>
    <dgm:pt modelId="{D3E78B02-F086-4627-AFD3-1365776A7485}" type="parTrans" cxnId="{A0736DE3-CBB3-4E34-8AD4-A17E861FD4A2}">
      <dgm:prSet/>
      <dgm:spPr/>
      <dgm:t>
        <a:bodyPr/>
        <a:lstStyle/>
        <a:p>
          <a:endParaRPr lang="en-US"/>
        </a:p>
      </dgm:t>
    </dgm:pt>
    <dgm:pt modelId="{1C062A74-CDD1-4409-A4A7-8F2D2BECD469}" type="sibTrans" cxnId="{A0736DE3-CBB3-4E34-8AD4-A17E861FD4A2}">
      <dgm:prSet/>
      <dgm:spPr/>
      <dgm:t>
        <a:bodyPr/>
        <a:lstStyle/>
        <a:p>
          <a:endParaRPr lang="en-US"/>
        </a:p>
      </dgm:t>
    </dgm:pt>
    <dgm:pt modelId="{E0789FD8-9D9D-4F00-B7E9-CEB3D2772E8B}">
      <dgm:prSet custT="1"/>
      <dgm:spPr/>
      <dgm:t>
        <a:bodyPr/>
        <a:lstStyle/>
        <a:p>
          <a:pPr algn="ctr">
            <a:buNone/>
          </a:pPr>
          <a:r>
            <a:rPr lang="en-US" sz="1200">
              <a:latin typeface="Times New Roman" panose="02020603050405020304" pitchFamily="18" charset="0"/>
              <a:cs typeface="Times New Roman" panose="02020603050405020304" pitchFamily="18" charset="0"/>
            </a:rPr>
            <a:t>Product Development: Value Creation Misprioritised</a:t>
          </a:r>
        </a:p>
      </dgm:t>
    </dgm:pt>
    <dgm:pt modelId="{1D8EDA07-E861-4FE5-9DF6-2BFF80A0C5D4}" type="parTrans" cxnId="{BB39086A-8850-4451-A44E-4DC0FCF43C4B}">
      <dgm:prSet/>
      <dgm:spPr/>
      <dgm:t>
        <a:bodyPr/>
        <a:lstStyle/>
        <a:p>
          <a:endParaRPr lang="en-US"/>
        </a:p>
      </dgm:t>
    </dgm:pt>
    <dgm:pt modelId="{11C1D3AF-8781-49B9-B924-3F9EC668A03A}" type="sibTrans" cxnId="{BB39086A-8850-4451-A44E-4DC0FCF43C4B}">
      <dgm:prSet/>
      <dgm:spPr/>
      <dgm:t>
        <a:bodyPr/>
        <a:lstStyle/>
        <a:p>
          <a:endParaRPr lang="en-US"/>
        </a:p>
      </dgm:t>
    </dgm:pt>
    <dgm:pt modelId="{4EFEB33F-6724-416F-ADA4-223FDCE4D97D}">
      <dgm:prSet custT="1"/>
      <dgm:spPr/>
      <dgm:t>
        <a:bodyPr/>
        <a:lstStyle/>
        <a:p>
          <a:pPr algn="ctr">
            <a:buNone/>
          </a:pPr>
          <a:r>
            <a:rPr lang="en-US" sz="1200">
              <a:latin typeface="Times New Roman" panose="02020603050405020304" pitchFamily="18" charset="0"/>
              <a:cs typeface="Times New Roman" panose="02020603050405020304" pitchFamily="18" charset="0"/>
            </a:rPr>
            <a:t>Product development, particularly in the area of energy systems and autonomy, offers better value creation over the long term. Yet organisational priorities continue to be inverted, with disproportionate resource allocation to low-return automotive growth, while that is at the same time very limited to structurally favoured segments, as a reflection of internal allocation of capital failure, rather than poor market potential (Laczkowski and Hertzke, 2025).</a:t>
          </a:r>
        </a:p>
      </dgm:t>
    </dgm:pt>
    <dgm:pt modelId="{47FB45A6-F688-4721-B011-B2EAB6B1B218}" type="parTrans" cxnId="{35FD00B0-CB3B-4DEB-851F-B0B677BDBB46}">
      <dgm:prSet/>
      <dgm:spPr/>
      <dgm:t>
        <a:bodyPr/>
        <a:lstStyle/>
        <a:p>
          <a:endParaRPr lang="en-US"/>
        </a:p>
      </dgm:t>
    </dgm:pt>
    <dgm:pt modelId="{888AF66D-55A3-4349-BFC2-2CBE68403644}" type="sibTrans" cxnId="{35FD00B0-CB3B-4DEB-851F-B0B677BDBB46}">
      <dgm:prSet/>
      <dgm:spPr/>
      <dgm:t>
        <a:bodyPr/>
        <a:lstStyle/>
        <a:p>
          <a:endParaRPr lang="en-US"/>
        </a:p>
      </dgm:t>
    </dgm:pt>
    <dgm:pt modelId="{0DA55417-39C0-4DA1-B36F-4A869A6CE259}">
      <dgm:prSet custT="1"/>
      <dgm:spPr/>
      <dgm:t>
        <a:bodyPr/>
        <a:lstStyle/>
        <a:p>
          <a:pPr algn="ctr">
            <a:buNone/>
          </a:pPr>
          <a:r>
            <a:rPr lang="en-US" sz="1200">
              <a:latin typeface="Times New Roman" panose="02020603050405020304" pitchFamily="18" charset="0"/>
              <a:cs typeface="Times New Roman" panose="02020603050405020304" pitchFamily="18" charset="0"/>
            </a:rPr>
            <a:t>Diversification and Integrated Judgement</a:t>
          </a:r>
        </a:p>
      </dgm:t>
    </dgm:pt>
    <dgm:pt modelId="{6163DEF1-2176-4EBD-A3B9-70B1EE986314}" type="parTrans" cxnId="{45A6AEF9-5DD5-4A3D-B53B-AF76B140CBAB}">
      <dgm:prSet/>
      <dgm:spPr/>
      <dgm:t>
        <a:bodyPr/>
        <a:lstStyle/>
        <a:p>
          <a:endParaRPr lang="en-US"/>
        </a:p>
      </dgm:t>
    </dgm:pt>
    <dgm:pt modelId="{69AB75EF-63CC-4904-84F7-994DF8D16F2D}" type="sibTrans" cxnId="{45A6AEF9-5DD5-4A3D-B53B-AF76B140CBAB}">
      <dgm:prSet/>
      <dgm:spPr/>
      <dgm:t>
        <a:bodyPr/>
        <a:lstStyle/>
        <a:p>
          <a:endParaRPr lang="en-US"/>
        </a:p>
      </dgm:t>
    </dgm:pt>
    <dgm:pt modelId="{4FD7E67E-30E6-4398-8B06-B8A8AF8E9ACE}">
      <dgm:prSet custT="1"/>
      <dgm:spPr/>
      <dgm:t>
        <a:bodyPr/>
        <a:lstStyle/>
        <a:p>
          <a:pPr algn="ctr">
            <a:buNone/>
          </a:pPr>
          <a:r>
            <a:rPr lang="en-US" sz="1200">
              <a:latin typeface="Times New Roman" panose="02020603050405020304" pitchFamily="18" charset="0"/>
              <a:cs typeface="Times New Roman" panose="02020603050405020304" pitchFamily="18" charset="0"/>
            </a:rPr>
            <a:t>Weakness compensation-diversification extrinsic weaknesses-weakness compensation compounds weaknesses which already exist (incompatible strategic logics across businesses with divergent timelines). Overall underperformance is down to execution bandwidth limitations, prioritisation failure and needs in selective sequencing and capital reallocation before diversification is possible (IEA, 2025).</a:t>
          </a:r>
        </a:p>
      </dgm:t>
    </dgm:pt>
    <dgm:pt modelId="{D304419D-3961-4A5D-94E2-41B9DEAADD99}" type="parTrans" cxnId="{B196D55A-EE50-4BD3-9EEF-E12C2240ED1E}">
      <dgm:prSet/>
      <dgm:spPr/>
      <dgm:t>
        <a:bodyPr/>
        <a:lstStyle/>
        <a:p>
          <a:endParaRPr lang="en-US"/>
        </a:p>
      </dgm:t>
    </dgm:pt>
    <dgm:pt modelId="{6DED3FCE-96BD-4D65-9812-BF1C62FDD417}" type="sibTrans" cxnId="{B196D55A-EE50-4BD3-9EEF-E12C2240ED1E}">
      <dgm:prSet/>
      <dgm:spPr/>
      <dgm:t>
        <a:bodyPr/>
        <a:lstStyle/>
        <a:p>
          <a:endParaRPr lang="en-US"/>
        </a:p>
      </dgm:t>
    </dgm:pt>
    <dgm:pt modelId="{89964591-0EB2-43F6-9CB4-2AD773917461}" type="pres">
      <dgm:prSet presAssocID="{5BB9BC64-45CB-4092-A007-698D0F5AE330}" presName="Name0" presStyleCnt="0">
        <dgm:presLayoutVars>
          <dgm:dir/>
          <dgm:animLvl val="lvl"/>
          <dgm:resizeHandles val="exact"/>
        </dgm:presLayoutVars>
      </dgm:prSet>
      <dgm:spPr/>
    </dgm:pt>
    <dgm:pt modelId="{DA329614-28B2-4EE0-8D94-187695FF1566}" type="pres">
      <dgm:prSet presAssocID="{EAD9FA89-C06A-4968-9B55-B55F185341FE}" presName="linNode" presStyleCnt="0"/>
      <dgm:spPr/>
    </dgm:pt>
    <dgm:pt modelId="{2D25A35B-A72A-4AFE-8F4D-8BDD9A31411C}" type="pres">
      <dgm:prSet presAssocID="{EAD9FA89-C06A-4968-9B55-B55F185341FE}" presName="parTx" presStyleLbl="revTx" presStyleIdx="0" presStyleCnt="4" custScaleX="112688" custScaleY="310894">
        <dgm:presLayoutVars>
          <dgm:chMax val="1"/>
          <dgm:bulletEnabled val="1"/>
        </dgm:presLayoutVars>
      </dgm:prSet>
      <dgm:spPr/>
    </dgm:pt>
    <dgm:pt modelId="{8008CECF-0467-43EF-A9F1-6F8DF59D1151}" type="pres">
      <dgm:prSet presAssocID="{EAD9FA89-C06A-4968-9B55-B55F185341FE}" presName="bracket" presStyleLbl="parChTrans1D1" presStyleIdx="0" presStyleCnt="4"/>
      <dgm:spPr/>
    </dgm:pt>
    <dgm:pt modelId="{EC33A2D4-2297-412A-8FD1-FB6E5A8C09C6}" type="pres">
      <dgm:prSet presAssocID="{EAD9FA89-C06A-4968-9B55-B55F185341FE}" presName="spH" presStyleCnt="0"/>
      <dgm:spPr/>
    </dgm:pt>
    <dgm:pt modelId="{9BAA0F11-F292-4F7D-A4C9-E68310A321E4}" type="pres">
      <dgm:prSet presAssocID="{EAD9FA89-C06A-4968-9B55-B55F185341FE}" presName="desTx" presStyleLbl="node1" presStyleIdx="0" presStyleCnt="4" custScaleX="112689" custScaleY="310894">
        <dgm:presLayoutVars>
          <dgm:bulletEnabled val="1"/>
        </dgm:presLayoutVars>
      </dgm:prSet>
      <dgm:spPr/>
    </dgm:pt>
    <dgm:pt modelId="{2F978590-A183-4742-A452-7435E2E84B27}" type="pres">
      <dgm:prSet presAssocID="{DAC29D02-C2F8-4D24-9417-D2DA88566F8A}" presName="spV" presStyleCnt="0"/>
      <dgm:spPr/>
    </dgm:pt>
    <dgm:pt modelId="{1DE31246-607A-4A80-ADD5-ACB20546EF88}" type="pres">
      <dgm:prSet presAssocID="{03C2C068-A8EC-463B-A8EF-2E2432758D4D}" presName="linNode" presStyleCnt="0"/>
      <dgm:spPr/>
    </dgm:pt>
    <dgm:pt modelId="{AF3A8880-3D50-4894-8073-4DB014B8E07B}" type="pres">
      <dgm:prSet presAssocID="{03C2C068-A8EC-463B-A8EF-2E2432758D4D}" presName="parTx" presStyleLbl="revTx" presStyleIdx="1" presStyleCnt="4" custScaleX="112688" custScaleY="310894">
        <dgm:presLayoutVars>
          <dgm:chMax val="1"/>
          <dgm:bulletEnabled val="1"/>
        </dgm:presLayoutVars>
      </dgm:prSet>
      <dgm:spPr/>
    </dgm:pt>
    <dgm:pt modelId="{5C55255C-3FC2-4AB7-89DA-F666FBDDC9E0}" type="pres">
      <dgm:prSet presAssocID="{03C2C068-A8EC-463B-A8EF-2E2432758D4D}" presName="bracket" presStyleLbl="parChTrans1D1" presStyleIdx="1" presStyleCnt="4"/>
      <dgm:spPr/>
    </dgm:pt>
    <dgm:pt modelId="{AEDBDCD6-EECA-4E83-A33B-0AA413E48565}" type="pres">
      <dgm:prSet presAssocID="{03C2C068-A8EC-463B-A8EF-2E2432758D4D}" presName="spH" presStyleCnt="0"/>
      <dgm:spPr/>
    </dgm:pt>
    <dgm:pt modelId="{52CA29D8-681C-466A-9463-D87C170C9B9D}" type="pres">
      <dgm:prSet presAssocID="{03C2C068-A8EC-463B-A8EF-2E2432758D4D}" presName="desTx" presStyleLbl="node1" presStyleIdx="1" presStyleCnt="4" custScaleX="112689" custScaleY="310894">
        <dgm:presLayoutVars>
          <dgm:bulletEnabled val="1"/>
        </dgm:presLayoutVars>
      </dgm:prSet>
      <dgm:spPr/>
    </dgm:pt>
    <dgm:pt modelId="{0586AE50-E8DB-45BF-89C8-6926B504D604}" type="pres">
      <dgm:prSet presAssocID="{0AC82776-B169-444A-8429-5F923D1829B2}" presName="spV" presStyleCnt="0"/>
      <dgm:spPr/>
    </dgm:pt>
    <dgm:pt modelId="{9E785031-CCA5-4687-8E81-5C6F61E04DE4}" type="pres">
      <dgm:prSet presAssocID="{E0789FD8-9D9D-4F00-B7E9-CEB3D2772E8B}" presName="linNode" presStyleCnt="0"/>
      <dgm:spPr/>
    </dgm:pt>
    <dgm:pt modelId="{FFA3A2DE-DFE8-4AE1-B8EA-3EB7DC361EBC}" type="pres">
      <dgm:prSet presAssocID="{E0789FD8-9D9D-4F00-B7E9-CEB3D2772E8B}" presName="parTx" presStyleLbl="revTx" presStyleIdx="2" presStyleCnt="4" custScaleX="112688" custScaleY="310894">
        <dgm:presLayoutVars>
          <dgm:chMax val="1"/>
          <dgm:bulletEnabled val="1"/>
        </dgm:presLayoutVars>
      </dgm:prSet>
      <dgm:spPr/>
    </dgm:pt>
    <dgm:pt modelId="{217B5713-12B4-4C5B-8CD0-F323DE7206A8}" type="pres">
      <dgm:prSet presAssocID="{E0789FD8-9D9D-4F00-B7E9-CEB3D2772E8B}" presName="bracket" presStyleLbl="parChTrans1D1" presStyleIdx="2" presStyleCnt="4"/>
      <dgm:spPr/>
    </dgm:pt>
    <dgm:pt modelId="{9D0B70AA-229B-4F83-827F-F8F640A8EF4E}" type="pres">
      <dgm:prSet presAssocID="{E0789FD8-9D9D-4F00-B7E9-CEB3D2772E8B}" presName="spH" presStyleCnt="0"/>
      <dgm:spPr/>
    </dgm:pt>
    <dgm:pt modelId="{A6C5F13E-2341-4A46-A6AE-8ECA4480358C}" type="pres">
      <dgm:prSet presAssocID="{E0789FD8-9D9D-4F00-B7E9-CEB3D2772E8B}" presName="desTx" presStyleLbl="node1" presStyleIdx="2" presStyleCnt="4" custScaleX="112689" custScaleY="310894">
        <dgm:presLayoutVars>
          <dgm:bulletEnabled val="1"/>
        </dgm:presLayoutVars>
      </dgm:prSet>
      <dgm:spPr/>
    </dgm:pt>
    <dgm:pt modelId="{56F858E1-DFA2-47C9-BA0C-86717DC84D6C}" type="pres">
      <dgm:prSet presAssocID="{11C1D3AF-8781-49B9-B924-3F9EC668A03A}" presName="spV" presStyleCnt="0"/>
      <dgm:spPr/>
    </dgm:pt>
    <dgm:pt modelId="{69C52714-4E55-4B03-B770-03E29C6CF70C}" type="pres">
      <dgm:prSet presAssocID="{0DA55417-39C0-4DA1-B36F-4A869A6CE259}" presName="linNode" presStyleCnt="0"/>
      <dgm:spPr/>
    </dgm:pt>
    <dgm:pt modelId="{AF4322E5-D437-4B42-B13F-47BA257F01EE}" type="pres">
      <dgm:prSet presAssocID="{0DA55417-39C0-4DA1-B36F-4A869A6CE259}" presName="parTx" presStyleLbl="revTx" presStyleIdx="3" presStyleCnt="4" custScaleX="112688" custScaleY="310894">
        <dgm:presLayoutVars>
          <dgm:chMax val="1"/>
          <dgm:bulletEnabled val="1"/>
        </dgm:presLayoutVars>
      </dgm:prSet>
      <dgm:spPr/>
    </dgm:pt>
    <dgm:pt modelId="{D6A015D2-8298-4D96-AE82-79E65E69E3FB}" type="pres">
      <dgm:prSet presAssocID="{0DA55417-39C0-4DA1-B36F-4A869A6CE259}" presName="bracket" presStyleLbl="parChTrans1D1" presStyleIdx="3" presStyleCnt="4"/>
      <dgm:spPr/>
    </dgm:pt>
    <dgm:pt modelId="{11291F2F-F36D-43B1-BBBC-A18E64B39248}" type="pres">
      <dgm:prSet presAssocID="{0DA55417-39C0-4DA1-B36F-4A869A6CE259}" presName="spH" presStyleCnt="0"/>
      <dgm:spPr/>
    </dgm:pt>
    <dgm:pt modelId="{1E4DC31C-6CD2-484B-90F3-7D98F002C683}" type="pres">
      <dgm:prSet presAssocID="{0DA55417-39C0-4DA1-B36F-4A869A6CE259}" presName="desTx" presStyleLbl="node1" presStyleIdx="3" presStyleCnt="4" custScaleX="112689" custScaleY="310894">
        <dgm:presLayoutVars>
          <dgm:bulletEnabled val="1"/>
        </dgm:presLayoutVars>
      </dgm:prSet>
      <dgm:spPr/>
    </dgm:pt>
  </dgm:ptLst>
  <dgm:cxnLst>
    <dgm:cxn modelId="{5C7F9102-DFD1-4123-988E-6F8138415AC8}" type="presOf" srcId="{FD7DBE43-36AF-48AD-BBC9-8959625CF4A0}" destId="{9BAA0F11-F292-4F7D-A4C9-E68310A321E4}" srcOrd="0" destOrd="0" presId="urn:diagrams.loki3.com/BracketList"/>
    <dgm:cxn modelId="{68A74618-8402-4EE4-BC07-6DAF07D0332B}" type="presOf" srcId="{1F9A69F3-7F11-4375-AD7A-6558DF126F90}" destId="{52CA29D8-681C-466A-9463-D87C170C9B9D}" srcOrd="0" destOrd="0" presId="urn:diagrams.loki3.com/BracketList"/>
    <dgm:cxn modelId="{0940E527-BFF3-48E5-B752-C43E24C85725}" type="presOf" srcId="{E0789FD8-9D9D-4F00-B7E9-CEB3D2772E8B}" destId="{FFA3A2DE-DFE8-4AE1-B8EA-3EB7DC361EBC}" srcOrd="0" destOrd="0" presId="urn:diagrams.loki3.com/BracketList"/>
    <dgm:cxn modelId="{D9A0E938-CF2F-46E4-B24B-CF006D127A0C}" type="presOf" srcId="{03C2C068-A8EC-463B-A8EF-2E2432758D4D}" destId="{AF3A8880-3D50-4894-8073-4DB014B8E07B}" srcOrd="0" destOrd="0" presId="urn:diagrams.loki3.com/BracketList"/>
    <dgm:cxn modelId="{1F63825F-3D11-4908-AECC-609F8A14C447}" type="presOf" srcId="{5BB9BC64-45CB-4092-A007-698D0F5AE330}" destId="{89964591-0EB2-43F6-9CB4-2AD773917461}" srcOrd="0" destOrd="0" presId="urn:diagrams.loki3.com/BracketList"/>
    <dgm:cxn modelId="{E676CB68-0EEE-46E3-A4F9-87D585C6FE7F}" srcId="{5BB9BC64-45CB-4092-A007-698D0F5AE330}" destId="{EAD9FA89-C06A-4968-9B55-B55F185341FE}" srcOrd="0" destOrd="0" parTransId="{C8564666-3F7A-458D-8A19-EC5F8FE32792}" sibTransId="{DAC29D02-C2F8-4D24-9417-D2DA88566F8A}"/>
    <dgm:cxn modelId="{6C441949-B276-4A77-BA95-51D73AF49E4B}" type="presOf" srcId="{4FD7E67E-30E6-4398-8B06-B8A8AF8E9ACE}" destId="{1E4DC31C-6CD2-484B-90F3-7D98F002C683}" srcOrd="0" destOrd="0" presId="urn:diagrams.loki3.com/BracketList"/>
    <dgm:cxn modelId="{BB39086A-8850-4451-A44E-4DC0FCF43C4B}" srcId="{5BB9BC64-45CB-4092-A007-698D0F5AE330}" destId="{E0789FD8-9D9D-4F00-B7E9-CEB3D2772E8B}" srcOrd="2" destOrd="0" parTransId="{1D8EDA07-E861-4FE5-9DF6-2BFF80A0C5D4}" sibTransId="{11C1D3AF-8781-49B9-B924-3F9EC668A03A}"/>
    <dgm:cxn modelId="{30D39B4E-5421-4116-9C17-E7C81F02753E}" type="presOf" srcId="{EAD9FA89-C06A-4968-9B55-B55F185341FE}" destId="{2D25A35B-A72A-4AFE-8F4D-8BDD9A31411C}" srcOrd="0" destOrd="0" presId="urn:diagrams.loki3.com/BracketList"/>
    <dgm:cxn modelId="{3C7FC674-D649-43B3-946E-3FD9AD241C83}" type="presOf" srcId="{0DA55417-39C0-4DA1-B36F-4A869A6CE259}" destId="{AF4322E5-D437-4B42-B13F-47BA257F01EE}" srcOrd="0" destOrd="0" presId="urn:diagrams.loki3.com/BracketList"/>
    <dgm:cxn modelId="{B196D55A-EE50-4BD3-9EEF-E12C2240ED1E}" srcId="{0DA55417-39C0-4DA1-B36F-4A869A6CE259}" destId="{4FD7E67E-30E6-4398-8B06-B8A8AF8E9ACE}" srcOrd="0" destOrd="0" parTransId="{D304419D-3961-4A5D-94E2-41B9DEAADD99}" sibTransId="{6DED3FCE-96BD-4D65-9812-BF1C62FDD417}"/>
    <dgm:cxn modelId="{B2D04F89-039C-4DB8-9501-480199608C3B}" srcId="{EAD9FA89-C06A-4968-9B55-B55F185341FE}" destId="{FD7DBE43-36AF-48AD-BBC9-8959625CF4A0}" srcOrd="0" destOrd="0" parTransId="{113DBB1D-3FB3-45DB-A4EB-EB85042F842B}" sibTransId="{9EFC65AE-E43D-4EA7-90E2-B583E865FCA0}"/>
    <dgm:cxn modelId="{12269D8D-5179-4A65-9F18-2CAFC3A4D51D}" type="presOf" srcId="{4EFEB33F-6724-416F-ADA4-223FDCE4D97D}" destId="{A6C5F13E-2341-4A46-A6AE-8ECA4480358C}" srcOrd="0" destOrd="0" presId="urn:diagrams.loki3.com/BracketList"/>
    <dgm:cxn modelId="{35FD00B0-CB3B-4DEB-851F-B0B677BDBB46}" srcId="{E0789FD8-9D9D-4F00-B7E9-CEB3D2772E8B}" destId="{4EFEB33F-6724-416F-ADA4-223FDCE4D97D}" srcOrd="0" destOrd="0" parTransId="{47FB45A6-F688-4721-B011-B2EAB6B1B218}" sibTransId="{888AF66D-55A3-4349-BFC2-2CBE68403644}"/>
    <dgm:cxn modelId="{A0736DE3-CBB3-4E34-8AD4-A17E861FD4A2}" srcId="{03C2C068-A8EC-463B-A8EF-2E2432758D4D}" destId="{1F9A69F3-7F11-4375-AD7A-6558DF126F90}" srcOrd="0" destOrd="0" parTransId="{D3E78B02-F086-4627-AFD3-1365776A7485}" sibTransId="{1C062A74-CDD1-4409-A4A7-8F2D2BECD469}"/>
    <dgm:cxn modelId="{2321BCF8-36D3-48FE-BCD4-E24D7EAF6DF3}" srcId="{5BB9BC64-45CB-4092-A007-698D0F5AE330}" destId="{03C2C068-A8EC-463B-A8EF-2E2432758D4D}" srcOrd="1" destOrd="0" parTransId="{F9898886-BAD7-4CCD-8AD7-6DD811B10A17}" sibTransId="{0AC82776-B169-444A-8429-5F923D1829B2}"/>
    <dgm:cxn modelId="{45A6AEF9-5DD5-4A3D-B53B-AF76B140CBAB}" srcId="{5BB9BC64-45CB-4092-A007-698D0F5AE330}" destId="{0DA55417-39C0-4DA1-B36F-4A869A6CE259}" srcOrd="3" destOrd="0" parTransId="{6163DEF1-2176-4EBD-A3B9-70B1EE986314}" sibTransId="{69AB75EF-63CC-4904-84F7-994DF8D16F2D}"/>
    <dgm:cxn modelId="{22362303-6EBD-4593-81B7-A4D25AA9A88C}" type="presParOf" srcId="{89964591-0EB2-43F6-9CB4-2AD773917461}" destId="{DA329614-28B2-4EE0-8D94-187695FF1566}" srcOrd="0" destOrd="0" presId="urn:diagrams.loki3.com/BracketList"/>
    <dgm:cxn modelId="{2BF03843-90CA-4341-8873-72E1900268CB}" type="presParOf" srcId="{DA329614-28B2-4EE0-8D94-187695FF1566}" destId="{2D25A35B-A72A-4AFE-8F4D-8BDD9A31411C}" srcOrd="0" destOrd="0" presId="urn:diagrams.loki3.com/BracketList"/>
    <dgm:cxn modelId="{0A4D0989-5E80-4D4C-B248-85EE23C329B7}" type="presParOf" srcId="{DA329614-28B2-4EE0-8D94-187695FF1566}" destId="{8008CECF-0467-43EF-A9F1-6F8DF59D1151}" srcOrd="1" destOrd="0" presId="urn:diagrams.loki3.com/BracketList"/>
    <dgm:cxn modelId="{D56BC98D-8D5A-4113-8D27-FCD7AC96EB75}" type="presParOf" srcId="{DA329614-28B2-4EE0-8D94-187695FF1566}" destId="{EC33A2D4-2297-412A-8FD1-FB6E5A8C09C6}" srcOrd="2" destOrd="0" presId="urn:diagrams.loki3.com/BracketList"/>
    <dgm:cxn modelId="{8BF69521-CEA4-4DB3-B863-BEE8A29852D0}" type="presParOf" srcId="{DA329614-28B2-4EE0-8D94-187695FF1566}" destId="{9BAA0F11-F292-4F7D-A4C9-E68310A321E4}" srcOrd="3" destOrd="0" presId="urn:diagrams.loki3.com/BracketList"/>
    <dgm:cxn modelId="{845D9239-6532-4FA5-AE49-151D41A6BD0C}" type="presParOf" srcId="{89964591-0EB2-43F6-9CB4-2AD773917461}" destId="{2F978590-A183-4742-A452-7435E2E84B27}" srcOrd="1" destOrd="0" presId="urn:diagrams.loki3.com/BracketList"/>
    <dgm:cxn modelId="{575CA886-784C-4694-ACC7-FF7DD584A499}" type="presParOf" srcId="{89964591-0EB2-43F6-9CB4-2AD773917461}" destId="{1DE31246-607A-4A80-ADD5-ACB20546EF88}" srcOrd="2" destOrd="0" presId="urn:diagrams.loki3.com/BracketList"/>
    <dgm:cxn modelId="{67209095-17BF-4267-B449-A6F7E5E9C6E3}" type="presParOf" srcId="{1DE31246-607A-4A80-ADD5-ACB20546EF88}" destId="{AF3A8880-3D50-4894-8073-4DB014B8E07B}" srcOrd="0" destOrd="0" presId="urn:diagrams.loki3.com/BracketList"/>
    <dgm:cxn modelId="{AFD0F946-B640-4893-921E-73808FFCA97C}" type="presParOf" srcId="{1DE31246-607A-4A80-ADD5-ACB20546EF88}" destId="{5C55255C-3FC2-4AB7-89DA-F666FBDDC9E0}" srcOrd="1" destOrd="0" presId="urn:diagrams.loki3.com/BracketList"/>
    <dgm:cxn modelId="{E3C8649A-B176-45FC-8966-9A0A4BA29A07}" type="presParOf" srcId="{1DE31246-607A-4A80-ADD5-ACB20546EF88}" destId="{AEDBDCD6-EECA-4E83-A33B-0AA413E48565}" srcOrd="2" destOrd="0" presId="urn:diagrams.loki3.com/BracketList"/>
    <dgm:cxn modelId="{FFAF047B-1FD9-45C9-A639-97EA258E427A}" type="presParOf" srcId="{1DE31246-607A-4A80-ADD5-ACB20546EF88}" destId="{52CA29D8-681C-466A-9463-D87C170C9B9D}" srcOrd="3" destOrd="0" presId="urn:diagrams.loki3.com/BracketList"/>
    <dgm:cxn modelId="{5AAB1FBB-774B-4D0F-8E6C-D0BE2B051038}" type="presParOf" srcId="{89964591-0EB2-43F6-9CB4-2AD773917461}" destId="{0586AE50-E8DB-45BF-89C8-6926B504D604}" srcOrd="3" destOrd="0" presId="urn:diagrams.loki3.com/BracketList"/>
    <dgm:cxn modelId="{473614E4-CDAF-4F8A-A864-4A82450BD1D1}" type="presParOf" srcId="{89964591-0EB2-43F6-9CB4-2AD773917461}" destId="{9E785031-CCA5-4687-8E81-5C6F61E04DE4}" srcOrd="4" destOrd="0" presId="urn:diagrams.loki3.com/BracketList"/>
    <dgm:cxn modelId="{F6C05D13-FA85-4958-84E2-95925E7F46CB}" type="presParOf" srcId="{9E785031-CCA5-4687-8E81-5C6F61E04DE4}" destId="{FFA3A2DE-DFE8-4AE1-B8EA-3EB7DC361EBC}" srcOrd="0" destOrd="0" presId="urn:diagrams.loki3.com/BracketList"/>
    <dgm:cxn modelId="{AD30138F-547B-4341-B07D-F905CB46AF89}" type="presParOf" srcId="{9E785031-CCA5-4687-8E81-5C6F61E04DE4}" destId="{217B5713-12B4-4C5B-8CD0-F323DE7206A8}" srcOrd="1" destOrd="0" presId="urn:diagrams.loki3.com/BracketList"/>
    <dgm:cxn modelId="{CEA6AB34-9C68-4CDE-BD42-76D50542B609}" type="presParOf" srcId="{9E785031-CCA5-4687-8E81-5C6F61E04DE4}" destId="{9D0B70AA-229B-4F83-827F-F8F640A8EF4E}" srcOrd="2" destOrd="0" presId="urn:diagrams.loki3.com/BracketList"/>
    <dgm:cxn modelId="{688F3B63-789F-41C5-84D8-77473760B083}" type="presParOf" srcId="{9E785031-CCA5-4687-8E81-5C6F61E04DE4}" destId="{A6C5F13E-2341-4A46-A6AE-8ECA4480358C}" srcOrd="3" destOrd="0" presId="urn:diagrams.loki3.com/BracketList"/>
    <dgm:cxn modelId="{D5E10C3A-4D79-4670-962F-E1711AE7F465}" type="presParOf" srcId="{89964591-0EB2-43F6-9CB4-2AD773917461}" destId="{56F858E1-DFA2-47C9-BA0C-86717DC84D6C}" srcOrd="5" destOrd="0" presId="urn:diagrams.loki3.com/BracketList"/>
    <dgm:cxn modelId="{D5D0DFDC-FB1A-491F-AC74-48CF2FA4C744}" type="presParOf" srcId="{89964591-0EB2-43F6-9CB4-2AD773917461}" destId="{69C52714-4E55-4B03-B770-03E29C6CF70C}" srcOrd="6" destOrd="0" presId="urn:diagrams.loki3.com/BracketList"/>
    <dgm:cxn modelId="{A1FA386D-F60E-4F7D-A0D4-EF4982705E0A}" type="presParOf" srcId="{69C52714-4E55-4B03-B770-03E29C6CF70C}" destId="{AF4322E5-D437-4B42-B13F-47BA257F01EE}" srcOrd="0" destOrd="0" presId="urn:diagrams.loki3.com/BracketList"/>
    <dgm:cxn modelId="{8832B0F6-A232-4F60-8F7B-122AC19F928C}" type="presParOf" srcId="{69C52714-4E55-4B03-B770-03E29C6CF70C}" destId="{D6A015D2-8298-4D96-AE82-79E65E69E3FB}" srcOrd="1" destOrd="0" presId="urn:diagrams.loki3.com/BracketList"/>
    <dgm:cxn modelId="{1EEB083F-8CFA-4976-BA8B-DDB6919ECDAC}" type="presParOf" srcId="{69C52714-4E55-4B03-B770-03E29C6CF70C}" destId="{11291F2F-F36D-43B1-BBBC-A18E64B39248}" srcOrd="2" destOrd="0" presId="urn:diagrams.loki3.com/BracketList"/>
    <dgm:cxn modelId="{C7E699FB-C72B-49D7-94A2-7514163446C3}" type="presParOf" srcId="{69C52714-4E55-4B03-B770-03E29C6CF70C}" destId="{1E4DC31C-6CD2-484B-90F3-7D98F002C683}" srcOrd="3" destOrd="0" presId="urn:diagrams.loki3.com/BracketList"/>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3A670030-CD03-425D-ACE3-FE33D696DD3A}"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US"/>
        </a:p>
      </dgm:t>
    </dgm:pt>
    <dgm:pt modelId="{B8B17663-FEE6-49B4-9FFF-F112697B9E61}">
      <dgm:prSet phldrT="[Text]" custT="1"/>
      <dgm:spPr>
        <a:solidFill>
          <a:srgbClr val="00B050"/>
        </a:solidFill>
      </dgm:spPr>
      <dgm:t>
        <a:bodyPr/>
        <a:lstStyle/>
        <a:p>
          <a:pPr algn="ctr">
            <a:buNone/>
          </a:pPr>
          <a:r>
            <a:rPr lang="en-US" sz="1200" b="1">
              <a:latin typeface="Times New Roman" panose="02020603050405020304" pitchFamily="18" charset="0"/>
              <a:cs typeface="Times New Roman" panose="02020603050405020304" pitchFamily="18" charset="0"/>
            </a:rPr>
            <a:t>China market share: 17.2% → 8.1%</a:t>
          </a:r>
          <a:endParaRPr lang="en-US" sz="1200">
            <a:latin typeface="Times New Roman" panose="02020603050405020304" pitchFamily="18" charset="0"/>
            <a:cs typeface="Times New Roman" panose="02020603050405020304" pitchFamily="18" charset="0"/>
          </a:endParaRPr>
        </a:p>
      </dgm:t>
    </dgm:pt>
    <dgm:pt modelId="{996322C2-27D2-4536-AE76-81E1AAEE9A08}" type="parTrans" cxnId="{644F9AF6-94F6-4AFD-92DE-D912CB6BCB56}">
      <dgm:prSet/>
      <dgm:spPr/>
      <dgm:t>
        <a:bodyPr/>
        <a:lstStyle/>
        <a:p>
          <a:pPr algn="ctr"/>
          <a:endParaRPr lang="en-US"/>
        </a:p>
      </dgm:t>
    </dgm:pt>
    <dgm:pt modelId="{B2167E50-E07B-408B-9937-530F9EFB1BF8}" type="sibTrans" cxnId="{644F9AF6-94F6-4AFD-92DE-D912CB6BCB56}">
      <dgm:prSet/>
      <dgm:spPr/>
      <dgm:t>
        <a:bodyPr/>
        <a:lstStyle/>
        <a:p>
          <a:pPr algn="ctr"/>
          <a:endParaRPr lang="en-US"/>
        </a:p>
      </dgm:t>
    </dgm:pt>
    <dgm:pt modelId="{A1B0981B-F742-4163-8280-CB6F835D7B12}">
      <dgm:prSet custT="1"/>
      <dgm:spPr>
        <a:solidFill>
          <a:schemeClr val="tx1"/>
        </a:solidFill>
      </dgm:spPr>
      <dgm:t>
        <a:bodyPr/>
        <a:lstStyle/>
        <a:p>
          <a:pPr algn="ctr">
            <a:buNone/>
          </a:pPr>
          <a:r>
            <a:rPr lang="en-US" sz="1200" b="1">
              <a:latin typeface="Times New Roman" panose="02020603050405020304" pitchFamily="18" charset="0"/>
              <a:cs typeface="Times New Roman" panose="02020603050405020304" pitchFamily="18" charset="0"/>
            </a:rPr>
            <a:t>NPS (overall: 	72 → 38</a:t>
          </a:r>
          <a:endParaRPr lang="en-US" sz="1200">
            <a:latin typeface="Times New Roman" panose="02020603050405020304" pitchFamily="18" charset="0"/>
            <a:cs typeface="Times New Roman" panose="02020603050405020304" pitchFamily="18" charset="0"/>
          </a:endParaRPr>
        </a:p>
      </dgm:t>
    </dgm:pt>
    <dgm:pt modelId="{E8A7A17F-D5DF-466D-A446-F8B7B99216F8}" type="parTrans" cxnId="{06EC927E-E327-46CE-B774-073403C260D3}">
      <dgm:prSet/>
      <dgm:spPr/>
      <dgm:t>
        <a:bodyPr/>
        <a:lstStyle/>
        <a:p>
          <a:pPr algn="ctr"/>
          <a:endParaRPr lang="en-US"/>
        </a:p>
      </dgm:t>
    </dgm:pt>
    <dgm:pt modelId="{7F9D3CBD-CE37-4650-A0B4-2B414AE686E5}" type="sibTrans" cxnId="{06EC927E-E327-46CE-B774-073403C260D3}">
      <dgm:prSet/>
      <dgm:spPr/>
      <dgm:t>
        <a:bodyPr/>
        <a:lstStyle/>
        <a:p>
          <a:pPr algn="ctr"/>
          <a:endParaRPr lang="en-US"/>
        </a:p>
      </dgm:t>
    </dgm:pt>
    <dgm:pt modelId="{A4B2290B-F198-4EE7-A9B3-E28BC3C2618D}">
      <dgm:prSet custT="1"/>
      <dgm:spPr>
        <a:solidFill>
          <a:srgbClr val="EE0000"/>
        </a:solidFill>
      </dgm:spPr>
      <dgm:t>
        <a:bodyPr/>
        <a:lstStyle/>
        <a:p>
          <a:pPr algn="ctr">
            <a:buNone/>
          </a:pPr>
          <a:r>
            <a:rPr lang="en-US" sz="1200" b="1">
              <a:latin typeface="Times New Roman" panose="02020603050405020304" pitchFamily="18" charset="0"/>
              <a:cs typeface="Times New Roman" panose="02020603050405020304" pitchFamily="18" charset="0"/>
            </a:rPr>
            <a:t>Entry-level NPS: 18</a:t>
          </a:r>
          <a:endParaRPr lang="en-US" sz="1200">
            <a:latin typeface="Times New Roman" panose="02020603050405020304" pitchFamily="18" charset="0"/>
            <a:cs typeface="Times New Roman" panose="02020603050405020304" pitchFamily="18" charset="0"/>
          </a:endParaRPr>
        </a:p>
      </dgm:t>
    </dgm:pt>
    <dgm:pt modelId="{24F19D9A-E4A5-421B-949B-7236B1B4C6E7}" type="parTrans" cxnId="{782E5D90-E3E8-490F-B3E0-8C00B00097F9}">
      <dgm:prSet/>
      <dgm:spPr/>
      <dgm:t>
        <a:bodyPr/>
        <a:lstStyle/>
        <a:p>
          <a:pPr algn="ctr"/>
          <a:endParaRPr lang="en-US"/>
        </a:p>
      </dgm:t>
    </dgm:pt>
    <dgm:pt modelId="{27D0312A-4CBD-45AA-8647-3DE6CF8ABCDA}" type="sibTrans" cxnId="{782E5D90-E3E8-490F-B3E0-8C00B00097F9}">
      <dgm:prSet/>
      <dgm:spPr/>
      <dgm:t>
        <a:bodyPr/>
        <a:lstStyle/>
        <a:p>
          <a:pPr algn="ctr"/>
          <a:endParaRPr lang="en-US"/>
        </a:p>
      </dgm:t>
    </dgm:pt>
    <dgm:pt modelId="{BCD2D2F9-F96A-4265-98FF-91326BE2C537}">
      <dgm:prSet custT="1"/>
      <dgm:spPr/>
      <dgm:t>
        <a:bodyPr/>
        <a:lstStyle/>
        <a:p>
          <a:pPr algn="ctr">
            <a:buNone/>
          </a:pPr>
          <a:r>
            <a:rPr lang="en-US" sz="1200" b="1">
              <a:latin typeface="Times New Roman" panose="02020603050405020304" pitchFamily="18" charset="0"/>
              <a:cs typeface="Times New Roman" panose="02020603050405020304" pitchFamily="18" charset="0"/>
            </a:rPr>
            <a:t>P/E ratio: 82× → 24×</a:t>
          </a:r>
          <a:endParaRPr lang="en-US" sz="1200">
            <a:latin typeface="Times New Roman" panose="02020603050405020304" pitchFamily="18" charset="0"/>
            <a:cs typeface="Times New Roman" panose="02020603050405020304" pitchFamily="18" charset="0"/>
          </a:endParaRPr>
        </a:p>
      </dgm:t>
    </dgm:pt>
    <dgm:pt modelId="{6147017E-9842-45C7-B5B1-CF0A19DF4514}" type="parTrans" cxnId="{25166D9F-4204-4C42-AB35-9158A9E91CE1}">
      <dgm:prSet/>
      <dgm:spPr/>
      <dgm:t>
        <a:bodyPr/>
        <a:lstStyle/>
        <a:p>
          <a:pPr algn="ctr"/>
          <a:endParaRPr lang="en-US"/>
        </a:p>
      </dgm:t>
    </dgm:pt>
    <dgm:pt modelId="{F08B3842-8599-43F3-9272-4756CBDB0980}" type="sibTrans" cxnId="{25166D9F-4204-4C42-AB35-9158A9E91CE1}">
      <dgm:prSet/>
      <dgm:spPr/>
      <dgm:t>
        <a:bodyPr/>
        <a:lstStyle/>
        <a:p>
          <a:pPr algn="ctr"/>
          <a:endParaRPr lang="en-US"/>
        </a:p>
      </dgm:t>
    </dgm:pt>
    <dgm:pt modelId="{A8256D1A-21A7-45A9-9ECA-AD3F93194A4F}" type="pres">
      <dgm:prSet presAssocID="{3A670030-CD03-425D-ACE3-FE33D696DD3A}" presName="diagram" presStyleCnt="0">
        <dgm:presLayoutVars>
          <dgm:dir/>
          <dgm:resizeHandles val="exact"/>
        </dgm:presLayoutVars>
      </dgm:prSet>
      <dgm:spPr/>
    </dgm:pt>
    <dgm:pt modelId="{A58F5263-4283-42C4-ACFC-6C18C23F198A}" type="pres">
      <dgm:prSet presAssocID="{B8B17663-FEE6-49B4-9FFF-F112697B9E61}" presName="node" presStyleLbl="node1" presStyleIdx="0" presStyleCnt="4">
        <dgm:presLayoutVars>
          <dgm:bulletEnabled val="1"/>
        </dgm:presLayoutVars>
      </dgm:prSet>
      <dgm:spPr/>
    </dgm:pt>
    <dgm:pt modelId="{A375DB47-5FF9-4842-8301-91BE3A11C2E3}" type="pres">
      <dgm:prSet presAssocID="{B2167E50-E07B-408B-9937-530F9EFB1BF8}" presName="sibTrans" presStyleCnt="0"/>
      <dgm:spPr/>
    </dgm:pt>
    <dgm:pt modelId="{AAFC9A6B-571F-4C4B-9F8C-E2B3BFEC49D1}" type="pres">
      <dgm:prSet presAssocID="{A1B0981B-F742-4163-8280-CB6F835D7B12}" presName="node" presStyleLbl="node1" presStyleIdx="1" presStyleCnt="4">
        <dgm:presLayoutVars>
          <dgm:bulletEnabled val="1"/>
        </dgm:presLayoutVars>
      </dgm:prSet>
      <dgm:spPr/>
    </dgm:pt>
    <dgm:pt modelId="{004F5AC5-C05E-423E-A675-F77A2BA67B5F}" type="pres">
      <dgm:prSet presAssocID="{7F9D3CBD-CE37-4650-A0B4-2B414AE686E5}" presName="sibTrans" presStyleCnt="0"/>
      <dgm:spPr/>
    </dgm:pt>
    <dgm:pt modelId="{07064FF8-3F42-43B6-A88D-EFE8D10E44B9}" type="pres">
      <dgm:prSet presAssocID="{A4B2290B-F198-4EE7-A9B3-E28BC3C2618D}" presName="node" presStyleLbl="node1" presStyleIdx="2" presStyleCnt="4">
        <dgm:presLayoutVars>
          <dgm:bulletEnabled val="1"/>
        </dgm:presLayoutVars>
      </dgm:prSet>
      <dgm:spPr/>
    </dgm:pt>
    <dgm:pt modelId="{E1DDE12C-99A2-4B1B-BA35-5608804AC63A}" type="pres">
      <dgm:prSet presAssocID="{27D0312A-4CBD-45AA-8647-3DE6CF8ABCDA}" presName="sibTrans" presStyleCnt="0"/>
      <dgm:spPr/>
    </dgm:pt>
    <dgm:pt modelId="{3F81ECEE-DA83-4943-B499-B18A552134EC}" type="pres">
      <dgm:prSet presAssocID="{BCD2D2F9-F96A-4265-98FF-91326BE2C537}" presName="node" presStyleLbl="node1" presStyleIdx="3" presStyleCnt="4">
        <dgm:presLayoutVars>
          <dgm:bulletEnabled val="1"/>
        </dgm:presLayoutVars>
      </dgm:prSet>
      <dgm:spPr/>
    </dgm:pt>
  </dgm:ptLst>
  <dgm:cxnLst>
    <dgm:cxn modelId="{6A9D3A25-9F79-4998-A67D-BE7EDC6399EF}" type="presOf" srcId="{BCD2D2F9-F96A-4265-98FF-91326BE2C537}" destId="{3F81ECEE-DA83-4943-B499-B18A552134EC}" srcOrd="0" destOrd="0" presId="urn:microsoft.com/office/officeart/2005/8/layout/default"/>
    <dgm:cxn modelId="{033BD326-777E-4E4D-B9C9-C01802FC18F3}" type="presOf" srcId="{3A670030-CD03-425D-ACE3-FE33D696DD3A}" destId="{A8256D1A-21A7-45A9-9ECA-AD3F93194A4F}" srcOrd="0" destOrd="0" presId="urn:microsoft.com/office/officeart/2005/8/layout/default"/>
    <dgm:cxn modelId="{7EFCF62F-742C-4DA0-8B23-04833620DC6B}" type="presOf" srcId="{A4B2290B-F198-4EE7-A9B3-E28BC3C2618D}" destId="{07064FF8-3F42-43B6-A88D-EFE8D10E44B9}" srcOrd="0" destOrd="0" presId="urn:microsoft.com/office/officeart/2005/8/layout/default"/>
    <dgm:cxn modelId="{06EC927E-E327-46CE-B774-073403C260D3}" srcId="{3A670030-CD03-425D-ACE3-FE33D696DD3A}" destId="{A1B0981B-F742-4163-8280-CB6F835D7B12}" srcOrd="1" destOrd="0" parTransId="{E8A7A17F-D5DF-466D-A446-F8B7B99216F8}" sibTransId="{7F9D3CBD-CE37-4650-A0B4-2B414AE686E5}"/>
    <dgm:cxn modelId="{782E5D90-E3E8-490F-B3E0-8C00B00097F9}" srcId="{3A670030-CD03-425D-ACE3-FE33D696DD3A}" destId="{A4B2290B-F198-4EE7-A9B3-E28BC3C2618D}" srcOrd="2" destOrd="0" parTransId="{24F19D9A-E4A5-421B-949B-7236B1B4C6E7}" sibTransId="{27D0312A-4CBD-45AA-8647-3DE6CF8ABCDA}"/>
    <dgm:cxn modelId="{3A8AD490-0245-4561-8879-7F2893AD6F3D}" type="presOf" srcId="{B8B17663-FEE6-49B4-9FFF-F112697B9E61}" destId="{A58F5263-4283-42C4-ACFC-6C18C23F198A}" srcOrd="0" destOrd="0" presId="urn:microsoft.com/office/officeart/2005/8/layout/default"/>
    <dgm:cxn modelId="{25166D9F-4204-4C42-AB35-9158A9E91CE1}" srcId="{3A670030-CD03-425D-ACE3-FE33D696DD3A}" destId="{BCD2D2F9-F96A-4265-98FF-91326BE2C537}" srcOrd="3" destOrd="0" parTransId="{6147017E-9842-45C7-B5B1-CF0A19DF4514}" sibTransId="{F08B3842-8599-43F3-9272-4756CBDB0980}"/>
    <dgm:cxn modelId="{67B66EE7-77BD-4190-8BFB-F007F835617D}" type="presOf" srcId="{A1B0981B-F742-4163-8280-CB6F835D7B12}" destId="{AAFC9A6B-571F-4C4B-9F8C-E2B3BFEC49D1}" srcOrd="0" destOrd="0" presId="urn:microsoft.com/office/officeart/2005/8/layout/default"/>
    <dgm:cxn modelId="{644F9AF6-94F6-4AFD-92DE-D912CB6BCB56}" srcId="{3A670030-CD03-425D-ACE3-FE33D696DD3A}" destId="{B8B17663-FEE6-49B4-9FFF-F112697B9E61}" srcOrd="0" destOrd="0" parTransId="{996322C2-27D2-4536-AE76-81E1AAEE9A08}" sibTransId="{B2167E50-E07B-408B-9937-530F9EFB1BF8}"/>
    <dgm:cxn modelId="{AFE23B26-7384-4754-9020-6DD042B5C2A2}" type="presParOf" srcId="{A8256D1A-21A7-45A9-9ECA-AD3F93194A4F}" destId="{A58F5263-4283-42C4-ACFC-6C18C23F198A}" srcOrd="0" destOrd="0" presId="urn:microsoft.com/office/officeart/2005/8/layout/default"/>
    <dgm:cxn modelId="{BB13A60E-8E44-4838-B498-7E3F170E7E55}" type="presParOf" srcId="{A8256D1A-21A7-45A9-9ECA-AD3F93194A4F}" destId="{A375DB47-5FF9-4842-8301-91BE3A11C2E3}" srcOrd="1" destOrd="0" presId="urn:microsoft.com/office/officeart/2005/8/layout/default"/>
    <dgm:cxn modelId="{1B419797-FF55-4FA2-BFDD-3989286D6EB7}" type="presParOf" srcId="{A8256D1A-21A7-45A9-9ECA-AD3F93194A4F}" destId="{AAFC9A6B-571F-4C4B-9F8C-E2B3BFEC49D1}" srcOrd="2" destOrd="0" presId="urn:microsoft.com/office/officeart/2005/8/layout/default"/>
    <dgm:cxn modelId="{05CE9B5C-2E9F-4942-83A3-39EC292DF1FC}" type="presParOf" srcId="{A8256D1A-21A7-45A9-9ECA-AD3F93194A4F}" destId="{004F5AC5-C05E-423E-A675-F77A2BA67B5F}" srcOrd="3" destOrd="0" presId="urn:microsoft.com/office/officeart/2005/8/layout/default"/>
    <dgm:cxn modelId="{6AC502A6-7D14-4AE7-9DC5-CE92CA059016}" type="presParOf" srcId="{A8256D1A-21A7-45A9-9ECA-AD3F93194A4F}" destId="{07064FF8-3F42-43B6-A88D-EFE8D10E44B9}" srcOrd="4" destOrd="0" presId="urn:microsoft.com/office/officeart/2005/8/layout/default"/>
    <dgm:cxn modelId="{0453DA43-FC1A-45EF-AFBF-6301F0ABD006}" type="presParOf" srcId="{A8256D1A-21A7-45A9-9ECA-AD3F93194A4F}" destId="{E1DDE12C-99A2-4B1B-BA35-5608804AC63A}" srcOrd="5" destOrd="0" presId="urn:microsoft.com/office/officeart/2005/8/layout/default"/>
    <dgm:cxn modelId="{89182606-9703-487D-8E19-3A28938E93BB}" type="presParOf" srcId="{A8256D1A-21A7-45A9-9ECA-AD3F93194A4F}" destId="{3F81ECEE-DA83-4943-B499-B18A552134EC}" srcOrd="6" destOrd="0" presId="urn:microsoft.com/office/officeart/2005/8/layout/default"/>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157B6783-17F0-41AD-8D96-0BB6293D9F5A}"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98CEF9CB-7017-4270-8EDE-1964B0C8C5EA}">
      <dgm:prSet phldrT="[Text]" custT="1"/>
      <dgm:spPr/>
      <dgm:t>
        <a:bodyPr/>
        <a:lstStyle/>
        <a:p>
          <a:pPr algn="ctr">
            <a:buNone/>
          </a:pPr>
          <a:r>
            <a:rPr lang="en-US" sz="1200">
              <a:latin typeface="Times New Roman" panose="02020603050405020304" pitchFamily="18" charset="0"/>
              <a:cs typeface="Times New Roman" panose="02020603050405020304" pitchFamily="18" charset="0"/>
            </a:rPr>
            <a:t>EV technical literacy</a:t>
          </a:r>
        </a:p>
      </dgm:t>
    </dgm:pt>
    <dgm:pt modelId="{8BB77E98-1444-4E2A-9096-A28F332503C8}" type="parTrans" cxnId="{52D83F42-D8C6-4B47-A3A0-5601D462F694}">
      <dgm:prSet/>
      <dgm:spPr/>
      <dgm:t>
        <a:bodyPr/>
        <a:lstStyle/>
        <a:p>
          <a:endParaRPr lang="en-US"/>
        </a:p>
      </dgm:t>
    </dgm:pt>
    <dgm:pt modelId="{9038FF1D-FEEA-44A8-88D0-8685FBAA8CC5}" type="sibTrans" cxnId="{52D83F42-D8C6-4B47-A3A0-5601D462F694}">
      <dgm:prSet/>
      <dgm:spPr/>
      <dgm:t>
        <a:bodyPr/>
        <a:lstStyle/>
        <a:p>
          <a:endParaRPr lang="en-US"/>
        </a:p>
      </dgm:t>
    </dgm:pt>
    <dgm:pt modelId="{F23F8DF3-3600-42C6-BD78-119D4CD97982}">
      <dgm:prSet custT="1"/>
      <dgm:spPr/>
      <dgm:t>
        <a:bodyPr/>
        <a:lstStyle/>
        <a:p>
          <a:pPr algn="ctr">
            <a:buNone/>
          </a:pPr>
          <a:r>
            <a:rPr lang="en-US" sz="1200">
              <a:latin typeface="Times New Roman" panose="02020603050405020304" pitchFamily="18" charset="0"/>
              <a:cs typeface="Times New Roman" panose="02020603050405020304" pitchFamily="18" charset="0"/>
            </a:rPr>
            <a:t>Majority of EV-interested consumers understand range–charging trade-offs</a:t>
          </a:r>
        </a:p>
      </dgm:t>
    </dgm:pt>
    <dgm:pt modelId="{BEADC2C8-1E00-4336-90D6-0A9747A2476D}" type="parTrans" cxnId="{1864EFDE-0609-42DE-9038-0E4F0F76C62C}">
      <dgm:prSet/>
      <dgm:spPr/>
      <dgm:t>
        <a:bodyPr/>
        <a:lstStyle/>
        <a:p>
          <a:endParaRPr lang="en-US"/>
        </a:p>
      </dgm:t>
    </dgm:pt>
    <dgm:pt modelId="{F084F98E-C47A-4B90-97A2-A9788D85FA72}" type="sibTrans" cxnId="{1864EFDE-0609-42DE-9038-0E4F0F76C62C}">
      <dgm:prSet/>
      <dgm:spPr/>
      <dgm:t>
        <a:bodyPr/>
        <a:lstStyle/>
        <a:p>
          <a:endParaRPr lang="en-US"/>
        </a:p>
      </dgm:t>
    </dgm:pt>
    <dgm:pt modelId="{8031E2A7-2CE0-4DCD-9F70-F51773B78294}">
      <dgm:prSet custT="1"/>
      <dgm:spPr>
        <a:solidFill>
          <a:schemeClr val="tx1"/>
        </a:solidFill>
      </dgm:spPr>
      <dgm:t>
        <a:bodyPr/>
        <a:lstStyle/>
        <a:p>
          <a:pPr algn="ctr">
            <a:buNone/>
          </a:pPr>
          <a:r>
            <a:rPr lang="en-US" sz="1200">
              <a:latin typeface="Times New Roman" panose="02020603050405020304" pitchFamily="18" charset="0"/>
              <a:cs typeface="Times New Roman" panose="02020603050405020304" pitchFamily="18" charset="0"/>
            </a:rPr>
            <a:t>Autonomy understanding</a:t>
          </a:r>
        </a:p>
      </dgm:t>
    </dgm:pt>
    <dgm:pt modelId="{5E0B1F37-0E2F-412A-A580-EC24B51F227D}" type="parTrans" cxnId="{6FBE7EEA-4DCB-4018-A5AB-FFE8DE6D3D0A}">
      <dgm:prSet/>
      <dgm:spPr/>
      <dgm:t>
        <a:bodyPr/>
        <a:lstStyle/>
        <a:p>
          <a:endParaRPr lang="en-US"/>
        </a:p>
      </dgm:t>
    </dgm:pt>
    <dgm:pt modelId="{35E3347B-2478-4F34-A817-65BD74DD5714}" type="sibTrans" cxnId="{6FBE7EEA-4DCB-4018-A5AB-FFE8DE6D3D0A}">
      <dgm:prSet/>
      <dgm:spPr/>
      <dgm:t>
        <a:bodyPr/>
        <a:lstStyle/>
        <a:p>
          <a:endParaRPr lang="en-US"/>
        </a:p>
      </dgm:t>
    </dgm:pt>
    <dgm:pt modelId="{4AEEC899-0ED7-4934-8738-82E140658CA1}">
      <dgm:prSet custT="1"/>
      <dgm:spPr/>
      <dgm:t>
        <a:bodyPr/>
        <a:lstStyle/>
        <a:p>
          <a:pPr algn="ctr">
            <a:buNone/>
          </a:pPr>
          <a:r>
            <a:rPr lang="en-US" sz="1200">
              <a:latin typeface="Times New Roman" panose="02020603050405020304" pitchFamily="18" charset="0"/>
              <a:cs typeface="Times New Roman" panose="02020603050405020304" pitchFamily="18" charset="0"/>
            </a:rPr>
            <a:t>Widespread recognition of Level 2 limitations</a:t>
          </a:r>
        </a:p>
      </dgm:t>
    </dgm:pt>
    <dgm:pt modelId="{603336AE-52A0-4D09-A488-37093CF84995}" type="parTrans" cxnId="{8EEC1B96-6690-444A-BBC1-D7AD9ACF8BD6}">
      <dgm:prSet/>
      <dgm:spPr/>
      <dgm:t>
        <a:bodyPr/>
        <a:lstStyle/>
        <a:p>
          <a:endParaRPr lang="en-US"/>
        </a:p>
      </dgm:t>
    </dgm:pt>
    <dgm:pt modelId="{0421D75F-D126-47F9-8EF9-9C1136F1F3AD}" type="sibTrans" cxnId="{8EEC1B96-6690-444A-BBC1-D7AD9ACF8BD6}">
      <dgm:prSet/>
      <dgm:spPr/>
      <dgm:t>
        <a:bodyPr/>
        <a:lstStyle/>
        <a:p>
          <a:endParaRPr lang="en-US"/>
        </a:p>
      </dgm:t>
    </dgm:pt>
    <dgm:pt modelId="{59879F17-E467-4190-B334-14201094A019}">
      <dgm:prSet custT="1"/>
      <dgm:spPr>
        <a:solidFill>
          <a:srgbClr val="EE0000"/>
        </a:solidFill>
      </dgm:spPr>
      <dgm:t>
        <a:bodyPr/>
        <a:lstStyle/>
        <a:p>
          <a:pPr algn="ctr">
            <a:buNone/>
          </a:pPr>
          <a:r>
            <a:rPr lang="en-US" sz="1200">
              <a:latin typeface="Times New Roman" panose="02020603050405020304" pitchFamily="18" charset="0"/>
              <a:cs typeface="Times New Roman" panose="02020603050405020304" pitchFamily="18" charset="0"/>
            </a:rPr>
            <a:t>Charging evaluation</a:t>
          </a:r>
        </a:p>
      </dgm:t>
    </dgm:pt>
    <dgm:pt modelId="{E1AC8C15-6A34-4C4B-94D8-387F9BB10180}" type="parTrans" cxnId="{6D35B4DD-80A5-4DC6-A566-4B58F701CBE4}">
      <dgm:prSet/>
      <dgm:spPr/>
      <dgm:t>
        <a:bodyPr/>
        <a:lstStyle/>
        <a:p>
          <a:endParaRPr lang="en-US"/>
        </a:p>
      </dgm:t>
    </dgm:pt>
    <dgm:pt modelId="{0F800969-DA0E-4D82-ABD5-3C232946548F}" type="sibTrans" cxnId="{6D35B4DD-80A5-4DC6-A566-4B58F701CBE4}">
      <dgm:prSet/>
      <dgm:spPr/>
      <dgm:t>
        <a:bodyPr/>
        <a:lstStyle/>
        <a:p>
          <a:endParaRPr lang="en-US"/>
        </a:p>
      </dgm:t>
    </dgm:pt>
    <dgm:pt modelId="{FE196109-20BD-45B3-BCCF-42B661C781FD}">
      <dgm:prSet custT="1"/>
      <dgm:spPr/>
      <dgm:t>
        <a:bodyPr/>
        <a:lstStyle/>
        <a:p>
          <a:pPr algn="ctr">
            <a:buNone/>
          </a:pPr>
          <a:r>
            <a:rPr lang="en-US" sz="1200">
              <a:latin typeface="Times New Roman" panose="02020603050405020304" pitchFamily="18" charset="0"/>
              <a:cs typeface="Times New Roman" panose="02020603050405020304" pitchFamily="18" charset="0"/>
            </a:rPr>
            <a:t>Infrastructure availability a primary purchase criterion</a:t>
          </a:r>
        </a:p>
      </dgm:t>
    </dgm:pt>
    <dgm:pt modelId="{F5EA81A9-DF89-489A-92C2-C737E1A755FD}" type="parTrans" cxnId="{2242DBC6-3C23-47AF-9755-4B221DDF51FD}">
      <dgm:prSet/>
      <dgm:spPr/>
      <dgm:t>
        <a:bodyPr/>
        <a:lstStyle/>
        <a:p>
          <a:endParaRPr lang="en-US"/>
        </a:p>
      </dgm:t>
    </dgm:pt>
    <dgm:pt modelId="{4D2A3B83-761D-445E-9FD2-4D89C552AF2E}" type="sibTrans" cxnId="{2242DBC6-3C23-47AF-9755-4B221DDF51FD}">
      <dgm:prSet/>
      <dgm:spPr/>
      <dgm:t>
        <a:bodyPr/>
        <a:lstStyle/>
        <a:p>
          <a:endParaRPr lang="en-US"/>
        </a:p>
      </dgm:t>
    </dgm:pt>
    <dgm:pt modelId="{E03E0A17-2E49-4985-8007-FD94CAEA331D}">
      <dgm:prSet custT="1"/>
      <dgm:spPr>
        <a:solidFill>
          <a:srgbClr val="00B050"/>
        </a:solidFill>
      </dgm:spPr>
      <dgm:t>
        <a:bodyPr/>
        <a:lstStyle/>
        <a:p>
          <a:pPr algn="ctr">
            <a:buNone/>
          </a:pPr>
          <a:r>
            <a:rPr lang="en-US" sz="1200">
              <a:latin typeface="Times New Roman" panose="02020603050405020304" pitchFamily="18" charset="0"/>
              <a:cs typeface="Times New Roman" panose="02020603050405020304" pitchFamily="18" charset="0"/>
            </a:rPr>
            <a:t>Cost assessment</a:t>
          </a:r>
        </a:p>
      </dgm:t>
    </dgm:pt>
    <dgm:pt modelId="{97CF1B0B-4BCC-4763-9516-B9E2B60963F4}" type="parTrans" cxnId="{8A73CF99-5F37-4AA7-AE4C-0DD5E23BB81D}">
      <dgm:prSet/>
      <dgm:spPr/>
      <dgm:t>
        <a:bodyPr/>
        <a:lstStyle/>
        <a:p>
          <a:endParaRPr lang="en-US"/>
        </a:p>
      </dgm:t>
    </dgm:pt>
    <dgm:pt modelId="{6518C91E-AF19-4D8E-90D1-027D7C569A8D}" type="sibTrans" cxnId="{8A73CF99-5F37-4AA7-AE4C-0DD5E23BB81D}">
      <dgm:prSet/>
      <dgm:spPr/>
      <dgm:t>
        <a:bodyPr/>
        <a:lstStyle/>
        <a:p>
          <a:endParaRPr lang="en-US"/>
        </a:p>
      </dgm:t>
    </dgm:pt>
    <dgm:pt modelId="{A5E95301-9BFD-4885-BB97-C6AFA539408A}">
      <dgm:prSet custT="1"/>
      <dgm:spPr/>
      <dgm:t>
        <a:bodyPr/>
        <a:lstStyle/>
        <a:p>
          <a:pPr algn="ctr">
            <a:buNone/>
          </a:pPr>
          <a:r>
            <a:rPr lang="en-US" sz="1200">
              <a:latin typeface="Times New Roman" panose="02020603050405020304" pitchFamily="18" charset="0"/>
              <a:cs typeface="Times New Roman" panose="02020603050405020304" pitchFamily="18" charset="0"/>
            </a:rPr>
            <a:t>Total cost of ownership increasingly analysed pre-purchase</a:t>
          </a:r>
        </a:p>
      </dgm:t>
    </dgm:pt>
    <dgm:pt modelId="{ED27393C-4BBF-4517-BC2B-1F8AF04AB047}" type="parTrans" cxnId="{3FBDDEFE-6ABD-4802-8CB2-3526A1140599}">
      <dgm:prSet/>
      <dgm:spPr/>
      <dgm:t>
        <a:bodyPr/>
        <a:lstStyle/>
        <a:p>
          <a:endParaRPr lang="en-US"/>
        </a:p>
      </dgm:t>
    </dgm:pt>
    <dgm:pt modelId="{E1DEB4E8-2EC5-4199-A67A-5A08D8D09F77}" type="sibTrans" cxnId="{3FBDDEFE-6ABD-4802-8CB2-3526A1140599}">
      <dgm:prSet/>
      <dgm:spPr/>
      <dgm:t>
        <a:bodyPr/>
        <a:lstStyle/>
        <a:p>
          <a:endParaRPr lang="en-US"/>
        </a:p>
      </dgm:t>
    </dgm:pt>
    <dgm:pt modelId="{58D9A22F-528A-477F-9C8C-305462EE5268}" type="pres">
      <dgm:prSet presAssocID="{157B6783-17F0-41AD-8D96-0BB6293D9F5A}" presName="linear" presStyleCnt="0">
        <dgm:presLayoutVars>
          <dgm:dir/>
          <dgm:animLvl val="lvl"/>
          <dgm:resizeHandles val="exact"/>
        </dgm:presLayoutVars>
      </dgm:prSet>
      <dgm:spPr/>
    </dgm:pt>
    <dgm:pt modelId="{D415F2D9-5B38-4429-AE5B-7F8CD1FD3970}" type="pres">
      <dgm:prSet presAssocID="{98CEF9CB-7017-4270-8EDE-1964B0C8C5EA}" presName="parentLin" presStyleCnt="0"/>
      <dgm:spPr/>
    </dgm:pt>
    <dgm:pt modelId="{745F4856-B9A2-4066-896B-0311A769472F}" type="pres">
      <dgm:prSet presAssocID="{98CEF9CB-7017-4270-8EDE-1964B0C8C5EA}" presName="parentLeftMargin" presStyleLbl="node1" presStyleIdx="0" presStyleCnt="4"/>
      <dgm:spPr/>
    </dgm:pt>
    <dgm:pt modelId="{A8CEBB5D-6CA9-4939-9062-7340A8744130}" type="pres">
      <dgm:prSet presAssocID="{98CEF9CB-7017-4270-8EDE-1964B0C8C5EA}" presName="parentText" presStyleLbl="node1" presStyleIdx="0" presStyleCnt="4">
        <dgm:presLayoutVars>
          <dgm:chMax val="0"/>
          <dgm:bulletEnabled val="1"/>
        </dgm:presLayoutVars>
      </dgm:prSet>
      <dgm:spPr/>
    </dgm:pt>
    <dgm:pt modelId="{0B02E2F3-6858-458E-83A0-3FE7E94C408E}" type="pres">
      <dgm:prSet presAssocID="{98CEF9CB-7017-4270-8EDE-1964B0C8C5EA}" presName="negativeSpace" presStyleCnt="0"/>
      <dgm:spPr/>
    </dgm:pt>
    <dgm:pt modelId="{45F1832B-63B8-427A-B2A4-5420CDFF98AF}" type="pres">
      <dgm:prSet presAssocID="{98CEF9CB-7017-4270-8EDE-1964B0C8C5EA}" presName="childText" presStyleLbl="conFgAcc1" presStyleIdx="0" presStyleCnt="4">
        <dgm:presLayoutVars>
          <dgm:bulletEnabled val="1"/>
        </dgm:presLayoutVars>
      </dgm:prSet>
      <dgm:spPr/>
    </dgm:pt>
    <dgm:pt modelId="{CD9DA147-C18E-4782-AC27-207CEB27C483}" type="pres">
      <dgm:prSet presAssocID="{9038FF1D-FEEA-44A8-88D0-8685FBAA8CC5}" presName="spaceBetweenRectangles" presStyleCnt="0"/>
      <dgm:spPr/>
    </dgm:pt>
    <dgm:pt modelId="{5DAE0B47-0A29-4C4A-A47B-C55F8D3CD736}" type="pres">
      <dgm:prSet presAssocID="{8031E2A7-2CE0-4DCD-9F70-F51773B78294}" presName="parentLin" presStyleCnt="0"/>
      <dgm:spPr/>
    </dgm:pt>
    <dgm:pt modelId="{4CE8113C-CB25-44EE-B5F8-2F929837968F}" type="pres">
      <dgm:prSet presAssocID="{8031E2A7-2CE0-4DCD-9F70-F51773B78294}" presName="parentLeftMargin" presStyleLbl="node1" presStyleIdx="0" presStyleCnt="4"/>
      <dgm:spPr/>
    </dgm:pt>
    <dgm:pt modelId="{37A3AAE9-5764-4F8F-A2A2-5CC71700EBF8}" type="pres">
      <dgm:prSet presAssocID="{8031E2A7-2CE0-4DCD-9F70-F51773B78294}" presName="parentText" presStyleLbl="node1" presStyleIdx="1" presStyleCnt="4">
        <dgm:presLayoutVars>
          <dgm:chMax val="0"/>
          <dgm:bulletEnabled val="1"/>
        </dgm:presLayoutVars>
      </dgm:prSet>
      <dgm:spPr/>
    </dgm:pt>
    <dgm:pt modelId="{6C1138C0-C3C8-4282-9C5F-28F3C3FE20B2}" type="pres">
      <dgm:prSet presAssocID="{8031E2A7-2CE0-4DCD-9F70-F51773B78294}" presName="negativeSpace" presStyleCnt="0"/>
      <dgm:spPr/>
    </dgm:pt>
    <dgm:pt modelId="{AF4A1F85-A4A9-4BBF-AF27-2D7676234C7F}" type="pres">
      <dgm:prSet presAssocID="{8031E2A7-2CE0-4DCD-9F70-F51773B78294}" presName="childText" presStyleLbl="conFgAcc1" presStyleIdx="1" presStyleCnt="4">
        <dgm:presLayoutVars>
          <dgm:bulletEnabled val="1"/>
        </dgm:presLayoutVars>
      </dgm:prSet>
      <dgm:spPr/>
    </dgm:pt>
    <dgm:pt modelId="{652967B9-DBE8-4C97-B2CA-820154813692}" type="pres">
      <dgm:prSet presAssocID="{35E3347B-2478-4F34-A817-65BD74DD5714}" presName="spaceBetweenRectangles" presStyleCnt="0"/>
      <dgm:spPr/>
    </dgm:pt>
    <dgm:pt modelId="{9CC7FD35-D993-4B77-A695-C050F20C89F5}" type="pres">
      <dgm:prSet presAssocID="{59879F17-E467-4190-B334-14201094A019}" presName="parentLin" presStyleCnt="0"/>
      <dgm:spPr/>
    </dgm:pt>
    <dgm:pt modelId="{7791A7CC-E173-4E87-8EF1-F95C516BD576}" type="pres">
      <dgm:prSet presAssocID="{59879F17-E467-4190-B334-14201094A019}" presName="parentLeftMargin" presStyleLbl="node1" presStyleIdx="1" presStyleCnt="4"/>
      <dgm:spPr/>
    </dgm:pt>
    <dgm:pt modelId="{44963CD4-E0E8-444D-9C3A-21ED779D8CF3}" type="pres">
      <dgm:prSet presAssocID="{59879F17-E467-4190-B334-14201094A019}" presName="parentText" presStyleLbl="node1" presStyleIdx="2" presStyleCnt="4">
        <dgm:presLayoutVars>
          <dgm:chMax val="0"/>
          <dgm:bulletEnabled val="1"/>
        </dgm:presLayoutVars>
      </dgm:prSet>
      <dgm:spPr/>
    </dgm:pt>
    <dgm:pt modelId="{D5C3B0DF-433F-484E-9299-E7DEB5CA8346}" type="pres">
      <dgm:prSet presAssocID="{59879F17-E467-4190-B334-14201094A019}" presName="negativeSpace" presStyleCnt="0"/>
      <dgm:spPr/>
    </dgm:pt>
    <dgm:pt modelId="{FED808D8-D805-4014-B960-2B96739045FB}" type="pres">
      <dgm:prSet presAssocID="{59879F17-E467-4190-B334-14201094A019}" presName="childText" presStyleLbl="conFgAcc1" presStyleIdx="2" presStyleCnt="4">
        <dgm:presLayoutVars>
          <dgm:bulletEnabled val="1"/>
        </dgm:presLayoutVars>
      </dgm:prSet>
      <dgm:spPr/>
    </dgm:pt>
    <dgm:pt modelId="{7D5D9FA2-C55F-4A00-944B-5E54A4EDF942}" type="pres">
      <dgm:prSet presAssocID="{0F800969-DA0E-4D82-ABD5-3C232946548F}" presName="spaceBetweenRectangles" presStyleCnt="0"/>
      <dgm:spPr/>
    </dgm:pt>
    <dgm:pt modelId="{78C20490-D7C8-40D6-A3A2-AB76F54F33B9}" type="pres">
      <dgm:prSet presAssocID="{E03E0A17-2E49-4985-8007-FD94CAEA331D}" presName="parentLin" presStyleCnt="0"/>
      <dgm:spPr/>
    </dgm:pt>
    <dgm:pt modelId="{19B4FCCC-FED4-4656-80FF-9A30201FC78E}" type="pres">
      <dgm:prSet presAssocID="{E03E0A17-2E49-4985-8007-FD94CAEA331D}" presName="parentLeftMargin" presStyleLbl="node1" presStyleIdx="2" presStyleCnt="4"/>
      <dgm:spPr/>
    </dgm:pt>
    <dgm:pt modelId="{90FF7828-23D2-4E8A-9701-0043A9ACCBA4}" type="pres">
      <dgm:prSet presAssocID="{E03E0A17-2E49-4985-8007-FD94CAEA331D}" presName="parentText" presStyleLbl="node1" presStyleIdx="3" presStyleCnt="4">
        <dgm:presLayoutVars>
          <dgm:chMax val="0"/>
          <dgm:bulletEnabled val="1"/>
        </dgm:presLayoutVars>
      </dgm:prSet>
      <dgm:spPr/>
    </dgm:pt>
    <dgm:pt modelId="{B1A82585-55C0-457D-A278-1288F03B0099}" type="pres">
      <dgm:prSet presAssocID="{E03E0A17-2E49-4985-8007-FD94CAEA331D}" presName="negativeSpace" presStyleCnt="0"/>
      <dgm:spPr/>
    </dgm:pt>
    <dgm:pt modelId="{B4B5FC61-DFB9-483D-99F7-B875299B7B53}" type="pres">
      <dgm:prSet presAssocID="{E03E0A17-2E49-4985-8007-FD94CAEA331D}" presName="childText" presStyleLbl="conFgAcc1" presStyleIdx="3" presStyleCnt="4">
        <dgm:presLayoutVars>
          <dgm:bulletEnabled val="1"/>
        </dgm:presLayoutVars>
      </dgm:prSet>
      <dgm:spPr/>
    </dgm:pt>
  </dgm:ptLst>
  <dgm:cxnLst>
    <dgm:cxn modelId="{91953501-E3DB-4E32-9030-5954E32839D4}" type="presOf" srcId="{E03E0A17-2E49-4985-8007-FD94CAEA331D}" destId="{19B4FCCC-FED4-4656-80FF-9A30201FC78E}" srcOrd="0" destOrd="0" presId="urn:microsoft.com/office/officeart/2005/8/layout/list1"/>
    <dgm:cxn modelId="{A8CC5205-1CE4-42EB-A275-54474B1377D6}" type="presOf" srcId="{59879F17-E467-4190-B334-14201094A019}" destId="{7791A7CC-E173-4E87-8EF1-F95C516BD576}" srcOrd="0" destOrd="0" presId="urn:microsoft.com/office/officeart/2005/8/layout/list1"/>
    <dgm:cxn modelId="{97C91C2B-709F-440D-AB49-095C84E66350}" type="presOf" srcId="{4AEEC899-0ED7-4934-8738-82E140658CA1}" destId="{AF4A1F85-A4A9-4BBF-AF27-2D7676234C7F}" srcOrd="0" destOrd="0" presId="urn:microsoft.com/office/officeart/2005/8/layout/list1"/>
    <dgm:cxn modelId="{E251CE35-C858-435A-8667-9EF9515E9DB6}" type="presOf" srcId="{157B6783-17F0-41AD-8D96-0BB6293D9F5A}" destId="{58D9A22F-528A-477F-9C8C-305462EE5268}" srcOrd="0" destOrd="0" presId="urn:microsoft.com/office/officeart/2005/8/layout/list1"/>
    <dgm:cxn modelId="{52D83F42-D8C6-4B47-A3A0-5601D462F694}" srcId="{157B6783-17F0-41AD-8D96-0BB6293D9F5A}" destId="{98CEF9CB-7017-4270-8EDE-1964B0C8C5EA}" srcOrd="0" destOrd="0" parTransId="{8BB77E98-1444-4E2A-9096-A28F332503C8}" sibTransId="{9038FF1D-FEEA-44A8-88D0-8685FBAA8CC5}"/>
    <dgm:cxn modelId="{6F78C390-7F54-4799-96C2-FAF8882EFEB0}" type="presOf" srcId="{8031E2A7-2CE0-4DCD-9F70-F51773B78294}" destId="{37A3AAE9-5764-4F8F-A2A2-5CC71700EBF8}" srcOrd="1" destOrd="0" presId="urn:microsoft.com/office/officeart/2005/8/layout/list1"/>
    <dgm:cxn modelId="{8EEC1B96-6690-444A-BBC1-D7AD9ACF8BD6}" srcId="{8031E2A7-2CE0-4DCD-9F70-F51773B78294}" destId="{4AEEC899-0ED7-4934-8738-82E140658CA1}" srcOrd="0" destOrd="0" parTransId="{603336AE-52A0-4D09-A488-37093CF84995}" sibTransId="{0421D75F-D126-47F9-8EF9-9C1136F1F3AD}"/>
    <dgm:cxn modelId="{9F3A8C98-A2D2-4C22-95D4-9A2220D679C1}" type="presOf" srcId="{98CEF9CB-7017-4270-8EDE-1964B0C8C5EA}" destId="{745F4856-B9A2-4066-896B-0311A769472F}" srcOrd="0" destOrd="0" presId="urn:microsoft.com/office/officeart/2005/8/layout/list1"/>
    <dgm:cxn modelId="{8A73CF99-5F37-4AA7-AE4C-0DD5E23BB81D}" srcId="{157B6783-17F0-41AD-8D96-0BB6293D9F5A}" destId="{E03E0A17-2E49-4985-8007-FD94CAEA331D}" srcOrd="3" destOrd="0" parTransId="{97CF1B0B-4BCC-4763-9516-B9E2B60963F4}" sibTransId="{6518C91E-AF19-4D8E-90D1-027D7C569A8D}"/>
    <dgm:cxn modelId="{2242DBC6-3C23-47AF-9755-4B221DDF51FD}" srcId="{59879F17-E467-4190-B334-14201094A019}" destId="{FE196109-20BD-45B3-BCCF-42B661C781FD}" srcOrd="0" destOrd="0" parTransId="{F5EA81A9-DF89-489A-92C2-C737E1A755FD}" sibTransId="{4D2A3B83-761D-445E-9FD2-4D89C552AF2E}"/>
    <dgm:cxn modelId="{5C7587D1-43AC-4058-AFBF-9A99DB527125}" type="presOf" srcId="{F23F8DF3-3600-42C6-BD78-119D4CD97982}" destId="{45F1832B-63B8-427A-B2A4-5420CDFF98AF}" srcOrd="0" destOrd="0" presId="urn:microsoft.com/office/officeart/2005/8/layout/list1"/>
    <dgm:cxn modelId="{3D21CCD2-5204-4D9C-9D48-EA1497003BA7}" type="presOf" srcId="{8031E2A7-2CE0-4DCD-9F70-F51773B78294}" destId="{4CE8113C-CB25-44EE-B5F8-2F929837968F}" srcOrd="0" destOrd="0" presId="urn:microsoft.com/office/officeart/2005/8/layout/list1"/>
    <dgm:cxn modelId="{718A93DC-8DF4-47FF-9279-DC08D4D73080}" type="presOf" srcId="{E03E0A17-2E49-4985-8007-FD94CAEA331D}" destId="{90FF7828-23D2-4E8A-9701-0043A9ACCBA4}" srcOrd="1" destOrd="0" presId="urn:microsoft.com/office/officeart/2005/8/layout/list1"/>
    <dgm:cxn modelId="{6D35B4DD-80A5-4DC6-A566-4B58F701CBE4}" srcId="{157B6783-17F0-41AD-8D96-0BB6293D9F5A}" destId="{59879F17-E467-4190-B334-14201094A019}" srcOrd="2" destOrd="0" parTransId="{E1AC8C15-6A34-4C4B-94D8-387F9BB10180}" sibTransId="{0F800969-DA0E-4D82-ABD5-3C232946548F}"/>
    <dgm:cxn modelId="{1864EFDE-0609-42DE-9038-0E4F0F76C62C}" srcId="{98CEF9CB-7017-4270-8EDE-1964B0C8C5EA}" destId="{F23F8DF3-3600-42C6-BD78-119D4CD97982}" srcOrd="0" destOrd="0" parTransId="{BEADC2C8-1E00-4336-90D6-0A9747A2476D}" sibTransId="{F084F98E-C47A-4B90-97A2-A9788D85FA72}"/>
    <dgm:cxn modelId="{DCD410E2-826A-4D35-8A23-B5EB3F94B5FB}" type="presOf" srcId="{98CEF9CB-7017-4270-8EDE-1964B0C8C5EA}" destId="{A8CEBB5D-6CA9-4939-9062-7340A8744130}" srcOrd="1" destOrd="0" presId="urn:microsoft.com/office/officeart/2005/8/layout/list1"/>
    <dgm:cxn modelId="{6FBE7EEA-4DCB-4018-A5AB-FFE8DE6D3D0A}" srcId="{157B6783-17F0-41AD-8D96-0BB6293D9F5A}" destId="{8031E2A7-2CE0-4DCD-9F70-F51773B78294}" srcOrd="1" destOrd="0" parTransId="{5E0B1F37-0E2F-412A-A580-EC24B51F227D}" sibTransId="{35E3347B-2478-4F34-A817-65BD74DD5714}"/>
    <dgm:cxn modelId="{60F67AF0-9275-49A6-BFC5-CDCA795B8F9A}" type="presOf" srcId="{FE196109-20BD-45B3-BCCF-42B661C781FD}" destId="{FED808D8-D805-4014-B960-2B96739045FB}" srcOrd="0" destOrd="0" presId="urn:microsoft.com/office/officeart/2005/8/layout/list1"/>
    <dgm:cxn modelId="{FDA7CEF5-D7B7-4535-840C-D76C8E386B41}" type="presOf" srcId="{59879F17-E467-4190-B334-14201094A019}" destId="{44963CD4-E0E8-444D-9C3A-21ED779D8CF3}" srcOrd="1" destOrd="0" presId="urn:microsoft.com/office/officeart/2005/8/layout/list1"/>
    <dgm:cxn modelId="{91BA50F6-5A50-4E55-81BA-5B1CF0213822}" type="presOf" srcId="{A5E95301-9BFD-4885-BB97-C6AFA539408A}" destId="{B4B5FC61-DFB9-483D-99F7-B875299B7B53}" srcOrd="0" destOrd="0" presId="urn:microsoft.com/office/officeart/2005/8/layout/list1"/>
    <dgm:cxn modelId="{3FBDDEFE-6ABD-4802-8CB2-3526A1140599}" srcId="{E03E0A17-2E49-4985-8007-FD94CAEA331D}" destId="{A5E95301-9BFD-4885-BB97-C6AFA539408A}" srcOrd="0" destOrd="0" parTransId="{ED27393C-4BBF-4517-BC2B-1F8AF04AB047}" sibTransId="{E1DEB4E8-2EC5-4199-A67A-5A08D8D09F77}"/>
    <dgm:cxn modelId="{0F654372-62D8-4502-A4F9-5857D032CF9E}" type="presParOf" srcId="{58D9A22F-528A-477F-9C8C-305462EE5268}" destId="{D415F2D9-5B38-4429-AE5B-7F8CD1FD3970}" srcOrd="0" destOrd="0" presId="urn:microsoft.com/office/officeart/2005/8/layout/list1"/>
    <dgm:cxn modelId="{6F0D7299-A9C9-4466-931A-3FF85DF0048E}" type="presParOf" srcId="{D415F2D9-5B38-4429-AE5B-7F8CD1FD3970}" destId="{745F4856-B9A2-4066-896B-0311A769472F}" srcOrd="0" destOrd="0" presId="urn:microsoft.com/office/officeart/2005/8/layout/list1"/>
    <dgm:cxn modelId="{624E2EBB-224C-4B42-8B37-0B8112250DDA}" type="presParOf" srcId="{D415F2D9-5B38-4429-AE5B-7F8CD1FD3970}" destId="{A8CEBB5D-6CA9-4939-9062-7340A8744130}" srcOrd="1" destOrd="0" presId="urn:microsoft.com/office/officeart/2005/8/layout/list1"/>
    <dgm:cxn modelId="{B481AF42-E433-4E82-9327-EC1C9383945D}" type="presParOf" srcId="{58D9A22F-528A-477F-9C8C-305462EE5268}" destId="{0B02E2F3-6858-458E-83A0-3FE7E94C408E}" srcOrd="1" destOrd="0" presId="urn:microsoft.com/office/officeart/2005/8/layout/list1"/>
    <dgm:cxn modelId="{4B86BF2B-E567-42D4-9290-94FAF2E72736}" type="presParOf" srcId="{58D9A22F-528A-477F-9C8C-305462EE5268}" destId="{45F1832B-63B8-427A-B2A4-5420CDFF98AF}" srcOrd="2" destOrd="0" presId="urn:microsoft.com/office/officeart/2005/8/layout/list1"/>
    <dgm:cxn modelId="{E18B825C-0004-4A31-97EB-FA8E2CFA49D5}" type="presParOf" srcId="{58D9A22F-528A-477F-9C8C-305462EE5268}" destId="{CD9DA147-C18E-4782-AC27-207CEB27C483}" srcOrd="3" destOrd="0" presId="urn:microsoft.com/office/officeart/2005/8/layout/list1"/>
    <dgm:cxn modelId="{F1B03AB2-F111-4E82-8524-24C98CD20CED}" type="presParOf" srcId="{58D9A22F-528A-477F-9C8C-305462EE5268}" destId="{5DAE0B47-0A29-4C4A-A47B-C55F8D3CD736}" srcOrd="4" destOrd="0" presId="urn:microsoft.com/office/officeart/2005/8/layout/list1"/>
    <dgm:cxn modelId="{85F436E1-EE46-448E-8B79-83FF7ECEDD96}" type="presParOf" srcId="{5DAE0B47-0A29-4C4A-A47B-C55F8D3CD736}" destId="{4CE8113C-CB25-44EE-B5F8-2F929837968F}" srcOrd="0" destOrd="0" presId="urn:microsoft.com/office/officeart/2005/8/layout/list1"/>
    <dgm:cxn modelId="{0D71A694-8B6D-44FD-919C-ECFDF7BBED16}" type="presParOf" srcId="{5DAE0B47-0A29-4C4A-A47B-C55F8D3CD736}" destId="{37A3AAE9-5764-4F8F-A2A2-5CC71700EBF8}" srcOrd="1" destOrd="0" presId="urn:microsoft.com/office/officeart/2005/8/layout/list1"/>
    <dgm:cxn modelId="{7D8A3D0F-FF57-499D-AF1C-8B36C937A975}" type="presParOf" srcId="{58D9A22F-528A-477F-9C8C-305462EE5268}" destId="{6C1138C0-C3C8-4282-9C5F-28F3C3FE20B2}" srcOrd="5" destOrd="0" presId="urn:microsoft.com/office/officeart/2005/8/layout/list1"/>
    <dgm:cxn modelId="{F7DEEF0D-1092-443E-97CD-406035904A90}" type="presParOf" srcId="{58D9A22F-528A-477F-9C8C-305462EE5268}" destId="{AF4A1F85-A4A9-4BBF-AF27-2D7676234C7F}" srcOrd="6" destOrd="0" presId="urn:microsoft.com/office/officeart/2005/8/layout/list1"/>
    <dgm:cxn modelId="{C54BCBBB-1680-4FB6-9046-002918E1B287}" type="presParOf" srcId="{58D9A22F-528A-477F-9C8C-305462EE5268}" destId="{652967B9-DBE8-4C97-B2CA-820154813692}" srcOrd="7" destOrd="0" presId="urn:microsoft.com/office/officeart/2005/8/layout/list1"/>
    <dgm:cxn modelId="{3998554B-95FF-485B-B153-D66A538F928B}" type="presParOf" srcId="{58D9A22F-528A-477F-9C8C-305462EE5268}" destId="{9CC7FD35-D993-4B77-A695-C050F20C89F5}" srcOrd="8" destOrd="0" presId="urn:microsoft.com/office/officeart/2005/8/layout/list1"/>
    <dgm:cxn modelId="{DA947D1B-3063-45DC-BAFB-6AE646B72732}" type="presParOf" srcId="{9CC7FD35-D993-4B77-A695-C050F20C89F5}" destId="{7791A7CC-E173-4E87-8EF1-F95C516BD576}" srcOrd="0" destOrd="0" presId="urn:microsoft.com/office/officeart/2005/8/layout/list1"/>
    <dgm:cxn modelId="{72257389-6796-4716-84F6-626BFF24E75D}" type="presParOf" srcId="{9CC7FD35-D993-4B77-A695-C050F20C89F5}" destId="{44963CD4-E0E8-444D-9C3A-21ED779D8CF3}" srcOrd="1" destOrd="0" presId="urn:microsoft.com/office/officeart/2005/8/layout/list1"/>
    <dgm:cxn modelId="{18304336-04CD-4FB6-BC62-223BED61C60B}" type="presParOf" srcId="{58D9A22F-528A-477F-9C8C-305462EE5268}" destId="{D5C3B0DF-433F-484E-9299-E7DEB5CA8346}" srcOrd="9" destOrd="0" presId="urn:microsoft.com/office/officeart/2005/8/layout/list1"/>
    <dgm:cxn modelId="{E66CDD5B-FD15-42B4-BE89-83F6D621D9E1}" type="presParOf" srcId="{58D9A22F-528A-477F-9C8C-305462EE5268}" destId="{FED808D8-D805-4014-B960-2B96739045FB}" srcOrd="10" destOrd="0" presId="urn:microsoft.com/office/officeart/2005/8/layout/list1"/>
    <dgm:cxn modelId="{056D4B51-D40E-476A-9E41-B1BD989F4E2F}" type="presParOf" srcId="{58D9A22F-528A-477F-9C8C-305462EE5268}" destId="{7D5D9FA2-C55F-4A00-944B-5E54A4EDF942}" srcOrd="11" destOrd="0" presId="urn:microsoft.com/office/officeart/2005/8/layout/list1"/>
    <dgm:cxn modelId="{4DBA3B83-B536-4657-AF9F-422032A3C5CB}" type="presParOf" srcId="{58D9A22F-528A-477F-9C8C-305462EE5268}" destId="{78C20490-D7C8-40D6-A3A2-AB76F54F33B9}" srcOrd="12" destOrd="0" presId="urn:microsoft.com/office/officeart/2005/8/layout/list1"/>
    <dgm:cxn modelId="{CE689AE0-59AC-4A73-8F13-8C68C4C4655E}" type="presParOf" srcId="{78C20490-D7C8-40D6-A3A2-AB76F54F33B9}" destId="{19B4FCCC-FED4-4656-80FF-9A30201FC78E}" srcOrd="0" destOrd="0" presId="urn:microsoft.com/office/officeart/2005/8/layout/list1"/>
    <dgm:cxn modelId="{7548FCE9-8CC0-4C1C-ADC3-B3F4997AF0F8}" type="presParOf" srcId="{78C20490-D7C8-40D6-A3A2-AB76F54F33B9}" destId="{90FF7828-23D2-4E8A-9701-0043A9ACCBA4}" srcOrd="1" destOrd="0" presId="urn:microsoft.com/office/officeart/2005/8/layout/list1"/>
    <dgm:cxn modelId="{48BEE69F-1A1A-4F3E-A48F-B5B476C24515}" type="presParOf" srcId="{58D9A22F-528A-477F-9C8C-305462EE5268}" destId="{B1A82585-55C0-457D-A278-1288F03B0099}" srcOrd="13" destOrd="0" presId="urn:microsoft.com/office/officeart/2005/8/layout/list1"/>
    <dgm:cxn modelId="{003B8A16-F1E5-43D0-9106-11B8FC1BBE58}" type="presParOf" srcId="{58D9A22F-528A-477F-9C8C-305462EE5268}" destId="{B4B5FC61-DFB9-483D-99F7-B875299B7B53}" srcOrd="14" destOrd="0" presId="urn:microsoft.com/office/officeart/2005/8/layout/list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8E63A0E4-34CE-42FA-8F6A-CA9ADFFE4015}" type="doc">
      <dgm:prSet loTypeId="urn:microsoft.com/office/officeart/2005/8/layout/hList6" loCatId="list" qsTypeId="urn:microsoft.com/office/officeart/2005/8/quickstyle/simple1" qsCatId="simple" csTypeId="urn:microsoft.com/office/officeart/2005/8/colors/colorful5" csCatId="colorful" phldr="1"/>
      <dgm:spPr/>
      <dgm:t>
        <a:bodyPr/>
        <a:lstStyle/>
        <a:p>
          <a:endParaRPr lang="en-US"/>
        </a:p>
      </dgm:t>
    </dgm:pt>
    <dgm:pt modelId="{52D1C8EA-94C2-457A-B983-D75DE70A1412}">
      <dgm:prSet phldrT="[Text]" custT="1"/>
      <dgm:spPr/>
      <dgm:t>
        <a:bodyPr/>
        <a:lstStyle/>
        <a:p>
          <a:pPr>
            <a:buNone/>
          </a:pPr>
          <a:r>
            <a:rPr lang="en-US" sz="1200" b="1">
              <a:latin typeface="Times New Roman" panose="02020603050405020304" pitchFamily="18" charset="0"/>
              <a:cs typeface="Times New Roman" panose="02020603050405020304" pitchFamily="18" charset="0"/>
            </a:rPr>
            <a:t>CAC &amp; CLV: Channel effectiveness unverified</a:t>
          </a:r>
        </a:p>
      </dgm:t>
    </dgm:pt>
    <dgm:pt modelId="{19B7862B-C1D4-4289-8649-E99791D6BE85}" type="parTrans" cxnId="{5F87630A-2164-4894-8460-1AFEB8E71604}">
      <dgm:prSet/>
      <dgm:spPr/>
      <dgm:t>
        <a:bodyPr/>
        <a:lstStyle/>
        <a:p>
          <a:endParaRPr lang="en-US"/>
        </a:p>
      </dgm:t>
    </dgm:pt>
    <dgm:pt modelId="{340CBBB2-DE4A-4721-9EEE-77878883C1E4}" type="sibTrans" cxnId="{5F87630A-2164-4894-8460-1AFEB8E71604}">
      <dgm:prSet/>
      <dgm:spPr/>
      <dgm:t>
        <a:bodyPr/>
        <a:lstStyle/>
        <a:p>
          <a:endParaRPr lang="en-US"/>
        </a:p>
      </dgm:t>
    </dgm:pt>
    <dgm:pt modelId="{87B873B4-F9F8-42D5-B999-191369C32C48}">
      <dgm:prSet custT="1"/>
      <dgm:spPr>
        <a:solidFill>
          <a:schemeClr val="accent2"/>
        </a:solidFill>
      </dgm:spPr>
      <dgm:t>
        <a:bodyPr/>
        <a:lstStyle/>
        <a:p>
          <a:pPr>
            <a:buNone/>
          </a:pPr>
          <a:r>
            <a:rPr lang="en-US" sz="1200" b="1">
              <a:latin typeface="Times New Roman" panose="02020603050405020304" pitchFamily="18" charset="0"/>
              <a:cs typeface="Times New Roman" panose="02020603050405020304" pitchFamily="18" charset="0"/>
            </a:rPr>
            <a:t>NPS &amp; CSAT: Service deterioration unmanaged</a:t>
          </a:r>
        </a:p>
      </dgm:t>
    </dgm:pt>
    <dgm:pt modelId="{C072FDC7-4E36-43DD-B06D-71A6BB386F73}" type="parTrans" cxnId="{B2A853DA-AEBB-43C1-A7AD-9A5421E2A034}">
      <dgm:prSet/>
      <dgm:spPr/>
      <dgm:t>
        <a:bodyPr/>
        <a:lstStyle/>
        <a:p>
          <a:endParaRPr lang="en-US"/>
        </a:p>
      </dgm:t>
    </dgm:pt>
    <dgm:pt modelId="{F2A9A6F3-55C5-40EB-B1CF-0CCB48C2869E}" type="sibTrans" cxnId="{B2A853DA-AEBB-43C1-A7AD-9A5421E2A034}">
      <dgm:prSet/>
      <dgm:spPr/>
      <dgm:t>
        <a:bodyPr/>
        <a:lstStyle/>
        <a:p>
          <a:endParaRPr lang="en-US"/>
        </a:p>
      </dgm:t>
    </dgm:pt>
    <dgm:pt modelId="{B2B14A16-51BF-451D-B58E-2F21BD6186B3}">
      <dgm:prSet custT="1"/>
      <dgm:spPr/>
      <dgm:t>
        <a:bodyPr/>
        <a:lstStyle/>
        <a:p>
          <a:pPr>
            <a:buNone/>
          </a:pPr>
          <a:r>
            <a:rPr lang="en-US" sz="1200" b="1">
              <a:latin typeface="Times New Roman" panose="02020603050405020304" pitchFamily="18" charset="0"/>
              <a:cs typeface="Times New Roman" panose="02020603050405020304" pitchFamily="18" charset="0"/>
            </a:rPr>
            <a:t>Retention &amp; churn: Segment profitability unknown</a:t>
          </a:r>
        </a:p>
      </dgm:t>
    </dgm:pt>
    <dgm:pt modelId="{A750B9F3-38BE-457E-B1B1-324840ED888D}" type="parTrans" cxnId="{0C89F29D-7A8C-460C-8BE6-F016FD4BA5A2}">
      <dgm:prSet/>
      <dgm:spPr/>
      <dgm:t>
        <a:bodyPr/>
        <a:lstStyle/>
        <a:p>
          <a:endParaRPr lang="en-US"/>
        </a:p>
      </dgm:t>
    </dgm:pt>
    <dgm:pt modelId="{2D24475F-85A3-41BC-9490-B61DF714880D}" type="sibTrans" cxnId="{0C89F29D-7A8C-460C-8BE6-F016FD4BA5A2}">
      <dgm:prSet/>
      <dgm:spPr/>
      <dgm:t>
        <a:bodyPr/>
        <a:lstStyle/>
        <a:p>
          <a:endParaRPr lang="en-US"/>
        </a:p>
      </dgm:t>
    </dgm:pt>
    <dgm:pt modelId="{AD1A4675-4568-4B0B-90E0-86501A384C49}">
      <dgm:prSet custT="1"/>
      <dgm:spPr/>
      <dgm:t>
        <a:bodyPr/>
        <a:lstStyle/>
        <a:p>
          <a:pPr>
            <a:buNone/>
          </a:pPr>
          <a:r>
            <a:rPr lang="en-US" sz="1200" b="1">
              <a:latin typeface="Times New Roman" panose="02020603050405020304" pitchFamily="18" charset="0"/>
              <a:cs typeface="Times New Roman" panose="02020603050405020304" pitchFamily="18" charset="0"/>
            </a:rPr>
            <a:t>Communications ROI: Resource allocation unsubstantiated</a:t>
          </a:r>
        </a:p>
      </dgm:t>
    </dgm:pt>
    <dgm:pt modelId="{90FA8554-334A-4A06-90F5-4C88B2ABD52B}" type="parTrans" cxnId="{270F7077-4876-4973-BC91-058F4D89C3BC}">
      <dgm:prSet/>
      <dgm:spPr/>
      <dgm:t>
        <a:bodyPr/>
        <a:lstStyle/>
        <a:p>
          <a:endParaRPr lang="en-US"/>
        </a:p>
      </dgm:t>
    </dgm:pt>
    <dgm:pt modelId="{276981F2-9DF7-4511-90CE-B5107F7335B0}" type="sibTrans" cxnId="{270F7077-4876-4973-BC91-058F4D89C3BC}">
      <dgm:prSet/>
      <dgm:spPr/>
      <dgm:t>
        <a:bodyPr/>
        <a:lstStyle/>
        <a:p>
          <a:endParaRPr lang="en-US"/>
        </a:p>
      </dgm:t>
    </dgm:pt>
    <dgm:pt modelId="{1D1D2AC5-4F20-4E77-AB2D-1B28656A2012}" type="pres">
      <dgm:prSet presAssocID="{8E63A0E4-34CE-42FA-8F6A-CA9ADFFE4015}" presName="Name0" presStyleCnt="0">
        <dgm:presLayoutVars>
          <dgm:dir/>
          <dgm:resizeHandles val="exact"/>
        </dgm:presLayoutVars>
      </dgm:prSet>
      <dgm:spPr/>
    </dgm:pt>
    <dgm:pt modelId="{4BEC430D-C8CF-4A22-9C84-8BE47EE1C53D}" type="pres">
      <dgm:prSet presAssocID="{52D1C8EA-94C2-457A-B983-D75DE70A1412}" presName="node" presStyleLbl="node1" presStyleIdx="0" presStyleCnt="4" custScaleX="26055">
        <dgm:presLayoutVars>
          <dgm:bulletEnabled val="1"/>
        </dgm:presLayoutVars>
      </dgm:prSet>
      <dgm:spPr/>
    </dgm:pt>
    <dgm:pt modelId="{55B98FE5-CBD8-48FF-B6DB-0AFD409157B3}" type="pres">
      <dgm:prSet presAssocID="{340CBBB2-DE4A-4721-9EEE-77878883C1E4}" presName="sibTrans" presStyleCnt="0"/>
      <dgm:spPr/>
    </dgm:pt>
    <dgm:pt modelId="{EAB2BF96-47F0-484F-BABE-CD5ED0EC31E4}" type="pres">
      <dgm:prSet presAssocID="{87B873B4-F9F8-42D5-B999-191369C32C48}" presName="node" presStyleLbl="node1" presStyleIdx="1" presStyleCnt="4" custScaleX="26055">
        <dgm:presLayoutVars>
          <dgm:bulletEnabled val="1"/>
        </dgm:presLayoutVars>
      </dgm:prSet>
      <dgm:spPr/>
    </dgm:pt>
    <dgm:pt modelId="{A24BA2C2-41F2-4711-9354-D807DC7D7E4C}" type="pres">
      <dgm:prSet presAssocID="{F2A9A6F3-55C5-40EB-B1CF-0CCB48C2869E}" presName="sibTrans" presStyleCnt="0"/>
      <dgm:spPr/>
    </dgm:pt>
    <dgm:pt modelId="{EC6C55A4-5088-4F2C-A6DF-6DA117D8272D}" type="pres">
      <dgm:prSet presAssocID="{B2B14A16-51BF-451D-B58E-2F21BD6186B3}" presName="node" presStyleLbl="node1" presStyleIdx="2" presStyleCnt="4" custScaleX="26055">
        <dgm:presLayoutVars>
          <dgm:bulletEnabled val="1"/>
        </dgm:presLayoutVars>
      </dgm:prSet>
      <dgm:spPr/>
    </dgm:pt>
    <dgm:pt modelId="{AB7EE407-499C-4EB3-B06D-448A3E423369}" type="pres">
      <dgm:prSet presAssocID="{2D24475F-85A3-41BC-9490-B61DF714880D}" presName="sibTrans" presStyleCnt="0"/>
      <dgm:spPr/>
    </dgm:pt>
    <dgm:pt modelId="{290969C6-BDF6-4106-AB1D-835350FBBBD3}" type="pres">
      <dgm:prSet presAssocID="{AD1A4675-4568-4B0B-90E0-86501A384C49}" presName="node" presStyleLbl="node1" presStyleIdx="3" presStyleCnt="4" custScaleX="26055">
        <dgm:presLayoutVars>
          <dgm:bulletEnabled val="1"/>
        </dgm:presLayoutVars>
      </dgm:prSet>
      <dgm:spPr/>
    </dgm:pt>
  </dgm:ptLst>
  <dgm:cxnLst>
    <dgm:cxn modelId="{5F87630A-2164-4894-8460-1AFEB8E71604}" srcId="{8E63A0E4-34CE-42FA-8F6A-CA9ADFFE4015}" destId="{52D1C8EA-94C2-457A-B983-D75DE70A1412}" srcOrd="0" destOrd="0" parTransId="{19B7862B-C1D4-4289-8649-E99791D6BE85}" sibTransId="{340CBBB2-DE4A-4721-9EEE-77878883C1E4}"/>
    <dgm:cxn modelId="{44E9D41B-3BA3-4FCE-B52B-4D94AFD2850C}" type="presOf" srcId="{B2B14A16-51BF-451D-B58E-2F21BD6186B3}" destId="{EC6C55A4-5088-4F2C-A6DF-6DA117D8272D}" srcOrd="0" destOrd="0" presId="urn:microsoft.com/office/officeart/2005/8/layout/hList6"/>
    <dgm:cxn modelId="{CEB1DB21-B0AC-4115-A5FC-7DF3B21D9AD8}" type="presOf" srcId="{87B873B4-F9F8-42D5-B999-191369C32C48}" destId="{EAB2BF96-47F0-484F-BABE-CD5ED0EC31E4}" srcOrd="0" destOrd="0" presId="urn:microsoft.com/office/officeart/2005/8/layout/hList6"/>
    <dgm:cxn modelId="{D82E6441-7352-4E1F-92E9-19854393E18E}" type="presOf" srcId="{52D1C8EA-94C2-457A-B983-D75DE70A1412}" destId="{4BEC430D-C8CF-4A22-9C84-8BE47EE1C53D}" srcOrd="0" destOrd="0" presId="urn:microsoft.com/office/officeart/2005/8/layout/hList6"/>
    <dgm:cxn modelId="{876A7D6E-45B1-4B4F-AD3A-8038E7E6DB49}" type="presOf" srcId="{AD1A4675-4568-4B0B-90E0-86501A384C49}" destId="{290969C6-BDF6-4106-AB1D-835350FBBBD3}" srcOrd="0" destOrd="0" presId="urn:microsoft.com/office/officeart/2005/8/layout/hList6"/>
    <dgm:cxn modelId="{270F7077-4876-4973-BC91-058F4D89C3BC}" srcId="{8E63A0E4-34CE-42FA-8F6A-CA9ADFFE4015}" destId="{AD1A4675-4568-4B0B-90E0-86501A384C49}" srcOrd="3" destOrd="0" parTransId="{90FA8554-334A-4A06-90F5-4C88B2ABD52B}" sibTransId="{276981F2-9DF7-4511-90CE-B5107F7335B0}"/>
    <dgm:cxn modelId="{0C89F29D-7A8C-460C-8BE6-F016FD4BA5A2}" srcId="{8E63A0E4-34CE-42FA-8F6A-CA9ADFFE4015}" destId="{B2B14A16-51BF-451D-B58E-2F21BD6186B3}" srcOrd="2" destOrd="0" parTransId="{A750B9F3-38BE-457E-B1B1-324840ED888D}" sibTransId="{2D24475F-85A3-41BC-9490-B61DF714880D}"/>
    <dgm:cxn modelId="{B2A853DA-AEBB-43C1-A7AD-9A5421E2A034}" srcId="{8E63A0E4-34CE-42FA-8F6A-CA9ADFFE4015}" destId="{87B873B4-F9F8-42D5-B999-191369C32C48}" srcOrd="1" destOrd="0" parTransId="{C072FDC7-4E36-43DD-B06D-71A6BB386F73}" sibTransId="{F2A9A6F3-55C5-40EB-B1CF-0CCB48C2869E}"/>
    <dgm:cxn modelId="{17E01CFC-8188-4EBD-AEBE-1847A93E950F}" type="presOf" srcId="{8E63A0E4-34CE-42FA-8F6A-CA9ADFFE4015}" destId="{1D1D2AC5-4F20-4E77-AB2D-1B28656A2012}" srcOrd="0" destOrd="0" presId="urn:microsoft.com/office/officeart/2005/8/layout/hList6"/>
    <dgm:cxn modelId="{BE508252-7F94-4CB8-9EA8-97570EFAF668}" type="presParOf" srcId="{1D1D2AC5-4F20-4E77-AB2D-1B28656A2012}" destId="{4BEC430D-C8CF-4A22-9C84-8BE47EE1C53D}" srcOrd="0" destOrd="0" presId="urn:microsoft.com/office/officeart/2005/8/layout/hList6"/>
    <dgm:cxn modelId="{CF1278EC-1EB7-4B9F-BBC5-0F8C8465E8BC}" type="presParOf" srcId="{1D1D2AC5-4F20-4E77-AB2D-1B28656A2012}" destId="{55B98FE5-CBD8-48FF-B6DB-0AFD409157B3}" srcOrd="1" destOrd="0" presId="urn:microsoft.com/office/officeart/2005/8/layout/hList6"/>
    <dgm:cxn modelId="{23B75BFD-E911-42E3-B9DB-D7AFD582738A}" type="presParOf" srcId="{1D1D2AC5-4F20-4E77-AB2D-1B28656A2012}" destId="{EAB2BF96-47F0-484F-BABE-CD5ED0EC31E4}" srcOrd="2" destOrd="0" presId="urn:microsoft.com/office/officeart/2005/8/layout/hList6"/>
    <dgm:cxn modelId="{080F582B-7948-42D5-8ADA-30F54BADF3E1}" type="presParOf" srcId="{1D1D2AC5-4F20-4E77-AB2D-1B28656A2012}" destId="{A24BA2C2-41F2-4711-9354-D807DC7D7E4C}" srcOrd="3" destOrd="0" presId="urn:microsoft.com/office/officeart/2005/8/layout/hList6"/>
    <dgm:cxn modelId="{406688ED-7601-4CA3-9619-13AE5452756F}" type="presParOf" srcId="{1D1D2AC5-4F20-4E77-AB2D-1B28656A2012}" destId="{EC6C55A4-5088-4F2C-A6DF-6DA117D8272D}" srcOrd="4" destOrd="0" presId="urn:microsoft.com/office/officeart/2005/8/layout/hList6"/>
    <dgm:cxn modelId="{6F2C6359-C414-41EE-B728-D3954DBF6C79}" type="presParOf" srcId="{1D1D2AC5-4F20-4E77-AB2D-1B28656A2012}" destId="{AB7EE407-499C-4EB3-B06D-448A3E423369}" srcOrd="5" destOrd="0" presId="urn:microsoft.com/office/officeart/2005/8/layout/hList6"/>
    <dgm:cxn modelId="{2014AC19-7FAD-4ED8-AB4F-7B42631ACB58}" type="presParOf" srcId="{1D1D2AC5-4F20-4E77-AB2D-1B28656A2012}" destId="{290969C6-BDF6-4106-AB1D-835350FBBBD3}" srcOrd="6" destOrd="0" presId="urn:microsoft.com/office/officeart/2005/8/layout/hList6"/>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F3DBA2F8-B7B6-42DD-BBBE-5BF702BA02CC}" type="doc">
      <dgm:prSet loTypeId="urn:microsoft.com/office/officeart/2005/8/layout/vList2" loCatId="list" qsTypeId="urn:microsoft.com/office/officeart/2005/8/quickstyle/simple1" qsCatId="simple" csTypeId="urn:microsoft.com/office/officeart/2005/8/colors/colorful4" csCatId="colorful" phldr="1"/>
      <dgm:spPr/>
      <dgm:t>
        <a:bodyPr/>
        <a:lstStyle/>
        <a:p>
          <a:endParaRPr lang="en-US"/>
        </a:p>
      </dgm:t>
    </dgm:pt>
    <dgm:pt modelId="{90AF3D4B-A7A6-4181-98C8-879ED0A262FC}">
      <dgm:prSet phldrT="[Text]" custT="1"/>
      <dgm:spPr>
        <a:solidFill>
          <a:schemeClr val="tx1"/>
        </a:solidFill>
      </dgm:spPr>
      <dgm:t>
        <a:bodyPr/>
        <a:lstStyle/>
        <a:p>
          <a:pPr algn="ctr">
            <a:buNone/>
          </a:pPr>
          <a:r>
            <a:rPr lang="en-US" sz="1200">
              <a:latin typeface="Times New Roman" panose="02020603050405020304" pitchFamily="18" charset="0"/>
              <a:cs typeface="Times New Roman" panose="02020603050405020304" pitchFamily="18" charset="0"/>
            </a:rPr>
            <a:t>US Sun Belt</a:t>
          </a:r>
        </a:p>
      </dgm:t>
    </dgm:pt>
    <dgm:pt modelId="{D6AFDA20-9189-4186-9643-84BCD9F7AA75}" type="parTrans" cxnId="{B1C4DD2D-6FB9-4947-A734-5A43DEFB8E8B}">
      <dgm:prSet/>
      <dgm:spPr/>
      <dgm:t>
        <a:bodyPr/>
        <a:lstStyle/>
        <a:p>
          <a:endParaRPr lang="en-US"/>
        </a:p>
      </dgm:t>
    </dgm:pt>
    <dgm:pt modelId="{34787B5A-602B-49ED-A2D6-3CE852B1EA84}" type="sibTrans" cxnId="{B1C4DD2D-6FB9-4947-A734-5A43DEFB8E8B}">
      <dgm:prSet/>
      <dgm:spPr/>
      <dgm:t>
        <a:bodyPr/>
        <a:lstStyle/>
        <a:p>
          <a:endParaRPr lang="en-US"/>
        </a:p>
      </dgm:t>
    </dgm:pt>
    <dgm:pt modelId="{48BD1BC0-F177-4944-9F1B-EF5E1A6A4616}">
      <dgm:prSet custT="1"/>
      <dgm:spPr/>
      <dgm:t>
        <a:bodyPr/>
        <a:lstStyle/>
        <a:p>
          <a:pPr algn="ctr">
            <a:buNone/>
          </a:pPr>
          <a:r>
            <a:rPr lang="en-US" sz="1200">
              <a:latin typeface="Times New Roman" panose="02020603050405020304" pitchFamily="18" charset="0"/>
              <a:cs typeface="Times New Roman" panose="02020603050405020304" pitchFamily="18" charset="0"/>
            </a:rPr>
            <a:t>Domestic OEM EV expansion; Tesla distribution limited → untapped growth, competitive vulnerability</a:t>
          </a:r>
        </a:p>
      </dgm:t>
    </dgm:pt>
    <dgm:pt modelId="{658DD2A2-DE83-4165-9C20-17FA8144A6D3}" type="parTrans" cxnId="{26E567A1-2E40-47F1-A199-825A4374403E}">
      <dgm:prSet/>
      <dgm:spPr/>
      <dgm:t>
        <a:bodyPr/>
        <a:lstStyle/>
        <a:p>
          <a:endParaRPr lang="en-US"/>
        </a:p>
      </dgm:t>
    </dgm:pt>
    <dgm:pt modelId="{75C1B420-1F1D-4EE2-B46B-EA9BDD8CAEB8}" type="sibTrans" cxnId="{26E567A1-2E40-47F1-A199-825A4374403E}">
      <dgm:prSet/>
      <dgm:spPr/>
      <dgm:t>
        <a:bodyPr/>
        <a:lstStyle/>
        <a:p>
          <a:endParaRPr lang="en-US"/>
        </a:p>
      </dgm:t>
    </dgm:pt>
    <dgm:pt modelId="{246B035B-C0A6-4049-B422-3D04D8920B44}">
      <dgm:prSet custT="1"/>
      <dgm:spPr>
        <a:solidFill>
          <a:srgbClr val="C00000"/>
        </a:solidFill>
      </dgm:spPr>
      <dgm:t>
        <a:bodyPr/>
        <a:lstStyle/>
        <a:p>
          <a:pPr algn="ctr">
            <a:buNone/>
          </a:pPr>
          <a:r>
            <a:rPr lang="en-US" sz="1200">
              <a:latin typeface="Times New Roman" panose="02020603050405020304" pitchFamily="18" charset="0"/>
              <a:cs typeface="Times New Roman" panose="02020603050405020304" pitchFamily="18" charset="0"/>
            </a:rPr>
            <a:t>China</a:t>
          </a:r>
        </a:p>
      </dgm:t>
    </dgm:pt>
    <dgm:pt modelId="{0639AADF-F82D-46C2-B28E-677B1ED3C48D}" type="parTrans" cxnId="{87C3C6FA-BA4F-4E5C-BD1C-3EAD653913A2}">
      <dgm:prSet/>
      <dgm:spPr/>
      <dgm:t>
        <a:bodyPr/>
        <a:lstStyle/>
        <a:p>
          <a:endParaRPr lang="en-US"/>
        </a:p>
      </dgm:t>
    </dgm:pt>
    <dgm:pt modelId="{754AA006-260C-4992-8DCA-06968B418CBF}" type="sibTrans" cxnId="{87C3C6FA-BA4F-4E5C-BD1C-3EAD653913A2}">
      <dgm:prSet/>
      <dgm:spPr/>
      <dgm:t>
        <a:bodyPr/>
        <a:lstStyle/>
        <a:p>
          <a:endParaRPr lang="en-US"/>
        </a:p>
      </dgm:t>
    </dgm:pt>
    <dgm:pt modelId="{4B603A5E-3D86-4509-A632-95809908E418}">
      <dgm:prSet custT="1"/>
      <dgm:spPr/>
      <dgm:t>
        <a:bodyPr/>
        <a:lstStyle/>
        <a:p>
          <a:pPr algn="ctr">
            <a:buNone/>
          </a:pPr>
          <a:r>
            <a:rPr lang="en-US" sz="1200">
              <a:latin typeface="Times New Roman" panose="02020603050405020304" pitchFamily="18" charset="0"/>
              <a:cs typeface="Times New Roman" panose="02020603050405020304" pitchFamily="18" charset="0"/>
            </a:rPr>
            <a:t>BYD 7.5M+ unit scale; Tesla limited price reductions → insufficient to protect market share</a:t>
          </a:r>
        </a:p>
      </dgm:t>
    </dgm:pt>
    <dgm:pt modelId="{7B666880-9356-44DA-A2E4-505F761016A3}" type="parTrans" cxnId="{B57A0392-3F26-4435-BA6E-53889C60A769}">
      <dgm:prSet/>
      <dgm:spPr/>
      <dgm:t>
        <a:bodyPr/>
        <a:lstStyle/>
        <a:p>
          <a:endParaRPr lang="en-US"/>
        </a:p>
      </dgm:t>
    </dgm:pt>
    <dgm:pt modelId="{AB9906E7-CFBE-48A7-B108-9B6F81F5AEFE}" type="sibTrans" cxnId="{B57A0392-3F26-4435-BA6E-53889C60A769}">
      <dgm:prSet/>
      <dgm:spPr/>
      <dgm:t>
        <a:bodyPr/>
        <a:lstStyle/>
        <a:p>
          <a:endParaRPr lang="en-US"/>
        </a:p>
      </dgm:t>
    </dgm:pt>
    <dgm:pt modelId="{62E0203F-C9AB-4F24-929C-C1004EB55743}">
      <dgm:prSet custT="1"/>
      <dgm:spPr/>
      <dgm:t>
        <a:bodyPr/>
        <a:lstStyle/>
        <a:p>
          <a:pPr algn="ctr">
            <a:buNone/>
          </a:pPr>
          <a:r>
            <a:rPr lang="en-US" sz="1200">
              <a:latin typeface="Times New Roman" panose="02020603050405020304" pitchFamily="18" charset="0"/>
              <a:cs typeface="Times New Roman" panose="02020603050405020304" pitchFamily="18" charset="0"/>
            </a:rPr>
            <a:t>Europe</a:t>
          </a:r>
        </a:p>
      </dgm:t>
    </dgm:pt>
    <dgm:pt modelId="{8F6654FA-199B-44BE-A88C-AAF0FD9147C7}" type="parTrans" cxnId="{DE9D5A74-24EE-4DAE-AB27-47FF6C356996}">
      <dgm:prSet/>
      <dgm:spPr/>
      <dgm:t>
        <a:bodyPr/>
        <a:lstStyle/>
        <a:p>
          <a:endParaRPr lang="en-US"/>
        </a:p>
      </dgm:t>
    </dgm:pt>
    <dgm:pt modelId="{97377BFF-67E6-4B06-B3C4-E0AD608E8043}" type="sibTrans" cxnId="{DE9D5A74-24EE-4DAE-AB27-47FF6C356996}">
      <dgm:prSet/>
      <dgm:spPr/>
      <dgm:t>
        <a:bodyPr/>
        <a:lstStyle/>
        <a:p>
          <a:endParaRPr lang="en-US"/>
        </a:p>
      </dgm:t>
    </dgm:pt>
    <dgm:pt modelId="{DD58931B-0F45-4539-B677-18E9CC5C170F}">
      <dgm:prSet custT="1"/>
      <dgm:spPr/>
      <dgm:t>
        <a:bodyPr/>
        <a:lstStyle/>
        <a:p>
          <a:pPr algn="ctr">
            <a:buNone/>
          </a:pPr>
          <a:r>
            <a:rPr lang="en-US" sz="1200">
              <a:latin typeface="Times New Roman" panose="02020603050405020304" pitchFamily="18" charset="0"/>
              <a:cs typeface="Times New Roman" panose="02020603050405020304" pitchFamily="18" charset="0"/>
            </a:rPr>
            <a:t>Mercedes/BMW autonomous &amp; service leadership; Tesla maintains affordability focus → premium positioning misalignment</a:t>
          </a:r>
        </a:p>
      </dgm:t>
    </dgm:pt>
    <dgm:pt modelId="{CE910F2C-07B1-402D-BCE0-093D1E467543}" type="parTrans" cxnId="{14E6A036-F010-4BF3-A20B-2F1B00949C37}">
      <dgm:prSet/>
      <dgm:spPr/>
      <dgm:t>
        <a:bodyPr/>
        <a:lstStyle/>
        <a:p>
          <a:endParaRPr lang="en-US"/>
        </a:p>
      </dgm:t>
    </dgm:pt>
    <dgm:pt modelId="{B212F432-766D-4983-A1A8-DAD1D40029D7}" type="sibTrans" cxnId="{14E6A036-F010-4BF3-A20B-2F1B00949C37}">
      <dgm:prSet/>
      <dgm:spPr/>
      <dgm:t>
        <a:bodyPr/>
        <a:lstStyle/>
        <a:p>
          <a:endParaRPr lang="en-US"/>
        </a:p>
      </dgm:t>
    </dgm:pt>
    <dgm:pt modelId="{E50C6D75-FF75-4597-8215-6C601B72BBA7}" type="pres">
      <dgm:prSet presAssocID="{F3DBA2F8-B7B6-42DD-BBBE-5BF702BA02CC}" presName="linear" presStyleCnt="0">
        <dgm:presLayoutVars>
          <dgm:animLvl val="lvl"/>
          <dgm:resizeHandles val="exact"/>
        </dgm:presLayoutVars>
      </dgm:prSet>
      <dgm:spPr/>
    </dgm:pt>
    <dgm:pt modelId="{1D5EAFFE-5E4E-4ACE-A2E9-686BC2A0CF04}" type="pres">
      <dgm:prSet presAssocID="{90AF3D4B-A7A6-4181-98C8-879ED0A262FC}" presName="parentText" presStyleLbl="node1" presStyleIdx="0" presStyleCnt="3">
        <dgm:presLayoutVars>
          <dgm:chMax val="0"/>
          <dgm:bulletEnabled val="1"/>
        </dgm:presLayoutVars>
      </dgm:prSet>
      <dgm:spPr/>
    </dgm:pt>
    <dgm:pt modelId="{4B8D81D6-DE92-4A0D-8755-0BC6AD939F97}" type="pres">
      <dgm:prSet presAssocID="{90AF3D4B-A7A6-4181-98C8-879ED0A262FC}" presName="childText" presStyleLbl="revTx" presStyleIdx="0" presStyleCnt="3">
        <dgm:presLayoutVars>
          <dgm:bulletEnabled val="1"/>
        </dgm:presLayoutVars>
      </dgm:prSet>
      <dgm:spPr/>
    </dgm:pt>
    <dgm:pt modelId="{FEC6DB4A-473F-42DF-8A72-32FF28F57EA9}" type="pres">
      <dgm:prSet presAssocID="{246B035B-C0A6-4049-B422-3D04D8920B44}" presName="parentText" presStyleLbl="node1" presStyleIdx="1" presStyleCnt="3">
        <dgm:presLayoutVars>
          <dgm:chMax val="0"/>
          <dgm:bulletEnabled val="1"/>
        </dgm:presLayoutVars>
      </dgm:prSet>
      <dgm:spPr/>
    </dgm:pt>
    <dgm:pt modelId="{D98F2346-B577-4CA9-9937-594206E55606}" type="pres">
      <dgm:prSet presAssocID="{246B035B-C0A6-4049-B422-3D04D8920B44}" presName="childText" presStyleLbl="revTx" presStyleIdx="1" presStyleCnt="3">
        <dgm:presLayoutVars>
          <dgm:bulletEnabled val="1"/>
        </dgm:presLayoutVars>
      </dgm:prSet>
      <dgm:spPr/>
    </dgm:pt>
    <dgm:pt modelId="{6DCC4D0F-9AFB-4556-A5FB-688EBBE4782D}" type="pres">
      <dgm:prSet presAssocID="{62E0203F-C9AB-4F24-929C-C1004EB55743}" presName="parentText" presStyleLbl="node1" presStyleIdx="2" presStyleCnt="3">
        <dgm:presLayoutVars>
          <dgm:chMax val="0"/>
          <dgm:bulletEnabled val="1"/>
        </dgm:presLayoutVars>
      </dgm:prSet>
      <dgm:spPr/>
    </dgm:pt>
    <dgm:pt modelId="{48A54C1D-4649-40A5-83AF-277B3433B006}" type="pres">
      <dgm:prSet presAssocID="{62E0203F-C9AB-4F24-929C-C1004EB55743}" presName="childText" presStyleLbl="revTx" presStyleIdx="2" presStyleCnt="3">
        <dgm:presLayoutVars>
          <dgm:bulletEnabled val="1"/>
        </dgm:presLayoutVars>
      </dgm:prSet>
      <dgm:spPr/>
    </dgm:pt>
  </dgm:ptLst>
  <dgm:cxnLst>
    <dgm:cxn modelId="{C6E75F16-D51F-4276-9EE6-C3A7FDB3407B}" type="presOf" srcId="{4B603A5E-3D86-4509-A632-95809908E418}" destId="{D98F2346-B577-4CA9-9937-594206E55606}" srcOrd="0" destOrd="0" presId="urn:microsoft.com/office/officeart/2005/8/layout/vList2"/>
    <dgm:cxn modelId="{948E3A1A-305F-4A8B-8E03-863537CD4BAD}" type="presOf" srcId="{48BD1BC0-F177-4944-9F1B-EF5E1A6A4616}" destId="{4B8D81D6-DE92-4A0D-8755-0BC6AD939F97}" srcOrd="0" destOrd="0" presId="urn:microsoft.com/office/officeart/2005/8/layout/vList2"/>
    <dgm:cxn modelId="{99B27F25-703F-4E67-A472-4CBE1D88FDE2}" type="presOf" srcId="{90AF3D4B-A7A6-4181-98C8-879ED0A262FC}" destId="{1D5EAFFE-5E4E-4ACE-A2E9-686BC2A0CF04}" srcOrd="0" destOrd="0" presId="urn:microsoft.com/office/officeart/2005/8/layout/vList2"/>
    <dgm:cxn modelId="{B1C4DD2D-6FB9-4947-A734-5A43DEFB8E8B}" srcId="{F3DBA2F8-B7B6-42DD-BBBE-5BF702BA02CC}" destId="{90AF3D4B-A7A6-4181-98C8-879ED0A262FC}" srcOrd="0" destOrd="0" parTransId="{D6AFDA20-9189-4186-9643-84BCD9F7AA75}" sibTransId="{34787B5A-602B-49ED-A2D6-3CE852B1EA84}"/>
    <dgm:cxn modelId="{14E6A036-F010-4BF3-A20B-2F1B00949C37}" srcId="{62E0203F-C9AB-4F24-929C-C1004EB55743}" destId="{DD58931B-0F45-4539-B677-18E9CC5C170F}" srcOrd="0" destOrd="0" parTransId="{CE910F2C-07B1-402D-BCE0-093D1E467543}" sibTransId="{B212F432-766D-4983-A1A8-DAD1D40029D7}"/>
    <dgm:cxn modelId="{DE9D5A74-24EE-4DAE-AB27-47FF6C356996}" srcId="{F3DBA2F8-B7B6-42DD-BBBE-5BF702BA02CC}" destId="{62E0203F-C9AB-4F24-929C-C1004EB55743}" srcOrd="2" destOrd="0" parTransId="{8F6654FA-199B-44BE-A88C-AAF0FD9147C7}" sibTransId="{97377BFF-67E6-4B06-B3C4-E0AD608E8043}"/>
    <dgm:cxn modelId="{B57A0392-3F26-4435-BA6E-53889C60A769}" srcId="{246B035B-C0A6-4049-B422-3D04D8920B44}" destId="{4B603A5E-3D86-4509-A632-95809908E418}" srcOrd="0" destOrd="0" parTransId="{7B666880-9356-44DA-A2E4-505F761016A3}" sibTransId="{AB9906E7-CFBE-48A7-B108-9B6F81F5AEFE}"/>
    <dgm:cxn modelId="{26E567A1-2E40-47F1-A199-825A4374403E}" srcId="{90AF3D4B-A7A6-4181-98C8-879ED0A262FC}" destId="{48BD1BC0-F177-4944-9F1B-EF5E1A6A4616}" srcOrd="0" destOrd="0" parTransId="{658DD2A2-DE83-4165-9C20-17FA8144A6D3}" sibTransId="{75C1B420-1F1D-4EE2-B46B-EA9BDD8CAEB8}"/>
    <dgm:cxn modelId="{851824A3-6181-4429-B469-C35BD6CCE952}" type="presOf" srcId="{62E0203F-C9AB-4F24-929C-C1004EB55743}" destId="{6DCC4D0F-9AFB-4556-A5FB-688EBBE4782D}" srcOrd="0" destOrd="0" presId="urn:microsoft.com/office/officeart/2005/8/layout/vList2"/>
    <dgm:cxn modelId="{85C203C5-EC52-47FA-B67A-4814A78DD0AE}" type="presOf" srcId="{DD58931B-0F45-4539-B677-18E9CC5C170F}" destId="{48A54C1D-4649-40A5-83AF-277B3433B006}" srcOrd="0" destOrd="0" presId="urn:microsoft.com/office/officeart/2005/8/layout/vList2"/>
    <dgm:cxn modelId="{542EB2CF-7C7C-462E-84D0-B73C9246DFA8}" type="presOf" srcId="{F3DBA2F8-B7B6-42DD-BBBE-5BF702BA02CC}" destId="{E50C6D75-FF75-4597-8215-6C601B72BBA7}" srcOrd="0" destOrd="0" presId="urn:microsoft.com/office/officeart/2005/8/layout/vList2"/>
    <dgm:cxn modelId="{87C3C6FA-BA4F-4E5C-BD1C-3EAD653913A2}" srcId="{F3DBA2F8-B7B6-42DD-BBBE-5BF702BA02CC}" destId="{246B035B-C0A6-4049-B422-3D04D8920B44}" srcOrd="1" destOrd="0" parTransId="{0639AADF-F82D-46C2-B28E-677B1ED3C48D}" sibTransId="{754AA006-260C-4992-8DCA-06968B418CBF}"/>
    <dgm:cxn modelId="{88BA23FD-8090-491B-80D6-FDCC68EB26EF}" type="presOf" srcId="{246B035B-C0A6-4049-B422-3D04D8920B44}" destId="{FEC6DB4A-473F-42DF-8A72-32FF28F57EA9}" srcOrd="0" destOrd="0" presId="urn:microsoft.com/office/officeart/2005/8/layout/vList2"/>
    <dgm:cxn modelId="{0969C709-94D5-492A-91A5-9FC6EEFEE737}" type="presParOf" srcId="{E50C6D75-FF75-4597-8215-6C601B72BBA7}" destId="{1D5EAFFE-5E4E-4ACE-A2E9-686BC2A0CF04}" srcOrd="0" destOrd="0" presId="urn:microsoft.com/office/officeart/2005/8/layout/vList2"/>
    <dgm:cxn modelId="{DC90DAB4-9F72-46BF-9BBF-B8EAA1492F2C}" type="presParOf" srcId="{E50C6D75-FF75-4597-8215-6C601B72BBA7}" destId="{4B8D81D6-DE92-4A0D-8755-0BC6AD939F97}" srcOrd="1" destOrd="0" presId="urn:microsoft.com/office/officeart/2005/8/layout/vList2"/>
    <dgm:cxn modelId="{A16D102B-DBDF-4FEF-A17E-53B2BF51D148}" type="presParOf" srcId="{E50C6D75-FF75-4597-8215-6C601B72BBA7}" destId="{FEC6DB4A-473F-42DF-8A72-32FF28F57EA9}" srcOrd="2" destOrd="0" presId="urn:microsoft.com/office/officeart/2005/8/layout/vList2"/>
    <dgm:cxn modelId="{758D250C-71EE-46BD-8B7C-A396F62F5A4B}" type="presParOf" srcId="{E50C6D75-FF75-4597-8215-6C601B72BBA7}" destId="{D98F2346-B577-4CA9-9937-594206E55606}" srcOrd="3" destOrd="0" presId="urn:microsoft.com/office/officeart/2005/8/layout/vList2"/>
    <dgm:cxn modelId="{83C1D3E5-5291-42A5-8B38-5D8C47A1BC12}" type="presParOf" srcId="{E50C6D75-FF75-4597-8215-6C601B72BBA7}" destId="{6DCC4D0F-9AFB-4556-A5FB-688EBBE4782D}" srcOrd="4" destOrd="0" presId="urn:microsoft.com/office/officeart/2005/8/layout/vList2"/>
    <dgm:cxn modelId="{E6A92EC2-2084-4D8E-9909-AD49D4D215A4}" type="presParOf" srcId="{E50C6D75-FF75-4597-8215-6C601B72BBA7}" destId="{48A54C1D-4649-40A5-83AF-277B3433B006}" srcOrd="5" destOrd="0" presId="urn:microsoft.com/office/officeart/2005/8/layout/vList2"/>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2739B2FC-7172-4A65-BD4C-A83810210C70}" type="doc">
      <dgm:prSet loTypeId="urn:microsoft.com/office/officeart/2005/8/layout/vList2" loCatId="list" qsTypeId="urn:microsoft.com/office/officeart/2005/8/quickstyle/simple1" qsCatId="simple" csTypeId="urn:microsoft.com/office/officeart/2005/8/colors/colorful1" csCatId="colorful" phldr="1"/>
      <dgm:spPr/>
      <dgm:t>
        <a:bodyPr/>
        <a:lstStyle/>
        <a:p>
          <a:endParaRPr lang="en-US"/>
        </a:p>
      </dgm:t>
    </dgm:pt>
    <dgm:pt modelId="{A4B08567-BEA3-489B-9B31-11E03DC8497B}">
      <dgm:prSet phldrT="[Text]" custT="1"/>
      <dgm:spPr/>
      <dgm:t>
        <a:bodyPr/>
        <a:lstStyle/>
        <a:p>
          <a:pPr algn="ctr">
            <a:buNone/>
          </a:pPr>
          <a:r>
            <a:rPr lang="en-US" sz="1200">
              <a:latin typeface="Times New Roman" panose="02020603050405020304" pitchFamily="18" charset="0"/>
              <a:cs typeface="Times New Roman" panose="02020603050405020304" pitchFamily="18" charset="0"/>
            </a:rPr>
            <a:t>Strategic Option 1: Sub-Brand Architecture</a:t>
          </a:r>
        </a:p>
      </dgm:t>
    </dgm:pt>
    <dgm:pt modelId="{DE308DEF-4A4A-4C3C-A94D-44A15C9DDFB5}" type="parTrans" cxnId="{FF14EF51-AE9A-4067-9BBB-637898230CB3}">
      <dgm:prSet/>
      <dgm:spPr/>
      <dgm:t>
        <a:bodyPr/>
        <a:lstStyle/>
        <a:p>
          <a:endParaRPr lang="en-US"/>
        </a:p>
      </dgm:t>
    </dgm:pt>
    <dgm:pt modelId="{26B06A28-163B-423D-AA78-CA20690B0123}" type="sibTrans" cxnId="{FF14EF51-AE9A-4067-9BBB-637898230CB3}">
      <dgm:prSet/>
      <dgm:spPr/>
      <dgm:t>
        <a:bodyPr/>
        <a:lstStyle/>
        <a:p>
          <a:endParaRPr lang="en-US"/>
        </a:p>
      </dgm:t>
    </dgm:pt>
    <dgm:pt modelId="{067DB14D-C2E7-4732-BE76-41312B8A7006}">
      <dgm:prSet custT="1"/>
      <dgm:spPr/>
      <dgm:t>
        <a:bodyPr/>
        <a:lstStyle/>
        <a:p>
          <a:pPr algn="ctr">
            <a:buNone/>
          </a:pPr>
          <a:r>
            <a:rPr lang="en-US" sz="1200">
              <a:latin typeface="Times New Roman" panose="02020603050405020304" pitchFamily="18" charset="0"/>
              <a:cs typeface="Times New Roman" panose="02020603050405020304" pitchFamily="18" charset="0"/>
            </a:rPr>
            <a:t>Implementing a sub-brand architecture helps resolve the problems of segmentation for Tesla by separating conflicting value propositions into stand-alone units. International marketing strategy research supports the assertion that global brands operating in heterogeneous markets are better off with positioning clarity as a key priority (Gao, 2023). Analysis of Tesla's international strategies reveals that the existing unified brand risks diluting messaging about affordability, innovation and luxury, undermining credibility (Lei, 2025a). Sub-brand separation allows for differentiated marketing mixes, standards of service and margin expectations based on psychographic and regional requirements.</a:t>
          </a:r>
        </a:p>
      </dgm:t>
    </dgm:pt>
    <dgm:pt modelId="{58A4CF2B-BF71-4152-BFB2-8A7EE8AD3AAA}" type="parTrans" cxnId="{61DE7B88-A13F-4B63-8EE9-3B50E715138F}">
      <dgm:prSet/>
      <dgm:spPr/>
      <dgm:t>
        <a:bodyPr/>
        <a:lstStyle/>
        <a:p>
          <a:endParaRPr lang="en-US"/>
        </a:p>
      </dgm:t>
    </dgm:pt>
    <dgm:pt modelId="{5CC30893-A47C-40FC-A798-FE72BDC54692}" type="sibTrans" cxnId="{61DE7B88-A13F-4B63-8EE9-3B50E715138F}">
      <dgm:prSet/>
      <dgm:spPr/>
      <dgm:t>
        <a:bodyPr/>
        <a:lstStyle/>
        <a:p>
          <a:endParaRPr lang="en-US"/>
        </a:p>
      </dgm:t>
    </dgm:pt>
    <dgm:pt modelId="{D60479C7-01A0-46B0-99F3-02494AF7276C}">
      <dgm:prSet custT="1"/>
      <dgm:spPr>
        <a:solidFill>
          <a:srgbClr val="00B050"/>
        </a:solidFill>
      </dgm:spPr>
      <dgm:t>
        <a:bodyPr/>
        <a:lstStyle/>
        <a:p>
          <a:pPr algn="ctr">
            <a:buNone/>
          </a:pPr>
          <a:r>
            <a:rPr lang="en-US" sz="1200">
              <a:latin typeface="Times New Roman" panose="02020603050405020304" pitchFamily="18" charset="0"/>
              <a:cs typeface="Times New Roman" panose="02020603050405020304" pitchFamily="18" charset="0"/>
            </a:rPr>
            <a:t>Strategic Option 2: PESTEL-Aligned Positioning</a:t>
          </a:r>
        </a:p>
      </dgm:t>
    </dgm:pt>
    <dgm:pt modelId="{E1F18C5F-4A89-4750-A904-F4C936CFF732}" type="parTrans" cxnId="{06ABC374-0A47-4610-93AC-560E5D16E839}">
      <dgm:prSet/>
      <dgm:spPr/>
      <dgm:t>
        <a:bodyPr/>
        <a:lstStyle/>
        <a:p>
          <a:endParaRPr lang="en-US"/>
        </a:p>
      </dgm:t>
    </dgm:pt>
    <dgm:pt modelId="{BA7888F7-80BA-4FC0-BF66-34586CA4F865}" type="sibTrans" cxnId="{06ABC374-0A47-4610-93AC-560E5D16E839}">
      <dgm:prSet/>
      <dgm:spPr/>
      <dgm:t>
        <a:bodyPr/>
        <a:lstStyle/>
        <a:p>
          <a:endParaRPr lang="en-US"/>
        </a:p>
      </dgm:t>
    </dgm:pt>
    <dgm:pt modelId="{F585CFC9-75E9-4823-95FA-5D64F8371811}">
      <dgm:prSet custT="1"/>
      <dgm:spPr/>
      <dgm:t>
        <a:bodyPr/>
        <a:lstStyle/>
        <a:p>
          <a:pPr algn="ctr">
            <a:buNone/>
          </a:pPr>
          <a:r>
            <a:rPr lang="en-US" sz="1200">
              <a:latin typeface="Times New Roman" panose="02020603050405020304" pitchFamily="18" charset="0"/>
              <a:cs typeface="Times New Roman" panose="02020603050405020304" pitchFamily="18" charset="0"/>
            </a:rPr>
            <a:t>Tesla's positioning must be reflective of political, economic and social environmental realities. Regulatory clarity around autonomous vehicles reduces Tesla's differentiation advantage, highlighting the importance of emphasis on compliance and reliability (Colias, 2025). Economic evidence points to the fact that battery costs are now at parity and are a reason for a switch to value-orientated positioning (Reuters, 2024). Social research confirms that service quality is a significant purchase driver, which demands investment in operational excellence and customer experience (Machin, 2025).</a:t>
          </a:r>
        </a:p>
      </dgm:t>
    </dgm:pt>
    <dgm:pt modelId="{6BF91DF6-EF27-4BE7-97FC-9F95A7213BE2}" type="parTrans" cxnId="{F5A12363-8BFF-471F-8D70-27DF8B0AD422}">
      <dgm:prSet/>
      <dgm:spPr/>
      <dgm:t>
        <a:bodyPr/>
        <a:lstStyle/>
        <a:p>
          <a:endParaRPr lang="en-US"/>
        </a:p>
      </dgm:t>
    </dgm:pt>
    <dgm:pt modelId="{B0CD9114-A8C1-4981-9B91-81673F45F89F}" type="sibTrans" cxnId="{F5A12363-8BFF-471F-8D70-27DF8B0AD422}">
      <dgm:prSet/>
      <dgm:spPr/>
      <dgm:t>
        <a:bodyPr/>
        <a:lstStyle/>
        <a:p>
          <a:endParaRPr lang="en-US"/>
        </a:p>
      </dgm:t>
    </dgm:pt>
    <dgm:pt modelId="{A879173F-FD1D-4CB0-884C-60E431B06747}">
      <dgm:prSet custT="1"/>
      <dgm:spPr>
        <a:solidFill>
          <a:srgbClr val="EE0000"/>
        </a:solidFill>
      </dgm:spPr>
      <dgm:t>
        <a:bodyPr/>
        <a:lstStyle/>
        <a:p>
          <a:pPr algn="ctr">
            <a:buNone/>
          </a:pPr>
          <a:r>
            <a:rPr lang="en-US" sz="1200">
              <a:latin typeface="Times New Roman" panose="02020603050405020304" pitchFamily="18" charset="0"/>
              <a:cs typeface="Times New Roman" panose="02020603050405020304" pitchFamily="18" charset="0"/>
            </a:rPr>
            <a:t>Strategic Option 3: Measurement Infrastructure</a:t>
          </a:r>
        </a:p>
      </dgm:t>
    </dgm:pt>
    <dgm:pt modelId="{E1197FC5-8805-4221-8E9D-54D152CAE50D}" type="parTrans" cxnId="{971FD3FF-0904-4EBA-AD59-252CC4DE874D}">
      <dgm:prSet/>
      <dgm:spPr/>
      <dgm:t>
        <a:bodyPr/>
        <a:lstStyle/>
        <a:p>
          <a:endParaRPr lang="en-US"/>
        </a:p>
      </dgm:t>
    </dgm:pt>
    <dgm:pt modelId="{02EEAA3C-2010-40EA-93D6-BDC88E95059F}" type="sibTrans" cxnId="{971FD3FF-0904-4EBA-AD59-252CC4DE874D}">
      <dgm:prSet/>
      <dgm:spPr/>
      <dgm:t>
        <a:bodyPr/>
        <a:lstStyle/>
        <a:p>
          <a:endParaRPr lang="en-US"/>
        </a:p>
      </dgm:t>
    </dgm:pt>
    <dgm:pt modelId="{CBFE8324-9197-4F11-A7A7-5A0F967F377D}">
      <dgm:prSet custT="1"/>
      <dgm:spPr/>
      <dgm:t>
        <a:bodyPr/>
        <a:lstStyle/>
        <a:p>
          <a:pPr algn="ctr">
            <a:buNone/>
          </a:pPr>
          <a:r>
            <a:rPr lang="en-US" sz="1200">
              <a:latin typeface="Times New Roman" panose="02020603050405020304" pitchFamily="18" charset="0"/>
              <a:cs typeface="Times New Roman" panose="02020603050405020304" pitchFamily="18" charset="0"/>
            </a:rPr>
            <a:t>There has been little or no integration of performance measurement to contribute to strategic drift. System value analysis frameworks are employed to link marketing inputs with economic outputs to increase accountability (Lavi &amp; Reich, 2023). Segment-level metrics, such as CAC, CLV and NPS, are empowering the empirical optimisation of policies and replacing politically massaged resource allocation with data-based decisions (Foreman et al., 2014).</a:t>
          </a:r>
        </a:p>
      </dgm:t>
    </dgm:pt>
    <dgm:pt modelId="{C9A0E8D0-672E-4F60-B498-07329B76597C}" type="parTrans" cxnId="{8F427219-AF7E-4FDC-9EEA-07143F46C5E9}">
      <dgm:prSet/>
      <dgm:spPr/>
      <dgm:t>
        <a:bodyPr/>
        <a:lstStyle/>
        <a:p>
          <a:endParaRPr lang="en-US"/>
        </a:p>
      </dgm:t>
    </dgm:pt>
    <dgm:pt modelId="{23BD027F-50F2-481E-A9DE-06457DDB2F5F}" type="sibTrans" cxnId="{8F427219-AF7E-4FDC-9EEA-07143F46C5E9}">
      <dgm:prSet/>
      <dgm:spPr/>
      <dgm:t>
        <a:bodyPr/>
        <a:lstStyle/>
        <a:p>
          <a:endParaRPr lang="en-US"/>
        </a:p>
      </dgm:t>
    </dgm:pt>
    <dgm:pt modelId="{3D13B8CB-A776-4F62-9DD3-636A912D810D}" type="pres">
      <dgm:prSet presAssocID="{2739B2FC-7172-4A65-BD4C-A83810210C70}" presName="linear" presStyleCnt="0">
        <dgm:presLayoutVars>
          <dgm:animLvl val="lvl"/>
          <dgm:resizeHandles val="exact"/>
        </dgm:presLayoutVars>
      </dgm:prSet>
      <dgm:spPr/>
    </dgm:pt>
    <dgm:pt modelId="{DEE1E3E5-9B75-415F-9761-2F8EE748B531}" type="pres">
      <dgm:prSet presAssocID="{A4B08567-BEA3-489B-9B31-11E03DC8497B}" presName="parentText" presStyleLbl="node1" presStyleIdx="0" presStyleCnt="3">
        <dgm:presLayoutVars>
          <dgm:chMax val="0"/>
          <dgm:bulletEnabled val="1"/>
        </dgm:presLayoutVars>
      </dgm:prSet>
      <dgm:spPr/>
    </dgm:pt>
    <dgm:pt modelId="{D64FE28E-B8FC-4220-BF80-BBA18C96E7D6}" type="pres">
      <dgm:prSet presAssocID="{A4B08567-BEA3-489B-9B31-11E03DC8497B}" presName="childText" presStyleLbl="revTx" presStyleIdx="0" presStyleCnt="3">
        <dgm:presLayoutVars>
          <dgm:bulletEnabled val="1"/>
        </dgm:presLayoutVars>
      </dgm:prSet>
      <dgm:spPr/>
    </dgm:pt>
    <dgm:pt modelId="{F3CFBBEA-D7CA-4CB1-91E4-AEC2BBF08E25}" type="pres">
      <dgm:prSet presAssocID="{D60479C7-01A0-46B0-99F3-02494AF7276C}" presName="parentText" presStyleLbl="node1" presStyleIdx="1" presStyleCnt="3">
        <dgm:presLayoutVars>
          <dgm:chMax val="0"/>
          <dgm:bulletEnabled val="1"/>
        </dgm:presLayoutVars>
      </dgm:prSet>
      <dgm:spPr/>
    </dgm:pt>
    <dgm:pt modelId="{17BA778A-8D0F-417E-8A0F-318FDB6C324E}" type="pres">
      <dgm:prSet presAssocID="{D60479C7-01A0-46B0-99F3-02494AF7276C}" presName="childText" presStyleLbl="revTx" presStyleIdx="1" presStyleCnt="3">
        <dgm:presLayoutVars>
          <dgm:bulletEnabled val="1"/>
        </dgm:presLayoutVars>
      </dgm:prSet>
      <dgm:spPr/>
    </dgm:pt>
    <dgm:pt modelId="{7E73B39A-0112-4F4F-A954-E32E5F3F8B01}" type="pres">
      <dgm:prSet presAssocID="{A879173F-FD1D-4CB0-884C-60E431B06747}" presName="parentText" presStyleLbl="node1" presStyleIdx="2" presStyleCnt="3">
        <dgm:presLayoutVars>
          <dgm:chMax val="0"/>
          <dgm:bulletEnabled val="1"/>
        </dgm:presLayoutVars>
      </dgm:prSet>
      <dgm:spPr/>
    </dgm:pt>
    <dgm:pt modelId="{34AE503B-CEBD-4FCD-A3F4-9CC50CA07437}" type="pres">
      <dgm:prSet presAssocID="{A879173F-FD1D-4CB0-884C-60E431B06747}" presName="childText" presStyleLbl="revTx" presStyleIdx="2" presStyleCnt="3">
        <dgm:presLayoutVars>
          <dgm:bulletEnabled val="1"/>
        </dgm:presLayoutVars>
      </dgm:prSet>
      <dgm:spPr/>
    </dgm:pt>
  </dgm:ptLst>
  <dgm:cxnLst>
    <dgm:cxn modelId="{1CFF4B0C-62E5-4511-9429-6B605685F36D}" type="presOf" srcId="{F585CFC9-75E9-4823-95FA-5D64F8371811}" destId="{17BA778A-8D0F-417E-8A0F-318FDB6C324E}" srcOrd="0" destOrd="0" presId="urn:microsoft.com/office/officeart/2005/8/layout/vList2"/>
    <dgm:cxn modelId="{6F86A718-243D-4A15-ACF3-010605A0BC9E}" type="presOf" srcId="{067DB14D-C2E7-4732-BE76-41312B8A7006}" destId="{D64FE28E-B8FC-4220-BF80-BBA18C96E7D6}" srcOrd="0" destOrd="0" presId="urn:microsoft.com/office/officeart/2005/8/layout/vList2"/>
    <dgm:cxn modelId="{8F427219-AF7E-4FDC-9EEA-07143F46C5E9}" srcId="{A879173F-FD1D-4CB0-884C-60E431B06747}" destId="{CBFE8324-9197-4F11-A7A7-5A0F967F377D}" srcOrd="0" destOrd="0" parTransId="{C9A0E8D0-672E-4F60-B498-07329B76597C}" sibTransId="{23BD027F-50F2-481E-A9DE-06457DDB2F5F}"/>
    <dgm:cxn modelId="{F5A12363-8BFF-471F-8D70-27DF8B0AD422}" srcId="{D60479C7-01A0-46B0-99F3-02494AF7276C}" destId="{F585CFC9-75E9-4823-95FA-5D64F8371811}" srcOrd="0" destOrd="0" parTransId="{6BF91DF6-EF27-4BE7-97FC-9F95A7213BE2}" sibTransId="{B0CD9114-A8C1-4981-9B91-81673F45F89F}"/>
    <dgm:cxn modelId="{F68A2E6C-3345-44B2-B117-7FF272363D0B}" type="presOf" srcId="{CBFE8324-9197-4F11-A7A7-5A0F967F377D}" destId="{34AE503B-CEBD-4FCD-A3F4-9CC50CA07437}" srcOrd="0" destOrd="0" presId="urn:microsoft.com/office/officeart/2005/8/layout/vList2"/>
    <dgm:cxn modelId="{548EEB50-35AD-40B5-A472-60738B137D53}" type="presOf" srcId="{D60479C7-01A0-46B0-99F3-02494AF7276C}" destId="{F3CFBBEA-D7CA-4CB1-91E4-AEC2BBF08E25}" srcOrd="0" destOrd="0" presId="urn:microsoft.com/office/officeart/2005/8/layout/vList2"/>
    <dgm:cxn modelId="{FF14EF51-AE9A-4067-9BBB-637898230CB3}" srcId="{2739B2FC-7172-4A65-BD4C-A83810210C70}" destId="{A4B08567-BEA3-489B-9B31-11E03DC8497B}" srcOrd="0" destOrd="0" parTransId="{DE308DEF-4A4A-4C3C-A94D-44A15C9DDFB5}" sibTransId="{26B06A28-163B-423D-AA78-CA20690B0123}"/>
    <dgm:cxn modelId="{06ABC374-0A47-4610-93AC-560E5D16E839}" srcId="{2739B2FC-7172-4A65-BD4C-A83810210C70}" destId="{D60479C7-01A0-46B0-99F3-02494AF7276C}" srcOrd="1" destOrd="0" parTransId="{E1F18C5F-4A89-4750-A904-F4C936CFF732}" sibTransId="{BA7888F7-80BA-4FC0-BF66-34586CA4F865}"/>
    <dgm:cxn modelId="{61DE7B88-A13F-4B63-8EE9-3B50E715138F}" srcId="{A4B08567-BEA3-489B-9B31-11E03DC8497B}" destId="{067DB14D-C2E7-4732-BE76-41312B8A7006}" srcOrd="0" destOrd="0" parTransId="{58A4CF2B-BF71-4152-BFB2-8A7EE8AD3AAA}" sibTransId="{5CC30893-A47C-40FC-A798-FE72BDC54692}"/>
    <dgm:cxn modelId="{2E0D5C95-69DA-4116-8DE9-A60FA775DEE8}" type="presOf" srcId="{A4B08567-BEA3-489B-9B31-11E03DC8497B}" destId="{DEE1E3E5-9B75-415F-9761-2F8EE748B531}" srcOrd="0" destOrd="0" presId="urn:microsoft.com/office/officeart/2005/8/layout/vList2"/>
    <dgm:cxn modelId="{0504BBB1-266F-4A51-B796-D0E33400D2C0}" type="presOf" srcId="{2739B2FC-7172-4A65-BD4C-A83810210C70}" destId="{3D13B8CB-A776-4F62-9DD3-636A912D810D}" srcOrd="0" destOrd="0" presId="urn:microsoft.com/office/officeart/2005/8/layout/vList2"/>
    <dgm:cxn modelId="{102717B6-428D-4E59-8194-8B80F924529E}" type="presOf" srcId="{A879173F-FD1D-4CB0-884C-60E431B06747}" destId="{7E73B39A-0112-4F4F-A954-E32E5F3F8B01}" srcOrd="0" destOrd="0" presId="urn:microsoft.com/office/officeart/2005/8/layout/vList2"/>
    <dgm:cxn modelId="{971FD3FF-0904-4EBA-AD59-252CC4DE874D}" srcId="{2739B2FC-7172-4A65-BD4C-A83810210C70}" destId="{A879173F-FD1D-4CB0-884C-60E431B06747}" srcOrd="2" destOrd="0" parTransId="{E1197FC5-8805-4221-8E9D-54D152CAE50D}" sibTransId="{02EEAA3C-2010-40EA-93D6-BDC88E95059F}"/>
    <dgm:cxn modelId="{EE75E47E-7C05-46B6-9A12-C2703EC4D9B1}" type="presParOf" srcId="{3D13B8CB-A776-4F62-9DD3-636A912D810D}" destId="{DEE1E3E5-9B75-415F-9761-2F8EE748B531}" srcOrd="0" destOrd="0" presId="urn:microsoft.com/office/officeart/2005/8/layout/vList2"/>
    <dgm:cxn modelId="{7462E5A4-2E1D-4FCB-AFFA-211F25DFC087}" type="presParOf" srcId="{3D13B8CB-A776-4F62-9DD3-636A912D810D}" destId="{D64FE28E-B8FC-4220-BF80-BBA18C96E7D6}" srcOrd="1" destOrd="0" presId="urn:microsoft.com/office/officeart/2005/8/layout/vList2"/>
    <dgm:cxn modelId="{55FDF158-F424-48BF-B8FC-0CB1E11DCA29}" type="presParOf" srcId="{3D13B8CB-A776-4F62-9DD3-636A912D810D}" destId="{F3CFBBEA-D7CA-4CB1-91E4-AEC2BBF08E25}" srcOrd="2" destOrd="0" presId="urn:microsoft.com/office/officeart/2005/8/layout/vList2"/>
    <dgm:cxn modelId="{0B613C95-1C78-4E66-B826-699E634BDCF3}" type="presParOf" srcId="{3D13B8CB-A776-4F62-9DD3-636A912D810D}" destId="{17BA778A-8D0F-417E-8A0F-318FDB6C324E}" srcOrd="3" destOrd="0" presId="urn:microsoft.com/office/officeart/2005/8/layout/vList2"/>
    <dgm:cxn modelId="{B7911619-FF07-4022-873A-A46961DCA2BD}" type="presParOf" srcId="{3D13B8CB-A776-4F62-9DD3-636A912D810D}" destId="{7E73B39A-0112-4F4F-A954-E32E5F3F8B01}" srcOrd="4" destOrd="0" presId="urn:microsoft.com/office/officeart/2005/8/layout/vList2"/>
    <dgm:cxn modelId="{B891FF4E-9BC0-4A9F-A5CD-0D79D1F0D36D}" type="presParOf" srcId="{3D13B8CB-A776-4F62-9DD3-636A912D810D}" destId="{34AE503B-CEBD-4FCD-A3F4-9CC50CA07437}" srcOrd="5" destOrd="0" presId="urn:microsoft.com/office/officeart/2005/8/layout/vList2"/>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C112C6DE-3E6B-435C-8D35-DC346EFD7B43}"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D072714B-11B6-47E4-A36F-9F7C08D8BBF9}">
      <dgm:prSet phldrT="[Text]" custT="1"/>
      <dgm:spPr/>
      <dgm:t>
        <a:bodyPr/>
        <a:lstStyle/>
        <a:p>
          <a:pPr algn="ctr">
            <a:buNone/>
          </a:pPr>
          <a:r>
            <a:rPr lang="en-US" sz="1200">
              <a:latin typeface="Times New Roman" panose="02020603050405020304" pitchFamily="18" charset="0"/>
              <a:cs typeface="Times New Roman" panose="02020603050405020304" pitchFamily="18" charset="0"/>
            </a:rPr>
            <a:t>Create Urgency</a:t>
          </a:r>
        </a:p>
      </dgm:t>
    </dgm:pt>
    <dgm:pt modelId="{4D6BD381-4EB8-4256-9F33-2774CBF838FE}" type="parTrans" cxnId="{49141F86-6B54-4E6B-8178-55A1171AD453}">
      <dgm:prSet/>
      <dgm:spPr/>
      <dgm:t>
        <a:bodyPr/>
        <a:lstStyle/>
        <a:p>
          <a:pPr algn="ctr"/>
          <a:endParaRPr lang="en-US"/>
        </a:p>
      </dgm:t>
    </dgm:pt>
    <dgm:pt modelId="{7B5CB0C3-7295-45F3-A255-881271FDB329}" type="sibTrans" cxnId="{49141F86-6B54-4E6B-8178-55A1171AD453}">
      <dgm:prSet/>
      <dgm:spPr/>
      <dgm:t>
        <a:bodyPr/>
        <a:lstStyle/>
        <a:p>
          <a:pPr algn="ctr"/>
          <a:endParaRPr lang="en-US"/>
        </a:p>
      </dgm:t>
    </dgm:pt>
    <dgm:pt modelId="{CB18B14F-AACF-4D74-9934-AD59403728F6}">
      <dgm:prSet custT="1"/>
      <dgm:spPr/>
      <dgm:t>
        <a:bodyPr/>
        <a:lstStyle/>
        <a:p>
          <a:pPr algn="ctr">
            <a:buNone/>
          </a:pPr>
          <a:r>
            <a:rPr lang="en-US" sz="1200">
              <a:latin typeface="Times New Roman" panose="02020603050405020304" pitchFamily="18" charset="0"/>
              <a:cs typeface="Times New Roman" panose="02020603050405020304" pitchFamily="18" charset="0"/>
            </a:rPr>
            <a:t>Build a Guiding Coalition</a:t>
          </a:r>
        </a:p>
      </dgm:t>
    </dgm:pt>
    <dgm:pt modelId="{547EB0C3-53C1-45F9-A3CA-D1ED59727E64}" type="parTrans" cxnId="{B1878EAD-A389-4E4F-8B05-3F56FBFF7529}">
      <dgm:prSet/>
      <dgm:spPr/>
      <dgm:t>
        <a:bodyPr/>
        <a:lstStyle/>
        <a:p>
          <a:pPr algn="ctr"/>
          <a:endParaRPr lang="en-US"/>
        </a:p>
      </dgm:t>
    </dgm:pt>
    <dgm:pt modelId="{361D45C5-18BE-4236-91A6-8570302342DC}" type="sibTrans" cxnId="{B1878EAD-A389-4E4F-8B05-3F56FBFF7529}">
      <dgm:prSet/>
      <dgm:spPr/>
      <dgm:t>
        <a:bodyPr/>
        <a:lstStyle/>
        <a:p>
          <a:pPr algn="ctr"/>
          <a:endParaRPr lang="en-US"/>
        </a:p>
      </dgm:t>
    </dgm:pt>
    <dgm:pt modelId="{E70DB903-383D-4840-AE52-3EF4E38F0EE5}">
      <dgm:prSet custT="1"/>
      <dgm:spPr/>
      <dgm:t>
        <a:bodyPr/>
        <a:lstStyle/>
        <a:p>
          <a:pPr algn="ctr">
            <a:buNone/>
          </a:pPr>
          <a:r>
            <a:rPr lang="en-US" sz="1200">
              <a:latin typeface="Times New Roman" panose="02020603050405020304" pitchFamily="18" charset="0"/>
              <a:cs typeface="Times New Roman" panose="02020603050405020304" pitchFamily="18" charset="0"/>
            </a:rPr>
            <a:t>Form Strategic Vision</a:t>
          </a:r>
        </a:p>
      </dgm:t>
    </dgm:pt>
    <dgm:pt modelId="{6C41849C-3DFD-4608-9007-8B9770F5E108}" type="parTrans" cxnId="{CCC9AF80-A9D0-47FE-9ACF-2554DCAF1366}">
      <dgm:prSet/>
      <dgm:spPr/>
      <dgm:t>
        <a:bodyPr/>
        <a:lstStyle/>
        <a:p>
          <a:pPr algn="ctr"/>
          <a:endParaRPr lang="en-US"/>
        </a:p>
      </dgm:t>
    </dgm:pt>
    <dgm:pt modelId="{D84C4756-F40C-4B37-B4B4-42D4641624B3}" type="sibTrans" cxnId="{CCC9AF80-A9D0-47FE-9ACF-2554DCAF1366}">
      <dgm:prSet/>
      <dgm:spPr/>
      <dgm:t>
        <a:bodyPr/>
        <a:lstStyle/>
        <a:p>
          <a:pPr algn="ctr"/>
          <a:endParaRPr lang="en-US"/>
        </a:p>
      </dgm:t>
    </dgm:pt>
    <dgm:pt modelId="{7E681157-698D-4BE2-AEE9-A30E4A7832D9}">
      <dgm:prSet custT="1"/>
      <dgm:spPr/>
      <dgm:t>
        <a:bodyPr/>
        <a:lstStyle/>
        <a:p>
          <a:pPr algn="ctr">
            <a:buNone/>
          </a:pPr>
          <a:r>
            <a:rPr lang="en-US" sz="1200">
              <a:latin typeface="Times New Roman" panose="02020603050405020304" pitchFamily="18" charset="0"/>
              <a:cs typeface="Times New Roman" panose="02020603050405020304" pitchFamily="18" charset="0"/>
            </a:rPr>
            <a:t>Enlist Volunteer Army</a:t>
          </a:r>
        </a:p>
      </dgm:t>
    </dgm:pt>
    <dgm:pt modelId="{0C4EF4AB-1D22-4140-94A0-5F24E5E1D8A5}" type="parTrans" cxnId="{610AFC27-505D-4A40-A93D-404BD9AD7600}">
      <dgm:prSet/>
      <dgm:spPr/>
      <dgm:t>
        <a:bodyPr/>
        <a:lstStyle/>
        <a:p>
          <a:pPr algn="ctr"/>
          <a:endParaRPr lang="en-US"/>
        </a:p>
      </dgm:t>
    </dgm:pt>
    <dgm:pt modelId="{859E7950-7A68-4B5B-B293-2EF5D80E5B52}" type="sibTrans" cxnId="{610AFC27-505D-4A40-A93D-404BD9AD7600}">
      <dgm:prSet/>
      <dgm:spPr/>
      <dgm:t>
        <a:bodyPr/>
        <a:lstStyle/>
        <a:p>
          <a:pPr algn="ctr"/>
          <a:endParaRPr lang="en-US"/>
        </a:p>
      </dgm:t>
    </dgm:pt>
    <dgm:pt modelId="{51DBEC15-9FFD-4E90-A0B5-5610D748563E}">
      <dgm:prSet custT="1"/>
      <dgm:spPr/>
      <dgm:t>
        <a:bodyPr/>
        <a:lstStyle/>
        <a:p>
          <a:pPr algn="ctr">
            <a:buNone/>
          </a:pPr>
          <a:r>
            <a:rPr lang="en-US" sz="1200">
              <a:latin typeface="Times New Roman" panose="02020603050405020304" pitchFamily="18" charset="0"/>
              <a:cs typeface="Times New Roman" panose="02020603050405020304" pitchFamily="18" charset="0"/>
            </a:rPr>
            <a:t>Enable Action</a:t>
          </a:r>
        </a:p>
      </dgm:t>
    </dgm:pt>
    <dgm:pt modelId="{2685137F-7395-4A6B-9E73-7D0947E1B904}" type="parTrans" cxnId="{3E7110F0-069D-4CDC-BBE7-510C95915E66}">
      <dgm:prSet/>
      <dgm:spPr/>
      <dgm:t>
        <a:bodyPr/>
        <a:lstStyle/>
        <a:p>
          <a:pPr algn="ctr"/>
          <a:endParaRPr lang="en-US"/>
        </a:p>
      </dgm:t>
    </dgm:pt>
    <dgm:pt modelId="{8006A12B-A20B-487C-82B2-BF25AD4A9E33}" type="sibTrans" cxnId="{3E7110F0-069D-4CDC-BBE7-510C95915E66}">
      <dgm:prSet/>
      <dgm:spPr/>
      <dgm:t>
        <a:bodyPr/>
        <a:lstStyle/>
        <a:p>
          <a:pPr algn="ctr"/>
          <a:endParaRPr lang="en-US"/>
        </a:p>
      </dgm:t>
    </dgm:pt>
    <dgm:pt modelId="{E895C70D-3E30-4F36-82DD-D6D67CB39446}">
      <dgm:prSet custT="1"/>
      <dgm:spPr/>
      <dgm:t>
        <a:bodyPr/>
        <a:lstStyle/>
        <a:p>
          <a:pPr algn="ctr">
            <a:buNone/>
          </a:pPr>
          <a:r>
            <a:rPr lang="en-US" sz="1200">
              <a:latin typeface="Times New Roman" panose="02020603050405020304" pitchFamily="18" charset="0"/>
              <a:cs typeface="Times New Roman" panose="02020603050405020304" pitchFamily="18" charset="0"/>
            </a:rPr>
            <a:t>Generate Short-Term Wins</a:t>
          </a:r>
        </a:p>
      </dgm:t>
    </dgm:pt>
    <dgm:pt modelId="{3D2A0463-DB71-40FF-9F04-8F91C497A483}" type="parTrans" cxnId="{CF3DE58A-F329-469F-8B5D-6FB0D9CC0251}">
      <dgm:prSet/>
      <dgm:spPr/>
      <dgm:t>
        <a:bodyPr/>
        <a:lstStyle/>
        <a:p>
          <a:pPr algn="ctr"/>
          <a:endParaRPr lang="en-US"/>
        </a:p>
      </dgm:t>
    </dgm:pt>
    <dgm:pt modelId="{629FD0A2-C09C-43B9-8E32-E393EC2997ED}" type="sibTrans" cxnId="{CF3DE58A-F329-469F-8B5D-6FB0D9CC0251}">
      <dgm:prSet/>
      <dgm:spPr/>
      <dgm:t>
        <a:bodyPr/>
        <a:lstStyle/>
        <a:p>
          <a:pPr algn="ctr"/>
          <a:endParaRPr lang="en-US"/>
        </a:p>
      </dgm:t>
    </dgm:pt>
    <dgm:pt modelId="{9EEADAC5-460C-4117-953A-E85CC1348C19}">
      <dgm:prSet custT="1"/>
      <dgm:spPr/>
      <dgm:t>
        <a:bodyPr/>
        <a:lstStyle/>
        <a:p>
          <a:pPr algn="ctr">
            <a:buNone/>
          </a:pPr>
          <a:r>
            <a:rPr lang="en-US" sz="1200">
              <a:latin typeface="Times New Roman" panose="02020603050405020304" pitchFamily="18" charset="0"/>
              <a:cs typeface="Times New Roman" panose="02020603050405020304" pitchFamily="18" charset="0"/>
            </a:rPr>
            <a:t>Sustain Acceleration</a:t>
          </a:r>
        </a:p>
      </dgm:t>
    </dgm:pt>
    <dgm:pt modelId="{DD43B86A-362D-498A-8554-8895BA1EF179}" type="parTrans" cxnId="{EE02E8E4-2BBF-4EB1-9385-9996EC0057FD}">
      <dgm:prSet/>
      <dgm:spPr/>
      <dgm:t>
        <a:bodyPr/>
        <a:lstStyle/>
        <a:p>
          <a:pPr algn="ctr"/>
          <a:endParaRPr lang="en-US"/>
        </a:p>
      </dgm:t>
    </dgm:pt>
    <dgm:pt modelId="{E2497B1E-A1DA-4C44-8AC3-7FC654C8C7E4}" type="sibTrans" cxnId="{EE02E8E4-2BBF-4EB1-9385-9996EC0057FD}">
      <dgm:prSet/>
      <dgm:spPr/>
      <dgm:t>
        <a:bodyPr/>
        <a:lstStyle/>
        <a:p>
          <a:pPr algn="ctr"/>
          <a:endParaRPr lang="en-US"/>
        </a:p>
      </dgm:t>
    </dgm:pt>
    <dgm:pt modelId="{A6EDA315-6F62-4FF5-B291-32D5ECE0F3AA}">
      <dgm:prSet custT="1"/>
      <dgm:spPr/>
      <dgm:t>
        <a:bodyPr/>
        <a:lstStyle/>
        <a:p>
          <a:pPr algn="ctr">
            <a:buNone/>
          </a:pPr>
          <a:r>
            <a:rPr lang="en-US" sz="1200">
              <a:latin typeface="Times New Roman" panose="02020603050405020304" pitchFamily="18" charset="0"/>
              <a:cs typeface="Times New Roman" panose="02020603050405020304" pitchFamily="18" charset="0"/>
            </a:rPr>
            <a:t>Institute Change</a:t>
          </a:r>
        </a:p>
      </dgm:t>
    </dgm:pt>
    <dgm:pt modelId="{318D5722-B5C9-499E-AB95-DBE7357169E6}" type="parTrans" cxnId="{0A66FDAD-F405-43B9-8128-B151268266AA}">
      <dgm:prSet/>
      <dgm:spPr/>
      <dgm:t>
        <a:bodyPr/>
        <a:lstStyle/>
        <a:p>
          <a:pPr algn="ctr"/>
          <a:endParaRPr lang="en-US"/>
        </a:p>
      </dgm:t>
    </dgm:pt>
    <dgm:pt modelId="{525909F1-D478-4F2C-BCB2-A93F0B684BF8}" type="sibTrans" cxnId="{0A66FDAD-F405-43B9-8128-B151268266AA}">
      <dgm:prSet/>
      <dgm:spPr/>
      <dgm:t>
        <a:bodyPr/>
        <a:lstStyle/>
        <a:p>
          <a:pPr algn="ctr"/>
          <a:endParaRPr lang="en-US"/>
        </a:p>
      </dgm:t>
    </dgm:pt>
    <dgm:pt modelId="{9389D328-C084-49F0-A177-87D2FFDC2ED7}">
      <dgm:prSet phldrT="[Text]" custT="1"/>
      <dgm:spPr/>
      <dgm:t>
        <a:bodyPr/>
        <a:lstStyle/>
        <a:p>
          <a:pPr algn="ctr">
            <a:buNone/>
          </a:pPr>
          <a:r>
            <a:rPr lang="en-US" sz="1200">
              <a:latin typeface="Times New Roman" panose="02020603050405020304" pitchFamily="18" charset="0"/>
              <a:cs typeface="Times New Roman" panose="02020603050405020304" pitchFamily="18" charset="0"/>
            </a:rPr>
            <a:t>Leadership needs to communicate a critical strategic case using the market evidence: impending industry cost parity (Reuters, 2024), profit erosion, and competitor convergence (Colias, 2025) and demonstrate mathematical unsustainability.</a:t>
          </a:r>
        </a:p>
      </dgm:t>
    </dgm:pt>
    <dgm:pt modelId="{AD1EA99A-6841-4CDB-9F96-A83567AC7AC7}" type="parTrans" cxnId="{55E0FCFD-E3A5-41A2-8AD3-05C65120D43D}">
      <dgm:prSet/>
      <dgm:spPr/>
      <dgm:t>
        <a:bodyPr/>
        <a:lstStyle/>
        <a:p>
          <a:pPr algn="ctr"/>
          <a:endParaRPr lang="en-US"/>
        </a:p>
      </dgm:t>
    </dgm:pt>
    <dgm:pt modelId="{16C7F115-3628-4E6D-92E9-B130123F12AD}" type="sibTrans" cxnId="{55E0FCFD-E3A5-41A2-8AD3-05C65120D43D}">
      <dgm:prSet/>
      <dgm:spPr/>
      <dgm:t>
        <a:bodyPr/>
        <a:lstStyle/>
        <a:p>
          <a:pPr algn="ctr"/>
          <a:endParaRPr lang="en-US"/>
        </a:p>
      </dgm:t>
    </dgm:pt>
    <dgm:pt modelId="{561835C2-3BCD-4F31-B4FF-A66B44C4481F}">
      <dgm:prSet custT="1"/>
      <dgm:spPr/>
      <dgm:t>
        <a:bodyPr/>
        <a:lstStyle/>
        <a:p>
          <a:pPr algn="ctr">
            <a:buNone/>
          </a:pPr>
          <a:r>
            <a:rPr lang="en-US" sz="1200">
              <a:latin typeface="Times New Roman" panose="02020603050405020304" pitchFamily="18" charset="0"/>
              <a:cs typeface="Times New Roman" panose="02020603050405020304" pitchFamily="18" charset="0"/>
            </a:rPr>
            <a:t>Form a cross-functional team with C-suite authority and external consultants (ensure organisational power to enhance change and overcome siloed resistance); key success factor (Whittington et al. 2020; Buchanan and Badham, 2008).</a:t>
          </a:r>
        </a:p>
      </dgm:t>
    </dgm:pt>
    <dgm:pt modelId="{7C7D3B52-B049-47F2-A82E-84EE38514446}" type="parTrans" cxnId="{35CB88AA-E66D-4A0B-8EDA-8D59166C8217}">
      <dgm:prSet/>
      <dgm:spPr/>
      <dgm:t>
        <a:bodyPr/>
        <a:lstStyle/>
        <a:p>
          <a:pPr algn="ctr"/>
          <a:endParaRPr lang="en-US"/>
        </a:p>
      </dgm:t>
    </dgm:pt>
    <dgm:pt modelId="{D1E8B329-D6D0-42DD-872D-C3869F9D45FA}" type="sibTrans" cxnId="{35CB88AA-E66D-4A0B-8EDA-8D59166C8217}">
      <dgm:prSet/>
      <dgm:spPr/>
      <dgm:t>
        <a:bodyPr/>
        <a:lstStyle/>
        <a:p>
          <a:pPr algn="ctr"/>
          <a:endParaRPr lang="en-US"/>
        </a:p>
      </dgm:t>
    </dgm:pt>
    <dgm:pt modelId="{9A5BB4E3-2BA5-4A0D-9F32-A8ACB6E4911F}">
      <dgm:prSet custT="1"/>
      <dgm:spPr/>
      <dgm:t>
        <a:bodyPr/>
        <a:lstStyle/>
        <a:p>
          <a:pPr algn="ctr">
            <a:buNone/>
          </a:pPr>
          <a:r>
            <a:rPr lang="en-US" sz="1200">
              <a:latin typeface="Times New Roman" panose="02020603050405020304" pitchFamily="18" charset="0"/>
              <a:cs typeface="Times New Roman" panose="02020603050405020304" pitchFamily="18" charset="0"/>
            </a:rPr>
            <a:t>Articulate a clear vision grounded by segmented sub-brand architecture solving incoherence in positioning together with PESTEL realities and a new culture of measurement-driving (Gao, 2023; Chari &amp; Fernandes, 2025).</a:t>
          </a:r>
        </a:p>
      </dgm:t>
    </dgm:pt>
    <dgm:pt modelId="{753357EA-A78F-440A-AE1C-04563BF1DFD8}" type="parTrans" cxnId="{68156AD1-D59A-4F41-B018-F33B16CF1B6F}">
      <dgm:prSet/>
      <dgm:spPr/>
      <dgm:t>
        <a:bodyPr/>
        <a:lstStyle/>
        <a:p>
          <a:pPr algn="ctr"/>
          <a:endParaRPr lang="en-US"/>
        </a:p>
      </dgm:t>
    </dgm:pt>
    <dgm:pt modelId="{10B636D6-7BD1-4456-A786-43663C576696}" type="sibTrans" cxnId="{68156AD1-D59A-4F41-B018-F33B16CF1B6F}">
      <dgm:prSet/>
      <dgm:spPr/>
      <dgm:t>
        <a:bodyPr/>
        <a:lstStyle/>
        <a:p>
          <a:pPr algn="ctr"/>
          <a:endParaRPr lang="en-US"/>
        </a:p>
      </dgm:t>
    </dgm:pt>
    <dgm:pt modelId="{A2DE4AB1-9F40-42B9-80C8-BE5575572CBF}">
      <dgm:prSet custT="1"/>
      <dgm:spPr/>
      <dgm:t>
        <a:bodyPr/>
        <a:lstStyle/>
        <a:p>
          <a:pPr algn="ctr">
            <a:buNone/>
          </a:pPr>
          <a:r>
            <a:rPr lang="en-US" sz="1200">
              <a:latin typeface="Times New Roman" panose="02020603050405020304" pitchFamily="18" charset="0"/>
              <a:cs typeface="Times New Roman" panose="02020603050405020304" pitchFamily="18" charset="0"/>
            </a:rPr>
            <a:t>Communicate this vision relentlessly to get broad-based support, use the credibility of the coalition to promote buy-in at all levels, and reduce resistance to change (Cameron &amp; Green, 2004; Grey et al., 2023).</a:t>
          </a:r>
        </a:p>
      </dgm:t>
    </dgm:pt>
    <dgm:pt modelId="{B9141D17-C16E-4059-89EF-2B191CF1A68E}" type="parTrans" cxnId="{18468456-58BC-4F6D-A7DE-9480F4B43120}">
      <dgm:prSet/>
      <dgm:spPr/>
      <dgm:t>
        <a:bodyPr/>
        <a:lstStyle/>
        <a:p>
          <a:pPr algn="ctr"/>
          <a:endParaRPr lang="en-US"/>
        </a:p>
      </dgm:t>
    </dgm:pt>
    <dgm:pt modelId="{6471D8D4-D6D7-40FD-A36E-48DDF141EBC0}" type="sibTrans" cxnId="{18468456-58BC-4F6D-A7DE-9480F4B43120}">
      <dgm:prSet/>
      <dgm:spPr/>
      <dgm:t>
        <a:bodyPr/>
        <a:lstStyle/>
        <a:p>
          <a:pPr algn="ctr"/>
          <a:endParaRPr lang="en-US"/>
        </a:p>
      </dgm:t>
    </dgm:pt>
    <dgm:pt modelId="{EF706F7A-6BEB-485E-AE7A-6EC1ECB4AD84}">
      <dgm:prSet custT="1"/>
      <dgm:spPr/>
      <dgm:t>
        <a:bodyPr/>
        <a:lstStyle/>
        <a:p>
          <a:pPr algn="ctr">
            <a:buNone/>
          </a:pPr>
          <a:r>
            <a:rPr lang="en-US" sz="1200">
              <a:latin typeface="Times New Roman" panose="02020603050405020304" pitchFamily="18" charset="0"/>
              <a:cs typeface="Times New Roman" panose="02020603050405020304" pitchFamily="18" charset="0"/>
            </a:rPr>
            <a:t>Remove barriers by restructuring to autonomous segment P&amp;Ls (i.e., mainstream, ultra-premium) and allocating resources to focus on energy and service enabling strategy execution (Hayes, 2022).</a:t>
          </a:r>
        </a:p>
      </dgm:t>
    </dgm:pt>
    <dgm:pt modelId="{0FD59783-5BD5-4525-A015-5D50C95B3353}" type="parTrans" cxnId="{DB37B6C0-B10B-42DB-AD34-78788F09723B}">
      <dgm:prSet/>
      <dgm:spPr/>
      <dgm:t>
        <a:bodyPr/>
        <a:lstStyle/>
        <a:p>
          <a:pPr algn="ctr"/>
          <a:endParaRPr lang="en-US"/>
        </a:p>
      </dgm:t>
    </dgm:pt>
    <dgm:pt modelId="{030B68DC-DC5B-4CFF-A8F9-3C795ACE15DB}" type="sibTrans" cxnId="{DB37B6C0-B10B-42DB-AD34-78788F09723B}">
      <dgm:prSet/>
      <dgm:spPr/>
      <dgm:t>
        <a:bodyPr/>
        <a:lstStyle/>
        <a:p>
          <a:pPr algn="ctr"/>
          <a:endParaRPr lang="en-US"/>
        </a:p>
      </dgm:t>
    </dgm:pt>
    <dgm:pt modelId="{150C3D33-41E9-4C18-A405-0367CAB3C893}">
      <dgm:prSet custT="1"/>
      <dgm:spPr/>
      <dgm:t>
        <a:bodyPr/>
        <a:lstStyle/>
        <a:p>
          <a:pPr algn="ctr">
            <a:buNone/>
          </a:pPr>
          <a:r>
            <a:rPr lang="en-US" sz="1200">
              <a:latin typeface="Times New Roman" panose="02020603050405020304" pitchFamily="18" charset="0"/>
              <a:cs typeface="Times New Roman" panose="02020603050405020304" pitchFamily="18" charset="0"/>
            </a:rPr>
            <a:t>Introduce pilot programmes (like a targeted sub-brand rollout) and highlight measurable improvements more quickly in NPS or CAC as a way of generating momentum and validating the new way forward (Burnes, 2014).</a:t>
          </a:r>
        </a:p>
      </dgm:t>
    </dgm:pt>
    <dgm:pt modelId="{E2EC7AE5-A61C-4F00-BCE4-769ED6ECE53E}" type="parTrans" cxnId="{C1E6452C-F4EB-4491-9D9E-495DC26C783E}">
      <dgm:prSet/>
      <dgm:spPr/>
      <dgm:t>
        <a:bodyPr/>
        <a:lstStyle/>
        <a:p>
          <a:pPr algn="ctr"/>
          <a:endParaRPr lang="en-US"/>
        </a:p>
      </dgm:t>
    </dgm:pt>
    <dgm:pt modelId="{B4DAAA6E-B21A-42A3-BEDD-C466FAA9F78E}" type="sibTrans" cxnId="{C1E6452C-F4EB-4491-9D9E-495DC26C783E}">
      <dgm:prSet/>
      <dgm:spPr/>
      <dgm:t>
        <a:bodyPr/>
        <a:lstStyle/>
        <a:p>
          <a:pPr algn="ctr"/>
          <a:endParaRPr lang="en-US"/>
        </a:p>
      </dgm:t>
    </dgm:pt>
    <dgm:pt modelId="{0D7FFE2F-A246-4497-A4A7-6828DD038447}">
      <dgm:prSet custT="1"/>
      <dgm:spPr/>
      <dgm:t>
        <a:bodyPr/>
        <a:lstStyle/>
        <a:p>
          <a:pPr algn="ctr">
            <a:buNone/>
          </a:pPr>
          <a:r>
            <a:rPr lang="en-US" sz="1200">
              <a:latin typeface="Times New Roman" panose="02020603050405020304" pitchFamily="18" charset="0"/>
              <a:cs typeface="Times New Roman" panose="02020603050405020304" pitchFamily="18" charset="0"/>
            </a:rPr>
            <a:t>Leverage credibility from initial successes to address more fundamental systemic problems: Redesign service infrastructure and build in higher-level measurement tools to consolidate gains and move forward (Burnes, 2014).</a:t>
          </a:r>
        </a:p>
      </dgm:t>
    </dgm:pt>
    <dgm:pt modelId="{9AFAFC5D-2165-48E6-A73F-65C14830232C}" type="parTrans" cxnId="{7EA53EEB-F5A6-4277-9B32-8A67EDC9749F}">
      <dgm:prSet/>
      <dgm:spPr/>
      <dgm:t>
        <a:bodyPr/>
        <a:lstStyle/>
        <a:p>
          <a:pPr algn="ctr"/>
          <a:endParaRPr lang="en-US"/>
        </a:p>
      </dgm:t>
    </dgm:pt>
    <dgm:pt modelId="{5A409627-B0D6-4F3C-96D0-0ECAE2AB78F0}" type="sibTrans" cxnId="{7EA53EEB-F5A6-4277-9B32-8A67EDC9749F}">
      <dgm:prSet/>
      <dgm:spPr/>
      <dgm:t>
        <a:bodyPr/>
        <a:lstStyle/>
        <a:p>
          <a:pPr algn="ctr"/>
          <a:endParaRPr lang="en-US"/>
        </a:p>
      </dgm:t>
    </dgm:pt>
    <dgm:pt modelId="{91116334-F15A-49F3-99CC-4B0F090DF331}">
      <dgm:prSet custT="1"/>
      <dgm:spPr/>
      <dgm:t>
        <a:bodyPr/>
        <a:lstStyle/>
        <a:p>
          <a:pPr algn="ctr">
            <a:buNone/>
          </a:pPr>
          <a:r>
            <a:rPr lang="en-US" sz="1200">
              <a:latin typeface="Times New Roman" panose="02020603050405020304" pitchFamily="18" charset="0"/>
              <a:cs typeface="Times New Roman" panose="02020603050405020304" pitchFamily="18" charset="0"/>
            </a:rPr>
            <a:t>Ground new approaches in culture through reconciling incentives with performance measures, updating leadership development and formalising processes to make sure the segmented, data-driven strategy sticks (Whittington et al., 2020).</a:t>
          </a:r>
        </a:p>
      </dgm:t>
    </dgm:pt>
    <dgm:pt modelId="{CB629245-0F52-442A-9F32-B790D6E846E4}" type="parTrans" cxnId="{B4B2A054-7053-4748-9849-B20686A55284}">
      <dgm:prSet/>
      <dgm:spPr/>
      <dgm:t>
        <a:bodyPr/>
        <a:lstStyle/>
        <a:p>
          <a:pPr algn="ctr"/>
          <a:endParaRPr lang="en-US"/>
        </a:p>
      </dgm:t>
    </dgm:pt>
    <dgm:pt modelId="{1540258B-25FA-4A57-B08F-5A1D1B518DA0}" type="sibTrans" cxnId="{B4B2A054-7053-4748-9849-B20686A55284}">
      <dgm:prSet/>
      <dgm:spPr/>
      <dgm:t>
        <a:bodyPr/>
        <a:lstStyle/>
        <a:p>
          <a:pPr algn="ctr"/>
          <a:endParaRPr lang="en-US"/>
        </a:p>
      </dgm:t>
    </dgm:pt>
    <dgm:pt modelId="{26C8BD5B-C88C-4B9A-98B0-D311B7F856E7}" type="pres">
      <dgm:prSet presAssocID="{C112C6DE-3E6B-435C-8D35-DC346EFD7B43}" presName="linear" presStyleCnt="0">
        <dgm:presLayoutVars>
          <dgm:dir/>
          <dgm:animLvl val="lvl"/>
          <dgm:resizeHandles val="exact"/>
        </dgm:presLayoutVars>
      </dgm:prSet>
      <dgm:spPr/>
    </dgm:pt>
    <dgm:pt modelId="{38F906F6-A22C-4EBD-9157-936C6310CAE6}" type="pres">
      <dgm:prSet presAssocID="{D072714B-11B6-47E4-A36F-9F7C08D8BBF9}" presName="parentLin" presStyleCnt="0"/>
      <dgm:spPr/>
    </dgm:pt>
    <dgm:pt modelId="{F8A552EE-F199-4647-8A54-E1E7BAD58F3F}" type="pres">
      <dgm:prSet presAssocID="{D072714B-11B6-47E4-A36F-9F7C08D8BBF9}" presName="parentLeftMargin" presStyleLbl="node1" presStyleIdx="0" presStyleCnt="8"/>
      <dgm:spPr/>
    </dgm:pt>
    <dgm:pt modelId="{6005EC49-EBF0-4C5D-9C61-0D4838C041B1}" type="pres">
      <dgm:prSet presAssocID="{D072714B-11B6-47E4-A36F-9F7C08D8BBF9}" presName="parentText" presStyleLbl="node1" presStyleIdx="0" presStyleCnt="8">
        <dgm:presLayoutVars>
          <dgm:chMax val="0"/>
          <dgm:bulletEnabled val="1"/>
        </dgm:presLayoutVars>
      </dgm:prSet>
      <dgm:spPr/>
    </dgm:pt>
    <dgm:pt modelId="{B594823B-7F78-4DFC-A9D4-FBCEEC81024C}" type="pres">
      <dgm:prSet presAssocID="{D072714B-11B6-47E4-A36F-9F7C08D8BBF9}" presName="negativeSpace" presStyleCnt="0"/>
      <dgm:spPr/>
    </dgm:pt>
    <dgm:pt modelId="{EDAB676C-B442-4B88-8414-0F92CEBE7365}" type="pres">
      <dgm:prSet presAssocID="{D072714B-11B6-47E4-A36F-9F7C08D8BBF9}" presName="childText" presStyleLbl="conFgAcc1" presStyleIdx="0" presStyleCnt="8">
        <dgm:presLayoutVars>
          <dgm:bulletEnabled val="1"/>
        </dgm:presLayoutVars>
      </dgm:prSet>
      <dgm:spPr/>
    </dgm:pt>
    <dgm:pt modelId="{8C950B0D-EED4-4D16-B58D-9F52718A64A1}" type="pres">
      <dgm:prSet presAssocID="{7B5CB0C3-7295-45F3-A255-881271FDB329}" presName="spaceBetweenRectangles" presStyleCnt="0"/>
      <dgm:spPr/>
    </dgm:pt>
    <dgm:pt modelId="{3B8DED40-FB82-49AE-AA67-ECD4C4550468}" type="pres">
      <dgm:prSet presAssocID="{CB18B14F-AACF-4D74-9934-AD59403728F6}" presName="parentLin" presStyleCnt="0"/>
      <dgm:spPr/>
    </dgm:pt>
    <dgm:pt modelId="{21AE09F7-57C6-4B90-9C3E-9C7D33741FD8}" type="pres">
      <dgm:prSet presAssocID="{CB18B14F-AACF-4D74-9934-AD59403728F6}" presName="parentLeftMargin" presStyleLbl="node1" presStyleIdx="0" presStyleCnt="8"/>
      <dgm:spPr/>
    </dgm:pt>
    <dgm:pt modelId="{44E97CD2-ADD0-4147-9419-D331540E7D04}" type="pres">
      <dgm:prSet presAssocID="{CB18B14F-AACF-4D74-9934-AD59403728F6}" presName="parentText" presStyleLbl="node1" presStyleIdx="1" presStyleCnt="8">
        <dgm:presLayoutVars>
          <dgm:chMax val="0"/>
          <dgm:bulletEnabled val="1"/>
        </dgm:presLayoutVars>
      </dgm:prSet>
      <dgm:spPr/>
    </dgm:pt>
    <dgm:pt modelId="{57A6ACBB-E2D8-456D-8EAA-43E29B267968}" type="pres">
      <dgm:prSet presAssocID="{CB18B14F-AACF-4D74-9934-AD59403728F6}" presName="negativeSpace" presStyleCnt="0"/>
      <dgm:spPr/>
    </dgm:pt>
    <dgm:pt modelId="{18AE544A-EA77-41C3-BC47-17B2998E60A9}" type="pres">
      <dgm:prSet presAssocID="{CB18B14F-AACF-4D74-9934-AD59403728F6}" presName="childText" presStyleLbl="conFgAcc1" presStyleIdx="1" presStyleCnt="8">
        <dgm:presLayoutVars>
          <dgm:bulletEnabled val="1"/>
        </dgm:presLayoutVars>
      </dgm:prSet>
      <dgm:spPr/>
    </dgm:pt>
    <dgm:pt modelId="{20A8EBD4-D882-42A5-AF47-7E74289AD705}" type="pres">
      <dgm:prSet presAssocID="{361D45C5-18BE-4236-91A6-8570302342DC}" presName="spaceBetweenRectangles" presStyleCnt="0"/>
      <dgm:spPr/>
    </dgm:pt>
    <dgm:pt modelId="{02F1C47C-9DF5-4319-B091-BEF11E6DC03A}" type="pres">
      <dgm:prSet presAssocID="{E70DB903-383D-4840-AE52-3EF4E38F0EE5}" presName="parentLin" presStyleCnt="0"/>
      <dgm:spPr/>
    </dgm:pt>
    <dgm:pt modelId="{A91303EA-556C-4344-9AD9-32360C14CBB0}" type="pres">
      <dgm:prSet presAssocID="{E70DB903-383D-4840-AE52-3EF4E38F0EE5}" presName="parentLeftMargin" presStyleLbl="node1" presStyleIdx="1" presStyleCnt="8"/>
      <dgm:spPr/>
    </dgm:pt>
    <dgm:pt modelId="{4E49FFA1-0241-46AE-95BD-B284DB974BBA}" type="pres">
      <dgm:prSet presAssocID="{E70DB903-383D-4840-AE52-3EF4E38F0EE5}" presName="parentText" presStyleLbl="node1" presStyleIdx="2" presStyleCnt="8">
        <dgm:presLayoutVars>
          <dgm:chMax val="0"/>
          <dgm:bulletEnabled val="1"/>
        </dgm:presLayoutVars>
      </dgm:prSet>
      <dgm:spPr/>
    </dgm:pt>
    <dgm:pt modelId="{45D15F13-5B6B-4DFB-BFB3-CF453D33893B}" type="pres">
      <dgm:prSet presAssocID="{E70DB903-383D-4840-AE52-3EF4E38F0EE5}" presName="negativeSpace" presStyleCnt="0"/>
      <dgm:spPr/>
    </dgm:pt>
    <dgm:pt modelId="{836F61BE-0F6C-4366-8ECF-C8F844CD7084}" type="pres">
      <dgm:prSet presAssocID="{E70DB903-383D-4840-AE52-3EF4E38F0EE5}" presName="childText" presStyleLbl="conFgAcc1" presStyleIdx="2" presStyleCnt="8">
        <dgm:presLayoutVars>
          <dgm:bulletEnabled val="1"/>
        </dgm:presLayoutVars>
      </dgm:prSet>
      <dgm:spPr/>
    </dgm:pt>
    <dgm:pt modelId="{78092611-17A6-430D-AFD3-700CF9BDE1EB}" type="pres">
      <dgm:prSet presAssocID="{D84C4756-F40C-4B37-B4B4-42D4641624B3}" presName="spaceBetweenRectangles" presStyleCnt="0"/>
      <dgm:spPr/>
    </dgm:pt>
    <dgm:pt modelId="{8647794A-A0F2-4A50-98A0-317D8DE2B051}" type="pres">
      <dgm:prSet presAssocID="{7E681157-698D-4BE2-AEE9-A30E4A7832D9}" presName="parentLin" presStyleCnt="0"/>
      <dgm:spPr/>
    </dgm:pt>
    <dgm:pt modelId="{8E304A2F-B720-4571-864A-87BCE7D45045}" type="pres">
      <dgm:prSet presAssocID="{7E681157-698D-4BE2-AEE9-A30E4A7832D9}" presName="parentLeftMargin" presStyleLbl="node1" presStyleIdx="2" presStyleCnt="8"/>
      <dgm:spPr/>
    </dgm:pt>
    <dgm:pt modelId="{3AE0F098-03DD-416C-8B22-5A9F7D35D3D5}" type="pres">
      <dgm:prSet presAssocID="{7E681157-698D-4BE2-AEE9-A30E4A7832D9}" presName="parentText" presStyleLbl="node1" presStyleIdx="3" presStyleCnt="8">
        <dgm:presLayoutVars>
          <dgm:chMax val="0"/>
          <dgm:bulletEnabled val="1"/>
        </dgm:presLayoutVars>
      </dgm:prSet>
      <dgm:spPr/>
    </dgm:pt>
    <dgm:pt modelId="{DDAF3CD4-CDE8-47DF-A1DC-E21C94E03051}" type="pres">
      <dgm:prSet presAssocID="{7E681157-698D-4BE2-AEE9-A30E4A7832D9}" presName="negativeSpace" presStyleCnt="0"/>
      <dgm:spPr/>
    </dgm:pt>
    <dgm:pt modelId="{B69B30C9-5365-4E53-AB6B-D66B1CCFB2CA}" type="pres">
      <dgm:prSet presAssocID="{7E681157-698D-4BE2-AEE9-A30E4A7832D9}" presName="childText" presStyleLbl="conFgAcc1" presStyleIdx="3" presStyleCnt="8">
        <dgm:presLayoutVars>
          <dgm:bulletEnabled val="1"/>
        </dgm:presLayoutVars>
      </dgm:prSet>
      <dgm:spPr/>
    </dgm:pt>
    <dgm:pt modelId="{6A2D4825-0112-470E-A3DA-2E027D21076B}" type="pres">
      <dgm:prSet presAssocID="{859E7950-7A68-4B5B-B293-2EF5D80E5B52}" presName="spaceBetweenRectangles" presStyleCnt="0"/>
      <dgm:spPr/>
    </dgm:pt>
    <dgm:pt modelId="{2675BE4F-0BC7-439E-859B-C0A9EF76F0E0}" type="pres">
      <dgm:prSet presAssocID="{51DBEC15-9FFD-4E90-A0B5-5610D748563E}" presName="parentLin" presStyleCnt="0"/>
      <dgm:spPr/>
    </dgm:pt>
    <dgm:pt modelId="{DEE8A3AB-CB90-4FD7-AB85-AD23D043AC3B}" type="pres">
      <dgm:prSet presAssocID="{51DBEC15-9FFD-4E90-A0B5-5610D748563E}" presName="parentLeftMargin" presStyleLbl="node1" presStyleIdx="3" presStyleCnt="8"/>
      <dgm:spPr/>
    </dgm:pt>
    <dgm:pt modelId="{B00BCF7F-215F-4AE3-A19F-9390E6832FE0}" type="pres">
      <dgm:prSet presAssocID="{51DBEC15-9FFD-4E90-A0B5-5610D748563E}" presName="parentText" presStyleLbl="node1" presStyleIdx="4" presStyleCnt="8">
        <dgm:presLayoutVars>
          <dgm:chMax val="0"/>
          <dgm:bulletEnabled val="1"/>
        </dgm:presLayoutVars>
      </dgm:prSet>
      <dgm:spPr/>
    </dgm:pt>
    <dgm:pt modelId="{7205167F-4596-4E6E-9332-8B1BC49EA3BB}" type="pres">
      <dgm:prSet presAssocID="{51DBEC15-9FFD-4E90-A0B5-5610D748563E}" presName="negativeSpace" presStyleCnt="0"/>
      <dgm:spPr/>
    </dgm:pt>
    <dgm:pt modelId="{8AB5D73D-F29D-4D94-AE30-772E97F3E846}" type="pres">
      <dgm:prSet presAssocID="{51DBEC15-9FFD-4E90-A0B5-5610D748563E}" presName="childText" presStyleLbl="conFgAcc1" presStyleIdx="4" presStyleCnt="8">
        <dgm:presLayoutVars>
          <dgm:bulletEnabled val="1"/>
        </dgm:presLayoutVars>
      </dgm:prSet>
      <dgm:spPr/>
    </dgm:pt>
    <dgm:pt modelId="{6985C344-4921-4AC4-8224-AD371C4D7ED0}" type="pres">
      <dgm:prSet presAssocID="{8006A12B-A20B-487C-82B2-BF25AD4A9E33}" presName="spaceBetweenRectangles" presStyleCnt="0"/>
      <dgm:spPr/>
    </dgm:pt>
    <dgm:pt modelId="{767798AA-37AC-4C2E-A6BC-07B332AF39C0}" type="pres">
      <dgm:prSet presAssocID="{E895C70D-3E30-4F36-82DD-D6D67CB39446}" presName="parentLin" presStyleCnt="0"/>
      <dgm:spPr/>
    </dgm:pt>
    <dgm:pt modelId="{6808D33C-8149-4ACC-A59F-4660043DF9E8}" type="pres">
      <dgm:prSet presAssocID="{E895C70D-3E30-4F36-82DD-D6D67CB39446}" presName="parentLeftMargin" presStyleLbl="node1" presStyleIdx="4" presStyleCnt="8"/>
      <dgm:spPr/>
    </dgm:pt>
    <dgm:pt modelId="{DD158F3F-6BE5-46C1-9FF9-265C07137EDA}" type="pres">
      <dgm:prSet presAssocID="{E895C70D-3E30-4F36-82DD-D6D67CB39446}" presName="parentText" presStyleLbl="node1" presStyleIdx="5" presStyleCnt="8">
        <dgm:presLayoutVars>
          <dgm:chMax val="0"/>
          <dgm:bulletEnabled val="1"/>
        </dgm:presLayoutVars>
      </dgm:prSet>
      <dgm:spPr/>
    </dgm:pt>
    <dgm:pt modelId="{8BEFF014-E867-48DD-BE20-F38EB01EDB98}" type="pres">
      <dgm:prSet presAssocID="{E895C70D-3E30-4F36-82DD-D6D67CB39446}" presName="negativeSpace" presStyleCnt="0"/>
      <dgm:spPr/>
    </dgm:pt>
    <dgm:pt modelId="{7CFBCE0F-0D6F-4245-A2E4-8A777EB4AB1B}" type="pres">
      <dgm:prSet presAssocID="{E895C70D-3E30-4F36-82DD-D6D67CB39446}" presName="childText" presStyleLbl="conFgAcc1" presStyleIdx="5" presStyleCnt="8">
        <dgm:presLayoutVars>
          <dgm:bulletEnabled val="1"/>
        </dgm:presLayoutVars>
      </dgm:prSet>
      <dgm:spPr/>
    </dgm:pt>
    <dgm:pt modelId="{57AFBAE3-F4A7-4C9F-A4FE-3058E7C9DCE9}" type="pres">
      <dgm:prSet presAssocID="{629FD0A2-C09C-43B9-8E32-E393EC2997ED}" presName="spaceBetweenRectangles" presStyleCnt="0"/>
      <dgm:spPr/>
    </dgm:pt>
    <dgm:pt modelId="{1E96A47A-7768-4781-B941-FB57FF3B9CE8}" type="pres">
      <dgm:prSet presAssocID="{9EEADAC5-460C-4117-953A-E85CC1348C19}" presName="parentLin" presStyleCnt="0"/>
      <dgm:spPr/>
    </dgm:pt>
    <dgm:pt modelId="{B3103B53-9ABE-4B30-8525-0EA692C53056}" type="pres">
      <dgm:prSet presAssocID="{9EEADAC5-460C-4117-953A-E85CC1348C19}" presName="parentLeftMargin" presStyleLbl="node1" presStyleIdx="5" presStyleCnt="8"/>
      <dgm:spPr/>
    </dgm:pt>
    <dgm:pt modelId="{453F0C54-6A6E-4C79-A144-671BCB241BC2}" type="pres">
      <dgm:prSet presAssocID="{9EEADAC5-460C-4117-953A-E85CC1348C19}" presName="parentText" presStyleLbl="node1" presStyleIdx="6" presStyleCnt="8">
        <dgm:presLayoutVars>
          <dgm:chMax val="0"/>
          <dgm:bulletEnabled val="1"/>
        </dgm:presLayoutVars>
      </dgm:prSet>
      <dgm:spPr/>
    </dgm:pt>
    <dgm:pt modelId="{2FEDAA43-F4C2-4508-95DA-337E502670A2}" type="pres">
      <dgm:prSet presAssocID="{9EEADAC5-460C-4117-953A-E85CC1348C19}" presName="negativeSpace" presStyleCnt="0"/>
      <dgm:spPr/>
    </dgm:pt>
    <dgm:pt modelId="{52EE78AD-426F-4A89-A75E-967A9689812A}" type="pres">
      <dgm:prSet presAssocID="{9EEADAC5-460C-4117-953A-E85CC1348C19}" presName="childText" presStyleLbl="conFgAcc1" presStyleIdx="6" presStyleCnt="8">
        <dgm:presLayoutVars>
          <dgm:bulletEnabled val="1"/>
        </dgm:presLayoutVars>
      </dgm:prSet>
      <dgm:spPr/>
    </dgm:pt>
    <dgm:pt modelId="{118D6DD3-43C1-4F31-AB79-53DD10F32052}" type="pres">
      <dgm:prSet presAssocID="{E2497B1E-A1DA-4C44-8AC3-7FC654C8C7E4}" presName="spaceBetweenRectangles" presStyleCnt="0"/>
      <dgm:spPr/>
    </dgm:pt>
    <dgm:pt modelId="{494A2C90-4303-40E7-8E8F-C2D16218F01C}" type="pres">
      <dgm:prSet presAssocID="{A6EDA315-6F62-4FF5-B291-32D5ECE0F3AA}" presName="parentLin" presStyleCnt="0"/>
      <dgm:spPr/>
    </dgm:pt>
    <dgm:pt modelId="{287230BB-B96C-4600-AE6D-88B72CB2D98D}" type="pres">
      <dgm:prSet presAssocID="{A6EDA315-6F62-4FF5-B291-32D5ECE0F3AA}" presName="parentLeftMargin" presStyleLbl="node1" presStyleIdx="6" presStyleCnt="8"/>
      <dgm:spPr/>
    </dgm:pt>
    <dgm:pt modelId="{113A039E-7EC1-406D-BD50-2521E3604B87}" type="pres">
      <dgm:prSet presAssocID="{A6EDA315-6F62-4FF5-B291-32D5ECE0F3AA}" presName="parentText" presStyleLbl="node1" presStyleIdx="7" presStyleCnt="8">
        <dgm:presLayoutVars>
          <dgm:chMax val="0"/>
          <dgm:bulletEnabled val="1"/>
        </dgm:presLayoutVars>
      </dgm:prSet>
      <dgm:spPr/>
    </dgm:pt>
    <dgm:pt modelId="{4A3DD452-7933-48EB-8650-7B673DF21429}" type="pres">
      <dgm:prSet presAssocID="{A6EDA315-6F62-4FF5-B291-32D5ECE0F3AA}" presName="negativeSpace" presStyleCnt="0"/>
      <dgm:spPr/>
    </dgm:pt>
    <dgm:pt modelId="{1F508D57-41DA-4117-A97C-D2CA81EF1FA3}" type="pres">
      <dgm:prSet presAssocID="{A6EDA315-6F62-4FF5-B291-32D5ECE0F3AA}" presName="childText" presStyleLbl="conFgAcc1" presStyleIdx="7" presStyleCnt="8">
        <dgm:presLayoutVars>
          <dgm:bulletEnabled val="1"/>
        </dgm:presLayoutVars>
      </dgm:prSet>
      <dgm:spPr/>
    </dgm:pt>
  </dgm:ptLst>
  <dgm:cxnLst>
    <dgm:cxn modelId="{6C10261A-64F0-4740-9118-E05342890F18}" type="presOf" srcId="{9EEADAC5-460C-4117-953A-E85CC1348C19}" destId="{453F0C54-6A6E-4C79-A144-671BCB241BC2}" srcOrd="1" destOrd="0" presId="urn:microsoft.com/office/officeart/2005/8/layout/list1"/>
    <dgm:cxn modelId="{AF061426-C782-4ACA-8CE6-283A6E5EEC86}" type="presOf" srcId="{C112C6DE-3E6B-435C-8D35-DC346EFD7B43}" destId="{26C8BD5B-C88C-4B9A-98B0-D311B7F856E7}" srcOrd="0" destOrd="0" presId="urn:microsoft.com/office/officeart/2005/8/layout/list1"/>
    <dgm:cxn modelId="{610AFC27-505D-4A40-A93D-404BD9AD7600}" srcId="{C112C6DE-3E6B-435C-8D35-DC346EFD7B43}" destId="{7E681157-698D-4BE2-AEE9-A30E4A7832D9}" srcOrd="3" destOrd="0" parTransId="{0C4EF4AB-1D22-4140-94A0-5F24E5E1D8A5}" sibTransId="{859E7950-7A68-4B5B-B293-2EF5D80E5B52}"/>
    <dgm:cxn modelId="{C1E6452C-F4EB-4491-9D9E-495DC26C783E}" srcId="{E895C70D-3E30-4F36-82DD-D6D67CB39446}" destId="{150C3D33-41E9-4C18-A405-0367CAB3C893}" srcOrd="0" destOrd="0" parTransId="{E2EC7AE5-A61C-4F00-BCE4-769ED6ECE53E}" sibTransId="{B4DAAA6E-B21A-42A3-BEDD-C466FAA9F78E}"/>
    <dgm:cxn modelId="{E7E0B42D-3B62-4271-B199-98D6329C7505}" type="presOf" srcId="{D072714B-11B6-47E4-A36F-9F7C08D8BBF9}" destId="{6005EC49-EBF0-4C5D-9C61-0D4838C041B1}" srcOrd="1" destOrd="0" presId="urn:microsoft.com/office/officeart/2005/8/layout/list1"/>
    <dgm:cxn modelId="{735FB12F-11E8-4B02-8F45-8B3BB2FF3BAC}" type="presOf" srcId="{E895C70D-3E30-4F36-82DD-D6D67CB39446}" destId="{DD158F3F-6BE5-46C1-9FF9-265C07137EDA}" srcOrd="1" destOrd="0" presId="urn:microsoft.com/office/officeart/2005/8/layout/list1"/>
    <dgm:cxn modelId="{3AA7E031-5A34-48B5-A14D-582437594D24}" type="presOf" srcId="{D072714B-11B6-47E4-A36F-9F7C08D8BBF9}" destId="{F8A552EE-F199-4647-8A54-E1E7BAD58F3F}" srcOrd="0" destOrd="0" presId="urn:microsoft.com/office/officeart/2005/8/layout/list1"/>
    <dgm:cxn modelId="{EFD5BF35-402B-492F-A06C-7E3A24EE619D}" type="presOf" srcId="{CB18B14F-AACF-4D74-9934-AD59403728F6}" destId="{44E97CD2-ADD0-4147-9419-D331540E7D04}" srcOrd="1" destOrd="0" presId="urn:microsoft.com/office/officeart/2005/8/layout/list1"/>
    <dgm:cxn modelId="{632DE961-3041-48E2-859F-84DF64592E09}" type="presOf" srcId="{7E681157-698D-4BE2-AEE9-A30E4A7832D9}" destId="{3AE0F098-03DD-416C-8B22-5A9F7D35D3D5}" srcOrd="1" destOrd="0" presId="urn:microsoft.com/office/officeart/2005/8/layout/list1"/>
    <dgm:cxn modelId="{5AB09E6B-6EB8-42BA-89AF-338FBC96F26E}" type="presOf" srcId="{91116334-F15A-49F3-99CC-4B0F090DF331}" destId="{1F508D57-41DA-4117-A97C-D2CA81EF1FA3}" srcOrd="0" destOrd="0" presId="urn:microsoft.com/office/officeart/2005/8/layout/list1"/>
    <dgm:cxn modelId="{17A3CE4C-B638-4085-8B0E-571734199A25}" type="presOf" srcId="{0D7FFE2F-A246-4497-A4A7-6828DD038447}" destId="{52EE78AD-426F-4A89-A75E-967A9689812A}" srcOrd="0" destOrd="0" presId="urn:microsoft.com/office/officeart/2005/8/layout/list1"/>
    <dgm:cxn modelId="{1B37A74F-6339-4B43-B33D-A5AFFF296850}" type="presOf" srcId="{EF706F7A-6BEB-485E-AE7A-6EC1ECB4AD84}" destId="{8AB5D73D-F29D-4D94-AE30-772E97F3E846}" srcOrd="0" destOrd="0" presId="urn:microsoft.com/office/officeart/2005/8/layout/list1"/>
    <dgm:cxn modelId="{B4B2A054-7053-4748-9849-B20686A55284}" srcId="{A6EDA315-6F62-4FF5-B291-32D5ECE0F3AA}" destId="{91116334-F15A-49F3-99CC-4B0F090DF331}" srcOrd="0" destOrd="0" parTransId="{CB629245-0F52-442A-9F32-B790D6E846E4}" sibTransId="{1540258B-25FA-4A57-B08F-5A1D1B518DA0}"/>
    <dgm:cxn modelId="{18468456-58BC-4F6D-A7DE-9480F4B43120}" srcId="{7E681157-698D-4BE2-AEE9-A30E4A7832D9}" destId="{A2DE4AB1-9F40-42B9-80C8-BE5575572CBF}" srcOrd="0" destOrd="0" parTransId="{B9141D17-C16E-4059-89EF-2B191CF1A68E}" sibTransId="{6471D8D4-D6D7-40FD-A36E-48DDF141EBC0}"/>
    <dgm:cxn modelId="{0554DB7A-3A60-4833-8A8E-B95FA087E1D8}" type="presOf" srcId="{9389D328-C084-49F0-A177-87D2FFDC2ED7}" destId="{EDAB676C-B442-4B88-8414-0F92CEBE7365}" srcOrd="0" destOrd="0" presId="urn:microsoft.com/office/officeart/2005/8/layout/list1"/>
    <dgm:cxn modelId="{EAA3217F-950D-4E98-A1AF-EF2E4DB8B1B5}" type="presOf" srcId="{51DBEC15-9FFD-4E90-A0B5-5610D748563E}" destId="{B00BCF7F-215F-4AE3-A19F-9390E6832FE0}" srcOrd="1" destOrd="0" presId="urn:microsoft.com/office/officeart/2005/8/layout/list1"/>
    <dgm:cxn modelId="{CCC9AF80-A9D0-47FE-9ACF-2554DCAF1366}" srcId="{C112C6DE-3E6B-435C-8D35-DC346EFD7B43}" destId="{E70DB903-383D-4840-AE52-3EF4E38F0EE5}" srcOrd="2" destOrd="0" parTransId="{6C41849C-3DFD-4608-9007-8B9770F5E108}" sibTransId="{D84C4756-F40C-4B37-B4B4-42D4641624B3}"/>
    <dgm:cxn modelId="{49141F86-6B54-4E6B-8178-55A1171AD453}" srcId="{C112C6DE-3E6B-435C-8D35-DC346EFD7B43}" destId="{D072714B-11B6-47E4-A36F-9F7C08D8BBF9}" srcOrd="0" destOrd="0" parTransId="{4D6BD381-4EB8-4256-9F33-2774CBF838FE}" sibTransId="{7B5CB0C3-7295-45F3-A255-881271FDB329}"/>
    <dgm:cxn modelId="{CF3DE58A-F329-469F-8B5D-6FB0D9CC0251}" srcId="{C112C6DE-3E6B-435C-8D35-DC346EFD7B43}" destId="{E895C70D-3E30-4F36-82DD-D6D67CB39446}" srcOrd="5" destOrd="0" parTransId="{3D2A0463-DB71-40FF-9F04-8F91C497A483}" sibTransId="{629FD0A2-C09C-43B9-8E32-E393EC2997ED}"/>
    <dgm:cxn modelId="{9842839F-443B-4F1D-BC06-CB5BC5D071E9}" type="presOf" srcId="{E895C70D-3E30-4F36-82DD-D6D67CB39446}" destId="{6808D33C-8149-4ACC-A59F-4660043DF9E8}" srcOrd="0" destOrd="0" presId="urn:microsoft.com/office/officeart/2005/8/layout/list1"/>
    <dgm:cxn modelId="{532038A2-2453-491B-8302-C03C499F758B}" type="presOf" srcId="{CB18B14F-AACF-4D74-9934-AD59403728F6}" destId="{21AE09F7-57C6-4B90-9C3E-9C7D33741FD8}" srcOrd="0" destOrd="0" presId="urn:microsoft.com/office/officeart/2005/8/layout/list1"/>
    <dgm:cxn modelId="{ECBA34A5-EA68-468E-BCBD-080A4F94A93E}" type="presOf" srcId="{9EEADAC5-460C-4117-953A-E85CC1348C19}" destId="{B3103B53-9ABE-4B30-8525-0EA692C53056}" srcOrd="0" destOrd="0" presId="urn:microsoft.com/office/officeart/2005/8/layout/list1"/>
    <dgm:cxn modelId="{35CB88AA-E66D-4A0B-8EDA-8D59166C8217}" srcId="{CB18B14F-AACF-4D74-9934-AD59403728F6}" destId="{561835C2-3BCD-4F31-B4FF-A66B44C4481F}" srcOrd="0" destOrd="0" parTransId="{7C7D3B52-B049-47F2-A82E-84EE38514446}" sibTransId="{D1E8B329-D6D0-42DD-872D-C3869F9D45FA}"/>
    <dgm:cxn modelId="{B1878EAD-A389-4E4F-8B05-3F56FBFF7529}" srcId="{C112C6DE-3E6B-435C-8D35-DC346EFD7B43}" destId="{CB18B14F-AACF-4D74-9934-AD59403728F6}" srcOrd="1" destOrd="0" parTransId="{547EB0C3-53C1-45F9-A3CA-D1ED59727E64}" sibTransId="{361D45C5-18BE-4236-91A6-8570302342DC}"/>
    <dgm:cxn modelId="{0A66FDAD-F405-43B9-8128-B151268266AA}" srcId="{C112C6DE-3E6B-435C-8D35-DC346EFD7B43}" destId="{A6EDA315-6F62-4FF5-B291-32D5ECE0F3AA}" srcOrd="7" destOrd="0" parTransId="{318D5722-B5C9-499E-AB95-DBE7357169E6}" sibTransId="{525909F1-D478-4F2C-BCB2-A93F0B684BF8}"/>
    <dgm:cxn modelId="{C62B40B2-419F-4BDE-BF86-B78E3D77F706}" type="presOf" srcId="{561835C2-3BCD-4F31-B4FF-A66B44C4481F}" destId="{18AE544A-EA77-41C3-BC47-17B2998E60A9}" srcOrd="0" destOrd="0" presId="urn:microsoft.com/office/officeart/2005/8/layout/list1"/>
    <dgm:cxn modelId="{002A46B6-C692-403E-8844-05CD12D196C3}" type="presOf" srcId="{A6EDA315-6F62-4FF5-B291-32D5ECE0F3AA}" destId="{113A039E-7EC1-406D-BD50-2521E3604B87}" srcOrd="1" destOrd="0" presId="urn:microsoft.com/office/officeart/2005/8/layout/list1"/>
    <dgm:cxn modelId="{A878DAB8-302D-4632-B295-0B2BE59934BB}" type="presOf" srcId="{51DBEC15-9FFD-4E90-A0B5-5610D748563E}" destId="{DEE8A3AB-CB90-4FD7-AB85-AD23D043AC3B}" srcOrd="0" destOrd="0" presId="urn:microsoft.com/office/officeart/2005/8/layout/list1"/>
    <dgm:cxn modelId="{6B2CECB8-BDBA-4F9E-B608-62D56C2F5C86}" type="presOf" srcId="{150C3D33-41E9-4C18-A405-0367CAB3C893}" destId="{7CFBCE0F-0D6F-4245-A2E4-8A777EB4AB1B}" srcOrd="0" destOrd="0" presId="urn:microsoft.com/office/officeart/2005/8/layout/list1"/>
    <dgm:cxn modelId="{DB37B6C0-B10B-42DB-AD34-78788F09723B}" srcId="{51DBEC15-9FFD-4E90-A0B5-5610D748563E}" destId="{EF706F7A-6BEB-485E-AE7A-6EC1ECB4AD84}" srcOrd="0" destOrd="0" parTransId="{0FD59783-5BD5-4525-A015-5D50C95B3353}" sibTransId="{030B68DC-DC5B-4CFF-A8F9-3C795ACE15DB}"/>
    <dgm:cxn modelId="{D9ABEFCB-0E41-4501-BA76-C7A8C3966026}" type="presOf" srcId="{E70DB903-383D-4840-AE52-3EF4E38F0EE5}" destId="{A91303EA-556C-4344-9AD9-32360C14CBB0}" srcOrd="0" destOrd="0" presId="urn:microsoft.com/office/officeart/2005/8/layout/list1"/>
    <dgm:cxn modelId="{68156AD1-D59A-4F41-B018-F33B16CF1B6F}" srcId="{E70DB903-383D-4840-AE52-3EF4E38F0EE5}" destId="{9A5BB4E3-2BA5-4A0D-9F32-A8ACB6E4911F}" srcOrd="0" destOrd="0" parTransId="{753357EA-A78F-440A-AE1C-04563BF1DFD8}" sibTransId="{10B636D6-7BD1-4456-A786-43663C576696}"/>
    <dgm:cxn modelId="{BCFC1CDA-2612-467E-A530-88E8241EDB03}" type="presOf" srcId="{7E681157-698D-4BE2-AEE9-A30E4A7832D9}" destId="{8E304A2F-B720-4571-864A-87BCE7D45045}" srcOrd="0" destOrd="0" presId="urn:microsoft.com/office/officeart/2005/8/layout/list1"/>
    <dgm:cxn modelId="{EE02E8E4-2BBF-4EB1-9385-9996EC0057FD}" srcId="{C112C6DE-3E6B-435C-8D35-DC346EFD7B43}" destId="{9EEADAC5-460C-4117-953A-E85CC1348C19}" srcOrd="6" destOrd="0" parTransId="{DD43B86A-362D-498A-8554-8895BA1EF179}" sibTransId="{E2497B1E-A1DA-4C44-8AC3-7FC654C8C7E4}"/>
    <dgm:cxn modelId="{7EA53EEB-F5A6-4277-9B32-8A67EDC9749F}" srcId="{9EEADAC5-460C-4117-953A-E85CC1348C19}" destId="{0D7FFE2F-A246-4497-A4A7-6828DD038447}" srcOrd="0" destOrd="0" parTransId="{9AFAFC5D-2165-48E6-A73F-65C14830232C}" sibTransId="{5A409627-B0D6-4F3C-96D0-0ECAE2AB78F0}"/>
    <dgm:cxn modelId="{3E7110F0-069D-4CDC-BBE7-510C95915E66}" srcId="{C112C6DE-3E6B-435C-8D35-DC346EFD7B43}" destId="{51DBEC15-9FFD-4E90-A0B5-5610D748563E}" srcOrd="4" destOrd="0" parTransId="{2685137F-7395-4A6B-9E73-7D0947E1B904}" sibTransId="{8006A12B-A20B-487C-82B2-BF25AD4A9E33}"/>
    <dgm:cxn modelId="{1AB8B8F1-2DC2-49D0-9A5B-D2640C982D34}" type="presOf" srcId="{E70DB903-383D-4840-AE52-3EF4E38F0EE5}" destId="{4E49FFA1-0241-46AE-95BD-B284DB974BBA}" srcOrd="1" destOrd="0" presId="urn:microsoft.com/office/officeart/2005/8/layout/list1"/>
    <dgm:cxn modelId="{307D17F3-CDAB-4E46-9ED1-6509418FD859}" type="presOf" srcId="{A2DE4AB1-9F40-42B9-80C8-BE5575572CBF}" destId="{B69B30C9-5365-4E53-AB6B-D66B1CCFB2CA}" srcOrd="0" destOrd="0" presId="urn:microsoft.com/office/officeart/2005/8/layout/list1"/>
    <dgm:cxn modelId="{A0E5EDF8-63E8-4AE7-91BE-1911ACAB1DD0}" type="presOf" srcId="{A6EDA315-6F62-4FF5-B291-32D5ECE0F3AA}" destId="{287230BB-B96C-4600-AE6D-88B72CB2D98D}" srcOrd="0" destOrd="0" presId="urn:microsoft.com/office/officeart/2005/8/layout/list1"/>
    <dgm:cxn modelId="{5537EBFB-DC08-495F-9DEC-0F856C80FCE4}" type="presOf" srcId="{9A5BB4E3-2BA5-4A0D-9F32-A8ACB6E4911F}" destId="{836F61BE-0F6C-4366-8ECF-C8F844CD7084}" srcOrd="0" destOrd="0" presId="urn:microsoft.com/office/officeart/2005/8/layout/list1"/>
    <dgm:cxn modelId="{55E0FCFD-E3A5-41A2-8AD3-05C65120D43D}" srcId="{D072714B-11B6-47E4-A36F-9F7C08D8BBF9}" destId="{9389D328-C084-49F0-A177-87D2FFDC2ED7}" srcOrd="0" destOrd="0" parTransId="{AD1EA99A-6841-4CDB-9F96-A83567AC7AC7}" sibTransId="{16C7F115-3628-4E6D-92E9-B130123F12AD}"/>
    <dgm:cxn modelId="{D985023A-EA22-4837-BF9D-7696BEB84230}" type="presParOf" srcId="{26C8BD5B-C88C-4B9A-98B0-D311B7F856E7}" destId="{38F906F6-A22C-4EBD-9157-936C6310CAE6}" srcOrd="0" destOrd="0" presId="urn:microsoft.com/office/officeart/2005/8/layout/list1"/>
    <dgm:cxn modelId="{CD514157-22AF-4CB4-B9FB-F19EDE8480FE}" type="presParOf" srcId="{38F906F6-A22C-4EBD-9157-936C6310CAE6}" destId="{F8A552EE-F199-4647-8A54-E1E7BAD58F3F}" srcOrd="0" destOrd="0" presId="urn:microsoft.com/office/officeart/2005/8/layout/list1"/>
    <dgm:cxn modelId="{1F412739-F5F2-4968-9B6B-38A21D772838}" type="presParOf" srcId="{38F906F6-A22C-4EBD-9157-936C6310CAE6}" destId="{6005EC49-EBF0-4C5D-9C61-0D4838C041B1}" srcOrd="1" destOrd="0" presId="urn:microsoft.com/office/officeart/2005/8/layout/list1"/>
    <dgm:cxn modelId="{761C5638-D8E4-4BB2-9298-249D9B8E2711}" type="presParOf" srcId="{26C8BD5B-C88C-4B9A-98B0-D311B7F856E7}" destId="{B594823B-7F78-4DFC-A9D4-FBCEEC81024C}" srcOrd="1" destOrd="0" presId="urn:microsoft.com/office/officeart/2005/8/layout/list1"/>
    <dgm:cxn modelId="{F63F027F-2937-47BB-B98A-963C054A728C}" type="presParOf" srcId="{26C8BD5B-C88C-4B9A-98B0-D311B7F856E7}" destId="{EDAB676C-B442-4B88-8414-0F92CEBE7365}" srcOrd="2" destOrd="0" presId="urn:microsoft.com/office/officeart/2005/8/layout/list1"/>
    <dgm:cxn modelId="{C5E2E6A4-1720-486C-8B1F-F4043A8CA8B8}" type="presParOf" srcId="{26C8BD5B-C88C-4B9A-98B0-D311B7F856E7}" destId="{8C950B0D-EED4-4D16-B58D-9F52718A64A1}" srcOrd="3" destOrd="0" presId="urn:microsoft.com/office/officeart/2005/8/layout/list1"/>
    <dgm:cxn modelId="{09FDA876-40AF-4364-BA7D-1C783987585B}" type="presParOf" srcId="{26C8BD5B-C88C-4B9A-98B0-D311B7F856E7}" destId="{3B8DED40-FB82-49AE-AA67-ECD4C4550468}" srcOrd="4" destOrd="0" presId="urn:microsoft.com/office/officeart/2005/8/layout/list1"/>
    <dgm:cxn modelId="{E062320B-0F1F-46C3-B080-F8C1794C1A47}" type="presParOf" srcId="{3B8DED40-FB82-49AE-AA67-ECD4C4550468}" destId="{21AE09F7-57C6-4B90-9C3E-9C7D33741FD8}" srcOrd="0" destOrd="0" presId="urn:microsoft.com/office/officeart/2005/8/layout/list1"/>
    <dgm:cxn modelId="{EBE53D0B-628C-448C-94E0-6DA23A5904B3}" type="presParOf" srcId="{3B8DED40-FB82-49AE-AA67-ECD4C4550468}" destId="{44E97CD2-ADD0-4147-9419-D331540E7D04}" srcOrd="1" destOrd="0" presId="urn:microsoft.com/office/officeart/2005/8/layout/list1"/>
    <dgm:cxn modelId="{B79771F9-FC12-4588-97DC-92C960B1EF13}" type="presParOf" srcId="{26C8BD5B-C88C-4B9A-98B0-D311B7F856E7}" destId="{57A6ACBB-E2D8-456D-8EAA-43E29B267968}" srcOrd="5" destOrd="0" presId="urn:microsoft.com/office/officeart/2005/8/layout/list1"/>
    <dgm:cxn modelId="{78567472-7F40-42AE-95CA-752CE2C97833}" type="presParOf" srcId="{26C8BD5B-C88C-4B9A-98B0-D311B7F856E7}" destId="{18AE544A-EA77-41C3-BC47-17B2998E60A9}" srcOrd="6" destOrd="0" presId="urn:microsoft.com/office/officeart/2005/8/layout/list1"/>
    <dgm:cxn modelId="{7C7BE914-54F1-4E3E-A4B6-1AE0A3BC007D}" type="presParOf" srcId="{26C8BD5B-C88C-4B9A-98B0-D311B7F856E7}" destId="{20A8EBD4-D882-42A5-AF47-7E74289AD705}" srcOrd="7" destOrd="0" presId="urn:microsoft.com/office/officeart/2005/8/layout/list1"/>
    <dgm:cxn modelId="{5F2EA372-C50F-48FC-B723-F23CDE8CBAA1}" type="presParOf" srcId="{26C8BD5B-C88C-4B9A-98B0-D311B7F856E7}" destId="{02F1C47C-9DF5-4319-B091-BEF11E6DC03A}" srcOrd="8" destOrd="0" presId="urn:microsoft.com/office/officeart/2005/8/layout/list1"/>
    <dgm:cxn modelId="{4B9A6C86-DFCF-4C29-B387-12F86941DD4C}" type="presParOf" srcId="{02F1C47C-9DF5-4319-B091-BEF11E6DC03A}" destId="{A91303EA-556C-4344-9AD9-32360C14CBB0}" srcOrd="0" destOrd="0" presId="urn:microsoft.com/office/officeart/2005/8/layout/list1"/>
    <dgm:cxn modelId="{7FE636A3-A45E-4BF7-9736-32ADA1F58086}" type="presParOf" srcId="{02F1C47C-9DF5-4319-B091-BEF11E6DC03A}" destId="{4E49FFA1-0241-46AE-95BD-B284DB974BBA}" srcOrd="1" destOrd="0" presId="urn:microsoft.com/office/officeart/2005/8/layout/list1"/>
    <dgm:cxn modelId="{0031F25D-6A97-4D8F-AD0C-E38CD8CBD24D}" type="presParOf" srcId="{26C8BD5B-C88C-4B9A-98B0-D311B7F856E7}" destId="{45D15F13-5B6B-4DFB-BFB3-CF453D33893B}" srcOrd="9" destOrd="0" presId="urn:microsoft.com/office/officeart/2005/8/layout/list1"/>
    <dgm:cxn modelId="{5EE3B631-A531-490D-8C49-86A0CC35A2FA}" type="presParOf" srcId="{26C8BD5B-C88C-4B9A-98B0-D311B7F856E7}" destId="{836F61BE-0F6C-4366-8ECF-C8F844CD7084}" srcOrd="10" destOrd="0" presId="urn:microsoft.com/office/officeart/2005/8/layout/list1"/>
    <dgm:cxn modelId="{C37A09DC-8F41-43D8-9754-C811743942BF}" type="presParOf" srcId="{26C8BD5B-C88C-4B9A-98B0-D311B7F856E7}" destId="{78092611-17A6-430D-AFD3-700CF9BDE1EB}" srcOrd="11" destOrd="0" presId="urn:microsoft.com/office/officeart/2005/8/layout/list1"/>
    <dgm:cxn modelId="{5F3C4E16-F02D-4766-B488-C724AF8A494B}" type="presParOf" srcId="{26C8BD5B-C88C-4B9A-98B0-D311B7F856E7}" destId="{8647794A-A0F2-4A50-98A0-317D8DE2B051}" srcOrd="12" destOrd="0" presId="urn:microsoft.com/office/officeart/2005/8/layout/list1"/>
    <dgm:cxn modelId="{91EE9980-BBBC-48CD-AB7E-1ED68A62C0B9}" type="presParOf" srcId="{8647794A-A0F2-4A50-98A0-317D8DE2B051}" destId="{8E304A2F-B720-4571-864A-87BCE7D45045}" srcOrd="0" destOrd="0" presId="urn:microsoft.com/office/officeart/2005/8/layout/list1"/>
    <dgm:cxn modelId="{E795083C-520E-4845-A074-07171FF90F06}" type="presParOf" srcId="{8647794A-A0F2-4A50-98A0-317D8DE2B051}" destId="{3AE0F098-03DD-416C-8B22-5A9F7D35D3D5}" srcOrd="1" destOrd="0" presId="urn:microsoft.com/office/officeart/2005/8/layout/list1"/>
    <dgm:cxn modelId="{3F70F58B-693A-436D-B7E7-4861A3885F99}" type="presParOf" srcId="{26C8BD5B-C88C-4B9A-98B0-D311B7F856E7}" destId="{DDAF3CD4-CDE8-47DF-A1DC-E21C94E03051}" srcOrd="13" destOrd="0" presId="urn:microsoft.com/office/officeart/2005/8/layout/list1"/>
    <dgm:cxn modelId="{99C44182-F766-4CA0-B93E-A58B8B9BB100}" type="presParOf" srcId="{26C8BD5B-C88C-4B9A-98B0-D311B7F856E7}" destId="{B69B30C9-5365-4E53-AB6B-D66B1CCFB2CA}" srcOrd="14" destOrd="0" presId="urn:microsoft.com/office/officeart/2005/8/layout/list1"/>
    <dgm:cxn modelId="{9D793E7E-6E81-4440-B279-C883DD92A868}" type="presParOf" srcId="{26C8BD5B-C88C-4B9A-98B0-D311B7F856E7}" destId="{6A2D4825-0112-470E-A3DA-2E027D21076B}" srcOrd="15" destOrd="0" presId="urn:microsoft.com/office/officeart/2005/8/layout/list1"/>
    <dgm:cxn modelId="{6F1F2D71-7C78-4C03-B5BC-6C72C230067F}" type="presParOf" srcId="{26C8BD5B-C88C-4B9A-98B0-D311B7F856E7}" destId="{2675BE4F-0BC7-439E-859B-C0A9EF76F0E0}" srcOrd="16" destOrd="0" presId="urn:microsoft.com/office/officeart/2005/8/layout/list1"/>
    <dgm:cxn modelId="{0F4AE319-0E35-4BDD-9418-7DB5284551D3}" type="presParOf" srcId="{2675BE4F-0BC7-439E-859B-C0A9EF76F0E0}" destId="{DEE8A3AB-CB90-4FD7-AB85-AD23D043AC3B}" srcOrd="0" destOrd="0" presId="urn:microsoft.com/office/officeart/2005/8/layout/list1"/>
    <dgm:cxn modelId="{47EB53E8-229A-40F2-8C53-32732BBE6AE7}" type="presParOf" srcId="{2675BE4F-0BC7-439E-859B-C0A9EF76F0E0}" destId="{B00BCF7F-215F-4AE3-A19F-9390E6832FE0}" srcOrd="1" destOrd="0" presId="urn:microsoft.com/office/officeart/2005/8/layout/list1"/>
    <dgm:cxn modelId="{EC4E8292-1CED-41D6-A48B-9D1A191E4E18}" type="presParOf" srcId="{26C8BD5B-C88C-4B9A-98B0-D311B7F856E7}" destId="{7205167F-4596-4E6E-9332-8B1BC49EA3BB}" srcOrd="17" destOrd="0" presId="urn:microsoft.com/office/officeart/2005/8/layout/list1"/>
    <dgm:cxn modelId="{2053AC5D-622A-41E0-AE64-A095B75ACD7E}" type="presParOf" srcId="{26C8BD5B-C88C-4B9A-98B0-D311B7F856E7}" destId="{8AB5D73D-F29D-4D94-AE30-772E97F3E846}" srcOrd="18" destOrd="0" presId="urn:microsoft.com/office/officeart/2005/8/layout/list1"/>
    <dgm:cxn modelId="{70A405FE-D894-4632-A60D-11AEF5ED3D50}" type="presParOf" srcId="{26C8BD5B-C88C-4B9A-98B0-D311B7F856E7}" destId="{6985C344-4921-4AC4-8224-AD371C4D7ED0}" srcOrd="19" destOrd="0" presId="urn:microsoft.com/office/officeart/2005/8/layout/list1"/>
    <dgm:cxn modelId="{6E93C157-E1ED-49C9-9B0C-9363A0D23A6E}" type="presParOf" srcId="{26C8BD5B-C88C-4B9A-98B0-D311B7F856E7}" destId="{767798AA-37AC-4C2E-A6BC-07B332AF39C0}" srcOrd="20" destOrd="0" presId="urn:microsoft.com/office/officeart/2005/8/layout/list1"/>
    <dgm:cxn modelId="{1DFD93CE-5FA0-4F60-A52C-8250CEEBDD3D}" type="presParOf" srcId="{767798AA-37AC-4C2E-A6BC-07B332AF39C0}" destId="{6808D33C-8149-4ACC-A59F-4660043DF9E8}" srcOrd="0" destOrd="0" presId="urn:microsoft.com/office/officeart/2005/8/layout/list1"/>
    <dgm:cxn modelId="{7971D8B2-05FA-48BD-B81B-3A4DB6E5077F}" type="presParOf" srcId="{767798AA-37AC-4C2E-A6BC-07B332AF39C0}" destId="{DD158F3F-6BE5-46C1-9FF9-265C07137EDA}" srcOrd="1" destOrd="0" presId="urn:microsoft.com/office/officeart/2005/8/layout/list1"/>
    <dgm:cxn modelId="{58F7F42E-012D-490B-9B7F-8E3F93A17474}" type="presParOf" srcId="{26C8BD5B-C88C-4B9A-98B0-D311B7F856E7}" destId="{8BEFF014-E867-48DD-BE20-F38EB01EDB98}" srcOrd="21" destOrd="0" presId="urn:microsoft.com/office/officeart/2005/8/layout/list1"/>
    <dgm:cxn modelId="{389825BC-F104-4526-9D24-DCC9BD5EE4BB}" type="presParOf" srcId="{26C8BD5B-C88C-4B9A-98B0-D311B7F856E7}" destId="{7CFBCE0F-0D6F-4245-A2E4-8A777EB4AB1B}" srcOrd="22" destOrd="0" presId="urn:microsoft.com/office/officeart/2005/8/layout/list1"/>
    <dgm:cxn modelId="{2AC1C892-39A6-48ED-B21D-021C14A10A70}" type="presParOf" srcId="{26C8BD5B-C88C-4B9A-98B0-D311B7F856E7}" destId="{57AFBAE3-F4A7-4C9F-A4FE-3058E7C9DCE9}" srcOrd="23" destOrd="0" presId="urn:microsoft.com/office/officeart/2005/8/layout/list1"/>
    <dgm:cxn modelId="{B7F9F42F-183E-42D3-952C-38EA49C811A2}" type="presParOf" srcId="{26C8BD5B-C88C-4B9A-98B0-D311B7F856E7}" destId="{1E96A47A-7768-4781-B941-FB57FF3B9CE8}" srcOrd="24" destOrd="0" presId="urn:microsoft.com/office/officeart/2005/8/layout/list1"/>
    <dgm:cxn modelId="{0FE13B9A-B8DC-4589-B92D-7F56EEF7D55F}" type="presParOf" srcId="{1E96A47A-7768-4781-B941-FB57FF3B9CE8}" destId="{B3103B53-9ABE-4B30-8525-0EA692C53056}" srcOrd="0" destOrd="0" presId="urn:microsoft.com/office/officeart/2005/8/layout/list1"/>
    <dgm:cxn modelId="{DEAC8091-D23C-4DD4-BE13-F124777C3DE4}" type="presParOf" srcId="{1E96A47A-7768-4781-B941-FB57FF3B9CE8}" destId="{453F0C54-6A6E-4C79-A144-671BCB241BC2}" srcOrd="1" destOrd="0" presId="urn:microsoft.com/office/officeart/2005/8/layout/list1"/>
    <dgm:cxn modelId="{3E18497F-AD75-47D4-ADFE-B2AA109E6A0F}" type="presParOf" srcId="{26C8BD5B-C88C-4B9A-98B0-D311B7F856E7}" destId="{2FEDAA43-F4C2-4508-95DA-337E502670A2}" srcOrd="25" destOrd="0" presId="urn:microsoft.com/office/officeart/2005/8/layout/list1"/>
    <dgm:cxn modelId="{4EC0566E-5E95-4868-B4AE-7BC404A3DF57}" type="presParOf" srcId="{26C8BD5B-C88C-4B9A-98B0-D311B7F856E7}" destId="{52EE78AD-426F-4A89-A75E-967A9689812A}" srcOrd="26" destOrd="0" presId="urn:microsoft.com/office/officeart/2005/8/layout/list1"/>
    <dgm:cxn modelId="{170FB110-7EDE-4182-989A-C8C2A5A62AE1}" type="presParOf" srcId="{26C8BD5B-C88C-4B9A-98B0-D311B7F856E7}" destId="{118D6DD3-43C1-4F31-AB79-53DD10F32052}" srcOrd="27" destOrd="0" presId="urn:microsoft.com/office/officeart/2005/8/layout/list1"/>
    <dgm:cxn modelId="{912430A7-ACD6-4AFA-8F01-4E64F1DCD7D9}" type="presParOf" srcId="{26C8BD5B-C88C-4B9A-98B0-D311B7F856E7}" destId="{494A2C90-4303-40E7-8E8F-C2D16218F01C}" srcOrd="28" destOrd="0" presId="urn:microsoft.com/office/officeart/2005/8/layout/list1"/>
    <dgm:cxn modelId="{3FB2B099-E63D-4B52-A340-B637423234DE}" type="presParOf" srcId="{494A2C90-4303-40E7-8E8F-C2D16218F01C}" destId="{287230BB-B96C-4600-AE6D-88B72CB2D98D}" srcOrd="0" destOrd="0" presId="urn:microsoft.com/office/officeart/2005/8/layout/list1"/>
    <dgm:cxn modelId="{CD21D019-15BD-4E58-88CA-034FCE3FF585}" type="presParOf" srcId="{494A2C90-4303-40E7-8E8F-C2D16218F01C}" destId="{113A039E-7EC1-406D-BD50-2521E3604B87}" srcOrd="1" destOrd="0" presId="urn:microsoft.com/office/officeart/2005/8/layout/list1"/>
    <dgm:cxn modelId="{5C3B35E7-E577-441B-8C0F-AC4D0C9510AB}" type="presParOf" srcId="{26C8BD5B-C88C-4B9A-98B0-D311B7F856E7}" destId="{4A3DD452-7933-48EB-8650-7B673DF21429}" srcOrd="29" destOrd="0" presId="urn:microsoft.com/office/officeart/2005/8/layout/list1"/>
    <dgm:cxn modelId="{A8CAC29E-CA24-4C29-A135-DAE98A90D404}" type="presParOf" srcId="{26C8BD5B-C88C-4B9A-98B0-D311B7F856E7}" destId="{1F508D57-41DA-4117-A97C-D2CA81EF1FA3}" srcOrd="30" destOrd="0" presId="urn:microsoft.com/office/officeart/2005/8/layout/list1"/>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E007EBB0-770A-4FB2-B24F-98E8808D4F9C}" type="doc">
      <dgm:prSet loTypeId="urn:diagrams.loki3.com/BracketList" loCatId="list" qsTypeId="urn:microsoft.com/office/officeart/2005/8/quickstyle/simple1" qsCatId="simple" csTypeId="urn:microsoft.com/office/officeart/2005/8/colors/colorful2" csCatId="colorful" phldr="1"/>
      <dgm:spPr/>
      <dgm:t>
        <a:bodyPr/>
        <a:lstStyle/>
        <a:p>
          <a:endParaRPr lang="en-US"/>
        </a:p>
      </dgm:t>
    </dgm:pt>
    <dgm:pt modelId="{D72F3C63-7248-469C-8D55-EEBC006B66C8}">
      <dgm:prSet phldrT="[Text]"/>
      <dgm:spPr/>
      <dgm:t>
        <a:bodyPr/>
        <a:lstStyle/>
        <a:p>
          <a:pPr algn="ctr">
            <a:buNone/>
          </a:pPr>
          <a:r>
            <a:rPr lang="en-US">
              <a:latin typeface="Times New Roman" panose="02020603050405020304" pitchFamily="18" charset="0"/>
              <a:cs typeface="Times New Roman" panose="02020603050405020304" pitchFamily="18" charset="0"/>
            </a:rPr>
            <a:t>Market displacement – OEM acceleration</a:t>
          </a:r>
        </a:p>
      </dgm:t>
    </dgm:pt>
    <dgm:pt modelId="{5B6A4D4C-B7F2-42D0-947B-334859588583}" type="parTrans" cxnId="{DA84BC4D-4BFF-4610-91C3-CF511B556A7A}">
      <dgm:prSet/>
      <dgm:spPr/>
      <dgm:t>
        <a:bodyPr/>
        <a:lstStyle/>
        <a:p>
          <a:endParaRPr lang="en-US"/>
        </a:p>
      </dgm:t>
    </dgm:pt>
    <dgm:pt modelId="{DBCE6CA6-C5A0-41AC-AF1B-F3580F9FBF62}" type="sibTrans" cxnId="{DA84BC4D-4BFF-4610-91C3-CF511B556A7A}">
      <dgm:prSet/>
      <dgm:spPr/>
      <dgm:t>
        <a:bodyPr/>
        <a:lstStyle/>
        <a:p>
          <a:endParaRPr lang="en-US"/>
        </a:p>
      </dgm:t>
    </dgm:pt>
    <dgm:pt modelId="{6562E35E-F67F-4B37-9942-0703EF5876F2}">
      <dgm:prSet/>
      <dgm:spPr/>
      <dgm:t>
        <a:bodyPr/>
        <a:lstStyle/>
        <a:p>
          <a:pPr algn="ctr">
            <a:buNone/>
          </a:pPr>
          <a:r>
            <a:rPr lang="en-US">
              <a:latin typeface="Times New Roman" panose="02020603050405020304" pitchFamily="18" charset="0"/>
              <a:cs typeface="Times New Roman" panose="02020603050405020304" pitchFamily="18" charset="0"/>
            </a:rPr>
            <a:t>Timeline compression</a:t>
          </a:r>
        </a:p>
      </dgm:t>
    </dgm:pt>
    <dgm:pt modelId="{EFD59E48-CA28-4E2D-A044-6BD913538A8F}" type="parTrans" cxnId="{E45C2E81-D082-4440-8A8F-D4AF25678F93}">
      <dgm:prSet/>
      <dgm:spPr/>
      <dgm:t>
        <a:bodyPr/>
        <a:lstStyle/>
        <a:p>
          <a:endParaRPr lang="en-US"/>
        </a:p>
      </dgm:t>
    </dgm:pt>
    <dgm:pt modelId="{BF0FDFD6-6E9D-4C25-A795-5FE4E6B27B8C}" type="sibTrans" cxnId="{E45C2E81-D082-4440-8A8F-D4AF25678F93}">
      <dgm:prSet/>
      <dgm:spPr/>
      <dgm:t>
        <a:bodyPr/>
        <a:lstStyle/>
        <a:p>
          <a:endParaRPr lang="en-US"/>
        </a:p>
      </dgm:t>
    </dgm:pt>
    <dgm:pt modelId="{456CD7DD-13CD-4B3A-A849-93C7DF906459}">
      <dgm:prSet/>
      <dgm:spPr/>
      <dgm:t>
        <a:bodyPr/>
        <a:lstStyle/>
        <a:p>
          <a:pPr algn="ctr">
            <a:buNone/>
          </a:pPr>
          <a:r>
            <a:rPr lang="en-US">
              <a:latin typeface="Times New Roman" panose="02020603050405020304" pitchFamily="18" charset="0"/>
              <a:cs typeface="Times New Roman" panose="02020603050405020304" pitchFamily="18" charset="0"/>
            </a:rPr>
            <a:t>Cultural resistance – Metric non-adoption</a:t>
          </a:r>
        </a:p>
      </dgm:t>
    </dgm:pt>
    <dgm:pt modelId="{E4EC47B1-2DB0-49D8-A82B-D38C4B98A472}" type="parTrans" cxnId="{0F540561-F757-41C1-86B8-A740D282E9FB}">
      <dgm:prSet/>
      <dgm:spPr/>
      <dgm:t>
        <a:bodyPr/>
        <a:lstStyle/>
        <a:p>
          <a:endParaRPr lang="en-US"/>
        </a:p>
      </dgm:t>
    </dgm:pt>
    <dgm:pt modelId="{D0447112-35CD-47A3-96BB-B0819FF14359}" type="sibTrans" cxnId="{0F540561-F757-41C1-86B8-A740D282E9FB}">
      <dgm:prSet/>
      <dgm:spPr/>
      <dgm:t>
        <a:bodyPr/>
        <a:lstStyle/>
        <a:p>
          <a:endParaRPr lang="en-US"/>
        </a:p>
      </dgm:t>
    </dgm:pt>
    <dgm:pt modelId="{22993F3C-1ECF-457C-8FDC-B13CA7CDBBD4}">
      <dgm:prSet/>
      <dgm:spPr/>
      <dgm:t>
        <a:bodyPr/>
        <a:lstStyle/>
        <a:p>
          <a:pPr algn="ctr">
            <a:buNone/>
          </a:pPr>
          <a:r>
            <a:rPr lang="en-US">
              <a:latin typeface="Times New Roman" panose="02020603050405020304" pitchFamily="18" charset="0"/>
              <a:cs typeface="Times New Roman" panose="02020603050405020304" pitchFamily="18" charset="0"/>
            </a:rPr>
            <a:t>Incentive redesign</a:t>
          </a:r>
        </a:p>
      </dgm:t>
    </dgm:pt>
    <dgm:pt modelId="{9150EB9E-AF81-4F0C-9E3F-529BCA0920B1}" type="parTrans" cxnId="{3E0E9024-D415-4AA6-A2E9-6DFA76532B04}">
      <dgm:prSet/>
      <dgm:spPr/>
      <dgm:t>
        <a:bodyPr/>
        <a:lstStyle/>
        <a:p>
          <a:endParaRPr lang="en-US"/>
        </a:p>
      </dgm:t>
    </dgm:pt>
    <dgm:pt modelId="{303CBD26-AD82-47CF-84B3-AFC1F0663E43}" type="sibTrans" cxnId="{3E0E9024-D415-4AA6-A2E9-6DFA76532B04}">
      <dgm:prSet/>
      <dgm:spPr/>
      <dgm:t>
        <a:bodyPr/>
        <a:lstStyle/>
        <a:p>
          <a:endParaRPr lang="en-US"/>
        </a:p>
      </dgm:t>
    </dgm:pt>
    <dgm:pt modelId="{F0986357-920A-4DA6-92CF-51DA275E50D7}">
      <dgm:prSet/>
      <dgm:spPr/>
      <dgm:t>
        <a:bodyPr/>
        <a:lstStyle/>
        <a:p>
          <a:pPr algn="ctr">
            <a:buNone/>
          </a:pPr>
          <a:r>
            <a:rPr lang="en-US">
              <a:latin typeface="Times New Roman" panose="02020603050405020304" pitchFamily="18" charset="0"/>
              <a:cs typeface="Times New Roman" panose="02020603050405020304" pitchFamily="18" charset="0"/>
            </a:rPr>
            <a:t>Margin stagnation – CLV/CAC divergence</a:t>
          </a:r>
        </a:p>
      </dgm:t>
    </dgm:pt>
    <dgm:pt modelId="{2214F2C8-7686-42B6-8F79-64E6088625AF}" type="parTrans" cxnId="{4372B063-9FB2-4387-9865-0A06424F393A}">
      <dgm:prSet/>
      <dgm:spPr/>
      <dgm:t>
        <a:bodyPr/>
        <a:lstStyle/>
        <a:p>
          <a:endParaRPr lang="en-US"/>
        </a:p>
      </dgm:t>
    </dgm:pt>
    <dgm:pt modelId="{F4A871E9-A571-4641-910C-9157EFCB0EC8}" type="sibTrans" cxnId="{4372B063-9FB2-4387-9865-0A06424F393A}">
      <dgm:prSet/>
      <dgm:spPr/>
      <dgm:t>
        <a:bodyPr/>
        <a:lstStyle/>
        <a:p>
          <a:endParaRPr lang="en-US"/>
        </a:p>
      </dgm:t>
    </dgm:pt>
    <dgm:pt modelId="{984B66F4-77C7-486F-916E-458F1E8C7040}">
      <dgm:prSet/>
      <dgm:spPr/>
      <dgm:t>
        <a:bodyPr/>
        <a:lstStyle/>
        <a:p>
          <a:pPr algn="ctr">
            <a:buNone/>
          </a:pPr>
          <a:r>
            <a:rPr lang="en-US">
              <a:latin typeface="Times New Roman" panose="02020603050405020304" pitchFamily="18" charset="0"/>
              <a:cs typeface="Times New Roman" panose="02020603050405020304" pitchFamily="18" charset="0"/>
            </a:rPr>
            <a:t>Portfolio reallocation</a:t>
          </a:r>
        </a:p>
      </dgm:t>
    </dgm:pt>
    <dgm:pt modelId="{D7843B29-F2CB-460D-8D87-59D115547FE6}" type="parTrans" cxnId="{1147B598-82FB-4762-B200-B3A26FC8F20B}">
      <dgm:prSet/>
      <dgm:spPr/>
      <dgm:t>
        <a:bodyPr/>
        <a:lstStyle/>
        <a:p>
          <a:endParaRPr lang="en-US"/>
        </a:p>
      </dgm:t>
    </dgm:pt>
    <dgm:pt modelId="{9D4C488D-C055-449C-B1F3-3160B7F05C7E}" type="sibTrans" cxnId="{1147B598-82FB-4762-B200-B3A26FC8F20B}">
      <dgm:prSet/>
      <dgm:spPr/>
      <dgm:t>
        <a:bodyPr/>
        <a:lstStyle/>
        <a:p>
          <a:endParaRPr lang="en-US"/>
        </a:p>
      </dgm:t>
    </dgm:pt>
    <dgm:pt modelId="{237EFF6C-17D1-411D-9783-22A486BE7325}">
      <dgm:prSet/>
      <dgm:spPr/>
      <dgm:t>
        <a:bodyPr/>
        <a:lstStyle/>
        <a:p>
          <a:pPr algn="ctr">
            <a:buNone/>
          </a:pPr>
          <a:r>
            <a:rPr lang="en-US">
              <a:latin typeface="Times New Roman" panose="02020603050405020304" pitchFamily="18" charset="0"/>
              <a:cs typeface="Times New Roman" panose="02020603050405020304" pitchFamily="18" charset="0"/>
            </a:rPr>
            <a:t>Capital drag – ROI underperformance</a:t>
          </a:r>
        </a:p>
      </dgm:t>
    </dgm:pt>
    <dgm:pt modelId="{9354E55F-FE9E-4980-8C32-F5E19A7F7E4C}" type="parTrans" cxnId="{6769F135-53D6-4FE6-9EED-C1A8AA85B080}">
      <dgm:prSet/>
      <dgm:spPr/>
      <dgm:t>
        <a:bodyPr/>
        <a:lstStyle/>
        <a:p>
          <a:endParaRPr lang="en-US"/>
        </a:p>
      </dgm:t>
    </dgm:pt>
    <dgm:pt modelId="{D405BCB9-D0D6-4E75-BE83-E8B18135E367}" type="sibTrans" cxnId="{6769F135-53D6-4FE6-9EED-C1A8AA85B080}">
      <dgm:prSet/>
      <dgm:spPr/>
      <dgm:t>
        <a:bodyPr/>
        <a:lstStyle/>
        <a:p>
          <a:endParaRPr lang="en-US"/>
        </a:p>
      </dgm:t>
    </dgm:pt>
    <dgm:pt modelId="{58319D2A-790F-4A07-B60D-598915ABE18B}">
      <dgm:prSet/>
      <dgm:spPr/>
      <dgm:t>
        <a:bodyPr/>
        <a:lstStyle/>
        <a:p>
          <a:pPr algn="ctr">
            <a:buNone/>
          </a:pPr>
          <a:r>
            <a:rPr lang="en-US">
              <a:latin typeface="Times New Roman" panose="02020603050405020304" pitchFamily="18" charset="0"/>
              <a:cs typeface="Times New Roman" panose="02020603050405020304" pitchFamily="18" charset="0"/>
            </a:rPr>
            <a:t>Spend re-sequencing</a:t>
          </a:r>
        </a:p>
      </dgm:t>
    </dgm:pt>
    <dgm:pt modelId="{454F5380-89C6-4A23-8184-7DE41F4F4D82}" type="parTrans" cxnId="{CB19A89E-7ABA-4A95-825B-03B00EEB5E63}">
      <dgm:prSet/>
      <dgm:spPr/>
      <dgm:t>
        <a:bodyPr/>
        <a:lstStyle/>
        <a:p>
          <a:endParaRPr lang="en-US"/>
        </a:p>
      </dgm:t>
    </dgm:pt>
    <dgm:pt modelId="{21E319BC-BA3A-4DA3-95F8-F70A98C5E294}" type="sibTrans" cxnId="{CB19A89E-7ABA-4A95-825B-03B00EEB5E63}">
      <dgm:prSet/>
      <dgm:spPr/>
      <dgm:t>
        <a:bodyPr/>
        <a:lstStyle/>
        <a:p>
          <a:endParaRPr lang="en-US"/>
        </a:p>
      </dgm:t>
    </dgm:pt>
    <dgm:pt modelId="{F8CF4B78-7A76-4F0C-94AA-1098DB779AA6}" type="pres">
      <dgm:prSet presAssocID="{E007EBB0-770A-4FB2-B24F-98E8808D4F9C}" presName="Name0" presStyleCnt="0">
        <dgm:presLayoutVars>
          <dgm:dir/>
          <dgm:animLvl val="lvl"/>
          <dgm:resizeHandles val="exact"/>
        </dgm:presLayoutVars>
      </dgm:prSet>
      <dgm:spPr/>
    </dgm:pt>
    <dgm:pt modelId="{1E97145C-0DD8-4E95-A5F7-70D62F67FABE}" type="pres">
      <dgm:prSet presAssocID="{D72F3C63-7248-469C-8D55-EEBC006B66C8}" presName="linNode" presStyleCnt="0"/>
      <dgm:spPr/>
    </dgm:pt>
    <dgm:pt modelId="{479C86DD-66D0-421E-B02E-5CC8ACE34DF5}" type="pres">
      <dgm:prSet presAssocID="{D72F3C63-7248-469C-8D55-EEBC006B66C8}" presName="parTx" presStyleLbl="revTx" presStyleIdx="0" presStyleCnt="4">
        <dgm:presLayoutVars>
          <dgm:chMax val="1"/>
          <dgm:bulletEnabled val="1"/>
        </dgm:presLayoutVars>
      </dgm:prSet>
      <dgm:spPr/>
    </dgm:pt>
    <dgm:pt modelId="{08D4C154-2A31-4487-950D-D88133DD1F5E}" type="pres">
      <dgm:prSet presAssocID="{D72F3C63-7248-469C-8D55-EEBC006B66C8}" presName="bracket" presStyleLbl="parChTrans1D1" presStyleIdx="0" presStyleCnt="4"/>
      <dgm:spPr/>
    </dgm:pt>
    <dgm:pt modelId="{757CD10F-8A7B-4637-A6F4-B63396DD1710}" type="pres">
      <dgm:prSet presAssocID="{D72F3C63-7248-469C-8D55-EEBC006B66C8}" presName="spH" presStyleCnt="0"/>
      <dgm:spPr/>
    </dgm:pt>
    <dgm:pt modelId="{0892F264-1AD5-4482-BD1A-06E4AEF3FEDC}" type="pres">
      <dgm:prSet presAssocID="{D72F3C63-7248-469C-8D55-EEBC006B66C8}" presName="desTx" presStyleLbl="node1" presStyleIdx="0" presStyleCnt="4">
        <dgm:presLayoutVars>
          <dgm:bulletEnabled val="1"/>
        </dgm:presLayoutVars>
      </dgm:prSet>
      <dgm:spPr/>
    </dgm:pt>
    <dgm:pt modelId="{28AA5312-B82F-4CBE-9757-A06BFEE2B1B7}" type="pres">
      <dgm:prSet presAssocID="{DBCE6CA6-C5A0-41AC-AF1B-F3580F9FBF62}" presName="spV" presStyleCnt="0"/>
      <dgm:spPr/>
    </dgm:pt>
    <dgm:pt modelId="{EAB7C693-8B11-4416-9A4B-74BA576379A5}" type="pres">
      <dgm:prSet presAssocID="{456CD7DD-13CD-4B3A-A849-93C7DF906459}" presName="linNode" presStyleCnt="0"/>
      <dgm:spPr/>
    </dgm:pt>
    <dgm:pt modelId="{C5BF47DE-1B06-4102-9018-8305A2C0C8B3}" type="pres">
      <dgm:prSet presAssocID="{456CD7DD-13CD-4B3A-A849-93C7DF906459}" presName="parTx" presStyleLbl="revTx" presStyleIdx="1" presStyleCnt="4">
        <dgm:presLayoutVars>
          <dgm:chMax val="1"/>
          <dgm:bulletEnabled val="1"/>
        </dgm:presLayoutVars>
      </dgm:prSet>
      <dgm:spPr/>
    </dgm:pt>
    <dgm:pt modelId="{6077D043-6CBF-42DB-8F4F-A7BAB1ABB221}" type="pres">
      <dgm:prSet presAssocID="{456CD7DD-13CD-4B3A-A849-93C7DF906459}" presName="bracket" presStyleLbl="parChTrans1D1" presStyleIdx="1" presStyleCnt="4"/>
      <dgm:spPr/>
    </dgm:pt>
    <dgm:pt modelId="{F719C034-57B0-492F-AED3-ECC508C74DBD}" type="pres">
      <dgm:prSet presAssocID="{456CD7DD-13CD-4B3A-A849-93C7DF906459}" presName="spH" presStyleCnt="0"/>
      <dgm:spPr/>
    </dgm:pt>
    <dgm:pt modelId="{7D7F3D64-8305-4BDE-9463-AC65A5497A14}" type="pres">
      <dgm:prSet presAssocID="{456CD7DD-13CD-4B3A-A849-93C7DF906459}" presName="desTx" presStyleLbl="node1" presStyleIdx="1" presStyleCnt="4">
        <dgm:presLayoutVars>
          <dgm:bulletEnabled val="1"/>
        </dgm:presLayoutVars>
      </dgm:prSet>
      <dgm:spPr/>
    </dgm:pt>
    <dgm:pt modelId="{F9F90050-6EEB-4C28-81DF-E6AE2091E0C4}" type="pres">
      <dgm:prSet presAssocID="{D0447112-35CD-47A3-96BB-B0819FF14359}" presName="spV" presStyleCnt="0"/>
      <dgm:spPr/>
    </dgm:pt>
    <dgm:pt modelId="{379C67DB-F5CA-406B-BD7F-D27593A97124}" type="pres">
      <dgm:prSet presAssocID="{F0986357-920A-4DA6-92CF-51DA275E50D7}" presName="linNode" presStyleCnt="0"/>
      <dgm:spPr/>
    </dgm:pt>
    <dgm:pt modelId="{1DD47722-72F5-42C1-8C8A-04FD304F966D}" type="pres">
      <dgm:prSet presAssocID="{F0986357-920A-4DA6-92CF-51DA275E50D7}" presName="parTx" presStyleLbl="revTx" presStyleIdx="2" presStyleCnt="4">
        <dgm:presLayoutVars>
          <dgm:chMax val="1"/>
          <dgm:bulletEnabled val="1"/>
        </dgm:presLayoutVars>
      </dgm:prSet>
      <dgm:spPr/>
    </dgm:pt>
    <dgm:pt modelId="{A2329F8D-0941-4B3E-8EC5-EE30A77B8841}" type="pres">
      <dgm:prSet presAssocID="{F0986357-920A-4DA6-92CF-51DA275E50D7}" presName="bracket" presStyleLbl="parChTrans1D1" presStyleIdx="2" presStyleCnt="4"/>
      <dgm:spPr/>
    </dgm:pt>
    <dgm:pt modelId="{86B2F90F-E4A0-4270-820E-70E8115E828C}" type="pres">
      <dgm:prSet presAssocID="{F0986357-920A-4DA6-92CF-51DA275E50D7}" presName="spH" presStyleCnt="0"/>
      <dgm:spPr/>
    </dgm:pt>
    <dgm:pt modelId="{3640E00E-9A95-4263-9E8B-363FAE628A3E}" type="pres">
      <dgm:prSet presAssocID="{F0986357-920A-4DA6-92CF-51DA275E50D7}" presName="desTx" presStyleLbl="node1" presStyleIdx="2" presStyleCnt="4">
        <dgm:presLayoutVars>
          <dgm:bulletEnabled val="1"/>
        </dgm:presLayoutVars>
      </dgm:prSet>
      <dgm:spPr/>
    </dgm:pt>
    <dgm:pt modelId="{BF03C940-052E-4D6A-AFF4-674DE2C5CC3C}" type="pres">
      <dgm:prSet presAssocID="{F4A871E9-A571-4641-910C-9157EFCB0EC8}" presName="spV" presStyleCnt="0"/>
      <dgm:spPr/>
    </dgm:pt>
    <dgm:pt modelId="{567B086B-5203-40F2-AA3E-E144D48E2074}" type="pres">
      <dgm:prSet presAssocID="{237EFF6C-17D1-411D-9783-22A486BE7325}" presName="linNode" presStyleCnt="0"/>
      <dgm:spPr/>
    </dgm:pt>
    <dgm:pt modelId="{BDF387DA-41A0-42B4-B588-FAF6203C2348}" type="pres">
      <dgm:prSet presAssocID="{237EFF6C-17D1-411D-9783-22A486BE7325}" presName="parTx" presStyleLbl="revTx" presStyleIdx="3" presStyleCnt="4">
        <dgm:presLayoutVars>
          <dgm:chMax val="1"/>
          <dgm:bulletEnabled val="1"/>
        </dgm:presLayoutVars>
      </dgm:prSet>
      <dgm:spPr/>
    </dgm:pt>
    <dgm:pt modelId="{10718CFA-7604-46E2-9C8E-933F7A752C3B}" type="pres">
      <dgm:prSet presAssocID="{237EFF6C-17D1-411D-9783-22A486BE7325}" presName="bracket" presStyleLbl="parChTrans1D1" presStyleIdx="3" presStyleCnt="4"/>
      <dgm:spPr/>
    </dgm:pt>
    <dgm:pt modelId="{470E8A79-C12A-471C-8021-9532DF89A8CA}" type="pres">
      <dgm:prSet presAssocID="{237EFF6C-17D1-411D-9783-22A486BE7325}" presName="spH" presStyleCnt="0"/>
      <dgm:spPr/>
    </dgm:pt>
    <dgm:pt modelId="{A9E092C9-CE58-4F6B-A257-D5534622A045}" type="pres">
      <dgm:prSet presAssocID="{237EFF6C-17D1-411D-9783-22A486BE7325}" presName="desTx" presStyleLbl="node1" presStyleIdx="3" presStyleCnt="4">
        <dgm:presLayoutVars>
          <dgm:bulletEnabled val="1"/>
        </dgm:presLayoutVars>
      </dgm:prSet>
      <dgm:spPr/>
    </dgm:pt>
  </dgm:ptLst>
  <dgm:cxnLst>
    <dgm:cxn modelId="{96A9CB12-2EFE-4CFA-8651-1D9B1E17A2AD}" type="presOf" srcId="{F0986357-920A-4DA6-92CF-51DA275E50D7}" destId="{1DD47722-72F5-42C1-8C8A-04FD304F966D}" srcOrd="0" destOrd="0" presId="urn:diagrams.loki3.com/BracketList"/>
    <dgm:cxn modelId="{3F221523-F871-4C7C-B9A4-9B40CD64B48F}" type="presOf" srcId="{58319D2A-790F-4A07-B60D-598915ABE18B}" destId="{A9E092C9-CE58-4F6B-A257-D5534622A045}" srcOrd="0" destOrd="0" presId="urn:diagrams.loki3.com/BracketList"/>
    <dgm:cxn modelId="{3E0E9024-D415-4AA6-A2E9-6DFA76532B04}" srcId="{456CD7DD-13CD-4B3A-A849-93C7DF906459}" destId="{22993F3C-1ECF-457C-8FDC-B13CA7CDBBD4}" srcOrd="0" destOrd="0" parTransId="{9150EB9E-AF81-4F0C-9E3F-529BCA0920B1}" sibTransId="{303CBD26-AD82-47CF-84B3-AFC1F0663E43}"/>
    <dgm:cxn modelId="{6769F135-53D6-4FE6-9EED-C1A8AA85B080}" srcId="{E007EBB0-770A-4FB2-B24F-98E8808D4F9C}" destId="{237EFF6C-17D1-411D-9783-22A486BE7325}" srcOrd="3" destOrd="0" parTransId="{9354E55F-FE9E-4980-8C32-F5E19A7F7E4C}" sibTransId="{D405BCB9-D0D6-4E75-BE83-E8B18135E367}"/>
    <dgm:cxn modelId="{0F540561-F757-41C1-86B8-A740D282E9FB}" srcId="{E007EBB0-770A-4FB2-B24F-98E8808D4F9C}" destId="{456CD7DD-13CD-4B3A-A849-93C7DF906459}" srcOrd="1" destOrd="0" parTransId="{E4EC47B1-2DB0-49D8-A82B-D38C4B98A472}" sibTransId="{D0447112-35CD-47A3-96BB-B0819FF14359}"/>
    <dgm:cxn modelId="{4372B063-9FB2-4387-9865-0A06424F393A}" srcId="{E007EBB0-770A-4FB2-B24F-98E8808D4F9C}" destId="{F0986357-920A-4DA6-92CF-51DA275E50D7}" srcOrd="2" destOrd="0" parTransId="{2214F2C8-7686-42B6-8F79-64E6088625AF}" sibTransId="{F4A871E9-A571-4641-910C-9157EFCB0EC8}"/>
    <dgm:cxn modelId="{5FDBBC47-43FA-485A-B355-FEEF8ABEA8D6}" type="presOf" srcId="{E007EBB0-770A-4FB2-B24F-98E8808D4F9C}" destId="{F8CF4B78-7A76-4F0C-94AA-1098DB779AA6}" srcOrd="0" destOrd="0" presId="urn:diagrams.loki3.com/BracketList"/>
    <dgm:cxn modelId="{DA84BC4D-4BFF-4610-91C3-CF511B556A7A}" srcId="{E007EBB0-770A-4FB2-B24F-98E8808D4F9C}" destId="{D72F3C63-7248-469C-8D55-EEBC006B66C8}" srcOrd="0" destOrd="0" parTransId="{5B6A4D4C-B7F2-42D0-947B-334859588583}" sibTransId="{DBCE6CA6-C5A0-41AC-AF1B-F3580F9FBF62}"/>
    <dgm:cxn modelId="{FEE0594E-C9A7-47D6-B867-E4294BF9419B}" type="presOf" srcId="{237EFF6C-17D1-411D-9783-22A486BE7325}" destId="{BDF387DA-41A0-42B4-B588-FAF6203C2348}" srcOrd="0" destOrd="0" presId="urn:diagrams.loki3.com/BracketList"/>
    <dgm:cxn modelId="{E45C2E81-D082-4440-8A8F-D4AF25678F93}" srcId="{D72F3C63-7248-469C-8D55-EEBC006B66C8}" destId="{6562E35E-F67F-4B37-9942-0703EF5876F2}" srcOrd="0" destOrd="0" parTransId="{EFD59E48-CA28-4E2D-A044-6BD913538A8F}" sibTransId="{BF0FDFD6-6E9D-4C25-A795-5FE4E6B27B8C}"/>
    <dgm:cxn modelId="{82726A98-32B2-4795-A18A-8DE4CE84E746}" type="presOf" srcId="{456CD7DD-13CD-4B3A-A849-93C7DF906459}" destId="{C5BF47DE-1B06-4102-9018-8305A2C0C8B3}" srcOrd="0" destOrd="0" presId="urn:diagrams.loki3.com/BracketList"/>
    <dgm:cxn modelId="{1147B598-82FB-4762-B200-B3A26FC8F20B}" srcId="{F0986357-920A-4DA6-92CF-51DA275E50D7}" destId="{984B66F4-77C7-486F-916E-458F1E8C7040}" srcOrd="0" destOrd="0" parTransId="{D7843B29-F2CB-460D-8D87-59D115547FE6}" sibTransId="{9D4C488D-C055-449C-B1F3-3160B7F05C7E}"/>
    <dgm:cxn modelId="{CB19A89E-7ABA-4A95-825B-03B00EEB5E63}" srcId="{237EFF6C-17D1-411D-9783-22A486BE7325}" destId="{58319D2A-790F-4A07-B60D-598915ABE18B}" srcOrd="0" destOrd="0" parTransId="{454F5380-89C6-4A23-8184-7DE41F4F4D82}" sibTransId="{21E319BC-BA3A-4DA3-95F8-F70A98C5E294}"/>
    <dgm:cxn modelId="{6250B69F-2BE3-4063-8C18-DED3A1539578}" type="presOf" srcId="{984B66F4-77C7-486F-916E-458F1E8C7040}" destId="{3640E00E-9A95-4263-9E8B-363FAE628A3E}" srcOrd="0" destOrd="0" presId="urn:diagrams.loki3.com/BracketList"/>
    <dgm:cxn modelId="{197E25BE-4995-4446-94FD-6B40C2CF1E3B}" type="presOf" srcId="{22993F3C-1ECF-457C-8FDC-B13CA7CDBBD4}" destId="{7D7F3D64-8305-4BDE-9463-AC65A5497A14}" srcOrd="0" destOrd="0" presId="urn:diagrams.loki3.com/BracketList"/>
    <dgm:cxn modelId="{44BC22D9-EFB6-4F71-A583-DEBCBF2D8293}" type="presOf" srcId="{D72F3C63-7248-469C-8D55-EEBC006B66C8}" destId="{479C86DD-66D0-421E-B02E-5CC8ACE34DF5}" srcOrd="0" destOrd="0" presId="urn:diagrams.loki3.com/BracketList"/>
    <dgm:cxn modelId="{78B5D8DD-8D35-4B9D-9754-057E3A80FF2E}" type="presOf" srcId="{6562E35E-F67F-4B37-9942-0703EF5876F2}" destId="{0892F264-1AD5-4482-BD1A-06E4AEF3FEDC}" srcOrd="0" destOrd="0" presId="urn:diagrams.loki3.com/BracketList"/>
    <dgm:cxn modelId="{918D4F2A-CE42-48DA-B616-36938D3D9CB2}" type="presParOf" srcId="{F8CF4B78-7A76-4F0C-94AA-1098DB779AA6}" destId="{1E97145C-0DD8-4E95-A5F7-70D62F67FABE}" srcOrd="0" destOrd="0" presId="urn:diagrams.loki3.com/BracketList"/>
    <dgm:cxn modelId="{8C6AECF0-A5C5-4CBB-AC98-60587CF27957}" type="presParOf" srcId="{1E97145C-0DD8-4E95-A5F7-70D62F67FABE}" destId="{479C86DD-66D0-421E-B02E-5CC8ACE34DF5}" srcOrd="0" destOrd="0" presId="urn:diagrams.loki3.com/BracketList"/>
    <dgm:cxn modelId="{6A216E67-AD72-4F9E-85CB-15006D4CCA72}" type="presParOf" srcId="{1E97145C-0DD8-4E95-A5F7-70D62F67FABE}" destId="{08D4C154-2A31-4487-950D-D88133DD1F5E}" srcOrd="1" destOrd="0" presId="urn:diagrams.loki3.com/BracketList"/>
    <dgm:cxn modelId="{5D4F29CC-D2E6-48B2-92A3-1C1DDC51E96B}" type="presParOf" srcId="{1E97145C-0DD8-4E95-A5F7-70D62F67FABE}" destId="{757CD10F-8A7B-4637-A6F4-B63396DD1710}" srcOrd="2" destOrd="0" presId="urn:diagrams.loki3.com/BracketList"/>
    <dgm:cxn modelId="{E90ECA58-353F-4668-AC16-EE1802436278}" type="presParOf" srcId="{1E97145C-0DD8-4E95-A5F7-70D62F67FABE}" destId="{0892F264-1AD5-4482-BD1A-06E4AEF3FEDC}" srcOrd="3" destOrd="0" presId="urn:diagrams.loki3.com/BracketList"/>
    <dgm:cxn modelId="{A3C0FBD2-414B-497A-851F-46E176EF8376}" type="presParOf" srcId="{F8CF4B78-7A76-4F0C-94AA-1098DB779AA6}" destId="{28AA5312-B82F-4CBE-9757-A06BFEE2B1B7}" srcOrd="1" destOrd="0" presId="urn:diagrams.loki3.com/BracketList"/>
    <dgm:cxn modelId="{396627F0-AB32-46AC-9C16-B5E1800F1CBB}" type="presParOf" srcId="{F8CF4B78-7A76-4F0C-94AA-1098DB779AA6}" destId="{EAB7C693-8B11-4416-9A4B-74BA576379A5}" srcOrd="2" destOrd="0" presId="urn:diagrams.loki3.com/BracketList"/>
    <dgm:cxn modelId="{BDF62B4F-1666-47CF-BE38-A32351D02AE6}" type="presParOf" srcId="{EAB7C693-8B11-4416-9A4B-74BA576379A5}" destId="{C5BF47DE-1B06-4102-9018-8305A2C0C8B3}" srcOrd="0" destOrd="0" presId="urn:diagrams.loki3.com/BracketList"/>
    <dgm:cxn modelId="{8E6B095D-1607-434F-9D01-F8E3FB656856}" type="presParOf" srcId="{EAB7C693-8B11-4416-9A4B-74BA576379A5}" destId="{6077D043-6CBF-42DB-8F4F-A7BAB1ABB221}" srcOrd="1" destOrd="0" presId="urn:diagrams.loki3.com/BracketList"/>
    <dgm:cxn modelId="{9F9A6E21-2CD3-447B-ADEA-5D287D323D99}" type="presParOf" srcId="{EAB7C693-8B11-4416-9A4B-74BA576379A5}" destId="{F719C034-57B0-492F-AED3-ECC508C74DBD}" srcOrd="2" destOrd="0" presId="urn:diagrams.loki3.com/BracketList"/>
    <dgm:cxn modelId="{62E71D8A-E142-4CF4-B655-377A6C004BBC}" type="presParOf" srcId="{EAB7C693-8B11-4416-9A4B-74BA576379A5}" destId="{7D7F3D64-8305-4BDE-9463-AC65A5497A14}" srcOrd="3" destOrd="0" presId="urn:diagrams.loki3.com/BracketList"/>
    <dgm:cxn modelId="{01B1AD6A-4438-423C-B585-463C6F58D3EC}" type="presParOf" srcId="{F8CF4B78-7A76-4F0C-94AA-1098DB779AA6}" destId="{F9F90050-6EEB-4C28-81DF-E6AE2091E0C4}" srcOrd="3" destOrd="0" presId="urn:diagrams.loki3.com/BracketList"/>
    <dgm:cxn modelId="{B2C9D4A9-8901-4814-87D5-2E3F3FDD97F8}" type="presParOf" srcId="{F8CF4B78-7A76-4F0C-94AA-1098DB779AA6}" destId="{379C67DB-F5CA-406B-BD7F-D27593A97124}" srcOrd="4" destOrd="0" presId="urn:diagrams.loki3.com/BracketList"/>
    <dgm:cxn modelId="{95698F6C-7394-4C58-9093-93F5078D0F6B}" type="presParOf" srcId="{379C67DB-F5CA-406B-BD7F-D27593A97124}" destId="{1DD47722-72F5-42C1-8C8A-04FD304F966D}" srcOrd="0" destOrd="0" presId="urn:diagrams.loki3.com/BracketList"/>
    <dgm:cxn modelId="{B4FEB7D7-A619-451E-992C-54445A80A9EB}" type="presParOf" srcId="{379C67DB-F5CA-406B-BD7F-D27593A97124}" destId="{A2329F8D-0941-4B3E-8EC5-EE30A77B8841}" srcOrd="1" destOrd="0" presId="urn:diagrams.loki3.com/BracketList"/>
    <dgm:cxn modelId="{4AAA652F-D6FE-45A2-84FF-A6CB3E1A043C}" type="presParOf" srcId="{379C67DB-F5CA-406B-BD7F-D27593A97124}" destId="{86B2F90F-E4A0-4270-820E-70E8115E828C}" srcOrd="2" destOrd="0" presId="urn:diagrams.loki3.com/BracketList"/>
    <dgm:cxn modelId="{689ED2C9-9EFC-4AA6-BC62-0A7366E757D5}" type="presParOf" srcId="{379C67DB-F5CA-406B-BD7F-D27593A97124}" destId="{3640E00E-9A95-4263-9E8B-363FAE628A3E}" srcOrd="3" destOrd="0" presId="urn:diagrams.loki3.com/BracketList"/>
    <dgm:cxn modelId="{6F6CD98A-9174-49C8-9A47-D298ECA1C59B}" type="presParOf" srcId="{F8CF4B78-7A76-4F0C-94AA-1098DB779AA6}" destId="{BF03C940-052E-4D6A-AFF4-674DE2C5CC3C}" srcOrd="5" destOrd="0" presId="urn:diagrams.loki3.com/BracketList"/>
    <dgm:cxn modelId="{D8E744AF-7151-4E8A-AC89-1CACFAB89477}" type="presParOf" srcId="{F8CF4B78-7A76-4F0C-94AA-1098DB779AA6}" destId="{567B086B-5203-40F2-AA3E-E144D48E2074}" srcOrd="6" destOrd="0" presId="urn:diagrams.loki3.com/BracketList"/>
    <dgm:cxn modelId="{286C8652-707F-4763-AC97-D9B0239CF578}" type="presParOf" srcId="{567B086B-5203-40F2-AA3E-E144D48E2074}" destId="{BDF387DA-41A0-42B4-B588-FAF6203C2348}" srcOrd="0" destOrd="0" presId="urn:diagrams.loki3.com/BracketList"/>
    <dgm:cxn modelId="{17E58C9D-5ADA-4687-A6C5-5CCA4AFD0B9A}" type="presParOf" srcId="{567B086B-5203-40F2-AA3E-E144D48E2074}" destId="{10718CFA-7604-46E2-9C8E-933F7A752C3B}" srcOrd="1" destOrd="0" presId="urn:diagrams.loki3.com/BracketList"/>
    <dgm:cxn modelId="{8210ED41-B9C3-46A4-8E08-C5C9C53BEB50}" type="presParOf" srcId="{567B086B-5203-40F2-AA3E-E144D48E2074}" destId="{470E8A79-C12A-471C-8021-9532DF89A8CA}" srcOrd="2" destOrd="0" presId="urn:diagrams.loki3.com/BracketList"/>
    <dgm:cxn modelId="{D7BAFBA9-81A0-4A81-859B-08A3358810F4}" type="presParOf" srcId="{567B086B-5203-40F2-AA3E-E144D48E2074}" destId="{A9E092C9-CE58-4F6B-A257-D5534622A045}" srcOrd="3" destOrd="0" presId="urn:diagrams.loki3.com/BracketList"/>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AEFF6F-15E9-4F00-B33F-D3F6FCE27E17}">
      <dsp:nvSpPr>
        <dsp:cNvPr id="0" name=""/>
        <dsp:cNvSpPr/>
      </dsp:nvSpPr>
      <dsp:spPr>
        <a:xfrm>
          <a:off x="0" y="0"/>
          <a:ext cx="582168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3B2F57-44ED-421B-A457-FA99533C390B}">
      <dsp:nvSpPr>
        <dsp:cNvPr id="0" name=""/>
        <dsp:cNvSpPr/>
      </dsp:nvSpPr>
      <dsp:spPr>
        <a:xfrm>
          <a:off x="0" y="0"/>
          <a:ext cx="2063393" cy="3467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SG&amp;A growth trajectory</a:t>
          </a:r>
        </a:p>
      </dsp:txBody>
      <dsp:txXfrm>
        <a:off x="0" y="0"/>
        <a:ext cx="2063393" cy="346709"/>
      </dsp:txXfrm>
    </dsp:sp>
    <dsp:sp modelId="{D90781AA-E25A-4FB9-9E17-36F0220946D0}">
      <dsp:nvSpPr>
        <dsp:cNvPr id="0" name=""/>
        <dsp:cNvSpPr/>
      </dsp:nvSpPr>
      <dsp:spPr>
        <a:xfrm>
          <a:off x="2118909" y="15744"/>
          <a:ext cx="3701101" cy="3148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Rapid escalation relative to revenue</a:t>
          </a:r>
        </a:p>
      </dsp:txBody>
      <dsp:txXfrm>
        <a:off x="2118909" y="15744"/>
        <a:ext cx="3701101" cy="314883"/>
      </dsp:txXfrm>
    </dsp:sp>
    <dsp:sp modelId="{41DAC4B5-FA0C-4D61-AEEC-82F55C53E1C6}">
      <dsp:nvSpPr>
        <dsp:cNvPr id="0" name=""/>
        <dsp:cNvSpPr/>
      </dsp:nvSpPr>
      <dsp:spPr>
        <a:xfrm>
          <a:off x="2063393" y="330627"/>
          <a:ext cx="296087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369F97-793D-4EA3-A563-33D8A67308E9}">
      <dsp:nvSpPr>
        <dsp:cNvPr id="0" name=""/>
        <dsp:cNvSpPr/>
      </dsp:nvSpPr>
      <dsp:spPr>
        <a:xfrm>
          <a:off x="0" y="346709"/>
          <a:ext cx="5821680" cy="0"/>
        </a:xfrm>
        <a:prstGeom prst="line">
          <a:avLst/>
        </a:prstGeom>
        <a:solidFill>
          <a:schemeClr val="accent3">
            <a:hueOff val="903533"/>
            <a:satOff val="33333"/>
            <a:lumOff val="-4902"/>
            <a:alphaOff val="0"/>
          </a:schemeClr>
        </a:solidFill>
        <a:ln w="12700" cap="flat" cmpd="sng" algn="ctr">
          <a:solidFill>
            <a:schemeClr val="accent3">
              <a:hueOff val="903533"/>
              <a:satOff val="33333"/>
              <a:lumOff val="-490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699E80-B33A-4E3F-8ECE-C6F689DCBDFE}">
      <dsp:nvSpPr>
        <dsp:cNvPr id="0" name=""/>
        <dsp:cNvSpPr/>
      </dsp:nvSpPr>
      <dsp:spPr>
        <a:xfrm>
          <a:off x="0" y="346709"/>
          <a:ext cx="2063393" cy="3467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Cost-efficiency narrative</a:t>
          </a:r>
        </a:p>
      </dsp:txBody>
      <dsp:txXfrm>
        <a:off x="0" y="346709"/>
        <a:ext cx="2063393" cy="346709"/>
      </dsp:txXfrm>
    </dsp:sp>
    <dsp:sp modelId="{635AF5AF-A791-41DD-8F50-A814BA7544C2}">
      <dsp:nvSpPr>
        <dsp:cNvPr id="0" name=""/>
        <dsp:cNvSpPr/>
      </dsp:nvSpPr>
      <dsp:spPr>
        <a:xfrm>
          <a:off x="2118909" y="362454"/>
          <a:ext cx="3701101" cy="3148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Inconsistent with internal expenditure patterns</a:t>
          </a:r>
        </a:p>
      </dsp:txBody>
      <dsp:txXfrm>
        <a:off x="2118909" y="362454"/>
        <a:ext cx="3701101" cy="314883"/>
      </dsp:txXfrm>
    </dsp:sp>
    <dsp:sp modelId="{F7D2BD6F-59BD-496C-9A0A-FE5B1864122F}">
      <dsp:nvSpPr>
        <dsp:cNvPr id="0" name=""/>
        <dsp:cNvSpPr/>
      </dsp:nvSpPr>
      <dsp:spPr>
        <a:xfrm>
          <a:off x="2063393" y="677337"/>
          <a:ext cx="296087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2D50705-D32A-48AD-8073-3211071D7E1B}">
      <dsp:nvSpPr>
        <dsp:cNvPr id="0" name=""/>
        <dsp:cNvSpPr/>
      </dsp:nvSpPr>
      <dsp:spPr>
        <a:xfrm>
          <a:off x="0" y="693419"/>
          <a:ext cx="5821680" cy="0"/>
        </a:xfrm>
        <a:prstGeom prst="line">
          <a:avLst/>
        </a:prstGeom>
        <a:solidFill>
          <a:schemeClr val="accent3">
            <a:hueOff val="1807066"/>
            <a:satOff val="66667"/>
            <a:lumOff val="-9804"/>
            <a:alphaOff val="0"/>
          </a:schemeClr>
        </a:solidFill>
        <a:ln w="12700" cap="flat" cmpd="sng" algn="ctr">
          <a:solidFill>
            <a:schemeClr val="accent3">
              <a:hueOff val="1807066"/>
              <a:satOff val="66667"/>
              <a:lumOff val="-98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EA6AD4-712D-44D5-A957-2AEBCA23C1A6}">
      <dsp:nvSpPr>
        <dsp:cNvPr id="0" name=""/>
        <dsp:cNvSpPr/>
      </dsp:nvSpPr>
      <dsp:spPr>
        <a:xfrm>
          <a:off x="0" y="693419"/>
          <a:ext cx="2063393" cy="3467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Industry comparison</a:t>
          </a:r>
        </a:p>
      </dsp:txBody>
      <dsp:txXfrm>
        <a:off x="0" y="693419"/>
        <a:ext cx="2063393" cy="346709"/>
      </dsp:txXfrm>
    </dsp:sp>
    <dsp:sp modelId="{B0CFCC4A-51A9-4581-8AF0-48BD8E99CD22}">
      <dsp:nvSpPr>
        <dsp:cNvPr id="0" name=""/>
        <dsp:cNvSpPr/>
      </dsp:nvSpPr>
      <dsp:spPr>
        <a:xfrm>
          <a:off x="2118909" y="709164"/>
          <a:ext cx="3701101" cy="3148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Tesla materially above OEM norms</a:t>
          </a:r>
        </a:p>
      </dsp:txBody>
      <dsp:txXfrm>
        <a:off x="2118909" y="709164"/>
        <a:ext cx="3701101" cy="314883"/>
      </dsp:txXfrm>
    </dsp:sp>
    <dsp:sp modelId="{0CF0EAF2-9F12-4F4D-A12A-9168B6F88C9D}">
      <dsp:nvSpPr>
        <dsp:cNvPr id="0" name=""/>
        <dsp:cNvSpPr/>
      </dsp:nvSpPr>
      <dsp:spPr>
        <a:xfrm>
          <a:off x="2063393" y="1024047"/>
          <a:ext cx="296087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6EB924-967C-4F5A-AFB9-CC837235673D}">
      <dsp:nvSpPr>
        <dsp:cNvPr id="0" name=""/>
        <dsp:cNvSpPr/>
      </dsp:nvSpPr>
      <dsp:spPr>
        <a:xfrm>
          <a:off x="0" y="1040130"/>
          <a:ext cx="5821680" cy="0"/>
        </a:xfrm>
        <a:prstGeom prst="line">
          <a:avLst/>
        </a:prstGeom>
        <a:solidFill>
          <a:schemeClr val="accent3">
            <a:hueOff val="2710599"/>
            <a:satOff val="100000"/>
            <a:lumOff val="-14706"/>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56A546-7BD5-4A4D-B2B9-E88447CE4A2C}">
      <dsp:nvSpPr>
        <dsp:cNvPr id="0" name=""/>
        <dsp:cNvSpPr/>
      </dsp:nvSpPr>
      <dsp:spPr>
        <a:xfrm>
          <a:off x="0" y="1040129"/>
          <a:ext cx="2063393" cy="3467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Allocation visibility</a:t>
          </a:r>
        </a:p>
      </dsp:txBody>
      <dsp:txXfrm>
        <a:off x="0" y="1040129"/>
        <a:ext cx="2063393" cy="346709"/>
      </dsp:txXfrm>
    </dsp:sp>
    <dsp:sp modelId="{7F58AAE8-B705-4DF7-9301-10FAD9CA784F}">
      <dsp:nvSpPr>
        <dsp:cNvPr id="0" name=""/>
        <dsp:cNvSpPr/>
      </dsp:nvSpPr>
      <dsp:spPr>
        <a:xfrm>
          <a:off x="2118909" y="1055874"/>
          <a:ext cx="3701101" cy="3148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Limited disclosure of marketing-specific breakdown</a:t>
          </a:r>
        </a:p>
      </dsp:txBody>
      <dsp:txXfrm>
        <a:off x="2118909" y="1055874"/>
        <a:ext cx="3701101" cy="314883"/>
      </dsp:txXfrm>
    </dsp:sp>
    <dsp:sp modelId="{A5D24E65-B568-41AB-9990-EE4251ABBC44}">
      <dsp:nvSpPr>
        <dsp:cNvPr id="0" name=""/>
        <dsp:cNvSpPr/>
      </dsp:nvSpPr>
      <dsp:spPr>
        <a:xfrm>
          <a:off x="2063393" y="1370757"/>
          <a:ext cx="296087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630F78-5AEA-42D5-88A4-AE908170E2A5}">
      <dsp:nvSpPr>
        <dsp:cNvPr id="0" name=""/>
        <dsp:cNvSpPr/>
      </dsp:nvSpPr>
      <dsp:spPr>
        <a:xfrm>
          <a:off x="478894" y="78"/>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Global Revenue: $97.7B</a:t>
          </a:r>
        </a:p>
      </dsp:txBody>
      <dsp:txXfrm>
        <a:off x="478894" y="78"/>
        <a:ext cx="1177211" cy="706327"/>
      </dsp:txXfrm>
    </dsp:sp>
    <dsp:sp modelId="{75AA31AF-3DE2-4FEF-85FA-FC818398E415}">
      <dsp:nvSpPr>
        <dsp:cNvPr id="0" name=""/>
        <dsp:cNvSpPr/>
      </dsp:nvSpPr>
      <dsp:spPr>
        <a:xfrm>
          <a:off x="1773827" y="78"/>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Employees: 9,000+</a:t>
          </a:r>
        </a:p>
      </dsp:txBody>
      <dsp:txXfrm>
        <a:off x="1773827" y="78"/>
        <a:ext cx="1177211" cy="706327"/>
      </dsp:txXfrm>
    </dsp:sp>
    <dsp:sp modelId="{5386B1B7-AEC3-4CA4-B5AA-AEF5727E7A65}">
      <dsp:nvSpPr>
        <dsp:cNvPr id="0" name=""/>
        <dsp:cNvSpPr/>
      </dsp:nvSpPr>
      <dsp:spPr>
        <a:xfrm>
          <a:off x="3068760" y="78"/>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Volume Growth: 45%</a:t>
          </a:r>
        </a:p>
      </dsp:txBody>
      <dsp:txXfrm>
        <a:off x="3068760" y="78"/>
        <a:ext cx="1177211" cy="706327"/>
      </dsp:txXfrm>
    </dsp:sp>
    <dsp:sp modelId="{512065AA-1143-4B4C-8E9E-B89507F6819A}">
      <dsp:nvSpPr>
        <dsp:cNvPr id="0" name=""/>
        <dsp:cNvSpPr/>
      </dsp:nvSpPr>
      <dsp:spPr>
        <a:xfrm>
          <a:off x="4363693" y="78"/>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Profitability: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-30%</a:t>
          </a:r>
        </a:p>
      </dsp:txBody>
      <dsp:txXfrm>
        <a:off x="4363693" y="78"/>
        <a:ext cx="1177211" cy="706327"/>
      </dsp:txXfrm>
    </dsp:sp>
    <dsp:sp modelId="{D346B232-745D-43AF-BAE3-90EB61A5387D}">
      <dsp:nvSpPr>
        <dsp:cNvPr id="0" name=""/>
        <dsp:cNvSpPr/>
      </dsp:nvSpPr>
      <dsp:spPr>
        <a:xfrm>
          <a:off x="478894" y="824126"/>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Market Share: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-24–52.9%</a:t>
          </a:r>
        </a:p>
      </dsp:txBody>
      <dsp:txXfrm>
        <a:off x="478894" y="824126"/>
        <a:ext cx="1177211" cy="706327"/>
      </dsp:txXfrm>
    </dsp:sp>
    <dsp:sp modelId="{2FEDE1C2-FC5C-4F9C-A7A8-CDBD2536E780}">
      <dsp:nvSpPr>
        <dsp:cNvPr id="0" name=""/>
        <dsp:cNvSpPr/>
      </dsp:nvSpPr>
      <dsp:spPr>
        <a:xfrm>
          <a:off x="1773827" y="824126"/>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Service Quality: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-12pp</a:t>
          </a:r>
        </a:p>
      </dsp:txBody>
      <dsp:txXfrm>
        <a:off x="1773827" y="824126"/>
        <a:ext cx="1177211" cy="706327"/>
      </dsp:txXfrm>
    </dsp:sp>
    <dsp:sp modelId="{46ADB8AF-F1C3-44AE-A342-9FB8AFEB611B}">
      <dsp:nvSpPr>
        <dsp:cNvPr id="0" name=""/>
        <dsp:cNvSpPr/>
      </dsp:nvSpPr>
      <dsp:spPr>
        <a:xfrm>
          <a:off x="3068760" y="824126"/>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Pricing Volatility: 6 adjustments</a:t>
          </a:r>
        </a:p>
      </dsp:txBody>
      <dsp:txXfrm>
        <a:off x="3068760" y="824126"/>
        <a:ext cx="1177211" cy="706327"/>
      </dsp:txXfrm>
    </dsp:sp>
    <dsp:sp modelId="{CFF6ABDB-F4EB-465B-8CF0-39FDD4766F52}">
      <dsp:nvSpPr>
        <dsp:cNvPr id="0" name=""/>
        <dsp:cNvSpPr/>
      </dsp:nvSpPr>
      <dsp:spPr>
        <a:xfrm>
          <a:off x="4363693" y="824126"/>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Energy Business Growth: 44%</a:t>
          </a:r>
        </a:p>
      </dsp:txBody>
      <dsp:txXfrm>
        <a:off x="4363693" y="824126"/>
        <a:ext cx="1177211" cy="706327"/>
      </dsp:txXfrm>
    </dsp:sp>
    <dsp:sp modelId="{F7383962-08A0-423C-B484-3A831DBC5423}">
      <dsp:nvSpPr>
        <dsp:cNvPr id="0" name=""/>
        <dsp:cNvSpPr/>
      </dsp:nvSpPr>
      <dsp:spPr>
        <a:xfrm>
          <a:off x="1126361" y="1648174"/>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European Market Opportunity: $2.8–3.6B</a:t>
          </a:r>
        </a:p>
      </dsp:txBody>
      <dsp:txXfrm>
        <a:off x="1126361" y="1648174"/>
        <a:ext cx="1177211" cy="706327"/>
      </dsp:txXfrm>
    </dsp:sp>
    <dsp:sp modelId="{794F9740-7247-43A6-B46A-8FC5B7A0E32F}">
      <dsp:nvSpPr>
        <dsp:cNvPr id="0" name=""/>
        <dsp:cNvSpPr/>
      </dsp:nvSpPr>
      <dsp:spPr>
        <a:xfrm>
          <a:off x="2421294" y="1648174"/>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Autonomous Vehicle Standard: Level 2</a:t>
          </a:r>
        </a:p>
      </dsp:txBody>
      <dsp:txXfrm>
        <a:off x="2421294" y="1648174"/>
        <a:ext cx="1177211" cy="706327"/>
      </dsp:txXfrm>
    </dsp:sp>
    <dsp:sp modelId="{50C5F83F-C9F1-41A1-859D-5FCE0F0AE28D}">
      <dsp:nvSpPr>
        <dsp:cNvPr id="0" name=""/>
        <dsp:cNvSpPr/>
      </dsp:nvSpPr>
      <dsp:spPr>
        <a:xfrm>
          <a:off x="3716227" y="1648174"/>
          <a:ext cx="1177211" cy="70632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Battery Cost: $80–100/kWh</a:t>
          </a:r>
        </a:p>
      </dsp:txBody>
      <dsp:txXfrm>
        <a:off x="3716227" y="1648174"/>
        <a:ext cx="1177211" cy="70632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EE6E40-E3B3-4E28-9791-22253F736EA3}">
      <dsp:nvSpPr>
        <dsp:cNvPr id="0" name=""/>
        <dsp:cNvSpPr/>
      </dsp:nvSpPr>
      <dsp:spPr>
        <a:xfrm>
          <a:off x="2801" y="22020"/>
          <a:ext cx="1683886" cy="39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Section 301 tariff exposure</a:t>
          </a:r>
        </a:p>
      </dsp:txBody>
      <dsp:txXfrm>
        <a:off x="2801" y="22020"/>
        <a:ext cx="1683886" cy="396000"/>
      </dsp:txXfrm>
    </dsp:sp>
    <dsp:sp modelId="{456F670F-9910-40B3-8B2D-83D80F565DC9}">
      <dsp:nvSpPr>
        <dsp:cNvPr id="0" name=""/>
        <dsp:cNvSpPr/>
      </dsp:nvSpPr>
      <dsp:spPr>
        <a:xfrm>
          <a:off x="1686688" y="22020"/>
          <a:ext cx="198252" cy="3960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85CCE8-A6C8-4A48-9859-8D146C31D85C}">
      <dsp:nvSpPr>
        <dsp:cNvPr id="0" name=""/>
        <dsp:cNvSpPr/>
      </dsp:nvSpPr>
      <dsp:spPr>
        <a:xfrm>
          <a:off x="1964241" y="22020"/>
          <a:ext cx="3968936" cy="3960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High for Shanghai Gigafactory</a:t>
          </a:r>
        </a:p>
      </dsp:txBody>
      <dsp:txXfrm>
        <a:off x="1964241" y="22020"/>
        <a:ext cx="3968936" cy="396000"/>
      </dsp:txXfrm>
    </dsp:sp>
    <dsp:sp modelId="{293E27AE-19CA-4F96-AA61-AF2252E818A5}">
      <dsp:nvSpPr>
        <dsp:cNvPr id="0" name=""/>
        <dsp:cNvSpPr/>
      </dsp:nvSpPr>
      <dsp:spPr>
        <a:xfrm>
          <a:off x="2801" y="490020"/>
          <a:ext cx="1683886" cy="39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Manufacturing diversification	</a:t>
          </a:r>
        </a:p>
      </dsp:txBody>
      <dsp:txXfrm>
        <a:off x="2801" y="490020"/>
        <a:ext cx="1683886" cy="396000"/>
      </dsp:txXfrm>
    </dsp:sp>
    <dsp:sp modelId="{8226C88B-9A39-474A-A11F-285AB6CA63BD}">
      <dsp:nvSpPr>
        <dsp:cNvPr id="0" name=""/>
        <dsp:cNvSpPr/>
      </dsp:nvSpPr>
      <dsp:spPr>
        <a:xfrm>
          <a:off x="1686688" y="490020"/>
          <a:ext cx="198252" cy="3960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CB1460-4F3F-4BB3-BD3C-8DD780403BCF}">
      <dsp:nvSpPr>
        <dsp:cNvPr id="0" name=""/>
        <dsp:cNvSpPr/>
      </dsp:nvSpPr>
      <dsp:spPr>
        <a:xfrm>
          <a:off x="1964241" y="490020"/>
          <a:ext cx="3968936" cy="3960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US, Mexico, Germany</a:t>
          </a:r>
        </a:p>
      </dsp:txBody>
      <dsp:txXfrm>
        <a:off x="1964241" y="490020"/>
        <a:ext cx="3968936" cy="396000"/>
      </dsp:txXfrm>
    </dsp:sp>
    <dsp:sp modelId="{49CF67F8-A23B-42BF-837A-AC2DB1266B30}">
      <dsp:nvSpPr>
        <dsp:cNvPr id="0" name=""/>
        <dsp:cNvSpPr/>
      </dsp:nvSpPr>
      <dsp:spPr>
        <a:xfrm>
          <a:off x="2801" y="958020"/>
          <a:ext cx="1683886" cy="39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EU green claims directive</a:t>
          </a:r>
        </a:p>
      </dsp:txBody>
      <dsp:txXfrm>
        <a:off x="2801" y="958020"/>
        <a:ext cx="1683886" cy="396000"/>
      </dsp:txXfrm>
    </dsp:sp>
    <dsp:sp modelId="{5DB74D8C-7A94-404B-8C24-179A799F9A57}">
      <dsp:nvSpPr>
        <dsp:cNvPr id="0" name=""/>
        <dsp:cNvSpPr/>
      </dsp:nvSpPr>
      <dsp:spPr>
        <a:xfrm>
          <a:off x="1686688" y="958020"/>
          <a:ext cx="198252" cy="3960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0BECD7-8458-4526-A966-E2D5471E27C1}">
      <dsp:nvSpPr>
        <dsp:cNvPr id="0" name=""/>
        <dsp:cNvSpPr/>
      </dsp:nvSpPr>
      <dsp:spPr>
        <a:xfrm>
          <a:off x="1964241" y="958020"/>
          <a:ext cx="3968936" cy="396000"/>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Substantiation, transparency, verification</a:t>
          </a:r>
        </a:p>
      </dsp:txBody>
      <dsp:txXfrm>
        <a:off x="1964241" y="958020"/>
        <a:ext cx="3968936" cy="396000"/>
      </dsp:txXfrm>
    </dsp:sp>
    <dsp:sp modelId="{E76559B5-B35A-4369-8D7B-C3C33342476F}">
      <dsp:nvSpPr>
        <dsp:cNvPr id="0" name=""/>
        <dsp:cNvSpPr/>
      </dsp:nvSpPr>
      <dsp:spPr>
        <a:xfrm>
          <a:off x="2801" y="1426020"/>
          <a:ext cx="1683886" cy="39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China supply-chain risk</a:t>
          </a:r>
        </a:p>
      </dsp:txBody>
      <dsp:txXfrm>
        <a:off x="2801" y="1426020"/>
        <a:ext cx="1683886" cy="396000"/>
      </dsp:txXfrm>
    </dsp:sp>
    <dsp:sp modelId="{901EF8EF-2A69-456B-8B90-EA389D92D82A}">
      <dsp:nvSpPr>
        <dsp:cNvPr id="0" name=""/>
        <dsp:cNvSpPr/>
      </dsp:nvSpPr>
      <dsp:spPr>
        <a:xfrm>
          <a:off x="1686688" y="1426020"/>
          <a:ext cx="198252" cy="3960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040AB2-0910-4B07-B510-1362A45E8976}">
      <dsp:nvSpPr>
        <dsp:cNvPr id="0" name=""/>
        <dsp:cNvSpPr/>
      </dsp:nvSpPr>
      <dsp:spPr>
        <a:xfrm>
          <a:off x="1964241" y="1426020"/>
          <a:ext cx="3968936" cy="39600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Policy uncertainty, domestic competition</a:t>
          </a:r>
        </a:p>
      </dsp:txBody>
      <dsp:txXfrm>
        <a:off x="1964241" y="1426020"/>
        <a:ext cx="3968936" cy="3960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CBB104-629F-438F-8DB1-121198543974}">
      <dsp:nvSpPr>
        <dsp:cNvPr id="0" name=""/>
        <dsp:cNvSpPr/>
      </dsp:nvSpPr>
      <dsp:spPr>
        <a:xfrm>
          <a:off x="121283" y="127"/>
          <a:ext cx="1383873" cy="8303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EV consumer knowledge: </a:t>
          </a:r>
          <a:r>
            <a:rPr lang="en-US" sz="1200" kern="1200">
              <a:latin typeface="Times New Roman" panose="02020603050405020304" pitchFamily="18" charset="0"/>
              <a:cs typeface="Times New Roman" panose="02020603050405020304" pitchFamily="18" charset="0"/>
            </a:rPr>
            <a:t>High information density</a:t>
          </a:r>
        </a:p>
      </dsp:txBody>
      <dsp:txXfrm>
        <a:off x="121283" y="127"/>
        <a:ext cx="1383873" cy="830324"/>
      </dsp:txXfrm>
    </dsp:sp>
    <dsp:sp modelId="{1D4B9BF3-4FCB-4D8E-8D1F-23822906180E}">
      <dsp:nvSpPr>
        <dsp:cNvPr id="0" name=""/>
        <dsp:cNvSpPr/>
      </dsp:nvSpPr>
      <dsp:spPr>
        <a:xfrm>
          <a:off x="1512076" y="127"/>
          <a:ext cx="1383873" cy="8303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Leasing programme trend: </a:t>
          </a:r>
          <a:r>
            <a:rPr lang="en-US" sz="1200" kern="1200">
              <a:latin typeface="Times New Roman" panose="02020603050405020304" pitchFamily="18" charset="0"/>
              <a:cs typeface="Times New Roman" panose="02020603050405020304" pitchFamily="18" charset="0"/>
            </a:rPr>
            <a:t>Underperformance despite expansion</a:t>
          </a:r>
        </a:p>
      </dsp:txBody>
      <dsp:txXfrm>
        <a:off x="1512076" y="127"/>
        <a:ext cx="1383873" cy="830324"/>
      </dsp:txXfrm>
    </dsp:sp>
    <dsp:sp modelId="{933886EF-8E41-4C23-93E4-0022AB06BD11}">
      <dsp:nvSpPr>
        <dsp:cNvPr id="0" name=""/>
        <dsp:cNvSpPr/>
      </dsp:nvSpPr>
      <dsp:spPr>
        <a:xfrm>
          <a:off x="2902869" y="127"/>
          <a:ext cx="1383873" cy="8303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Geographic demand signals: </a:t>
          </a:r>
          <a:r>
            <a:rPr lang="en-US" sz="1200" kern="1200">
              <a:latin typeface="Times New Roman" panose="02020603050405020304" pitchFamily="18" charset="0"/>
              <a:cs typeface="Times New Roman" panose="02020603050405020304" pitchFamily="18" charset="0"/>
            </a:rPr>
            <a:t>Market share contraction</a:t>
          </a:r>
        </a:p>
      </dsp:txBody>
      <dsp:txXfrm>
        <a:off x="2902869" y="127"/>
        <a:ext cx="1383873" cy="830324"/>
      </dsp:txXfrm>
    </dsp:sp>
    <dsp:sp modelId="{912D4C26-5D14-4420-AF9A-0F879747A8B4}">
      <dsp:nvSpPr>
        <dsp:cNvPr id="0" name=""/>
        <dsp:cNvSpPr/>
      </dsp:nvSpPr>
      <dsp:spPr>
        <a:xfrm>
          <a:off x="4293662" y="127"/>
          <a:ext cx="1383873" cy="83032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Strategic implication: </a:t>
          </a:r>
          <a:r>
            <a:rPr lang="en-US" sz="1200" kern="1200">
              <a:latin typeface="Times New Roman" panose="02020603050405020304" pitchFamily="18" charset="0"/>
              <a:cs typeface="Times New Roman" panose="02020603050405020304" pitchFamily="18" charset="0"/>
            </a:rPr>
            <a:t>Diminishing earned-media effectiveness</a:t>
          </a:r>
        </a:p>
      </dsp:txBody>
      <dsp:txXfrm>
        <a:off x="4293662" y="127"/>
        <a:ext cx="1383873" cy="83032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E079F0-0E22-4514-8F69-9BF8F9D16FD7}">
      <dsp:nvSpPr>
        <dsp:cNvPr id="0" name=""/>
        <dsp:cNvSpPr/>
      </dsp:nvSpPr>
      <dsp:spPr>
        <a:xfrm>
          <a:off x="0" y="5497"/>
          <a:ext cx="1514475" cy="336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Battery recycling</a:t>
          </a:r>
        </a:p>
      </dsp:txBody>
      <dsp:txXfrm>
        <a:off x="0" y="5497"/>
        <a:ext cx="1514475" cy="336600"/>
      </dsp:txXfrm>
    </dsp:sp>
    <dsp:sp modelId="{19C9981D-59C7-47C2-B211-6CF0786D3EBC}">
      <dsp:nvSpPr>
        <dsp:cNvPr id="0" name=""/>
        <dsp:cNvSpPr/>
      </dsp:nvSpPr>
      <dsp:spPr>
        <a:xfrm>
          <a:off x="1514474" y="5497"/>
          <a:ext cx="302895" cy="3366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4D8E4-8B88-41A5-8BFF-00980394F8E4}">
      <dsp:nvSpPr>
        <dsp:cNvPr id="0" name=""/>
        <dsp:cNvSpPr/>
      </dsp:nvSpPr>
      <dsp:spPr>
        <a:xfrm>
          <a:off x="1938527" y="5497"/>
          <a:ext cx="4119372" cy="3366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7 GWh vs. 60–240 GWh annual production</a:t>
          </a:r>
        </a:p>
      </dsp:txBody>
      <dsp:txXfrm>
        <a:off x="1938527" y="5497"/>
        <a:ext cx="4119372" cy="336600"/>
      </dsp:txXfrm>
    </dsp:sp>
    <dsp:sp modelId="{6F9F14E6-0A99-4E13-BFE7-517BEC6C0F29}">
      <dsp:nvSpPr>
        <dsp:cNvPr id="0" name=""/>
        <dsp:cNvSpPr/>
      </dsp:nvSpPr>
      <dsp:spPr>
        <a:xfrm>
          <a:off x="0" y="403297"/>
          <a:ext cx="1514475" cy="378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CO₂ regional variance</a:t>
          </a:r>
        </a:p>
      </dsp:txBody>
      <dsp:txXfrm>
        <a:off x="0" y="403297"/>
        <a:ext cx="1514475" cy="378675"/>
      </dsp:txXfrm>
    </dsp:sp>
    <dsp:sp modelId="{4D3C39B6-0F23-41CA-BC24-774306B8AF50}">
      <dsp:nvSpPr>
        <dsp:cNvPr id="0" name=""/>
        <dsp:cNvSpPr/>
      </dsp:nvSpPr>
      <dsp:spPr>
        <a:xfrm>
          <a:off x="1514474" y="403297"/>
          <a:ext cx="302895" cy="378675"/>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4E7C8B-4298-49A5-810B-ABCA84BE5287}">
      <dsp:nvSpPr>
        <dsp:cNvPr id="0" name=""/>
        <dsp:cNvSpPr/>
      </dsp:nvSpPr>
      <dsp:spPr>
        <a:xfrm>
          <a:off x="1938527" y="403297"/>
          <a:ext cx="4119372" cy="378675"/>
        </a:xfrm>
        <a:prstGeom prst="rect">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Ohio: 20–30 t; California: 70+ t</a:t>
          </a:r>
        </a:p>
      </dsp:txBody>
      <dsp:txXfrm>
        <a:off x="1938527" y="403297"/>
        <a:ext cx="4119372" cy="378675"/>
      </dsp:txXfrm>
    </dsp:sp>
    <dsp:sp modelId="{0455C2C9-8783-494D-85DB-ED25F6957AFE}">
      <dsp:nvSpPr>
        <dsp:cNvPr id="0" name=""/>
        <dsp:cNvSpPr/>
      </dsp:nvSpPr>
      <dsp:spPr>
        <a:xfrm>
          <a:off x="0" y="843172"/>
          <a:ext cx="1514475" cy="336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Autonomy capability</a:t>
          </a:r>
        </a:p>
      </dsp:txBody>
      <dsp:txXfrm>
        <a:off x="0" y="843172"/>
        <a:ext cx="1514475" cy="336600"/>
      </dsp:txXfrm>
    </dsp:sp>
    <dsp:sp modelId="{19692526-753B-49C7-AB9E-419AD0EB328E}">
      <dsp:nvSpPr>
        <dsp:cNvPr id="0" name=""/>
        <dsp:cNvSpPr/>
      </dsp:nvSpPr>
      <dsp:spPr>
        <a:xfrm>
          <a:off x="1514474" y="843172"/>
          <a:ext cx="302895" cy="33660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A88D21-FD89-4946-9B6B-B3BF1D107990}">
      <dsp:nvSpPr>
        <dsp:cNvPr id="0" name=""/>
        <dsp:cNvSpPr/>
      </dsp:nvSpPr>
      <dsp:spPr>
        <a:xfrm>
          <a:off x="1938527" y="843172"/>
          <a:ext cx="4119372" cy="336600"/>
        </a:xfrm>
        <a:prstGeom prst="rect">
          <a:avLst/>
        </a:prstGeom>
        <a:solidFill>
          <a:srgbClr val="EE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Level 2, marketed as Full Self-Driving</a:t>
          </a:r>
        </a:p>
      </dsp:txBody>
      <dsp:txXfrm>
        <a:off x="1938527" y="843172"/>
        <a:ext cx="4119372" cy="336600"/>
      </dsp:txXfrm>
    </dsp:sp>
    <dsp:sp modelId="{62ABB818-E0D2-4BB0-A607-88DF5BE9D146}">
      <dsp:nvSpPr>
        <dsp:cNvPr id="0" name=""/>
        <dsp:cNvSpPr/>
      </dsp:nvSpPr>
      <dsp:spPr>
        <a:xfrm>
          <a:off x="0" y="1240972"/>
          <a:ext cx="1514475" cy="378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Energy storage deployment</a:t>
          </a:r>
        </a:p>
      </dsp:txBody>
      <dsp:txXfrm>
        <a:off x="0" y="1240972"/>
        <a:ext cx="1514475" cy="378675"/>
      </dsp:txXfrm>
    </dsp:sp>
    <dsp:sp modelId="{0FFAD523-949D-445B-A709-31D15D1431D9}">
      <dsp:nvSpPr>
        <dsp:cNvPr id="0" name=""/>
        <dsp:cNvSpPr/>
      </dsp:nvSpPr>
      <dsp:spPr>
        <a:xfrm>
          <a:off x="1514474" y="1240972"/>
          <a:ext cx="302895" cy="378675"/>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D5173D-FCCE-4FE0-84B6-1B1712F9F835}">
      <dsp:nvSpPr>
        <dsp:cNvPr id="0" name=""/>
        <dsp:cNvSpPr/>
      </dsp:nvSpPr>
      <dsp:spPr>
        <a:xfrm>
          <a:off x="1938527" y="1240972"/>
          <a:ext cx="4119372" cy="37867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Megapack: 20% Hawaii peak load; VPP: 2.8 GWh/year</a:t>
          </a:r>
        </a:p>
      </dsp:txBody>
      <dsp:txXfrm>
        <a:off x="1938527" y="1240972"/>
        <a:ext cx="4119372" cy="378675"/>
      </dsp:txXfrm>
    </dsp:sp>
    <dsp:sp modelId="{B1AB27F1-C529-4E53-A7C2-58C68EA0F90B}">
      <dsp:nvSpPr>
        <dsp:cNvPr id="0" name=""/>
        <dsp:cNvSpPr/>
      </dsp:nvSpPr>
      <dsp:spPr>
        <a:xfrm>
          <a:off x="0" y="1680847"/>
          <a:ext cx="1514475" cy="378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Chinese OEM expansion</a:t>
          </a:r>
        </a:p>
      </dsp:txBody>
      <dsp:txXfrm>
        <a:off x="0" y="1680847"/>
        <a:ext cx="1514475" cy="378675"/>
      </dsp:txXfrm>
    </dsp:sp>
    <dsp:sp modelId="{48A0C0FC-3E53-4C3E-9356-1EED7D399136}">
      <dsp:nvSpPr>
        <dsp:cNvPr id="0" name=""/>
        <dsp:cNvSpPr/>
      </dsp:nvSpPr>
      <dsp:spPr>
        <a:xfrm>
          <a:off x="1514474" y="1680847"/>
          <a:ext cx="302895" cy="378675"/>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1880FE-C276-45BF-88C1-9C4DBB608CD6}">
      <dsp:nvSpPr>
        <dsp:cNvPr id="0" name=""/>
        <dsp:cNvSpPr/>
      </dsp:nvSpPr>
      <dsp:spPr>
        <a:xfrm>
          <a:off x="1938527" y="1680847"/>
          <a:ext cx="4119372" cy="37867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High competitive intensity in Asia and Europe</a:t>
          </a:r>
        </a:p>
      </dsp:txBody>
      <dsp:txXfrm>
        <a:off x="1938527" y="1680847"/>
        <a:ext cx="4119372" cy="37867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795A44-9C23-4839-BD99-DA34FF627CF8}">
      <dsp:nvSpPr>
        <dsp:cNvPr id="0" name=""/>
        <dsp:cNvSpPr/>
      </dsp:nvSpPr>
      <dsp:spPr>
        <a:xfrm>
          <a:off x="97100" y="1569227"/>
          <a:ext cx="573405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66C2F1-E1A5-411A-B82A-EC791DB3A61D}">
      <dsp:nvSpPr>
        <dsp:cNvPr id="0" name=""/>
        <dsp:cNvSpPr/>
      </dsp:nvSpPr>
      <dsp:spPr>
        <a:xfrm>
          <a:off x="97100" y="1172036"/>
          <a:ext cx="573405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A73850-CDCB-481E-AD4D-69300341ED77}">
      <dsp:nvSpPr>
        <dsp:cNvPr id="0" name=""/>
        <dsp:cNvSpPr/>
      </dsp:nvSpPr>
      <dsp:spPr>
        <a:xfrm>
          <a:off x="5759" y="774845"/>
          <a:ext cx="573405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C3B1AA-E560-43BB-8B8F-23CA73F16884}">
      <dsp:nvSpPr>
        <dsp:cNvPr id="0" name=""/>
        <dsp:cNvSpPr/>
      </dsp:nvSpPr>
      <dsp:spPr>
        <a:xfrm>
          <a:off x="97100" y="377655"/>
          <a:ext cx="573405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808485-9331-4561-B04D-C801F525C5CA}">
      <dsp:nvSpPr>
        <dsp:cNvPr id="0" name=""/>
        <dsp:cNvSpPr/>
      </dsp:nvSpPr>
      <dsp:spPr>
        <a:xfrm>
          <a:off x="1465304" y="492"/>
          <a:ext cx="4488496" cy="3537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85 million units globally</a:t>
          </a:r>
        </a:p>
      </dsp:txBody>
      <dsp:txXfrm>
        <a:off x="1465304" y="492"/>
        <a:ext cx="4488496" cy="353759"/>
      </dsp:txXfrm>
    </dsp:sp>
    <dsp:sp modelId="{7B56D53A-0C53-4943-86B3-DA952206C6C2}">
      <dsp:nvSpPr>
        <dsp:cNvPr id="0" name=""/>
        <dsp:cNvSpPr/>
      </dsp:nvSpPr>
      <dsp:spPr>
        <a:xfrm>
          <a:off x="-219750" y="492"/>
          <a:ext cx="2124554" cy="353759"/>
        </a:xfrm>
        <a:prstGeom prst="round2SameRect">
          <a:avLst>
            <a:gd name="adj1" fmla="val 16670"/>
            <a:gd name="adj2" fmla="val 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EV adoption 2025 forecast</a:t>
          </a:r>
        </a:p>
      </dsp:txBody>
      <dsp:txXfrm>
        <a:off x="-202478" y="17764"/>
        <a:ext cx="2090010" cy="336487"/>
      </dsp:txXfrm>
    </dsp:sp>
    <dsp:sp modelId="{C8DCFA60-CAD1-486B-BFD4-1B66BBED4976}">
      <dsp:nvSpPr>
        <dsp:cNvPr id="0" name=""/>
        <dsp:cNvSpPr/>
      </dsp:nvSpPr>
      <dsp:spPr>
        <a:xfrm>
          <a:off x="1373963" y="397683"/>
          <a:ext cx="4488496" cy="3537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China: 45%+; Europe: rapid growth, underdeveloped Tesla share</a:t>
          </a:r>
        </a:p>
      </dsp:txBody>
      <dsp:txXfrm>
        <a:off x="1373963" y="397683"/>
        <a:ext cx="4488496" cy="353759"/>
      </dsp:txXfrm>
    </dsp:sp>
    <dsp:sp modelId="{56BF853D-087F-4F00-A710-1CCDE2770D88}">
      <dsp:nvSpPr>
        <dsp:cNvPr id="0" name=""/>
        <dsp:cNvSpPr/>
      </dsp:nvSpPr>
      <dsp:spPr>
        <a:xfrm>
          <a:off x="-128409" y="397683"/>
          <a:ext cx="1759191" cy="353759"/>
        </a:xfrm>
        <a:prstGeom prst="round2SameRect">
          <a:avLst>
            <a:gd name="adj1" fmla="val 16670"/>
            <a:gd name="adj2" fmla="val 0"/>
          </a:avLst>
        </a:prstGeom>
        <a:solidFill>
          <a:schemeClr val="accent2">
            <a:hueOff val="-485121"/>
            <a:satOff val="-27976"/>
            <a:lumOff val="2876"/>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Geographic adoption</a:t>
          </a:r>
        </a:p>
      </dsp:txBody>
      <dsp:txXfrm>
        <a:off x="-111137" y="414955"/>
        <a:ext cx="1724647" cy="336487"/>
      </dsp:txXfrm>
    </dsp:sp>
    <dsp:sp modelId="{B3175641-E3CE-44DE-85C0-396E986992CD}">
      <dsp:nvSpPr>
        <dsp:cNvPr id="0" name=""/>
        <dsp:cNvSpPr/>
      </dsp:nvSpPr>
      <dsp:spPr>
        <a:xfrm>
          <a:off x="1465304" y="794874"/>
          <a:ext cx="4488496" cy="3537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16.3 million units</a:t>
          </a:r>
        </a:p>
      </dsp:txBody>
      <dsp:txXfrm>
        <a:off x="1465304" y="794874"/>
        <a:ext cx="4488496" cy="353759"/>
      </dsp:txXfrm>
    </dsp:sp>
    <dsp:sp modelId="{C4414B23-C296-4210-B1D0-E7E8B2A65DCA}">
      <dsp:nvSpPr>
        <dsp:cNvPr id="0" name=""/>
        <dsp:cNvSpPr/>
      </dsp:nvSpPr>
      <dsp:spPr>
        <a:xfrm>
          <a:off x="-219750" y="794874"/>
          <a:ext cx="2124554" cy="353759"/>
        </a:xfrm>
        <a:prstGeom prst="round2SameRect">
          <a:avLst>
            <a:gd name="adj1" fmla="val 16670"/>
            <a:gd name="adj2" fmla="val 0"/>
          </a:avLst>
        </a:prstGeom>
        <a:solidFill>
          <a:schemeClr val="accent2">
            <a:hueOff val="-970242"/>
            <a:satOff val="-55952"/>
            <a:lumOff val="5752"/>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New vehicle sales 2025</a:t>
          </a:r>
        </a:p>
      </dsp:txBody>
      <dsp:txXfrm>
        <a:off x="-202478" y="812146"/>
        <a:ext cx="2090010" cy="336487"/>
      </dsp:txXfrm>
    </dsp:sp>
    <dsp:sp modelId="{FD3F9FF9-D74B-4EE8-97F5-D87F64FE27D2}">
      <dsp:nvSpPr>
        <dsp:cNvPr id="0" name=""/>
        <dsp:cNvSpPr/>
      </dsp:nvSpPr>
      <dsp:spPr>
        <a:xfrm>
          <a:off x="1465304" y="1192064"/>
          <a:ext cx="4488496" cy="3537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−3.8% YOY</a:t>
          </a:r>
        </a:p>
      </dsp:txBody>
      <dsp:txXfrm>
        <a:off x="1465304" y="1192064"/>
        <a:ext cx="4488496" cy="353759"/>
      </dsp:txXfrm>
    </dsp:sp>
    <dsp:sp modelId="{2F9989DF-8614-42F5-82C7-7D8D221BDE46}">
      <dsp:nvSpPr>
        <dsp:cNvPr id="0" name=""/>
        <dsp:cNvSpPr/>
      </dsp:nvSpPr>
      <dsp:spPr>
        <a:xfrm>
          <a:off x="-219750" y="1192064"/>
          <a:ext cx="2124554" cy="353759"/>
        </a:xfrm>
        <a:prstGeom prst="round2SameRect">
          <a:avLst>
            <a:gd name="adj1" fmla="val 16670"/>
            <a:gd name="adj2" fmla="val 0"/>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Leasing revenue trend	</a:t>
          </a:r>
        </a:p>
      </dsp:txBody>
      <dsp:txXfrm>
        <a:off x="-202478" y="1209336"/>
        <a:ext cx="2090010" cy="336487"/>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CADC6D-4128-45CA-A602-A9210A8F215F}">
      <dsp:nvSpPr>
        <dsp:cNvPr id="0" name=""/>
        <dsp:cNvSpPr/>
      </dsp:nvSpPr>
      <dsp:spPr>
        <a:xfrm>
          <a:off x="0" y="0"/>
          <a:ext cx="592836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B052B7-293E-4C4A-A164-8F886DD67635}">
      <dsp:nvSpPr>
        <dsp:cNvPr id="0" name=""/>
        <dsp:cNvSpPr/>
      </dsp:nvSpPr>
      <dsp:spPr>
        <a:xfrm>
          <a:off x="0" y="0"/>
          <a:ext cx="1558934" cy="5200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California (US)</a:t>
          </a:r>
        </a:p>
      </dsp:txBody>
      <dsp:txXfrm>
        <a:off x="0" y="0"/>
        <a:ext cx="1558934" cy="520065"/>
      </dsp:txXfrm>
    </dsp:sp>
    <dsp:sp modelId="{C1AF3AF2-3A72-46DD-94CD-25428F8DC4F1}">
      <dsp:nvSpPr>
        <dsp:cNvPr id="0" name=""/>
        <dsp:cNvSpPr/>
      </dsp:nvSpPr>
      <dsp:spPr>
        <a:xfrm>
          <a:off x="1607652" y="12087"/>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Share of Regional Sales: 28–32%</a:t>
          </a:r>
        </a:p>
      </dsp:txBody>
      <dsp:txXfrm>
        <a:off x="1607652" y="12087"/>
        <a:ext cx="4317061" cy="241748"/>
      </dsp:txXfrm>
    </dsp:sp>
    <dsp:sp modelId="{B3B6806B-26C8-480E-9000-24C0DA8EF8A9}">
      <dsp:nvSpPr>
        <dsp:cNvPr id="0" name=""/>
        <dsp:cNvSpPr/>
      </dsp:nvSpPr>
      <dsp:spPr>
        <a:xfrm>
          <a:off x="1558934" y="253836"/>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D73A49-CBFB-4047-B9AD-41B339F2BB4E}">
      <dsp:nvSpPr>
        <dsp:cNvPr id="0" name=""/>
        <dsp:cNvSpPr/>
      </dsp:nvSpPr>
      <dsp:spPr>
        <a:xfrm>
          <a:off x="1607652" y="265923"/>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Population Share: ~12%	</a:t>
          </a:r>
        </a:p>
      </dsp:txBody>
      <dsp:txXfrm>
        <a:off x="1607652" y="265923"/>
        <a:ext cx="4317061" cy="241748"/>
      </dsp:txXfrm>
    </dsp:sp>
    <dsp:sp modelId="{5BC70094-074E-4BBD-A697-C0C80F5B37FD}">
      <dsp:nvSpPr>
        <dsp:cNvPr id="0" name=""/>
        <dsp:cNvSpPr/>
      </dsp:nvSpPr>
      <dsp:spPr>
        <a:xfrm>
          <a:off x="1558934" y="507672"/>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F3987-8544-420B-B04E-9C9A9EB8BE74}">
      <dsp:nvSpPr>
        <dsp:cNvPr id="0" name=""/>
        <dsp:cNvSpPr/>
      </dsp:nvSpPr>
      <dsp:spPr>
        <a:xfrm>
          <a:off x="0" y="520065"/>
          <a:ext cx="5928360" cy="0"/>
        </a:xfrm>
        <a:prstGeom prst="line">
          <a:avLst/>
        </a:prstGeom>
        <a:solidFill>
          <a:schemeClr val="accent5">
            <a:hueOff val="-2252848"/>
            <a:satOff val="-5806"/>
            <a:lumOff val="-3922"/>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5C5FB52-45AC-4C5D-8754-EF1189C2A094}">
      <dsp:nvSpPr>
        <dsp:cNvPr id="0" name=""/>
        <dsp:cNvSpPr/>
      </dsp:nvSpPr>
      <dsp:spPr>
        <a:xfrm>
          <a:off x="0" y="520065"/>
          <a:ext cx="1558934" cy="5200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Germany &amp; Norway (EU)</a:t>
          </a:r>
        </a:p>
      </dsp:txBody>
      <dsp:txXfrm>
        <a:off x="0" y="520065"/>
        <a:ext cx="1558934" cy="520065"/>
      </dsp:txXfrm>
    </dsp:sp>
    <dsp:sp modelId="{6FEC0258-5226-4D79-87C4-39820531FD53}">
      <dsp:nvSpPr>
        <dsp:cNvPr id="0" name=""/>
        <dsp:cNvSpPr/>
      </dsp:nvSpPr>
      <dsp:spPr>
        <a:xfrm>
          <a:off x="1607652" y="532152"/>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Share of Regional Sales: ~45%</a:t>
          </a:r>
        </a:p>
      </dsp:txBody>
      <dsp:txXfrm>
        <a:off x="1607652" y="532152"/>
        <a:ext cx="4317061" cy="241748"/>
      </dsp:txXfrm>
    </dsp:sp>
    <dsp:sp modelId="{0D93D126-1D78-4207-9773-8CE22EDA30AF}">
      <dsp:nvSpPr>
        <dsp:cNvPr id="0" name=""/>
        <dsp:cNvSpPr/>
      </dsp:nvSpPr>
      <dsp:spPr>
        <a:xfrm>
          <a:off x="1558934" y="773901"/>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D234A96-14E3-4143-A411-DB603BF93BF2}">
      <dsp:nvSpPr>
        <dsp:cNvPr id="0" name=""/>
        <dsp:cNvSpPr/>
      </dsp:nvSpPr>
      <dsp:spPr>
        <a:xfrm>
          <a:off x="1607652" y="785988"/>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Population Share: ~15%	</a:t>
          </a:r>
        </a:p>
      </dsp:txBody>
      <dsp:txXfrm>
        <a:off x="1607652" y="785988"/>
        <a:ext cx="4317061" cy="241748"/>
      </dsp:txXfrm>
    </dsp:sp>
    <dsp:sp modelId="{EA65866C-0350-492C-BCEF-E1B7AB2479DF}">
      <dsp:nvSpPr>
        <dsp:cNvPr id="0" name=""/>
        <dsp:cNvSpPr/>
      </dsp:nvSpPr>
      <dsp:spPr>
        <a:xfrm>
          <a:off x="1558934" y="1027737"/>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785E2AA-8022-47AC-8CCE-48059E79D2EE}">
      <dsp:nvSpPr>
        <dsp:cNvPr id="0" name=""/>
        <dsp:cNvSpPr/>
      </dsp:nvSpPr>
      <dsp:spPr>
        <a:xfrm>
          <a:off x="0" y="1040130"/>
          <a:ext cx="5928360" cy="0"/>
        </a:xfrm>
        <a:prstGeom prst="line">
          <a:avLst/>
        </a:prstGeom>
        <a:solidFill>
          <a:schemeClr val="accent5">
            <a:hueOff val="-4505695"/>
            <a:satOff val="-11613"/>
            <a:lumOff val="-7843"/>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C97403-CD2B-4579-8BE2-E0403EEAB6E9}">
      <dsp:nvSpPr>
        <dsp:cNvPr id="0" name=""/>
        <dsp:cNvSpPr/>
      </dsp:nvSpPr>
      <dsp:spPr>
        <a:xfrm>
          <a:off x="0" y="1040130"/>
          <a:ext cx="1558934" cy="5200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India</a:t>
          </a:r>
        </a:p>
      </dsp:txBody>
      <dsp:txXfrm>
        <a:off x="0" y="1040130"/>
        <a:ext cx="1558934" cy="520065"/>
      </dsp:txXfrm>
    </dsp:sp>
    <dsp:sp modelId="{B4465035-5EBC-4C26-8385-9013CB832807}">
      <dsp:nvSpPr>
        <dsp:cNvPr id="0" name=""/>
        <dsp:cNvSpPr/>
      </dsp:nvSpPr>
      <dsp:spPr>
        <a:xfrm>
          <a:off x="1607652" y="1052217"/>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Share of Regional Sales: 0.2%</a:t>
          </a:r>
        </a:p>
      </dsp:txBody>
      <dsp:txXfrm>
        <a:off x="1607652" y="1052217"/>
        <a:ext cx="4317061" cy="241748"/>
      </dsp:txXfrm>
    </dsp:sp>
    <dsp:sp modelId="{95F12BB9-EB8C-4A34-BC87-7D73D662BF03}">
      <dsp:nvSpPr>
        <dsp:cNvPr id="0" name=""/>
        <dsp:cNvSpPr/>
      </dsp:nvSpPr>
      <dsp:spPr>
        <a:xfrm>
          <a:off x="1558934" y="1293966"/>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C92298D-01E6-4DC8-97ED-44513BCCAD8F}">
      <dsp:nvSpPr>
        <dsp:cNvPr id="0" name=""/>
        <dsp:cNvSpPr/>
      </dsp:nvSpPr>
      <dsp:spPr>
        <a:xfrm>
          <a:off x="1607652" y="1306053"/>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Population Share: High-growth	</a:t>
          </a:r>
        </a:p>
      </dsp:txBody>
      <dsp:txXfrm>
        <a:off x="1607652" y="1306053"/>
        <a:ext cx="4317061" cy="241748"/>
      </dsp:txXfrm>
    </dsp:sp>
    <dsp:sp modelId="{5874E50D-2397-42E4-88A3-34B36A063E1E}">
      <dsp:nvSpPr>
        <dsp:cNvPr id="0" name=""/>
        <dsp:cNvSpPr/>
      </dsp:nvSpPr>
      <dsp:spPr>
        <a:xfrm>
          <a:off x="1558934" y="1547802"/>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7C41A45-C015-437E-BF0B-80CF0B615F7F}">
      <dsp:nvSpPr>
        <dsp:cNvPr id="0" name=""/>
        <dsp:cNvSpPr/>
      </dsp:nvSpPr>
      <dsp:spPr>
        <a:xfrm>
          <a:off x="0" y="1560195"/>
          <a:ext cx="5928360" cy="0"/>
        </a:xfrm>
        <a:prstGeom prst="line">
          <a:avLst/>
        </a:prstGeom>
        <a:solidFill>
          <a:schemeClr val="accent5">
            <a:hueOff val="-6758543"/>
            <a:satOff val="-17419"/>
            <a:lumOff val="-11765"/>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5B5524-123C-4C4E-AF7C-DA2A2409BE87}">
      <dsp:nvSpPr>
        <dsp:cNvPr id="0" name=""/>
        <dsp:cNvSpPr/>
      </dsp:nvSpPr>
      <dsp:spPr>
        <a:xfrm>
          <a:off x="0" y="1560195"/>
          <a:ext cx="1558934" cy="5200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Indonesia</a:t>
          </a:r>
        </a:p>
      </dsp:txBody>
      <dsp:txXfrm>
        <a:off x="0" y="1560195"/>
        <a:ext cx="1558934" cy="520065"/>
      </dsp:txXfrm>
    </dsp:sp>
    <dsp:sp modelId="{BD1DFC33-E7E5-477B-B19D-4E3E2876839B}">
      <dsp:nvSpPr>
        <dsp:cNvPr id="0" name=""/>
        <dsp:cNvSpPr/>
      </dsp:nvSpPr>
      <dsp:spPr>
        <a:xfrm>
          <a:off x="1607652" y="1572282"/>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Share of Regional Sales: 0.1%</a:t>
          </a:r>
        </a:p>
      </dsp:txBody>
      <dsp:txXfrm>
        <a:off x="1607652" y="1572282"/>
        <a:ext cx="4317061" cy="241748"/>
      </dsp:txXfrm>
    </dsp:sp>
    <dsp:sp modelId="{459FEB02-5D2E-4D3E-A2D8-7284A2CE9E03}">
      <dsp:nvSpPr>
        <dsp:cNvPr id="0" name=""/>
        <dsp:cNvSpPr/>
      </dsp:nvSpPr>
      <dsp:spPr>
        <a:xfrm>
          <a:off x="1558934" y="1814031"/>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A74ED2C-7222-4FC8-B1CF-C0D6E87EAA18}">
      <dsp:nvSpPr>
        <dsp:cNvPr id="0" name=""/>
        <dsp:cNvSpPr/>
      </dsp:nvSpPr>
      <dsp:spPr>
        <a:xfrm>
          <a:off x="1607652" y="1826118"/>
          <a:ext cx="4317061" cy="2417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Population Share: High-growth</a:t>
          </a:r>
        </a:p>
      </dsp:txBody>
      <dsp:txXfrm>
        <a:off x="1607652" y="1826118"/>
        <a:ext cx="4317061" cy="241748"/>
      </dsp:txXfrm>
    </dsp:sp>
    <dsp:sp modelId="{A2739780-02B3-4D04-86E2-9BEEE4BA985E}">
      <dsp:nvSpPr>
        <dsp:cNvPr id="0" name=""/>
        <dsp:cNvSpPr/>
      </dsp:nvSpPr>
      <dsp:spPr>
        <a:xfrm>
          <a:off x="1558934" y="2067867"/>
          <a:ext cx="2598289"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78F672-D724-4F08-9041-3B344CD89E40}">
      <dsp:nvSpPr>
        <dsp:cNvPr id="0" name=""/>
        <dsp:cNvSpPr/>
      </dsp:nvSpPr>
      <dsp:spPr>
        <a:xfrm>
          <a:off x="-199669" y="1249414"/>
          <a:ext cx="545973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9519FE-DB51-466F-812C-A1270F9513F4}">
      <dsp:nvSpPr>
        <dsp:cNvPr id="0" name=""/>
        <dsp:cNvSpPr/>
      </dsp:nvSpPr>
      <dsp:spPr>
        <a:xfrm>
          <a:off x="-199669" y="933364"/>
          <a:ext cx="545973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F49D03-86AE-4A54-BB32-518B20FDBE25}">
      <dsp:nvSpPr>
        <dsp:cNvPr id="0" name=""/>
        <dsp:cNvSpPr/>
      </dsp:nvSpPr>
      <dsp:spPr>
        <a:xfrm>
          <a:off x="-199669" y="617315"/>
          <a:ext cx="545973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27BA15-CEB3-4465-A785-1D4F40A2A9CA}">
      <dsp:nvSpPr>
        <dsp:cNvPr id="0" name=""/>
        <dsp:cNvSpPr/>
      </dsp:nvSpPr>
      <dsp:spPr>
        <a:xfrm>
          <a:off x="-199669" y="301265"/>
          <a:ext cx="545973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26AAB4-8283-4DDB-AD3F-3EF65833322C}">
      <dsp:nvSpPr>
        <dsp:cNvPr id="0" name=""/>
        <dsp:cNvSpPr/>
      </dsp:nvSpPr>
      <dsp:spPr>
        <a:xfrm>
          <a:off x="510097" y="265"/>
          <a:ext cx="5459724" cy="3009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Innovation / performance-led</a:t>
          </a:r>
        </a:p>
      </dsp:txBody>
      <dsp:txXfrm>
        <a:off x="510097" y="265"/>
        <a:ext cx="5459724" cy="300999"/>
      </dsp:txXfrm>
    </dsp:sp>
    <dsp:sp modelId="{74F9015A-F50B-436E-B3AC-20E15B34A4D0}">
      <dsp:nvSpPr>
        <dsp:cNvPr id="0" name=""/>
        <dsp:cNvSpPr/>
      </dsp:nvSpPr>
      <dsp:spPr>
        <a:xfrm>
          <a:off x="-510092" y="265"/>
          <a:ext cx="2040375" cy="300999"/>
        </a:xfrm>
        <a:prstGeom prst="round2SameRect">
          <a:avLst>
            <a:gd name="adj1" fmla="val 16670"/>
            <a:gd name="adj2" fmla="val 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North America (35%)</a:t>
          </a:r>
        </a:p>
      </dsp:txBody>
      <dsp:txXfrm>
        <a:off x="-495396" y="14961"/>
        <a:ext cx="2010983" cy="286303"/>
      </dsp:txXfrm>
    </dsp:sp>
    <dsp:sp modelId="{1F2B09FD-47B0-4B1D-9D88-9C0262DAADB7}">
      <dsp:nvSpPr>
        <dsp:cNvPr id="0" name=""/>
        <dsp:cNvSpPr/>
      </dsp:nvSpPr>
      <dsp:spPr>
        <a:xfrm>
          <a:off x="510097" y="316315"/>
          <a:ext cx="5459724" cy="3009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Sustainability / compliance-led</a:t>
          </a:r>
        </a:p>
      </dsp:txBody>
      <dsp:txXfrm>
        <a:off x="510097" y="316315"/>
        <a:ext cx="5459724" cy="300999"/>
      </dsp:txXfrm>
    </dsp:sp>
    <dsp:sp modelId="{6406E7B5-DD4D-49AA-B24A-CE51CC8519DB}">
      <dsp:nvSpPr>
        <dsp:cNvPr id="0" name=""/>
        <dsp:cNvSpPr/>
      </dsp:nvSpPr>
      <dsp:spPr>
        <a:xfrm>
          <a:off x="-510092" y="316315"/>
          <a:ext cx="2040375" cy="300999"/>
        </a:xfrm>
        <a:prstGeom prst="round2SameRect">
          <a:avLst>
            <a:gd name="adj1" fmla="val 16670"/>
            <a:gd name="adj2" fmla="val 0"/>
          </a:avLst>
        </a:prstGeom>
        <a:solidFill>
          <a:schemeClr val="accent2">
            <a:hueOff val="-485121"/>
            <a:satOff val="-27976"/>
            <a:lumOff val="2876"/>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Europe (25%)</a:t>
          </a:r>
        </a:p>
      </dsp:txBody>
      <dsp:txXfrm>
        <a:off x="-495396" y="331011"/>
        <a:ext cx="2010983" cy="286303"/>
      </dsp:txXfrm>
    </dsp:sp>
    <dsp:sp modelId="{C6355DF0-E40F-4BD6-98D6-F2C893D3F524}">
      <dsp:nvSpPr>
        <dsp:cNvPr id="0" name=""/>
        <dsp:cNvSpPr/>
      </dsp:nvSpPr>
      <dsp:spPr>
        <a:xfrm>
          <a:off x="510097" y="632364"/>
          <a:ext cx="5459724" cy="3009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Value / technology integration</a:t>
          </a:r>
        </a:p>
      </dsp:txBody>
      <dsp:txXfrm>
        <a:off x="510097" y="632364"/>
        <a:ext cx="5459724" cy="300999"/>
      </dsp:txXfrm>
    </dsp:sp>
    <dsp:sp modelId="{87692D78-8DAE-4BD5-8455-F0CD4D2E2C40}">
      <dsp:nvSpPr>
        <dsp:cNvPr id="0" name=""/>
        <dsp:cNvSpPr/>
      </dsp:nvSpPr>
      <dsp:spPr>
        <a:xfrm>
          <a:off x="-510092" y="632364"/>
          <a:ext cx="2040375" cy="300999"/>
        </a:xfrm>
        <a:prstGeom prst="round2SameRect">
          <a:avLst>
            <a:gd name="adj1" fmla="val 16670"/>
            <a:gd name="adj2" fmla="val 0"/>
          </a:avLst>
        </a:prstGeom>
        <a:solidFill>
          <a:schemeClr val="accent2">
            <a:hueOff val="-970242"/>
            <a:satOff val="-55952"/>
            <a:lumOff val="5752"/>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China (28%)</a:t>
          </a:r>
        </a:p>
      </dsp:txBody>
      <dsp:txXfrm>
        <a:off x="-495396" y="647060"/>
        <a:ext cx="2010983" cy="286303"/>
      </dsp:txXfrm>
    </dsp:sp>
    <dsp:sp modelId="{61BE2D39-A0DD-45B8-B004-DCEA549F1D82}">
      <dsp:nvSpPr>
        <dsp:cNvPr id="0" name=""/>
        <dsp:cNvSpPr/>
      </dsp:nvSpPr>
      <dsp:spPr>
        <a:xfrm>
          <a:off x="510097" y="948414"/>
          <a:ext cx="5459724" cy="3009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Aspirational / access-driven</a:t>
          </a:r>
        </a:p>
      </dsp:txBody>
      <dsp:txXfrm>
        <a:off x="510097" y="948414"/>
        <a:ext cx="5459724" cy="300999"/>
      </dsp:txXfrm>
    </dsp:sp>
    <dsp:sp modelId="{B614D03A-1BD2-4526-BBF0-0872AA2A4B7E}">
      <dsp:nvSpPr>
        <dsp:cNvPr id="0" name=""/>
        <dsp:cNvSpPr/>
      </dsp:nvSpPr>
      <dsp:spPr>
        <a:xfrm>
          <a:off x="-510092" y="948414"/>
          <a:ext cx="2040375" cy="300999"/>
        </a:xfrm>
        <a:prstGeom prst="round2SameRect">
          <a:avLst>
            <a:gd name="adj1" fmla="val 16670"/>
            <a:gd name="adj2" fmla="val 0"/>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Emerging markets (12%)</a:t>
          </a:r>
        </a:p>
      </dsp:txBody>
      <dsp:txXfrm>
        <a:off x="-495396" y="963110"/>
        <a:ext cx="2010983" cy="286303"/>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319259-A502-435B-A28C-126BF71FFF1F}">
      <dsp:nvSpPr>
        <dsp:cNvPr id="0" name=""/>
        <dsp:cNvSpPr/>
      </dsp:nvSpPr>
      <dsp:spPr>
        <a:xfrm>
          <a:off x="0" y="0"/>
          <a:ext cx="6027420" cy="0"/>
        </a:xfrm>
        <a:prstGeom prst="line">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938224-3F11-4117-84A7-93ED816366E7}">
      <dsp:nvSpPr>
        <dsp:cNvPr id="0" name=""/>
        <dsp:cNvSpPr/>
      </dsp:nvSpPr>
      <dsp:spPr>
        <a:xfrm>
          <a:off x="0" y="0"/>
          <a:ext cx="1205484" cy="15354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Product</a:t>
          </a:r>
        </a:p>
      </dsp:txBody>
      <dsp:txXfrm>
        <a:off x="0" y="0"/>
        <a:ext cx="1205484" cy="1535429"/>
      </dsp:txXfrm>
    </dsp:sp>
    <dsp:sp modelId="{6F110BD7-6E45-4ECE-BC1C-0BA29F283289}">
      <dsp:nvSpPr>
        <dsp:cNvPr id="0" name=""/>
        <dsp:cNvSpPr/>
      </dsp:nvSpPr>
      <dsp:spPr>
        <a:xfrm>
          <a:off x="1295895" y="69724"/>
          <a:ext cx="4731524" cy="13944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Tesla's strategic misalignment is the result of a product strategy that groups fundamentally heterogeneous categories of customers – from price-sensitive (Model 3) to ultra-luxury (Roadster) – into a single global brand. This creates positioning dilution, which is not scale efficiency, which is not segmentation logic (Ghar, 2024). The issue is further complicated by a lack of regional adaptation despite differences in regulatory and cultural market conditions (Lei, 2025a), a weakness that is especially exhibited by East Asia in the face of more local competitors (Ding and Lee, 2023).</a:t>
          </a:r>
        </a:p>
      </dsp:txBody>
      <dsp:txXfrm>
        <a:off x="1295895" y="69724"/>
        <a:ext cx="4731524" cy="1394482"/>
      </dsp:txXfrm>
    </dsp:sp>
    <dsp:sp modelId="{1EE831E2-BFB9-4F13-9735-1D6A8F3D684A}">
      <dsp:nvSpPr>
        <dsp:cNvPr id="0" name=""/>
        <dsp:cNvSpPr/>
      </dsp:nvSpPr>
      <dsp:spPr>
        <a:xfrm>
          <a:off x="1205483" y="1464206"/>
          <a:ext cx="4821936"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E5221FA-12D4-4EB5-9C87-A5FEB4092524}">
      <dsp:nvSpPr>
        <dsp:cNvPr id="0" name=""/>
        <dsp:cNvSpPr/>
      </dsp:nvSpPr>
      <dsp:spPr>
        <a:xfrm>
          <a:off x="0" y="1535429"/>
          <a:ext cx="6027420" cy="0"/>
        </a:xfrm>
        <a:prstGeom prst="line">
          <a:avLst/>
        </a:prstGeom>
        <a:solidFill>
          <a:schemeClr val="accent2">
            <a:hueOff val="-485121"/>
            <a:satOff val="-27976"/>
            <a:lumOff val="2876"/>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C93A809-3132-4845-ABE9-F547CD5C1AE2}">
      <dsp:nvSpPr>
        <dsp:cNvPr id="0" name=""/>
        <dsp:cNvSpPr/>
      </dsp:nvSpPr>
      <dsp:spPr>
        <a:xfrm>
          <a:off x="0" y="1535429"/>
          <a:ext cx="1205484" cy="15354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Pricing</a:t>
          </a:r>
        </a:p>
      </dsp:txBody>
      <dsp:txXfrm>
        <a:off x="0" y="1535429"/>
        <a:ext cx="1205484" cy="1535429"/>
      </dsp:txXfrm>
    </dsp:sp>
    <dsp:sp modelId="{E8636503-90FF-4FE4-BFDD-F26464E7CAD1}">
      <dsp:nvSpPr>
        <dsp:cNvPr id="0" name=""/>
        <dsp:cNvSpPr/>
      </dsp:nvSpPr>
      <dsp:spPr>
        <a:xfrm>
          <a:off x="1295895" y="1605154"/>
          <a:ext cx="4731524" cy="13944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This strategy contributes to this incoherence. Frequent and major adjustments, especially for Models 3 and Y, detract from the stability of premium values and reflect a defensive responsiveness. This involves competition between two competitors dismantling margins with the lack of long-term differentiation while commoditisation risks arise quickly (Huang et al., 2023).</a:t>
          </a:r>
        </a:p>
      </dsp:txBody>
      <dsp:txXfrm>
        <a:off x="1295895" y="1605154"/>
        <a:ext cx="4731524" cy="1394482"/>
      </dsp:txXfrm>
    </dsp:sp>
    <dsp:sp modelId="{0CF81565-B6CC-4704-8E78-75BAC415EF86}">
      <dsp:nvSpPr>
        <dsp:cNvPr id="0" name=""/>
        <dsp:cNvSpPr/>
      </dsp:nvSpPr>
      <dsp:spPr>
        <a:xfrm>
          <a:off x="1205483" y="2999636"/>
          <a:ext cx="4821936"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A18227-CFCD-4321-B7D9-269E30C720E6}">
      <dsp:nvSpPr>
        <dsp:cNvPr id="0" name=""/>
        <dsp:cNvSpPr/>
      </dsp:nvSpPr>
      <dsp:spPr>
        <a:xfrm>
          <a:off x="0" y="3070859"/>
          <a:ext cx="6027420" cy="0"/>
        </a:xfrm>
        <a:prstGeom prst="line">
          <a:avLst/>
        </a:prstGeom>
        <a:solidFill>
          <a:schemeClr val="accent2">
            <a:hueOff val="-970242"/>
            <a:satOff val="-55952"/>
            <a:lumOff val="5752"/>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6E1BDD-247F-4FF8-AF69-B4940FFCB7E0}">
      <dsp:nvSpPr>
        <dsp:cNvPr id="0" name=""/>
        <dsp:cNvSpPr/>
      </dsp:nvSpPr>
      <dsp:spPr>
        <a:xfrm>
          <a:off x="0" y="3070859"/>
          <a:ext cx="1205484" cy="15354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Place</a:t>
          </a:r>
        </a:p>
      </dsp:txBody>
      <dsp:txXfrm>
        <a:off x="0" y="3070859"/>
        <a:ext cx="1205484" cy="1535429"/>
      </dsp:txXfrm>
    </dsp:sp>
    <dsp:sp modelId="{22BD30C5-EAB7-49D7-813C-1B973ACED1B4}">
      <dsp:nvSpPr>
        <dsp:cNvPr id="0" name=""/>
        <dsp:cNvSpPr/>
      </dsp:nvSpPr>
      <dsp:spPr>
        <a:xfrm>
          <a:off x="1295895" y="3140584"/>
          <a:ext cx="4731524" cy="13944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This strategy limits effectiveness as well. The direct-to-consumer model limits geographical reach and narrows down penetration in early-adopter locations. Tesla requires a higher level of granular geographic targeting rather than a homogenous global distribution (Lei, 2025b) and underutilises the strategic potential of its Supercharger network.</a:t>
          </a:r>
        </a:p>
      </dsp:txBody>
      <dsp:txXfrm>
        <a:off x="1295895" y="3140584"/>
        <a:ext cx="4731524" cy="1394482"/>
      </dsp:txXfrm>
    </dsp:sp>
    <dsp:sp modelId="{61E860CF-CD80-4D49-9A77-E3C7A31A519B}">
      <dsp:nvSpPr>
        <dsp:cNvPr id="0" name=""/>
        <dsp:cNvSpPr/>
      </dsp:nvSpPr>
      <dsp:spPr>
        <a:xfrm>
          <a:off x="1205483" y="4535066"/>
          <a:ext cx="4821936"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DCF9B3A-A460-4C1B-B9E8-F45B3054EC6F}">
      <dsp:nvSpPr>
        <dsp:cNvPr id="0" name=""/>
        <dsp:cNvSpPr/>
      </dsp:nvSpPr>
      <dsp:spPr>
        <a:xfrm>
          <a:off x="0" y="4606289"/>
          <a:ext cx="6027420" cy="0"/>
        </a:xfrm>
        <a:prstGeom prst="line">
          <a:avLst/>
        </a:prstGeom>
        <a:solidFill>
          <a:schemeClr val="accent2">
            <a:hueOff val="-1455363"/>
            <a:satOff val="-83928"/>
            <a:lumOff val="8628"/>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FF0060-74AC-4364-8CD6-750C216E470E}">
      <dsp:nvSpPr>
        <dsp:cNvPr id="0" name=""/>
        <dsp:cNvSpPr/>
      </dsp:nvSpPr>
      <dsp:spPr>
        <a:xfrm>
          <a:off x="0" y="4606289"/>
          <a:ext cx="1205484" cy="15354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Promotion</a:t>
          </a:r>
        </a:p>
      </dsp:txBody>
      <dsp:txXfrm>
        <a:off x="0" y="4606289"/>
        <a:ext cx="1205484" cy="1535429"/>
      </dsp:txXfrm>
    </dsp:sp>
    <dsp:sp modelId="{3DA108EE-AAA1-40DF-990B-43EC5BCD8195}">
      <dsp:nvSpPr>
        <dsp:cNvPr id="0" name=""/>
        <dsp:cNvSpPr/>
      </dsp:nvSpPr>
      <dsp:spPr>
        <a:xfrm>
          <a:off x="1295895" y="4676014"/>
          <a:ext cx="4731524" cy="13944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Promotion and process dynamics contribute to these problems. Over-reliance on increasing founder-led earned media suffers from diminishing returns as others in the industry sophisticate communications (Gao, 2023), whilst inconsistencies of service negate experiential credibility. As a result, the future competitiveness of Tesla depends on its abandonment of its sole global narrative in favour of clear hierarchies of segments and regionally differentiated positioning (Lu, 2025).</a:t>
          </a:r>
        </a:p>
      </dsp:txBody>
      <dsp:txXfrm>
        <a:off x="1295895" y="4676014"/>
        <a:ext cx="4731524" cy="1394482"/>
      </dsp:txXfrm>
    </dsp:sp>
    <dsp:sp modelId="{671F6655-1366-4266-8EB6-A5D03C28C311}">
      <dsp:nvSpPr>
        <dsp:cNvPr id="0" name=""/>
        <dsp:cNvSpPr/>
      </dsp:nvSpPr>
      <dsp:spPr>
        <a:xfrm>
          <a:off x="1205483" y="6070496"/>
          <a:ext cx="4821936"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25A35B-A72A-4AFE-8F4D-8BDD9A31411C}">
      <dsp:nvSpPr>
        <dsp:cNvPr id="0" name=""/>
        <dsp:cNvSpPr/>
      </dsp:nvSpPr>
      <dsp:spPr>
        <a:xfrm>
          <a:off x="3021" y="404899"/>
          <a:ext cx="1519214" cy="5380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Market Penetration: Margin-Destructive Growth</a:t>
          </a:r>
        </a:p>
      </dsp:txBody>
      <dsp:txXfrm>
        <a:off x="3021" y="404899"/>
        <a:ext cx="1519214" cy="538097"/>
      </dsp:txXfrm>
    </dsp:sp>
    <dsp:sp modelId="{8008CECF-0467-43EF-A9F1-6F8DF59D1151}">
      <dsp:nvSpPr>
        <dsp:cNvPr id="0" name=""/>
        <dsp:cNvSpPr/>
      </dsp:nvSpPr>
      <dsp:spPr>
        <a:xfrm>
          <a:off x="1522235" y="457597"/>
          <a:ext cx="269631" cy="432702"/>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AA0F11-F292-4F7D-A4C9-E68310A321E4}">
      <dsp:nvSpPr>
        <dsp:cNvPr id="0" name=""/>
        <dsp:cNvSpPr/>
      </dsp:nvSpPr>
      <dsp:spPr>
        <a:xfrm>
          <a:off x="1899719" y="1325"/>
          <a:ext cx="4132298" cy="134524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Market penetration has resulted in the visible development of volume against the cost of economic sustainability. Repeated price cuts to defend market share are a signal of losing differentiation, which is pushing Tesla into a price-based battle not compatible with its premium technology history. As to industry cost parity, penetration implies that compression results in the margins instead of increasing the competitive value, and industry fatigue rather than scalable growth (IEA, 2025).</a:t>
          </a:r>
        </a:p>
      </dsp:txBody>
      <dsp:txXfrm>
        <a:off x="1899719" y="1325"/>
        <a:ext cx="4132298" cy="1345244"/>
      </dsp:txXfrm>
    </dsp:sp>
    <dsp:sp modelId="{AF3A8880-3D50-4894-8073-4DB014B8E07B}">
      <dsp:nvSpPr>
        <dsp:cNvPr id="0" name=""/>
        <dsp:cNvSpPr/>
      </dsp:nvSpPr>
      <dsp:spPr>
        <a:xfrm>
          <a:off x="3021" y="1688603"/>
          <a:ext cx="1519214" cy="5380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Market Development: Constrained Yet Rational</a:t>
          </a:r>
        </a:p>
      </dsp:txBody>
      <dsp:txXfrm>
        <a:off x="3021" y="1688603"/>
        <a:ext cx="1519214" cy="538097"/>
      </dsp:txXfrm>
    </dsp:sp>
    <dsp:sp modelId="{5C55255C-3FC2-4AB7-89DA-F666FBDDC9E0}">
      <dsp:nvSpPr>
        <dsp:cNvPr id="0" name=""/>
        <dsp:cNvSpPr/>
      </dsp:nvSpPr>
      <dsp:spPr>
        <a:xfrm>
          <a:off x="1522235" y="1762936"/>
          <a:ext cx="269631" cy="389431"/>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CA29D8-681C-466A-9463-D87C170C9B9D}">
      <dsp:nvSpPr>
        <dsp:cNvPr id="0" name=""/>
        <dsp:cNvSpPr/>
      </dsp:nvSpPr>
      <dsp:spPr>
        <a:xfrm>
          <a:off x="1899719" y="1352292"/>
          <a:ext cx="4132298" cy="121072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Market development is still the most coherent growth option for Tesla that will align current capabilities and underpenetrated demand at a regional scale. However, high capital intensity and time of execution limit effectiveness. Delayed rollout shifts the displacement of European and Asian Chinese OEMs from expansion by opportunity capture to defensive. (L., 2025; Jolly, 2025).</a:t>
          </a:r>
        </a:p>
      </dsp:txBody>
      <dsp:txXfrm>
        <a:off x="1899719" y="1352292"/>
        <a:ext cx="4132298" cy="1210720"/>
      </dsp:txXfrm>
    </dsp:sp>
    <dsp:sp modelId="{FFA3A2DE-DFE8-4AE1-B8EA-3EB7DC361EBC}">
      <dsp:nvSpPr>
        <dsp:cNvPr id="0" name=""/>
        <dsp:cNvSpPr/>
      </dsp:nvSpPr>
      <dsp:spPr>
        <a:xfrm>
          <a:off x="3021" y="2900459"/>
          <a:ext cx="1519214" cy="68485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Product Development: Value Creation Misprioritised</a:t>
          </a:r>
        </a:p>
      </dsp:txBody>
      <dsp:txXfrm>
        <a:off x="3021" y="2900459"/>
        <a:ext cx="1519214" cy="684851"/>
      </dsp:txXfrm>
    </dsp:sp>
    <dsp:sp modelId="{217B5713-12B4-4C5B-8CD0-F323DE7206A8}">
      <dsp:nvSpPr>
        <dsp:cNvPr id="0" name=""/>
        <dsp:cNvSpPr/>
      </dsp:nvSpPr>
      <dsp:spPr>
        <a:xfrm>
          <a:off x="1522235" y="3026042"/>
          <a:ext cx="269631" cy="433685"/>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C5F13E-2341-4A46-A6AE-8ECA4480358C}">
      <dsp:nvSpPr>
        <dsp:cNvPr id="0" name=""/>
        <dsp:cNvSpPr/>
      </dsp:nvSpPr>
      <dsp:spPr>
        <a:xfrm>
          <a:off x="1899719" y="2568734"/>
          <a:ext cx="4132298" cy="134830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Product development, particularly in the area of energy systems and autonomy, offers better value creation over the long term. Yet organisational priorities continue to be inverted, with disproportionate resource allocation to low-return automotive growth, while that is at the same time very limited to structurally favoured segments, as a reflection of internal allocation of capital failure, rather than poor market potential (Laczkowski and Hertzke, 2025).</a:t>
          </a:r>
        </a:p>
      </dsp:txBody>
      <dsp:txXfrm>
        <a:off x="1899719" y="2568734"/>
        <a:ext cx="4132298" cy="1348302"/>
      </dsp:txXfrm>
    </dsp:sp>
    <dsp:sp modelId="{AF4322E5-D437-4B42-B13F-47BA257F01EE}">
      <dsp:nvSpPr>
        <dsp:cNvPr id="0" name=""/>
        <dsp:cNvSpPr/>
      </dsp:nvSpPr>
      <dsp:spPr>
        <a:xfrm>
          <a:off x="3021" y="4330726"/>
          <a:ext cx="1519214" cy="3729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Diversification and Integrated Judgement</a:t>
          </a:r>
        </a:p>
      </dsp:txBody>
      <dsp:txXfrm>
        <a:off x="3021" y="4330726"/>
        <a:ext cx="1519214" cy="372999"/>
      </dsp:txXfrm>
    </dsp:sp>
    <dsp:sp modelId="{D6A015D2-8298-4D96-AE82-79E65E69E3FB}">
      <dsp:nvSpPr>
        <dsp:cNvPr id="0" name=""/>
        <dsp:cNvSpPr/>
      </dsp:nvSpPr>
      <dsp:spPr>
        <a:xfrm>
          <a:off x="1522235" y="4326013"/>
          <a:ext cx="269631" cy="382425"/>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4DC31C-6CD2-484B-90F3-7D98F002C683}">
      <dsp:nvSpPr>
        <dsp:cNvPr id="0" name=""/>
        <dsp:cNvSpPr/>
      </dsp:nvSpPr>
      <dsp:spPr>
        <a:xfrm>
          <a:off x="1899719" y="3922757"/>
          <a:ext cx="4132298" cy="118893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Weakness compensation-diversification extrinsic weaknesses-weakness compensation compounds weaknesses which already exist (incompatible strategic logics across businesses with divergent timelines). Overall underperformance is down to execution bandwidth limitations, prioritisation failure and needs in selective sequencing and capital reallocation before diversification is possible (IEA, 2025).</a:t>
          </a:r>
        </a:p>
      </dsp:txBody>
      <dsp:txXfrm>
        <a:off x="1899719" y="3922757"/>
        <a:ext cx="4132298" cy="1188936"/>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8F5263-4283-42C4-ACFC-6C18C23F198A}">
      <dsp:nvSpPr>
        <dsp:cNvPr id="0" name=""/>
        <dsp:cNvSpPr/>
      </dsp:nvSpPr>
      <dsp:spPr>
        <a:xfrm>
          <a:off x="1768" y="66877"/>
          <a:ext cx="1402675" cy="841605"/>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China market share: 17.2% → 8.1%</a:t>
          </a:r>
          <a:endParaRPr lang="en-US" sz="1200" kern="1200">
            <a:latin typeface="Times New Roman" panose="02020603050405020304" pitchFamily="18" charset="0"/>
            <a:cs typeface="Times New Roman" panose="02020603050405020304" pitchFamily="18" charset="0"/>
          </a:endParaRPr>
        </a:p>
      </dsp:txBody>
      <dsp:txXfrm>
        <a:off x="1768" y="66877"/>
        <a:ext cx="1402675" cy="841605"/>
      </dsp:txXfrm>
    </dsp:sp>
    <dsp:sp modelId="{AAFC9A6B-571F-4C4B-9F8C-E2B3BFEC49D1}">
      <dsp:nvSpPr>
        <dsp:cNvPr id="0" name=""/>
        <dsp:cNvSpPr/>
      </dsp:nvSpPr>
      <dsp:spPr>
        <a:xfrm>
          <a:off x="1544710" y="66877"/>
          <a:ext cx="1402675" cy="841605"/>
        </a:xfrm>
        <a:prstGeom prst="rect">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NPS (overall: 	72 → 38</a:t>
          </a:r>
          <a:endParaRPr lang="en-US" sz="1200" kern="1200">
            <a:latin typeface="Times New Roman" panose="02020603050405020304" pitchFamily="18" charset="0"/>
            <a:cs typeface="Times New Roman" panose="02020603050405020304" pitchFamily="18" charset="0"/>
          </a:endParaRPr>
        </a:p>
      </dsp:txBody>
      <dsp:txXfrm>
        <a:off x="1544710" y="66877"/>
        <a:ext cx="1402675" cy="841605"/>
      </dsp:txXfrm>
    </dsp:sp>
    <dsp:sp modelId="{07064FF8-3F42-43B6-A88D-EFE8D10E44B9}">
      <dsp:nvSpPr>
        <dsp:cNvPr id="0" name=""/>
        <dsp:cNvSpPr/>
      </dsp:nvSpPr>
      <dsp:spPr>
        <a:xfrm>
          <a:off x="3087653" y="66877"/>
          <a:ext cx="1402675" cy="841605"/>
        </a:xfrm>
        <a:prstGeom prst="rect">
          <a:avLst/>
        </a:prstGeom>
        <a:solidFill>
          <a:srgbClr val="EE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Entry-level NPS: 18</a:t>
          </a:r>
          <a:endParaRPr lang="en-US" sz="1200" kern="1200">
            <a:latin typeface="Times New Roman" panose="02020603050405020304" pitchFamily="18" charset="0"/>
            <a:cs typeface="Times New Roman" panose="02020603050405020304" pitchFamily="18" charset="0"/>
          </a:endParaRPr>
        </a:p>
      </dsp:txBody>
      <dsp:txXfrm>
        <a:off x="3087653" y="66877"/>
        <a:ext cx="1402675" cy="841605"/>
      </dsp:txXfrm>
    </dsp:sp>
    <dsp:sp modelId="{3F81ECEE-DA83-4943-B499-B18A552134EC}">
      <dsp:nvSpPr>
        <dsp:cNvPr id="0" name=""/>
        <dsp:cNvSpPr/>
      </dsp:nvSpPr>
      <dsp:spPr>
        <a:xfrm>
          <a:off x="4630596" y="66877"/>
          <a:ext cx="1402675" cy="841605"/>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P/E ratio: 82× → 24×</a:t>
          </a:r>
          <a:endParaRPr lang="en-US" sz="1200" kern="1200">
            <a:latin typeface="Times New Roman" panose="02020603050405020304" pitchFamily="18" charset="0"/>
            <a:cs typeface="Times New Roman" panose="02020603050405020304" pitchFamily="18" charset="0"/>
          </a:endParaRPr>
        </a:p>
      </dsp:txBody>
      <dsp:txXfrm>
        <a:off x="4630596" y="66877"/>
        <a:ext cx="1402675" cy="841605"/>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F1832B-63B8-427A-B2A4-5420CDFF98AF}">
      <dsp:nvSpPr>
        <dsp:cNvPr id="0" name=""/>
        <dsp:cNvSpPr/>
      </dsp:nvSpPr>
      <dsp:spPr>
        <a:xfrm>
          <a:off x="0" y="150630"/>
          <a:ext cx="6019800" cy="36855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7203" tIns="124968" rIns="467203"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Majority of EV-interested consumers understand range–charging trade-offs</a:t>
          </a:r>
        </a:p>
      </dsp:txBody>
      <dsp:txXfrm>
        <a:off x="0" y="150630"/>
        <a:ext cx="6019800" cy="368550"/>
      </dsp:txXfrm>
    </dsp:sp>
    <dsp:sp modelId="{A8CEBB5D-6CA9-4939-9062-7340A8744130}">
      <dsp:nvSpPr>
        <dsp:cNvPr id="0" name=""/>
        <dsp:cNvSpPr/>
      </dsp:nvSpPr>
      <dsp:spPr>
        <a:xfrm>
          <a:off x="300990" y="62070"/>
          <a:ext cx="4213860" cy="1771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EV technical literacy</a:t>
          </a:r>
        </a:p>
      </dsp:txBody>
      <dsp:txXfrm>
        <a:off x="309636" y="70716"/>
        <a:ext cx="4196568" cy="159828"/>
      </dsp:txXfrm>
    </dsp:sp>
    <dsp:sp modelId="{AF4A1F85-A4A9-4BBF-AF27-2D7676234C7F}">
      <dsp:nvSpPr>
        <dsp:cNvPr id="0" name=""/>
        <dsp:cNvSpPr/>
      </dsp:nvSpPr>
      <dsp:spPr>
        <a:xfrm>
          <a:off x="0" y="640140"/>
          <a:ext cx="6019800" cy="368550"/>
        </a:xfrm>
        <a:prstGeom prst="rect">
          <a:avLst/>
        </a:prstGeom>
        <a:solidFill>
          <a:schemeClr val="lt1">
            <a:alpha val="90000"/>
            <a:hueOff val="0"/>
            <a:satOff val="0"/>
            <a:lumOff val="0"/>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7203" tIns="124968" rIns="467203"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Widespread recognition of Level 2 limitations</a:t>
          </a:r>
        </a:p>
      </dsp:txBody>
      <dsp:txXfrm>
        <a:off x="0" y="640140"/>
        <a:ext cx="6019800" cy="368550"/>
      </dsp:txXfrm>
    </dsp:sp>
    <dsp:sp modelId="{37A3AAE9-5764-4F8F-A2A2-5CC71700EBF8}">
      <dsp:nvSpPr>
        <dsp:cNvPr id="0" name=""/>
        <dsp:cNvSpPr/>
      </dsp:nvSpPr>
      <dsp:spPr>
        <a:xfrm>
          <a:off x="300990" y="551580"/>
          <a:ext cx="4213860" cy="177120"/>
        </a:xfrm>
        <a:prstGeom prst="roundRect">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Autonomy understanding</a:t>
          </a:r>
        </a:p>
      </dsp:txBody>
      <dsp:txXfrm>
        <a:off x="309636" y="560226"/>
        <a:ext cx="4196568" cy="159828"/>
      </dsp:txXfrm>
    </dsp:sp>
    <dsp:sp modelId="{FED808D8-D805-4014-B960-2B96739045FB}">
      <dsp:nvSpPr>
        <dsp:cNvPr id="0" name=""/>
        <dsp:cNvSpPr/>
      </dsp:nvSpPr>
      <dsp:spPr>
        <a:xfrm>
          <a:off x="0" y="1129650"/>
          <a:ext cx="6019800" cy="368550"/>
        </a:xfrm>
        <a:prstGeom prst="rect">
          <a:avLst/>
        </a:prstGeom>
        <a:solidFill>
          <a:schemeClr val="lt1">
            <a:alpha val="90000"/>
            <a:hueOff val="0"/>
            <a:satOff val="0"/>
            <a:lumOff val="0"/>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7203" tIns="124968" rIns="467203"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Infrastructure availability a primary purchase criterion</a:t>
          </a:r>
        </a:p>
      </dsp:txBody>
      <dsp:txXfrm>
        <a:off x="0" y="1129650"/>
        <a:ext cx="6019800" cy="368550"/>
      </dsp:txXfrm>
    </dsp:sp>
    <dsp:sp modelId="{44963CD4-E0E8-444D-9C3A-21ED779D8CF3}">
      <dsp:nvSpPr>
        <dsp:cNvPr id="0" name=""/>
        <dsp:cNvSpPr/>
      </dsp:nvSpPr>
      <dsp:spPr>
        <a:xfrm>
          <a:off x="300990" y="1041090"/>
          <a:ext cx="4213860" cy="177120"/>
        </a:xfrm>
        <a:prstGeom prst="roundRect">
          <a:avLst/>
        </a:prstGeom>
        <a:solidFill>
          <a:srgbClr val="EE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Charging evaluation</a:t>
          </a:r>
        </a:p>
      </dsp:txBody>
      <dsp:txXfrm>
        <a:off x="309636" y="1049736"/>
        <a:ext cx="4196568" cy="159828"/>
      </dsp:txXfrm>
    </dsp:sp>
    <dsp:sp modelId="{B4B5FC61-DFB9-483D-99F7-B875299B7B53}">
      <dsp:nvSpPr>
        <dsp:cNvPr id="0" name=""/>
        <dsp:cNvSpPr/>
      </dsp:nvSpPr>
      <dsp:spPr>
        <a:xfrm>
          <a:off x="0" y="1619160"/>
          <a:ext cx="6019800" cy="36855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67203" tIns="124968" rIns="467203"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Total cost of ownership increasingly analysed pre-purchase</a:t>
          </a:r>
        </a:p>
      </dsp:txBody>
      <dsp:txXfrm>
        <a:off x="0" y="1619160"/>
        <a:ext cx="6019800" cy="368550"/>
      </dsp:txXfrm>
    </dsp:sp>
    <dsp:sp modelId="{90FF7828-23D2-4E8A-9701-0043A9ACCBA4}">
      <dsp:nvSpPr>
        <dsp:cNvPr id="0" name=""/>
        <dsp:cNvSpPr/>
      </dsp:nvSpPr>
      <dsp:spPr>
        <a:xfrm>
          <a:off x="300990" y="1530600"/>
          <a:ext cx="4213860" cy="17712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Cost assessment</a:t>
          </a:r>
        </a:p>
      </dsp:txBody>
      <dsp:txXfrm>
        <a:off x="309636" y="1539246"/>
        <a:ext cx="4196568" cy="159828"/>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EC430D-C8CF-4A22-9C84-8BE47EE1C53D}">
      <dsp:nvSpPr>
        <dsp:cNvPr id="0" name=""/>
        <dsp:cNvSpPr/>
      </dsp:nvSpPr>
      <dsp:spPr>
        <a:xfrm rot="16200000">
          <a:off x="-69948" y="70252"/>
          <a:ext cx="1390650" cy="1250144"/>
        </a:xfrm>
        <a:prstGeom prst="flowChartManualOperati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0" rIns="7620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CAC &amp; CLV: Channel effectiveness unverified</a:t>
          </a:r>
        </a:p>
      </dsp:txBody>
      <dsp:txXfrm rot="5400000">
        <a:off x="305" y="278129"/>
        <a:ext cx="1250144" cy="834390"/>
      </dsp:txXfrm>
    </dsp:sp>
    <dsp:sp modelId="{EAB2BF96-47F0-484F-BABE-CD5ED0EC31E4}">
      <dsp:nvSpPr>
        <dsp:cNvPr id="0" name=""/>
        <dsp:cNvSpPr/>
      </dsp:nvSpPr>
      <dsp:spPr>
        <a:xfrm rot="16200000">
          <a:off x="1540053" y="70252"/>
          <a:ext cx="1390650" cy="1250144"/>
        </a:xfrm>
        <a:prstGeom prst="flowChartManualOperation">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0" rIns="7620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NPS &amp; CSAT: Service deterioration unmanaged</a:t>
          </a:r>
        </a:p>
      </dsp:txBody>
      <dsp:txXfrm rot="5400000">
        <a:off x="1610306" y="278129"/>
        <a:ext cx="1250144" cy="834390"/>
      </dsp:txXfrm>
    </dsp:sp>
    <dsp:sp modelId="{EC6C55A4-5088-4F2C-A6DF-6DA117D8272D}">
      <dsp:nvSpPr>
        <dsp:cNvPr id="0" name=""/>
        <dsp:cNvSpPr/>
      </dsp:nvSpPr>
      <dsp:spPr>
        <a:xfrm rot="16200000">
          <a:off x="3150056" y="70252"/>
          <a:ext cx="1390650" cy="1250144"/>
        </a:xfrm>
        <a:prstGeom prst="flowChartManualOperation">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0" rIns="7620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Retention &amp; churn: Segment profitability unknown</a:t>
          </a:r>
        </a:p>
      </dsp:txBody>
      <dsp:txXfrm rot="5400000">
        <a:off x="3220309" y="278129"/>
        <a:ext cx="1250144" cy="834390"/>
      </dsp:txXfrm>
    </dsp:sp>
    <dsp:sp modelId="{290969C6-BDF6-4106-AB1D-835350FBBBD3}">
      <dsp:nvSpPr>
        <dsp:cNvPr id="0" name=""/>
        <dsp:cNvSpPr/>
      </dsp:nvSpPr>
      <dsp:spPr>
        <a:xfrm rot="16200000">
          <a:off x="4760058" y="70252"/>
          <a:ext cx="1390650" cy="1250144"/>
        </a:xfrm>
        <a:prstGeom prst="flowChartManualOperation">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0" rIns="7620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Communications ROI: Resource allocation unsubstantiated</a:t>
          </a:r>
        </a:p>
      </dsp:txBody>
      <dsp:txXfrm rot="5400000">
        <a:off x="4830311" y="278129"/>
        <a:ext cx="1250144" cy="834390"/>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5EAFFE-5E4E-4ACE-A2E9-686BC2A0CF04}">
      <dsp:nvSpPr>
        <dsp:cNvPr id="0" name=""/>
        <dsp:cNvSpPr/>
      </dsp:nvSpPr>
      <dsp:spPr>
        <a:xfrm>
          <a:off x="0" y="6750"/>
          <a:ext cx="6339839" cy="355680"/>
        </a:xfrm>
        <a:prstGeom prst="roundRect">
          <a:avLst/>
        </a:prstGeom>
        <a:solidFill>
          <a:schemeClr val="tx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US Sun Belt</a:t>
          </a:r>
        </a:p>
      </dsp:txBody>
      <dsp:txXfrm>
        <a:off x="17363" y="24113"/>
        <a:ext cx="6305113" cy="320954"/>
      </dsp:txXfrm>
    </dsp:sp>
    <dsp:sp modelId="{4B8D81D6-DE92-4A0D-8755-0BC6AD939F97}">
      <dsp:nvSpPr>
        <dsp:cNvPr id="0" name=""/>
        <dsp:cNvSpPr/>
      </dsp:nvSpPr>
      <dsp:spPr>
        <a:xfrm>
          <a:off x="0" y="362430"/>
          <a:ext cx="6339839" cy="3539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290" tIns="15240" rIns="85344" bIns="15240" numCol="1" spcCol="1270" anchor="t" anchorCtr="0">
          <a:noAutofit/>
        </a:bodyPr>
        <a:lstStyle/>
        <a:p>
          <a:pPr marL="114300" lvl="1" indent="-114300" algn="ctr" defTabSz="533400">
            <a:lnSpc>
              <a:spcPct val="90000"/>
            </a:lnSpc>
            <a:spcBef>
              <a:spcPct val="0"/>
            </a:spcBef>
            <a:spcAft>
              <a:spcPct val="20000"/>
            </a:spcAft>
            <a:buNone/>
          </a:pPr>
          <a:r>
            <a:rPr lang="en-US" sz="1200" kern="1200">
              <a:latin typeface="Times New Roman" panose="02020603050405020304" pitchFamily="18" charset="0"/>
              <a:cs typeface="Times New Roman" panose="02020603050405020304" pitchFamily="18" charset="0"/>
            </a:rPr>
            <a:t>Domestic OEM EV expansion; Tesla distribution limited → untapped growth, competitive vulnerability</a:t>
          </a:r>
        </a:p>
      </dsp:txBody>
      <dsp:txXfrm>
        <a:off x="0" y="362430"/>
        <a:ext cx="6339839" cy="353970"/>
      </dsp:txXfrm>
    </dsp:sp>
    <dsp:sp modelId="{FEC6DB4A-473F-42DF-8A72-32FF28F57EA9}">
      <dsp:nvSpPr>
        <dsp:cNvPr id="0" name=""/>
        <dsp:cNvSpPr/>
      </dsp:nvSpPr>
      <dsp:spPr>
        <a:xfrm>
          <a:off x="0" y="716399"/>
          <a:ext cx="6339839" cy="355680"/>
        </a:xfrm>
        <a:prstGeom prst="round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China</a:t>
          </a:r>
        </a:p>
      </dsp:txBody>
      <dsp:txXfrm>
        <a:off x="17363" y="733762"/>
        <a:ext cx="6305113" cy="320954"/>
      </dsp:txXfrm>
    </dsp:sp>
    <dsp:sp modelId="{D98F2346-B577-4CA9-9937-594206E55606}">
      <dsp:nvSpPr>
        <dsp:cNvPr id="0" name=""/>
        <dsp:cNvSpPr/>
      </dsp:nvSpPr>
      <dsp:spPr>
        <a:xfrm>
          <a:off x="0" y="1072080"/>
          <a:ext cx="6339839" cy="314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290" tIns="15240" rIns="85344" bIns="15240" numCol="1" spcCol="1270" anchor="t" anchorCtr="0">
          <a:noAutofit/>
        </a:bodyPr>
        <a:lstStyle/>
        <a:p>
          <a:pPr marL="114300" lvl="1" indent="-114300" algn="ctr" defTabSz="533400">
            <a:lnSpc>
              <a:spcPct val="90000"/>
            </a:lnSpc>
            <a:spcBef>
              <a:spcPct val="0"/>
            </a:spcBef>
            <a:spcAft>
              <a:spcPct val="20000"/>
            </a:spcAft>
            <a:buNone/>
          </a:pPr>
          <a:r>
            <a:rPr lang="en-US" sz="1200" kern="1200">
              <a:latin typeface="Times New Roman" panose="02020603050405020304" pitchFamily="18" charset="0"/>
              <a:cs typeface="Times New Roman" panose="02020603050405020304" pitchFamily="18" charset="0"/>
            </a:rPr>
            <a:t>BYD 7.5M+ unit scale; Tesla limited price reductions → insufficient to protect market share</a:t>
          </a:r>
        </a:p>
      </dsp:txBody>
      <dsp:txXfrm>
        <a:off x="0" y="1072080"/>
        <a:ext cx="6339839" cy="314640"/>
      </dsp:txXfrm>
    </dsp:sp>
    <dsp:sp modelId="{6DCC4D0F-9AFB-4556-A5FB-688EBBE4782D}">
      <dsp:nvSpPr>
        <dsp:cNvPr id="0" name=""/>
        <dsp:cNvSpPr/>
      </dsp:nvSpPr>
      <dsp:spPr>
        <a:xfrm>
          <a:off x="0" y="1386720"/>
          <a:ext cx="6339839" cy="35568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Europe</a:t>
          </a:r>
        </a:p>
      </dsp:txBody>
      <dsp:txXfrm>
        <a:off x="17363" y="1404083"/>
        <a:ext cx="6305113" cy="320954"/>
      </dsp:txXfrm>
    </dsp:sp>
    <dsp:sp modelId="{48A54C1D-4649-40A5-83AF-277B3433B006}">
      <dsp:nvSpPr>
        <dsp:cNvPr id="0" name=""/>
        <dsp:cNvSpPr/>
      </dsp:nvSpPr>
      <dsp:spPr>
        <a:xfrm>
          <a:off x="0" y="1742400"/>
          <a:ext cx="6339839" cy="3539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290" tIns="15240" rIns="85344" bIns="15240" numCol="1" spcCol="1270" anchor="t" anchorCtr="0">
          <a:noAutofit/>
        </a:bodyPr>
        <a:lstStyle/>
        <a:p>
          <a:pPr marL="114300" lvl="1" indent="-114300" algn="ctr" defTabSz="533400">
            <a:lnSpc>
              <a:spcPct val="90000"/>
            </a:lnSpc>
            <a:spcBef>
              <a:spcPct val="0"/>
            </a:spcBef>
            <a:spcAft>
              <a:spcPct val="20000"/>
            </a:spcAft>
            <a:buNone/>
          </a:pPr>
          <a:r>
            <a:rPr lang="en-US" sz="1200" kern="1200">
              <a:latin typeface="Times New Roman" panose="02020603050405020304" pitchFamily="18" charset="0"/>
              <a:cs typeface="Times New Roman" panose="02020603050405020304" pitchFamily="18" charset="0"/>
            </a:rPr>
            <a:t>Mercedes/BMW autonomous &amp; service leadership; Tesla maintains affordability focus → premium positioning misalignment</a:t>
          </a:r>
        </a:p>
      </dsp:txBody>
      <dsp:txXfrm>
        <a:off x="0" y="1742400"/>
        <a:ext cx="6339839" cy="353970"/>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E1E3E5-9B75-415F-9761-2F8EE748B531}">
      <dsp:nvSpPr>
        <dsp:cNvPr id="0" name=""/>
        <dsp:cNvSpPr/>
      </dsp:nvSpPr>
      <dsp:spPr>
        <a:xfrm>
          <a:off x="0" y="1860"/>
          <a:ext cx="6118860" cy="8236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Strategic Option 1: Sub-Brand Architecture</a:t>
          </a:r>
        </a:p>
      </dsp:txBody>
      <dsp:txXfrm>
        <a:off x="40209" y="42069"/>
        <a:ext cx="6038442" cy="743262"/>
      </dsp:txXfrm>
    </dsp:sp>
    <dsp:sp modelId="{D64FE28E-B8FC-4220-BF80-BBA18C96E7D6}">
      <dsp:nvSpPr>
        <dsp:cNvPr id="0" name=""/>
        <dsp:cNvSpPr/>
      </dsp:nvSpPr>
      <dsp:spPr>
        <a:xfrm>
          <a:off x="0" y="825540"/>
          <a:ext cx="6118860" cy="12978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4274" tIns="15240" rIns="85344" bIns="15240" numCol="1" spcCol="1270" anchor="t" anchorCtr="0">
          <a:noAutofit/>
        </a:bodyPr>
        <a:lstStyle/>
        <a:p>
          <a:pPr marL="114300" lvl="1" indent="-114300" algn="ctr" defTabSz="533400">
            <a:lnSpc>
              <a:spcPct val="90000"/>
            </a:lnSpc>
            <a:spcBef>
              <a:spcPct val="0"/>
            </a:spcBef>
            <a:spcAft>
              <a:spcPct val="20000"/>
            </a:spcAft>
            <a:buNone/>
          </a:pPr>
          <a:r>
            <a:rPr lang="en-US" sz="1200" kern="1200">
              <a:latin typeface="Times New Roman" panose="02020603050405020304" pitchFamily="18" charset="0"/>
              <a:cs typeface="Times New Roman" panose="02020603050405020304" pitchFamily="18" charset="0"/>
            </a:rPr>
            <a:t>Implementing a sub-brand architecture helps resolve the problems of segmentation for Tesla by separating conflicting value propositions into stand-alone units. International marketing strategy research supports the assertion that global brands operating in heterogeneous markets are better off with positioning clarity as a key priority (Gao, 2023). Analysis of Tesla's international strategies reveals that the existing unified brand risks diluting messaging about affordability, innovation and luxury, undermining credibility (Lei, 2025a). Sub-brand separation allows for differentiated marketing mixes, standards of service and margin expectations based on psychographic and regional requirements.</a:t>
          </a:r>
        </a:p>
      </dsp:txBody>
      <dsp:txXfrm>
        <a:off x="0" y="825540"/>
        <a:ext cx="6118860" cy="1297890"/>
      </dsp:txXfrm>
    </dsp:sp>
    <dsp:sp modelId="{F3CFBBEA-D7CA-4CB1-91E4-AEC2BBF08E25}">
      <dsp:nvSpPr>
        <dsp:cNvPr id="0" name=""/>
        <dsp:cNvSpPr/>
      </dsp:nvSpPr>
      <dsp:spPr>
        <a:xfrm>
          <a:off x="0" y="2123430"/>
          <a:ext cx="6118860" cy="82368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Strategic Option 2: PESTEL-Aligned Positioning</a:t>
          </a:r>
        </a:p>
      </dsp:txBody>
      <dsp:txXfrm>
        <a:off x="40209" y="2163639"/>
        <a:ext cx="6038442" cy="743262"/>
      </dsp:txXfrm>
    </dsp:sp>
    <dsp:sp modelId="{17BA778A-8D0F-417E-8A0F-318FDB6C324E}">
      <dsp:nvSpPr>
        <dsp:cNvPr id="0" name=""/>
        <dsp:cNvSpPr/>
      </dsp:nvSpPr>
      <dsp:spPr>
        <a:xfrm>
          <a:off x="0" y="2947110"/>
          <a:ext cx="6118860" cy="11385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4274" tIns="15240" rIns="85344" bIns="15240" numCol="1" spcCol="1270" anchor="t" anchorCtr="0">
          <a:noAutofit/>
        </a:bodyPr>
        <a:lstStyle/>
        <a:p>
          <a:pPr marL="114300" lvl="1" indent="-114300" algn="ctr" defTabSz="533400">
            <a:lnSpc>
              <a:spcPct val="90000"/>
            </a:lnSpc>
            <a:spcBef>
              <a:spcPct val="0"/>
            </a:spcBef>
            <a:spcAft>
              <a:spcPct val="20000"/>
            </a:spcAft>
            <a:buNone/>
          </a:pPr>
          <a:r>
            <a:rPr lang="en-US" sz="1200" kern="1200">
              <a:latin typeface="Times New Roman" panose="02020603050405020304" pitchFamily="18" charset="0"/>
              <a:cs typeface="Times New Roman" panose="02020603050405020304" pitchFamily="18" charset="0"/>
            </a:rPr>
            <a:t>Tesla's positioning must be reflective of political, economic and social environmental realities. Regulatory clarity around autonomous vehicles reduces Tesla's differentiation advantage, highlighting the importance of emphasis on compliance and reliability (Colias, 2025). Economic evidence points to the fact that battery costs are now at parity and are a reason for a switch to value-orientated positioning (Reuters, 2024). Social research confirms that service quality is a significant purchase driver, which demands investment in operational excellence and customer experience (Machin, 2025).</a:t>
          </a:r>
        </a:p>
      </dsp:txBody>
      <dsp:txXfrm>
        <a:off x="0" y="2947110"/>
        <a:ext cx="6118860" cy="1138500"/>
      </dsp:txXfrm>
    </dsp:sp>
    <dsp:sp modelId="{7E73B39A-0112-4F4F-A954-E32E5F3F8B01}">
      <dsp:nvSpPr>
        <dsp:cNvPr id="0" name=""/>
        <dsp:cNvSpPr/>
      </dsp:nvSpPr>
      <dsp:spPr>
        <a:xfrm>
          <a:off x="0" y="4085610"/>
          <a:ext cx="6118860" cy="823680"/>
        </a:xfrm>
        <a:prstGeom prst="roundRect">
          <a:avLst/>
        </a:prstGeom>
        <a:solidFill>
          <a:srgbClr val="EE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Strategic Option 3: Measurement Infrastructure</a:t>
          </a:r>
        </a:p>
      </dsp:txBody>
      <dsp:txXfrm>
        <a:off x="40209" y="4125819"/>
        <a:ext cx="6038442" cy="743262"/>
      </dsp:txXfrm>
    </dsp:sp>
    <dsp:sp modelId="{34AE503B-CEBD-4FCD-A3F4-9CC50CA07437}">
      <dsp:nvSpPr>
        <dsp:cNvPr id="0" name=""/>
        <dsp:cNvSpPr/>
      </dsp:nvSpPr>
      <dsp:spPr>
        <a:xfrm>
          <a:off x="0" y="4909290"/>
          <a:ext cx="6118860" cy="9791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4274" tIns="15240" rIns="85344" bIns="15240" numCol="1" spcCol="1270" anchor="t" anchorCtr="0">
          <a:noAutofit/>
        </a:bodyPr>
        <a:lstStyle/>
        <a:p>
          <a:pPr marL="114300" lvl="1" indent="-114300" algn="ctr" defTabSz="533400">
            <a:lnSpc>
              <a:spcPct val="90000"/>
            </a:lnSpc>
            <a:spcBef>
              <a:spcPct val="0"/>
            </a:spcBef>
            <a:spcAft>
              <a:spcPct val="20000"/>
            </a:spcAft>
            <a:buNone/>
          </a:pPr>
          <a:r>
            <a:rPr lang="en-US" sz="1200" kern="1200">
              <a:latin typeface="Times New Roman" panose="02020603050405020304" pitchFamily="18" charset="0"/>
              <a:cs typeface="Times New Roman" panose="02020603050405020304" pitchFamily="18" charset="0"/>
            </a:rPr>
            <a:t>There has been little or no integration of performance measurement to contribute to strategic drift. System value analysis frameworks are employed to link marketing inputs with economic outputs to increase accountability (Lavi &amp; Reich, 2023). Segment-level metrics, such as CAC, CLV and NPS, are empowering the empirical optimisation of policies and replacing politically massaged resource allocation with data-based decisions (Foreman et al., 2014).</a:t>
          </a:r>
        </a:p>
      </dsp:txBody>
      <dsp:txXfrm>
        <a:off x="0" y="4909290"/>
        <a:ext cx="6118860" cy="979110"/>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AB676C-B442-4B88-8414-0F92CEBE7365}">
      <dsp:nvSpPr>
        <dsp:cNvPr id="0" name=""/>
        <dsp:cNvSpPr/>
      </dsp:nvSpPr>
      <dsp:spPr>
        <a:xfrm>
          <a:off x="0" y="175019"/>
          <a:ext cx="6187440" cy="77175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Leadership needs to communicate a critical strategic case using the market evidence: impending industry cost parity (Reuters, 2024), profit erosion, and competitor convergence (Colias, 2025) and demonstrate mathematical unsustainability.</a:t>
          </a:r>
        </a:p>
      </dsp:txBody>
      <dsp:txXfrm>
        <a:off x="0" y="175019"/>
        <a:ext cx="6187440" cy="771750"/>
      </dsp:txXfrm>
    </dsp:sp>
    <dsp:sp modelId="{6005EC49-EBF0-4C5D-9C61-0D4838C041B1}">
      <dsp:nvSpPr>
        <dsp:cNvPr id="0" name=""/>
        <dsp:cNvSpPr/>
      </dsp:nvSpPr>
      <dsp:spPr>
        <a:xfrm>
          <a:off x="309372" y="27419"/>
          <a:ext cx="4331208" cy="2952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Create Urgency</a:t>
          </a:r>
        </a:p>
      </dsp:txBody>
      <dsp:txXfrm>
        <a:off x="323782" y="41829"/>
        <a:ext cx="4302388" cy="266380"/>
      </dsp:txXfrm>
    </dsp:sp>
    <dsp:sp modelId="{18AE544A-EA77-41C3-BC47-17B2998E60A9}">
      <dsp:nvSpPr>
        <dsp:cNvPr id="0" name=""/>
        <dsp:cNvSpPr/>
      </dsp:nvSpPr>
      <dsp:spPr>
        <a:xfrm>
          <a:off x="0" y="1148369"/>
          <a:ext cx="6187440" cy="771750"/>
        </a:xfrm>
        <a:prstGeom prst="rect">
          <a:avLst/>
        </a:prstGeom>
        <a:solidFill>
          <a:schemeClr val="lt1">
            <a:alpha val="90000"/>
            <a:hueOff val="0"/>
            <a:satOff val="0"/>
            <a:lumOff val="0"/>
            <a:alphaOff val="0"/>
          </a:schemeClr>
        </a:solidFill>
        <a:ln w="12700" cap="flat" cmpd="sng" algn="ctr">
          <a:solidFill>
            <a:schemeClr val="accent2">
              <a:hueOff val="-207909"/>
              <a:satOff val="-11990"/>
              <a:lumOff val="123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Form a cross-functional team with C-suite authority and external consultants (ensure organisational power to enhance change and overcome siloed resistance); key success factor (Whittington et al. 2020; Buchanan and Badham, 2008).</a:t>
          </a:r>
        </a:p>
      </dsp:txBody>
      <dsp:txXfrm>
        <a:off x="0" y="1148369"/>
        <a:ext cx="6187440" cy="771750"/>
      </dsp:txXfrm>
    </dsp:sp>
    <dsp:sp modelId="{44E97CD2-ADD0-4147-9419-D331540E7D04}">
      <dsp:nvSpPr>
        <dsp:cNvPr id="0" name=""/>
        <dsp:cNvSpPr/>
      </dsp:nvSpPr>
      <dsp:spPr>
        <a:xfrm>
          <a:off x="309372" y="1000769"/>
          <a:ext cx="4331208" cy="295200"/>
        </a:xfrm>
        <a:prstGeom prst="roundRect">
          <a:avLst/>
        </a:prstGeom>
        <a:solidFill>
          <a:schemeClr val="accent2">
            <a:hueOff val="-207909"/>
            <a:satOff val="-11990"/>
            <a:lumOff val="12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Build a Guiding Coalition</a:t>
          </a:r>
        </a:p>
      </dsp:txBody>
      <dsp:txXfrm>
        <a:off x="323782" y="1015179"/>
        <a:ext cx="4302388" cy="266380"/>
      </dsp:txXfrm>
    </dsp:sp>
    <dsp:sp modelId="{836F61BE-0F6C-4366-8ECF-C8F844CD7084}">
      <dsp:nvSpPr>
        <dsp:cNvPr id="0" name=""/>
        <dsp:cNvSpPr/>
      </dsp:nvSpPr>
      <dsp:spPr>
        <a:xfrm>
          <a:off x="0" y="2121719"/>
          <a:ext cx="6187440" cy="771750"/>
        </a:xfrm>
        <a:prstGeom prst="rect">
          <a:avLst/>
        </a:prstGeom>
        <a:solidFill>
          <a:schemeClr val="lt1">
            <a:alpha val="90000"/>
            <a:hueOff val="0"/>
            <a:satOff val="0"/>
            <a:lumOff val="0"/>
            <a:alphaOff val="0"/>
          </a:schemeClr>
        </a:solidFill>
        <a:ln w="12700" cap="flat" cmpd="sng" algn="ctr">
          <a:solidFill>
            <a:schemeClr val="accent2">
              <a:hueOff val="-415818"/>
              <a:satOff val="-23979"/>
              <a:lumOff val="24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Articulate a clear vision grounded by segmented sub-brand architecture solving incoherence in positioning together with PESTEL realities and a new culture of measurement-driving (Gao, 2023; Chari &amp; Fernandes, 2025).</a:t>
          </a:r>
        </a:p>
      </dsp:txBody>
      <dsp:txXfrm>
        <a:off x="0" y="2121719"/>
        <a:ext cx="6187440" cy="771750"/>
      </dsp:txXfrm>
    </dsp:sp>
    <dsp:sp modelId="{4E49FFA1-0241-46AE-95BD-B284DB974BBA}">
      <dsp:nvSpPr>
        <dsp:cNvPr id="0" name=""/>
        <dsp:cNvSpPr/>
      </dsp:nvSpPr>
      <dsp:spPr>
        <a:xfrm>
          <a:off x="309372" y="1974119"/>
          <a:ext cx="4331208" cy="295200"/>
        </a:xfrm>
        <a:prstGeom prst="roundRect">
          <a:avLst/>
        </a:prstGeom>
        <a:solidFill>
          <a:schemeClr val="accent2">
            <a:hueOff val="-415818"/>
            <a:satOff val="-23979"/>
            <a:lumOff val="24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Form Strategic Vision</a:t>
          </a:r>
        </a:p>
      </dsp:txBody>
      <dsp:txXfrm>
        <a:off x="323782" y="1988529"/>
        <a:ext cx="4302388" cy="266380"/>
      </dsp:txXfrm>
    </dsp:sp>
    <dsp:sp modelId="{B69B30C9-5365-4E53-AB6B-D66B1CCFB2CA}">
      <dsp:nvSpPr>
        <dsp:cNvPr id="0" name=""/>
        <dsp:cNvSpPr/>
      </dsp:nvSpPr>
      <dsp:spPr>
        <a:xfrm>
          <a:off x="0" y="3095070"/>
          <a:ext cx="6187440" cy="771750"/>
        </a:xfrm>
        <a:prstGeom prst="rect">
          <a:avLst/>
        </a:prstGeom>
        <a:solidFill>
          <a:schemeClr val="lt1">
            <a:alpha val="90000"/>
            <a:hueOff val="0"/>
            <a:satOff val="0"/>
            <a:lumOff val="0"/>
            <a:alphaOff val="0"/>
          </a:schemeClr>
        </a:solidFill>
        <a:ln w="12700" cap="flat" cmpd="sng" algn="ctr">
          <a:solidFill>
            <a:schemeClr val="accent2">
              <a:hueOff val="-623727"/>
              <a:satOff val="-35969"/>
              <a:lumOff val="369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Communicate this vision relentlessly to get broad-based support, use the credibility of the coalition to promote buy-in at all levels, and reduce resistance to change (Cameron &amp; Green, 2004; Grey et al., 2023).</a:t>
          </a:r>
        </a:p>
      </dsp:txBody>
      <dsp:txXfrm>
        <a:off x="0" y="3095070"/>
        <a:ext cx="6187440" cy="771750"/>
      </dsp:txXfrm>
    </dsp:sp>
    <dsp:sp modelId="{3AE0F098-03DD-416C-8B22-5A9F7D35D3D5}">
      <dsp:nvSpPr>
        <dsp:cNvPr id="0" name=""/>
        <dsp:cNvSpPr/>
      </dsp:nvSpPr>
      <dsp:spPr>
        <a:xfrm>
          <a:off x="309372" y="2947470"/>
          <a:ext cx="4331208" cy="295200"/>
        </a:xfrm>
        <a:prstGeom prst="roundRect">
          <a:avLst/>
        </a:prstGeom>
        <a:solidFill>
          <a:schemeClr val="accent2">
            <a:hueOff val="-623727"/>
            <a:satOff val="-35969"/>
            <a:lumOff val="369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Enlist Volunteer Army</a:t>
          </a:r>
        </a:p>
      </dsp:txBody>
      <dsp:txXfrm>
        <a:off x="323782" y="2961880"/>
        <a:ext cx="4302388" cy="266380"/>
      </dsp:txXfrm>
    </dsp:sp>
    <dsp:sp modelId="{8AB5D73D-F29D-4D94-AE30-772E97F3E846}">
      <dsp:nvSpPr>
        <dsp:cNvPr id="0" name=""/>
        <dsp:cNvSpPr/>
      </dsp:nvSpPr>
      <dsp:spPr>
        <a:xfrm>
          <a:off x="0" y="4068420"/>
          <a:ext cx="6187440" cy="771750"/>
        </a:xfrm>
        <a:prstGeom prst="rect">
          <a:avLst/>
        </a:prstGeom>
        <a:solidFill>
          <a:schemeClr val="lt1">
            <a:alpha val="90000"/>
            <a:hueOff val="0"/>
            <a:satOff val="0"/>
            <a:lumOff val="0"/>
            <a:alphaOff val="0"/>
          </a:schemeClr>
        </a:solidFill>
        <a:ln w="12700" cap="flat" cmpd="sng" algn="ctr">
          <a:solidFill>
            <a:schemeClr val="accent2">
              <a:hueOff val="-831636"/>
              <a:satOff val="-47959"/>
              <a:lumOff val="493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Remove barriers by restructuring to autonomous segment P&amp;Ls (i.e., mainstream, ultra-premium) and allocating resources to focus on energy and service enabling strategy execution (Hayes, 2022).</a:t>
          </a:r>
        </a:p>
      </dsp:txBody>
      <dsp:txXfrm>
        <a:off x="0" y="4068420"/>
        <a:ext cx="6187440" cy="771750"/>
      </dsp:txXfrm>
    </dsp:sp>
    <dsp:sp modelId="{B00BCF7F-215F-4AE3-A19F-9390E6832FE0}">
      <dsp:nvSpPr>
        <dsp:cNvPr id="0" name=""/>
        <dsp:cNvSpPr/>
      </dsp:nvSpPr>
      <dsp:spPr>
        <a:xfrm>
          <a:off x="309372" y="3920820"/>
          <a:ext cx="4331208" cy="295200"/>
        </a:xfrm>
        <a:prstGeom prst="roundRect">
          <a:avLst/>
        </a:prstGeom>
        <a:solidFill>
          <a:schemeClr val="accent2">
            <a:hueOff val="-831636"/>
            <a:satOff val="-47959"/>
            <a:lumOff val="49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Enable Action</a:t>
          </a:r>
        </a:p>
      </dsp:txBody>
      <dsp:txXfrm>
        <a:off x="323782" y="3935230"/>
        <a:ext cx="4302388" cy="266380"/>
      </dsp:txXfrm>
    </dsp:sp>
    <dsp:sp modelId="{7CFBCE0F-0D6F-4245-A2E4-8A777EB4AB1B}">
      <dsp:nvSpPr>
        <dsp:cNvPr id="0" name=""/>
        <dsp:cNvSpPr/>
      </dsp:nvSpPr>
      <dsp:spPr>
        <a:xfrm>
          <a:off x="0" y="5041770"/>
          <a:ext cx="6187440" cy="771750"/>
        </a:xfrm>
        <a:prstGeom prst="rect">
          <a:avLst/>
        </a:prstGeom>
        <a:solidFill>
          <a:schemeClr val="lt1">
            <a:alpha val="90000"/>
            <a:hueOff val="0"/>
            <a:satOff val="0"/>
            <a:lumOff val="0"/>
            <a:alphaOff val="0"/>
          </a:schemeClr>
        </a:solidFill>
        <a:ln w="12700" cap="flat" cmpd="sng" algn="ctr">
          <a:solidFill>
            <a:schemeClr val="accent2">
              <a:hueOff val="-1039545"/>
              <a:satOff val="-59949"/>
              <a:lumOff val="616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Introduce pilot programmes (like a targeted sub-brand rollout) and highlight measurable improvements more quickly in NPS or CAC as a way of generating momentum and validating the new way forward (Burnes, 2014).</a:t>
          </a:r>
        </a:p>
      </dsp:txBody>
      <dsp:txXfrm>
        <a:off x="0" y="5041770"/>
        <a:ext cx="6187440" cy="771750"/>
      </dsp:txXfrm>
    </dsp:sp>
    <dsp:sp modelId="{DD158F3F-6BE5-46C1-9FF9-265C07137EDA}">
      <dsp:nvSpPr>
        <dsp:cNvPr id="0" name=""/>
        <dsp:cNvSpPr/>
      </dsp:nvSpPr>
      <dsp:spPr>
        <a:xfrm>
          <a:off x="309372" y="4894170"/>
          <a:ext cx="4331208" cy="295200"/>
        </a:xfrm>
        <a:prstGeom prst="roundRect">
          <a:avLst/>
        </a:prstGeom>
        <a:solidFill>
          <a:schemeClr val="accent2">
            <a:hueOff val="-1039545"/>
            <a:satOff val="-59949"/>
            <a:lumOff val="61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Generate Short-Term Wins</a:t>
          </a:r>
        </a:p>
      </dsp:txBody>
      <dsp:txXfrm>
        <a:off x="323782" y="4908580"/>
        <a:ext cx="4302388" cy="266380"/>
      </dsp:txXfrm>
    </dsp:sp>
    <dsp:sp modelId="{52EE78AD-426F-4A89-A75E-967A9689812A}">
      <dsp:nvSpPr>
        <dsp:cNvPr id="0" name=""/>
        <dsp:cNvSpPr/>
      </dsp:nvSpPr>
      <dsp:spPr>
        <a:xfrm>
          <a:off x="0" y="6015120"/>
          <a:ext cx="6187440" cy="771750"/>
        </a:xfrm>
        <a:prstGeom prst="rect">
          <a:avLst/>
        </a:prstGeom>
        <a:solidFill>
          <a:schemeClr val="lt1">
            <a:alpha val="90000"/>
            <a:hueOff val="0"/>
            <a:satOff val="0"/>
            <a:lumOff val="0"/>
            <a:alphaOff val="0"/>
          </a:schemeClr>
        </a:solidFill>
        <a:ln w="12700" cap="flat" cmpd="sng" algn="ctr">
          <a:solidFill>
            <a:schemeClr val="accent2">
              <a:hueOff val="-1247454"/>
              <a:satOff val="-71938"/>
              <a:lumOff val="739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Leverage credibility from initial successes to address more fundamental systemic problems: Redesign service infrastructure and build in higher-level measurement tools to consolidate gains and move forward (Burnes, 2014).</a:t>
          </a:r>
        </a:p>
      </dsp:txBody>
      <dsp:txXfrm>
        <a:off x="0" y="6015120"/>
        <a:ext cx="6187440" cy="771750"/>
      </dsp:txXfrm>
    </dsp:sp>
    <dsp:sp modelId="{453F0C54-6A6E-4C79-A144-671BCB241BC2}">
      <dsp:nvSpPr>
        <dsp:cNvPr id="0" name=""/>
        <dsp:cNvSpPr/>
      </dsp:nvSpPr>
      <dsp:spPr>
        <a:xfrm>
          <a:off x="309372" y="5867520"/>
          <a:ext cx="4331208" cy="295200"/>
        </a:xfrm>
        <a:prstGeom prst="roundRect">
          <a:avLst/>
        </a:prstGeom>
        <a:solidFill>
          <a:schemeClr val="accent2">
            <a:hueOff val="-1247454"/>
            <a:satOff val="-71938"/>
            <a:lumOff val="73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Sustain Acceleration</a:t>
          </a:r>
        </a:p>
      </dsp:txBody>
      <dsp:txXfrm>
        <a:off x="323782" y="5881930"/>
        <a:ext cx="4302388" cy="266380"/>
      </dsp:txXfrm>
    </dsp:sp>
    <dsp:sp modelId="{1F508D57-41DA-4117-A97C-D2CA81EF1FA3}">
      <dsp:nvSpPr>
        <dsp:cNvPr id="0" name=""/>
        <dsp:cNvSpPr/>
      </dsp:nvSpPr>
      <dsp:spPr>
        <a:xfrm>
          <a:off x="0" y="6988470"/>
          <a:ext cx="6187440" cy="77175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214" tIns="208280" rIns="480214" bIns="85344" numCol="1" spcCol="1270" anchor="t"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Ground new approaches in culture through reconciling incentives with performance measures, updating leadership development and formalising processes to make sure the segmented, data-driven strategy sticks (Whittington et al., 2020).</a:t>
          </a:r>
        </a:p>
      </dsp:txBody>
      <dsp:txXfrm>
        <a:off x="0" y="6988470"/>
        <a:ext cx="6187440" cy="771750"/>
      </dsp:txXfrm>
    </dsp:sp>
    <dsp:sp modelId="{113A039E-7EC1-406D-BD50-2521E3604B87}">
      <dsp:nvSpPr>
        <dsp:cNvPr id="0" name=""/>
        <dsp:cNvSpPr/>
      </dsp:nvSpPr>
      <dsp:spPr>
        <a:xfrm>
          <a:off x="309372" y="6840870"/>
          <a:ext cx="4331208" cy="29520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709" tIns="0" rIns="16370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Institute Change</a:t>
          </a:r>
        </a:p>
      </dsp:txBody>
      <dsp:txXfrm>
        <a:off x="323782" y="6855280"/>
        <a:ext cx="4302388" cy="26638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9C86DD-66D0-421E-B02E-5CC8ACE34DF5}">
      <dsp:nvSpPr>
        <dsp:cNvPr id="0" name=""/>
        <dsp:cNvSpPr/>
      </dsp:nvSpPr>
      <dsp:spPr>
        <a:xfrm>
          <a:off x="2924" y="231457"/>
          <a:ext cx="1495867" cy="378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Market displacement – OEM acceleration</a:t>
          </a:r>
        </a:p>
      </dsp:txBody>
      <dsp:txXfrm>
        <a:off x="2924" y="231457"/>
        <a:ext cx="1495867" cy="378675"/>
      </dsp:txXfrm>
    </dsp:sp>
    <dsp:sp modelId="{08D4C154-2A31-4487-950D-D88133DD1F5E}">
      <dsp:nvSpPr>
        <dsp:cNvPr id="0" name=""/>
        <dsp:cNvSpPr/>
      </dsp:nvSpPr>
      <dsp:spPr>
        <a:xfrm>
          <a:off x="1498792" y="231457"/>
          <a:ext cx="299173" cy="378675"/>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92F264-1AD5-4482-BD1A-06E4AEF3FEDC}">
      <dsp:nvSpPr>
        <dsp:cNvPr id="0" name=""/>
        <dsp:cNvSpPr/>
      </dsp:nvSpPr>
      <dsp:spPr>
        <a:xfrm>
          <a:off x="1917635" y="231457"/>
          <a:ext cx="4068760" cy="3786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Timeline compression</a:t>
          </a:r>
        </a:p>
      </dsp:txBody>
      <dsp:txXfrm>
        <a:off x="1917635" y="231457"/>
        <a:ext cx="4068760" cy="378675"/>
      </dsp:txXfrm>
    </dsp:sp>
    <dsp:sp modelId="{C5BF47DE-1B06-4102-9018-8305A2C0C8B3}">
      <dsp:nvSpPr>
        <dsp:cNvPr id="0" name=""/>
        <dsp:cNvSpPr/>
      </dsp:nvSpPr>
      <dsp:spPr>
        <a:xfrm>
          <a:off x="2924" y="653332"/>
          <a:ext cx="1495867" cy="378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Cultural resistance – Metric non-adoption</a:t>
          </a:r>
        </a:p>
      </dsp:txBody>
      <dsp:txXfrm>
        <a:off x="2924" y="653332"/>
        <a:ext cx="1495867" cy="378675"/>
      </dsp:txXfrm>
    </dsp:sp>
    <dsp:sp modelId="{6077D043-6CBF-42DB-8F4F-A7BAB1ABB221}">
      <dsp:nvSpPr>
        <dsp:cNvPr id="0" name=""/>
        <dsp:cNvSpPr/>
      </dsp:nvSpPr>
      <dsp:spPr>
        <a:xfrm>
          <a:off x="1498792" y="653332"/>
          <a:ext cx="299173" cy="378675"/>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7F3D64-8305-4BDE-9463-AC65A5497A14}">
      <dsp:nvSpPr>
        <dsp:cNvPr id="0" name=""/>
        <dsp:cNvSpPr/>
      </dsp:nvSpPr>
      <dsp:spPr>
        <a:xfrm>
          <a:off x="1917635" y="653332"/>
          <a:ext cx="4068760" cy="378675"/>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Incentive redesign</a:t>
          </a:r>
        </a:p>
      </dsp:txBody>
      <dsp:txXfrm>
        <a:off x="1917635" y="653332"/>
        <a:ext cx="4068760" cy="378675"/>
      </dsp:txXfrm>
    </dsp:sp>
    <dsp:sp modelId="{1DD47722-72F5-42C1-8C8A-04FD304F966D}">
      <dsp:nvSpPr>
        <dsp:cNvPr id="0" name=""/>
        <dsp:cNvSpPr/>
      </dsp:nvSpPr>
      <dsp:spPr>
        <a:xfrm>
          <a:off x="2924" y="1075207"/>
          <a:ext cx="1495867" cy="534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Margin stagnation – CLV/CAC divergence</a:t>
          </a:r>
        </a:p>
      </dsp:txBody>
      <dsp:txXfrm>
        <a:off x="2924" y="1075207"/>
        <a:ext cx="1495867" cy="534600"/>
      </dsp:txXfrm>
    </dsp:sp>
    <dsp:sp modelId="{A2329F8D-0941-4B3E-8EC5-EE30A77B8841}">
      <dsp:nvSpPr>
        <dsp:cNvPr id="0" name=""/>
        <dsp:cNvSpPr/>
      </dsp:nvSpPr>
      <dsp:spPr>
        <a:xfrm>
          <a:off x="1498792" y="1075207"/>
          <a:ext cx="299173" cy="534600"/>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40E00E-9A95-4263-9E8B-363FAE628A3E}">
      <dsp:nvSpPr>
        <dsp:cNvPr id="0" name=""/>
        <dsp:cNvSpPr/>
      </dsp:nvSpPr>
      <dsp:spPr>
        <a:xfrm>
          <a:off x="1917635" y="1075207"/>
          <a:ext cx="4068760" cy="534600"/>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Portfolio reallocation</a:t>
          </a:r>
        </a:p>
      </dsp:txBody>
      <dsp:txXfrm>
        <a:off x="1917635" y="1075207"/>
        <a:ext cx="4068760" cy="534600"/>
      </dsp:txXfrm>
    </dsp:sp>
    <dsp:sp modelId="{BDF387DA-41A0-42B4-B588-FAF6203C2348}">
      <dsp:nvSpPr>
        <dsp:cNvPr id="0" name=""/>
        <dsp:cNvSpPr/>
      </dsp:nvSpPr>
      <dsp:spPr>
        <a:xfrm>
          <a:off x="2924" y="1653007"/>
          <a:ext cx="1495867" cy="378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30480" rIns="85344" bIns="3048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Capital drag – ROI underperformance</a:t>
          </a:r>
        </a:p>
      </dsp:txBody>
      <dsp:txXfrm>
        <a:off x="2924" y="1653007"/>
        <a:ext cx="1495867" cy="378675"/>
      </dsp:txXfrm>
    </dsp:sp>
    <dsp:sp modelId="{10718CFA-7604-46E2-9C8E-933F7A752C3B}">
      <dsp:nvSpPr>
        <dsp:cNvPr id="0" name=""/>
        <dsp:cNvSpPr/>
      </dsp:nvSpPr>
      <dsp:spPr>
        <a:xfrm>
          <a:off x="1498792" y="1653007"/>
          <a:ext cx="299173" cy="378675"/>
        </a:xfrm>
        <a:prstGeom prst="leftBrace">
          <a:avLst>
            <a:gd name="adj1" fmla="val 35000"/>
            <a:gd name="adj2" fmla="val 5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E092C9-CE58-4F6B-A257-D5534622A045}">
      <dsp:nvSpPr>
        <dsp:cNvPr id="0" name=""/>
        <dsp:cNvSpPr/>
      </dsp:nvSpPr>
      <dsp:spPr>
        <a:xfrm>
          <a:off x="1917635" y="1653007"/>
          <a:ext cx="4068760" cy="378675"/>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114300" lvl="1" indent="-114300" algn="ctr" defTabSz="533400">
            <a:lnSpc>
              <a:spcPct val="90000"/>
            </a:lnSpc>
            <a:spcBef>
              <a:spcPct val="0"/>
            </a:spcBef>
            <a:spcAft>
              <a:spcPct val="15000"/>
            </a:spcAft>
            <a:buNone/>
          </a:pPr>
          <a:r>
            <a:rPr lang="en-US" sz="1200" kern="1200">
              <a:latin typeface="Times New Roman" panose="02020603050405020304" pitchFamily="18" charset="0"/>
              <a:cs typeface="Times New Roman" panose="02020603050405020304" pitchFamily="18" charset="0"/>
            </a:rPr>
            <a:t>Spend re-sequencing</a:t>
          </a:r>
        </a:p>
      </dsp:txBody>
      <dsp:txXfrm>
        <a:off x="1917635" y="1653007"/>
        <a:ext cx="4068760" cy="378675"/>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8.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10.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