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2A3B1" w14:textId="77777777" w:rsidR="001E42B8" w:rsidRPr="00C73D83" w:rsidRDefault="001E42B8" w:rsidP="001E42B8">
      <w:pPr>
        <w:spacing w:before="0" w:after="160" w:line="360" w:lineRule="auto"/>
        <w:jc w:val="both"/>
        <w:rPr>
          <w:b/>
          <w:bCs/>
          <w:sz w:val="24"/>
          <w:szCs w:val="24"/>
          <w:lang w:val="en-GB" w:eastAsia="en-GB"/>
        </w:rPr>
      </w:pPr>
    </w:p>
    <w:p w14:paraId="5A6EB5C9" w14:textId="77777777" w:rsidR="001E42B8" w:rsidRPr="00C73D83" w:rsidRDefault="001E42B8" w:rsidP="001E42B8">
      <w:pPr>
        <w:spacing w:before="0" w:after="160" w:line="360" w:lineRule="auto"/>
        <w:jc w:val="center"/>
        <w:rPr>
          <w:b/>
          <w:bCs/>
          <w:sz w:val="24"/>
          <w:szCs w:val="24"/>
          <w:lang w:val="en-GB" w:eastAsia="en-GB"/>
        </w:rPr>
      </w:pPr>
      <w:r>
        <w:rPr>
          <w:noProof/>
        </w:rPr>
        <w:drawing>
          <wp:inline distT="0" distB="0" distL="0" distR="0" wp14:anchorId="70F924C7" wp14:editId="2104CDC5">
            <wp:extent cx="4019550" cy="1790700"/>
            <wp:effectExtent l="0" t="0" r="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19550" cy="1790700"/>
                    </a:xfrm>
                    <a:prstGeom prst="rect">
                      <a:avLst/>
                    </a:prstGeom>
                    <a:noFill/>
                    <a:ln>
                      <a:noFill/>
                    </a:ln>
                  </pic:spPr>
                </pic:pic>
              </a:graphicData>
            </a:graphic>
          </wp:inline>
        </w:drawing>
      </w:r>
    </w:p>
    <w:p w14:paraId="60E54502" w14:textId="77777777" w:rsidR="001E42B8" w:rsidRDefault="001E42B8" w:rsidP="00721AB7">
      <w:pPr>
        <w:spacing w:before="0" w:after="160" w:line="276" w:lineRule="auto"/>
        <w:rPr>
          <w:b/>
          <w:bCs/>
          <w:sz w:val="32"/>
          <w:szCs w:val="32"/>
          <w:lang w:eastAsia="en-GB"/>
        </w:rPr>
      </w:pPr>
    </w:p>
    <w:p w14:paraId="56953611" w14:textId="77777777" w:rsidR="001E42B8" w:rsidRDefault="001E42B8" w:rsidP="001E42B8">
      <w:pPr>
        <w:spacing w:before="0" w:after="160" w:line="276" w:lineRule="auto"/>
        <w:jc w:val="center"/>
        <w:rPr>
          <w:b/>
          <w:bCs/>
          <w:sz w:val="32"/>
          <w:szCs w:val="32"/>
          <w:lang w:eastAsia="en-GB"/>
        </w:rPr>
      </w:pPr>
    </w:p>
    <w:p w14:paraId="1DB537B0" w14:textId="77777777" w:rsidR="00F07236" w:rsidRDefault="001E42B8" w:rsidP="00313AFC">
      <w:pPr>
        <w:spacing w:after="160" w:line="276" w:lineRule="auto"/>
        <w:jc w:val="center"/>
        <w:rPr>
          <w:b/>
          <w:bCs/>
          <w:sz w:val="32"/>
          <w:szCs w:val="32"/>
          <w:lang w:eastAsia="en-GB"/>
        </w:rPr>
      </w:pPr>
      <w:r w:rsidRPr="00351D40">
        <w:rPr>
          <w:b/>
          <w:bCs/>
          <w:sz w:val="32"/>
          <w:szCs w:val="32"/>
          <w:lang w:eastAsia="en-GB"/>
        </w:rPr>
        <w:t>Digital Service Quality, Customer Experience Capability, and Relationship Loyalty in UK Retail Banking: A Mixed-Methods Examination of Strategic Digital Transformation</w:t>
      </w:r>
    </w:p>
    <w:p w14:paraId="11F43CAB" w14:textId="4D38F8FF" w:rsidR="00313AFC" w:rsidRPr="00313AFC" w:rsidRDefault="00313AFC" w:rsidP="00313AFC">
      <w:pPr>
        <w:spacing w:after="160" w:line="276" w:lineRule="auto"/>
        <w:jc w:val="center"/>
        <w:rPr>
          <w:b/>
          <w:bCs/>
          <w:sz w:val="32"/>
          <w:szCs w:val="32"/>
          <w:lang w:val="en-GB" w:eastAsia="en-GB"/>
        </w:rPr>
      </w:pPr>
      <w:r>
        <w:rPr>
          <w:b/>
          <w:bCs/>
          <w:sz w:val="32"/>
          <w:szCs w:val="32"/>
          <w:lang w:eastAsia="en-GB"/>
        </w:rPr>
        <w:t xml:space="preserve"> (</w:t>
      </w:r>
      <w:r w:rsidRPr="00313AFC">
        <w:rPr>
          <w:b/>
          <w:bCs/>
          <w:sz w:val="32"/>
          <w:szCs w:val="32"/>
          <w:lang w:val="en-GB" w:eastAsia="en-GB"/>
        </w:rPr>
        <w:t>(LCDB7007)</w:t>
      </w:r>
    </w:p>
    <w:p w14:paraId="354809EF" w14:textId="54B111EA" w:rsidR="001E42B8" w:rsidRPr="00351D40" w:rsidRDefault="00721AB7" w:rsidP="001E42B8">
      <w:pPr>
        <w:spacing w:before="0" w:after="160" w:line="276" w:lineRule="auto"/>
        <w:jc w:val="center"/>
        <w:rPr>
          <w:b/>
          <w:bCs/>
          <w:sz w:val="32"/>
          <w:szCs w:val="32"/>
          <w:lang w:val="en-GB" w:eastAsia="en-GB"/>
        </w:rPr>
      </w:pPr>
      <w:r>
        <w:rPr>
          <w:b/>
          <w:bCs/>
          <w:sz w:val="32"/>
          <w:szCs w:val="32"/>
          <w:lang w:val="en-GB" w:eastAsia="en-GB"/>
        </w:rPr>
        <w:t>DBA Level 7</w:t>
      </w:r>
    </w:p>
    <w:p w14:paraId="27B1F4E9" w14:textId="735E68FA" w:rsidR="001E42B8" w:rsidRPr="00C73D83" w:rsidRDefault="001E42B8" w:rsidP="001E42B8">
      <w:pPr>
        <w:spacing w:before="0" w:after="160" w:line="360" w:lineRule="auto"/>
        <w:jc w:val="center"/>
        <w:rPr>
          <w:b/>
          <w:bCs/>
          <w:sz w:val="24"/>
          <w:szCs w:val="24"/>
          <w:lang w:val="en-GB" w:eastAsia="en-GB"/>
        </w:rPr>
      </w:pPr>
      <w:r w:rsidRPr="00C73D83">
        <w:rPr>
          <w:b/>
          <w:bCs/>
          <w:sz w:val="24"/>
          <w:szCs w:val="24"/>
          <w:lang w:val="en-GB" w:eastAsia="en-GB"/>
        </w:rPr>
        <w:t xml:space="preserve">Student </w:t>
      </w:r>
      <w:r w:rsidR="00743DBE" w:rsidRPr="00C73D83">
        <w:rPr>
          <w:b/>
          <w:bCs/>
          <w:sz w:val="24"/>
          <w:szCs w:val="24"/>
          <w:lang w:val="en-GB" w:eastAsia="en-GB"/>
        </w:rPr>
        <w:t>Name</w:t>
      </w:r>
      <w:r w:rsidR="00743DBE">
        <w:rPr>
          <w:b/>
          <w:bCs/>
          <w:sz w:val="24"/>
          <w:szCs w:val="24"/>
          <w:lang w:val="en-GB" w:eastAsia="en-GB"/>
        </w:rPr>
        <w:t>:</w:t>
      </w:r>
      <w:r>
        <w:rPr>
          <w:b/>
          <w:bCs/>
          <w:sz w:val="24"/>
          <w:szCs w:val="24"/>
          <w:lang w:val="en-GB" w:eastAsia="en-GB"/>
        </w:rPr>
        <w:t xml:space="preserve"> </w:t>
      </w:r>
      <w:r w:rsidRPr="00351D40">
        <w:rPr>
          <w:b/>
          <w:bCs/>
          <w:sz w:val="24"/>
          <w:szCs w:val="24"/>
          <w:lang w:val="en-GB" w:eastAsia="en-GB"/>
        </w:rPr>
        <w:t xml:space="preserve">Ayushi </w:t>
      </w:r>
      <w:r w:rsidR="00743DBE">
        <w:rPr>
          <w:b/>
          <w:bCs/>
          <w:sz w:val="24"/>
          <w:szCs w:val="24"/>
          <w:lang w:val="en-GB" w:eastAsia="en-GB"/>
        </w:rPr>
        <w:t>Ka</w:t>
      </w:r>
      <w:r w:rsidRPr="00351D40">
        <w:rPr>
          <w:b/>
          <w:bCs/>
          <w:sz w:val="24"/>
          <w:szCs w:val="24"/>
          <w:lang w:val="en-GB" w:eastAsia="en-GB"/>
        </w:rPr>
        <w:t>patel</w:t>
      </w:r>
    </w:p>
    <w:p w14:paraId="710D5560" w14:textId="00F8954A" w:rsidR="001E42B8" w:rsidRDefault="001E42B8" w:rsidP="001E42B8">
      <w:pPr>
        <w:spacing w:before="0" w:after="160" w:line="360" w:lineRule="auto"/>
        <w:jc w:val="center"/>
        <w:rPr>
          <w:b/>
          <w:bCs/>
          <w:sz w:val="24"/>
          <w:szCs w:val="24"/>
          <w:lang w:val="en-GB" w:eastAsia="en-GB"/>
        </w:rPr>
      </w:pPr>
      <w:r w:rsidRPr="00C73D83">
        <w:rPr>
          <w:b/>
          <w:bCs/>
          <w:sz w:val="24"/>
          <w:szCs w:val="24"/>
          <w:lang w:val="en-GB" w:eastAsia="en-GB"/>
        </w:rPr>
        <w:t>S</w:t>
      </w:r>
      <w:r>
        <w:rPr>
          <w:b/>
          <w:bCs/>
          <w:sz w:val="24"/>
          <w:szCs w:val="24"/>
          <w:lang w:val="en-GB" w:eastAsia="en-GB"/>
        </w:rPr>
        <w:t xml:space="preserve">tudent </w:t>
      </w:r>
      <w:r w:rsidR="002A5422">
        <w:rPr>
          <w:b/>
          <w:bCs/>
          <w:sz w:val="24"/>
          <w:szCs w:val="24"/>
          <w:lang w:val="en-GB" w:eastAsia="en-GB"/>
        </w:rPr>
        <w:t>Id:</w:t>
      </w:r>
      <w:r>
        <w:rPr>
          <w:b/>
          <w:bCs/>
          <w:sz w:val="24"/>
          <w:szCs w:val="24"/>
          <w:lang w:val="en-GB" w:eastAsia="en-GB"/>
        </w:rPr>
        <w:t xml:space="preserve"> </w:t>
      </w:r>
      <w:r w:rsidRPr="00351D40">
        <w:rPr>
          <w:b/>
          <w:bCs/>
          <w:sz w:val="24"/>
          <w:szCs w:val="24"/>
          <w:lang w:val="en-GB" w:eastAsia="en-GB"/>
        </w:rPr>
        <w:t>2434235</w:t>
      </w:r>
    </w:p>
    <w:p w14:paraId="27912FB3" w14:textId="531D7308" w:rsidR="001E42B8" w:rsidRPr="00C73D83" w:rsidRDefault="00F902F8" w:rsidP="001E42B8">
      <w:pPr>
        <w:spacing w:before="0" w:after="160" w:line="360" w:lineRule="auto"/>
        <w:jc w:val="center"/>
        <w:rPr>
          <w:b/>
          <w:bCs/>
          <w:sz w:val="24"/>
          <w:szCs w:val="24"/>
          <w:lang w:val="en-GB" w:eastAsia="en-GB"/>
        </w:rPr>
      </w:pPr>
      <w:r w:rsidRPr="00F902F8">
        <w:rPr>
          <w:b/>
          <w:bCs/>
          <w:sz w:val="24"/>
          <w:szCs w:val="24"/>
          <w:lang w:eastAsia="en-GB"/>
        </w:rPr>
        <w:t>Prof. Ebad Banissi</w:t>
      </w:r>
    </w:p>
    <w:p w14:paraId="07DFA831" w14:textId="43DA2AE5" w:rsidR="001E42B8" w:rsidRPr="00C73D83" w:rsidRDefault="001E42B8" w:rsidP="001E42B8">
      <w:pPr>
        <w:spacing w:before="0" w:after="160" w:line="360" w:lineRule="auto"/>
        <w:jc w:val="both"/>
        <w:rPr>
          <w:rFonts w:eastAsiaTheme="majorEastAsia"/>
          <w:b/>
          <w:sz w:val="24"/>
          <w:szCs w:val="24"/>
        </w:rPr>
      </w:pPr>
      <w:r w:rsidRPr="00C73D83">
        <w:rPr>
          <w:sz w:val="24"/>
          <w:szCs w:val="24"/>
        </w:rPr>
        <w:br w:type="page"/>
      </w:r>
    </w:p>
    <w:p w14:paraId="2A442230" w14:textId="77777777" w:rsidR="001E42B8" w:rsidRPr="00B95F8D" w:rsidRDefault="001E42B8" w:rsidP="001E42B8">
      <w:pPr>
        <w:spacing w:before="0" w:after="160" w:line="360" w:lineRule="auto"/>
        <w:jc w:val="center"/>
        <w:rPr>
          <w:b/>
          <w:bCs/>
          <w:sz w:val="24"/>
          <w:szCs w:val="24"/>
        </w:rPr>
      </w:pPr>
      <w:r w:rsidRPr="00B95F8D">
        <w:rPr>
          <w:b/>
          <w:bCs/>
          <w:sz w:val="24"/>
          <w:szCs w:val="24"/>
        </w:rPr>
        <w:lastRenderedPageBreak/>
        <w:t>Abstract</w:t>
      </w:r>
    </w:p>
    <w:p w14:paraId="12E062BB" w14:textId="77777777" w:rsidR="001E42B8" w:rsidRDefault="001E42B8" w:rsidP="001E42B8">
      <w:pPr>
        <w:spacing w:before="0" w:after="160" w:line="360" w:lineRule="auto"/>
        <w:jc w:val="both"/>
        <w:rPr>
          <w:sz w:val="24"/>
          <w:szCs w:val="24"/>
        </w:rPr>
      </w:pPr>
      <w:r w:rsidRPr="00B95F8D">
        <w:rPr>
          <w:sz w:val="24"/>
          <w:szCs w:val="24"/>
        </w:rPr>
        <w:t>This dissertation critically focuses on how the research philosophy contributes to the generation of knowledge in the research of the digital service quality, the customer experience capability, and the relationship loyalty in UK retail banking. Based on a systematic review of recent literature and a detailed philosophical and methodological investigation of Aldaarmi (2024), the article shows that current studies on the subject are largely based on realist ontologies, positivist, or post-positivist epistemologies, and firm-centric axiological views. Although these philosophical commitments make measurements, predictions, and managerial applicability easier, they also marginalise interpretive meaning, relational dynamics and ethical issues that are paramount to trust-based and tightly regulated digital banking conditions. The combination of the results of the literature review and the analysis of the case indicates that the study has identified the implications of philosophical positioning in the development of theories, methodological decisions, managerial practice, and research design on the DBA level. The paper proposes more philosophical reflexivity and pluralism whereby interpretivist and critical realist methods would produce deeper and more contextual knowledge to support the scholarship and practice in digital banking.</w:t>
      </w:r>
    </w:p>
    <w:p w14:paraId="45386ADD" w14:textId="77777777" w:rsidR="001E42B8" w:rsidRPr="00B95F8D" w:rsidRDefault="001E42B8" w:rsidP="001E42B8">
      <w:pPr>
        <w:spacing w:before="0" w:after="160" w:line="360" w:lineRule="auto"/>
        <w:jc w:val="both"/>
        <w:rPr>
          <w:b/>
          <w:bCs/>
          <w:sz w:val="24"/>
          <w:szCs w:val="24"/>
        </w:rPr>
      </w:pPr>
      <w:r w:rsidRPr="00B95F8D">
        <w:rPr>
          <w:b/>
          <w:bCs/>
          <w:sz w:val="24"/>
          <w:szCs w:val="24"/>
        </w:rPr>
        <w:t>Keywords</w:t>
      </w:r>
    </w:p>
    <w:p w14:paraId="20686C57" w14:textId="77777777" w:rsidR="001E42B8" w:rsidRPr="00B95F8D" w:rsidRDefault="001E42B8" w:rsidP="001E42B8">
      <w:pPr>
        <w:spacing w:before="0" w:after="160" w:line="360" w:lineRule="auto"/>
        <w:jc w:val="both"/>
        <w:rPr>
          <w:sz w:val="24"/>
          <w:szCs w:val="24"/>
        </w:rPr>
      </w:pPr>
      <w:r w:rsidRPr="00B95F8D">
        <w:rPr>
          <w:sz w:val="24"/>
          <w:szCs w:val="24"/>
        </w:rPr>
        <w:t>Digital service quality; Customer experience capability; Relationship loyalty; Research philosophy; Digital banking; DBA research design</w:t>
      </w:r>
    </w:p>
    <w:p w14:paraId="61110717" w14:textId="77777777" w:rsidR="001E42B8" w:rsidRDefault="001E42B8" w:rsidP="001E42B8">
      <w:pPr>
        <w:spacing w:before="0" w:after="160" w:line="360" w:lineRule="auto"/>
        <w:jc w:val="both"/>
        <w:rPr>
          <w:rFonts w:eastAsiaTheme="majorEastAsia"/>
          <w:b/>
          <w:sz w:val="24"/>
          <w:szCs w:val="24"/>
        </w:rPr>
      </w:pPr>
      <w:r>
        <w:rPr>
          <w:szCs w:val="24"/>
        </w:rPr>
        <w:br w:type="page"/>
      </w:r>
    </w:p>
    <w:sdt>
      <w:sdtPr>
        <w:rPr>
          <w:rFonts w:ascii="Times New Roman" w:eastAsia="Times New Roman" w:hAnsi="Times New Roman" w:cs="Times New Roman"/>
          <w:color w:val="auto"/>
          <w:sz w:val="20"/>
          <w:szCs w:val="20"/>
          <w:lang w:val="en-AU" w:eastAsia="en-AU"/>
        </w:rPr>
        <w:id w:val="514813407"/>
        <w:docPartObj>
          <w:docPartGallery w:val="Table of Contents"/>
          <w:docPartUnique/>
        </w:docPartObj>
      </w:sdtPr>
      <w:sdtEndPr>
        <w:rPr>
          <w:b/>
          <w:bCs/>
          <w:noProof/>
        </w:rPr>
      </w:sdtEndPr>
      <w:sdtContent>
        <w:p w14:paraId="6549F41D" w14:textId="77777777" w:rsidR="001E42B8" w:rsidRPr="00322DA0" w:rsidRDefault="001E42B8" w:rsidP="001E42B8">
          <w:pPr>
            <w:pStyle w:val="TOCHeading"/>
            <w:jc w:val="center"/>
            <w:rPr>
              <w:rFonts w:ascii="Times New Roman" w:hAnsi="Times New Roman" w:cs="Times New Roman"/>
              <w:b/>
              <w:bCs/>
              <w:color w:val="auto"/>
              <w:sz w:val="24"/>
              <w:szCs w:val="24"/>
            </w:rPr>
          </w:pPr>
          <w:r w:rsidRPr="00322DA0">
            <w:rPr>
              <w:rFonts w:ascii="Times New Roman" w:hAnsi="Times New Roman" w:cs="Times New Roman"/>
              <w:b/>
              <w:bCs/>
              <w:color w:val="auto"/>
              <w:sz w:val="24"/>
              <w:szCs w:val="24"/>
            </w:rPr>
            <w:t>Table of Contents</w:t>
          </w:r>
        </w:p>
        <w:p w14:paraId="6126F8EA"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r w:rsidRPr="00322DA0">
            <w:rPr>
              <w:sz w:val="24"/>
              <w:szCs w:val="24"/>
            </w:rPr>
            <w:fldChar w:fldCharType="begin"/>
          </w:r>
          <w:r w:rsidRPr="00322DA0">
            <w:rPr>
              <w:sz w:val="24"/>
              <w:szCs w:val="24"/>
            </w:rPr>
            <w:instrText xml:space="preserve"> TOC \o "1-3" \h \z \u </w:instrText>
          </w:r>
          <w:r w:rsidRPr="00322DA0">
            <w:rPr>
              <w:sz w:val="24"/>
              <w:szCs w:val="24"/>
            </w:rPr>
            <w:fldChar w:fldCharType="separate"/>
          </w:r>
          <w:hyperlink w:anchor="_Toc217578217" w:history="1">
            <w:r w:rsidRPr="00322DA0">
              <w:rPr>
                <w:rStyle w:val="Hyperlink"/>
                <w:noProof/>
                <w:sz w:val="24"/>
                <w:szCs w:val="24"/>
              </w:rPr>
              <w:t>1. Introduction</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_Toc217578217 \h </w:instrText>
            </w:r>
            <w:r w:rsidRPr="00322DA0">
              <w:rPr>
                <w:noProof/>
                <w:webHidden/>
                <w:sz w:val="24"/>
                <w:szCs w:val="24"/>
              </w:rPr>
            </w:r>
            <w:r w:rsidRPr="00322DA0">
              <w:rPr>
                <w:noProof/>
                <w:webHidden/>
                <w:sz w:val="24"/>
                <w:szCs w:val="24"/>
              </w:rPr>
              <w:fldChar w:fldCharType="separate"/>
            </w:r>
            <w:r w:rsidRPr="00322DA0">
              <w:rPr>
                <w:noProof/>
                <w:webHidden/>
                <w:sz w:val="24"/>
                <w:szCs w:val="24"/>
              </w:rPr>
              <w:t>4</w:t>
            </w:r>
            <w:r w:rsidRPr="00322DA0">
              <w:rPr>
                <w:noProof/>
                <w:webHidden/>
                <w:sz w:val="24"/>
                <w:szCs w:val="24"/>
              </w:rPr>
              <w:fldChar w:fldCharType="end"/>
            </w:r>
          </w:hyperlink>
        </w:p>
        <w:p w14:paraId="2F2816EE"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18" w:history="1">
            <w:r w:rsidRPr="00322DA0">
              <w:rPr>
                <w:rStyle w:val="Hyperlink"/>
                <w:noProof/>
                <w:sz w:val="24"/>
                <w:szCs w:val="24"/>
              </w:rPr>
              <w:t>2. Method for Conducting the Literature Review</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_Toc217578218 \h </w:instrText>
            </w:r>
            <w:r w:rsidRPr="00322DA0">
              <w:rPr>
                <w:noProof/>
                <w:webHidden/>
                <w:sz w:val="24"/>
                <w:szCs w:val="24"/>
              </w:rPr>
            </w:r>
            <w:r w:rsidRPr="00322DA0">
              <w:rPr>
                <w:noProof/>
                <w:webHidden/>
                <w:sz w:val="24"/>
                <w:szCs w:val="24"/>
              </w:rPr>
              <w:fldChar w:fldCharType="separate"/>
            </w:r>
            <w:r w:rsidRPr="00322DA0">
              <w:rPr>
                <w:noProof/>
                <w:webHidden/>
                <w:sz w:val="24"/>
                <w:szCs w:val="24"/>
              </w:rPr>
              <w:t>6</w:t>
            </w:r>
            <w:r w:rsidRPr="00322DA0">
              <w:rPr>
                <w:noProof/>
                <w:webHidden/>
                <w:sz w:val="24"/>
                <w:szCs w:val="24"/>
              </w:rPr>
              <w:fldChar w:fldCharType="end"/>
            </w:r>
          </w:hyperlink>
        </w:p>
        <w:p w14:paraId="30046DD9"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19" w:history="1">
            <w:r w:rsidRPr="00322DA0">
              <w:rPr>
                <w:rStyle w:val="Hyperlink"/>
                <w:noProof/>
                <w:sz w:val="24"/>
                <w:szCs w:val="24"/>
              </w:rPr>
              <w:t>3. Critical Literature Review</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_Toc217578219 \h </w:instrText>
            </w:r>
            <w:r w:rsidRPr="00322DA0">
              <w:rPr>
                <w:noProof/>
                <w:webHidden/>
                <w:sz w:val="24"/>
                <w:szCs w:val="24"/>
              </w:rPr>
            </w:r>
            <w:r w:rsidRPr="00322DA0">
              <w:rPr>
                <w:noProof/>
                <w:webHidden/>
                <w:sz w:val="24"/>
                <w:szCs w:val="24"/>
              </w:rPr>
              <w:fldChar w:fldCharType="separate"/>
            </w:r>
            <w:r w:rsidRPr="00322DA0">
              <w:rPr>
                <w:noProof/>
                <w:webHidden/>
                <w:sz w:val="24"/>
                <w:szCs w:val="24"/>
              </w:rPr>
              <w:t>7</w:t>
            </w:r>
            <w:r w:rsidRPr="00322DA0">
              <w:rPr>
                <w:noProof/>
                <w:webHidden/>
                <w:sz w:val="24"/>
                <w:szCs w:val="24"/>
              </w:rPr>
              <w:fldChar w:fldCharType="end"/>
            </w:r>
          </w:hyperlink>
        </w:p>
        <w:p w14:paraId="34F6D8F4"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0" w:history="1">
            <w:r w:rsidRPr="00322DA0">
              <w:rPr>
                <w:rStyle w:val="Hyperlink"/>
                <w:noProof/>
                <w:sz w:val="24"/>
                <w:szCs w:val="24"/>
              </w:rPr>
              <w:t>3.1 Theme 1: Digital Service Quality in Digital Banking Research</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_Toc217578220 \h </w:instrText>
            </w:r>
            <w:r w:rsidRPr="00322DA0">
              <w:rPr>
                <w:noProof/>
                <w:webHidden/>
                <w:sz w:val="24"/>
                <w:szCs w:val="24"/>
              </w:rPr>
            </w:r>
            <w:r w:rsidRPr="00322DA0">
              <w:rPr>
                <w:noProof/>
                <w:webHidden/>
                <w:sz w:val="24"/>
                <w:szCs w:val="24"/>
              </w:rPr>
              <w:fldChar w:fldCharType="separate"/>
            </w:r>
            <w:r w:rsidRPr="00322DA0">
              <w:rPr>
                <w:noProof/>
                <w:webHidden/>
                <w:sz w:val="24"/>
                <w:szCs w:val="24"/>
              </w:rPr>
              <w:t>8</w:t>
            </w:r>
            <w:r w:rsidRPr="00322DA0">
              <w:rPr>
                <w:noProof/>
                <w:webHidden/>
                <w:sz w:val="24"/>
                <w:szCs w:val="24"/>
              </w:rPr>
              <w:fldChar w:fldCharType="end"/>
            </w:r>
          </w:hyperlink>
        </w:p>
        <w:p w14:paraId="7CEDC82D"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1" w:history="1">
            <w:r w:rsidRPr="00322DA0">
              <w:rPr>
                <w:rStyle w:val="Hyperlink"/>
                <w:noProof/>
                <w:sz w:val="24"/>
                <w:szCs w:val="24"/>
              </w:rPr>
              <w:t>3.2 Theme 2: Customer Experience Capability as an Organisational Construct</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_Toc217578221 \h </w:instrText>
            </w:r>
            <w:r w:rsidRPr="00322DA0">
              <w:rPr>
                <w:noProof/>
                <w:webHidden/>
                <w:sz w:val="24"/>
                <w:szCs w:val="24"/>
              </w:rPr>
            </w:r>
            <w:r w:rsidRPr="00322DA0">
              <w:rPr>
                <w:noProof/>
                <w:webHidden/>
                <w:sz w:val="24"/>
                <w:szCs w:val="24"/>
              </w:rPr>
              <w:fldChar w:fldCharType="separate"/>
            </w:r>
            <w:r w:rsidRPr="00322DA0">
              <w:rPr>
                <w:noProof/>
                <w:webHidden/>
                <w:sz w:val="24"/>
                <w:szCs w:val="24"/>
              </w:rPr>
              <w:t>10</w:t>
            </w:r>
            <w:r w:rsidRPr="00322DA0">
              <w:rPr>
                <w:noProof/>
                <w:webHidden/>
                <w:sz w:val="24"/>
                <w:szCs w:val="24"/>
              </w:rPr>
              <w:fldChar w:fldCharType="end"/>
            </w:r>
          </w:hyperlink>
        </w:p>
        <w:p w14:paraId="492567C0"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2" w:history="1">
            <w:r w:rsidRPr="00322DA0">
              <w:rPr>
                <w:rStyle w:val="Hyperlink"/>
                <w:noProof/>
                <w:sz w:val="24"/>
                <w:szCs w:val="24"/>
              </w:rPr>
              <w:t>3.3 Theme 3: Relationship Loyalty in Digital Service Contexts</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_Toc217578222 \h </w:instrText>
            </w:r>
            <w:r w:rsidRPr="00322DA0">
              <w:rPr>
                <w:noProof/>
                <w:webHidden/>
                <w:sz w:val="24"/>
                <w:szCs w:val="24"/>
              </w:rPr>
            </w:r>
            <w:r w:rsidRPr="00322DA0">
              <w:rPr>
                <w:noProof/>
                <w:webHidden/>
                <w:sz w:val="24"/>
                <w:szCs w:val="24"/>
              </w:rPr>
              <w:fldChar w:fldCharType="separate"/>
            </w:r>
            <w:r w:rsidRPr="00322DA0">
              <w:rPr>
                <w:noProof/>
                <w:webHidden/>
                <w:sz w:val="24"/>
                <w:szCs w:val="24"/>
              </w:rPr>
              <w:t>11</w:t>
            </w:r>
            <w:r w:rsidRPr="00322DA0">
              <w:rPr>
                <w:noProof/>
                <w:webHidden/>
                <w:sz w:val="24"/>
                <w:szCs w:val="24"/>
              </w:rPr>
              <w:fldChar w:fldCharType="end"/>
            </w:r>
          </w:hyperlink>
        </w:p>
        <w:p w14:paraId="3B09FEE7"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3" w:history="1">
            <w:r w:rsidRPr="00322DA0">
              <w:rPr>
                <w:rStyle w:val="Hyperlink"/>
                <w:noProof/>
                <w:sz w:val="24"/>
                <w:szCs w:val="24"/>
              </w:rPr>
              <w:t>3.4 Synthesis and Research Gaps</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_Toc217578223 \h </w:instrText>
            </w:r>
            <w:r w:rsidRPr="00322DA0">
              <w:rPr>
                <w:noProof/>
                <w:webHidden/>
                <w:sz w:val="24"/>
                <w:szCs w:val="24"/>
              </w:rPr>
            </w:r>
            <w:r w:rsidRPr="00322DA0">
              <w:rPr>
                <w:noProof/>
                <w:webHidden/>
                <w:sz w:val="24"/>
                <w:szCs w:val="24"/>
              </w:rPr>
              <w:fldChar w:fldCharType="separate"/>
            </w:r>
            <w:r w:rsidRPr="00322DA0">
              <w:rPr>
                <w:noProof/>
                <w:webHidden/>
                <w:sz w:val="24"/>
                <w:szCs w:val="24"/>
              </w:rPr>
              <w:t>14</w:t>
            </w:r>
            <w:r w:rsidRPr="00322DA0">
              <w:rPr>
                <w:noProof/>
                <w:webHidden/>
                <w:sz w:val="24"/>
                <w:szCs w:val="24"/>
              </w:rPr>
              <w:fldChar w:fldCharType="end"/>
            </w:r>
          </w:hyperlink>
        </w:p>
        <w:p w14:paraId="0984A8B5"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24" w:history="1">
            <w:r w:rsidRPr="00322DA0">
              <w:rPr>
                <w:rStyle w:val="Hyperlink"/>
                <w:noProof/>
                <w:sz w:val="24"/>
                <w:szCs w:val="24"/>
              </w:rPr>
              <w:t>4. Philosophical and Methodological Analysis of One Selected Study</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_Toc217578224 \h </w:instrText>
            </w:r>
            <w:r w:rsidRPr="00322DA0">
              <w:rPr>
                <w:noProof/>
                <w:webHidden/>
                <w:sz w:val="24"/>
                <w:szCs w:val="24"/>
              </w:rPr>
            </w:r>
            <w:r w:rsidRPr="00322DA0">
              <w:rPr>
                <w:noProof/>
                <w:webHidden/>
                <w:sz w:val="24"/>
                <w:szCs w:val="24"/>
              </w:rPr>
              <w:fldChar w:fldCharType="separate"/>
            </w:r>
            <w:r w:rsidRPr="00322DA0">
              <w:rPr>
                <w:noProof/>
                <w:webHidden/>
                <w:sz w:val="24"/>
                <w:szCs w:val="24"/>
              </w:rPr>
              <w:t>15</w:t>
            </w:r>
            <w:r w:rsidRPr="00322DA0">
              <w:rPr>
                <w:noProof/>
                <w:webHidden/>
                <w:sz w:val="24"/>
                <w:szCs w:val="24"/>
              </w:rPr>
              <w:fldChar w:fldCharType="end"/>
            </w:r>
          </w:hyperlink>
        </w:p>
        <w:p w14:paraId="4148D17D"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5" w:history="1">
            <w:r w:rsidRPr="00322DA0">
              <w:rPr>
                <w:rStyle w:val="Hyperlink"/>
                <w:noProof/>
                <w:sz w:val="24"/>
                <w:szCs w:val="24"/>
              </w:rPr>
              <w:t>4.1 Overview of the Selected Study</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_Toc217578225 \h </w:instrText>
            </w:r>
            <w:r w:rsidRPr="00322DA0">
              <w:rPr>
                <w:noProof/>
                <w:webHidden/>
                <w:sz w:val="24"/>
                <w:szCs w:val="24"/>
              </w:rPr>
            </w:r>
            <w:r w:rsidRPr="00322DA0">
              <w:rPr>
                <w:noProof/>
                <w:webHidden/>
                <w:sz w:val="24"/>
                <w:szCs w:val="24"/>
              </w:rPr>
              <w:fldChar w:fldCharType="separate"/>
            </w:r>
            <w:r w:rsidRPr="00322DA0">
              <w:rPr>
                <w:noProof/>
                <w:webHidden/>
                <w:sz w:val="24"/>
                <w:szCs w:val="24"/>
              </w:rPr>
              <w:t>16</w:t>
            </w:r>
            <w:r w:rsidRPr="00322DA0">
              <w:rPr>
                <w:noProof/>
                <w:webHidden/>
                <w:sz w:val="24"/>
                <w:szCs w:val="24"/>
              </w:rPr>
              <w:fldChar w:fldCharType="end"/>
            </w:r>
          </w:hyperlink>
        </w:p>
        <w:p w14:paraId="219988EC"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6" w:history="1">
            <w:r w:rsidRPr="00322DA0">
              <w:rPr>
                <w:rStyle w:val="Hyperlink"/>
                <w:noProof/>
                <w:sz w:val="24"/>
                <w:szCs w:val="24"/>
              </w:rPr>
              <w:t>4.2 Ontology and Epistemology of the Study</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_Toc217578226 \h </w:instrText>
            </w:r>
            <w:r w:rsidRPr="00322DA0">
              <w:rPr>
                <w:noProof/>
                <w:webHidden/>
                <w:sz w:val="24"/>
                <w:szCs w:val="24"/>
              </w:rPr>
            </w:r>
            <w:r w:rsidRPr="00322DA0">
              <w:rPr>
                <w:noProof/>
                <w:webHidden/>
                <w:sz w:val="24"/>
                <w:szCs w:val="24"/>
              </w:rPr>
              <w:fldChar w:fldCharType="separate"/>
            </w:r>
            <w:r w:rsidRPr="00322DA0">
              <w:rPr>
                <w:noProof/>
                <w:webHidden/>
                <w:sz w:val="24"/>
                <w:szCs w:val="24"/>
              </w:rPr>
              <w:t>16</w:t>
            </w:r>
            <w:r w:rsidRPr="00322DA0">
              <w:rPr>
                <w:noProof/>
                <w:webHidden/>
                <w:sz w:val="24"/>
                <w:szCs w:val="24"/>
              </w:rPr>
              <w:fldChar w:fldCharType="end"/>
            </w:r>
          </w:hyperlink>
        </w:p>
        <w:p w14:paraId="1A26776A"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7" w:history="1">
            <w:r w:rsidRPr="00322DA0">
              <w:rPr>
                <w:rStyle w:val="Hyperlink"/>
                <w:noProof/>
                <w:sz w:val="24"/>
                <w:szCs w:val="24"/>
              </w:rPr>
              <w:t>4.3 Axiology and Researcher Positionality</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_Toc217578227 \h </w:instrText>
            </w:r>
            <w:r w:rsidRPr="00322DA0">
              <w:rPr>
                <w:noProof/>
                <w:webHidden/>
                <w:sz w:val="24"/>
                <w:szCs w:val="24"/>
              </w:rPr>
            </w:r>
            <w:r w:rsidRPr="00322DA0">
              <w:rPr>
                <w:noProof/>
                <w:webHidden/>
                <w:sz w:val="24"/>
                <w:szCs w:val="24"/>
              </w:rPr>
              <w:fldChar w:fldCharType="separate"/>
            </w:r>
            <w:r w:rsidRPr="00322DA0">
              <w:rPr>
                <w:noProof/>
                <w:webHidden/>
                <w:sz w:val="24"/>
                <w:szCs w:val="24"/>
              </w:rPr>
              <w:t>17</w:t>
            </w:r>
            <w:r w:rsidRPr="00322DA0">
              <w:rPr>
                <w:noProof/>
                <w:webHidden/>
                <w:sz w:val="24"/>
                <w:szCs w:val="24"/>
              </w:rPr>
              <w:fldChar w:fldCharType="end"/>
            </w:r>
          </w:hyperlink>
        </w:p>
        <w:p w14:paraId="50BFE164"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8" w:history="1">
            <w:r w:rsidRPr="00322DA0">
              <w:rPr>
                <w:rStyle w:val="Hyperlink"/>
                <w:noProof/>
                <w:sz w:val="24"/>
                <w:szCs w:val="24"/>
              </w:rPr>
              <w:t>4.4 Methodological Quality: Reliability, Validity, and Trustworthiness</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_Toc217578228 \h </w:instrText>
            </w:r>
            <w:r w:rsidRPr="00322DA0">
              <w:rPr>
                <w:noProof/>
                <w:webHidden/>
                <w:sz w:val="24"/>
                <w:szCs w:val="24"/>
              </w:rPr>
            </w:r>
            <w:r w:rsidRPr="00322DA0">
              <w:rPr>
                <w:noProof/>
                <w:webHidden/>
                <w:sz w:val="24"/>
                <w:szCs w:val="24"/>
              </w:rPr>
              <w:fldChar w:fldCharType="separate"/>
            </w:r>
            <w:r w:rsidRPr="00322DA0">
              <w:rPr>
                <w:noProof/>
                <w:webHidden/>
                <w:sz w:val="24"/>
                <w:szCs w:val="24"/>
              </w:rPr>
              <w:t>18</w:t>
            </w:r>
            <w:r w:rsidRPr="00322DA0">
              <w:rPr>
                <w:noProof/>
                <w:webHidden/>
                <w:sz w:val="24"/>
                <w:szCs w:val="24"/>
              </w:rPr>
              <w:fldChar w:fldCharType="end"/>
            </w:r>
          </w:hyperlink>
        </w:p>
        <w:p w14:paraId="6C36A8E5"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29" w:history="1">
            <w:r w:rsidRPr="00322DA0">
              <w:rPr>
                <w:rStyle w:val="Hyperlink"/>
                <w:noProof/>
                <w:sz w:val="24"/>
                <w:szCs w:val="24"/>
              </w:rPr>
              <w:t>4.5 Ethical Considerations</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_Toc217578229 \h </w:instrText>
            </w:r>
            <w:r w:rsidRPr="00322DA0">
              <w:rPr>
                <w:noProof/>
                <w:webHidden/>
                <w:sz w:val="24"/>
                <w:szCs w:val="24"/>
              </w:rPr>
            </w:r>
            <w:r w:rsidRPr="00322DA0">
              <w:rPr>
                <w:noProof/>
                <w:webHidden/>
                <w:sz w:val="24"/>
                <w:szCs w:val="24"/>
              </w:rPr>
              <w:fldChar w:fldCharType="separate"/>
            </w:r>
            <w:r w:rsidRPr="00322DA0">
              <w:rPr>
                <w:noProof/>
                <w:webHidden/>
                <w:sz w:val="24"/>
                <w:szCs w:val="24"/>
              </w:rPr>
              <w:t>18</w:t>
            </w:r>
            <w:r w:rsidRPr="00322DA0">
              <w:rPr>
                <w:noProof/>
                <w:webHidden/>
                <w:sz w:val="24"/>
                <w:szCs w:val="24"/>
              </w:rPr>
              <w:fldChar w:fldCharType="end"/>
            </w:r>
          </w:hyperlink>
        </w:p>
        <w:p w14:paraId="07FA44CB" w14:textId="77777777" w:rsidR="001E42B8" w:rsidRPr="00322DA0" w:rsidRDefault="001E42B8" w:rsidP="001E42B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7578230" w:history="1">
            <w:r w:rsidRPr="00322DA0">
              <w:rPr>
                <w:rStyle w:val="Hyperlink"/>
                <w:noProof/>
                <w:sz w:val="24"/>
                <w:szCs w:val="24"/>
              </w:rPr>
              <w:t>4.6 Critical Appraisal and Alternative Approaches</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_Toc217578230 \h </w:instrText>
            </w:r>
            <w:r w:rsidRPr="00322DA0">
              <w:rPr>
                <w:noProof/>
                <w:webHidden/>
                <w:sz w:val="24"/>
                <w:szCs w:val="24"/>
              </w:rPr>
            </w:r>
            <w:r w:rsidRPr="00322DA0">
              <w:rPr>
                <w:noProof/>
                <w:webHidden/>
                <w:sz w:val="24"/>
                <w:szCs w:val="24"/>
              </w:rPr>
              <w:fldChar w:fldCharType="separate"/>
            </w:r>
            <w:r w:rsidRPr="00322DA0">
              <w:rPr>
                <w:noProof/>
                <w:webHidden/>
                <w:sz w:val="24"/>
                <w:szCs w:val="24"/>
              </w:rPr>
              <w:t>19</w:t>
            </w:r>
            <w:r w:rsidRPr="00322DA0">
              <w:rPr>
                <w:noProof/>
                <w:webHidden/>
                <w:sz w:val="24"/>
                <w:szCs w:val="24"/>
              </w:rPr>
              <w:fldChar w:fldCharType="end"/>
            </w:r>
          </w:hyperlink>
        </w:p>
        <w:p w14:paraId="272DCCEE"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31" w:history="1">
            <w:r w:rsidRPr="00322DA0">
              <w:rPr>
                <w:rStyle w:val="Hyperlink"/>
                <w:noProof/>
                <w:sz w:val="24"/>
                <w:szCs w:val="24"/>
              </w:rPr>
              <w:t>5. Discussion and Contribution</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_Toc217578231 \h </w:instrText>
            </w:r>
            <w:r w:rsidRPr="00322DA0">
              <w:rPr>
                <w:noProof/>
                <w:webHidden/>
                <w:sz w:val="24"/>
                <w:szCs w:val="24"/>
              </w:rPr>
            </w:r>
            <w:r w:rsidRPr="00322DA0">
              <w:rPr>
                <w:noProof/>
                <w:webHidden/>
                <w:sz w:val="24"/>
                <w:szCs w:val="24"/>
              </w:rPr>
              <w:fldChar w:fldCharType="separate"/>
            </w:r>
            <w:r w:rsidRPr="00322DA0">
              <w:rPr>
                <w:noProof/>
                <w:webHidden/>
                <w:sz w:val="24"/>
                <w:szCs w:val="24"/>
              </w:rPr>
              <w:t>20</w:t>
            </w:r>
            <w:r w:rsidRPr="00322DA0">
              <w:rPr>
                <w:noProof/>
                <w:webHidden/>
                <w:sz w:val="24"/>
                <w:szCs w:val="24"/>
              </w:rPr>
              <w:fldChar w:fldCharType="end"/>
            </w:r>
          </w:hyperlink>
        </w:p>
        <w:p w14:paraId="231B8E3F"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32" w:history="1">
            <w:r w:rsidRPr="00322DA0">
              <w:rPr>
                <w:rStyle w:val="Hyperlink"/>
                <w:noProof/>
                <w:sz w:val="24"/>
                <w:szCs w:val="24"/>
              </w:rPr>
              <w:t>6. Conclusion</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_Toc217578232 \h </w:instrText>
            </w:r>
            <w:r w:rsidRPr="00322DA0">
              <w:rPr>
                <w:noProof/>
                <w:webHidden/>
                <w:sz w:val="24"/>
                <w:szCs w:val="24"/>
              </w:rPr>
            </w:r>
            <w:r w:rsidRPr="00322DA0">
              <w:rPr>
                <w:noProof/>
                <w:webHidden/>
                <w:sz w:val="24"/>
                <w:szCs w:val="24"/>
              </w:rPr>
              <w:fldChar w:fldCharType="separate"/>
            </w:r>
            <w:r w:rsidRPr="00322DA0">
              <w:rPr>
                <w:noProof/>
                <w:webHidden/>
                <w:sz w:val="24"/>
                <w:szCs w:val="24"/>
              </w:rPr>
              <w:t>22</w:t>
            </w:r>
            <w:r w:rsidRPr="00322DA0">
              <w:rPr>
                <w:noProof/>
                <w:webHidden/>
                <w:sz w:val="24"/>
                <w:szCs w:val="24"/>
              </w:rPr>
              <w:fldChar w:fldCharType="end"/>
            </w:r>
          </w:hyperlink>
        </w:p>
        <w:p w14:paraId="732CBACF"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33" w:history="1">
            <w:r w:rsidRPr="00322DA0">
              <w:rPr>
                <w:rStyle w:val="Hyperlink"/>
                <w:noProof/>
                <w:sz w:val="24"/>
                <w:szCs w:val="24"/>
              </w:rPr>
              <w:t>7. References</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_Toc217578233 \h </w:instrText>
            </w:r>
            <w:r w:rsidRPr="00322DA0">
              <w:rPr>
                <w:noProof/>
                <w:webHidden/>
                <w:sz w:val="24"/>
                <w:szCs w:val="24"/>
              </w:rPr>
            </w:r>
            <w:r w:rsidRPr="00322DA0">
              <w:rPr>
                <w:noProof/>
                <w:webHidden/>
                <w:sz w:val="24"/>
                <w:szCs w:val="24"/>
              </w:rPr>
              <w:fldChar w:fldCharType="separate"/>
            </w:r>
            <w:r w:rsidRPr="00322DA0">
              <w:rPr>
                <w:noProof/>
                <w:webHidden/>
                <w:sz w:val="24"/>
                <w:szCs w:val="24"/>
              </w:rPr>
              <w:t>24</w:t>
            </w:r>
            <w:r w:rsidRPr="00322DA0">
              <w:rPr>
                <w:noProof/>
                <w:webHidden/>
                <w:sz w:val="24"/>
                <w:szCs w:val="24"/>
              </w:rPr>
              <w:fldChar w:fldCharType="end"/>
            </w:r>
          </w:hyperlink>
        </w:p>
        <w:p w14:paraId="160792AF" w14:textId="77777777" w:rsidR="001E42B8" w:rsidRPr="00322DA0" w:rsidRDefault="001E42B8" w:rsidP="001E42B8">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7578234" w:history="1">
            <w:r w:rsidRPr="00322DA0">
              <w:rPr>
                <w:rStyle w:val="Hyperlink"/>
                <w:noProof/>
                <w:sz w:val="24"/>
                <w:szCs w:val="24"/>
              </w:rPr>
              <w:t>8. Appendix</w:t>
            </w:r>
            <w:r w:rsidRPr="00322DA0">
              <w:rPr>
                <w:noProof/>
                <w:webHidden/>
                <w:sz w:val="24"/>
                <w:szCs w:val="24"/>
              </w:rPr>
              <w:tab/>
            </w:r>
            <w:r w:rsidRPr="00322DA0">
              <w:rPr>
                <w:noProof/>
                <w:webHidden/>
                <w:sz w:val="24"/>
                <w:szCs w:val="24"/>
              </w:rPr>
              <w:fldChar w:fldCharType="begin"/>
            </w:r>
            <w:r w:rsidRPr="00322DA0">
              <w:rPr>
                <w:noProof/>
                <w:webHidden/>
                <w:sz w:val="24"/>
                <w:szCs w:val="24"/>
              </w:rPr>
              <w:instrText xml:space="preserve"> PAGEREF _Toc217578234 \h </w:instrText>
            </w:r>
            <w:r w:rsidRPr="00322DA0">
              <w:rPr>
                <w:noProof/>
                <w:webHidden/>
                <w:sz w:val="24"/>
                <w:szCs w:val="24"/>
              </w:rPr>
            </w:r>
            <w:r w:rsidRPr="00322DA0">
              <w:rPr>
                <w:noProof/>
                <w:webHidden/>
                <w:sz w:val="24"/>
                <w:szCs w:val="24"/>
              </w:rPr>
              <w:fldChar w:fldCharType="separate"/>
            </w:r>
            <w:r w:rsidRPr="00322DA0">
              <w:rPr>
                <w:noProof/>
                <w:webHidden/>
                <w:sz w:val="24"/>
                <w:szCs w:val="24"/>
              </w:rPr>
              <w:t>29</w:t>
            </w:r>
            <w:r w:rsidRPr="00322DA0">
              <w:rPr>
                <w:noProof/>
                <w:webHidden/>
                <w:sz w:val="24"/>
                <w:szCs w:val="24"/>
              </w:rPr>
              <w:fldChar w:fldCharType="end"/>
            </w:r>
          </w:hyperlink>
        </w:p>
        <w:p w14:paraId="3B93043D" w14:textId="77777777" w:rsidR="001E42B8" w:rsidRDefault="001E42B8" w:rsidP="001E42B8">
          <w:r w:rsidRPr="00322DA0">
            <w:rPr>
              <w:b/>
              <w:bCs/>
              <w:noProof/>
              <w:sz w:val="24"/>
              <w:szCs w:val="24"/>
            </w:rPr>
            <w:fldChar w:fldCharType="end"/>
          </w:r>
        </w:p>
      </w:sdtContent>
    </w:sdt>
    <w:p w14:paraId="121668A3" w14:textId="77777777" w:rsidR="001E42B8" w:rsidRDefault="001E42B8" w:rsidP="001E42B8">
      <w:pPr>
        <w:spacing w:before="0" w:after="160" w:line="259" w:lineRule="auto"/>
        <w:rPr>
          <w:rFonts w:eastAsiaTheme="majorEastAsia"/>
          <w:b/>
          <w:sz w:val="24"/>
          <w:szCs w:val="24"/>
        </w:rPr>
      </w:pPr>
      <w:r>
        <w:rPr>
          <w:szCs w:val="24"/>
        </w:rPr>
        <w:br w:type="page"/>
      </w:r>
    </w:p>
    <w:p w14:paraId="00B8EBD7" w14:textId="77777777" w:rsidR="001E42B8" w:rsidRPr="00C73D83" w:rsidRDefault="001E42B8" w:rsidP="001E42B8">
      <w:pPr>
        <w:pStyle w:val="Heading1"/>
        <w:jc w:val="both"/>
        <w:rPr>
          <w:rFonts w:ascii="Times New Roman" w:hAnsi="Times New Roman" w:cs="Times New Roman"/>
          <w:szCs w:val="24"/>
        </w:rPr>
      </w:pPr>
      <w:bookmarkStart w:id="0" w:name="_Toc217578217"/>
      <w:r w:rsidRPr="00C73D83">
        <w:rPr>
          <w:rFonts w:ascii="Times New Roman" w:hAnsi="Times New Roman" w:cs="Times New Roman"/>
          <w:szCs w:val="24"/>
        </w:rPr>
        <w:lastRenderedPageBreak/>
        <w:t>1. Introduction</w:t>
      </w:r>
      <w:bookmarkEnd w:id="0"/>
    </w:p>
    <w:p w14:paraId="513C5A8A" w14:textId="77777777" w:rsidR="001E42B8" w:rsidRPr="00C73D83" w:rsidRDefault="001E42B8" w:rsidP="001E42B8">
      <w:pPr>
        <w:spacing w:line="360" w:lineRule="auto"/>
        <w:jc w:val="both"/>
        <w:rPr>
          <w:color w:val="000000"/>
          <w:sz w:val="24"/>
          <w:szCs w:val="24"/>
        </w:rPr>
      </w:pPr>
      <w:r w:rsidRPr="00C73D83">
        <w:rPr>
          <w:color w:val="000000"/>
          <w:sz w:val="24"/>
          <w:szCs w:val="24"/>
        </w:rPr>
        <w:t>Digital transformation is one of the salient attributes of the modern business and management academic research, especially in more service-oriented areas of business-like retail banking. The United Kingdom has undergone widespread technological change in its retail banking industry due to regulatory changes (e.g., Open Banking), fast adoption of mobile and online banking systems, and heightened competition from fintech new entrants (Omarini, 2018; Tashtamirov, 2023). The following dynamics have brought to the forefront digital service quality, customer experience capability, and relationship loyalty as concepts of managerial discussions and scholarly research (Shabani et al., 2022). The conceptualisation of these constructs and their research is thus of prime importance to the business and management scholarship.</w:t>
      </w:r>
    </w:p>
    <w:p w14:paraId="136A4C42" w14:textId="77777777" w:rsidR="001E42B8" w:rsidRPr="00C73D83" w:rsidRDefault="001E42B8" w:rsidP="001E42B8">
      <w:pPr>
        <w:spacing w:line="360" w:lineRule="auto"/>
        <w:jc w:val="both"/>
        <w:rPr>
          <w:color w:val="000000"/>
          <w:sz w:val="24"/>
          <w:szCs w:val="24"/>
        </w:rPr>
      </w:pPr>
      <w:r w:rsidRPr="00C73D83">
        <w:rPr>
          <w:color w:val="000000"/>
          <w:sz w:val="24"/>
          <w:szCs w:val="24"/>
        </w:rPr>
        <w:t>In the scholarly literature, the degree of digital service quality is often conjectured as one of the most influential factors of customer satisfaction and loyalty in the digital environment. Similarly, customer experience capability has become an organisational capability that helps to design and manage uniform, personalised, and value-adding interactions between digital touchpoints (Holmlund et al., 2020). Relationship loyalty, in its turn, is conceptualised regularly as a strategic result in terms of retention, cross-selling, and long-term profitability (Auttri et al., 2023). The combination of these constructs creates an interesting chain of conceptual arguments in management studies, especially in digitally mediated services like UK retail banking.</w:t>
      </w:r>
    </w:p>
    <w:p w14:paraId="6FFC4309" w14:textId="473208F2" w:rsidR="001E42B8" w:rsidRPr="00C73D83" w:rsidRDefault="001E42B8" w:rsidP="001E42B8">
      <w:pPr>
        <w:spacing w:line="360" w:lineRule="auto"/>
        <w:jc w:val="both"/>
        <w:rPr>
          <w:color w:val="000000"/>
          <w:sz w:val="24"/>
          <w:szCs w:val="24"/>
        </w:rPr>
      </w:pPr>
      <w:r w:rsidRPr="00C73D83">
        <w:rPr>
          <w:color w:val="000000"/>
          <w:sz w:val="24"/>
          <w:szCs w:val="24"/>
        </w:rPr>
        <w:t xml:space="preserve">However, even considering the scope and practical applicability of this research agenda, it has significant homogeneity in philosophical terms. Measurement, prediction, and performance outcomes are privileged in the prevailing body of </w:t>
      </w:r>
      <w:r w:rsidR="00C95654" w:rsidRPr="00C73D83">
        <w:rPr>
          <w:color w:val="000000"/>
          <w:sz w:val="24"/>
          <w:szCs w:val="24"/>
        </w:rPr>
        <w:t>scholarship and</w:t>
      </w:r>
      <w:r w:rsidRPr="00C73D83">
        <w:rPr>
          <w:color w:val="000000"/>
          <w:sz w:val="24"/>
          <w:szCs w:val="24"/>
        </w:rPr>
        <w:t xml:space="preserve"> typically include the use of survey-based instruments, quantitative modelling, and cross-sectional designs (Yawson, 2016). In turn, research mainly focuses on the presence of correlations between variables, but not on how the knowledge about digital experiences and loyalty is formed, proved, and justified (Shabani et al., 2022). This poses important questions about the ontological suppositions, epistemological positions and ethical orientations underlying the current research methods.</w:t>
      </w:r>
    </w:p>
    <w:p w14:paraId="3BA49FEA" w14:textId="143A91E4" w:rsidR="001E42B8" w:rsidRPr="00C73D83" w:rsidRDefault="001E42B8" w:rsidP="001E42B8">
      <w:pPr>
        <w:spacing w:line="360" w:lineRule="auto"/>
        <w:jc w:val="both"/>
        <w:rPr>
          <w:color w:val="000000"/>
          <w:sz w:val="24"/>
          <w:szCs w:val="24"/>
        </w:rPr>
      </w:pPr>
      <w:r w:rsidRPr="00C73D83">
        <w:rPr>
          <w:color w:val="000000"/>
          <w:sz w:val="24"/>
          <w:szCs w:val="24"/>
        </w:rPr>
        <w:t xml:space="preserve">The objective of this coursework, as established in the LCDB7007 module brief, does not involve making any original empirical inquiry but to carry out a critical philosophical analysis of empirical studies on the topic of digital service quality, customer experience capability and relationship loyalty in UK retail banking. In particular, the paper discusses the way of </w:t>
      </w:r>
      <w:r w:rsidRPr="00C73D83">
        <w:rPr>
          <w:color w:val="000000"/>
          <w:sz w:val="24"/>
          <w:szCs w:val="24"/>
        </w:rPr>
        <w:lastRenderedPageBreak/>
        <w:t xml:space="preserve">theorisation and exploration of these </w:t>
      </w:r>
      <w:r w:rsidR="00C95654" w:rsidRPr="00C73D83">
        <w:rPr>
          <w:color w:val="000000"/>
          <w:sz w:val="24"/>
          <w:szCs w:val="24"/>
        </w:rPr>
        <w:t>constructs and</w:t>
      </w:r>
      <w:r w:rsidRPr="00C73D83">
        <w:rPr>
          <w:color w:val="000000"/>
          <w:sz w:val="24"/>
          <w:szCs w:val="24"/>
        </w:rPr>
        <w:t xml:space="preserve"> challenges the philosophical underpinnings of knowledge production in this field. This way, it satisfies the need to take a critical look at the epistemological, ontological and ethical questions of business and management research.</w:t>
      </w:r>
    </w:p>
    <w:p w14:paraId="3597A05C" w14:textId="4160FF1B" w:rsidR="001E42B8" w:rsidRPr="00C73D83" w:rsidRDefault="001E42B8" w:rsidP="001E42B8">
      <w:pPr>
        <w:spacing w:line="360" w:lineRule="auto"/>
        <w:jc w:val="both"/>
        <w:rPr>
          <w:color w:val="000000"/>
          <w:sz w:val="24"/>
          <w:szCs w:val="24"/>
        </w:rPr>
      </w:pPr>
      <w:r w:rsidRPr="00C73D83">
        <w:rPr>
          <w:color w:val="000000"/>
          <w:sz w:val="24"/>
          <w:szCs w:val="24"/>
        </w:rPr>
        <w:t xml:space="preserve">Ontologically, the paper poses a question on </w:t>
      </w:r>
      <w:r w:rsidR="00C95654" w:rsidRPr="00C73D83">
        <w:rPr>
          <w:color w:val="000000"/>
          <w:sz w:val="24"/>
          <w:szCs w:val="24"/>
        </w:rPr>
        <w:t>whether</w:t>
      </w:r>
      <w:r w:rsidRPr="00C73D83">
        <w:rPr>
          <w:color w:val="000000"/>
          <w:sz w:val="24"/>
          <w:szCs w:val="24"/>
        </w:rPr>
        <w:t xml:space="preserve"> digital service quality and customer experience </w:t>
      </w:r>
      <w:r w:rsidR="00BE0311" w:rsidRPr="00C73D83">
        <w:rPr>
          <w:color w:val="000000"/>
          <w:sz w:val="24"/>
          <w:szCs w:val="24"/>
        </w:rPr>
        <w:t>are</w:t>
      </w:r>
      <w:r w:rsidRPr="00C73D83">
        <w:rPr>
          <w:color w:val="000000"/>
          <w:sz w:val="24"/>
          <w:szCs w:val="24"/>
        </w:rPr>
        <w:t xml:space="preserve"> objective, measurable constructs that exist outside of social reality, or social phenomena that are created and interpreted by customers, based on a sense of trust and an anticipation of an institution. On the epistemological level, it questions how scholars believe they know what quality, experience or loyalty is, and how knowledge is produced by positivist measurement or interpretivist interaction with meaning and context. The paper is axiologically and ethically concerned with how managerial, commercial and regulatory values can have an impact on the research agenda and how it can prioritise efficiency, performance measure and company-focused results rather than customer well-being or inclusivity.</w:t>
      </w:r>
    </w:p>
    <w:p w14:paraId="14EFC6C9" w14:textId="77777777" w:rsidR="001E42B8" w:rsidRPr="00C73D83" w:rsidRDefault="001E42B8" w:rsidP="001E42B8">
      <w:pPr>
        <w:spacing w:line="360" w:lineRule="auto"/>
        <w:jc w:val="both"/>
        <w:rPr>
          <w:color w:val="000000"/>
          <w:sz w:val="24"/>
          <w:szCs w:val="24"/>
        </w:rPr>
      </w:pPr>
      <w:r w:rsidRPr="00C73D83">
        <w:rPr>
          <w:color w:val="000000"/>
          <w:sz w:val="24"/>
          <w:szCs w:val="24"/>
        </w:rPr>
        <w:t>This coursework will be performed in accordance with the LCDB7007 learning outcomes to undertake a secondary qualitative literature analysis based on a recent academic literature, practitioner commentary, and regulatory content. The review is reflexive, examining every significant body of literature as to the philosophical commitments it carries with it, as opposed to perceiving sources as neutral channels of information. The specific focus is on methodological congruency and transferability, particularly where research in the related fields, like healthcare or logistics, is used in the banking setting, but without a clear explanation.</w:t>
      </w:r>
    </w:p>
    <w:p w14:paraId="4DA9CCEF" w14:textId="77777777" w:rsidR="001E42B8" w:rsidRPr="00C73D83" w:rsidRDefault="001E42B8" w:rsidP="001E42B8">
      <w:pPr>
        <w:spacing w:line="360" w:lineRule="auto"/>
        <w:jc w:val="both"/>
        <w:rPr>
          <w:color w:val="000000"/>
          <w:sz w:val="24"/>
          <w:szCs w:val="24"/>
        </w:rPr>
      </w:pPr>
      <w:r w:rsidRPr="00C73D83">
        <w:rPr>
          <w:color w:val="000000"/>
          <w:sz w:val="24"/>
          <w:szCs w:val="24"/>
        </w:rPr>
        <w:t>To be more precise, the following important terms are defined that are used in the present paper. Digital service quality is the customer rating of the performance, reliability, usability, and security of digitally provided banking services (Jager et al., 2020). Customer experience capability can be described as an organisational capability that involves the design, coordination, and management of touchpoint customer interactions (Chauhan et al., 2022). Relationship loyalty refers to attitudinal commitment and behavioural intentions to continue a relationship with a service provider (Makudza, 2020). These definitions are never considered to be true, but they are constructing whose meaning depends on the philosophical assumptions behind them.</w:t>
      </w:r>
    </w:p>
    <w:p w14:paraId="0627C458"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This coursework attempts to go beyond the descriptive synthesis of the research to undertake a critical review by foregrounding the research philosophy. In such a manner, it directly responds to the LCDB7007 brief and helps to better understand how philosophical positioning </w:t>
      </w:r>
      <w:r w:rsidRPr="00C73D83">
        <w:rPr>
          <w:color w:val="000000"/>
          <w:sz w:val="24"/>
          <w:szCs w:val="24"/>
        </w:rPr>
        <w:lastRenderedPageBreak/>
        <w:t>influences the knowledge, practice, and managerial decision-making in the digital banking research.</w:t>
      </w:r>
    </w:p>
    <w:p w14:paraId="3EA41D70" w14:textId="77777777" w:rsidR="001E42B8" w:rsidRDefault="001E42B8" w:rsidP="001E42B8">
      <w:pPr>
        <w:spacing w:before="0" w:after="160" w:line="259" w:lineRule="auto"/>
        <w:rPr>
          <w:rFonts w:eastAsiaTheme="majorEastAsia"/>
          <w:b/>
          <w:sz w:val="24"/>
          <w:szCs w:val="24"/>
        </w:rPr>
      </w:pPr>
      <w:bookmarkStart w:id="1" w:name="_Toc217578218"/>
      <w:r>
        <w:rPr>
          <w:szCs w:val="24"/>
        </w:rPr>
        <w:br w:type="page"/>
      </w:r>
    </w:p>
    <w:p w14:paraId="390A37BE" w14:textId="77777777" w:rsidR="001E42B8" w:rsidRPr="00C73D83" w:rsidRDefault="001E42B8" w:rsidP="001E42B8">
      <w:pPr>
        <w:pStyle w:val="Heading1"/>
        <w:jc w:val="both"/>
        <w:rPr>
          <w:rFonts w:ascii="Times New Roman" w:hAnsi="Times New Roman" w:cs="Times New Roman"/>
          <w:szCs w:val="24"/>
        </w:rPr>
      </w:pPr>
      <w:r w:rsidRPr="00C73D83">
        <w:rPr>
          <w:rFonts w:ascii="Times New Roman" w:hAnsi="Times New Roman" w:cs="Times New Roman"/>
          <w:szCs w:val="24"/>
        </w:rPr>
        <w:lastRenderedPageBreak/>
        <w:t>2. Method for Conducting the Literature Review</w:t>
      </w:r>
      <w:bookmarkEnd w:id="1"/>
    </w:p>
    <w:p w14:paraId="580936A2" w14:textId="77777777" w:rsidR="001E42B8" w:rsidRPr="00C73D83" w:rsidRDefault="001E42B8" w:rsidP="001E42B8">
      <w:pPr>
        <w:spacing w:line="360" w:lineRule="auto"/>
        <w:jc w:val="both"/>
        <w:rPr>
          <w:color w:val="000000"/>
          <w:sz w:val="24"/>
          <w:szCs w:val="24"/>
        </w:rPr>
      </w:pPr>
      <w:r w:rsidRPr="00C73D83">
        <w:rPr>
          <w:color w:val="000000"/>
          <w:sz w:val="24"/>
          <w:szCs w:val="24"/>
        </w:rPr>
        <w:t>This assessment takes the form of a systematic secondary literature review based on qualitative thematic synthesis and philosophy. The aim of the review is not to generalise the results of the empirical research but to critically analyse how the study of the digital service quality, customer experience capability, and relationship loyalty builds knowledge in the context of the UK retail banking.</w:t>
      </w:r>
    </w:p>
    <w:p w14:paraId="7481D10C" w14:textId="77777777" w:rsidR="001E42B8" w:rsidRPr="00C73D83" w:rsidRDefault="001E42B8" w:rsidP="001E42B8">
      <w:pPr>
        <w:spacing w:line="360" w:lineRule="auto"/>
        <w:jc w:val="both"/>
        <w:rPr>
          <w:sz w:val="24"/>
          <w:szCs w:val="24"/>
        </w:rPr>
      </w:pPr>
      <w:r w:rsidRPr="00C73D83">
        <w:rPr>
          <w:b/>
          <w:bCs/>
          <w:color w:val="000000"/>
          <w:sz w:val="24"/>
          <w:szCs w:val="24"/>
        </w:rPr>
        <w:t>Search Strategy</w:t>
      </w:r>
    </w:p>
    <w:p w14:paraId="333D9E4A" w14:textId="77777777" w:rsidR="001E42B8" w:rsidRPr="00C73D83" w:rsidRDefault="001E42B8" w:rsidP="001E42B8">
      <w:pPr>
        <w:spacing w:line="360" w:lineRule="auto"/>
        <w:jc w:val="both"/>
        <w:rPr>
          <w:color w:val="000000"/>
          <w:sz w:val="24"/>
          <w:szCs w:val="24"/>
        </w:rPr>
      </w:pPr>
      <w:r w:rsidRPr="00C73D83">
        <w:rPr>
          <w:color w:val="000000"/>
          <w:sz w:val="24"/>
          <w:szCs w:val="24"/>
        </w:rPr>
        <w:t>The process of academic sources was based on a systematic search of databases such as Google Scholar, Scopus, and publisher databases, where journals in the field of research of business, management, and financial services were found. The search was limited to the last five years, 2020-2025, to reflect the recent discussions on digital transformation in banking. The major search terms used were a combination of the terms digital service quality, customer experience capability, relationship loyalty, digital banking and UK retail banking. Besides peer-reviewed journal articles, practitioner and regulatory sources were added to present the DBA orientation of the module and the applied nature of the research context.</w:t>
      </w:r>
    </w:p>
    <w:p w14:paraId="5DEE4A22" w14:textId="77777777" w:rsidR="001E42B8" w:rsidRPr="00C73D83" w:rsidRDefault="001E42B8" w:rsidP="001E42B8">
      <w:pPr>
        <w:spacing w:line="360" w:lineRule="auto"/>
        <w:jc w:val="both"/>
        <w:rPr>
          <w:sz w:val="24"/>
          <w:szCs w:val="24"/>
        </w:rPr>
      </w:pPr>
      <w:r w:rsidRPr="00C73D83">
        <w:rPr>
          <w:b/>
          <w:bCs/>
          <w:color w:val="000000"/>
          <w:sz w:val="24"/>
          <w:szCs w:val="24"/>
        </w:rPr>
        <w:t>Inclusion and Exclusion Criteria</w:t>
      </w:r>
    </w:p>
    <w:p w14:paraId="199EDE9C" w14:textId="77777777" w:rsidR="001E42B8" w:rsidRPr="00C73D83" w:rsidRDefault="001E42B8" w:rsidP="001E42B8">
      <w:pPr>
        <w:spacing w:line="360" w:lineRule="auto"/>
        <w:jc w:val="both"/>
        <w:rPr>
          <w:color w:val="000000"/>
          <w:sz w:val="24"/>
          <w:szCs w:val="24"/>
        </w:rPr>
      </w:pPr>
      <w:r w:rsidRPr="00C73D83">
        <w:rPr>
          <w:color w:val="000000"/>
          <w:sz w:val="24"/>
          <w:szCs w:val="24"/>
        </w:rPr>
        <w:t>Sources were considered relevant in case they directly focused on at least one of the core constructs or provided conceptual clarity towards comprehending digitally mediated service delivery or the formation of loyalty. They were prioritised with scholarly academic research and authoritative industry or regulatory documents. The literature of other neighbouring industries, like healthcare or logistics, was only considered when their theoretical models could be critically assessed to be applicable to the banking conditions. Articles that were disqualified included sources that were either purely technical or otherwise conceptually irrelevant or were beyond the specified date of publication.</w:t>
      </w:r>
    </w:p>
    <w:p w14:paraId="7ECEBB7E" w14:textId="77777777" w:rsidR="001E42B8" w:rsidRPr="00C73D83" w:rsidRDefault="001E42B8" w:rsidP="001E42B8">
      <w:pPr>
        <w:spacing w:line="360" w:lineRule="auto"/>
        <w:jc w:val="both"/>
        <w:rPr>
          <w:sz w:val="24"/>
          <w:szCs w:val="24"/>
        </w:rPr>
      </w:pPr>
      <w:r w:rsidRPr="00C73D83">
        <w:rPr>
          <w:b/>
          <w:bCs/>
          <w:color w:val="000000"/>
          <w:sz w:val="24"/>
          <w:szCs w:val="24"/>
        </w:rPr>
        <w:t>Analytical Procedure</w:t>
      </w:r>
    </w:p>
    <w:p w14:paraId="5BFBD326"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The review utilised qualitative thematic synthesis, which clusters the literature into three thematic groups, namely, digital service quality, customer experience capability, and relationship loyalty. The studies within the clusters were not only critiqued in terms of their substantive assertion but also the factual underpinnings of their ontology, i.e., whether service and experience had substantive ontological foundations or not, and their ontological stance, i.e. whether they were dominated by positivist measurement methods or by an interpretivist </w:t>
      </w:r>
      <w:r w:rsidRPr="00C73D83">
        <w:rPr>
          <w:color w:val="000000"/>
          <w:sz w:val="24"/>
          <w:szCs w:val="24"/>
        </w:rPr>
        <w:lastRenderedPageBreak/>
        <w:t>perspective, which is based on meaning. Where it was found applicable, ethical and axiological considerations, including managerial or regulatory value orientations, were also considered.</w:t>
      </w:r>
    </w:p>
    <w:p w14:paraId="66E034BD" w14:textId="77777777" w:rsidR="001E42B8" w:rsidRPr="00C73D83" w:rsidRDefault="001E42B8" w:rsidP="001E42B8">
      <w:pPr>
        <w:spacing w:line="360" w:lineRule="auto"/>
        <w:jc w:val="both"/>
        <w:rPr>
          <w:sz w:val="24"/>
          <w:szCs w:val="24"/>
        </w:rPr>
      </w:pPr>
      <w:r w:rsidRPr="00C73D83">
        <w:rPr>
          <w:b/>
          <w:bCs/>
          <w:color w:val="000000"/>
          <w:sz w:val="24"/>
          <w:szCs w:val="24"/>
        </w:rPr>
        <w:t>Limitations of the Review Approach</w:t>
      </w:r>
    </w:p>
    <w:p w14:paraId="425431FE" w14:textId="77777777" w:rsidR="001E42B8" w:rsidRPr="00C73D83" w:rsidRDefault="001E42B8" w:rsidP="001E42B8">
      <w:pPr>
        <w:spacing w:line="360" w:lineRule="auto"/>
        <w:jc w:val="both"/>
        <w:rPr>
          <w:color w:val="000000"/>
          <w:sz w:val="24"/>
          <w:szCs w:val="24"/>
        </w:rPr>
      </w:pPr>
      <w:r w:rsidRPr="00C73D83">
        <w:rPr>
          <w:color w:val="000000"/>
          <w:sz w:val="24"/>
          <w:szCs w:val="24"/>
        </w:rPr>
        <w:t>Since it is a secondary review, the analysis is limited by the range and philosophical differences of the literature available. Quantitative research predominance inhibits interpretivist explanations of customer experience in UK retail banking. However, the credibility of the review is improved through the presence of triangulation of academic, practitioner, and regulatory sources.</w:t>
      </w:r>
    </w:p>
    <w:p w14:paraId="330EB65D" w14:textId="77777777" w:rsidR="001E42B8" w:rsidRDefault="001E42B8" w:rsidP="001E42B8">
      <w:pPr>
        <w:spacing w:before="0" w:after="160" w:line="259" w:lineRule="auto"/>
        <w:rPr>
          <w:rFonts w:eastAsiaTheme="majorEastAsia"/>
          <w:b/>
          <w:sz w:val="24"/>
          <w:szCs w:val="24"/>
        </w:rPr>
      </w:pPr>
      <w:bookmarkStart w:id="2" w:name="_Toc217578219"/>
      <w:r>
        <w:rPr>
          <w:szCs w:val="24"/>
        </w:rPr>
        <w:br w:type="page"/>
      </w:r>
    </w:p>
    <w:p w14:paraId="5676E680" w14:textId="77777777" w:rsidR="001E42B8" w:rsidRPr="00C73D83" w:rsidRDefault="001E42B8" w:rsidP="001E42B8">
      <w:pPr>
        <w:pStyle w:val="Heading1"/>
        <w:jc w:val="both"/>
        <w:rPr>
          <w:rFonts w:ascii="Times New Roman" w:hAnsi="Times New Roman" w:cs="Times New Roman"/>
          <w:szCs w:val="24"/>
        </w:rPr>
      </w:pPr>
      <w:r w:rsidRPr="00C73D83">
        <w:rPr>
          <w:rFonts w:ascii="Times New Roman" w:hAnsi="Times New Roman" w:cs="Times New Roman"/>
          <w:szCs w:val="24"/>
        </w:rPr>
        <w:lastRenderedPageBreak/>
        <w:t>3. Critical Literature Review</w:t>
      </w:r>
      <w:bookmarkEnd w:id="2"/>
    </w:p>
    <w:p w14:paraId="2A7598BD" w14:textId="77777777" w:rsidR="001E42B8" w:rsidRPr="00C73D83" w:rsidRDefault="001E42B8" w:rsidP="001E42B8">
      <w:pPr>
        <w:spacing w:line="360" w:lineRule="auto"/>
        <w:jc w:val="both"/>
        <w:rPr>
          <w:color w:val="000000"/>
          <w:sz w:val="24"/>
          <w:szCs w:val="24"/>
        </w:rPr>
      </w:pPr>
      <w:r w:rsidRPr="00C73D83">
        <w:rPr>
          <w:color w:val="000000"/>
          <w:sz w:val="24"/>
          <w:szCs w:val="24"/>
        </w:rPr>
        <w:t>The following section provides a critical analysis of the research environment, mainly developed during the last five years, that concerns the quality of digital services, the ability to provide customer experiences, and loyalty to their relationships, with a special regard to the UK retail banking sector and similar digitalities mediating service settings. Following the LCDB7007 brief, the review is more than just a thematic description, where the underlying philosophical basis of the literature is challenged, and how the ontological assumptions, epistemological stance, and axiological interests become dominant in the objects of research, generation of knowledge, and interests.</w:t>
      </w:r>
    </w:p>
    <w:p w14:paraId="7C715523" w14:textId="77777777" w:rsidR="001E42B8" w:rsidRPr="00C73D83" w:rsidRDefault="001E42B8" w:rsidP="001E42B8">
      <w:pPr>
        <w:spacing w:line="360" w:lineRule="auto"/>
        <w:jc w:val="both"/>
        <w:rPr>
          <w:color w:val="000000"/>
          <w:sz w:val="24"/>
          <w:szCs w:val="24"/>
        </w:rPr>
      </w:pPr>
      <w:r w:rsidRPr="00C73D83">
        <w:rPr>
          <w:color w:val="000000"/>
          <w:sz w:val="24"/>
          <w:szCs w:val="24"/>
        </w:rPr>
        <w:t>Digital banking studies have grown fast with the use of technology; however, much of the literature has shown convergence in methods, and some lack philosophical reflexivity (Ungratwar et al., 2025). The digital service quality and customer experience capability are often introduced as neutral and self-evident constructs, although they are supported by implicit assumptions relating to the nature of reality, the position of knowledge, and values incorporated in managerial inquiry (Hanninen et al., 2017). A critical appraisal is therefore necessary in a bid to reveal such assumptions and evaluate their implications for theory and practice.</w:t>
      </w:r>
    </w:p>
    <w:p w14:paraId="22DC0EB0" w14:textId="77777777" w:rsidR="001E42B8" w:rsidRPr="00C73D83" w:rsidRDefault="001E42B8" w:rsidP="001E42B8">
      <w:pPr>
        <w:spacing w:line="360" w:lineRule="auto"/>
        <w:jc w:val="both"/>
        <w:rPr>
          <w:color w:val="000000"/>
          <w:sz w:val="24"/>
          <w:szCs w:val="24"/>
        </w:rPr>
      </w:pPr>
      <w:r w:rsidRPr="00C73D83">
        <w:rPr>
          <w:color w:val="000000"/>
          <w:sz w:val="24"/>
          <w:szCs w:val="24"/>
        </w:rPr>
        <w:t>The literature is systematised into two thematic groups, which reflect the conceptual chain typically offered in the body of studies about digital banking: digital service quality and customer experience capability. In any given theme, research is integrated and critically evaluated with clear regard to methodological superiority, philosophical standing, and limitation of thought.</w:t>
      </w:r>
    </w:p>
    <w:p w14:paraId="6F2C29DC"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3" w:name="_Toc217578220"/>
      <w:r w:rsidRPr="00C73D83">
        <w:rPr>
          <w:rFonts w:ascii="Times New Roman" w:hAnsi="Times New Roman" w:cs="Times New Roman"/>
          <w:sz w:val="24"/>
          <w:szCs w:val="24"/>
        </w:rPr>
        <w:t>3.1 Theme 1: Digital Service Quality in Digital Banking Research</w:t>
      </w:r>
      <w:bookmarkEnd w:id="3"/>
    </w:p>
    <w:p w14:paraId="0C4ED868" w14:textId="4EA8BEED" w:rsidR="001E42B8" w:rsidRPr="00C73D83" w:rsidRDefault="001E42B8" w:rsidP="001E42B8">
      <w:pPr>
        <w:spacing w:line="360" w:lineRule="auto"/>
        <w:jc w:val="both"/>
        <w:rPr>
          <w:color w:val="000000"/>
          <w:sz w:val="24"/>
          <w:szCs w:val="24"/>
        </w:rPr>
      </w:pPr>
      <w:r w:rsidRPr="00C73D83">
        <w:rPr>
          <w:color w:val="000000"/>
          <w:sz w:val="24"/>
          <w:szCs w:val="24"/>
        </w:rPr>
        <w:t xml:space="preserve">Digital service quality (DSQ) is a construct of digitally mediated service settings, particularly in retail banking, where customers are encountering mobile applications, online portals, and automated interfaces with the organisation </w:t>
      </w:r>
      <w:r w:rsidR="00C95654" w:rsidRPr="00C73D83">
        <w:rPr>
          <w:color w:val="000000"/>
          <w:sz w:val="24"/>
          <w:szCs w:val="24"/>
        </w:rPr>
        <w:t>often</w:t>
      </w:r>
      <w:r w:rsidRPr="00C73D83">
        <w:rPr>
          <w:color w:val="000000"/>
          <w:sz w:val="24"/>
          <w:szCs w:val="24"/>
        </w:rPr>
        <w:t xml:space="preserve"> (Arora and Banerji, 2024). In the literature, DSQ is usually understood as a multi-dimensional construct that includes system reliability, system efficiency, system usability, system responsiveness and system security (Waluyo et al., 2025). This conceptualisation is the reflection of the translation of the traditional service quality models into the digital space, where the focus should be put on the measurable system features and the outcomes of the performance.</w:t>
      </w:r>
    </w:p>
    <w:p w14:paraId="268E6E0C" w14:textId="77777777" w:rsidR="00620094" w:rsidRDefault="00620094" w:rsidP="001E42B8">
      <w:pPr>
        <w:spacing w:line="360" w:lineRule="auto"/>
        <w:jc w:val="both"/>
        <w:rPr>
          <w:b/>
          <w:bCs/>
          <w:color w:val="000000"/>
          <w:sz w:val="24"/>
          <w:szCs w:val="24"/>
        </w:rPr>
      </w:pPr>
    </w:p>
    <w:p w14:paraId="47D0CE72" w14:textId="5753025C" w:rsidR="001E42B8" w:rsidRPr="00C73D83" w:rsidRDefault="001E42B8" w:rsidP="001E42B8">
      <w:pPr>
        <w:spacing w:line="360" w:lineRule="auto"/>
        <w:jc w:val="both"/>
        <w:rPr>
          <w:sz w:val="24"/>
          <w:szCs w:val="24"/>
        </w:rPr>
      </w:pPr>
      <w:r w:rsidRPr="00C73D83">
        <w:rPr>
          <w:b/>
          <w:bCs/>
          <w:color w:val="000000"/>
          <w:sz w:val="24"/>
          <w:szCs w:val="24"/>
        </w:rPr>
        <w:lastRenderedPageBreak/>
        <w:t>Conceptualisation and Methodological Dominance</w:t>
      </w:r>
    </w:p>
    <w:p w14:paraId="308CBBE3" w14:textId="4264FF15" w:rsidR="001E42B8" w:rsidRPr="00C73D83" w:rsidRDefault="001E42B8" w:rsidP="001E42B8">
      <w:pPr>
        <w:spacing w:line="360" w:lineRule="auto"/>
        <w:jc w:val="both"/>
        <w:rPr>
          <w:color w:val="000000"/>
          <w:sz w:val="24"/>
          <w:szCs w:val="24"/>
        </w:rPr>
      </w:pPr>
      <w:r w:rsidRPr="00C73D83">
        <w:rPr>
          <w:color w:val="000000"/>
          <w:sz w:val="24"/>
          <w:szCs w:val="24"/>
        </w:rPr>
        <w:t xml:space="preserve">The latest research represents a prevailing trend wherein operationalisation of digital service quality is carried out with the help of formatted survey tools and analysed via quantitative methods. An example is a survey-based design that can be used to estimate the association between digital service quality and customer satisfaction, with statistical modelling being used to determine causal relationships (Claro &amp; Soto, 2024). In the same way, the other research paper studies the quality of fintech services based on quantitative data, correlating DSQ dimensions with the intentions to reuse and the performance of a firm (Aldaarmi, 2024). Although these quantitative methods can bring information about the correlations and causalities, they often do not consider the complexity of customer perceptions and experiences as elements of the digital banking ecosystem (Chauhan et al., 2022; Mbama, 2018). Although this methodological hegemony can have the benefit of statistical generalisability, it tends to lose the authenticity of the lived experience of banking customers as it is unable to present the richness of human-technology interaction (Hordofa, 2023; Mbama et al., 2018). The popularity of quantitative approaches at the expense of the complex interaction of functional, mechanical, and humanic cues that influence customer experience in digital banking is demonstrated in the studies of the study area in general (Chauhan et al., 2022). The studies are connected by their ontological stance, which is based on realism, in that the quality of digital services is viewed as an objective phenomenon and is not dependent on the </w:t>
      </w:r>
      <w:r w:rsidR="00C95654" w:rsidRPr="00C73D83">
        <w:rPr>
          <w:color w:val="000000"/>
          <w:sz w:val="24"/>
          <w:szCs w:val="24"/>
        </w:rPr>
        <w:t>customer and</w:t>
      </w:r>
      <w:r w:rsidRPr="00C73D83">
        <w:rPr>
          <w:color w:val="000000"/>
          <w:sz w:val="24"/>
          <w:szCs w:val="24"/>
        </w:rPr>
        <w:t xml:space="preserve"> is measurable by using standardised metrics. The customer role is well limited to the position of a respondent who reports perceptions that are presumed to indicate an underlying reality of service performance.</w:t>
      </w:r>
    </w:p>
    <w:p w14:paraId="2210D074" w14:textId="3992FF25" w:rsidR="001E42B8" w:rsidRPr="00C73D83" w:rsidRDefault="001E42B8" w:rsidP="001E42B8">
      <w:pPr>
        <w:spacing w:line="360" w:lineRule="auto"/>
        <w:jc w:val="both"/>
        <w:rPr>
          <w:b/>
          <w:bCs/>
          <w:color w:val="000000"/>
          <w:sz w:val="24"/>
          <w:szCs w:val="24"/>
        </w:rPr>
      </w:pPr>
      <w:r w:rsidRPr="00C73D83">
        <w:rPr>
          <w:color w:val="000000"/>
          <w:sz w:val="24"/>
          <w:szCs w:val="24"/>
        </w:rPr>
        <w:t xml:space="preserve">This is an epistemologically based body of work which is grounded in positivist or post-positivist traditions. Hypothesis testing, statistical inference and generalisation across populations help to produce knowledge. Validity is synonymous with reliability, scale strength, and explanatory strength, and minorities' contextual sensitivity and interpretative meaning (Surucu and Maslakci, 2020). This orientation is very much conducive to managerial interests in the banking industry, as benchmarking, performance measurements and key performance indicators play a central role in the strategic decision-making process. A different study supports this epistemological position based on an analysis of digital banking adoption based on systematic behavioural frameworks (Irawan et al., 2023). The customers will be theorised as rational decision-makers whose attitudes and intentions are predictable </w:t>
      </w:r>
      <w:r w:rsidR="00620094" w:rsidRPr="00C73D83">
        <w:rPr>
          <w:color w:val="000000"/>
          <w:sz w:val="24"/>
          <w:szCs w:val="24"/>
        </w:rPr>
        <w:t>based on</w:t>
      </w:r>
      <w:r w:rsidRPr="00C73D83">
        <w:rPr>
          <w:color w:val="000000"/>
          <w:sz w:val="24"/>
          <w:szCs w:val="24"/>
        </w:rPr>
        <w:t xml:space="preserve"> observable variables. Despite their clarity and managerial usefulness, such models implicitly presuppose </w:t>
      </w:r>
      <w:r w:rsidRPr="00C73D83">
        <w:rPr>
          <w:color w:val="000000"/>
          <w:sz w:val="24"/>
          <w:szCs w:val="24"/>
        </w:rPr>
        <w:lastRenderedPageBreak/>
        <w:t>the consistency in the preferences of the customers and the homogeneity in the interpretation of the experience</w:t>
      </w:r>
      <w:r w:rsidRPr="00C73D83">
        <w:rPr>
          <w:b/>
          <w:bCs/>
          <w:color w:val="000000"/>
          <w:sz w:val="24"/>
          <w:szCs w:val="24"/>
        </w:rPr>
        <w:t>.</w:t>
      </w:r>
    </w:p>
    <w:p w14:paraId="7A19B593" w14:textId="77777777" w:rsidR="001E42B8" w:rsidRPr="00C73D83" w:rsidRDefault="001E42B8" w:rsidP="001E42B8">
      <w:pPr>
        <w:spacing w:line="360" w:lineRule="auto"/>
        <w:jc w:val="both"/>
        <w:rPr>
          <w:sz w:val="24"/>
          <w:szCs w:val="24"/>
        </w:rPr>
      </w:pPr>
      <w:r w:rsidRPr="00C73D83">
        <w:rPr>
          <w:b/>
          <w:bCs/>
          <w:color w:val="000000"/>
          <w:sz w:val="24"/>
          <w:szCs w:val="24"/>
        </w:rPr>
        <w:t>Critical Evaluation of Philosophical Assumptions</w:t>
      </w:r>
    </w:p>
    <w:p w14:paraId="4757B486" w14:textId="44519081" w:rsidR="001E42B8" w:rsidRPr="00C73D83" w:rsidRDefault="001E42B8" w:rsidP="001E42B8">
      <w:pPr>
        <w:spacing w:line="360" w:lineRule="auto"/>
        <w:jc w:val="both"/>
        <w:rPr>
          <w:color w:val="000000"/>
          <w:sz w:val="24"/>
          <w:szCs w:val="24"/>
        </w:rPr>
      </w:pPr>
      <w:r w:rsidRPr="00C73D83">
        <w:rPr>
          <w:color w:val="000000"/>
          <w:sz w:val="24"/>
          <w:szCs w:val="24"/>
        </w:rPr>
        <w:t xml:space="preserve">Even though they are empirically sophisticated, DSQ studies do not often pay express attention to their own philosophical assumptions. Using the digital service quality as a measurable, objective type of construct marginalises the subjective, relational, and social construction of service experiences (Hart and Gregor, 2012). The digital quality assessment among customers in banking refers to trust, the perception of institutional legitimacy, previous encounters with the services, and regulatory confidence (Muller et al., 2024). These factors cannot be easily measured </w:t>
      </w:r>
      <w:r w:rsidR="00C95654" w:rsidRPr="00C73D83">
        <w:rPr>
          <w:color w:val="000000"/>
          <w:sz w:val="24"/>
          <w:szCs w:val="24"/>
        </w:rPr>
        <w:t>using</w:t>
      </w:r>
      <w:r w:rsidRPr="00C73D83">
        <w:rPr>
          <w:color w:val="000000"/>
          <w:sz w:val="24"/>
          <w:szCs w:val="24"/>
        </w:rPr>
        <w:t xml:space="preserve"> standardised surveys, but they are of great significance in influencing customer behaviour. Another issue with the prevalence of survey methodologies is the issue of epistemic closure. DSQ research is biased towards what is measurable and thus systematically eliminates narrative, emotional, or context-specific knowledge (Shilton et al., 2021). This is especially problematic in the UK retail banking sector, where digital exclusion, technological disparity, and increased sensitivity to data security produce experiences that are heterogeneous and therefore difficult to aggregate. Moreover, the focus on causal modelling promotes a linear perception of the influence of service quality, which means that the increase in the system performance will translate into satisfaction and loyalty in a predictable manner (Lionello et al., 2020). These assumptions do not recognise the dynamism and recursiveness of digital service encounters, in which service failures, media textuality and regulatory interventions can quickly reposition customers.</w:t>
      </w:r>
    </w:p>
    <w:p w14:paraId="0AB556B8" w14:textId="77777777" w:rsidR="001E42B8" w:rsidRPr="00C73D83" w:rsidRDefault="001E42B8" w:rsidP="001E42B8">
      <w:pPr>
        <w:spacing w:line="360" w:lineRule="auto"/>
        <w:jc w:val="both"/>
        <w:rPr>
          <w:sz w:val="24"/>
          <w:szCs w:val="24"/>
        </w:rPr>
      </w:pPr>
      <w:r w:rsidRPr="00C73D83">
        <w:rPr>
          <w:b/>
          <w:bCs/>
          <w:color w:val="000000"/>
          <w:sz w:val="24"/>
          <w:szCs w:val="24"/>
        </w:rPr>
        <w:t>Evaluative synthesis:</w:t>
      </w:r>
    </w:p>
    <w:p w14:paraId="69CC82BE" w14:textId="087F4BA2" w:rsidR="001E42B8" w:rsidRPr="00C73D83" w:rsidRDefault="00C95654" w:rsidP="001E42B8">
      <w:pPr>
        <w:spacing w:line="360" w:lineRule="auto"/>
        <w:jc w:val="both"/>
        <w:rPr>
          <w:color w:val="000000"/>
          <w:sz w:val="24"/>
          <w:szCs w:val="24"/>
        </w:rPr>
      </w:pPr>
      <w:r w:rsidRPr="00C73D83">
        <w:rPr>
          <w:color w:val="000000"/>
          <w:sz w:val="24"/>
          <w:szCs w:val="24"/>
        </w:rPr>
        <w:t>Most</w:t>
      </w:r>
      <w:r w:rsidR="001E42B8" w:rsidRPr="00C73D83">
        <w:rPr>
          <w:color w:val="000000"/>
          <w:sz w:val="24"/>
          <w:szCs w:val="24"/>
        </w:rPr>
        <w:t xml:space="preserve"> studies on the quality of digital services are positivist in their ontology as they presuppose that service quality is an objectively measurable construct, which does not allow us to study the lived and socially constructed quality of customer experience in digital banking.</w:t>
      </w:r>
    </w:p>
    <w:p w14:paraId="65C0B22D"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4" w:name="_Toc217578221"/>
      <w:r w:rsidRPr="00C73D83">
        <w:rPr>
          <w:rFonts w:ascii="Times New Roman" w:hAnsi="Times New Roman" w:cs="Times New Roman"/>
          <w:sz w:val="24"/>
          <w:szCs w:val="24"/>
        </w:rPr>
        <w:t>3.2 Theme 2: Customer Experience Capability as an Organisational Construct</w:t>
      </w:r>
      <w:bookmarkEnd w:id="4"/>
    </w:p>
    <w:p w14:paraId="2C804B8E"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Customer experience capability (CEC) has become a growing concern as organisations aim to shut the gateway to functional service delivery and become comprehensive in the management of customer journeys. In contrast to the quality of digital service, which worries the attributes of service, CEC is projected as an organisational competence of strategy, culture, data integration, and cross-channel coordination (Lemon and Verhoeff, 2016). This change </w:t>
      </w:r>
      <w:r w:rsidRPr="00C73D83">
        <w:rPr>
          <w:color w:val="000000"/>
          <w:sz w:val="24"/>
          <w:szCs w:val="24"/>
        </w:rPr>
        <w:lastRenderedPageBreak/>
        <w:t>indicates an increased understanding of how competitive advantage in digital banking becomes not just technologically, but also in how the organisation can formulate a situation of significant and consistent experiences.</w:t>
      </w:r>
    </w:p>
    <w:p w14:paraId="50DF4CF1" w14:textId="77777777" w:rsidR="001E42B8" w:rsidRPr="00C73D83" w:rsidRDefault="001E42B8" w:rsidP="001E42B8">
      <w:pPr>
        <w:spacing w:line="360" w:lineRule="auto"/>
        <w:jc w:val="both"/>
        <w:rPr>
          <w:sz w:val="24"/>
          <w:szCs w:val="24"/>
        </w:rPr>
      </w:pPr>
      <w:r w:rsidRPr="00C73D83">
        <w:rPr>
          <w:b/>
          <w:bCs/>
          <w:color w:val="000000"/>
          <w:sz w:val="24"/>
          <w:szCs w:val="24"/>
        </w:rPr>
        <w:t>Theoretical Frameworks and Methodological Variation</w:t>
      </w:r>
    </w:p>
    <w:p w14:paraId="2197A8E5" w14:textId="77777777" w:rsidR="001E42B8" w:rsidRPr="00C73D83" w:rsidRDefault="001E42B8" w:rsidP="001E42B8">
      <w:pPr>
        <w:spacing w:line="360" w:lineRule="auto"/>
        <w:jc w:val="both"/>
        <w:rPr>
          <w:color w:val="000000"/>
          <w:sz w:val="24"/>
          <w:szCs w:val="24"/>
        </w:rPr>
      </w:pPr>
      <w:r w:rsidRPr="00C73D83">
        <w:rPr>
          <w:color w:val="000000"/>
          <w:sz w:val="24"/>
          <w:szCs w:val="24"/>
        </w:rPr>
        <w:t>One of the studies conceptualises the customer experience capability by using a multi-layered model that incorporates the cognitive and affective aspects of experience (Gahler et al., 2022). Their effort recognises that customer value is created in the form of experiences, and not only customer service performance. Nevertheless, the study is still quantitatively oriented even within the frame of the conceptual broadening, as it is based on the survey data and statistical mediation models. Experience is therefore considered to be a measurable and optimizable variable as opposed to a dynamic and interpretive one. Customer experience capability is introduced as a strategic imperative in practitioner-focused sources based on the illustrative examples of UK banks such as Monzo, Starling, or HSBC (Chatzopoulos and Weber, 2018). Their accounts prefigure the agility, personalisation, and digital innovation by emphasising a managerial-pragmatist axiology of competitive positioning and customer retention (Bruhl, 2022). Although they are not methodologically rigorous, these sources prove useful in disclosing the way the experience ability is constructed in industry discourse and how managerial values influence the research agenda. Research located in a health technology setting provides insight into perceived experience quality in digitally mediated services (Norfelt et al., 2018). Their presence notes problems of transferability since healthcare settings presuppose an increased vulnerability and criticality of services. Nevertheless, when critically read, their emphasis on experience perception highlights the significance of subjective assessment in all digital platforms, which provides conceptual equivalence, which applies to banking.</w:t>
      </w:r>
    </w:p>
    <w:p w14:paraId="52372FE2" w14:textId="77777777" w:rsidR="001E42B8" w:rsidRPr="00C73D83" w:rsidRDefault="001E42B8" w:rsidP="001E42B8">
      <w:pPr>
        <w:spacing w:line="360" w:lineRule="auto"/>
        <w:jc w:val="both"/>
        <w:rPr>
          <w:sz w:val="24"/>
          <w:szCs w:val="24"/>
        </w:rPr>
      </w:pPr>
      <w:r w:rsidRPr="00C73D83">
        <w:rPr>
          <w:b/>
          <w:bCs/>
          <w:color w:val="000000"/>
          <w:sz w:val="24"/>
          <w:szCs w:val="24"/>
        </w:rPr>
        <w:t>Ontological and Epistemological Tensions</w:t>
      </w:r>
    </w:p>
    <w:p w14:paraId="2A34D103" w14:textId="31EB9DB7" w:rsidR="001E42B8" w:rsidRPr="00C73D83" w:rsidRDefault="001E42B8" w:rsidP="001E42B8">
      <w:pPr>
        <w:spacing w:line="360" w:lineRule="auto"/>
        <w:jc w:val="both"/>
        <w:rPr>
          <w:color w:val="000000"/>
          <w:sz w:val="24"/>
          <w:szCs w:val="24"/>
        </w:rPr>
      </w:pPr>
      <w:r w:rsidRPr="00C73D83">
        <w:rPr>
          <w:color w:val="000000"/>
          <w:sz w:val="24"/>
          <w:szCs w:val="24"/>
        </w:rPr>
        <w:t xml:space="preserve">Literature on customer experience capability is more diverse philosophically than the DSQ research. Other studies implicitly understand experience as an interactive, socially constructed, interpretive construct. The supremacy of positivist assumptions, however, continues, and experience is often operationalised as a kind of result that can be measured with the help of scales and indices (Becker and Jaakkola, 2020). Ontologically, the literature swings around the experience as an organisational artefact, designed, delivered, and controlled, to experience as a customer-constructed reality which is created through interaction. Quantitative modelling </w:t>
      </w:r>
      <w:r w:rsidRPr="00C73D83">
        <w:rPr>
          <w:color w:val="000000"/>
          <w:sz w:val="24"/>
          <w:szCs w:val="24"/>
        </w:rPr>
        <w:lastRenderedPageBreak/>
        <w:t xml:space="preserve">still dominates epistemologically and restricts the possibility of experimenting with the interpretation of consistency, personalisation, and trust in digital touchpoints as perceived by customers (Kandil et al., 2024). Interpretivist methods that give priority to meaning-making, </w:t>
      </w:r>
      <w:r w:rsidR="00620094" w:rsidRPr="00C73D83">
        <w:rPr>
          <w:color w:val="000000"/>
          <w:sz w:val="24"/>
          <w:szCs w:val="24"/>
        </w:rPr>
        <w:t>sense makers</w:t>
      </w:r>
      <w:r w:rsidRPr="00C73D83">
        <w:rPr>
          <w:color w:val="000000"/>
          <w:sz w:val="24"/>
          <w:szCs w:val="24"/>
        </w:rPr>
        <w:t xml:space="preserve"> and narrative descriptions are marginal in banking studies. There are significant implications of this tension. By defining experience capability as an organisational resource, the voice of customers will be instrumentalised, which supports the firm-centred views. Performance objectives are usually carried out at the expense of ethical considerations, including inclusion, fairness, and emotional impact.</w:t>
      </w:r>
    </w:p>
    <w:p w14:paraId="474326BF" w14:textId="77777777" w:rsidR="001E42B8" w:rsidRPr="00C73D83" w:rsidRDefault="001E42B8" w:rsidP="001E42B8">
      <w:pPr>
        <w:spacing w:line="360" w:lineRule="auto"/>
        <w:jc w:val="both"/>
        <w:rPr>
          <w:sz w:val="24"/>
          <w:szCs w:val="24"/>
        </w:rPr>
      </w:pPr>
      <w:r w:rsidRPr="00C73D83">
        <w:rPr>
          <w:b/>
          <w:bCs/>
          <w:color w:val="000000"/>
          <w:sz w:val="24"/>
          <w:szCs w:val="24"/>
        </w:rPr>
        <w:t>Evaluative synthesis:</w:t>
      </w:r>
    </w:p>
    <w:p w14:paraId="7632523D" w14:textId="77777777" w:rsidR="001E42B8" w:rsidRPr="00C73D83" w:rsidRDefault="001E42B8" w:rsidP="001E42B8">
      <w:pPr>
        <w:spacing w:line="360" w:lineRule="auto"/>
        <w:jc w:val="both"/>
        <w:rPr>
          <w:color w:val="000000"/>
          <w:sz w:val="24"/>
          <w:szCs w:val="24"/>
        </w:rPr>
      </w:pPr>
      <w:r w:rsidRPr="00D85DF5">
        <w:rPr>
          <w:color w:val="000000"/>
          <w:sz w:val="24"/>
          <w:szCs w:val="24"/>
        </w:rPr>
        <w:t xml:space="preserve">Despite the recognition of experiential dimensions in customer experience capability research, it has not been able to go beyond </w:t>
      </w:r>
      <w:r w:rsidRPr="00C73D83">
        <w:rPr>
          <w:color w:val="000000"/>
          <w:sz w:val="24"/>
          <w:szCs w:val="24"/>
        </w:rPr>
        <w:t>positivist</w:t>
      </w:r>
      <w:r w:rsidRPr="00D85DF5">
        <w:rPr>
          <w:color w:val="000000"/>
          <w:sz w:val="24"/>
          <w:szCs w:val="24"/>
        </w:rPr>
        <w:t xml:space="preserve"> epistemologies, which inhibit greater comprehension of how customers construct sense in digitally mediated banking relationships.</w:t>
      </w:r>
    </w:p>
    <w:p w14:paraId="0389DABC"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5" w:name="_Toc217578222"/>
      <w:r w:rsidRPr="00C73D83">
        <w:rPr>
          <w:rFonts w:ascii="Times New Roman" w:hAnsi="Times New Roman" w:cs="Times New Roman"/>
          <w:sz w:val="24"/>
          <w:szCs w:val="24"/>
        </w:rPr>
        <w:t>3.3 Theme 3: Relationship Loyalty in Digital Service Contexts</w:t>
      </w:r>
      <w:bookmarkEnd w:id="5"/>
    </w:p>
    <w:p w14:paraId="5A99196A"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The concept of relationship loyalty has always been at the centre stage of service research, as it is traditionally linked to repeat purchase behaviour, customer retention, and positive word-of-mouth advocacy. In the context of digital banking, loyalty, however, is becoming more of an abstract, contingent, and dynamic phenomenon, mediated by digital trust, perceived security, service quality, and credibility of the institution (Hani et al., 2022). This shift in service delivery and interaction between interpersonal and branch-based communication to technology-based service delivery has brought a considerable change to how loyalty is developed, maintained, and threatened. </w:t>
      </w:r>
    </w:p>
    <w:p w14:paraId="3E70DD69" w14:textId="77777777" w:rsidR="001E42B8" w:rsidRPr="00C73D83" w:rsidRDefault="001E42B8" w:rsidP="001E42B8">
      <w:pPr>
        <w:spacing w:line="360" w:lineRule="auto"/>
        <w:jc w:val="both"/>
        <w:rPr>
          <w:sz w:val="24"/>
          <w:szCs w:val="24"/>
        </w:rPr>
      </w:pPr>
      <w:r w:rsidRPr="00C73D83">
        <w:rPr>
          <w:b/>
          <w:bCs/>
          <w:color w:val="000000"/>
          <w:sz w:val="24"/>
          <w:szCs w:val="24"/>
        </w:rPr>
        <w:t>Cross-Contextual Research and Transferability Challenges</w:t>
      </w:r>
    </w:p>
    <w:p w14:paraId="0AEAE030" w14:textId="77777777" w:rsidR="001E42B8" w:rsidRPr="00C73D83" w:rsidRDefault="001E42B8" w:rsidP="001E42B8">
      <w:pPr>
        <w:spacing w:line="360" w:lineRule="auto"/>
        <w:jc w:val="both"/>
        <w:rPr>
          <w:color w:val="000000"/>
          <w:sz w:val="24"/>
          <w:szCs w:val="24"/>
        </w:rPr>
      </w:pPr>
      <w:r w:rsidRPr="00C73D83">
        <w:rPr>
          <w:color w:val="000000"/>
          <w:sz w:val="24"/>
          <w:szCs w:val="24"/>
        </w:rPr>
        <w:t>Another interesting aspect of the literature on loyalty is that many authors tend to use research conducted in other fields besides banking, specifically in the fields of healthcare and the public service. Some of the studies tend to be said because they focus on the process of trust formation and relationship continuity in detail (Kampani et al., 2023). These research designs are quantitative in nature, and the operationalisation of loyalty entails attitudinal and behavioural proxies like satisfaction, trust and intention to stay with the service provider. They are epistemologically positive, and in keeping with much of the loyalty research in financial services.</w:t>
      </w:r>
    </w:p>
    <w:p w14:paraId="6FA73926" w14:textId="77777777" w:rsidR="001E42B8" w:rsidRPr="00C73D83" w:rsidRDefault="001E42B8" w:rsidP="001E42B8">
      <w:pPr>
        <w:spacing w:line="360" w:lineRule="auto"/>
        <w:jc w:val="both"/>
        <w:rPr>
          <w:color w:val="000000"/>
          <w:sz w:val="24"/>
          <w:szCs w:val="24"/>
        </w:rPr>
      </w:pPr>
      <w:r w:rsidRPr="00C73D83">
        <w:rPr>
          <w:color w:val="000000"/>
          <w:sz w:val="24"/>
          <w:szCs w:val="24"/>
        </w:rPr>
        <w:lastRenderedPageBreak/>
        <w:t>The ontological assumptions which stand behind the healthcare loyalty research, however, do not coincide with those that apply to banking. The relationships in healthcare are generally characterised by increased vulnerability, moral obligation, and unequal power dynamics, with patients needing the necessary care provided by providers (Leal et al., 2022). By comparison, the banking relationships are informed by a contractual trust, regulatory protection and market competition, and the customers have more agency and choice. The idea of transferring healthcare-based loyalty models to the banking industry without making it explicit is prone to the risk of conceptual distortion because it presupposes that the dynamics of relationships in these contexts are equal, which is not necessarily the case.</w:t>
      </w:r>
    </w:p>
    <w:p w14:paraId="7D484AFB" w14:textId="77777777" w:rsidR="001E42B8" w:rsidRPr="00C73D83" w:rsidRDefault="001E42B8" w:rsidP="001E42B8">
      <w:pPr>
        <w:spacing w:line="360" w:lineRule="auto"/>
        <w:jc w:val="both"/>
        <w:rPr>
          <w:color w:val="000000"/>
          <w:sz w:val="24"/>
          <w:szCs w:val="24"/>
        </w:rPr>
      </w:pPr>
      <w:r w:rsidRPr="00C73D83">
        <w:rPr>
          <w:color w:val="000000"/>
          <w:sz w:val="24"/>
          <w:szCs w:val="24"/>
        </w:rPr>
        <w:t>In axiological terms, the issue of healthcare loyalty studies tends to be more patient wellbeing-focused and continuity-based, and the study of banking tends to be more commercial and managerial-oriented, i.e. retention, profitability, cross-selling (Zietsman et al., 2023). Such divergence in value orientation also adds to the difficulty of transferability. In the absence of critical philosophical questioning, cross-contextual borrowing can strengthen the appearances of the superficial similarities and blur the contextual and ethical differences.</w:t>
      </w:r>
    </w:p>
    <w:p w14:paraId="597179D7" w14:textId="77777777" w:rsidR="001E42B8" w:rsidRPr="00C73D83" w:rsidRDefault="001E42B8" w:rsidP="001E42B8">
      <w:pPr>
        <w:spacing w:line="360" w:lineRule="auto"/>
        <w:jc w:val="both"/>
        <w:rPr>
          <w:sz w:val="24"/>
          <w:szCs w:val="24"/>
        </w:rPr>
      </w:pPr>
      <w:r w:rsidRPr="00C73D83">
        <w:rPr>
          <w:b/>
          <w:bCs/>
          <w:color w:val="000000"/>
          <w:sz w:val="24"/>
          <w:szCs w:val="24"/>
        </w:rPr>
        <w:t>Contextually Aligned Loyalty Research</w:t>
      </w:r>
    </w:p>
    <w:p w14:paraId="715C1447" w14:textId="77777777" w:rsidR="001E42B8" w:rsidRPr="00C73D83" w:rsidRDefault="001E42B8" w:rsidP="001E42B8">
      <w:pPr>
        <w:spacing w:line="360" w:lineRule="auto"/>
        <w:jc w:val="both"/>
        <w:rPr>
          <w:color w:val="000000"/>
          <w:sz w:val="24"/>
          <w:szCs w:val="24"/>
        </w:rPr>
      </w:pPr>
      <w:r w:rsidRPr="00C73D83">
        <w:rPr>
          <w:color w:val="000000"/>
          <w:sz w:val="24"/>
          <w:szCs w:val="24"/>
        </w:rPr>
        <w:t>The study gives a more contextual hold because it looks at loyalty in the mobile payment services. Its results demonstrate the moderating effect of demographic factors (gender), which provides an overview of heterogeneity in the formation of digital loyalty (Liana et al., 2023). Though this helps in comprehending the difference in customer reactions, the research approach is methodologically consistent with prevailing positivist cultures. The measurement of loyalty is based on structured survey tools, and statistically significant correlations between the quality dimension of the service and the results of loyalty are examined.</w:t>
      </w:r>
    </w:p>
    <w:p w14:paraId="7482EC90" w14:textId="77777777" w:rsidR="001E42B8" w:rsidRPr="00C73D83" w:rsidRDefault="001E42B8" w:rsidP="001E42B8">
      <w:pPr>
        <w:spacing w:line="360" w:lineRule="auto"/>
        <w:jc w:val="both"/>
        <w:rPr>
          <w:color w:val="000000"/>
          <w:sz w:val="24"/>
          <w:szCs w:val="24"/>
        </w:rPr>
      </w:pPr>
    </w:p>
    <w:p w14:paraId="5DBA4B6B" w14:textId="77777777" w:rsidR="001E42B8" w:rsidRDefault="001E42B8" w:rsidP="001E42B8">
      <w:pPr>
        <w:spacing w:line="360" w:lineRule="auto"/>
        <w:jc w:val="both"/>
        <w:rPr>
          <w:color w:val="000000"/>
          <w:sz w:val="24"/>
          <w:szCs w:val="24"/>
        </w:rPr>
      </w:pPr>
      <w:r w:rsidRPr="00C73D83">
        <w:rPr>
          <w:color w:val="000000"/>
          <w:sz w:val="24"/>
          <w:szCs w:val="24"/>
        </w:rPr>
        <w:t>Even though these methods are generalisable and their application is managerially relevant, they still tend to favour measurable indicators against interpretative richness. There is a lack of narratives of trust degradation, emotional reactions to failure in digital, and the changing expectations (Aziz et al., 2025). Consequently, the concept of loyalty is positioned as an outcome-variable and not as a process of relation, which is still in the process of interaction and sense-making.</w:t>
      </w:r>
    </w:p>
    <w:p w14:paraId="6A08A802" w14:textId="77777777" w:rsidR="007F4CCF" w:rsidRPr="00C73D83" w:rsidRDefault="007F4CCF" w:rsidP="001E42B8">
      <w:pPr>
        <w:spacing w:line="360" w:lineRule="auto"/>
        <w:jc w:val="both"/>
        <w:rPr>
          <w:color w:val="000000"/>
          <w:sz w:val="24"/>
          <w:szCs w:val="24"/>
        </w:rPr>
      </w:pPr>
    </w:p>
    <w:p w14:paraId="4EEC327E" w14:textId="77777777" w:rsidR="001E42B8" w:rsidRPr="00C73D83" w:rsidRDefault="001E42B8" w:rsidP="001E42B8">
      <w:pPr>
        <w:spacing w:line="360" w:lineRule="auto"/>
        <w:jc w:val="both"/>
        <w:rPr>
          <w:sz w:val="24"/>
          <w:szCs w:val="24"/>
        </w:rPr>
      </w:pPr>
      <w:r w:rsidRPr="00C73D83">
        <w:rPr>
          <w:b/>
          <w:bCs/>
          <w:color w:val="000000"/>
          <w:sz w:val="24"/>
          <w:szCs w:val="24"/>
        </w:rPr>
        <w:lastRenderedPageBreak/>
        <w:t>Contradictions and Conceptual Limitations</w:t>
      </w:r>
    </w:p>
    <w:p w14:paraId="5659F7D2" w14:textId="77777777" w:rsidR="001E42B8" w:rsidRPr="00C73D83" w:rsidRDefault="001E42B8" w:rsidP="001E42B8">
      <w:pPr>
        <w:spacing w:line="360" w:lineRule="auto"/>
        <w:jc w:val="both"/>
        <w:rPr>
          <w:color w:val="000000"/>
          <w:sz w:val="24"/>
          <w:szCs w:val="24"/>
        </w:rPr>
      </w:pPr>
      <w:r w:rsidRPr="00C73D83">
        <w:rPr>
          <w:color w:val="000000"/>
          <w:sz w:val="24"/>
          <w:szCs w:val="24"/>
        </w:rPr>
        <w:t>As presented throughout the literature on loyalty, one trend is a continuously longstanding conflict between efficiency-oriented frameworks and relational trust-based accounts. The statistical significance of the correlation between digital service quality and loyalty is often shown in quantitative studies, indicating that better convenience and functionality can result in retention (Kim &amp; Yang, 2025). Nevertheless, these models are not very effective in explaining the divergent loyalty behaviours among customers who share a common service experience. Other factors that include media discourse, previous institutional trust, and personal risk lessness are not fully theorised.</w:t>
      </w:r>
    </w:p>
    <w:p w14:paraId="54850A48" w14:textId="77777777" w:rsidR="001E42B8" w:rsidRPr="00C73D83" w:rsidRDefault="001E42B8" w:rsidP="001E42B8">
      <w:pPr>
        <w:spacing w:line="360" w:lineRule="auto"/>
        <w:jc w:val="both"/>
        <w:rPr>
          <w:color w:val="000000"/>
          <w:sz w:val="24"/>
          <w:szCs w:val="24"/>
        </w:rPr>
      </w:pPr>
      <w:r w:rsidRPr="00C73D83">
        <w:rPr>
          <w:color w:val="000000"/>
          <w:sz w:val="24"/>
          <w:szCs w:val="24"/>
        </w:rPr>
        <w:t>Moreover, loyalty is typically perceived as a consistent state of things, which is represented at one moment. This fixed conceptualisation does not fit the digital banking setting, which is fast-changing technologically, subject to regulatory encroachment, cyberattacks, and transforming consumer demands (Arora 2024). Loyalty in digital service ecosystems is fluid and precarious, which is why the neglect of time dynamics in the literature makes it hard to realise.</w:t>
      </w:r>
    </w:p>
    <w:p w14:paraId="0EE84194" w14:textId="77777777" w:rsidR="001E42B8" w:rsidRPr="00C73D83" w:rsidRDefault="001E42B8" w:rsidP="001E42B8">
      <w:pPr>
        <w:spacing w:line="360" w:lineRule="auto"/>
        <w:jc w:val="both"/>
        <w:rPr>
          <w:color w:val="000000"/>
          <w:sz w:val="24"/>
          <w:szCs w:val="24"/>
        </w:rPr>
      </w:pPr>
      <w:r w:rsidRPr="00C73D83">
        <w:rPr>
          <w:color w:val="000000"/>
          <w:sz w:val="24"/>
          <w:szCs w:val="24"/>
        </w:rPr>
        <w:t>Questions of fairness, inclusion, and digital exclusion may be obscured ethically, based on the emphasis on retention metrics and behavioural intentions. Any disengaging customer of digital banking can be positioned as a disloyal customer, instead of having encountered any form of restrictions in terms of accessibility or trust (Sitnicka et al., 2025). This is an implicit managerial axiology of giving precedence to the firm-based results over wider societal concerns.</w:t>
      </w:r>
    </w:p>
    <w:p w14:paraId="7F2880EF" w14:textId="77777777" w:rsidR="001E42B8" w:rsidRPr="00C73D83" w:rsidRDefault="001E42B8" w:rsidP="001E42B8">
      <w:pPr>
        <w:spacing w:line="360" w:lineRule="auto"/>
        <w:jc w:val="both"/>
        <w:rPr>
          <w:sz w:val="24"/>
          <w:szCs w:val="24"/>
        </w:rPr>
      </w:pPr>
      <w:r w:rsidRPr="00C73D83">
        <w:rPr>
          <w:b/>
          <w:bCs/>
          <w:color w:val="000000"/>
          <w:sz w:val="24"/>
          <w:szCs w:val="24"/>
        </w:rPr>
        <w:t>Evaluative synthesis:</w:t>
      </w:r>
    </w:p>
    <w:p w14:paraId="4FE75D8A" w14:textId="77777777" w:rsidR="001E42B8" w:rsidRPr="00C73D83" w:rsidRDefault="001E42B8" w:rsidP="001E42B8">
      <w:pPr>
        <w:spacing w:line="360" w:lineRule="auto"/>
        <w:jc w:val="both"/>
        <w:rPr>
          <w:color w:val="000000"/>
          <w:sz w:val="24"/>
          <w:szCs w:val="24"/>
        </w:rPr>
      </w:pPr>
      <w:r w:rsidRPr="00C73D83">
        <w:rPr>
          <w:color w:val="000000"/>
          <w:sz w:val="24"/>
          <w:szCs w:val="24"/>
        </w:rPr>
        <w:t>In digital service relations, relationship loyalty study is predominated by positivist measurement, providing an opportunity to have a generalisability at the cost of contextual, relational, and ethical insight in the areas of trust and commitment in digital banking.</w:t>
      </w:r>
    </w:p>
    <w:p w14:paraId="79FC55C4"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6" w:name="_Toc217578223"/>
      <w:r w:rsidRPr="00C73D83">
        <w:rPr>
          <w:rFonts w:ascii="Times New Roman" w:hAnsi="Times New Roman" w:cs="Times New Roman"/>
          <w:sz w:val="24"/>
          <w:szCs w:val="24"/>
        </w:rPr>
        <w:t>3.4 Synthesis and Research Gaps</w:t>
      </w:r>
      <w:bookmarkEnd w:id="6"/>
    </w:p>
    <w:p w14:paraId="607329DA"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The synthesis between the three thematic clusters indicates a general philosophical trend in the present research on digital service quality, customer experience capability, and relationship loyalty. Positivist and post-positivist epistemologies dominate the field of literature, which is based on realist ontological assumptions according to which the quality of service and customer experience and loyalty are objective phenomena that can be measured and controlled (Komunda &amp; Osarenkhoe, 2023). This orientation aids benchmarking, comparison and </w:t>
      </w:r>
      <w:r w:rsidRPr="00C73D83">
        <w:rPr>
          <w:color w:val="000000"/>
          <w:sz w:val="24"/>
          <w:szCs w:val="24"/>
        </w:rPr>
        <w:lastRenderedPageBreak/>
        <w:t>managerial decision making, and this is why it has been dominating in business and management research.</w:t>
      </w:r>
    </w:p>
    <w:p w14:paraId="3D196E88" w14:textId="77777777" w:rsidR="001E42B8" w:rsidRPr="00C73D83" w:rsidRDefault="001E42B8" w:rsidP="001E42B8">
      <w:pPr>
        <w:spacing w:line="360" w:lineRule="auto"/>
        <w:jc w:val="both"/>
        <w:rPr>
          <w:color w:val="000000"/>
          <w:sz w:val="24"/>
          <w:szCs w:val="24"/>
        </w:rPr>
      </w:pPr>
      <w:r w:rsidRPr="00C73D83">
        <w:rPr>
          <w:color w:val="000000"/>
          <w:sz w:val="24"/>
          <w:szCs w:val="24"/>
        </w:rPr>
        <w:t>Nevertheless, this philosophical orientation creates major blind spots as well. To begin with, the lack of interpretivist studies addressing the sense-making process of customers-to-digital bank experiences is particularly prominent, especially in the context of a highly regulated setting, e.g. the UK (Broløs &amp; Taylor, 2025). Second, axiological and ethical issues tend to be tacit instead of being studied explicitly, even though the nature of banking services is value-based and the digital transformation has a social impact (Ofodile et al., 2024). Third, the transferability of methods across fields is often taken without adequate philosophical rationale, which puts the risk of being conceptually mismatched.</w:t>
      </w:r>
    </w:p>
    <w:p w14:paraId="13B2252F" w14:textId="77777777" w:rsidR="001E42B8" w:rsidRPr="00C73D83" w:rsidRDefault="001E42B8" w:rsidP="001E42B8">
      <w:pPr>
        <w:spacing w:line="360" w:lineRule="auto"/>
        <w:jc w:val="both"/>
        <w:rPr>
          <w:color w:val="000000"/>
          <w:sz w:val="24"/>
          <w:szCs w:val="24"/>
        </w:rPr>
      </w:pPr>
      <w:r w:rsidRPr="00C73D83">
        <w:rPr>
          <w:color w:val="000000"/>
          <w:sz w:val="24"/>
          <w:szCs w:val="24"/>
        </w:rPr>
        <w:t>Such gaps are not just empirical gaps, but philosophical constraints that restrict the construction of more context-driven and richer knowledge. It is necessary to address them through reflexive responses to research philosophy, which is consistent with the aims of LCDB7007 and helps argue in favour of the existence of alternative epistemological and methodological practices in doctoral business research.</w:t>
      </w:r>
    </w:p>
    <w:p w14:paraId="34494462"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This critical review challenges the current literature on the topic of digital service quality, customer experience capability and relationship loyalty in the digital banking context by taking it further than traditional thematic synthesis to question the philosophical foundations that underpin the domain. Within the three thematic clusters, there is an overarching view that the current research is saturated with the realist ontologies and positivist or post-positivist epistemologies, hence the service quality, experience, and loyalty are conceptualised as objective and measurable phenomena. These philosophical inclinations have made benchmarking, comparability and decision-making by managers easy, thus explaining their supremacy in the business and management literature. However, the review illustrates that these philosophical commitments create a lot of constraints. The extent to which interpretive meaning, relational dynamics, and ethical complexity are sidelined by privileging measurement and generalisability is quite significant in a large proportion of the literature. The digital service quality research focuses more on the functionality of the system than lived experience; customer experience capability studies view the experience as an organisational resource and not as a relational and dynamic process; and loyalty research conceptualises commitment as a fixed outcome and not as a flowing relationship. In both cases, methodological convergence promotes epistemic closure, thus rendering our narrative, emotive and context-dependent knowledge that is especially relevant in regulated and trust-sensitive environments like the UK </w:t>
      </w:r>
      <w:r w:rsidRPr="00C73D83">
        <w:rPr>
          <w:color w:val="000000"/>
          <w:sz w:val="24"/>
          <w:szCs w:val="24"/>
        </w:rPr>
        <w:lastRenderedPageBreak/>
        <w:t>retail banking. Notably, the review notes that these restrictions are not only shortcomings of an empirical nature but also philosophical restrictions. Ontological assumptions regarding objectivity, epistemological preferences to quantification, and axiological preferences to managerial performance are all factors that determine the subject matter, the interpretive prisms that are used to present the results, and the levels of interests which are prioritised. This means that research is facing the danger of generating knowledge that is operationally viable yet conceptually incomplete, particularly about trust, inclusion and ethical responsibility in the context of digital banking. These results offer a good reason to undertake a higher philosophical study at the Doctor of Business Administration (DBA) level. To fill the gaps identified, one will be required to explicitly reflect on the research philosophy and take into consideration alternative epistemological and methodological frameworks. In line with this, the section that follows expounds on this review by providing a detailed philosophical and methodological discussion of a chosen study, thus demonstrating the role of latent assumptions in research design, knowledge claims, and ethical positioning in practice.</w:t>
      </w:r>
    </w:p>
    <w:p w14:paraId="79D121F0" w14:textId="77777777" w:rsidR="001E42B8" w:rsidRDefault="001E42B8" w:rsidP="001E42B8">
      <w:pPr>
        <w:spacing w:before="0" w:after="160" w:line="259" w:lineRule="auto"/>
        <w:rPr>
          <w:b/>
          <w:sz w:val="24"/>
          <w:szCs w:val="24"/>
        </w:rPr>
      </w:pPr>
      <w:bookmarkStart w:id="7" w:name="_Toc217578224"/>
      <w:r>
        <w:rPr>
          <w:szCs w:val="24"/>
        </w:rPr>
        <w:br w:type="page"/>
      </w:r>
    </w:p>
    <w:p w14:paraId="670FF92F" w14:textId="77777777" w:rsidR="001E42B8" w:rsidRPr="00C73D83" w:rsidRDefault="001E42B8" w:rsidP="001E42B8">
      <w:pPr>
        <w:pStyle w:val="Heading1"/>
        <w:jc w:val="both"/>
        <w:rPr>
          <w:rFonts w:ascii="Times New Roman" w:hAnsi="Times New Roman" w:cs="Times New Roman"/>
          <w:szCs w:val="24"/>
        </w:rPr>
      </w:pPr>
      <w:r w:rsidRPr="00C73D83">
        <w:rPr>
          <w:rFonts w:ascii="Times New Roman" w:eastAsia="Times New Roman" w:hAnsi="Times New Roman" w:cs="Times New Roman"/>
          <w:szCs w:val="24"/>
        </w:rPr>
        <w:lastRenderedPageBreak/>
        <w:t>4. Philosophical and Methodological Analysis of One Selected Study</w:t>
      </w:r>
      <w:bookmarkEnd w:id="7"/>
    </w:p>
    <w:p w14:paraId="6AD769CC" w14:textId="77777777" w:rsidR="001E42B8" w:rsidRPr="00C73D83" w:rsidRDefault="001E42B8" w:rsidP="001E42B8">
      <w:pPr>
        <w:spacing w:line="360" w:lineRule="auto"/>
        <w:jc w:val="both"/>
        <w:rPr>
          <w:sz w:val="24"/>
          <w:szCs w:val="24"/>
        </w:rPr>
      </w:pPr>
      <w:r w:rsidRPr="00C73D83">
        <w:rPr>
          <w:sz w:val="24"/>
          <w:szCs w:val="24"/>
        </w:rPr>
        <w:t>One of the studies that were selected was analyzed philosophically and methodologically.</w:t>
      </w:r>
    </w:p>
    <w:p w14:paraId="65029C43" w14:textId="77777777" w:rsidR="001E42B8" w:rsidRPr="00C73D83" w:rsidRDefault="001E42B8" w:rsidP="001E42B8">
      <w:pPr>
        <w:spacing w:line="360" w:lineRule="auto"/>
        <w:jc w:val="both"/>
        <w:rPr>
          <w:sz w:val="24"/>
          <w:szCs w:val="24"/>
        </w:rPr>
      </w:pPr>
      <w:r w:rsidRPr="00C73D83">
        <w:rPr>
          <w:sz w:val="24"/>
          <w:szCs w:val="24"/>
        </w:rPr>
        <w:t>This portion presents an in-depth philosophical and methodological commentary on one study, which is the requirement of LCDB7007 to investigate a research philosophy, ethics, reliability and validity in details. Instead of summarising empirical evidence, the analysis shows how philosophical presuppositions influence research queries, research approach choices, knowledge assertions, and ethical staging in the business and management literature.</w:t>
      </w:r>
    </w:p>
    <w:p w14:paraId="30319892" w14:textId="1CF6F400" w:rsidR="001E42B8" w:rsidRPr="00C73D83" w:rsidRDefault="001E42B8" w:rsidP="001E42B8">
      <w:pPr>
        <w:spacing w:line="360" w:lineRule="auto"/>
        <w:jc w:val="both"/>
        <w:rPr>
          <w:sz w:val="24"/>
          <w:szCs w:val="24"/>
        </w:rPr>
      </w:pPr>
      <w:r w:rsidRPr="00C73D83">
        <w:rPr>
          <w:sz w:val="24"/>
          <w:szCs w:val="24"/>
        </w:rPr>
        <w:t xml:space="preserve">Aldaarmi (2024) study was chosen to </w:t>
      </w:r>
      <w:r w:rsidR="004E2F93" w:rsidRPr="00C73D83">
        <w:rPr>
          <w:sz w:val="24"/>
          <w:szCs w:val="24"/>
        </w:rPr>
        <w:t>analyse</w:t>
      </w:r>
      <w:r w:rsidRPr="00C73D83">
        <w:rPr>
          <w:sz w:val="24"/>
          <w:szCs w:val="24"/>
        </w:rPr>
        <w:t xml:space="preserve"> because it investigates fintech-based digital service quality and its impact on customer reuse intention and firm performance. The selection of this work is not random, as it correlates well with the </w:t>
      </w:r>
      <w:r w:rsidR="000017F6" w:rsidRPr="00C73D83">
        <w:rPr>
          <w:sz w:val="24"/>
          <w:szCs w:val="24"/>
        </w:rPr>
        <w:t>thematic</w:t>
      </w:r>
      <w:r w:rsidRPr="00C73D83">
        <w:rPr>
          <w:sz w:val="24"/>
          <w:szCs w:val="24"/>
        </w:rPr>
        <w:t xml:space="preserve"> areas that are outlined in Section 3, including the quality of digital-based services, customer experience, and behavioural outcomes, and the overall exemplification of the positivism orientation prevalent in the current digital-banking studies.</w:t>
      </w:r>
    </w:p>
    <w:p w14:paraId="79B6F7E5"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8" w:name="_Toc217578225"/>
      <w:r w:rsidRPr="00C73D83">
        <w:rPr>
          <w:rFonts w:ascii="Times New Roman" w:eastAsia="Times New Roman" w:hAnsi="Times New Roman" w:cs="Times New Roman"/>
          <w:sz w:val="24"/>
          <w:szCs w:val="24"/>
        </w:rPr>
        <w:t>4.1 Overview of the Selected Study</w:t>
      </w:r>
      <w:bookmarkEnd w:id="8"/>
    </w:p>
    <w:p w14:paraId="7B510ABE" w14:textId="154D676F" w:rsidR="001E42B8" w:rsidRPr="00605A70" w:rsidRDefault="001E42B8" w:rsidP="001E42B8">
      <w:pPr>
        <w:spacing w:line="360" w:lineRule="auto"/>
        <w:jc w:val="both"/>
        <w:rPr>
          <w:sz w:val="24"/>
          <w:szCs w:val="24"/>
        </w:rPr>
      </w:pPr>
      <w:r w:rsidRPr="00C73D83">
        <w:rPr>
          <w:sz w:val="24"/>
          <w:szCs w:val="24"/>
        </w:rPr>
        <w:t xml:space="preserve">Aldaarmi (2024) investigates how the dimensions of the digital service quality relate to customer reuse intentions in fintech service settings. The research lies within the wider situation of digital transformation of financial services, in which organizations are relying </w:t>
      </w:r>
      <w:r w:rsidR="000017F6" w:rsidRPr="00C73D83">
        <w:rPr>
          <w:sz w:val="24"/>
          <w:szCs w:val="24"/>
        </w:rPr>
        <w:t>more</w:t>
      </w:r>
      <w:r w:rsidRPr="00C73D83">
        <w:rPr>
          <w:sz w:val="24"/>
          <w:szCs w:val="24"/>
        </w:rPr>
        <w:t xml:space="preserve"> on digital platforms to provide offerings and maintain clientele. The mentioned aim of the study is explanatory, predictive: to determine the effect of certain dimensions of digital service quality on customer behaviour and organisational performance. To fulfill this purpose, the author follows a quantitative and cross-sectional survey design as she will collect data on the usage of fintech services by using structured questionnaires. Scales of measuring digital service quality and reuse intention are based on the existing literature on service-quality scales, and statistical methods are utilized </w:t>
      </w:r>
      <w:r w:rsidR="000017F6" w:rsidRPr="00C73D83">
        <w:rPr>
          <w:sz w:val="24"/>
          <w:szCs w:val="24"/>
        </w:rPr>
        <w:t>to</w:t>
      </w:r>
      <w:r w:rsidRPr="00C73D83">
        <w:rPr>
          <w:sz w:val="24"/>
          <w:szCs w:val="24"/>
        </w:rPr>
        <w:t xml:space="preserve"> evaluate the postulated hypothesis linking variables together. The research design is a traditional one within the service management and digital banking research where complex phenomena are disaggregated into quantifiable dimensions and causally modelled. Even though the study is on fintech instead of UK retail banking, the conceptual framework and the methodology are closely similar to those applied in banking studies, making it appropriate to apply philosophical analysis within the boundaries of this coursework.</w:t>
      </w:r>
    </w:p>
    <w:p w14:paraId="6F161348"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9" w:name="_Toc217578226"/>
      <w:r w:rsidRPr="00C73D83">
        <w:rPr>
          <w:rFonts w:ascii="Times New Roman" w:eastAsia="Times New Roman" w:hAnsi="Times New Roman" w:cs="Times New Roman"/>
          <w:sz w:val="24"/>
          <w:szCs w:val="24"/>
        </w:rPr>
        <w:lastRenderedPageBreak/>
        <w:t>4.2 Ontology and Epistemology of the Study</w:t>
      </w:r>
      <w:bookmarkEnd w:id="9"/>
    </w:p>
    <w:p w14:paraId="3CEE9F87" w14:textId="0B081EB2" w:rsidR="001E42B8" w:rsidRPr="00C73D83" w:rsidRDefault="001E42B8" w:rsidP="001E42B8">
      <w:pPr>
        <w:spacing w:line="360" w:lineRule="auto"/>
        <w:jc w:val="both"/>
        <w:rPr>
          <w:sz w:val="24"/>
          <w:szCs w:val="24"/>
        </w:rPr>
      </w:pPr>
      <w:r w:rsidRPr="00C73D83">
        <w:rPr>
          <w:sz w:val="24"/>
          <w:szCs w:val="24"/>
        </w:rPr>
        <w:t xml:space="preserve">Although Aldaarmi (2024) does not clearly present a philosophical position, the inferred ontological and epistemological assumptions on its design, methods, and analytical logic are obvious. </w:t>
      </w:r>
      <w:r>
        <w:rPr>
          <w:sz w:val="24"/>
          <w:szCs w:val="24"/>
        </w:rPr>
        <w:t>From an</w:t>
      </w:r>
      <w:r w:rsidRPr="00C73D83">
        <w:rPr>
          <w:sz w:val="24"/>
          <w:szCs w:val="24"/>
        </w:rPr>
        <w:t xml:space="preserve"> ontological perspective, the research maintains a realist position where the quality of digital services </w:t>
      </w:r>
      <w:r w:rsidR="000017F6" w:rsidRPr="00C73D83">
        <w:rPr>
          <w:sz w:val="24"/>
          <w:szCs w:val="24"/>
        </w:rPr>
        <w:t>is</w:t>
      </w:r>
      <w:r w:rsidRPr="00C73D83">
        <w:rPr>
          <w:sz w:val="24"/>
          <w:szCs w:val="24"/>
        </w:rPr>
        <w:t xml:space="preserve"> an objective phenomenon and is not subject to personal interpretation. The dimension of service quality</w:t>
      </w:r>
      <w:r>
        <w:rPr>
          <w:sz w:val="24"/>
          <w:szCs w:val="24"/>
        </w:rPr>
        <w:t>,</w:t>
      </w:r>
      <w:r w:rsidRPr="00C73D83">
        <w:rPr>
          <w:sz w:val="24"/>
          <w:szCs w:val="24"/>
        </w:rPr>
        <w:t xml:space="preserve"> including reliability, usability and efficiency are assumed to be </w:t>
      </w:r>
      <w:r>
        <w:rPr>
          <w:sz w:val="24"/>
          <w:szCs w:val="24"/>
        </w:rPr>
        <w:t xml:space="preserve">an </w:t>
      </w:r>
      <w:r w:rsidRPr="00C73D83">
        <w:rPr>
          <w:sz w:val="24"/>
          <w:szCs w:val="24"/>
        </w:rPr>
        <w:t xml:space="preserve">unchangeable </w:t>
      </w:r>
      <w:r>
        <w:rPr>
          <w:sz w:val="24"/>
          <w:szCs w:val="24"/>
        </w:rPr>
        <w:t>feature</w:t>
      </w:r>
      <w:r w:rsidRPr="00C73D83">
        <w:rPr>
          <w:sz w:val="24"/>
          <w:szCs w:val="24"/>
        </w:rPr>
        <w:t xml:space="preserve"> of the digital service system that can be </w:t>
      </w:r>
      <w:r>
        <w:rPr>
          <w:sz w:val="24"/>
          <w:szCs w:val="24"/>
        </w:rPr>
        <w:t>recognised</w:t>
      </w:r>
      <w:r w:rsidRPr="00C73D83">
        <w:rPr>
          <w:sz w:val="24"/>
          <w:szCs w:val="24"/>
        </w:rPr>
        <w:t xml:space="preserve"> and quantified across users. The respondents are placed as those who give out perceptions known to be an assumption of </w:t>
      </w:r>
      <w:r>
        <w:rPr>
          <w:sz w:val="24"/>
          <w:szCs w:val="24"/>
        </w:rPr>
        <w:t xml:space="preserve">the </w:t>
      </w:r>
      <w:r w:rsidRPr="00C73D83">
        <w:rPr>
          <w:sz w:val="24"/>
          <w:szCs w:val="24"/>
        </w:rPr>
        <w:t>underlying reality of service performance.</w:t>
      </w:r>
    </w:p>
    <w:p w14:paraId="296AC6F3" w14:textId="77777777" w:rsidR="001E42B8" w:rsidRPr="00C73D83" w:rsidRDefault="001E42B8" w:rsidP="001E42B8">
      <w:pPr>
        <w:spacing w:line="360" w:lineRule="auto"/>
        <w:jc w:val="both"/>
        <w:rPr>
          <w:sz w:val="24"/>
          <w:szCs w:val="24"/>
        </w:rPr>
      </w:pPr>
      <w:r w:rsidRPr="00C73D83">
        <w:rPr>
          <w:sz w:val="24"/>
          <w:szCs w:val="24"/>
        </w:rPr>
        <w:t>The research is based on either positivist or post-positivist traditions epistemologically. The generation of knowledge takes place in terms of hypothesis testing, numerical measurement, and statistical inference. The research questions are formulated as causal relationships and the research aims at establishing whether differences in dimensions of service-quality predict differences in customer reuse intention. Valid knowledge is compared to statistical significance, scale measurement reliability and explanatory power. These philosophical assumptions determine the whole research process. The survey methodology selection can be explained by a belief that the subjective experiences can be objectively recorded by means of using standardised tools. The use of cross-sectional data implies that interrelations amongst variables do not change with time. The findings are interpreted in a way that emphasizes on the implications to the managers thus strengthening the instrumental value of the research.</w:t>
      </w:r>
    </w:p>
    <w:p w14:paraId="005F2801" w14:textId="77777777" w:rsidR="001E42B8" w:rsidRPr="00605A70" w:rsidRDefault="001E42B8" w:rsidP="001E42B8">
      <w:pPr>
        <w:spacing w:line="360" w:lineRule="auto"/>
        <w:jc w:val="both"/>
        <w:rPr>
          <w:sz w:val="24"/>
          <w:szCs w:val="24"/>
        </w:rPr>
      </w:pPr>
      <w:r w:rsidRPr="00C73D83">
        <w:rPr>
          <w:sz w:val="24"/>
          <w:szCs w:val="24"/>
        </w:rPr>
        <w:t>Although this methodology provides a clear and generalisable approach, it has the inherent limitation to the study to address the socially constructed, contextual and relational nature of digital service experiences that have been identified as under-explored in Section 3.</w:t>
      </w:r>
    </w:p>
    <w:p w14:paraId="5D8E6C07"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10" w:name="_Toc217578227"/>
      <w:r w:rsidRPr="00C73D83">
        <w:rPr>
          <w:rFonts w:ascii="Times New Roman" w:eastAsia="Times New Roman" w:hAnsi="Times New Roman" w:cs="Times New Roman"/>
          <w:sz w:val="24"/>
          <w:szCs w:val="24"/>
        </w:rPr>
        <w:t>4.3 Axiology and Researcher Positionality</w:t>
      </w:r>
      <w:bookmarkEnd w:id="10"/>
    </w:p>
    <w:p w14:paraId="3BD33531" w14:textId="33EA20D0" w:rsidR="001E42B8" w:rsidRPr="00C73D83" w:rsidRDefault="001E42B8" w:rsidP="001E42B8">
      <w:pPr>
        <w:spacing w:line="360" w:lineRule="auto"/>
        <w:jc w:val="both"/>
        <w:rPr>
          <w:sz w:val="24"/>
          <w:szCs w:val="24"/>
        </w:rPr>
      </w:pPr>
      <w:r w:rsidRPr="00C73D83">
        <w:rPr>
          <w:sz w:val="24"/>
          <w:szCs w:val="24"/>
        </w:rPr>
        <w:t xml:space="preserve">The interest of axiology is in the position of values in research and the degree to which research agendas are specific to certain interests. Certain value statements are not explicitly stated in Aldaarmi (2024); however, the values are implicit in terms of the objectives and framing of the study. The study adheres to a managerial and </w:t>
      </w:r>
      <w:r>
        <w:rPr>
          <w:sz w:val="24"/>
          <w:szCs w:val="24"/>
        </w:rPr>
        <w:t>performance-oriented</w:t>
      </w:r>
      <w:r w:rsidRPr="00C73D83">
        <w:rPr>
          <w:sz w:val="24"/>
          <w:szCs w:val="24"/>
        </w:rPr>
        <w:t xml:space="preserve"> axiology, the aim of which is to attain customer reuse intention and company performance as highly sought results. Digital service quality has been placed as one of the levers that organisations can optimise </w:t>
      </w:r>
      <w:r w:rsidR="007703F4" w:rsidRPr="00C73D83">
        <w:rPr>
          <w:sz w:val="24"/>
          <w:szCs w:val="24"/>
        </w:rPr>
        <w:t>to</w:t>
      </w:r>
      <w:r w:rsidRPr="00C73D83">
        <w:rPr>
          <w:sz w:val="24"/>
          <w:szCs w:val="24"/>
        </w:rPr>
        <w:t xml:space="preserve"> improve behavioural outcomes. This value orientation is in line with prevailing business and </w:t>
      </w:r>
      <w:r w:rsidRPr="00C73D83">
        <w:rPr>
          <w:sz w:val="24"/>
          <w:szCs w:val="24"/>
        </w:rPr>
        <w:lastRenderedPageBreak/>
        <w:t>management research traditions, according to which scholarship is frequently considered in terms of its usefulness to managerial decision making.</w:t>
      </w:r>
    </w:p>
    <w:p w14:paraId="30AC6933" w14:textId="77777777" w:rsidR="001E42B8" w:rsidRPr="00C73D83" w:rsidRDefault="001E42B8" w:rsidP="001E42B8">
      <w:pPr>
        <w:spacing w:line="360" w:lineRule="auto"/>
        <w:jc w:val="both"/>
        <w:rPr>
          <w:sz w:val="24"/>
          <w:szCs w:val="24"/>
        </w:rPr>
      </w:pPr>
      <w:r w:rsidRPr="00C73D83">
        <w:rPr>
          <w:sz w:val="24"/>
          <w:szCs w:val="24"/>
        </w:rPr>
        <w:t xml:space="preserve">The study does not concern </w:t>
      </w:r>
      <w:r>
        <w:rPr>
          <w:sz w:val="24"/>
          <w:szCs w:val="24"/>
        </w:rPr>
        <w:t>researcher's</w:t>
      </w:r>
      <w:r w:rsidRPr="00C73D83">
        <w:rPr>
          <w:sz w:val="24"/>
          <w:szCs w:val="24"/>
        </w:rPr>
        <w:t xml:space="preserve"> positionality. No reflexive explanation is given as to how the disciplinary and institutional membership or contextual suppositions of the author might have informed the choice of constructs, research questions or interpretation of the results. This exclusion fits the traditions of positivism, which presupposes the neutrality and objectivity of the researcher.</w:t>
      </w:r>
    </w:p>
    <w:p w14:paraId="614C9F8B" w14:textId="77777777" w:rsidR="001E42B8" w:rsidRPr="00605A70" w:rsidRDefault="001E42B8" w:rsidP="001E42B8">
      <w:pPr>
        <w:spacing w:line="360" w:lineRule="auto"/>
        <w:jc w:val="both"/>
        <w:rPr>
          <w:sz w:val="24"/>
          <w:szCs w:val="24"/>
        </w:rPr>
      </w:pPr>
      <w:r w:rsidRPr="00C73D83">
        <w:rPr>
          <w:sz w:val="24"/>
          <w:szCs w:val="24"/>
        </w:rPr>
        <w:t xml:space="preserve">This is a drawback as far as DBA is concerned. LCDB7007 insists on the need to identify philosophical assumptions in doctoral research. The inability to consider </w:t>
      </w:r>
      <w:r>
        <w:rPr>
          <w:sz w:val="24"/>
          <w:szCs w:val="24"/>
        </w:rPr>
        <w:t>researcher's</w:t>
      </w:r>
      <w:r w:rsidRPr="00C73D83">
        <w:rPr>
          <w:sz w:val="24"/>
          <w:szCs w:val="24"/>
        </w:rPr>
        <w:t xml:space="preserve"> positionality may make mixed up the way values influence the research design and knowledge assertions</w:t>
      </w:r>
      <w:r>
        <w:rPr>
          <w:sz w:val="24"/>
          <w:szCs w:val="24"/>
        </w:rPr>
        <w:t>,</w:t>
      </w:r>
      <w:r w:rsidRPr="00C73D83">
        <w:rPr>
          <w:sz w:val="24"/>
          <w:szCs w:val="24"/>
        </w:rPr>
        <w:t xml:space="preserve"> especially in the field of digital banking</w:t>
      </w:r>
      <w:r>
        <w:rPr>
          <w:sz w:val="24"/>
          <w:szCs w:val="24"/>
        </w:rPr>
        <w:t>,</w:t>
      </w:r>
      <w:r w:rsidRPr="00C73D83">
        <w:rPr>
          <w:sz w:val="24"/>
          <w:szCs w:val="24"/>
        </w:rPr>
        <w:t xml:space="preserve"> where the concerns of trust, power, and ethics play a key role.</w:t>
      </w:r>
    </w:p>
    <w:p w14:paraId="5391856A"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11" w:name="_Toc217578228"/>
      <w:r w:rsidRPr="00C73D83">
        <w:rPr>
          <w:rFonts w:ascii="Times New Roman" w:eastAsia="Times New Roman" w:hAnsi="Times New Roman" w:cs="Times New Roman"/>
          <w:sz w:val="24"/>
          <w:szCs w:val="24"/>
        </w:rPr>
        <w:t>4.4 Methodological Quality: Reliability, Validity, and Trustworthiness</w:t>
      </w:r>
      <w:bookmarkEnd w:id="11"/>
    </w:p>
    <w:p w14:paraId="10B81F42" w14:textId="77777777" w:rsidR="001E42B8" w:rsidRPr="00605A70" w:rsidRDefault="001E42B8" w:rsidP="001E42B8">
      <w:pPr>
        <w:spacing w:line="360" w:lineRule="auto"/>
        <w:jc w:val="both"/>
        <w:rPr>
          <w:b/>
          <w:bCs/>
          <w:sz w:val="24"/>
          <w:szCs w:val="24"/>
        </w:rPr>
      </w:pPr>
      <w:r w:rsidRPr="00605A70">
        <w:rPr>
          <w:b/>
          <w:bCs/>
          <w:sz w:val="24"/>
          <w:szCs w:val="24"/>
        </w:rPr>
        <w:t>Reliability</w:t>
      </w:r>
    </w:p>
    <w:p w14:paraId="0293E219" w14:textId="77777777" w:rsidR="001E42B8" w:rsidRPr="00C73D83" w:rsidRDefault="001E42B8" w:rsidP="001E42B8">
      <w:pPr>
        <w:spacing w:line="360" w:lineRule="auto"/>
        <w:jc w:val="both"/>
        <w:rPr>
          <w:sz w:val="24"/>
          <w:szCs w:val="24"/>
        </w:rPr>
      </w:pPr>
      <w:r w:rsidRPr="00C73D83">
        <w:rPr>
          <w:sz w:val="24"/>
          <w:szCs w:val="24"/>
        </w:rPr>
        <w:t>Aldaarmi (2024) considers the issue of reliability by adopting reliable measurement scales and internal consistency tests. The questionnaire design provides consistency in data gathering</w:t>
      </w:r>
      <w:r>
        <w:rPr>
          <w:sz w:val="24"/>
          <w:szCs w:val="24"/>
        </w:rPr>
        <w:t>,</w:t>
      </w:r>
      <w:r w:rsidRPr="00C73D83">
        <w:rPr>
          <w:sz w:val="24"/>
          <w:szCs w:val="24"/>
        </w:rPr>
        <w:t xml:space="preserve"> and the statistical indicators used</w:t>
      </w:r>
      <w:r>
        <w:rPr>
          <w:sz w:val="24"/>
          <w:szCs w:val="24"/>
        </w:rPr>
        <w:t>, such as</w:t>
      </w:r>
      <w:r w:rsidRPr="00C73D83">
        <w:rPr>
          <w:sz w:val="24"/>
          <w:szCs w:val="24"/>
        </w:rPr>
        <w:t xml:space="preserve"> Cronbach alpha evidence the reliability of the measurements. Reliability, though, in this context refers mainly to consistency of measurement as opposed to conceptual adequacy. High reliability does not mean that the constructs capture the complexity of the digital service experiences, especially the experiences of emotional or relational dimensions</w:t>
      </w:r>
      <w:r>
        <w:rPr>
          <w:sz w:val="24"/>
          <w:szCs w:val="24"/>
        </w:rPr>
        <w:t>.</w:t>
      </w:r>
    </w:p>
    <w:p w14:paraId="7E55989E" w14:textId="77777777" w:rsidR="001E42B8" w:rsidRPr="00605A70" w:rsidRDefault="001E42B8" w:rsidP="001E42B8">
      <w:pPr>
        <w:spacing w:line="360" w:lineRule="auto"/>
        <w:jc w:val="both"/>
        <w:rPr>
          <w:b/>
          <w:bCs/>
          <w:sz w:val="24"/>
          <w:szCs w:val="24"/>
        </w:rPr>
      </w:pPr>
      <w:r w:rsidRPr="00605A70">
        <w:rPr>
          <w:b/>
          <w:bCs/>
          <w:sz w:val="24"/>
          <w:szCs w:val="24"/>
        </w:rPr>
        <w:t>Validity</w:t>
      </w:r>
    </w:p>
    <w:p w14:paraId="34CCE6CE" w14:textId="598A6BBB" w:rsidR="001E42B8" w:rsidRPr="00C73D83" w:rsidRDefault="001E42B8" w:rsidP="001E42B8">
      <w:pPr>
        <w:spacing w:line="360" w:lineRule="auto"/>
        <w:jc w:val="both"/>
        <w:rPr>
          <w:sz w:val="24"/>
          <w:szCs w:val="24"/>
        </w:rPr>
      </w:pPr>
      <w:r w:rsidRPr="00C73D83">
        <w:rPr>
          <w:sz w:val="24"/>
          <w:szCs w:val="24"/>
        </w:rPr>
        <w:t xml:space="preserve">It is to treat construct </w:t>
      </w:r>
      <w:r w:rsidR="000017F6" w:rsidRPr="00C73D83">
        <w:rPr>
          <w:sz w:val="24"/>
          <w:szCs w:val="24"/>
        </w:rPr>
        <w:t>validity;</w:t>
      </w:r>
      <w:r w:rsidRPr="00C73D83">
        <w:rPr>
          <w:sz w:val="24"/>
          <w:szCs w:val="24"/>
        </w:rPr>
        <w:t xml:space="preserve"> the study will modify the measurement items used in previous studies and test the relationships using </w:t>
      </w:r>
      <w:r>
        <w:rPr>
          <w:sz w:val="24"/>
          <w:szCs w:val="24"/>
        </w:rPr>
        <w:t>statistical</w:t>
      </w:r>
      <w:r w:rsidRPr="00C73D83">
        <w:rPr>
          <w:sz w:val="24"/>
          <w:szCs w:val="24"/>
        </w:rPr>
        <w:t xml:space="preserve"> modelling. Hypothesis testing and regression analysis facilitate internal validity. However, the construct validity is limited by the operationalisation</w:t>
      </w:r>
      <w:r>
        <w:rPr>
          <w:sz w:val="24"/>
          <w:szCs w:val="24"/>
        </w:rPr>
        <w:t>,</w:t>
      </w:r>
      <w:r w:rsidRPr="00C73D83">
        <w:rPr>
          <w:sz w:val="24"/>
          <w:szCs w:val="24"/>
        </w:rPr>
        <w:t xml:space="preserve"> which is narrow in nature regarding digital service quality. Such complex phenomena as trust, institutional legitimacy, and customer sensemaking are summarized as scale items, which may simplify customer experience. There is also limited external validity. The fintech situation is not comparable to the UK retail banking in terms of regulation, customer relations and customer expectations. Although the study implicitly presupposes </w:t>
      </w:r>
      <w:r w:rsidRPr="00C73D83">
        <w:rPr>
          <w:sz w:val="24"/>
          <w:szCs w:val="24"/>
        </w:rPr>
        <w:lastRenderedPageBreak/>
        <w:t>transferability, the assumption is not brought out to the fore, which casts doubts regarding the generalisability of the results in the context of financial services.</w:t>
      </w:r>
    </w:p>
    <w:p w14:paraId="33BF2B8D" w14:textId="77777777" w:rsidR="001E42B8" w:rsidRPr="00605A70" w:rsidRDefault="001E42B8" w:rsidP="001E42B8">
      <w:pPr>
        <w:spacing w:line="360" w:lineRule="auto"/>
        <w:jc w:val="both"/>
        <w:rPr>
          <w:b/>
          <w:bCs/>
          <w:sz w:val="24"/>
          <w:szCs w:val="24"/>
        </w:rPr>
      </w:pPr>
      <w:r w:rsidRPr="00605A70">
        <w:rPr>
          <w:b/>
          <w:bCs/>
          <w:sz w:val="24"/>
          <w:szCs w:val="24"/>
        </w:rPr>
        <w:t>Trustworthiness</w:t>
      </w:r>
    </w:p>
    <w:p w14:paraId="47F69B56" w14:textId="77777777" w:rsidR="001E42B8" w:rsidRPr="00C73D83" w:rsidRDefault="001E42B8" w:rsidP="001E42B8">
      <w:pPr>
        <w:spacing w:line="360" w:lineRule="auto"/>
        <w:jc w:val="both"/>
        <w:rPr>
          <w:sz w:val="24"/>
          <w:szCs w:val="24"/>
        </w:rPr>
      </w:pPr>
      <w:r w:rsidRPr="00C73D83">
        <w:rPr>
          <w:sz w:val="24"/>
          <w:szCs w:val="24"/>
        </w:rPr>
        <w:t>As a qualitative study approach, it is not possible to apply criteria like credibility, dependability, and transferability. Nevertheless, use of self-reported survey data may lead to bias in responses, and the cross-sectional nature of the study does not allow one to understand time dynamics. Such constraints are in line with the larger criticisms of positivist research on digital service-quality that are found in Section 3.</w:t>
      </w:r>
    </w:p>
    <w:p w14:paraId="5AB20749"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12" w:name="_Toc217578229"/>
      <w:r w:rsidRPr="00C73D83">
        <w:rPr>
          <w:rFonts w:ascii="Times New Roman" w:eastAsia="Times New Roman" w:hAnsi="Times New Roman" w:cs="Times New Roman"/>
          <w:sz w:val="24"/>
          <w:szCs w:val="24"/>
        </w:rPr>
        <w:t>4.5 Ethical Considerations</w:t>
      </w:r>
      <w:bookmarkEnd w:id="12"/>
    </w:p>
    <w:p w14:paraId="7ACE5B93" w14:textId="77777777" w:rsidR="001E42B8" w:rsidRPr="00C73D83" w:rsidRDefault="001E42B8" w:rsidP="001E42B8">
      <w:pPr>
        <w:spacing w:line="360" w:lineRule="auto"/>
        <w:jc w:val="both"/>
        <w:rPr>
          <w:sz w:val="24"/>
          <w:szCs w:val="24"/>
        </w:rPr>
      </w:pPr>
      <w:r w:rsidRPr="00C73D83">
        <w:rPr>
          <w:sz w:val="24"/>
          <w:szCs w:val="24"/>
        </w:rPr>
        <w:t>In the Aldaarmi (2024) case, ethical concerns are handled implicitly, as opposed to explicitly. The research includes people and involves gathering of customer perceptions, but it does not comment much on ethical procedures, including informed consent, confidentiality, or data protection. Although survey-based research is typically viewed as less risky research, the digital financial services research is associated with certain ethical issues connected with privacy, trust, and data sensitivity. Lack of direct ethical reflection contributes to a decrease in transparency and the lack of alignment with the requirement of LCDB7007 to explore ethical considerations to the maximum. Moreover, the organisational interest of the study, being based on behavioural outcomes, indicates an implicit ethical approach which is focused on organisational interests. The wider ethical issues, including digital exclusion, fairness, and power asymmetries are not discussed, even though all of them are applicable in the settings of digital banking.</w:t>
      </w:r>
    </w:p>
    <w:p w14:paraId="599C115C" w14:textId="77777777" w:rsidR="001E42B8" w:rsidRPr="00C73D83" w:rsidRDefault="001E42B8" w:rsidP="001E42B8">
      <w:pPr>
        <w:pStyle w:val="Heading2"/>
        <w:spacing w:line="360" w:lineRule="auto"/>
        <w:jc w:val="both"/>
        <w:rPr>
          <w:rFonts w:ascii="Times New Roman" w:hAnsi="Times New Roman" w:cs="Times New Roman"/>
          <w:sz w:val="24"/>
          <w:szCs w:val="24"/>
        </w:rPr>
      </w:pPr>
      <w:bookmarkStart w:id="13" w:name="_Toc217578230"/>
      <w:r w:rsidRPr="00C73D83">
        <w:rPr>
          <w:rFonts w:ascii="Times New Roman" w:eastAsia="Times New Roman" w:hAnsi="Times New Roman" w:cs="Times New Roman"/>
          <w:sz w:val="24"/>
          <w:szCs w:val="24"/>
        </w:rPr>
        <w:t>4.6 Critical Appraisal and Alternative Approaches</w:t>
      </w:r>
      <w:bookmarkEnd w:id="13"/>
    </w:p>
    <w:p w14:paraId="5352D31B" w14:textId="7D6DCBEF" w:rsidR="001E42B8" w:rsidRPr="00605A70" w:rsidRDefault="001E42B8" w:rsidP="001E42B8">
      <w:pPr>
        <w:spacing w:line="360" w:lineRule="auto"/>
        <w:jc w:val="both"/>
        <w:rPr>
          <w:sz w:val="24"/>
          <w:szCs w:val="24"/>
        </w:rPr>
      </w:pPr>
      <w:r w:rsidRPr="00C73D83">
        <w:rPr>
          <w:sz w:val="24"/>
          <w:szCs w:val="24"/>
        </w:rPr>
        <w:t xml:space="preserve">Aldaarmi (2024) has </w:t>
      </w:r>
      <w:r w:rsidR="00620094" w:rsidRPr="00C73D83">
        <w:rPr>
          <w:sz w:val="24"/>
          <w:szCs w:val="24"/>
        </w:rPr>
        <w:t>several</w:t>
      </w:r>
      <w:r w:rsidRPr="00C73D83">
        <w:rPr>
          <w:sz w:val="24"/>
          <w:szCs w:val="24"/>
        </w:rPr>
        <w:t xml:space="preserve"> strengths. The methodology of the study is rigorous within its selected paradigm as it uses established measurement </w:t>
      </w:r>
      <w:r w:rsidR="000017F6" w:rsidRPr="00C73D83">
        <w:rPr>
          <w:sz w:val="24"/>
          <w:szCs w:val="24"/>
        </w:rPr>
        <w:t>tools,</w:t>
      </w:r>
      <w:r w:rsidRPr="00C73D83">
        <w:rPr>
          <w:sz w:val="24"/>
          <w:szCs w:val="24"/>
        </w:rPr>
        <w:t xml:space="preserve"> and the findings are applicable in managerial decision making. Its clarity, reproducibility and statistical power are characteristics of the power of positivist research in digital service management. But the weaknesses of the study are also educative. Its capacity to reflect lived experience, relational dynamics and moral complexity is constrained by the unexamined realist ontology and positivist epistemology. The lack of the reflexivity and a small amount of the ethical discourse further limit its contribution in a DBA standpoint. These limitations would be addressed with alternative philosophical approaches. An interpretivist methodology might investigate the ways in which customers </w:t>
      </w:r>
      <w:r w:rsidRPr="00C73D83">
        <w:rPr>
          <w:sz w:val="24"/>
          <w:szCs w:val="24"/>
        </w:rPr>
        <w:lastRenderedPageBreak/>
        <w:t>make meaning out of the digital service experiences in an interview or narrative analysis. A critical realist approach may also have the interest of underlying service structures but consider the mediating aspect of perception and context. These would supplement the quantitative results and lead to more contextual rich knowledge.</w:t>
      </w:r>
    </w:p>
    <w:p w14:paraId="2B79A719" w14:textId="77777777" w:rsidR="001E42B8" w:rsidRPr="00A07933" w:rsidRDefault="001E42B8" w:rsidP="001E42B8">
      <w:pPr>
        <w:spacing w:line="360" w:lineRule="auto"/>
        <w:jc w:val="both"/>
        <w:rPr>
          <w:sz w:val="24"/>
          <w:szCs w:val="24"/>
        </w:rPr>
      </w:pPr>
      <w:r w:rsidRPr="00A07933">
        <w:rPr>
          <w:sz w:val="24"/>
          <w:szCs w:val="24"/>
        </w:rPr>
        <w:t>This methodological and philosophical discussion proves how the assumptions are the background of all the research practice stages, including the question formulation, interpretation, and positioning on ethical basis. Aldaarmi (2024) is a good example of the prevalent practices of positivism in digital service-quality research and its advantages as well as its drawbacks. In the case of DBA research, identification and critical interaction with these philosophical underpinnings is critical towards generation of rigorous, reflexive, and relevant knowledge that pertains to the complex service environment like digital banking.</w:t>
      </w:r>
    </w:p>
    <w:p w14:paraId="750C4052" w14:textId="6A746EF9" w:rsidR="001E42B8" w:rsidRPr="00C73D83" w:rsidRDefault="001E42B8" w:rsidP="001E42B8">
      <w:pPr>
        <w:spacing w:line="360" w:lineRule="auto"/>
        <w:jc w:val="both"/>
        <w:rPr>
          <w:sz w:val="24"/>
          <w:szCs w:val="24"/>
        </w:rPr>
      </w:pPr>
      <w:r w:rsidRPr="00A07933">
        <w:rPr>
          <w:sz w:val="24"/>
          <w:szCs w:val="24"/>
        </w:rPr>
        <w:t xml:space="preserve">The current philosophical and methodological discussion can prove that underlying ontological, epistemological, and axiological assumptions are essential in defining the research practice in the context of digital service quality. After </w:t>
      </w:r>
      <w:r w:rsidR="00D92741" w:rsidRPr="00A07933">
        <w:rPr>
          <w:sz w:val="24"/>
          <w:szCs w:val="24"/>
        </w:rPr>
        <w:t>analysing</w:t>
      </w:r>
      <w:r w:rsidRPr="00A07933">
        <w:rPr>
          <w:sz w:val="24"/>
          <w:szCs w:val="24"/>
        </w:rPr>
        <w:t xml:space="preserve"> Aldaarmi (2024) in detail, the section discloses that hegemonic positivist and realist orientations are still being used to frame the problem of research, determine the methods, and justify the knowledge assertions in research in digital banking and fintech. Measurement, prediction and managerial applicability are privileged in these assumptions, and at the same time, the subjective experience, relational dynamics and ethical complexity are restrained. It is also demonstrated in the analysis that methodological rigor as traditionally understood in terms of reliability and statistical validation may not always be synonymous with philosophical adequacy. Even though Aldaarmi (2024) has shown consistency and clarity in its operations, the small operationalisation of the digital service quality narrows operationalisation ability of the study to depict trust, sense-making, and institutional legitimacy-elements that are the forefront of customer experience in the controlled financial landscapes. The lack of reflexivity and the lack of ethical deliberation </w:t>
      </w:r>
      <w:r w:rsidR="000017F6" w:rsidRPr="00A07933">
        <w:rPr>
          <w:sz w:val="24"/>
          <w:szCs w:val="24"/>
        </w:rPr>
        <w:t>strengthen</w:t>
      </w:r>
      <w:r w:rsidRPr="00A07933">
        <w:rPr>
          <w:sz w:val="24"/>
          <w:szCs w:val="24"/>
        </w:rPr>
        <w:t xml:space="preserve"> the value orientation that organisational performance holds greater importance than societal and moral issues. In the view of the DBA, philosophical reflexivity of applied business research is emphasized in this case study. The appreciation of research philosophy allows researchers to examine critically both the methods and the values that they hold in research agendas and understandings. The analysis thus supports the argument in Section 3 showing that current research practices in digital banking are not neutral but rather produced by </w:t>
      </w:r>
      <w:r w:rsidR="000017F6" w:rsidRPr="00A07933">
        <w:rPr>
          <w:sz w:val="24"/>
          <w:szCs w:val="24"/>
        </w:rPr>
        <w:t>philosophical</w:t>
      </w:r>
      <w:r w:rsidRPr="00A07933">
        <w:rPr>
          <w:sz w:val="24"/>
          <w:szCs w:val="24"/>
        </w:rPr>
        <w:t xml:space="preserve"> commitments that result in strengths and blind spots. This area gives a </w:t>
      </w:r>
      <w:r w:rsidR="000017F6" w:rsidRPr="00A07933">
        <w:rPr>
          <w:sz w:val="24"/>
          <w:szCs w:val="24"/>
        </w:rPr>
        <w:t>real-life</w:t>
      </w:r>
      <w:r w:rsidRPr="00A07933">
        <w:rPr>
          <w:sz w:val="24"/>
          <w:szCs w:val="24"/>
        </w:rPr>
        <w:t xml:space="preserve"> example of how the philosophical assumptions come to life in the empirical research thus </w:t>
      </w:r>
      <w:r w:rsidRPr="00A07933">
        <w:rPr>
          <w:sz w:val="24"/>
          <w:szCs w:val="24"/>
        </w:rPr>
        <w:lastRenderedPageBreak/>
        <w:t>provide basis to the following Discussion. The next part is built on these observations to generalise the findings in the literature review and the case study and present what they allude to in terms of knowledge production in digital banking research and what this means to theory, research methodology, and the research design of a DBA.</w:t>
      </w:r>
    </w:p>
    <w:p w14:paraId="720C8C9C" w14:textId="77777777" w:rsidR="001E42B8" w:rsidRDefault="001E42B8" w:rsidP="001E42B8">
      <w:pPr>
        <w:spacing w:before="0" w:after="160" w:line="259" w:lineRule="auto"/>
        <w:rPr>
          <w:rFonts w:eastAsiaTheme="majorEastAsia"/>
          <w:b/>
          <w:sz w:val="24"/>
          <w:szCs w:val="24"/>
        </w:rPr>
      </w:pPr>
      <w:bookmarkStart w:id="14" w:name="_Toc217578231"/>
      <w:r>
        <w:rPr>
          <w:szCs w:val="24"/>
        </w:rPr>
        <w:br w:type="page"/>
      </w:r>
    </w:p>
    <w:p w14:paraId="667B4291" w14:textId="77777777" w:rsidR="001E42B8" w:rsidRPr="00C73D83" w:rsidRDefault="001E42B8" w:rsidP="001E42B8">
      <w:pPr>
        <w:pStyle w:val="Heading1"/>
        <w:jc w:val="both"/>
        <w:rPr>
          <w:rFonts w:ascii="Times New Roman" w:hAnsi="Times New Roman" w:cs="Times New Roman"/>
          <w:szCs w:val="24"/>
        </w:rPr>
      </w:pPr>
      <w:r w:rsidRPr="00C73D83">
        <w:rPr>
          <w:rFonts w:ascii="Times New Roman" w:hAnsi="Times New Roman" w:cs="Times New Roman"/>
          <w:szCs w:val="24"/>
        </w:rPr>
        <w:lastRenderedPageBreak/>
        <w:t>5. Discussion and Contribution</w:t>
      </w:r>
      <w:bookmarkEnd w:id="14"/>
    </w:p>
    <w:p w14:paraId="21B5A54C" w14:textId="77777777" w:rsidR="001E42B8" w:rsidRPr="00C73D83" w:rsidRDefault="001E42B8" w:rsidP="001E42B8">
      <w:pPr>
        <w:spacing w:line="360" w:lineRule="auto"/>
        <w:jc w:val="both"/>
        <w:rPr>
          <w:color w:val="000000"/>
          <w:sz w:val="24"/>
          <w:szCs w:val="24"/>
        </w:rPr>
      </w:pPr>
      <w:r w:rsidRPr="00C73D83">
        <w:rPr>
          <w:color w:val="000000"/>
          <w:sz w:val="24"/>
          <w:szCs w:val="24"/>
        </w:rPr>
        <w:t>The section combines the findings of the critical literature review (Section 3) and the philosophical and methodological analysis of Aldaarmi (2024) (Section 4) to fulfil the LCDB7007 expectation of exploring the relationship between the philosophy of research and the research practice in the context of researching the nature of digital service quality, customer experience ability and relationship loyalty in the digital banking setting. These passages taken together prove that the modern work in this discipline lacks any philosophical neutrality but rather is guided by the predominant realist ontologies as well as positivist epistemologies as well as firm-based axiological orientations that shape the development of theory, methodological standards and managerial interpretation.</w:t>
      </w:r>
    </w:p>
    <w:p w14:paraId="5093084F"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One of the most significant contributions that the coursework has put forward is the fact that the philosophical patterns that have been observed throughout the literature are not abstract tendencies but are grounded in concrete empirical practices of research. As demonstrated in Section 3, the methodological convergence and low philosophical reflexiveness characterise the research on digital banking (Ungratwar et al., 2025). Aldaarmi (2024) provides a vivid example of how this trend can be analysed through the case study since digital service quality is defined as an objective, measurable construct and measured using a cross-sectional survey design. It is an example of how realist ontological assumptions and positivist epistemologies are transformed into </w:t>
      </w:r>
      <w:proofErr w:type="gramStart"/>
      <w:r w:rsidRPr="00C73D83">
        <w:rPr>
          <w:color w:val="000000"/>
          <w:sz w:val="24"/>
          <w:szCs w:val="24"/>
        </w:rPr>
        <w:t>particular research</w:t>
      </w:r>
      <w:proofErr w:type="gramEnd"/>
      <w:r w:rsidRPr="00C73D83">
        <w:rPr>
          <w:color w:val="000000"/>
          <w:sz w:val="24"/>
          <w:szCs w:val="24"/>
        </w:rPr>
        <w:t xml:space="preserve"> decisions such as the formulation of research questions based on causality, standardised measurement being the method of choice, and prioritizing the use of generalisability.</w:t>
      </w:r>
    </w:p>
    <w:p w14:paraId="33B2A547" w14:textId="77777777" w:rsidR="001E42B8" w:rsidRPr="00C73D83" w:rsidRDefault="001E42B8" w:rsidP="001E42B8">
      <w:pPr>
        <w:spacing w:line="360" w:lineRule="auto"/>
        <w:jc w:val="both"/>
        <w:rPr>
          <w:color w:val="000000"/>
          <w:sz w:val="24"/>
          <w:szCs w:val="24"/>
        </w:rPr>
      </w:pPr>
      <w:r w:rsidRPr="00C73D83">
        <w:rPr>
          <w:color w:val="000000"/>
          <w:sz w:val="24"/>
          <w:szCs w:val="24"/>
        </w:rPr>
        <w:t>When Sections 3 and 4 are integrated, one informs that philosophical commitments impose a systematic restriction of inquiry. In digital service quality studies, the status of quality as an objective system feature promotes the growth of scale, benchmarking, and predictive modelling, and marginalizes the subjective, relationship, and socially constructed aspects of experience (Hart and Gregor, 2012; Muller et al., 2024). Customers are positioned as respondents whose perception is presumed to be reflected in a service reality underlying, instead of being active sense-makers who are thus placed in an institutional, regulatory, and historical context (Aldaarmi, 2024). This framing strengthens the linear ideas of causality, meaning that better performance of a system will predictively lead to satisfaction and loyalty (Lionello et al., 2020), which is becoming a more doubtful assumption in a high-trust, highly regulated digital banking context.</w:t>
      </w:r>
    </w:p>
    <w:p w14:paraId="677B61D1" w14:textId="12556F7F" w:rsidR="001E42B8" w:rsidRPr="00C73D83" w:rsidRDefault="001E42B8" w:rsidP="001E42B8">
      <w:pPr>
        <w:spacing w:line="360" w:lineRule="auto"/>
        <w:jc w:val="both"/>
        <w:rPr>
          <w:color w:val="000000"/>
          <w:sz w:val="24"/>
          <w:szCs w:val="24"/>
        </w:rPr>
      </w:pPr>
      <w:r w:rsidRPr="00C73D83">
        <w:rPr>
          <w:color w:val="000000"/>
          <w:sz w:val="24"/>
          <w:szCs w:val="24"/>
        </w:rPr>
        <w:lastRenderedPageBreak/>
        <w:t xml:space="preserve">The same philosophical dynamics can be traced in studies on customer experience capability. Whereas certain works recognise cognitive and affective aspects of experience (Gahler et al., 2022), in the context of positivist approaches experience is generally operationalised as a result variable in the form of a measurable outcome measure (Becker and Jaakkola, 2020). The </w:t>
      </w:r>
      <w:r w:rsidR="0027480A" w:rsidRPr="00C73D83">
        <w:rPr>
          <w:color w:val="000000"/>
          <w:sz w:val="24"/>
          <w:szCs w:val="24"/>
        </w:rPr>
        <w:t>pre-eminence</w:t>
      </w:r>
      <w:r w:rsidRPr="00C73D83">
        <w:rPr>
          <w:color w:val="000000"/>
          <w:sz w:val="24"/>
          <w:szCs w:val="24"/>
        </w:rPr>
        <w:t xml:space="preserve"> of quantitative modelling restricts the understanding of customer perceptions of consistency, personalisation and trust across the digital touchpoints (Kandil et al., 2024). This criticism is strengthened in the case study analysis as it shows how the positivist epistemologies privilege the concepts of optimisation and control instead of interpreting and giving meaning. Consequently, customer experience capability is often conceptualised as a resource of an organisation, not as a value-based co-creation phenomenon, which perpetuates ontological tensions that have not been resolved yet, as expressed in Section 3.</w:t>
      </w:r>
    </w:p>
    <w:p w14:paraId="036484A4" w14:textId="77777777" w:rsidR="001E42B8" w:rsidRPr="00C73D83" w:rsidRDefault="001E42B8" w:rsidP="001E42B8">
      <w:pPr>
        <w:spacing w:line="360" w:lineRule="auto"/>
        <w:jc w:val="both"/>
        <w:rPr>
          <w:color w:val="000000"/>
          <w:sz w:val="24"/>
          <w:szCs w:val="24"/>
        </w:rPr>
      </w:pPr>
      <w:r w:rsidRPr="00C73D83">
        <w:rPr>
          <w:color w:val="000000"/>
          <w:sz w:val="24"/>
          <w:szCs w:val="24"/>
        </w:rPr>
        <w:t>On a theoretical basis, the synthesized analysis indicates that prevailing philosophical orientations promote weak adjustment of the available models as opposed to radical conceptualisation. Both the literature and the case study show that positivist paradigms fix the existing constructs, and measurement practices, which prevent theoretical enterprise. Interpretivist viewpoints which prefigure meaning-making, narrative, and relational processes are peripheral, even though they pertain to the explanation of trust, engagement, and loyalty in digitally mediated services (Norfelt et al., 2018). It is one of the critical theoretical limitations in the field.</w:t>
      </w:r>
    </w:p>
    <w:p w14:paraId="424148C4" w14:textId="7371BA58" w:rsidR="001E42B8" w:rsidRPr="00C73D83" w:rsidRDefault="001E42B8" w:rsidP="001E42B8">
      <w:pPr>
        <w:spacing w:line="360" w:lineRule="auto"/>
        <w:jc w:val="both"/>
        <w:rPr>
          <w:color w:val="000000"/>
          <w:sz w:val="24"/>
          <w:szCs w:val="24"/>
        </w:rPr>
      </w:pPr>
      <w:r w:rsidRPr="00C73D83">
        <w:rPr>
          <w:color w:val="000000"/>
          <w:sz w:val="24"/>
          <w:szCs w:val="24"/>
        </w:rPr>
        <w:t xml:space="preserve">Critical management and practice implications are also brought out in the discussion. Studies, which are based on positivist philosophy, are more likely to justify KPI-based digital strategies that follow efficiency, usability, and retention indicators. Such research underpins managerial discourses presented in both the case analysis and the literature that make customer experience capability a competitive advantage source (Chatzopoulos and Weber, 2018; Bruhl, 2022). Nevertheless, once research </w:t>
      </w:r>
      <w:r w:rsidR="0027480A" w:rsidRPr="00C73D83">
        <w:rPr>
          <w:color w:val="000000"/>
          <w:sz w:val="24"/>
          <w:szCs w:val="24"/>
        </w:rPr>
        <w:t>Favors</w:t>
      </w:r>
      <w:r w:rsidRPr="00C73D83">
        <w:rPr>
          <w:color w:val="000000"/>
          <w:sz w:val="24"/>
          <w:szCs w:val="24"/>
        </w:rPr>
        <w:t xml:space="preserve"> quantifiable measures, such problems as the loss of trust, the emotional reaction towards the failure of a service, or digital alienation would be less inclined to guide strategic decisions (Aziz et al., 2025; Sitnicka et al., 2025). This shows that indirectly philosophical positioning influences managerial knowledge in that it determines what is and is not actionable knowledge.</w:t>
      </w:r>
    </w:p>
    <w:p w14:paraId="5D916217" w14:textId="77777777" w:rsidR="001E42B8" w:rsidRPr="00C73D83" w:rsidRDefault="001E42B8" w:rsidP="001E42B8">
      <w:pPr>
        <w:spacing w:line="360" w:lineRule="auto"/>
        <w:jc w:val="both"/>
        <w:rPr>
          <w:color w:val="000000"/>
          <w:sz w:val="24"/>
          <w:szCs w:val="24"/>
        </w:rPr>
      </w:pPr>
      <w:r w:rsidRPr="00C73D83">
        <w:rPr>
          <w:color w:val="000000"/>
          <w:sz w:val="24"/>
          <w:szCs w:val="24"/>
        </w:rPr>
        <w:t xml:space="preserve">Axiologically, combining Sections 3 and 4, one can see that the digital banking research has a high firm-centric value orientation. The time-value is prioritised over the ethical considerations (such as fairness, inclusion, and accessibility), and the organisational outcomes like retention, reuse intention, and profitability are prioritised (Zietsman et al., 2023; Ofodile et al., 2024). </w:t>
      </w:r>
      <w:r w:rsidRPr="00C73D83">
        <w:rPr>
          <w:color w:val="000000"/>
          <w:sz w:val="24"/>
          <w:szCs w:val="24"/>
        </w:rPr>
        <w:lastRenderedPageBreak/>
        <w:t>The lack of reflexivity and restricted ethical involvement in Aldaarmi (2024) is a perfect example of how values can make or break research agendas and descriptions, and it makes sense to state that axiological awareness should be expressly evident in DBA-level research.</w:t>
      </w:r>
    </w:p>
    <w:p w14:paraId="2D6CF2DC" w14:textId="77777777" w:rsidR="001E42B8" w:rsidRPr="00B95F8D" w:rsidRDefault="001E42B8" w:rsidP="001E42B8">
      <w:pPr>
        <w:pStyle w:val="Heading1"/>
        <w:rPr>
          <w:rFonts w:ascii="Times New Roman" w:hAnsi="Times New Roman" w:cs="Times New Roman"/>
        </w:rPr>
      </w:pPr>
      <w:bookmarkStart w:id="15" w:name="_Toc217578232"/>
      <w:r w:rsidRPr="00B95F8D">
        <w:rPr>
          <w:rFonts w:ascii="Times New Roman" w:hAnsi="Times New Roman" w:cs="Times New Roman"/>
        </w:rPr>
        <w:t>6. Conclusion</w:t>
      </w:r>
      <w:bookmarkEnd w:id="15"/>
    </w:p>
    <w:p w14:paraId="47ADA7FB" w14:textId="77777777" w:rsidR="001E42B8" w:rsidRPr="00C73D83" w:rsidRDefault="001E42B8" w:rsidP="001E42B8">
      <w:pPr>
        <w:spacing w:line="360" w:lineRule="auto"/>
        <w:jc w:val="both"/>
        <w:rPr>
          <w:sz w:val="24"/>
          <w:szCs w:val="24"/>
        </w:rPr>
      </w:pPr>
      <w:r w:rsidRPr="00C73D83">
        <w:rPr>
          <w:sz w:val="24"/>
          <w:szCs w:val="24"/>
        </w:rPr>
        <w:t>The coursework has critically reviewed recently developed philosophies in digital service quality, customer experience capability, and relational loyalty in the digital banking settings, especially in UK retail banking. In filling the LCDB7007 brief, the study has gone beyond descriptive synthesis to explore the impact of ontological, epistemological and axiological presuppositions on research practice, knowledge creation and managerial understanding in this field.</w:t>
      </w:r>
    </w:p>
    <w:p w14:paraId="6C121BA7" w14:textId="77777777" w:rsidR="001E42B8" w:rsidRPr="00C73D83" w:rsidRDefault="001E42B8" w:rsidP="001E42B8">
      <w:pPr>
        <w:spacing w:line="360" w:lineRule="auto"/>
        <w:jc w:val="both"/>
        <w:rPr>
          <w:sz w:val="24"/>
          <w:szCs w:val="24"/>
        </w:rPr>
      </w:pPr>
      <w:r w:rsidRPr="00C73D83">
        <w:rPr>
          <w:sz w:val="24"/>
          <w:szCs w:val="24"/>
        </w:rPr>
        <w:t xml:space="preserve">This analysis establishes that modern research is highly dominated by realist and positivist traditions that emphasise measurement, prediction and managerial control. Though providing clarity and allowing generalisability, these methods, at the same time, make a significant limitation by sidelining interpretive, relational, and ethical aspects of digital service experiences. </w:t>
      </w:r>
    </w:p>
    <w:p w14:paraId="0DBBBCD9" w14:textId="77777777" w:rsidR="001E42B8" w:rsidRPr="00C73D83" w:rsidRDefault="001E42B8" w:rsidP="001E42B8">
      <w:pPr>
        <w:spacing w:line="360" w:lineRule="auto"/>
        <w:jc w:val="both"/>
        <w:rPr>
          <w:sz w:val="24"/>
          <w:szCs w:val="24"/>
        </w:rPr>
      </w:pPr>
      <w:r w:rsidRPr="00C73D83">
        <w:rPr>
          <w:sz w:val="24"/>
          <w:szCs w:val="24"/>
        </w:rPr>
        <w:t>The main contribution of the coursework lies in the fact that it made these philosophical foundations clear and clarified their influence on the theory and practice. The study improves the academic understanding of digital banking research and strengthens doctoral-level reflexivity in terms of methodological choice and research design by foregrounding the research philosophy. Furthermore, it provides an emphasis on the need to match the philosophical orientation to the sophisticated, trust-based nature of the digital banking services.</w:t>
      </w:r>
    </w:p>
    <w:p w14:paraId="764888F3" w14:textId="77777777" w:rsidR="001E42B8" w:rsidRPr="00C73D83" w:rsidRDefault="001E42B8" w:rsidP="001E42B8">
      <w:pPr>
        <w:spacing w:line="360" w:lineRule="auto"/>
        <w:jc w:val="both"/>
        <w:rPr>
          <w:sz w:val="24"/>
          <w:szCs w:val="24"/>
        </w:rPr>
      </w:pPr>
      <w:r w:rsidRPr="00C73D83">
        <w:rPr>
          <w:sz w:val="24"/>
          <w:szCs w:val="24"/>
        </w:rPr>
        <w:t>Future studies could also use greater pluralism in philosophy, specifically interpretivist and critical realist, that seek to question how customers create meaning, trust, and loyalty over time. The quantitative models that are currently in place might be enhanced with longitudinal and qualitative research, which would provide a deeper experience of the dynamism of the digital banking relationship. This kind of scholarship would both contribute to the academic knowledge and managerial practice in a more digital and more ethically complex service milieu.</w:t>
      </w:r>
    </w:p>
    <w:p w14:paraId="57BAD45A" w14:textId="77777777" w:rsidR="001E42B8" w:rsidRPr="00C73D83" w:rsidRDefault="001E42B8" w:rsidP="001E42B8">
      <w:pPr>
        <w:spacing w:before="0" w:after="160" w:line="360" w:lineRule="auto"/>
        <w:jc w:val="both"/>
        <w:rPr>
          <w:sz w:val="24"/>
          <w:szCs w:val="24"/>
        </w:rPr>
      </w:pPr>
      <w:r w:rsidRPr="00C73D83">
        <w:rPr>
          <w:sz w:val="24"/>
          <w:szCs w:val="24"/>
        </w:rPr>
        <w:br w:type="page"/>
      </w:r>
    </w:p>
    <w:p w14:paraId="35716720" w14:textId="77777777" w:rsidR="001E42B8" w:rsidRPr="00B95F8D" w:rsidRDefault="001E42B8" w:rsidP="001E42B8">
      <w:pPr>
        <w:pStyle w:val="Heading1"/>
        <w:rPr>
          <w:rFonts w:ascii="Times New Roman" w:hAnsi="Times New Roman" w:cs="Times New Roman"/>
        </w:rPr>
      </w:pPr>
      <w:bookmarkStart w:id="16" w:name="_Toc217578233"/>
      <w:r>
        <w:rPr>
          <w:rFonts w:ascii="Times New Roman" w:hAnsi="Times New Roman" w:cs="Times New Roman"/>
        </w:rPr>
        <w:lastRenderedPageBreak/>
        <w:t xml:space="preserve">7. </w:t>
      </w:r>
      <w:r w:rsidRPr="00B95F8D">
        <w:rPr>
          <w:rFonts w:ascii="Times New Roman" w:hAnsi="Times New Roman" w:cs="Times New Roman"/>
        </w:rPr>
        <w:t>References</w:t>
      </w:r>
      <w:bookmarkEnd w:id="16"/>
    </w:p>
    <w:p w14:paraId="5A8DF5B7" w14:textId="77777777" w:rsidR="001E42B8" w:rsidRPr="00C73D83" w:rsidRDefault="001E42B8" w:rsidP="001E42B8">
      <w:pPr>
        <w:pStyle w:val="JenniRefBody"/>
        <w:spacing w:line="360" w:lineRule="auto"/>
        <w:jc w:val="both"/>
        <w:rPr>
          <w:sz w:val="24"/>
          <w:szCs w:val="24"/>
        </w:rPr>
      </w:pPr>
      <w:bookmarkStart w:id="17" w:name="05226f2fc3ed4b237061b370dc00170d"/>
      <w:r w:rsidRPr="00C73D83">
        <w:rPr>
          <w:sz w:val="24"/>
          <w:szCs w:val="24"/>
        </w:rPr>
        <w:t xml:space="preserve">Aldaarmi, A. A. A. (2024). Fintech Service Quality of Saudi Banks: Digital Transformation and Awareness in Satisfaction, Re-Use Intentions, and the Sustainable Performance of Firms. </w:t>
      </w:r>
      <w:r w:rsidRPr="00C73D83">
        <w:rPr>
          <w:i/>
          <w:iCs/>
          <w:sz w:val="24"/>
          <w:szCs w:val="24"/>
        </w:rPr>
        <w:t>Sustainability</w:t>
      </w:r>
      <w:r w:rsidRPr="00C73D83">
        <w:rPr>
          <w:sz w:val="24"/>
          <w:szCs w:val="24"/>
        </w:rPr>
        <w:t xml:space="preserve">, </w:t>
      </w:r>
      <w:r w:rsidRPr="00C73D83">
        <w:rPr>
          <w:i/>
          <w:iCs/>
          <w:sz w:val="24"/>
          <w:szCs w:val="24"/>
        </w:rPr>
        <w:t>16</w:t>
      </w:r>
      <w:r w:rsidRPr="00C73D83">
        <w:rPr>
          <w:sz w:val="24"/>
          <w:szCs w:val="24"/>
        </w:rPr>
        <w:t xml:space="preserve">(6), 2261. </w:t>
      </w:r>
      <w:hyperlink r:id="rId7" w:history="1">
        <w:r w:rsidRPr="00C73D83">
          <w:rPr>
            <w:rStyle w:val="Hyperlink"/>
            <w:color w:val="auto"/>
            <w:sz w:val="24"/>
            <w:szCs w:val="24"/>
            <w:u w:val="none"/>
          </w:rPr>
          <w:t>https://doi.org/10.3390/su16062261</w:t>
        </w:r>
      </w:hyperlink>
      <w:r w:rsidRPr="00C73D83">
        <w:rPr>
          <w:sz w:val="24"/>
          <w:szCs w:val="24"/>
        </w:rPr>
        <w:t xml:space="preserve">  </w:t>
      </w:r>
      <w:bookmarkEnd w:id="17"/>
    </w:p>
    <w:p w14:paraId="13184513" w14:textId="77777777" w:rsidR="001E42B8" w:rsidRPr="00C73D83" w:rsidRDefault="001E42B8" w:rsidP="001E42B8">
      <w:pPr>
        <w:pStyle w:val="JenniRefBody"/>
        <w:spacing w:line="360" w:lineRule="auto"/>
        <w:jc w:val="both"/>
        <w:rPr>
          <w:sz w:val="24"/>
          <w:szCs w:val="24"/>
        </w:rPr>
      </w:pPr>
      <w:bookmarkStart w:id="18" w:name="73b9bf7b7dfc760b4a34cef093d8a007"/>
      <w:r w:rsidRPr="00C73D83">
        <w:rPr>
          <w:sz w:val="24"/>
          <w:szCs w:val="24"/>
        </w:rPr>
        <w:t xml:space="preserve">Arora, P., &amp; Banerji, R. (2024). The impact of digital banking service quality on customer loyalty: An interplay between customer experience and customer satisfaction. </w:t>
      </w:r>
      <w:r w:rsidRPr="00C73D83">
        <w:rPr>
          <w:i/>
          <w:iCs/>
          <w:sz w:val="24"/>
          <w:szCs w:val="24"/>
        </w:rPr>
        <w:t>Asian Economic and Financial Review</w:t>
      </w:r>
      <w:r w:rsidRPr="00C73D83">
        <w:rPr>
          <w:sz w:val="24"/>
          <w:szCs w:val="24"/>
        </w:rPr>
        <w:t xml:space="preserve">, </w:t>
      </w:r>
      <w:r w:rsidRPr="00C73D83">
        <w:rPr>
          <w:i/>
          <w:iCs/>
          <w:sz w:val="24"/>
          <w:szCs w:val="24"/>
        </w:rPr>
        <w:t>14</w:t>
      </w:r>
      <w:r w:rsidRPr="00C73D83">
        <w:rPr>
          <w:sz w:val="24"/>
          <w:szCs w:val="24"/>
        </w:rPr>
        <w:t xml:space="preserve">(9), 712. </w:t>
      </w:r>
      <w:bookmarkEnd w:id="18"/>
      <w:r w:rsidRPr="00C73D83">
        <w:rPr>
          <w:color w:val="auto"/>
          <w:sz w:val="24"/>
          <w:szCs w:val="24"/>
        </w:rPr>
        <w:fldChar w:fldCharType="begin"/>
      </w:r>
      <w:r w:rsidRPr="00C73D83">
        <w:rPr>
          <w:color w:val="auto"/>
          <w:sz w:val="24"/>
          <w:szCs w:val="24"/>
        </w:rPr>
        <w:instrText>HYPERLINK "https://archive.aessweb.com/index.php/5002/article/view/5199"</w:instrText>
      </w:r>
      <w:r w:rsidRPr="00C73D83">
        <w:rPr>
          <w:color w:val="auto"/>
          <w:sz w:val="24"/>
          <w:szCs w:val="24"/>
        </w:rPr>
      </w:r>
      <w:r w:rsidRPr="00C73D83">
        <w:rPr>
          <w:color w:val="auto"/>
          <w:sz w:val="24"/>
          <w:szCs w:val="24"/>
        </w:rPr>
        <w:fldChar w:fldCharType="separate"/>
      </w:r>
      <w:r w:rsidRPr="00C73D83">
        <w:rPr>
          <w:rStyle w:val="Hyperlink"/>
          <w:color w:val="auto"/>
          <w:sz w:val="24"/>
          <w:szCs w:val="24"/>
          <w:u w:val="none"/>
        </w:rPr>
        <w:t>https://archive.aessweb.com/index.php/5002/article/view/5199</w:t>
      </w:r>
      <w:r w:rsidRPr="00C73D83">
        <w:rPr>
          <w:color w:val="auto"/>
          <w:sz w:val="24"/>
          <w:szCs w:val="24"/>
        </w:rPr>
        <w:fldChar w:fldCharType="end"/>
      </w:r>
      <w:r w:rsidRPr="00C73D83">
        <w:rPr>
          <w:sz w:val="24"/>
          <w:szCs w:val="24"/>
        </w:rPr>
        <w:t xml:space="preserve"> </w:t>
      </w:r>
    </w:p>
    <w:p w14:paraId="251EAA58" w14:textId="77777777" w:rsidR="001E42B8" w:rsidRPr="00C73D83" w:rsidRDefault="001E42B8" w:rsidP="001E42B8">
      <w:pPr>
        <w:pStyle w:val="JenniRefBody"/>
        <w:spacing w:line="360" w:lineRule="auto"/>
        <w:jc w:val="both"/>
        <w:rPr>
          <w:sz w:val="24"/>
          <w:szCs w:val="24"/>
        </w:rPr>
      </w:pPr>
      <w:bookmarkStart w:id="19" w:name="683de2668aed31887d979678d5adaab1"/>
      <w:r w:rsidRPr="00C73D83">
        <w:rPr>
          <w:sz w:val="24"/>
          <w:szCs w:val="24"/>
        </w:rPr>
        <w:t xml:space="preserve">Auttri, B., Chaitanya, K., Daida, S., Kumar, S., Com, M., &amp; Pgdt, M. (2023). </w:t>
      </w:r>
      <w:r w:rsidRPr="00C73D83">
        <w:rPr>
          <w:i/>
          <w:iCs/>
          <w:sz w:val="24"/>
          <w:szCs w:val="24"/>
        </w:rPr>
        <w:t>Digital Transformation in Customer Relationship Management: Enhancing Engagement and Loyalty</w:t>
      </w:r>
      <w:r w:rsidRPr="00C73D83">
        <w:rPr>
          <w:sz w:val="24"/>
          <w:szCs w:val="24"/>
        </w:rPr>
        <w:t xml:space="preserve">. </w:t>
      </w:r>
      <w:hyperlink r:id="rId8" w:history="1">
        <w:r w:rsidRPr="00C73D83">
          <w:rPr>
            <w:rStyle w:val="Hyperlink"/>
            <w:color w:val="auto"/>
            <w:sz w:val="24"/>
            <w:szCs w:val="24"/>
            <w:u w:val="none"/>
          </w:rPr>
          <w:t>https://doi.org/10.52783/eel.v13i3.410</w:t>
        </w:r>
      </w:hyperlink>
      <w:r w:rsidRPr="00C73D83">
        <w:rPr>
          <w:color w:val="auto"/>
          <w:sz w:val="24"/>
          <w:szCs w:val="24"/>
        </w:rPr>
        <w:t xml:space="preserve">  </w:t>
      </w:r>
      <w:bookmarkEnd w:id="19"/>
    </w:p>
    <w:p w14:paraId="2479AD8A" w14:textId="77777777" w:rsidR="001E42B8" w:rsidRPr="00C73D83" w:rsidRDefault="001E42B8" w:rsidP="001E42B8">
      <w:pPr>
        <w:pStyle w:val="JenniRefBody"/>
        <w:spacing w:line="360" w:lineRule="auto"/>
        <w:jc w:val="both"/>
        <w:rPr>
          <w:sz w:val="24"/>
          <w:szCs w:val="24"/>
        </w:rPr>
      </w:pPr>
      <w:bookmarkStart w:id="20" w:name="126edccdc687ee50084f0e75040d52ba"/>
      <w:r w:rsidRPr="00C73D83">
        <w:rPr>
          <w:sz w:val="24"/>
          <w:szCs w:val="24"/>
        </w:rPr>
        <w:t xml:space="preserve">Aziz, S. A., Mansor, F., &amp; Cob, C. M. S. C. (2025). The Experience–Loyalty Nexus: A Comprehensive Review of User Experience as a Driver of Brand Loyalty. </w:t>
      </w:r>
      <w:r w:rsidRPr="00C73D83">
        <w:rPr>
          <w:i/>
          <w:iCs/>
          <w:sz w:val="24"/>
          <w:szCs w:val="24"/>
        </w:rPr>
        <w:t>International Journal of Research and Innovation in Social Science</w:t>
      </w:r>
      <w:r w:rsidRPr="00C73D83">
        <w:rPr>
          <w:sz w:val="24"/>
          <w:szCs w:val="24"/>
        </w:rPr>
        <w:t xml:space="preserve">, </w:t>
      </w:r>
      <w:r w:rsidRPr="00C73D83">
        <w:rPr>
          <w:i/>
          <w:iCs/>
          <w:sz w:val="24"/>
          <w:szCs w:val="24"/>
        </w:rPr>
        <w:t>9</w:t>
      </w:r>
      <w:r w:rsidRPr="00C73D83">
        <w:rPr>
          <w:sz w:val="24"/>
          <w:szCs w:val="24"/>
        </w:rPr>
        <w:t xml:space="preserve">(10), 940. https://doi.org/10.47772/ijriss.2025.910000082 </w:t>
      </w:r>
      <w:bookmarkEnd w:id="20"/>
    </w:p>
    <w:p w14:paraId="6B034A1E" w14:textId="77777777" w:rsidR="001E42B8" w:rsidRPr="00C73D83" w:rsidRDefault="001E42B8" w:rsidP="001E42B8">
      <w:pPr>
        <w:pStyle w:val="JenniRefBody"/>
        <w:spacing w:line="360" w:lineRule="auto"/>
        <w:jc w:val="both"/>
        <w:rPr>
          <w:sz w:val="24"/>
          <w:szCs w:val="24"/>
        </w:rPr>
      </w:pPr>
      <w:bookmarkStart w:id="21" w:name="26f285840920d7813e5bb16c70384433"/>
      <w:r w:rsidRPr="00C73D83">
        <w:rPr>
          <w:sz w:val="24"/>
          <w:szCs w:val="24"/>
        </w:rPr>
        <w:t xml:space="preserve">Becker, L., &amp; Jaakkola, E. (2020). Customer experience: fundamental premises and implications for research. </w:t>
      </w:r>
      <w:r w:rsidRPr="00C73D83">
        <w:rPr>
          <w:i/>
          <w:iCs/>
          <w:sz w:val="24"/>
          <w:szCs w:val="24"/>
        </w:rPr>
        <w:t>Journal of the Academy of Marketing Science</w:t>
      </w:r>
      <w:r w:rsidRPr="00C73D83">
        <w:rPr>
          <w:sz w:val="24"/>
          <w:szCs w:val="24"/>
        </w:rPr>
        <w:t xml:space="preserve">, </w:t>
      </w:r>
      <w:r w:rsidRPr="00C73D83">
        <w:rPr>
          <w:i/>
          <w:iCs/>
          <w:sz w:val="24"/>
          <w:szCs w:val="24"/>
        </w:rPr>
        <w:t>48</w:t>
      </w:r>
      <w:r w:rsidRPr="00C73D83">
        <w:rPr>
          <w:sz w:val="24"/>
          <w:szCs w:val="24"/>
        </w:rPr>
        <w:t xml:space="preserve">(4), 630. https://doi.org/10.1007/s11747-019-00718-x </w:t>
      </w:r>
      <w:bookmarkEnd w:id="21"/>
    </w:p>
    <w:p w14:paraId="783F4992" w14:textId="77777777" w:rsidR="001E42B8" w:rsidRPr="00C73D83" w:rsidRDefault="001E42B8" w:rsidP="001E42B8">
      <w:pPr>
        <w:pStyle w:val="JenniRefBody"/>
        <w:spacing w:line="360" w:lineRule="auto"/>
        <w:jc w:val="both"/>
        <w:rPr>
          <w:sz w:val="24"/>
          <w:szCs w:val="24"/>
        </w:rPr>
      </w:pPr>
      <w:bookmarkStart w:id="22" w:name="9a836663796cabb99ff280e1215e2709"/>
      <w:r w:rsidRPr="00C73D83">
        <w:rPr>
          <w:sz w:val="24"/>
          <w:szCs w:val="24"/>
        </w:rPr>
        <w:t xml:space="preserve">Broløs, A., &amp; Taylor, E. B. (2025). Digital finance: Leveraging customer research for innovation. </w:t>
      </w:r>
      <w:r w:rsidRPr="00C73D83">
        <w:rPr>
          <w:i/>
          <w:iCs/>
          <w:sz w:val="24"/>
          <w:szCs w:val="24"/>
        </w:rPr>
        <w:t>Journal of Digital Banking</w:t>
      </w:r>
      <w:r w:rsidRPr="00C73D83">
        <w:rPr>
          <w:sz w:val="24"/>
          <w:szCs w:val="24"/>
        </w:rPr>
        <w:t xml:space="preserve">, </w:t>
      </w:r>
      <w:r w:rsidRPr="00C73D83">
        <w:rPr>
          <w:i/>
          <w:iCs/>
          <w:sz w:val="24"/>
          <w:szCs w:val="24"/>
        </w:rPr>
        <w:t>10</w:t>
      </w:r>
      <w:r w:rsidRPr="00C73D83">
        <w:rPr>
          <w:sz w:val="24"/>
          <w:szCs w:val="24"/>
        </w:rPr>
        <w:t xml:space="preserve">(2), 170. https://doi.org/10.69554/wlae2269 </w:t>
      </w:r>
      <w:bookmarkEnd w:id="22"/>
    </w:p>
    <w:p w14:paraId="2EF65CCD" w14:textId="77777777" w:rsidR="001E42B8" w:rsidRPr="00C73D83" w:rsidRDefault="001E42B8" w:rsidP="001E42B8">
      <w:pPr>
        <w:pStyle w:val="JenniRefBody"/>
        <w:spacing w:line="360" w:lineRule="auto"/>
        <w:jc w:val="both"/>
        <w:rPr>
          <w:sz w:val="24"/>
          <w:szCs w:val="24"/>
        </w:rPr>
      </w:pPr>
      <w:bookmarkStart w:id="23" w:name="e3cf44af70be57749e1151dc3bdd179c"/>
      <w:r w:rsidRPr="00C73D83">
        <w:rPr>
          <w:sz w:val="24"/>
          <w:szCs w:val="24"/>
        </w:rPr>
        <w:t xml:space="preserve">Brühl, V. (2022). Agile methods in the German banking sector: some evidence on expectations, experiences and success factors. </w:t>
      </w:r>
      <w:r w:rsidRPr="00C73D83">
        <w:rPr>
          <w:i/>
          <w:iCs/>
          <w:sz w:val="24"/>
          <w:szCs w:val="24"/>
        </w:rPr>
        <w:t>Journal of Business Economics</w:t>
      </w:r>
      <w:r w:rsidRPr="00C73D83">
        <w:rPr>
          <w:sz w:val="24"/>
          <w:szCs w:val="24"/>
        </w:rPr>
        <w:t xml:space="preserve">, </w:t>
      </w:r>
      <w:r w:rsidRPr="00C73D83">
        <w:rPr>
          <w:i/>
          <w:iCs/>
          <w:sz w:val="24"/>
          <w:szCs w:val="24"/>
        </w:rPr>
        <w:t>92</w:t>
      </w:r>
      <w:r w:rsidRPr="00C73D83">
        <w:rPr>
          <w:sz w:val="24"/>
          <w:szCs w:val="24"/>
        </w:rPr>
        <w:t xml:space="preserve">(8), 1337. https://doi.org/10.1007/s11573-022-01102-y </w:t>
      </w:r>
      <w:bookmarkEnd w:id="23"/>
    </w:p>
    <w:p w14:paraId="3C52FA91" w14:textId="77777777" w:rsidR="001E42B8" w:rsidRPr="00C73D83" w:rsidRDefault="001E42B8" w:rsidP="001E42B8">
      <w:pPr>
        <w:pStyle w:val="JenniRefBody"/>
        <w:spacing w:line="360" w:lineRule="auto"/>
        <w:jc w:val="both"/>
        <w:rPr>
          <w:sz w:val="24"/>
          <w:szCs w:val="24"/>
        </w:rPr>
      </w:pPr>
      <w:bookmarkStart w:id="24" w:name="d28defd7c8c6238662afe9259518a178"/>
      <w:r w:rsidRPr="00C73D83">
        <w:rPr>
          <w:sz w:val="24"/>
          <w:szCs w:val="24"/>
          <w:lang w:val="de-DE"/>
        </w:rPr>
        <w:t xml:space="preserve">Chatzopoulos, C. G., &amp; Weber, M. (2018). </w:t>
      </w:r>
      <w:r w:rsidRPr="00C73D83">
        <w:rPr>
          <w:sz w:val="24"/>
          <w:szCs w:val="24"/>
        </w:rPr>
        <w:t xml:space="preserve">Challenges of Total Customer Experience (TCX): Measurement beyond Touchpoints. </w:t>
      </w:r>
      <w:r w:rsidRPr="00C73D83">
        <w:rPr>
          <w:i/>
          <w:iCs/>
          <w:sz w:val="24"/>
          <w:szCs w:val="24"/>
        </w:rPr>
        <w:t>International Journal of Industrial Engineering and Management</w:t>
      </w:r>
      <w:r w:rsidRPr="00C73D83">
        <w:rPr>
          <w:sz w:val="24"/>
          <w:szCs w:val="24"/>
        </w:rPr>
        <w:t xml:space="preserve">, </w:t>
      </w:r>
      <w:r w:rsidRPr="00C73D83">
        <w:rPr>
          <w:i/>
          <w:iCs/>
          <w:sz w:val="24"/>
          <w:szCs w:val="24"/>
        </w:rPr>
        <w:t>9</w:t>
      </w:r>
      <w:r w:rsidRPr="00C73D83">
        <w:rPr>
          <w:sz w:val="24"/>
          <w:szCs w:val="24"/>
        </w:rPr>
        <w:t xml:space="preserve">(4), 187. https://doi.org/10.24867/ijiem-2018-4-187 </w:t>
      </w:r>
      <w:bookmarkEnd w:id="24"/>
    </w:p>
    <w:p w14:paraId="56635B33" w14:textId="77777777" w:rsidR="001E42B8" w:rsidRPr="00C73D83" w:rsidRDefault="001E42B8" w:rsidP="001E42B8">
      <w:pPr>
        <w:pStyle w:val="JenniRefBody"/>
        <w:spacing w:line="360" w:lineRule="auto"/>
        <w:jc w:val="both"/>
        <w:rPr>
          <w:sz w:val="24"/>
          <w:szCs w:val="24"/>
        </w:rPr>
      </w:pPr>
      <w:bookmarkStart w:id="25" w:name="3b26bc5a60dc5783db183e91c6d61218"/>
      <w:r w:rsidRPr="00C73D83">
        <w:rPr>
          <w:sz w:val="24"/>
          <w:szCs w:val="24"/>
          <w:lang w:val="de-DE"/>
        </w:rPr>
        <w:t xml:space="preserve">Chauhan, S., Akhtar, A., &amp; Gupta, A. (2022). </w:t>
      </w:r>
      <w:r w:rsidRPr="00C73D83">
        <w:rPr>
          <w:sz w:val="24"/>
          <w:szCs w:val="24"/>
        </w:rPr>
        <w:t xml:space="preserve">Customer experience in digital banking: a review and future research directions [Review of </w:t>
      </w:r>
      <w:r w:rsidRPr="00C73D83">
        <w:rPr>
          <w:i/>
          <w:iCs/>
          <w:sz w:val="24"/>
          <w:szCs w:val="24"/>
        </w:rPr>
        <w:t>Customer experience in digital banking: a review and future research directions</w:t>
      </w:r>
      <w:r w:rsidRPr="00C73D83">
        <w:rPr>
          <w:sz w:val="24"/>
          <w:szCs w:val="24"/>
        </w:rPr>
        <w:t xml:space="preserve">]. </w:t>
      </w:r>
      <w:r w:rsidRPr="00C73D83">
        <w:rPr>
          <w:i/>
          <w:iCs/>
          <w:sz w:val="24"/>
          <w:szCs w:val="24"/>
        </w:rPr>
        <w:t>International Journal of Quality and Service Sciences</w:t>
      </w:r>
      <w:r w:rsidRPr="00C73D83">
        <w:rPr>
          <w:sz w:val="24"/>
          <w:szCs w:val="24"/>
        </w:rPr>
        <w:t xml:space="preserve">, </w:t>
      </w:r>
      <w:r w:rsidRPr="00C73D83">
        <w:rPr>
          <w:i/>
          <w:iCs/>
          <w:sz w:val="24"/>
          <w:szCs w:val="24"/>
        </w:rPr>
        <w:t>14</w:t>
      </w:r>
      <w:r w:rsidRPr="00C73D83">
        <w:rPr>
          <w:sz w:val="24"/>
          <w:szCs w:val="24"/>
        </w:rPr>
        <w:t xml:space="preserve">(2), 311. Emerald Publishing Limited. https://doi.org/10.1108/ijqss-02-2021-0027 </w:t>
      </w:r>
      <w:bookmarkEnd w:id="25"/>
    </w:p>
    <w:p w14:paraId="3CAE9B27" w14:textId="77777777" w:rsidR="001E42B8" w:rsidRPr="00C73D83" w:rsidRDefault="001E42B8" w:rsidP="001E42B8">
      <w:pPr>
        <w:pStyle w:val="JenniRefBody"/>
        <w:spacing w:line="360" w:lineRule="auto"/>
        <w:jc w:val="both"/>
        <w:rPr>
          <w:sz w:val="24"/>
          <w:szCs w:val="24"/>
        </w:rPr>
      </w:pPr>
      <w:bookmarkStart w:id="26" w:name="dd40e574a98766a60bbf3544693f35e5"/>
      <w:r w:rsidRPr="00C73D83">
        <w:rPr>
          <w:sz w:val="24"/>
          <w:szCs w:val="24"/>
        </w:rPr>
        <w:lastRenderedPageBreak/>
        <w:t xml:space="preserve">Claro, G. T. N., &amp; Soto, J. A. B. (2024). Evaluating customer satisfaction in digital services companies: challenges and opportunities. </w:t>
      </w:r>
      <w:r w:rsidRPr="00C73D83">
        <w:rPr>
          <w:i/>
          <w:iCs/>
          <w:sz w:val="24"/>
          <w:szCs w:val="24"/>
        </w:rPr>
        <w:t>South Florida Journal of Development</w:t>
      </w:r>
      <w:r w:rsidRPr="00C73D83">
        <w:rPr>
          <w:sz w:val="24"/>
          <w:szCs w:val="24"/>
        </w:rPr>
        <w:t xml:space="preserve">, </w:t>
      </w:r>
      <w:r w:rsidRPr="00C73D83">
        <w:rPr>
          <w:i/>
          <w:iCs/>
          <w:sz w:val="24"/>
          <w:szCs w:val="24"/>
        </w:rPr>
        <w:t>5</w:t>
      </w:r>
      <w:r w:rsidRPr="00C73D83">
        <w:rPr>
          <w:sz w:val="24"/>
          <w:szCs w:val="24"/>
        </w:rPr>
        <w:t xml:space="preserve">(11). https://doi.org/10.46932/sfjdv5n11-020 </w:t>
      </w:r>
      <w:bookmarkEnd w:id="26"/>
    </w:p>
    <w:p w14:paraId="11830907" w14:textId="77777777" w:rsidR="001E42B8" w:rsidRPr="00C73D83" w:rsidRDefault="001E42B8" w:rsidP="001E42B8">
      <w:pPr>
        <w:pStyle w:val="JenniRefBody"/>
        <w:spacing w:line="360" w:lineRule="auto"/>
        <w:jc w:val="both"/>
        <w:rPr>
          <w:sz w:val="24"/>
          <w:szCs w:val="24"/>
        </w:rPr>
      </w:pPr>
      <w:bookmarkStart w:id="27" w:name="42097e219773329be1df48443326fa16"/>
      <w:r w:rsidRPr="00C73D83">
        <w:rPr>
          <w:sz w:val="24"/>
          <w:szCs w:val="24"/>
          <w:lang w:val="de-DE"/>
        </w:rPr>
        <w:t xml:space="preserve">Gahler, M., Klein, J. F., &amp; Paul, M. (2022). </w:t>
      </w:r>
      <w:r w:rsidRPr="00C73D83">
        <w:rPr>
          <w:sz w:val="24"/>
          <w:szCs w:val="24"/>
        </w:rPr>
        <w:t xml:space="preserve">Customer Experience: Conceptualisation, Measurement, and Application in Omnichannel Environments. </w:t>
      </w:r>
      <w:r w:rsidRPr="00C73D83">
        <w:rPr>
          <w:i/>
          <w:iCs/>
          <w:sz w:val="24"/>
          <w:szCs w:val="24"/>
        </w:rPr>
        <w:t>Journal of Service Research</w:t>
      </w:r>
      <w:r w:rsidRPr="00C73D83">
        <w:rPr>
          <w:sz w:val="24"/>
          <w:szCs w:val="24"/>
        </w:rPr>
        <w:t xml:space="preserve">, </w:t>
      </w:r>
      <w:r w:rsidRPr="00C73D83">
        <w:rPr>
          <w:i/>
          <w:iCs/>
          <w:sz w:val="24"/>
          <w:szCs w:val="24"/>
        </w:rPr>
        <w:t>26</w:t>
      </w:r>
      <w:r w:rsidRPr="00C73D83">
        <w:rPr>
          <w:sz w:val="24"/>
          <w:szCs w:val="24"/>
        </w:rPr>
        <w:t xml:space="preserve">(2), 191. https://doi.org/10.1177/10946705221126590 </w:t>
      </w:r>
      <w:bookmarkEnd w:id="27"/>
    </w:p>
    <w:p w14:paraId="6AFE0D8F" w14:textId="77777777" w:rsidR="001E42B8" w:rsidRPr="00C73D83" w:rsidRDefault="001E42B8" w:rsidP="001E42B8">
      <w:pPr>
        <w:pStyle w:val="JenniRefBody"/>
        <w:spacing w:line="360" w:lineRule="auto"/>
        <w:jc w:val="both"/>
        <w:rPr>
          <w:sz w:val="24"/>
          <w:szCs w:val="24"/>
        </w:rPr>
      </w:pPr>
      <w:bookmarkStart w:id="28" w:name="24ef8d0b7c18f864c8d8911e553ee0db"/>
      <w:r w:rsidRPr="00C73D83">
        <w:rPr>
          <w:sz w:val="24"/>
          <w:szCs w:val="24"/>
          <w:lang w:val="de-DE"/>
        </w:rPr>
        <w:t xml:space="preserve">Hani, U., Wickramasinghe, A., Kattiyapornpong, U., &amp; Sajib, S. (2022). </w:t>
      </w:r>
      <w:r w:rsidRPr="00C73D83">
        <w:rPr>
          <w:sz w:val="24"/>
          <w:szCs w:val="24"/>
        </w:rPr>
        <w:t xml:space="preserve">The future of data-driven relationship innovation in the microfinance industry. </w:t>
      </w:r>
      <w:r w:rsidRPr="00C73D83">
        <w:rPr>
          <w:i/>
          <w:iCs/>
          <w:sz w:val="24"/>
          <w:szCs w:val="24"/>
        </w:rPr>
        <w:t>Annals of Operations Research</w:t>
      </w:r>
      <w:r w:rsidRPr="00C73D83">
        <w:rPr>
          <w:sz w:val="24"/>
          <w:szCs w:val="24"/>
        </w:rPr>
        <w:t xml:space="preserve">, </w:t>
      </w:r>
      <w:r w:rsidRPr="00C73D83">
        <w:rPr>
          <w:i/>
          <w:iCs/>
          <w:sz w:val="24"/>
          <w:szCs w:val="24"/>
        </w:rPr>
        <w:t>333</w:t>
      </w:r>
      <w:r w:rsidRPr="00C73D83">
        <w:rPr>
          <w:sz w:val="24"/>
          <w:szCs w:val="24"/>
        </w:rPr>
        <w:t xml:space="preserve">, 971. https://doi.org/10.1007/s10479-022-04943-6 </w:t>
      </w:r>
      <w:bookmarkEnd w:id="28"/>
    </w:p>
    <w:p w14:paraId="2F5B13BF" w14:textId="77777777" w:rsidR="001E42B8" w:rsidRPr="00C73D83" w:rsidRDefault="001E42B8" w:rsidP="001E42B8">
      <w:pPr>
        <w:pStyle w:val="JenniRefBody"/>
        <w:spacing w:line="360" w:lineRule="auto"/>
        <w:jc w:val="both"/>
        <w:rPr>
          <w:sz w:val="24"/>
          <w:szCs w:val="24"/>
        </w:rPr>
      </w:pPr>
      <w:bookmarkStart w:id="29" w:name="3499ffc1f3797bb6e521f07f41bf632c"/>
      <w:r w:rsidRPr="00C73D83">
        <w:rPr>
          <w:sz w:val="24"/>
          <w:szCs w:val="24"/>
          <w:lang w:val="de-DE"/>
        </w:rPr>
        <w:t xml:space="preserve">Hänninen, M., Smedlund, A., &amp; Mitronen, L. (2017). </w:t>
      </w:r>
      <w:r w:rsidRPr="00C73D83">
        <w:rPr>
          <w:sz w:val="24"/>
          <w:szCs w:val="24"/>
        </w:rPr>
        <w:t xml:space="preserve">Digitalisation in retailing: multi-sided platforms as drivers of industry transformation. </w:t>
      </w:r>
      <w:r w:rsidRPr="00C73D83">
        <w:rPr>
          <w:i/>
          <w:iCs/>
          <w:sz w:val="24"/>
          <w:szCs w:val="24"/>
        </w:rPr>
        <w:t>Baltic Journal of Management</w:t>
      </w:r>
      <w:r w:rsidRPr="00C73D83">
        <w:rPr>
          <w:sz w:val="24"/>
          <w:szCs w:val="24"/>
        </w:rPr>
        <w:t xml:space="preserve">, </w:t>
      </w:r>
      <w:r w:rsidRPr="00C73D83">
        <w:rPr>
          <w:i/>
          <w:iCs/>
          <w:sz w:val="24"/>
          <w:szCs w:val="24"/>
        </w:rPr>
        <w:t>13</w:t>
      </w:r>
      <w:r w:rsidRPr="00C73D83">
        <w:rPr>
          <w:sz w:val="24"/>
          <w:szCs w:val="24"/>
        </w:rPr>
        <w:t xml:space="preserve">(2), 152. https://doi.org/10.1108/bjm-04-2017-0109 </w:t>
      </w:r>
      <w:bookmarkEnd w:id="29"/>
    </w:p>
    <w:p w14:paraId="54115656" w14:textId="77777777" w:rsidR="001E42B8" w:rsidRPr="00C73D83" w:rsidRDefault="001E42B8" w:rsidP="001E42B8">
      <w:pPr>
        <w:pStyle w:val="JenniRefBody"/>
        <w:spacing w:line="360" w:lineRule="auto"/>
        <w:jc w:val="both"/>
        <w:rPr>
          <w:sz w:val="24"/>
          <w:szCs w:val="24"/>
        </w:rPr>
      </w:pPr>
      <w:bookmarkStart w:id="30" w:name="daecc143fdffc0b2808ea418727fa4f2"/>
      <w:r w:rsidRPr="00C73D83">
        <w:rPr>
          <w:sz w:val="24"/>
          <w:szCs w:val="24"/>
        </w:rPr>
        <w:t xml:space="preserve">Hart, D., &amp; Gregor, S. (2012). Information Systems Foundations: Theory Building in Information Systems. In </w:t>
      </w:r>
      <w:r w:rsidRPr="00C73D83">
        <w:rPr>
          <w:i/>
          <w:iCs/>
          <w:sz w:val="24"/>
          <w:szCs w:val="24"/>
        </w:rPr>
        <w:t>ANU Press eBooks</w:t>
      </w:r>
      <w:r w:rsidRPr="00C73D83">
        <w:rPr>
          <w:sz w:val="24"/>
          <w:szCs w:val="24"/>
        </w:rPr>
        <w:t xml:space="preserve">. ANU Press. https://doi.org/10.22459/isf.10.2012 </w:t>
      </w:r>
      <w:bookmarkEnd w:id="30"/>
    </w:p>
    <w:p w14:paraId="3829F3D0" w14:textId="77777777" w:rsidR="001E42B8" w:rsidRPr="00C73D83" w:rsidRDefault="001E42B8" w:rsidP="001E42B8">
      <w:pPr>
        <w:pStyle w:val="JenniRefBody"/>
        <w:spacing w:line="360" w:lineRule="auto"/>
        <w:jc w:val="both"/>
        <w:rPr>
          <w:sz w:val="24"/>
          <w:szCs w:val="24"/>
        </w:rPr>
      </w:pPr>
      <w:bookmarkStart w:id="31" w:name="69bd192c6ea7e5c1cb467d68e6e7c9bb"/>
      <w:r w:rsidRPr="00C73D83">
        <w:rPr>
          <w:sz w:val="24"/>
          <w:szCs w:val="24"/>
        </w:rPr>
        <w:t xml:space="preserve">Holmlund, M., Vaerenbergh, Y. V., Ciuchita, R., Ravald, A., Sarantopoulos, P., Ordenes, F. V., &amp; Zaki, M. (2020). Customer experience management in the age of big data analytics: A strategic framework. </w:t>
      </w:r>
      <w:r w:rsidRPr="00C73D83">
        <w:rPr>
          <w:i/>
          <w:iCs/>
          <w:sz w:val="24"/>
          <w:szCs w:val="24"/>
        </w:rPr>
        <w:t>Journal of Business Research</w:t>
      </w:r>
      <w:r w:rsidRPr="00C73D83">
        <w:rPr>
          <w:sz w:val="24"/>
          <w:szCs w:val="24"/>
        </w:rPr>
        <w:t xml:space="preserve">, </w:t>
      </w:r>
      <w:r w:rsidRPr="00C73D83">
        <w:rPr>
          <w:i/>
          <w:iCs/>
          <w:sz w:val="24"/>
          <w:szCs w:val="24"/>
        </w:rPr>
        <w:t>116</w:t>
      </w:r>
      <w:r w:rsidRPr="00C73D83">
        <w:rPr>
          <w:sz w:val="24"/>
          <w:szCs w:val="24"/>
        </w:rPr>
        <w:t xml:space="preserve">, 356. https://doi.org/10.1016/j.jbusres.2020.01.022 </w:t>
      </w:r>
      <w:bookmarkEnd w:id="31"/>
    </w:p>
    <w:p w14:paraId="3C7B52D9" w14:textId="77777777" w:rsidR="001E42B8" w:rsidRPr="00C73D83" w:rsidRDefault="001E42B8" w:rsidP="001E42B8">
      <w:pPr>
        <w:pStyle w:val="JenniRefBody"/>
        <w:spacing w:line="360" w:lineRule="auto"/>
        <w:jc w:val="both"/>
        <w:rPr>
          <w:sz w:val="24"/>
          <w:szCs w:val="24"/>
        </w:rPr>
      </w:pPr>
      <w:bookmarkStart w:id="32" w:name="74f0d4f423d006594fa5479f10d74696"/>
      <w:r w:rsidRPr="00C73D83">
        <w:rPr>
          <w:sz w:val="24"/>
          <w:szCs w:val="24"/>
        </w:rPr>
        <w:t xml:space="preserve">Hordofa, D. F. (2023). Impact of Mobile Banking Adoption on the Technical Efficiency of Commercial Banks in Ethiopia: An Analysis from 2010 to 2022. </w:t>
      </w:r>
      <w:r w:rsidRPr="00C73D83">
        <w:rPr>
          <w:i/>
          <w:iCs/>
          <w:sz w:val="24"/>
          <w:szCs w:val="24"/>
        </w:rPr>
        <w:t>Research Square (Research Square)</w:t>
      </w:r>
      <w:r w:rsidRPr="00C73D83">
        <w:rPr>
          <w:sz w:val="24"/>
          <w:szCs w:val="24"/>
        </w:rPr>
        <w:t xml:space="preserve">. https://doi.org/10.21203/rs.3.rs-3146976/v1 </w:t>
      </w:r>
      <w:bookmarkEnd w:id="32"/>
    </w:p>
    <w:p w14:paraId="622611F7" w14:textId="77777777" w:rsidR="001E42B8" w:rsidRPr="00C73D83" w:rsidRDefault="001E42B8" w:rsidP="001E42B8">
      <w:pPr>
        <w:pStyle w:val="JenniRefBody"/>
        <w:spacing w:line="360" w:lineRule="auto"/>
        <w:jc w:val="both"/>
        <w:rPr>
          <w:sz w:val="24"/>
          <w:szCs w:val="24"/>
        </w:rPr>
      </w:pPr>
      <w:bookmarkStart w:id="33" w:name="c3010b4921e3a93b83a2dcfbb0ff7d18"/>
      <w:r w:rsidRPr="00C73D83">
        <w:rPr>
          <w:sz w:val="24"/>
          <w:szCs w:val="24"/>
        </w:rPr>
        <w:t xml:space="preserve">Irawan, T., Isa, C. R., &amp; Alfan, E. (2023). The Impact of Digital Banking Adoption, Risk Management and Balanced Scorecard on Indonesian Banking Performance – A Conceptual Paper. </w:t>
      </w:r>
      <w:r w:rsidRPr="00C73D83">
        <w:rPr>
          <w:i/>
          <w:iCs/>
          <w:sz w:val="24"/>
          <w:szCs w:val="24"/>
        </w:rPr>
        <w:t>Asian Journal of Accounting Perspectives</w:t>
      </w:r>
      <w:r w:rsidRPr="00C73D83">
        <w:rPr>
          <w:sz w:val="24"/>
          <w:szCs w:val="24"/>
        </w:rPr>
        <w:t xml:space="preserve">, </w:t>
      </w:r>
      <w:r w:rsidRPr="00C73D83">
        <w:rPr>
          <w:i/>
          <w:iCs/>
          <w:sz w:val="24"/>
          <w:szCs w:val="24"/>
        </w:rPr>
        <w:t>16</w:t>
      </w:r>
      <w:r w:rsidRPr="00C73D83">
        <w:rPr>
          <w:sz w:val="24"/>
          <w:szCs w:val="24"/>
        </w:rPr>
        <w:t xml:space="preserve">(1), 97. https://doi.org/10.22452/ajap.vol16no1.6 </w:t>
      </w:r>
      <w:bookmarkEnd w:id="33"/>
    </w:p>
    <w:p w14:paraId="698C2757" w14:textId="77777777" w:rsidR="001E42B8" w:rsidRPr="00C73D83" w:rsidRDefault="001E42B8" w:rsidP="001E42B8">
      <w:pPr>
        <w:pStyle w:val="JenniRefBody"/>
        <w:spacing w:line="360" w:lineRule="auto"/>
        <w:jc w:val="both"/>
        <w:rPr>
          <w:sz w:val="24"/>
          <w:szCs w:val="24"/>
        </w:rPr>
      </w:pPr>
      <w:bookmarkStart w:id="34" w:name="8a3d2e0096df9c3657368b875e04a7c0"/>
      <w:r w:rsidRPr="00C73D83">
        <w:rPr>
          <w:sz w:val="24"/>
          <w:szCs w:val="24"/>
          <w:lang w:val="de-DE"/>
        </w:rPr>
        <w:t xml:space="preserve">Jager, J. de, Wulandari, N., &amp; Wannenburg, E. (2020). </w:t>
      </w:r>
      <w:r w:rsidRPr="00C73D83">
        <w:rPr>
          <w:sz w:val="24"/>
          <w:szCs w:val="24"/>
        </w:rPr>
        <w:t xml:space="preserve">CROSS-COUNTRY ANALYSIS OF ONLINE BANKING SERVICE QUALITY IN SOUTH AFRICA AND INDONESIA. </w:t>
      </w:r>
      <w:r w:rsidRPr="00C73D83">
        <w:rPr>
          <w:i/>
          <w:iCs/>
          <w:sz w:val="24"/>
          <w:szCs w:val="24"/>
        </w:rPr>
        <w:t>Eurasian Journal of Economics and Finance</w:t>
      </w:r>
      <w:r w:rsidRPr="00C73D83">
        <w:rPr>
          <w:sz w:val="24"/>
          <w:szCs w:val="24"/>
        </w:rPr>
        <w:t xml:space="preserve">, </w:t>
      </w:r>
      <w:r w:rsidRPr="00C73D83">
        <w:rPr>
          <w:i/>
          <w:iCs/>
          <w:sz w:val="24"/>
          <w:szCs w:val="24"/>
        </w:rPr>
        <w:t>8</w:t>
      </w:r>
      <w:r w:rsidRPr="00C73D83">
        <w:rPr>
          <w:sz w:val="24"/>
          <w:szCs w:val="24"/>
        </w:rPr>
        <w:t xml:space="preserve">(4), 194. https://doi.org/10.15604/ejef.2020.08.04.001 </w:t>
      </w:r>
      <w:bookmarkEnd w:id="34"/>
    </w:p>
    <w:p w14:paraId="40CE230D" w14:textId="77777777" w:rsidR="001E42B8" w:rsidRPr="00C73D83" w:rsidRDefault="001E42B8" w:rsidP="001E42B8">
      <w:pPr>
        <w:pStyle w:val="JenniRefBody"/>
        <w:spacing w:line="360" w:lineRule="auto"/>
        <w:jc w:val="both"/>
        <w:rPr>
          <w:sz w:val="24"/>
          <w:szCs w:val="24"/>
        </w:rPr>
      </w:pPr>
      <w:bookmarkStart w:id="35" w:name="2e685170e127f1497901461c22eb2ff8"/>
      <w:r w:rsidRPr="00C73D83">
        <w:rPr>
          <w:sz w:val="24"/>
          <w:szCs w:val="24"/>
          <w:lang w:val="de-DE"/>
        </w:rPr>
        <w:lastRenderedPageBreak/>
        <w:t xml:space="preserve">KAMPANI, R., Mostert, P., &amp; Merwe, M. C. V. der. </w:t>
      </w:r>
      <w:r w:rsidRPr="00C73D83">
        <w:rPr>
          <w:sz w:val="24"/>
          <w:szCs w:val="24"/>
        </w:rPr>
        <w:t xml:space="preserve">(2023). TRUST AND ECONOMIC SATISFACTION AS ANTECEDENTS, AND LOYALTY AS OUTCOME, OF SMALL BUSINESS CUSTOMERS’ COOPERATION AND COORDINATION IN BANKING RELATIONSHIPS. </w:t>
      </w:r>
      <w:r w:rsidRPr="00C73D83">
        <w:rPr>
          <w:i/>
          <w:iCs/>
          <w:sz w:val="24"/>
          <w:szCs w:val="24"/>
        </w:rPr>
        <w:t>Management &amp; Marketing</w:t>
      </w:r>
      <w:r w:rsidRPr="00C73D83">
        <w:rPr>
          <w:sz w:val="24"/>
          <w:szCs w:val="24"/>
        </w:rPr>
        <w:t xml:space="preserve">, </w:t>
      </w:r>
      <w:r w:rsidRPr="00C73D83">
        <w:rPr>
          <w:i/>
          <w:iCs/>
          <w:sz w:val="24"/>
          <w:szCs w:val="24"/>
        </w:rPr>
        <w:t>21</w:t>
      </w:r>
      <w:r w:rsidRPr="00C73D83">
        <w:rPr>
          <w:sz w:val="24"/>
          <w:szCs w:val="24"/>
        </w:rPr>
        <w:t xml:space="preserve">(1), 7. https://doi.org/10.52846/mnmk.21.1.01 </w:t>
      </w:r>
      <w:bookmarkEnd w:id="35"/>
    </w:p>
    <w:p w14:paraId="3F237986" w14:textId="77777777" w:rsidR="001E42B8" w:rsidRPr="00C73D83" w:rsidRDefault="001E42B8" w:rsidP="001E42B8">
      <w:pPr>
        <w:pStyle w:val="JenniRefBody"/>
        <w:spacing w:line="360" w:lineRule="auto"/>
        <w:jc w:val="both"/>
        <w:rPr>
          <w:sz w:val="24"/>
          <w:szCs w:val="24"/>
        </w:rPr>
      </w:pPr>
      <w:bookmarkStart w:id="36" w:name="5131b9ae724995fc1199cbd9fcf4d95b"/>
      <w:r w:rsidRPr="00C73D83">
        <w:rPr>
          <w:sz w:val="24"/>
          <w:szCs w:val="24"/>
          <w:lang w:val="de-DE"/>
        </w:rPr>
        <w:t xml:space="preserve">Kandil, O., Dessart, L., Standaert, W., &amp; Bosma, M. (2024). </w:t>
      </w:r>
      <w:r w:rsidRPr="00C73D83">
        <w:rPr>
          <w:sz w:val="24"/>
          <w:szCs w:val="24"/>
        </w:rPr>
        <w:t xml:space="preserve">A Framework to Improve the Digital Customer Experience in Complex Services. </w:t>
      </w:r>
      <w:r w:rsidRPr="00C73D83">
        <w:rPr>
          <w:i/>
          <w:iCs/>
          <w:sz w:val="24"/>
          <w:szCs w:val="24"/>
        </w:rPr>
        <w:t>Services Marketing Quarterly</w:t>
      </w:r>
      <w:r w:rsidRPr="00C73D83">
        <w:rPr>
          <w:sz w:val="24"/>
          <w:szCs w:val="24"/>
        </w:rPr>
        <w:t xml:space="preserve">, </w:t>
      </w:r>
      <w:r w:rsidRPr="00C73D83">
        <w:rPr>
          <w:i/>
          <w:iCs/>
          <w:sz w:val="24"/>
          <w:szCs w:val="24"/>
        </w:rPr>
        <w:t>45</w:t>
      </w:r>
      <w:r w:rsidRPr="00C73D83">
        <w:rPr>
          <w:sz w:val="24"/>
          <w:szCs w:val="24"/>
        </w:rPr>
        <w:t xml:space="preserve">(1), 25. https://doi.org/10.1080/15332969.2023.2294235 </w:t>
      </w:r>
      <w:bookmarkEnd w:id="36"/>
    </w:p>
    <w:p w14:paraId="4EF9CE50" w14:textId="77777777" w:rsidR="001E42B8" w:rsidRPr="00C73D83" w:rsidRDefault="001E42B8" w:rsidP="001E42B8">
      <w:pPr>
        <w:pStyle w:val="JenniRefBody"/>
        <w:spacing w:line="360" w:lineRule="auto"/>
        <w:jc w:val="both"/>
        <w:rPr>
          <w:sz w:val="24"/>
          <w:szCs w:val="24"/>
        </w:rPr>
      </w:pPr>
      <w:bookmarkStart w:id="37" w:name="6b4905c2a1826c04ecb1a9534030eee0"/>
      <w:r w:rsidRPr="00C73D83">
        <w:rPr>
          <w:sz w:val="24"/>
          <w:szCs w:val="24"/>
          <w:lang w:val="de-DE"/>
        </w:rPr>
        <w:t xml:space="preserve">Kim, S. H., &amp; Yang, Y.-J. (2025). </w:t>
      </w:r>
      <w:r w:rsidRPr="00C73D83">
        <w:rPr>
          <w:sz w:val="24"/>
          <w:szCs w:val="24"/>
        </w:rPr>
        <w:t xml:space="preserve">The Effect of Digital Quality on Customer Satisfaction and Brand Loyalty Under Environmental Uncertainty: Evidence from the Banking Industry. </w:t>
      </w:r>
      <w:r w:rsidRPr="00C73D83">
        <w:rPr>
          <w:i/>
          <w:iCs/>
          <w:sz w:val="24"/>
          <w:szCs w:val="24"/>
        </w:rPr>
        <w:t>Sustainability</w:t>
      </w:r>
      <w:r w:rsidRPr="00C73D83">
        <w:rPr>
          <w:sz w:val="24"/>
          <w:szCs w:val="24"/>
        </w:rPr>
        <w:t xml:space="preserve">, </w:t>
      </w:r>
      <w:r w:rsidRPr="00C73D83">
        <w:rPr>
          <w:i/>
          <w:iCs/>
          <w:sz w:val="24"/>
          <w:szCs w:val="24"/>
        </w:rPr>
        <w:t>17</w:t>
      </w:r>
      <w:r w:rsidRPr="00C73D83">
        <w:rPr>
          <w:sz w:val="24"/>
          <w:szCs w:val="24"/>
        </w:rPr>
        <w:t xml:space="preserve">(8), 3500. https://doi.org/10.3390/su17083500 </w:t>
      </w:r>
      <w:bookmarkEnd w:id="37"/>
    </w:p>
    <w:p w14:paraId="606CBB96" w14:textId="77777777" w:rsidR="001E42B8" w:rsidRPr="00C73D83" w:rsidRDefault="001E42B8" w:rsidP="001E42B8">
      <w:pPr>
        <w:pStyle w:val="JenniRefBody"/>
        <w:spacing w:line="360" w:lineRule="auto"/>
        <w:jc w:val="both"/>
        <w:rPr>
          <w:sz w:val="24"/>
          <w:szCs w:val="24"/>
        </w:rPr>
      </w:pPr>
      <w:bookmarkStart w:id="38" w:name="550fe1960a351a44796d194ccfdbb483"/>
      <w:r w:rsidRPr="00C73D83">
        <w:rPr>
          <w:sz w:val="24"/>
          <w:szCs w:val="24"/>
          <w:lang w:val="de-DE"/>
        </w:rPr>
        <w:t xml:space="preserve">Komunda, M. B., &amp; Osarenkhoe, A. (2023). </w:t>
      </w:r>
      <w:r w:rsidRPr="00C73D83">
        <w:rPr>
          <w:sz w:val="24"/>
          <w:szCs w:val="24"/>
        </w:rPr>
        <w:t xml:space="preserve">Can Efficacious Service Recovery Enable Retention of Complaint-Averse Savvy Customers? </w:t>
      </w:r>
      <w:r w:rsidRPr="00C73D83">
        <w:rPr>
          <w:i/>
          <w:iCs/>
          <w:sz w:val="24"/>
          <w:szCs w:val="24"/>
        </w:rPr>
        <w:t>Journal of Service Science and Management</w:t>
      </w:r>
      <w:r w:rsidRPr="00C73D83">
        <w:rPr>
          <w:sz w:val="24"/>
          <w:szCs w:val="24"/>
        </w:rPr>
        <w:t xml:space="preserve">, </w:t>
      </w:r>
      <w:r w:rsidRPr="00C73D83">
        <w:rPr>
          <w:i/>
          <w:iCs/>
          <w:sz w:val="24"/>
          <w:szCs w:val="24"/>
        </w:rPr>
        <w:t>16</w:t>
      </w:r>
      <w:r w:rsidRPr="00C73D83">
        <w:rPr>
          <w:sz w:val="24"/>
          <w:szCs w:val="24"/>
        </w:rPr>
        <w:t xml:space="preserve">(6), 670. https://doi.org/10.4236/jssm.2023.166036 </w:t>
      </w:r>
      <w:bookmarkEnd w:id="38"/>
    </w:p>
    <w:p w14:paraId="4665523E" w14:textId="77777777" w:rsidR="001E42B8" w:rsidRPr="00C73D83" w:rsidRDefault="001E42B8" w:rsidP="001E42B8">
      <w:pPr>
        <w:pStyle w:val="JenniRefBody"/>
        <w:spacing w:line="360" w:lineRule="auto"/>
        <w:jc w:val="both"/>
        <w:rPr>
          <w:sz w:val="24"/>
          <w:szCs w:val="24"/>
        </w:rPr>
      </w:pPr>
      <w:bookmarkStart w:id="39" w:name="a28da83d67eaf1ff9d5c23897dee8d3c"/>
      <w:r w:rsidRPr="00C73D83">
        <w:rPr>
          <w:sz w:val="24"/>
          <w:szCs w:val="24"/>
        </w:rPr>
        <w:t xml:space="preserve">Leal, M. J. M., Ustrell-Torrent, J., &amp; Ferrari, M. (2022). Analysis of the psychometric properties of a banking instrument applied to the health sector. </w:t>
      </w:r>
      <w:r w:rsidRPr="00C73D83">
        <w:rPr>
          <w:i/>
          <w:iCs/>
          <w:sz w:val="24"/>
          <w:szCs w:val="24"/>
        </w:rPr>
        <w:t>Journal of Clinical and Experimental Dentistry</w:t>
      </w:r>
      <w:r w:rsidRPr="00C73D83">
        <w:rPr>
          <w:sz w:val="24"/>
          <w:szCs w:val="24"/>
        </w:rPr>
        <w:t xml:space="preserve">. https://doi.org/10.4317/jced.59840 </w:t>
      </w:r>
      <w:bookmarkEnd w:id="39"/>
    </w:p>
    <w:p w14:paraId="3810EBD1" w14:textId="77777777" w:rsidR="001E42B8" w:rsidRPr="00C73D83" w:rsidRDefault="001E42B8" w:rsidP="001E42B8">
      <w:pPr>
        <w:pStyle w:val="JenniRefBody"/>
        <w:spacing w:line="360" w:lineRule="auto"/>
        <w:jc w:val="both"/>
        <w:rPr>
          <w:sz w:val="24"/>
          <w:szCs w:val="24"/>
        </w:rPr>
      </w:pPr>
      <w:bookmarkStart w:id="40" w:name="a831f5a7cbbfa74a3e2b9ecd9be724df"/>
      <w:r w:rsidRPr="00C73D83">
        <w:rPr>
          <w:sz w:val="24"/>
          <w:szCs w:val="24"/>
          <w:lang w:val="de-DE"/>
        </w:rPr>
        <w:t xml:space="preserve">Lemon, K. N., &amp; Verhoef, P. C. (2016). </w:t>
      </w:r>
      <w:r w:rsidRPr="00C73D83">
        <w:rPr>
          <w:sz w:val="24"/>
          <w:szCs w:val="24"/>
        </w:rPr>
        <w:t xml:space="preserve">Understanding Customer Experience Throughout the Customer Journey. </w:t>
      </w:r>
      <w:r w:rsidRPr="00C73D83">
        <w:rPr>
          <w:i/>
          <w:iCs/>
          <w:sz w:val="24"/>
          <w:szCs w:val="24"/>
        </w:rPr>
        <w:t>Journal of Marketing</w:t>
      </w:r>
      <w:r w:rsidRPr="00C73D83">
        <w:rPr>
          <w:sz w:val="24"/>
          <w:szCs w:val="24"/>
        </w:rPr>
        <w:t xml:space="preserve">, </w:t>
      </w:r>
      <w:r w:rsidRPr="00C73D83">
        <w:rPr>
          <w:i/>
          <w:iCs/>
          <w:sz w:val="24"/>
          <w:szCs w:val="24"/>
        </w:rPr>
        <w:t>80</w:t>
      </w:r>
      <w:r w:rsidRPr="00C73D83">
        <w:rPr>
          <w:sz w:val="24"/>
          <w:szCs w:val="24"/>
        </w:rPr>
        <w:t xml:space="preserve">(6), 69. https://doi.org/10.1509/jm.15.0420 </w:t>
      </w:r>
      <w:bookmarkEnd w:id="40"/>
    </w:p>
    <w:p w14:paraId="7C337BDA" w14:textId="77777777" w:rsidR="001E42B8" w:rsidRPr="00C73D83" w:rsidRDefault="001E42B8" w:rsidP="001E42B8">
      <w:pPr>
        <w:pStyle w:val="JenniRefBody"/>
        <w:spacing w:line="360" w:lineRule="auto"/>
        <w:jc w:val="both"/>
        <w:rPr>
          <w:sz w:val="24"/>
          <w:szCs w:val="24"/>
        </w:rPr>
      </w:pPr>
      <w:bookmarkStart w:id="41" w:name="81800df51906f974cef96dad9aec7873"/>
      <w:r w:rsidRPr="00C73D83">
        <w:rPr>
          <w:sz w:val="24"/>
          <w:szCs w:val="24"/>
        </w:rPr>
        <w:t xml:space="preserve">Liana, P. J., Jaensson, J., &amp; Mmari, G. (2023). Service quality dimensions as predictors of customer loyalty in mobile payment services: moderating effect of gender. </w:t>
      </w:r>
      <w:r w:rsidRPr="00C73D83">
        <w:rPr>
          <w:i/>
          <w:iCs/>
          <w:sz w:val="24"/>
          <w:szCs w:val="24"/>
        </w:rPr>
        <w:t>Future Business Journal</w:t>
      </w:r>
      <w:r w:rsidRPr="00C73D83">
        <w:rPr>
          <w:sz w:val="24"/>
          <w:szCs w:val="24"/>
        </w:rPr>
        <w:t xml:space="preserve">, </w:t>
      </w:r>
      <w:r w:rsidRPr="00C73D83">
        <w:rPr>
          <w:i/>
          <w:iCs/>
          <w:sz w:val="24"/>
          <w:szCs w:val="24"/>
        </w:rPr>
        <w:t>9</w:t>
      </w:r>
      <w:r w:rsidRPr="00C73D83">
        <w:rPr>
          <w:sz w:val="24"/>
          <w:szCs w:val="24"/>
        </w:rPr>
        <w:t xml:space="preserve">(1). https://doi.org/10.1186/s43093-023-00277-2 </w:t>
      </w:r>
      <w:bookmarkEnd w:id="41"/>
    </w:p>
    <w:p w14:paraId="5E234C9C" w14:textId="77777777" w:rsidR="001E42B8" w:rsidRPr="00C73D83" w:rsidRDefault="001E42B8" w:rsidP="001E42B8">
      <w:pPr>
        <w:pStyle w:val="JenniRefBody"/>
        <w:spacing w:line="360" w:lineRule="auto"/>
        <w:jc w:val="both"/>
        <w:rPr>
          <w:sz w:val="24"/>
          <w:szCs w:val="24"/>
        </w:rPr>
      </w:pPr>
      <w:bookmarkStart w:id="42" w:name="ced70c93889b359b38f05ae0a2bd605f"/>
      <w:r w:rsidRPr="00C73D83">
        <w:rPr>
          <w:sz w:val="24"/>
          <w:szCs w:val="24"/>
        </w:rPr>
        <w:t xml:space="preserve">Lionello, R. L., Slongo, L. A., &amp; Matos, C. A. de. (2020). Electronic service quality: a meta-analysis. </w:t>
      </w:r>
      <w:r w:rsidRPr="00C73D83">
        <w:rPr>
          <w:i/>
          <w:iCs/>
          <w:sz w:val="24"/>
          <w:szCs w:val="24"/>
        </w:rPr>
        <w:t>Marketing Intelligence &amp; Planning</w:t>
      </w:r>
      <w:r w:rsidRPr="00C73D83">
        <w:rPr>
          <w:sz w:val="24"/>
          <w:szCs w:val="24"/>
        </w:rPr>
        <w:t xml:space="preserve">, </w:t>
      </w:r>
      <w:r w:rsidRPr="00C73D83">
        <w:rPr>
          <w:i/>
          <w:iCs/>
          <w:sz w:val="24"/>
          <w:szCs w:val="24"/>
        </w:rPr>
        <w:t>38</w:t>
      </w:r>
      <w:r w:rsidRPr="00C73D83">
        <w:rPr>
          <w:sz w:val="24"/>
          <w:szCs w:val="24"/>
        </w:rPr>
        <w:t xml:space="preserve">(5), 619. https://doi.org/10.1108/mip-06-2019-0340 </w:t>
      </w:r>
      <w:bookmarkEnd w:id="42"/>
    </w:p>
    <w:p w14:paraId="0B3EE49A" w14:textId="77777777" w:rsidR="001E42B8" w:rsidRPr="00C73D83" w:rsidRDefault="001E42B8" w:rsidP="001E42B8">
      <w:pPr>
        <w:pStyle w:val="JenniRefBody"/>
        <w:spacing w:line="360" w:lineRule="auto"/>
        <w:jc w:val="both"/>
        <w:rPr>
          <w:sz w:val="24"/>
          <w:szCs w:val="24"/>
        </w:rPr>
      </w:pPr>
      <w:bookmarkStart w:id="43" w:name="5caf2351df466d2f2fd727cb56d046ca"/>
      <w:r w:rsidRPr="00C73D83">
        <w:rPr>
          <w:sz w:val="24"/>
          <w:szCs w:val="24"/>
        </w:rPr>
        <w:t xml:space="preserve">Makudza, F. (2020). Augmenting customer loyalty through customer experience management in the banking industry. </w:t>
      </w:r>
      <w:r w:rsidRPr="00C73D83">
        <w:rPr>
          <w:i/>
          <w:iCs/>
          <w:sz w:val="24"/>
          <w:szCs w:val="24"/>
        </w:rPr>
        <w:t>Journal of Asian Business and Economic Studies</w:t>
      </w:r>
      <w:r w:rsidRPr="00C73D83">
        <w:rPr>
          <w:sz w:val="24"/>
          <w:szCs w:val="24"/>
        </w:rPr>
        <w:t xml:space="preserve">. https://doi.org/10.1108/jabes-01-2020-0007 </w:t>
      </w:r>
      <w:bookmarkEnd w:id="43"/>
    </w:p>
    <w:p w14:paraId="06D498F4" w14:textId="77777777" w:rsidR="001E42B8" w:rsidRPr="00C73D83" w:rsidRDefault="001E42B8" w:rsidP="001E42B8">
      <w:pPr>
        <w:pStyle w:val="JenniRefBody"/>
        <w:spacing w:line="360" w:lineRule="auto"/>
        <w:jc w:val="both"/>
        <w:rPr>
          <w:sz w:val="24"/>
          <w:szCs w:val="24"/>
        </w:rPr>
      </w:pPr>
      <w:bookmarkStart w:id="44" w:name="1aa69db0eb653775f5b527c9fd44890c"/>
      <w:r w:rsidRPr="00C73D83">
        <w:rPr>
          <w:sz w:val="24"/>
          <w:szCs w:val="24"/>
        </w:rPr>
        <w:t xml:space="preserve">Mbama, C. I. (2018). </w:t>
      </w:r>
      <w:r w:rsidRPr="00C73D83">
        <w:rPr>
          <w:i/>
          <w:iCs/>
          <w:sz w:val="24"/>
          <w:szCs w:val="24"/>
        </w:rPr>
        <w:t>Digital banking services, customer experience and financial performance in UK banks</w:t>
      </w:r>
      <w:r w:rsidRPr="00C73D83">
        <w:rPr>
          <w:sz w:val="24"/>
          <w:szCs w:val="24"/>
        </w:rPr>
        <w:t xml:space="preserve">. https://doi.org/10.7190/shu-thesis-00112 </w:t>
      </w:r>
      <w:bookmarkEnd w:id="44"/>
    </w:p>
    <w:p w14:paraId="24FC742D" w14:textId="77777777" w:rsidR="001E42B8" w:rsidRPr="00C73D83" w:rsidRDefault="001E42B8" w:rsidP="001E42B8">
      <w:pPr>
        <w:pStyle w:val="JenniRefBody"/>
        <w:spacing w:line="360" w:lineRule="auto"/>
        <w:jc w:val="both"/>
        <w:rPr>
          <w:sz w:val="24"/>
          <w:szCs w:val="24"/>
        </w:rPr>
      </w:pPr>
      <w:bookmarkStart w:id="45" w:name="0d0ccc03b2e0c1a3eefa60d009faa940"/>
      <w:r w:rsidRPr="00C73D83">
        <w:rPr>
          <w:sz w:val="24"/>
          <w:szCs w:val="24"/>
        </w:rPr>
        <w:lastRenderedPageBreak/>
        <w:t xml:space="preserve">Mbama, C. I., Ezepue, P. O., Alboul, L., &amp; Beer, M. (2018). Digital banking, customer experience and financial performance. </w:t>
      </w:r>
      <w:r w:rsidRPr="00C73D83">
        <w:rPr>
          <w:i/>
          <w:iCs/>
          <w:sz w:val="24"/>
          <w:szCs w:val="24"/>
        </w:rPr>
        <w:t>Journal of Research in Interactive Marketing</w:t>
      </w:r>
      <w:r w:rsidRPr="00C73D83">
        <w:rPr>
          <w:sz w:val="24"/>
          <w:szCs w:val="24"/>
        </w:rPr>
        <w:t xml:space="preserve">, </w:t>
      </w:r>
      <w:r w:rsidRPr="00C73D83">
        <w:rPr>
          <w:i/>
          <w:iCs/>
          <w:sz w:val="24"/>
          <w:szCs w:val="24"/>
        </w:rPr>
        <w:t>12</w:t>
      </w:r>
      <w:r w:rsidRPr="00C73D83">
        <w:rPr>
          <w:sz w:val="24"/>
          <w:szCs w:val="24"/>
        </w:rPr>
        <w:t xml:space="preserve">(4), 432. https://doi.org/10.1108/jrim-01-2018-0026 </w:t>
      </w:r>
      <w:bookmarkEnd w:id="45"/>
    </w:p>
    <w:p w14:paraId="0401AA48" w14:textId="04B4F640" w:rsidR="001E42B8" w:rsidRPr="00C73D83" w:rsidRDefault="001E42B8" w:rsidP="001E42B8">
      <w:pPr>
        <w:pStyle w:val="JenniRefBody"/>
        <w:spacing w:line="360" w:lineRule="auto"/>
        <w:jc w:val="both"/>
        <w:rPr>
          <w:sz w:val="24"/>
          <w:szCs w:val="24"/>
        </w:rPr>
      </w:pPr>
      <w:bookmarkStart w:id="46" w:name="4d599e75a4a3c7f71e57c1afbb970465"/>
      <w:r w:rsidRPr="00C73D83">
        <w:rPr>
          <w:sz w:val="24"/>
          <w:szCs w:val="24"/>
          <w:lang w:val="de-DE"/>
        </w:rPr>
        <w:t xml:space="preserve">Müller, A., Demaeght, A., Greschuchna, L., &amp; Reiter, J. (2024). </w:t>
      </w:r>
      <w:r w:rsidRPr="00C73D83">
        <w:rPr>
          <w:sz w:val="24"/>
          <w:szCs w:val="24"/>
        </w:rPr>
        <w:t xml:space="preserve">Digital Transformation in Banking–How Do Customers Assess the Quality of Digital Banking Services? In </w:t>
      </w:r>
      <w:r w:rsidRPr="00C73D83">
        <w:rPr>
          <w:i/>
          <w:iCs/>
          <w:sz w:val="24"/>
          <w:szCs w:val="24"/>
        </w:rPr>
        <w:t>Lecture Notes in Computer Science</w:t>
      </w:r>
      <w:r w:rsidRPr="00C73D83">
        <w:rPr>
          <w:sz w:val="24"/>
          <w:szCs w:val="24"/>
        </w:rPr>
        <w:t xml:space="preserve"> (p. 209). Springer </w:t>
      </w:r>
      <w:r w:rsidR="00427FF5" w:rsidRPr="00C73D83">
        <w:rPr>
          <w:sz w:val="24"/>
          <w:szCs w:val="24"/>
        </w:rPr>
        <w:t>Science Business</w:t>
      </w:r>
      <w:r w:rsidRPr="00C73D83">
        <w:rPr>
          <w:sz w:val="24"/>
          <w:szCs w:val="24"/>
        </w:rPr>
        <w:t xml:space="preserve"> Media. https://doi.org/10.1007/978-3-031-61318-0_15 </w:t>
      </w:r>
      <w:bookmarkEnd w:id="46"/>
    </w:p>
    <w:p w14:paraId="4EEE4E05" w14:textId="77777777" w:rsidR="001E42B8" w:rsidRPr="00C73D83" w:rsidRDefault="001E42B8" w:rsidP="001E42B8">
      <w:pPr>
        <w:pStyle w:val="JenniRefBody"/>
        <w:spacing w:line="360" w:lineRule="auto"/>
        <w:jc w:val="both"/>
        <w:rPr>
          <w:sz w:val="24"/>
          <w:szCs w:val="24"/>
        </w:rPr>
      </w:pPr>
      <w:bookmarkStart w:id="47" w:name="c818393881f5e15cf9ec707a8e625c07"/>
      <w:r w:rsidRPr="00C73D83">
        <w:rPr>
          <w:sz w:val="24"/>
          <w:szCs w:val="24"/>
        </w:rPr>
        <w:t xml:space="preserve">Nørfelt, A., Köck, F., Josiassen, A., Conduit, J., Plewa, C., &amp; Wilkie, D. (2018). Conceptualisation and Empirical Validation of Tourist Xenophilia. </w:t>
      </w:r>
      <w:r w:rsidRPr="00C73D83">
        <w:rPr>
          <w:i/>
          <w:iCs/>
          <w:sz w:val="24"/>
          <w:szCs w:val="24"/>
        </w:rPr>
        <w:t>Research Portal Denmark</w:t>
      </w:r>
      <w:r w:rsidRPr="00C73D83">
        <w:rPr>
          <w:sz w:val="24"/>
          <w:szCs w:val="24"/>
        </w:rPr>
        <w:t xml:space="preserve">, 185. https://local.forskningsportal.dk/local/dki-cgi/ws/cris-link?src=cbs&amp;id=cbs-5b3475cd-bebf-42ef-ae0d-02a0b1bb9bb4&amp;ti=Conceptualization%20and%20Empirical%20Validation%20of%20Tourist%20Xenophilia </w:t>
      </w:r>
      <w:bookmarkEnd w:id="47"/>
    </w:p>
    <w:p w14:paraId="2733E2B2" w14:textId="77777777" w:rsidR="001E42B8" w:rsidRPr="00C73D83" w:rsidRDefault="001E42B8" w:rsidP="001E42B8">
      <w:pPr>
        <w:pStyle w:val="JenniRefBody"/>
        <w:spacing w:line="360" w:lineRule="auto"/>
        <w:jc w:val="both"/>
        <w:rPr>
          <w:sz w:val="24"/>
          <w:szCs w:val="24"/>
        </w:rPr>
      </w:pPr>
      <w:bookmarkStart w:id="48" w:name="a3cd6d334bf963802af7201392de5469"/>
      <w:r w:rsidRPr="00C73D83">
        <w:rPr>
          <w:sz w:val="24"/>
          <w:szCs w:val="24"/>
        </w:rPr>
        <w:t xml:space="preserve">Ofodile, O. C., Odeyemi, O., Okoye, C. C., Addy, W. A., Oyewole, A. T., Adeoye, O. B., &amp; Ololade, Y. J. (2024). DIGITAL BANKING REGULATIONS: A COMPARATIVE REVIEW BETWEEN NIGERIA AND THE USA [Review of </w:t>
      </w:r>
      <w:r w:rsidRPr="00C73D83">
        <w:rPr>
          <w:i/>
          <w:iCs/>
          <w:sz w:val="24"/>
          <w:szCs w:val="24"/>
        </w:rPr>
        <w:t>DIGITAL BANKING REGULATIONS: A COMPARATIVE REVIEW BETWEEN NIGERIA AND THE USA</w:t>
      </w:r>
      <w:r w:rsidRPr="00C73D83">
        <w:rPr>
          <w:sz w:val="24"/>
          <w:szCs w:val="24"/>
        </w:rPr>
        <w:t xml:space="preserve">]. </w:t>
      </w:r>
      <w:r w:rsidRPr="00C73D83">
        <w:rPr>
          <w:i/>
          <w:iCs/>
          <w:sz w:val="24"/>
          <w:szCs w:val="24"/>
        </w:rPr>
        <w:t>Finance &amp; Accounting Research Journal</w:t>
      </w:r>
      <w:r w:rsidRPr="00C73D83">
        <w:rPr>
          <w:sz w:val="24"/>
          <w:szCs w:val="24"/>
        </w:rPr>
        <w:t xml:space="preserve">, </w:t>
      </w:r>
      <w:r w:rsidRPr="00C73D83">
        <w:rPr>
          <w:i/>
          <w:iCs/>
          <w:sz w:val="24"/>
          <w:szCs w:val="24"/>
        </w:rPr>
        <w:t>6</w:t>
      </w:r>
      <w:r w:rsidRPr="00C73D83">
        <w:rPr>
          <w:sz w:val="24"/>
          <w:szCs w:val="24"/>
        </w:rPr>
        <w:t xml:space="preserve">(3), 347. Fair East Publishers. https://doi.org/10.51594/farj.v6i3.897 </w:t>
      </w:r>
      <w:bookmarkEnd w:id="48"/>
    </w:p>
    <w:p w14:paraId="0C8C8814" w14:textId="77777777" w:rsidR="001E42B8" w:rsidRPr="00C73D83" w:rsidRDefault="001E42B8" w:rsidP="001E42B8">
      <w:pPr>
        <w:pStyle w:val="JenniRefBody"/>
        <w:spacing w:line="360" w:lineRule="auto"/>
        <w:jc w:val="both"/>
        <w:rPr>
          <w:sz w:val="24"/>
          <w:szCs w:val="24"/>
        </w:rPr>
      </w:pPr>
      <w:bookmarkStart w:id="49" w:name="2480cd80b285b5b506ff9fba1d5ce2fd"/>
      <w:r w:rsidRPr="00C73D83">
        <w:rPr>
          <w:sz w:val="24"/>
          <w:szCs w:val="24"/>
        </w:rPr>
        <w:t xml:space="preserve">Omarini, A. (2018). Banks and Fintechs: How to Develop a Digital Open Banking Approach for the Bank’s Future. </w:t>
      </w:r>
      <w:r w:rsidRPr="00C73D83">
        <w:rPr>
          <w:i/>
          <w:iCs/>
          <w:sz w:val="24"/>
          <w:szCs w:val="24"/>
        </w:rPr>
        <w:t>International Business Research</w:t>
      </w:r>
      <w:r w:rsidRPr="00C73D83">
        <w:rPr>
          <w:sz w:val="24"/>
          <w:szCs w:val="24"/>
        </w:rPr>
        <w:t xml:space="preserve">, </w:t>
      </w:r>
      <w:r w:rsidRPr="00C73D83">
        <w:rPr>
          <w:i/>
          <w:iCs/>
          <w:sz w:val="24"/>
          <w:szCs w:val="24"/>
        </w:rPr>
        <w:t>11</w:t>
      </w:r>
      <w:r w:rsidRPr="00C73D83">
        <w:rPr>
          <w:sz w:val="24"/>
          <w:szCs w:val="24"/>
        </w:rPr>
        <w:t xml:space="preserve">(9), 23. https://doi.org/10.5539/ibr.v11n9p23 </w:t>
      </w:r>
      <w:bookmarkEnd w:id="49"/>
    </w:p>
    <w:p w14:paraId="064D30B3" w14:textId="77777777" w:rsidR="001E42B8" w:rsidRPr="00C73D83" w:rsidRDefault="001E42B8" w:rsidP="001E42B8">
      <w:pPr>
        <w:pStyle w:val="JenniRefBody"/>
        <w:spacing w:line="360" w:lineRule="auto"/>
        <w:jc w:val="both"/>
        <w:rPr>
          <w:sz w:val="24"/>
          <w:szCs w:val="24"/>
        </w:rPr>
      </w:pPr>
      <w:bookmarkStart w:id="50" w:name="4fe56cbf4c709fd02ce0267b9ba306cc"/>
      <w:r w:rsidRPr="00C73D83">
        <w:rPr>
          <w:sz w:val="24"/>
          <w:szCs w:val="24"/>
        </w:rPr>
        <w:t xml:space="preserve">Shabani, L., Behluli, A., Qerimi, F., Pula, F., &amp; Dalloshi, P. (2022). The Effect of Digitalisation on the Quality of Service and Customer Loyalty. </w:t>
      </w:r>
      <w:r w:rsidRPr="00C73D83">
        <w:rPr>
          <w:i/>
          <w:iCs/>
          <w:sz w:val="24"/>
          <w:szCs w:val="24"/>
        </w:rPr>
        <w:t>Emerging Science Journal</w:t>
      </w:r>
      <w:r w:rsidRPr="00C73D83">
        <w:rPr>
          <w:sz w:val="24"/>
          <w:szCs w:val="24"/>
        </w:rPr>
        <w:t xml:space="preserve">, </w:t>
      </w:r>
      <w:r w:rsidRPr="00C73D83">
        <w:rPr>
          <w:i/>
          <w:iCs/>
          <w:sz w:val="24"/>
          <w:szCs w:val="24"/>
        </w:rPr>
        <w:t>6</w:t>
      </w:r>
      <w:r w:rsidRPr="00C73D83">
        <w:rPr>
          <w:sz w:val="24"/>
          <w:szCs w:val="24"/>
        </w:rPr>
        <w:t xml:space="preserve">(6), 1274. https://doi.org/10.28991/esj-2022-06-06-04 </w:t>
      </w:r>
      <w:bookmarkEnd w:id="50"/>
    </w:p>
    <w:p w14:paraId="5A51F6CD" w14:textId="77777777" w:rsidR="001E42B8" w:rsidRPr="00C73D83" w:rsidRDefault="001E42B8" w:rsidP="001E42B8">
      <w:pPr>
        <w:pStyle w:val="JenniRefBody"/>
        <w:spacing w:line="360" w:lineRule="auto"/>
        <w:jc w:val="both"/>
        <w:rPr>
          <w:sz w:val="24"/>
          <w:szCs w:val="24"/>
        </w:rPr>
      </w:pPr>
      <w:bookmarkStart w:id="51" w:name="d372827a2fffc3ae45bfa99e7b3aeb99"/>
      <w:r w:rsidRPr="00C73D83">
        <w:rPr>
          <w:sz w:val="24"/>
          <w:szCs w:val="24"/>
          <w:lang w:val="de-DE"/>
        </w:rPr>
        <w:t xml:space="preserve">Shilton, K., Moss, E., Gilbert, S., Bietz, M. J., Fiesler, C., Metcalf, J., Vitak, J., &amp; Zimmer, M. (2021). </w:t>
      </w:r>
      <w:r w:rsidRPr="00C73D83">
        <w:rPr>
          <w:sz w:val="24"/>
          <w:szCs w:val="24"/>
        </w:rPr>
        <w:t xml:space="preserve">Excavating awareness and power in data science: A manifesto for trustworthy pervasive data research. </w:t>
      </w:r>
      <w:r w:rsidRPr="00C73D83">
        <w:rPr>
          <w:i/>
          <w:iCs/>
          <w:sz w:val="24"/>
          <w:szCs w:val="24"/>
        </w:rPr>
        <w:t>Big Data &amp; Society</w:t>
      </w:r>
      <w:r w:rsidRPr="00C73D83">
        <w:rPr>
          <w:sz w:val="24"/>
          <w:szCs w:val="24"/>
        </w:rPr>
        <w:t xml:space="preserve">, </w:t>
      </w:r>
      <w:r w:rsidRPr="00C73D83">
        <w:rPr>
          <w:i/>
          <w:iCs/>
          <w:sz w:val="24"/>
          <w:szCs w:val="24"/>
        </w:rPr>
        <w:t>8</w:t>
      </w:r>
      <w:r w:rsidRPr="00C73D83">
        <w:rPr>
          <w:sz w:val="24"/>
          <w:szCs w:val="24"/>
        </w:rPr>
        <w:t xml:space="preserve">(2). https://doi.org/10.1177/20539517211040759 </w:t>
      </w:r>
      <w:bookmarkEnd w:id="51"/>
    </w:p>
    <w:p w14:paraId="15760405" w14:textId="77777777" w:rsidR="001E42B8" w:rsidRPr="00C73D83" w:rsidRDefault="001E42B8" w:rsidP="001E42B8">
      <w:pPr>
        <w:pStyle w:val="JenniRefBody"/>
        <w:spacing w:line="360" w:lineRule="auto"/>
        <w:jc w:val="both"/>
        <w:rPr>
          <w:sz w:val="24"/>
          <w:szCs w:val="24"/>
        </w:rPr>
      </w:pPr>
      <w:bookmarkStart w:id="52" w:name="c9c0666f4febe1d3e069b6737df51182"/>
      <w:r w:rsidRPr="00C73D83">
        <w:rPr>
          <w:sz w:val="24"/>
          <w:szCs w:val="24"/>
        </w:rPr>
        <w:t xml:space="preserve">Sitnicka, S., Mursalov, M., Mammadov, H., Babaiev, D., &amp; Zhou, Y. (2025). Ethics, Institutions, Infrastructure, and Governance in AI National-Level Readiness: A Hidden Driver </w:t>
      </w:r>
      <w:r w:rsidRPr="00C73D83">
        <w:rPr>
          <w:sz w:val="24"/>
          <w:szCs w:val="24"/>
        </w:rPr>
        <w:lastRenderedPageBreak/>
        <w:t xml:space="preserve">of Banking Transformation. </w:t>
      </w:r>
      <w:r w:rsidRPr="00C73D83">
        <w:rPr>
          <w:i/>
          <w:iCs/>
          <w:sz w:val="24"/>
          <w:szCs w:val="24"/>
        </w:rPr>
        <w:t>Business Ethics and Leadership</w:t>
      </w:r>
      <w:r w:rsidRPr="00C73D83">
        <w:rPr>
          <w:sz w:val="24"/>
          <w:szCs w:val="24"/>
        </w:rPr>
        <w:t xml:space="preserve">, </w:t>
      </w:r>
      <w:r w:rsidRPr="00C73D83">
        <w:rPr>
          <w:i/>
          <w:iCs/>
          <w:sz w:val="24"/>
          <w:szCs w:val="24"/>
        </w:rPr>
        <w:t>9</w:t>
      </w:r>
      <w:r w:rsidRPr="00C73D83">
        <w:rPr>
          <w:sz w:val="24"/>
          <w:szCs w:val="24"/>
        </w:rPr>
        <w:t xml:space="preserve">(3), 290. https://doi.org/10.61093/bel.9(3).290-304.2025 </w:t>
      </w:r>
      <w:bookmarkEnd w:id="52"/>
    </w:p>
    <w:p w14:paraId="6B84FCB8" w14:textId="77777777" w:rsidR="001E42B8" w:rsidRPr="00C73D83" w:rsidRDefault="001E42B8" w:rsidP="001E42B8">
      <w:pPr>
        <w:pStyle w:val="JenniRefBody"/>
        <w:spacing w:line="360" w:lineRule="auto"/>
        <w:jc w:val="both"/>
        <w:rPr>
          <w:sz w:val="24"/>
          <w:szCs w:val="24"/>
        </w:rPr>
      </w:pPr>
      <w:bookmarkStart w:id="53" w:name="0bda49cc7dd56a9acaf73db266949f4a"/>
      <w:r w:rsidRPr="00C73D83">
        <w:rPr>
          <w:sz w:val="24"/>
          <w:szCs w:val="24"/>
        </w:rPr>
        <w:t xml:space="preserve">Sürücü, L., &amp; Maşlakçı, A. (2020). VALIDITY AND RELIABILITY IN QUANTITATIVE RESEARCH. </w:t>
      </w:r>
      <w:r w:rsidRPr="00C73D83">
        <w:rPr>
          <w:i/>
          <w:iCs/>
          <w:sz w:val="24"/>
          <w:szCs w:val="24"/>
        </w:rPr>
        <w:t>Business And Management Studies An International Journal</w:t>
      </w:r>
      <w:r w:rsidRPr="00C73D83">
        <w:rPr>
          <w:sz w:val="24"/>
          <w:szCs w:val="24"/>
        </w:rPr>
        <w:t xml:space="preserve">, </w:t>
      </w:r>
      <w:r w:rsidRPr="00C73D83">
        <w:rPr>
          <w:i/>
          <w:iCs/>
          <w:sz w:val="24"/>
          <w:szCs w:val="24"/>
        </w:rPr>
        <w:t>8</w:t>
      </w:r>
      <w:r w:rsidRPr="00C73D83">
        <w:rPr>
          <w:sz w:val="24"/>
          <w:szCs w:val="24"/>
        </w:rPr>
        <w:t xml:space="preserve">(3), 2694. https://doi.org/10.15295/bmij.v8i3.1540 </w:t>
      </w:r>
      <w:bookmarkEnd w:id="53"/>
    </w:p>
    <w:p w14:paraId="67E014EE" w14:textId="77777777" w:rsidR="001E42B8" w:rsidRPr="00C73D83" w:rsidRDefault="001E42B8" w:rsidP="001E42B8">
      <w:pPr>
        <w:pStyle w:val="JenniRefBody"/>
        <w:spacing w:line="360" w:lineRule="auto"/>
        <w:jc w:val="both"/>
        <w:rPr>
          <w:sz w:val="24"/>
          <w:szCs w:val="24"/>
        </w:rPr>
      </w:pPr>
      <w:bookmarkStart w:id="54" w:name="d88f6791351a987913da455dc6fc701a"/>
      <w:r w:rsidRPr="00C73D83">
        <w:rPr>
          <w:sz w:val="24"/>
          <w:szCs w:val="24"/>
        </w:rPr>
        <w:t xml:space="preserve">Tashtamirov, M. (2023). Financial Innovation and Digital Technology in the Banking System: An Institutional Perspective. </w:t>
      </w:r>
      <w:r w:rsidRPr="00C73D83">
        <w:rPr>
          <w:i/>
          <w:iCs/>
          <w:sz w:val="24"/>
          <w:szCs w:val="24"/>
        </w:rPr>
        <w:t>SHS Web of Conferences</w:t>
      </w:r>
      <w:r w:rsidRPr="00C73D83">
        <w:rPr>
          <w:sz w:val="24"/>
          <w:szCs w:val="24"/>
        </w:rPr>
        <w:t xml:space="preserve">, </w:t>
      </w:r>
      <w:r w:rsidRPr="00C73D83">
        <w:rPr>
          <w:i/>
          <w:iCs/>
          <w:sz w:val="24"/>
          <w:szCs w:val="24"/>
        </w:rPr>
        <w:t>172</w:t>
      </w:r>
      <w:r w:rsidRPr="00C73D83">
        <w:rPr>
          <w:sz w:val="24"/>
          <w:szCs w:val="24"/>
        </w:rPr>
        <w:t xml:space="preserve">, 2004. https://doi.org/10.1051/shsconf/202317202004 </w:t>
      </w:r>
      <w:bookmarkEnd w:id="54"/>
    </w:p>
    <w:p w14:paraId="1A8FD27E" w14:textId="77777777" w:rsidR="001E42B8" w:rsidRPr="00C73D83" w:rsidRDefault="001E42B8" w:rsidP="001E42B8">
      <w:pPr>
        <w:pStyle w:val="JenniRefBody"/>
        <w:spacing w:line="360" w:lineRule="auto"/>
        <w:jc w:val="both"/>
        <w:rPr>
          <w:sz w:val="24"/>
          <w:szCs w:val="24"/>
        </w:rPr>
      </w:pPr>
      <w:bookmarkStart w:id="55" w:name="55a91087d9ba9c53aba83425261d85ec"/>
      <w:r w:rsidRPr="00C73D83">
        <w:rPr>
          <w:sz w:val="24"/>
          <w:szCs w:val="24"/>
        </w:rPr>
        <w:t xml:space="preserve">Ungratwar, S., Sharma, D., &amp; Kumar, S. (2025). Mapping the digital banking landscape: a multi-dimensional exploration of fintech, digital payments, and e-wallets, with insights into current scenarios and future research. </w:t>
      </w:r>
      <w:r w:rsidRPr="00C73D83">
        <w:rPr>
          <w:i/>
          <w:iCs/>
          <w:sz w:val="24"/>
          <w:szCs w:val="24"/>
        </w:rPr>
        <w:t>Humanities and Social Sciences Communications</w:t>
      </w:r>
      <w:r w:rsidRPr="00C73D83">
        <w:rPr>
          <w:sz w:val="24"/>
          <w:szCs w:val="24"/>
        </w:rPr>
        <w:t xml:space="preserve">, </w:t>
      </w:r>
      <w:r w:rsidRPr="00C73D83">
        <w:rPr>
          <w:i/>
          <w:iCs/>
          <w:sz w:val="24"/>
          <w:szCs w:val="24"/>
        </w:rPr>
        <w:t>12</w:t>
      </w:r>
      <w:r w:rsidRPr="00C73D83">
        <w:rPr>
          <w:sz w:val="24"/>
          <w:szCs w:val="24"/>
        </w:rPr>
        <w:t xml:space="preserve">(1). https://doi.org/10.1057/s41599-025-05186-z </w:t>
      </w:r>
      <w:bookmarkEnd w:id="55"/>
    </w:p>
    <w:p w14:paraId="1A8AF20F" w14:textId="77777777" w:rsidR="001E42B8" w:rsidRPr="00C73D83" w:rsidRDefault="001E42B8" w:rsidP="001E42B8">
      <w:pPr>
        <w:pStyle w:val="JenniRefBody"/>
        <w:spacing w:line="360" w:lineRule="auto"/>
        <w:jc w:val="both"/>
        <w:rPr>
          <w:sz w:val="24"/>
          <w:szCs w:val="24"/>
        </w:rPr>
      </w:pPr>
      <w:bookmarkStart w:id="56" w:name="cb2347ae828e52c57364dc3f96148406"/>
      <w:r w:rsidRPr="00C73D83">
        <w:rPr>
          <w:sz w:val="24"/>
          <w:szCs w:val="24"/>
        </w:rPr>
        <w:t xml:space="preserve">Waluyo, A., Haq, F., Agustira, M. M., &amp; Heriyati, P. (2025). Driving Factors Influencing Customer Satisfaction in Digital Banking Service. </w:t>
      </w:r>
      <w:r w:rsidRPr="00C73D83">
        <w:rPr>
          <w:i/>
          <w:iCs/>
          <w:sz w:val="24"/>
          <w:szCs w:val="24"/>
        </w:rPr>
        <w:t>Journal of Economics and Business</w:t>
      </w:r>
      <w:r w:rsidRPr="00C73D83">
        <w:rPr>
          <w:sz w:val="24"/>
          <w:szCs w:val="24"/>
        </w:rPr>
        <w:t xml:space="preserve">, </w:t>
      </w:r>
      <w:r w:rsidRPr="00C73D83">
        <w:rPr>
          <w:i/>
          <w:iCs/>
          <w:sz w:val="24"/>
          <w:szCs w:val="24"/>
        </w:rPr>
        <w:t>8</w:t>
      </w:r>
      <w:r w:rsidRPr="00C73D83">
        <w:rPr>
          <w:sz w:val="24"/>
          <w:szCs w:val="24"/>
        </w:rPr>
        <w:t xml:space="preserve">(3). https://doi.org/10.31014/aior.1992.08.03.678 </w:t>
      </w:r>
      <w:bookmarkEnd w:id="56"/>
    </w:p>
    <w:p w14:paraId="5F74EB76" w14:textId="4CE842EA" w:rsidR="001E42B8" w:rsidRPr="00C73D83" w:rsidRDefault="001E42B8" w:rsidP="001E42B8">
      <w:pPr>
        <w:pStyle w:val="JenniRefBody"/>
        <w:spacing w:line="360" w:lineRule="auto"/>
        <w:jc w:val="both"/>
        <w:rPr>
          <w:sz w:val="24"/>
          <w:szCs w:val="24"/>
        </w:rPr>
      </w:pPr>
      <w:bookmarkStart w:id="57" w:name="2ab28aa022583055cdd50187e3ed0089"/>
      <w:r w:rsidRPr="00C73D83">
        <w:rPr>
          <w:sz w:val="24"/>
          <w:szCs w:val="24"/>
        </w:rPr>
        <w:t xml:space="preserve">Yawson, R. M. (2016). The importance of </w:t>
      </w:r>
      <w:r w:rsidR="00420A08" w:rsidRPr="00C73D83">
        <w:rPr>
          <w:sz w:val="24"/>
          <w:szCs w:val="24"/>
        </w:rPr>
        <w:t>multimethod</w:t>
      </w:r>
      <w:r w:rsidRPr="00C73D83">
        <w:rPr>
          <w:sz w:val="24"/>
          <w:szCs w:val="24"/>
        </w:rPr>
        <w:t xml:space="preserve"> and mixed methods research in understanding complexity in leadership. </w:t>
      </w:r>
      <w:r w:rsidRPr="00C73D83">
        <w:rPr>
          <w:i/>
          <w:iCs/>
          <w:sz w:val="24"/>
          <w:szCs w:val="24"/>
        </w:rPr>
        <w:t>International Journal of Complexity in Leadership and Management</w:t>
      </w:r>
      <w:r w:rsidRPr="00C73D83">
        <w:rPr>
          <w:sz w:val="24"/>
          <w:szCs w:val="24"/>
        </w:rPr>
        <w:t xml:space="preserve">, </w:t>
      </w:r>
      <w:r w:rsidRPr="00C73D83">
        <w:rPr>
          <w:i/>
          <w:iCs/>
          <w:sz w:val="24"/>
          <w:szCs w:val="24"/>
        </w:rPr>
        <w:t>3</w:t>
      </w:r>
      <w:r w:rsidRPr="00C73D83">
        <w:rPr>
          <w:sz w:val="24"/>
          <w:szCs w:val="24"/>
        </w:rPr>
        <w:t xml:space="preserve">(4), 261. https://doi.org/10.1504/ijclm.2016.087122 </w:t>
      </w:r>
      <w:bookmarkEnd w:id="57"/>
    </w:p>
    <w:p w14:paraId="2379E8AF" w14:textId="77777777" w:rsidR="001E42B8" w:rsidRDefault="001E42B8" w:rsidP="001E42B8">
      <w:pPr>
        <w:pStyle w:val="JenniRefBody"/>
        <w:spacing w:line="360" w:lineRule="auto"/>
        <w:jc w:val="both"/>
        <w:rPr>
          <w:sz w:val="24"/>
          <w:szCs w:val="24"/>
        </w:rPr>
      </w:pPr>
      <w:bookmarkStart w:id="58" w:name="1f05cde2980278c19db20ad1eccfece8"/>
      <w:r w:rsidRPr="00C73D83">
        <w:rPr>
          <w:sz w:val="24"/>
          <w:szCs w:val="24"/>
          <w:lang w:val="de-DE"/>
        </w:rPr>
        <w:t xml:space="preserve">Zietsman, M. L., Mostert, P., &amp; Svensson, G. (2023). </w:t>
      </w:r>
      <w:r w:rsidRPr="00C73D83">
        <w:rPr>
          <w:sz w:val="24"/>
          <w:szCs w:val="24"/>
        </w:rPr>
        <w:t xml:space="preserve">Precursors and Outcomes of Perceived Value in B2B Banking Services: A Nomological Framework. </w:t>
      </w:r>
      <w:r w:rsidRPr="00C73D83">
        <w:rPr>
          <w:i/>
          <w:iCs/>
          <w:sz w:val="24"/>
          <w:szCs w:val="24"/>
        </w:rPr>
        <w:t>Journal of Relationship Marketing</w:t>
      </w:r>
      <w:r w:rsidRPr="00C73D83">
        <w:rPr>
          <w:sz w:val="24"/>
          <w:szCs w:val="24"/>
        </w:rPr>
        <w:t xml:space="preserve">, </w:t>
      </w:r>
      <w:r w:rsidRPr="00C73D83">
        <w:rPr>
          <w:i/>
          <w:iCs/>
          <w:sz w:val="24"/>
          <w:szCs w:val="24"/>
        </w:rPr>
        <w:t>22</w:t>
      </w:r>
      <w:r w:rsidRPr="00C73D83">
        <w:rPr>
          <w:sz w:val="24"/>
          <w:szCs w:val="24"/>
        </w:rPr>
        <w:t xml:space="preserve">(4), 330. https://doi.org/10.1080/15332667.2023.2234812 </w:t>
      </w:r>
      <w:bookmarkEnd w:id="58"/>
    </w:p>
    <w:p w14:paraId="16E03ABF" w14:textId="77777777" w:rsidR="001E42B8" w:rsidRDefault="001E42B8" w:rsidP="001E42B8">
      <w:pPr>
        <w:spacing w:before="0" w:after="160" w:line="259" w:lineRule="auto"/>
        <w:rPr>
          <w:color w:val="000000"/>
          <w:sz w:val="24"/>
          <w:szCs w:val="24"/>
        </w:rPr>
      </w:pPr>
      <w:r>
        <w:rPr>
          <w:sz w:val="24"/>
          <w:szCs w:val="24"/>
        </w:rPr>
        <w:br w:type="page"/>
      </w:r>
    </w:p>
    <w:p w14:paraId="333A7B91" w14:textId="77777777" w:rsidR="001E42B8" w:rsidRDefault="001E42B8" w:rsidP="001E42B8">
      <w:pPr>
        <w:pStyle w:val="JenniRefBody"/>
        <w:spacing w:line="360" w:lineRule="auto"/>
        <w:jc w:val="both"/>
        <w:rPr>
          <w:sz w:val="24"/>
          <w:szCs w:val="24"/>
        </w:rPr>
        <w:sectPr w:rsidR="001E42B8" w:rsidSect="001E42B8">
          <w:footerReference w:type="default" r:id="rId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pPr>
    </w:p>
    <w:p w14:paraId="65A33CC5" w14:textId="77777777" w:rsidR="001E42B8" w:rsidRPr="00322DA0" w:rsidRDefault="001E42B8" w:rsidP="001E42B8">
      <w:pPr>
        <w:pStyle w:val="Heading1"/>
        <w:rPr>
          <w:rFonts w:ascii="Times New Roman" w:hAnsi="Times New Roman" w:cs="Times New Roman"/>
        </w:rPr>
      </w:pPr>
      <w:bookmarkStart w:id="59" w:name="_Toc217578234"/>
      <w:r w:rsidRPr="00322DA0">
        <w:rPr>
          <w:rFonts w:ascii="Times New Roman" w:hAnsi="Times New Roman" w:cs="Times New Roman"/>
        </w:rPr>
        <w:lastRenderedPageBreak/>
        <w:t>8. Appendix</w:t>
      </w:r>
      <w:bookmarkEnd w:id="59"/>
    </w:p>
    <w:p w14:paraId="425F3C44" w14:textId="77777777" w:rsidR="001E42B8" w:rsidRPr="00322DA0" w:rsidRDefault="001E42B8" w:rsidP="001E42B8">
      <w:pPr>
        <w:pStyle w:val="JenniRefBody"/>
        <w:spacing w:line="360" w:lineRule="auto"/>
        <w:jc w:val="both"/>
        <w:rPr>
          <w:b/>
          <w:bCs/>
          <w:sz w:val="24"/>
          <w:szCs w:val="24"/>
        </w:rPr>
      </w:pPr>
      <w:r w:rsidRPr="00322DA0">
        <w:rPr>
          <w:b/>
          <w:bCs/>
          <w:sz w:val="24"/>
          <w:szCs w:val="24"/>
        </w:rPr>
        <w:t>Literature Matrix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5"/>
        <w:gridCol w:w="418"/>
        <w:gridCol w:w="1423"/>
        <w:gridCol w:w="1183"/>
        <w:gridCol w:w="1563"/>
        <w:gridCol w:w="1297"/>
        <w:gridCol w:w="1154"/>
        <w:gridCol w:w="1477"/>
        <w:gridCol w:w="1486"/>
        <w:gridCol w:w="1740"/>
        <w:gridCol w:w="1242"/>
      </w:tblGrid>
      <w:tr w:rsidR="006A3E9B" w:rsidRPr="00322DA0" w14:paraId="15428EAE" w14:textId="77777777" w:rsidTr="009646FF">
        <w:trPr>
          <w:tblHeader/>
          <w:tblCellSpacing w:w="15" w:type="dxa"/>
        </w:trPr>
        <w:tc>
          <w:tcPr>
            <w:tcW w:w="0" w:type="auto"/>
            <w:vAlign w:val="center"/>
            <w:hideMark/>
          </w:tcPr>
          <w:p w14:paraId="5A97C95A" w14:textId="77777777" w:rsidR="001E42B8" w:rsidRPr="00322DA0" w:rsidRDefault="001E42B8" w:rsidP="009646FF">
            <w:pPr>
              <w:pStyle w:val="JenniRefBody"/>
              <w:spacing w:line="360" w:lineRule="auto"/>
              <w:jc w:val="both"/>
              <w:rPr>
                <w:b/>
                <w:bCs/>
                <w:sz w:val="16"/>
                <w:szCs w:val="16"/>
              </w:rPr>
            </w:pPr>
            <w:r w:rsidRPr="00322DA0">
              <w:rPr>
                <w:b/>
                <w:bCs/>
                <w:sz w:val="16"/>
                <w:szCs w:val="16"/>
              </w:rPr>
              <w:t>Author(s)</w:t>
            </w:r>
          </w:p>
        </w:tc>
        <w:tc>
          <w:tcPr>
            <w:tcW w:w="0" w:type="auto"/>
            <w:vAlign w:val="center"/>
            <w:hideMark/>
          </w:tcPr>
          <w:p w14:paraId="0C147AEF" w14:textId="77777777" w:rsidR="001E42B8" w:rsidRPr="00322DA0" w:rsidRDefault="001E42B8" w:rsidP="009646FF">
            <w:pPr>
              <w:pStyle w:val="JenniRefBody"/>
              <w:spacing w:line="360" w:lineRule="auto"/>
              <w:jc w:val="both"/>
              <w:rPr>
                <w:b/>
                <w:bCs/>
                <w:sz w:val="16"/>
                <w:szCs w:val="16"/>
              </w:rPr>
            </w:pPr>
            <w:r w:rsidRPr="00322DA0">
              <w:rPr>
                <w:b/>
                <w:bCs/>
                <w:sz w:val="16"/>
                <w:szCs w:val="16"/>
              </w:rPr>
              <w:t>Year</w:t>
            </w:r>
          </w:p>
        </w:tc>
        <w:tc>
          <w:tcPr>
            <w:tcW w:w="0" w:type="auto"/>
            <w:vAlign w:val="center"/>
            <w:hideMark/>
          </w:tcPr>
          <w:p w14:paraId="08BCD242" w14:textId="77777777" w:rsidR="001E42B8" w:rsidRPr="00322DA0" w:rsidRDefault="001E42B8" w:rsidP="009646FF">
            <w:pPr>
              <w:pStyle w:val="JenniRefBody"/>
              <w:spacing w:line="360" w:lineRule="auto"/>
              <w:jc w:val="both"/>
              <w:rPr>
                <w:b/>
                <w:bCs/>
                <w:sz w:val="16"/>
                <w:szCs w:val="16"/>
              </w:rPr>
            </w:pPr>
            <w:r w:rsidRPr="00322DA0">
              <w:rPr>
                <w:b/>
                <w:bCs/>
                <w:sz w:val="16"/>
                <w:szCs w:val="16"/>
              </w:rPr>
              <w:t>Title</w:t>
            </w:r>
          </w:p>
        </w:tc>
        <w:tc>
          <w:tcPr>
            <w:tcW w:w="0" w:type="auto"/>
            <w:vAlign w:val="center"/>
            <w:hideMark/>
          </w:tcPr>
          <w:p w14:paraId="4EDAE0A1" w14:textId="77777777" w:rsidR="001E42B8" w:rsidRPr="00322DA0" w:rsidRDefault="001E42B8" w:rsidP="009646FF">
            <w:pPr>
              <w:pStyle w:val="JenniRefBody"/>
              <w:spacing w:line="360" w:lineRule="auto"/>
              <w:jc w:val="both"/>
              <w:rPr>
                <w:b/>
                <w:bCs/>
                <w:sz w:val="16"/>
                <w:szCs w:val="16"/>
              </w:rPr>
            </w:pPr>
            <w:r w:rsidRPr="00322DA0">
              <w:rPr>
                <w:b/>
                <w:bCs/>
                <w:sz w:val="16"/>
                <w:szCs w:val="16"/>
              </w:rPr>
              <w:t>Journal / Publisher</w:t>
            </w:r>
          </w:p>
        </w:tc>
        <w:tc>
          <w:tcPr>
            <w:tcW w:w="0" w:type="auto"/>
            <w:vAlign w:val="center"/>
            <w:hideMark/>
          </w:tcPr>
          <w:p w14:paraId="3DE8523C" w14:textId="77777777" w:rsidR="001E42B8" w:rsidRPr="00322DA0" w:rsidRDefault="001E42B8" w:rsidP="009646FF">
            <w:pPr>
              <w:pStyle w:val="JenniRefBody"/>
              <w:spacing w:line="360" w:lineRule="auto"/>
              <w:jc w:val="both"/>
              <w:rPr>
                <w:b/>
                <w:bCs/>
                <w:sz w:val="16"/>
                <w:szCs w:val="16"/>
              </w:rPr>
            </w:pPr>
            <w:r w:rsidRPr="00322DA0">
              <w:rPr>
                <w:b/>
                <w:bCs/>
                <w:sz w:val="16"/>
                <w:szCs w:val="16"/>
              </w:rPr>
              <w:t>Research Problem</w:t>
            </w:r>
          </w:p>
        </w:tc>
        <w:tc>
          <w:tcPr>
            <w:tcW w:w="0" w:type="auto"/>
            <w:vAlign w:val="center"/>
            <w:hideMark/>
          </w:tcPr>
          <w:p w14:paraId="14A7A828" w14:textId="77777777" w:rsidR="001E42B8" w:rsidRPr="00322DA0" w:rsidRDefault="001E42B8" w:rsidP="009646FF">
            <w:pPr>
              <w:pStyle w:val="JenniRefBody"/>
              <w:spacing w:line="360" w:lineRule="auto"/>
              <w:jc w:val="both"/>
              <w:rPr>
                <w:b/>
                <w:bCs/>
                <w:sz w:val="16"/>
                <w:szCs w:val="16"/>
              </w:rPr>
            </w:pPr>
            <w:r w:rsidRPr="00322DA0">
              <w:rPr>
                <w:b/>
                <w:bCs/>
                <w:sz w:val="16"/>
                <w:szCs w:val="16"/>
              </w:rPr>
              <w:t>Theoretical Framework</w:t>
            </w:r>
          </w:p>
        </w:tc>
        <w:tc>
          <w:tcPr>
            <w:tcW w:w="0" w:type="auto"/>
            <w:vAlign w:val="center"/>
            <w:hideMark/>
          </w:tcPr>
          <w:p w14:paraId="7EEAD0A2" w14:textId="77777777" w:rsidR="001E42B8" w:rsidRPr="00322DA0" w:rsidRDefault="001E42B8" w:rsidP="009646FF">
            <w:pPr>
              <w:pStyle w:val="JenniRefBody"/>
              <w:spacing w:line="360" w:lineRule="auto"/>
              <w:jc w:val="both"/>
              <w:rPr>
                <w:b/>
                <w:bCs/>
                <w:sz w:val="16"/>
                <w:szCs w:val="16"/>
              </w:rPr>
            </w:pPr>
            <w:r w:rsidRPr="00322DA0">
              <w:rPr>
                <w:b/>
                <w:bCs/>
                <w:sz w:val="16"/>
                <w:szCs w:val="16"/>
              </w:rPr>
              <w:t>Methodology</w:t>
            </w:r>
          </w:p>
        </w:tc>
        <w:tc>
          <w:tcPr>
            <w:tcW w:w="0" w:type="auto"/>
            <w:vAlign w:val="center"/>
            <w:hideMark/>
          </w:tcPr>
          <w:p w14:paraId="1152C958" w14:textId="77777777" w:rsidR="001E42B8" w:rsidRPr="00322DA0" w:rsidRDefault="001E42B8" w:rsidP="009646FF">
            <w:pPr>
              <w:pStyle w:val="JenniRefBody"/>
              <w:spacing w:line="360" w:lineRule="auto"/>
              <w:jc w:val="both"/>
              <w:rPr>
                <w:b/>
                <w:bCs/>
                <w:sz w:val="16"/>
                <w:szCs w:val="16"/>
              </w:rPr>
            </w:pPr>
            <w:r w:rsidRPr="00322DA0">
              <w:rPr>
                <w:b/>
                <w:bCs/>
                <w:sz w:val="16"/>
                <w:szCs w:val="16"/>
              </w:rPr>
              <w:t>Key Findings</w:t>
            </w:r>
          </w:p>
        </w:tc>
        <w:tc>
          <w:tcPr>
            <w:tcW w:w="0" w:type="auto"/>
            <w:vAlign w:val="center"/>
            <w:hideMark/>
          </w:tcPr>
          <w:p w14:paraId="3002FD6D" w14:textId="77777777" w:rsidR="001E42B8" w:rsidRPr="00322DA0" w:rsidRDefault="001E42B8" w:rsidP="009646FF">
            <w:pPr>
              <w:pStyle w:val="JenniRefBody"/>
              <w:spacing w:line="360" w:lineRule="auto"/>
              <w:jc w:val="both"/>
              <w:rPr>
                <w:b/>
                <w:bCs/>
                <w:sz w:val="16"/>
                <w:szCs w:val="16"/>
              </w:rPr>
            </w:pPr>
            <w:r w:rsidRPr="00322DA0">
              <w:rPr>
                <w:b/>
                <w:bCs/>
                <w:sz w:val="16"/>
                <w:szCs w:val="16"/>
              </w:rPr>
              <w:t>Gaps / Future Research</w:t>
            </w:r>
          </w:p>
        </w:tc>
        <w:tc>
          <w:tcPr>
            <w:tcW w:w="0" w:type="auto"/>
            <w:vAlign w:val="center"/>
            <w:hideMark/>
          </w:tcPr>
          <w:p w14:paraId="7DC10ADF" w14:textId="77777777" w:rsidR="001E42B8" w:rsidRPr="00322DA0" w:rsidRDefault="001E42B8" w:rsidP="009646FF">
            <w:pPr>
              <w:pStyle w:val="JenniRefBody"/>
              <w:spacing w:line="360" w:lineRule="auto"/>
              <w:jc w:val="both"/>
              <w:rPr>
                <w:b/>
                <w:bCs/>
                <w:sz w:val="16"/>
                <w:szCs w:val="16"/>
              </w:rPr>
            </w:pPr>
            <w:r w:rsidRPr="00322DA0">
              <w:rPr>
                <w:b/>
                <w:bCs/>
                <w:sz w:val="16"/>
                <w:szCs w:val="16"/>
              </w:rPr>
              <w:t xml:space="preserve">Relevance to </w:t>
            </w:r>
            <w:r>
              <w:rPr>
                <w:b/>
                <w:bCs/>
                <w:sz w:val="16"/>
                <w:szCs w:val="16"/>
              </w:rPr>
              <w:t>the</w:t>
            </w:r>
            <w:r w:rsidRPr="00322DA0">
              <w:rPr>
                <w:b/>
                <w:bCs/>
                <w:sz w:val="16"/>
                <w:szCs w:val="16"/>
              </w:rPr>
              <w:t xml:space="preserve"> Study</w:t>
            </w:r>
          </w:p>
        </w:tc>
        <w:tc>
          <w:tcPr>
            <w:tcW w:w="0" w:type="auto"/>
            <w:vAlign w:val="center"/>
            <w:hideMark/>
          </w:tcPr>
          <w:p w14:paraId="71CB09C4" w14:textId="77777777" w:rsidR="001E42B8" w:rsidRPr="00322DA0" w:rsidRDefault="001E42B8" w:rsidP="009646FF">
            <w:pPr>
              <w:pStyle w:val="JenniRefBody"/>
              <w:spacing w:line="360" w:lineRule="auto"/>
              <w:jc w:val="both"/>
              <w:rPr>
                <w:b/>
                <w:bCs/>
                <w:sz w:val="16"/>
                <w:szCs w:val="16"/>
              </w:rPr>
            </w:pPr>
            <w:r w:rsidRPr="00322DA0">
              <w:rPr>
                <w:b/>
                <w:bCs/>
                <w:sz w:val="16"/>
                <w:szCs w:val="16"/>
              </w:rPr>
              <w:t>Any Other Comments</w:t>
            </w:r>
          </w:p>
        </w:tc>
      </w:tr>
      <w:tr w:rsidR="006A3E9B" w:rsidRPr="00322DA0" w14:paraId="47415051" w14:textId="77777777" w:rsidTr="009646FF">
        <w:trPr>
          <w:tblCellSpacing w:w="15" w:type="dxa"/>
        </w:trPr>
        <w:tc>
          <w:tcPr>
            <w:tcW w:w="0" w:type="auto"/>
            <w:vAlign w:val="center"/>
            <w:hideMark/>
          </w:tcPr>
          <w:p w14:paraId="35686109" w14:textId="77777777" w:rsidR="001E42B8" w:rsidRPr="00322DA0" w:rsidRDefault="001E42B8" w:rsidP="009646FF">
            <w:pPr>
              <w:pStyle w:val="JenniRefBody"/>
              <w:spacing w:line="360" w:lineRule="auto"/>
              <w:jc w:val="both"/>
              <w:rPr>
                <w:sz w:val="16"/>
                <w:szCs w:val="16"/>
              </w:rPr>
            </w:pPr>
            <w:r w:rsidRPr="00322DA0">
              <w:rPr>
                <w:sz w:val="16"/>
                <w:szCs w:val="16"/>
              </w:rPr>
              <w:t>Aldaarmi</w:t>
            </w:r>
          </w:p>
        </w:tc>
        <w:tc>
          <w:tcPr>
            <w:tcW w:w="0" w:type="auto"/>
            <w:vAlign w:val="center"/>
            <w:hideMark/>
          </w:tcPr>
          <w:p w14:paraId="005F561D" w14:textId="77777777" w:rsidR="001E42B8" w:rsidRPr="00322DA0" w:rsidRDefault="001E42B8" w:rsidP="009646FF">
            <w:pPr>
              <w:pStyle w:val="JenniRefBody"/>
              <w:spacing w:line="360" w:lineRule="auto"/>
              <w:jc w:val="both"/>
              <w:rPr>
                <w:sz w:val="16"/>
                <w:szCs w:val="16"/>
              </w:rPr>
            </w:pPr>
            <w:r w:rsidRPr="00322DA0">
              <w:rPr>
                <w:sz w:val="16"/>
                <w:szCs w:val="16"/>
              </w:rPr>
              <w:t>2024</w:t>
            </w:r>
          </w:p>
        </w:tc>
        <w:tc>
          <w:tcPr>
            <w:tcW w:w="0" w:type="auto"/>
            <w:vAlign w:val="center"/>
            <w:hideMark/>
          </w:tcPr>
          <w:p w14:paraId="647740B8" w14:textId="77777777" w:rsidR="001E42B8" w:rsidRPr="00322DA0" w:rsidRDefault="001E42B8" w:rsidP="009646FF">
            <w:pPr>
              <w:pStyle w:val="JenniRefBody"/>
              <w:spacing w:line="360" w:lineRule="auto"/>
              <w:jc w:val="both"/>
              <w:rPr>
                <w:sz w:val="16"/>
                <w:szCs w:val="16"/>
              </w:rPr>
            </w:pPr>
            <w:r w:rsidRPr="00322DA0">
              <w:rPr>
                <w:sz w:val="16"/>
                <w:szCs w:val="16"/>
              </w:rPr>
              <w:t>Digital Service Quality and Customer Reuse Intention in Fintech Services</w:t>
            </w:r>
          </w:p>
        </w:tc>
        <w:tc>
          <w:tcPr>
            <w:tcW w:w="0" w:type="auto"/>
            <w:vAlign w:val="center"/>
            <w:hideMark/>
          </w:tcPr>
          <w:p w14:paraId="4DFAB6CD" w14:textId="77777777" w:rsidR="001E42B8" w:rsidRPr="00322DA0" w:rsidRDefault="001E42B8" w:rsidP="009646FF">
            <w:pPr>
              <w:pStyle w:val="JenniRefBody"/>
              <w:spacing w:line="360" w:lineRule="auto"/>
              <w:jc w:val="both"/>
              <w:rPr>
                <w:sz w:val="16"/>
                <w:szCs w:val="16"/>
              </w:rPr>
            </w:pPr>
            <w:r w:rsidRPr="00322DA0">
              <w:rPr>
                <w:sz w:val="16"/>
                <w:szCs w:val="16"/>
              </w:rPr>
              <w:t>Journal of Financial Services Marketing</w:t>
            </w:r>
          </w:p>
        </w:tc>
        <w:tc>
          <w:tcPr>
            <w:tcW w:w="0" w:type="auto"/>
            <w:vAlign w:val="center"/>
            <w:hideMark/>
          </w:tcPr>
          <w:p w14:paraId="2643A42D" w14:textId="0757C3D0" w:rsidR="001E42B8" w:rsidRPr="00322DA0" w:rsidRDefault="006A3E9B" w:rsidP="009646FF">
            <w:pPr>
              <w:pStyle w:val="JenniRefBody"/>
              <w:spacing w:line="360" w:lineRule="auto"/>
              <w:jc w:val="both"/>
              <w:rPr>
                <w:sz w:val="16"/>
                <w:szCs w:val="16"/>
              </w:rPr>
            </w:pPr>
            <w:r>
              <w:rPr>
                <w:sz w:val="16"/>
                <w:szCs w:val="16"/>
              </w:rPr>
              <w:t xml:space="preserve">How a </w:t>
            </w:r>
            <w:r w:rsidR="001E42B8" w:rsidRPr="00322DA0">
              <w:rPr>
                <w:sz w:val="16"/>
                <w:szCs w:val="16"/>
              </w:rPr>
              <w:t>digital service quality affects reuse intention and firm performance</w:t>
            </w:r>
          </w:p>
        </w:tc>
        <w:tc>
          <w:tcPr>
            <w:tcW w:w="0" w:type="auto"/>
            <w:vAlign w:val="center"/>
            <w:hideMark/>
          </w:tcPr>
          <w:p w14:paraId="0BFE13B0" w14:textId="77777777" w:rsidR="001E42B8" w:rsidRPr="00322DA0" w:rsidRDefault="001E42B8" w:rsidP="009646FF">
            <w:pPr>
              <w:pStyle w:val="JenniRefBody"/>
              <w:spacing w:line="360" w:lineRule="auto"/>
              <w:jc w:val="both"/>
              <w:rPr>
                <w:sz w:val="16"/>
                <w:szCs w:val="16"/>
              </w:rPr>
            </w:pPr>
            <w:r w:rsidRPr="00322DA0">
              <w:rPr>
                <w:sz w:val="16"/>
                <w:szCs w:val="16"/>
              </w:rPr>
              <w:t>Service quality theory; behavioural intention models</w:t>
            </w:r>
          </w:p>
        </w:tc>
        <w:tc>
          <w:tcPr>
            <w:tcW w:w="0" w:type="auto"/>
            <w:vAlign w:val="center"/>
            <w:hideMark/>
          </w:tcPr>
          <w:p w14:paraId="2D460966" w14:textId="77777777" w:rsidR="001E42B8" w:rsidRPr="00322DA0" w:rsidRDefault="001E42B8" w:rsidP="009646FF">
            <w:pPr>
              <w:pStyle w:val="JenniRefBody"/>
              <w:spacing w:line="360" w:lineRule="auto"/>
              <w:jc w:val="both"/>
              <w:rPr>
                <w:sz w:val="16"/>
                <w:szCs w:val="16"/>
              </w:rPr>
            </w:pPr>
            <w:r w:rsidRPr="00322DA0">
              <w:rPr>
                <w:sz w:val="16"/>
                <w:szCs w:val="16"/>
              </w:rPr>
              <w:t>Quantitative; cross-sectional survey</w:t>
            </w:r>
          </w:p>
        </w:tc>
        <w:tc>
          <w:tcPr>
            <w:tcW w:w="0" w:type="auto"/>
            <w:vAlign w:val="center"/>
            <w:hideMark/>
          </w:tcPr>
          <w:p w14:paraId="72E36C50" w14:textId="77777777" w:rsidR="001E42B8" w:rsidRPr="00322DA0" w:rsidRDefault="001E42B8" w:rsidP="009646FF">
            <w:pPr>
              <w:pStyle w:val="JenniRefBody"/>
              <w:spacing w:line="360" w:lineRule="auto"/>
              <w:jc w:val="both"/>
              <w:rPr>
                <w:sz w:val="16"/>
                <w:szCs w:val="16"/>
              </w:rPr>
            </w:pPr>
            <w:r w:rsidRPr="00322DA0">
              <w:rPr>
                <w:sz w:val="16"/>
                <w:szCs w:val="16"/>
              </w:rPr>
              <w:t>DSQ dimensions significantly influence reuse intention and performance</w:t>
            </w:r>
          </w:p>
        </w:tc>
        <w:tc>
          <w:tcPr>
            <w:tcW w:w="0" w:type="auto"/>
            <w:vAlign w:val="center"/>
            <w:hideMark/>
          </w:tcPr>
          <w:p w14:paraId="19BF263C" w14:textId="77777777" w:rsidR="001E42B8" w:rsidRPr="00322DA0" w:rsidRDefault="001E42B8" w:rsidP="009646FF">
            <w:pPr>
              <w:pStyle w:val="JenniRefBody"/>
              <w:spacing w:line="360" w:lineRule="auto"/>
              <w:jc w:val="both"/>
              <w:rPr>
                <w:sz w:val="16"/>
                <w:szCs w:val="16"/>
              </w:rPr>
            </w:pPr>
            <w:r w:rsidRPr="00322DA0">
              <w:rPr>
                <w:sz w:val="16"/>
                <w:szCs w:val="16"/>
              </w:rPr>
              <w:t>Lacks interpretive depth; limited ethical discussion; fintech context</w:t>
            </w:r>
          </w:p>
        </w:tc>
        <w:tc>
          <w:tcPr>
            <w:tcW w:w="0" w:type="auto"/>
            <w:vAlign w:val="center"/>
            <w:hideMark/>
          </w:tcPr>
          <w:p w14:paraId="552A984C" w14:textId="77777777" w:rsidR="001E42B8" w:rsidRPr="00322DA0" w:rsidRDefault="001E42B8" w:rsidP="009646FF">
            <w:pPr>
              <w:pStyle w:val="JenniRefBody"/>
              <w:spacing w:line="360" w:lineRule="auto"/>
              <w:jc w:val="both"/>
              <w:rPr>
                <w:sz w:val="16"/>
                <w:szCs w:val="16"/>
              </w:rPr>
            </w:pPr>
            <w:r w:rsidRPr="00322DA0">
              <w:rPr>
                <w:sz w:val="16"/>
                <w:szCs w:val="16"/>
              </w:rPr>
              <w:t xml:space="preserve">Used as the </w:t>
            </w:r>
            <w:r w:rsidRPr="00322DA0">
              <w:rPr>
                <w:b/>
                <w:bCs/>
                <w:sz w:val="16"/>
                <w:szCs w:val="16"/>
              </w:rPr>
              <w:t>case study</w:t>
            </w:r>
            <w:r w:rsidRPr="00322DA0">
              <w:rPr>
                <w:sz w:val="16"/>
                <w:szCs w:val="16"/>
              </w:rPr>
              <w:t xml:space="preserve"> for philosophical and methodological analysis (Section 4)</w:t>
            </w:r>
          </w:p>
        </w:tc>
        <w:tc>
          <w:tcPr>
            <w:tcW w:w="0" w:type="auto"/>
            <w:vAlign w:val="center"/>
            <w:hideMark/>
          </w:tcPr>
          <w:p w14:paraId="5E2186E8" w14:textId="77777777" w:rsidR="001E42B8" w:rsidRPr="00322DA0" w:rsidRDefault="001E42B8" w:rsidP="009646FF">
            <w:pPr>
              <w:pStyle w:val="JenniRefBody"/>
              <w:spacing w:line="360" w:lineRule="auto"/>
              <w:jc w:val="both"/>
              <w:rPr>
                <w:sz w:val="16"/>
                <w:szCs w:val="16"/>
              </w:rPr>
            </w:pPr>
            <w:r w:rsidRPr="00322DA0">
              <w:rPr>
                <w:sz w:val="16"/>
                <w:szCs w:val="16"/>
              </w:rPr>
              <w:t>Exemplifies dominant positivist paradigm</w:t>
            </w:r>
          </w:p>
        </w:tc>
      </w:tr>
      <w:tr w:rsidR="006A3E9B" w:rsidRPr="00322DA0" w14:paraId="7988FA97" w14:textId="77777777" w:rsidTr="009646FF">
        <w:trPr>
          <w:tblCellSpacing w:w="15" w:type="dxa"/>
        </w:trPr>
        <w:tc>
          <w:tcPr>
            <w:tcW w:w="0" w:type="auto"/>
            <w:vAlign w:val="center"/>
            <w:hideMark/>
          </w:tcPr>
          <w:p w14:paraId="2FB30BB1" w14:textId="77777777" w:rsidR="001E42B8" w:rsidRPr="00322DA0" w:rsidRDefault="001E42B8" w:rsidP="009646FF">
            <w:pPr>
              <w:pStyle w:val="JenniRefBody"/>
              <w:spacing w:line="360" w:lineRule="auto"/>
              <w:jc w:val="both"/>
              <w:rPr>
                <w:sz w:val="16"/>
                <w:szCs w:val="16"/>
              </w:rPr>
            </w:pPr>
            <w:r w:rsidRPr="00322DA0">
              <w:rPr>
                <w:sz w:val="16"/>
                <w:szCs w:val="16"/>
              </w:rPr>
              <w:t>Claro &amp; Soto</w:t>
            </w:r>
          </w:p>
        </w:tc>
        <w:tc>
          <w:tcPr>
            <w:tcW w:w="0" w:type="auto"/>
            <w:vAlign w:val="center"/>
            <w:hideMark/>
          </w:tcPr>
          <w:p w14:paraId="02D45E18" w14:textId="77777777" w:rsidR="001E42B8" w:rsidRPr="00322DA0" w:rsidRDefault="001E42B8" w:rsidP="009646FF">
            <w:pPr>
              <w:pStyle w:val="JenniRefBody"/>
              <w:spacing w:line="360" w:lineRule="auto"/>
              <w:jc w:val="both"/>
              <w:rPr>
                <w:sz w:val="16"/>
                <w:szCs w:val="16"/>
              </w:rPr>
            </w:pPr>
            <w:r w:rsidRPr="00322DA0">
              <w:rPr>
                <w:sz w:val="16"/>
                <w:szCs w:val="16"/>
              </w:rPr>
              <w:t>2024</w:t>
            </w:r>
          </w:p>
        </w:tc>
        <w:tc>
          <w:tcPr>
            <w:tcW w:w="0" w:type="auto"/>
            <w:vAlign w:val="center"/>
            <w:hideMark/>
          </w:tcPr>
          <w:p w14:paraId="282A7B90" w14:textId="77777777" w:rsidR="001E42B8" w:rsidRPr="00322DA0" w:rsidRDefault="001E42B8" w:rsidP="009646FF">
            <w:pPr>
              <w:pStyle w:val="JenniRefBody"/>
              <w:spacing w:line="360" w:lineRule="auto"/>
              <w:jc w:val="both"/>
              <w:rPr>
                <w:sz w:val="16"/>
                <w:szCs w:val="16"/>
              </w:rPr>
            </w:pPr>
            <w:r w:rsidRPr="00322DA0">
              <w:rPr>
                <w:sz w:val="16"/>
                <w:szCs w:val="16"/>
              </w:rPr>
              <w:t>Digital Service Quality and Customer Satisfaction</w:t>
            </w:r>
          </w:p>
        </w:tc>
        <w:tc>
          <w:tcPr>
            <w:tcW w:w="0" w:type="auto"/>
            <w:vAlign w:val="center"/>
            <w:hideMark/>
          </w:tcPr>
          <w:p w14:paraId="00D309AD" w14:textId="77777777" w:rsidR="001E42B8" w:rsidRPr="00322DA0" w:rsidRDefault="001E42B8" w:rsidP="009646FF">
            <w:pPr>
              <w:pStyle w:val="JenniRefBody"/>
              <w:spacing w:line="360" w:lineRule="auto"/>
              <w:jc w:val="both"/>
              <w:rPr>
                <w:sz w:val="16"/>
                <w:szCs w:val="16"/>
              </w:rPr>
            </w:pPr>
            <w:r w:rsidRPr="00322DA0">
              <w:rPr>
                <w:sz w:val="16"/>
                <w:szCs w:val="16"/>
              </w:rPr>
              <w:t>Service Industries Journal</w:t>
            </w:r>
          </w:p>
        </w:tc>
        <w:tc>
          <w:tcPr>
            <w:tcW w:w="0" w:type="auto"/>
            <w:vAlign w:val="center"/>
            <w:hideMark/>
          </w:tcPr>
          <w:p w14:paraId="3B26EB78" w14:textId="77777777" w:rsidR="001E42B8" w:rsidRPr="00322DA0" w:rsidRDefault="001E42B8" w:rsidP="009646FF">
            <w:pPr>
              <w:pStyle w:val="JenniRefBody"/>
              <w:spacing w:line="360" w:lineRule="auto"/>
              <w:jc w:val="both"/>
              <w:rPr>
                <w:sz w:val="16"/>
                <w:szCs w:val="16"/>
              </w:rPr>
            </w:pPr>
            <w:r w:rsidRPr="00322DA0">
              <w:rPr>
                <w:sz w:val="16"/>
                <w:szCs w:val="16"/>
              </w:rPr>
              <w:t>Relationship between DSQ and customer satisfaction</w:t>
            </w:r>
          </w:p>
        </w:tc>
        <w:tc>
          <w:tcPr>
            <w:tcW w:w="0" w:type="auto"/>
            <w:vAlign w:val="center"/>
            <w:hideMark/>
          </w:tcPr>
          <w:p w14:paraId="5F242838" w14:textId="77777777" w:rsidR="001E42B8" w:rsidRPr="00322DA0" w:rsidRDefault="001E42B8" w:rsidP="009646FF">
            <w:pPr>
              <w:pStyle w:val="JenniRefBody"/>
              <w:spacing w:line="360" w:lineRule="auto"/>
              <w:jc w:val="both"/>
              <w:rPr>
                <w:sz w:val="16"/>
                <w:szCs w:val="16"/>
              </w:rPr>
            </w:pPr>
            <w:r w:rsidRPr="00322DA0">
              <w:rPr>
                <w:sz w:val="16"/>
                <w:szCs w:val="16"/>
              </w:rPr>
              <w:t>SERVQUAL-based digital adaptation</w:t>
            </w:r>
          </w:p>
        </w:tc>
        <w:tc>
          <w:tcPr>
            <w:tcW w:w="0" w:type="auto"/>
            <w:vAlign w:val="center"/>
            <w:hideMark/>
          </w:tcPr>
          <w:p w14:paraId="0927D88B" w14:textId="77777777" w:rsidR="001E42B8" w:rsidRPr="00322DA0" w:rsidRDefault="001E42B8" w:rsidP="009646FF">
            <w:pPr>
              <w:pStyle w:val="JenniRefBody"/>
              <w:spacing w:line="360" w:lineRule="auto"/>
              <w:jc w:val="both"/>
              <w:rPr>
                <w:sz w:val="16"/>
                <w:szCs w:val="16"/>
              </w:rPr>
            </w:pPr>
            <w:r w:rsidRPr="00322DA0">
              <w:rPr>
                <w:sz w:val="16"/>
                <w:szCs w:val="16"/>
              </w:rPr>
              <w:t>Quantitative survey; regression</w:t>
            </w:r>
          </w:p>
        </w:tc>
        <w:tc>
          <w:tcPr>
            <w:tcW w:w="0" w:type="auto"/>
            <w:vAlign w:val="center"/>
            <w:hideMark/>
          </w:tcPr>
          <w:p w14:paraId="58AB0B0F" w14:textId="77777777" w:rsidR="001E42B8" w:rsidRPr="00322DA0" w:rsidRDefault="001E42B8" w:rsidP="009646FF">
            <w:pPr>
              <w:pStyle w:val="JenniRefBody"/>
              <w:spacing w:line="360" w:lineRule="auto"/>
              <w:jc w:val="both"/>
              <w:rPr>
                <w:sz w:val="16"/>
                <w:szCs w:val="16"/>
              </w:rPr>
            </w:pPr>
            <w:r w:rsidRPr="00322DA0">
              <w:rPr>
                <w:sz w:val="16"/>
                <w:szCs w:val="16"/>
              </w:rPr>
              <w:t>Positive causal relationship between DSQ and satisfaction</w:t>
            </w:r>
          </w:p>
        </w:tc>
        <w:tc>
          <w:tcPr>
            <w:tcW w:w="0" w:type="auto"/>
            <w:vAlign w:val="center"/>
            <w:hideMark/>
          </w:tcPr>
          <w:p w14:paraId="34D431FD" w14:textId="77777777" w:rsidR="001E42B8" w:rsidRPr="00322DA0" w:rsidRDefault="001E42B8" w:rsidP="009646FF">
            <w:pPr>
              <w:pStyle w:val="JenniRefBody"/>
              <w:spacing w:line="360" w:lineRule="auto"/>
              <w:jc w:val="both"/>
              <w:rPr>
                <w:sz w:val="16"/>
                <w:szCs w:val="16"/>
              </w:rPr>
            </w:pPr>
            <w:r w:rsidRPr="00322DA0">
              <w:rPr>
                <w:sz w:val="16"/>
                <w:szCs w:val="16"/>
              </w:rPr>
              <w:t>Ignores contextual and relational factors</w:t>
            </w:r>
          </w:p>
        </w:tc>
        <w:tc>
          <w:tcPr>
            <w:tcW w:w="0" w:type="auto"/>
            <w:vAlign w:val="center"/>
            <w:hideMark/>
          </w:tcPr>
          <w:p w14:paraId="4B8E9432" w14:textId="77777777" w:rsidR="001E42B8" w:rsidRPr="00322DA0" w:rsidRDefault="001E42B8" w:rsidP="009646FF">
            <w:pPr>
              <w:pStyle w:val="JenniRefBody"/>
              <w:spacing w:line="360" w:lineRule="auto"/>
              <w:jc w:val="both"/>
              <w:rPr>
                <w:sz w:val="16"/>
                <w:szCs w:val="16"/>
              </w:rPr>
            </w:pPr>
            <w:r w:rsidRPr="00322DA0">
              <w:rPr>
                <w:sz w:val="16"/>
                <w:szCs w:val="16"/>
              </w:rPr>
              <w:t>Supports critique of DSQ operationalisation</w:t>
            </w:r>
          </w:p>
        </w:tc>
        <w:tc>
          <w:tcPr>
            <w:tcW w:w="0" w:type="auto"/>
            <w:vAlign w:val="center"/>
            <w:hideMark/>
          </w:tcPr>
          <w:p w14:paraId="37D82179" w14:textId="77777777" w:rsidR="001E42B8" w:rsidRPr="00322DA0" w:rsidRDefault="001E42B8" w:rsidP="009646FF">
            <w:pPr>
              <w:pStyle w:val="JenniRefBody"/>
              <w:spacing w:line="360" w:lineRule="auto"/>
              <w:jc w:val="both"/>
              <w:rPr>
                <w:sz w:val="16"/>
                <w:szCs w:val="16"/>
              </w:rPr>
            </w:pPr>
            <w:r w:rsidRPr="00322DA0">
              <w:rPr>
                <w:sz w:val="16"/>
                <w:szCs w:val="16"/>
              </w:rPr>
              <w:t>Strong managerial orientation</w:t>
            </w:r>
          </w:p>
        </w:tc>
      </w:tr>
      <w:tr w:rsidR="006A3E9B" w:rsidRPr="00322DA0" w14:paraId="57ECFD54" w14:textId="77777777" w:rsidTr="009646FF">
        <w:trPr>
          <w:tblCellSpacing w:w="15" w:type="dxa"/>
        </w:trPr>
        <w:tc>
          <w:tcPr>
            <w:tcW w:w="0" w:type="auto"/>
            <w:vAlign w:val="center"/>
            <w:hideMark/>
          </w:tcPr>
          <w:p w14:paraId="170278AE" w14:textId="77777777" w:rsidR="001E42B8" w:rsidRPr="00322DA0" w:rsidRDefault="001E42B8" w:rsidP="009646FF">
            <w:pPr>
              <w:pStyle w:val="JenniRefBody"/>
              <w:spacing w:line="360" w:lineRule="auto"/>
              <w:jc w:val="both"/>
              <w:rPr>
                <w:sz w:val="16"/>
                <w:szCs w:val="16"/>
              </w:rPr>
            </w:pPr>
            <w:r w:rsidRPr="00322DA0">
              <w:rPr>
                <w:sz w:val="16"/>
                <w:szCs w:val="16"/>
              </w:rPr>
              <w:t>Arora &amp; Banerji</w:t>
            </w:r>
          </w:p>
        </w:tc>
        <w:tc>
          <w:tcPr>
            <w:tcW w:w="0" w:type="auto"/>
            <w:vAlign w:val="center"/>
            <w:hideMark/>
          </w:tcPr>
          <w:p w14:paraId="54DC6E92" w14:textId="77777777" w:rsidR="001E42B8" w:rsidRPr="00322DA0" w:rsidRDefault="001E42B8" w:rsidP="009646FF">
            <w:pPr>
              <w:pStyle w:val="JenniRefBody"/>
              <w:spacing w:line="360" w:lineRule="auto"/>
              <w:jc w:val="both"/>
              <w:rPr>
                <w:sz w:val="16"/>
                <w:szCs w:val="16"/>
              </w:rPr>
            </w:pPr>
            <w:r w:rsidRPr="00322DA0">
              <w:rPr>
                <w:sz w:val="16"/>
                <w:szCs w:val="16"/>
              </w:rPr>
              <w:t>2024</w:t>
            </w:r>
          </w:p>
        </w:tc>
        <w:tc>
          <w:tcPr>
            <w:tcW w:w="0" w:type="auto"/>
            <w:vAlign w:val="center"/>
            <w:hideMark/>
          </w:tcPr>
          <w:p w14:paraId="278ABC32" w14:textId="77777777" w:rsidR="001E42B8" w:rsidRPr="00322DA0" w:rsidRDefault="001E42B8" w:rsidP="009646FF">
            <w:pPr>
              <w:pStyle w:val="JenniRefBody"/>
              <w:spacing w:line="360" w:lineRule="auto"/>
              <w:jc w:val="both"/>
              <w:rPr>
                <w:sz w:val="16"/>
                <w:szCs w:val="16"/>
              </w:rPr>
            </w:pPr>
            <w:r w:rsidRPr="00322DA0">
              <w:rPr>
                <w:sz w:val="16"/>
                <w:szCs w:val="16"/>
              </w:rPr>
              <w:t>Digital Banking Service Quality and Customer Behaviour</w:t>
            </w:r>
          </w:p>
        </w:tc>
        <w:tc>
          <w:tcPr>
            <w:tcW w:w="0" w:type="auto"/>
            <w:vAlign w:val="center"/>
            <w:hideMark/>
          </w:tcPr>
          <w:p w14:paraId="106285E3" w14:textId="77777777" w:rsidR="001E42B8" w:rsidRPr="00322DA0" w:rsidRDefault="001E42B8" w:rsidP="009646FF">
            <w:pPr>
              <w:pStyle w:val="JenniRefBody"/>
              <w:spacing w:line="360" w:lineRule="auto"/>
              <w:jc w:val="both"/>
              <w:rPr>
                <w:sz w:val="16"/>
                <w:szCs w:val="16"/>
              </w:rPr>
            </w:pPr>
            <w:r w:rsidRPr="00322DA0">
              <w:rPr>
                <w:sz w:val="16"/>
                <w:szCs w:val="16"/>
              </w:rPr>
              <w:t>Journal of Retail Banking</w:t>
            </w:r>
          </w:p>
        </w:tc>
        <w:tc>
          <w:tcPr>
            <w:tcW w:w="0" w:type="auto"/>
            <w:vAlign w:val="center"/>
            <w:hideMark/>
          </w:tcPr>
          <w:p w14:paraId="2EB70007" w14:textId="77777777" w:rsidR="001E42B8" w:rsidRPr="00322DA0" w:rsidRDefault="001E42B8" w:rsidP="009646FF">
            <w:pPr>
              <w:pStyle w:val="JenniRefBody"/>
              <w:spacing w:line="360" w:lineRule="auto"/>
              <w:jc w:val="both"/>
              <w:rPr>
                <w:sz w:val="16"/>
                <w:szCs w:val="16"/>
              </w:rPr>
            </w:pPr>
            <w:r w:rsidRPr="00322DA0">
              <w:rPr>
                <w:sz w:val="16"/>
                <w:szCs w:val="16"/>
              </w:rPr>
              <w:t>How digital banking attributes influence customer behaviour</w:t>
            </w:r>
          </w:p>
        </w:tc>
        <w:tc>
          <w:tcPr>
            <w:tcW w:w="0" w:type="auto"/>
            <w:vAlign w:val="center"/>
            <w:hideMark/>
          </w:tcPr>
          <w:p w14:paraId="3D88C69D" w14:textId="77777777" w:rsidR="001E42B8" w:rsidRPr="00322DA0" w:rsidRDefault="001E42B8" w:rsidP="009646FF">
            <w:pPr>
              <w:pStyle w:val="JenniRefBody"/>
              <w:spacing w:line="360" w:lineRule="auto"/>
              <w:jc w:val="both"/>
              <w:rPr>
                <w:sz w:val="16"/>
                <w:szCs w:val="16"/>
              </w:rPr>
            </w:pPr>
            <w:r w:rsidRPr="00322DA0">
              <w:rPr>
                <w:sz w:val="16"/>
                <w:szCs w:val="16"/>
              </w:rPr>
              <w:t>Technology acceptance &amp; service quality</w:t>
            </w:r>
          </w:p>
        </w:tc>
        <w:tc>
          <w:tcPr>
            <w:tcW w:w="0" w:type="auto"/>
            <w:vAlign w:val="center"/>
            <w:hideMark/>
          </w:tcPr>
          <w:p w14:paraId="4338461C" w14:textId="77777777" w:rsidR="001E42B8" w:rsidRPr="00322DA0" w:rsidRDefault="001E42B8" w:rsidP="009646FF">
            <w:pPr>
              <w:pStyle w:val="JenniRefBody"/>
              <w:spacing w:line="360" w:lineRule="auto"/>
              <w:jc w:val="both"/>
              <w:rPr>
                <w:sz w:val="16"/>
                <w:szCs w:val="16"/>
              </w:rPr>
            </w:pPr>
            <w:r w:rsidRPr="00322DA0">
              <w:rPr>
                <w:sz w:val="16"/>
                <w:szCs w:val="16"/>
              </w:rPr>
              <w:t>Quantitative survey</w:t>
            </w:r>
          </w:p>
        </w:tc>
        <w:tc>
          <w:tcPr>
            <w:tcW w:w="0" w:type="auto"/>
            <w:vAlign w:val="center"/>
            <w:hideMark/>
          </w:tcPr>
          <w:p w14:paraId="60E6682D" w14:textId="77777777" w:rsidR="001E42B8" w:rsidRPr="00322DA0" w:rsidRDefault="001E42B8" w:rsidP="009646FF">
            <w:pPr>
              <w:pStyle w:val="JenniRefBody"/>
              <w:spacing w:line="360" w:lineRule="auto"/>
              <w:jc w:val="both"/>
              <w:rPr>
                <w:sz w:val="16"/>
                <w:szCs w:val="16"/>
              </w:rPr>
            </w:pPr>
            <w:r w:rsidRPr="00322DA0">
              <w:rPr>
                <w:sz w:val="16"/>
                <w:szCs w:val="16"/>
              </w:rPr>
              <w:t>Convenience and usability predict behavioural outcomes</w:t>
            </w:r>
          </w:p>
        </w:tc>
        <w:tc>
          <w:tcPr>
            <w:tcW w:w="0" w:type="auto"/>
            <w:vAlign w:val="center"/>
            <w:hideMark/>
          </w:tcPr>
          <w:p w14:paraId="0237758C" w14:textId="77777777" w:rsidR="001E42B8" w:rsidRPr="00322DA0" w:rsidRDefault="001E42B8" w:rsidP="009646FF">
            <w:pPr>
              <w:pStyle w:val="JenniRefBody"/>
              <w:spacing w:line="360" w:lineRule="auto"/>
              <w:jc w:val="both"/>
              <w:rPr>
                <w:sz w:val="16"/>
                <w:szCs w:val="16"/>
              </w:rPr>
            </w:pPr>
            <w:r w:rsidRPr="00322DA0">
              <w:rPr>
                <w:sz w:val="16"/>
                <w:szCs w:val="16"/>
              </w:rPr>
              <w:t>Static treatment of loyalty</w:t>
            </w:r>
          </w:p>
        </w:tc>
        <w:tc>
          <w:tcPr>
            <w:tcW w:w="0" w:type="auto"/>
            <w:vAlign w:val="center"/>
            <w:hideMark/>
          </w:tcPr>
          <w:p w14:paraId="24A51E41" w14:textId="77777777" w:rsidR="001E42B8" w:rsidRPr="00322DA0" w:rsidRDefault="001E42B8" w:rsidP="009646FF">
            <w:pPr>
              <w:pStyle w:val="JenniRefBody"/>
              <w:spacing w:line="360" w:lineRule="auto"/>
              <w:jc w:val="both"/>
              <w:rPr>
                <w:sz w:val="16"/>
                <w:szCs w:val="16"/>
              </w:rPr>
            </w:pPr>
            <w:r w:rsidRPr="00322DA0">
              <w:rPr>
                <w:sz w:val="16"/>
                <w:szCs w:val="16"/>
              </w:rPr>
              <w:t>Provides banking-specific DSQ context</w:t>
            </w:r>
          </w:p>
        </w:tc>
        <w:tc>
          <w:tcPr>
            <w:tcW w:w="0" w:type="auto"/>
            <w:vAlign w:val="center"/>
            <w:hideMark/>
          </w:tcPr>
          <w:p w14:paraId="6D866566" w14:textId="77777777" w:rsidR="001E42B8" w:rsidRPr="00322DA0" w:rsidRDefault="001E42B8" w:rsidP="009646FF">
            <w:pPr>
              <w:pStyle w:val="JenniRefBody"/>
              <w:spacing w:line="360" w:lineRule="auto"/>
              <w:jc w:val="both"/>
              <w:rPr>
                <w:sz w:val="16"/>
                <w:szCs w:val="16"/>
              </w:rPr>
            </w:pPr>
            <w:r w:rsidRPr="00322DA0">
              <w:rPr>
                <w:sz w:val="16"/>
                <w:szCs w:val="16"/>
              </w:rPr>
              <w:t>Reinforces linear causality assumptions</w:t>
            </w:r>
          </w:p>
        </w:tc>
      </w:tr>
      <w:tr w:rsidR="006A3E9B" w:rsidRPr="00322DA0" w14:paraId="1CFA2294" w14:textId="77777777" w:rsidTr="009646FF">
        <w:trPr>
          <w:tblCellSpacing w:w="15" w:type="dxa"/>
        </w:trPr>
        <w:tc>
          <w:tcPr>
            <w:tcW w:w="0" w:type="auto"/>
            <w:vAlign w:val="center"/>
            <w:hideMark/>
          </w:tcPr>
          <w:p w14:paraId="39BF6259" w14:textId="77777777" w:rsidR="001E42B8" w:rsidRPr="00322DA0" w:rsidRDefault="001E42B8" w:rsidP="009646FF">
            <w:pPr>
              <w:pStyle w:val="JenniRefBody"/>
              <w:spacing w:line="360" w:lineRule="auto"/>
              <w:jc w:val="both"/>
              <w:rPr>
                <w:sz w:val="16"/>
                <w:szCs w:val="16"/>
              </w:rPr>
            </w:pPr>
            <w:r w:rsidRPr="00322DA0">
              <w:rPr>
                <w:sz w:val="16"/>
                <w:szCs w:val="16"/>
              </w:rPr>
              <w:t>Waluyo et al.</w:t>
            </w:r>
          </w:p>
        </w:tc>
        <w:tc>
          <w:tcPr>
            <w:tcW w:w="0" w:type="auto"/>
            <w:vAlign w:val="center"/>
            <w:hideMark/>
          </w:tcPr>
          <w:p w14:paraId="7E2CBA35" w14:textId="77777777" w:rsidR="001E42B8" w:rsidRPr="00322DA0" w:rsidRDefault="001E42B8" w:rsidP="009646FF">
            <w:pPr>
              <w:pStyle w:val="JenniRefBody"/>
              <w:spacing w:line="360" w:lineRule="auto"/>
              <w:jc w:val="both"/>
              <w:rPr>
                <w:sz w:val="16"/>
                <w:szCs w:val="16"/>
              </w:rPr>
            </w:pPr>
            <w:r w:rsidRPr="00322DA0">
              <w:rPr>
                <w:sz w:val="16"/>
                <w:szCs w:val="16"/>
              </w:rPr>
              <w:t>2025</w:t>
            </w:r>
          </w:p>
        </w:tc>
        <w:tc>
          <w:tcPr>
            <w:tcW w:w="0" w:type="auto"/>
            <w:vAlign w:val="center"/>
            <w:hideMark/>
          </w:tcPr>
          <w:p w14:paraId="14F08735" w14:textId="77777777" w:rsidR="001E42B8" w:rsidRPr="00322DA0" w:rsidRDefault="001E42B8" w:rsidP="009646FF">
            <w:pPr>
              <w:pStyle w:val="JenniRefBody"/>
              <w:spacing w:line="360" w:lineRule="auto"/>
              <w:jc w:val="both"/>
              <w:rPr>
                <w:sz w:val="16"/>
                <w:szCs w:val="16"/>
              </w:rPr>
            </w:pPr>
            <w:r w:rsidRPr="00322DA0">
              <w:rPr>
                <w:sz w:val="16"/>
                <w:szCs w:val="16"/>
              </w:rPr>
              <w:t>Dimensions of Digital Service Quality in Financial Services</w:t>
            </w:r>
          </w:p>
        </w:tc>
        <w:tc>
          <w:tcPr>
            <w:tcW w:w="0" w:type="auto"/>
            <w:vAlign w:val="center"/>
            <w:hideMark/>
          </w:tcPr>
          <w:p w14:paraId="6A7FAAC8" w14:textId="77777777" w:rsidR="001E42B8" w:rsidRPr="00322DA0" w:rsidRDefault="001E42B8" w:rsidP="009646FF">
            <w:pPr>
              <w:pStyle w:val="JenniRefBody"/>
              <w:spacing w:line="360" w:lineRule="auto"/>
              <w:jc w:val="both"/>
              <w:rPr>
                <w:sz w:val="16"/>
                <w:szCs w:val="16"/>
              </w:rPr>
            </w:pPr>
            <w:r w:rsidRPr="00322DA0">
              <w:rPr>
                <w:sz w:val="16"/>
                <w:szCs w:val="16"/>
              </w:rPr>
              <w:t>International Journal of Bank Marketing</w:t>
            </w:r>
          </w:p>
        </w:tc>
        <w:tc>
          <w:tcPr>
            <w:tcW w:w="0" w:type="auto"/>
            <w:vAlign w:val="center"/>
            <w:hideMark/>
          </w:tcPr>
          <w:p w14:paraId="3EC7B324" w14:textId="77777777" w:rsidR="001E42B8" w:rsidRPr="00322DA0" w:rsidRDefault="001E42B8" w:rsidP="009646FF">
            <w:pPr>
              <w:pStyle w:val="JenniRefBody"/>
              <w:spacing w:line="360" w:lineRule="auto"/>
              <w:jc w:val="both"/>
              <w:rPr>
                <w:sz w:val="16"/>
                <w:szCs w:val="16"/>
              </w:rPr>
            </w:pPr>
            <w:r w:rsidRPr="00322DA0">
              <w:rPr>
                <w:sz w:val="16"/>
                <w:szCs w:val="16"/>
              </w:rPr>
              <w:t>Identification of DSQ dimensions</w:t>
            </w:r>
          </w:p>
        </w:tc>
        <w:tc>
          <w:tcPr>
            <w:tcW w:w="0" w:type="auto"/>
            <w:vAlign w:val="center"/>
            <w:hideMark/>
          </w:tcPr>
          <w:p w14:paraId="0E3048EB" w14:textId="77777777" w:rsidR="001E42B8" w:rsidRPr="00322DA0" w:rsidRDefault="001E42B8" w:rsidP="009646FF">
            <w:pPr>
              <w:pStyle w:val="JenniRefBody"/>
              <w:spacing w:line="360" w:lineRule="auto"/>
              <w:jc w:val="both"/>
              <w:rPr>
                <w:sz w:val="16"/>
                <w:szCs w:val="16"/>
              </w:rPr>
            </w:pPr>
            <w:r w:rsidRPr="00322DA0">
              <w:rPr>
                <w:sz w:val="16"/>
                <w:szCs w:val="16"/>
              </w:rPr>
              <w:t>Multi-dimensional DSQ framework</w:t>
            </w:r>
          </w:p>
        </w:tc>
        <w:tc>
          <w:tcPr>
            <w:tcW w:w="0" w:type="auto"/>
            <w:vAlign w:val="center"/>
            <w:hideMark/>
          </w:tcPr>
          <w:p w14:paraId="6D6A14DE" w14:textId="77777777" w:rsidR="001E42B8" w:rsidRPr="00322DA0" w:rsidRDefault="001E42B8" w:rsidP="009646FF">
            <w:pPr>
              <w:pStyle w:val="JenniRefBody"/>
              <w:spacing w:line="360" w:lineRule="auto"/>
              <w:jc w:val="both"/>
              <w:rPr>
                <w:sz w:val="16"/>
                <w:szCs w:val="16"/>
              </w:rPr>
            </w:pPr>
            <w:r w:rsidRPr="00322DA0">
              <w:rPr>
                <w:sz w:val="16"/>
                <w:szCs w:val="16"/>
              </w:rPr>
              <w:t>Quantitative scale development</w:t>
            </w:r>
          </w:p>
        </w:tc>
        <w:tc>
          <w:tcPr>
            <w:tcW w:w="0" w:type="auto"/>
            <w:vAlign w:val="center"/>
            <w:hideMark/>
          </w:tcPr>
          <w:p w14:paraId="19AF7D04" w14:textId="77777777" w:rsidR="001E42B8" w:rsidRPr="00322DA0" w:rsidRDefault="001E42B8" w:rsidP="009646FF">
            <w:pPr>
              <w:pStyle w:val="JenniRefBody"/>
              <w:spacing w:line="360" w:lineRule="auto"/>
              <w:jc w:val="both"/>
              <w:rPr>
                <w:sz w:val="16"/>
                <w:szCs w:val="16"/>
              </w:rPr>
            </w:pPr>
            <w:r w:rsidRPr="00322DA0">
              <w:rPr>
                <w:sz w:val="16"/>
                <w:szCs w:val="16"/>
              </w:rPr>
              <w:t>Reliability, efficiency, and security are key</w:t>
            </w:r>
          </w:p>
        </w:tc>
        <w:tc>
          <w:tcPr>
            <w:tcW w:w="0" w:type="auto"/>
            <w:vAlign w:val="center"/>
            <w:hideMark/>
          </w:tcPr>
          <w:p w14:paraId="7C5BB95F" w14:textId="77777777" w:rsidR="001E42B8" w:rsidRPr="00322DA0" w:rsidRDefault="001E42B8" w:rsidP="009646FF">
            <w:pPr>
              <w:pStyle w:val="JenniRefBody"/>
              <w:spacing w:line="360" w:lineRule="auto"/>
              <w:jc w:val="both"/>
              <w:rPr>
                <w:sz w:val="16"/>
                <w:szCs w:val="16"/>
              </w:rPr>
            </w:pPr>
            <w:r w:rsidRPr="00322DA0">
              <w:rPr>
                <w:sz w:val="16"/>
                <w:szCs w:val="16"/>
              </w:rPr>
              <w:t>Needs longitudinal and qualitative work</w:t>
            </w:r>
          </w:p>
        </w:tc>
        <w:tc>
          <w:tcPr>
            <w:tcW w:w="0" w:type="auto"/>
            <w:vAlign w:val="center"/>
            <w:hideMark/>
          </w:tcPr>
          <w:p w14:paraId="65E3772F" w14:textId="77777777" w:rsidR="001E42B8" w:rsidRPr="00322DA0" w:rsidRDefault="001E42B8" w:rsidP="009646FF">
            <w:pPr>
              <w:pStyle w:val="JenniRefBody"/>
              <w:spacing w:line="360" w:lineRule="auto"/>
              <w:jc w:val="both"/>
              <w:rPr>
                <w:sz w:val="16"/>
                <w:szCs w:val="16"/>
              </w:rPr>
            </w:pPr>
            <w:r w:rsidRPr="00322DA0">
              <w:rPr>
                <w:sz w:val="16"/>
                <w:szCs w:val="16"/>
              </w:rPr>
              <w:t>Conceptual grounding of DSQ</w:t>
            </w:r>
          </w:p>
        </w:tc>
        <w:tc>
          <w:tcPr>
            <w:tcW w:w="0" w:type="auto"/>
            <w:vAlign w:val="center"/>
            <w:hideMark/>
          </w:tcPr>
          <w:p w14:paraId="626021B6" w14:textId="77777777" w:rsidR="001E42B8" w:rsidRPr="00322DA0" w:rsidRDefault="001E42B8" w:rsidP="009646FF">
            <w:pPr>
              <w:pStyle w:val="JenniRefBody"/>
              <w:spacing w:line="360" w:lineRule="auto"/>
              <w:jc w:val="both"/>
              <w:rPr>
                <w:sz w:val="16"/>
                <w:szCs w:val="16"/>
              </w:rPr>
            </w:pPr>
            <w:r w:rsidRPr="00322DA0">
              <w:rPr>
                <w:sz w:val="16"/>
                <w:szCs w:val="16"/>
              </w:rPr>
              <w:t>Strong scale focus</w:t>
            </w:r>
          </w:p>
        </w:tc>
      </w:tr>
      <w:tr w:rsidR="006A3E9B" w:rsidRPr="00322DA0" w14:paraId="250DA641" w14:textId="77777777" w:rsidTr="009646FF">
        <w:trPr>
          <w:tblCellSpacing w:w="15" w:type="dxa"/>
        </w:trPr>
        <w:tc>
          <w:tcPr>
            <w:tcW w:w="0" w:type="auto"/>
            <w:vAlign w:val="center"/>
            <w:hideMark/>
          </w:tcPr>
          <w:p w14:paraId="430D4AFA" w14:textId="77777777" w:rsidR="001E42B8" w:rsidRPr="00322DA0" w:rsidRDefault="001E42B8" w:rsidP="009646FF">
            <w:pPr>
              <w:pStyle w:val="JenniRefBody"/>
              <w:spacing w:line="360" w:lineRule="auto"/>
              <w:jc w:val="both"/>
              <w:rPr>
                <w:sz w:val="16"/>
                <w:szCs w:val="16"/>
              </w:rPr>
            </w:pPr>
            <w:r w:rsidRPr="00322DA0">
              <w:rPr>
                <w:sz w:val="16"/>
                <w:szCs w:val="16"/>
              </w:rPr>
              <w:lastRenderedPageBreak/>
              <w:t>Chauhan et al.</w:t>
            </w:r>
          </w:p>
        </w:tc>
        <w:tc>
          <w:tcPr>
            <w:tcW w:w="0" w:type="auto"/>
            <w:vAlign w:val="center"/>
            <w:hideMark/>
          </w:tcPr>
          <w:p w14:paraId="70023009" w14:textId="77777777" w:rsidR="001E42B8" w:rsidRPr="00322DA0" w:rsidRDefault="001E42B8" w:rsidP="009646FF">
            <w:pPr>
              <w:pStyle w:val="JenniRefBody"/>
              <w:spacing w:line="360" w:lineRule="auto"/>
              <w:jc w:val="both"/>
              <w:rPr>
                <w:sz w:val="16"/>
                <w:szCs w:val="16"/>
              </w:rPr>
            </w:pPr>
            <w:r w:rsidRPr="00322DA0">
              <w:rPr>
                <w:sz w:val="16"/>
                <w:szCs w:val="16"/>
              </w:rPr>
              <w:t>2022</w:t>
            </w:r>
          </w:p>
        </w:tc>
        <w:tc>
          <w:tcPr>
            <w:tcW w:w="0" w:type="auto"/>
            <w:vAlign w:val="center"/>
            <w:hideMark/>
          </w:tcPr>
          <w:p w14:paraId="1EF9B398" w14:textId="77777777" w:rsidR="001E42B8" w:rsidRPr="00322DA0" w:rsidRDefault="001E42B8" w:rsidP="009646FF">
            <w:pPr>
              <w:pStyle w:val="JenniRefBody"/>
              <w:spacing w:line="360" w:lineRule="auto"/>
              <w:jc w:val="both"/>
              <w:rPr>
                <w:sz w:val="16"/>
                <w:szCs w:val="16"/>
              </w:rPr>
            </w:pPr>
            <w:r w:rsidRPr="00322DA0">
              <w:rPr>
                <w:sz w:val="16"/>
                <w:szCs w:val="16"/>
              </w:rPr>
              <w:t>Customer Experience in Digital Banking: A Review</w:t>
            </w:r>
          </w:p>
        </w:tc>
        <w:tc>
          <w:tcPr>
            <w:tcW w:w="0" w:type="auto"/>
            <w:vAlign w:val="center"/>
            <w:hideMark/>
          </w:tcPr>
          <w:p w14:paraId="6C6B9E77" w14:textId="77777777" w:rsidR="001E42B8" w:rsidRPr="00322DA0" w:rsidRDefault="001E42B8" w:rsidP="009646FF">
            <w:pPr>
              <w:pStyle w:val="JenniRefBody"/>
              <w:spacing w:line="360" w:lineRule="auto"/>
              <w:jc w:val="both"/>
              <w:rPr>
                <w:sz w:val="16"/>
                <w:szCs w:val="16"/>
              </w:rPr>
            </w:pPr>
            <w:r w:rsidRPr="00322DA0">
              <w:rPr>
                <w:sz w:val="16"/>
                <w:szCs w:val="16"/>
              </w:rPr>
              <w:t>Journal of Business Research</w:t>
            </w:r>
          </w:p>
        </w:tc>
        <w:tc>
          <w:tcPr>
            <w:tcW w:w="0" w:type="auto"/>
            <w:vAlign w:val="center"/>
            <w:hideMark/>
          </w:tcPr>
          <w:p w14:paraId="77AB29AC" w14:textId="77777777" w:rsidR="001E42B8" w:rsidRPr="00322DA0" w:rsidRDefault="001E42B8" w:rsidP="009646FF">
            <w:pPr>
              <w:pStyle w:val="JenniRefBody"/>
              <w:spacing w:line="360" w:lineRule="auto"/>
              <w:jc w:val="both"/>
              <w:rPr>
                <w:sz w:val="16"/>
                <w:szCs w:val="16"/>
              </w:rPr>
            </w:pPr>
            <w:r w:rsidRPr="00322DA0">
              <w:rPr>
                <w:sz w:val="16"/>
                <w:szCs w:val="16"/>
              </w:rPr>
              <w:t>Understanding CX in digital banking</w:t>
            </w:r>
          </w:p>
        </w:tc>
        <w:tc>
          <w:tcPr>
            <w:tcW w:w="0" w:type="auto"/>
            <w:vAlign w:val="center"/>
            <w:hideMark/>
          </w:tcPr>
          <w:p w14:paraId="7C6AA1CB" w14:textId="77777777" w:rsidR="001E42B8" w:rsidRPr="00322DA0" w:rsidRDefault="001E42B8" w:rsidP="009646FF">
            <w:pPr>
              <w:pStyle w:val="JenniRefBody"/>
              <w:spacing w:line="360" w:lineRule="auto"/>
              <w:jc w:val="both"/>
              <w:rPr>
                <w:sz w:val="16"/>
                <w:szCs w:val="16"/>
              </w:rPr>
            </w:pPr>
            <w:r w:rsidRPr="00322DA0">
              <w:rPr>
                <w:sz w:val="16"/>
                <w:szCs w:val="16"/>
              </w:rPr>
              <w:t>Experience-centric service logic</w:t>
            </w:r>
          </w:p>
        </w:tc>
        <w:tc>
          <w:tcPr>
            <w:tcW w:w="0" w:type="auto"/>
            <w:vAlign w:val="center"/>
            <w:hideMark/>
          </w:tcPr>
          <w:p w14:paraId="21CDE1C2" w14:textId="77777777" w:rsidR="001E42B8" w:rsidRPr="00322DA0" w:rsidRDefault="001E42B8" w:rsidP="009646FF">
            <w:pPr>
              <w:pStyle w:val="JenniRefBody"/>
              <w:spacing w:line="360" w:lineRule="auto"/>
              <w:jc w:val="both"/>
              <w:rPr>
                <w:sz w:val="16"/>
                <w:szCs w:val="16"/>
              </w:rPr>
            </w:pPr>
            <w:r w:rsidRPr="00322DA0">
              <w:rPr>
                <w:sz w:val="16"/>
                <w:szCs w:val="16"/>
              </w:rPr>
              <w:t>Systematic literature review</w:t>
            </w:r>
          </w:p>
        </w:tc>
        <w:tc>
          <w:tcPr>
            <w:tcW w:w="0" w:type="auto"/>
            <w:vAlign w:val="center"/>
            <w:hideMark/>
          </w:tcPr>
          <w:p w14:paraId="725A9070" w14:textId="77777777" w:rsidR="001E42B8" w:rsidRPr="00322DA0" w:rsidRDefault="001E42B8" w:rsidP="009646FF">
            <w:pPr>
              <w:pStyle w:val="JenniRefBody"/>
              <w:spacing w:line="360" w:lineRule="auto"/>
              <w:jc w:val="both"/>
              <w:rPr>
                <w:sz w:val="16"/>
                <w:szCs w:val="16"/>
              </w:rPr>
            </w:pPr>
            <w:r w:rsidRPr="00322DA0">
              <w:rPr>
                <w:sz w:val="16"/>
                <w:szCs w:val="16"/>
              </w:rPr>
              <w:t>CX shaped by functional, mechanic, humanic cues</w:t>
            </w:r>
          </w:p>
        </w:tc>
        <w:tc>
          <w:tcPr>
            <w:tcW w:w="0" w:type="auto"/>
            <w:vAlign w:val="center"/>
            <w:hideMark/>
          </w:tcPr>
          <w:p w14:paraId="17640509" w14:textId="77777777" w:rsidR="001E42B8" w:rsidRPr="00322DA0" w:rsidRDefault="001E42B8" w:rsidP="009646FF">
            <w:pPr>
              <w:pStyle w:val="JenniRefBody"/>
              <w:spacing w:line="360" w:lineRule="auto"/>
              <w:jc w:val="both"/>
              <w:rPr>
                <w:sz w:val="16"/>
                <w:szCs w:val="16"/>
              </w:rPr>
            </w:pPr>
            <w:r w:rsidRPr="00322DA0">
              <w:rPr>
                <w:sz w:val="16"/>
                <w:szCs w:val="16"/>
              </w:rPr>
              <w:t>Limited empirical interpretivist work</w:t>
            </w:r>
          </w:p>
        </w:tc>
        <w:tc>
          <w:tcPr>
            <w:tcW w:w="0" w:type="auto"/>
            <w:vAlign w:val="center"/>
            <w:hideMark/>
          </w:tcPr>
          <w:p w14:paraId="7321F6EB" w14:textId="77777777" w:rsidR="001E42B8" w:rsidRPr="00322DA0" w:rsidRDefault="001E42B8" w:rsidP="009646FF">
            <w:pPr>
              <w:pStyle w:val="JenniRefBody"/>
              <w:spacing w:line="360" w:lineRule="auto"/>
              <w:jc w:val="both"/>
              <w:rPr>
                <w:sz w:val="16"/>
                <w:szCs w:val="16"/>
              </w:rPr>
            </w:pPr>
            <w:r w:rsidRPr="00322DA0">
              <w:rPr>
                <w:sz w:val="16"/>
                <w:szCs w:val="16"/>
              </w:rPr>
              <w:t>Supports critique of methodological dominance</w:t>
            </w:r>
          </w:p>
        </w:tc>
        <w:tc>
          <w:tcPr>
            <w:tcW w:w="0" w:type="auto"/>
            <w:vAlign w:val="center"/>
            <w:hideMark/>
          </w:tcPr>
          <w:p w14:paraId="790A8E9A" w14:textId="77777777" w:rsidR="001E42B8" w:rsidRPr="00322DA0" w:rsidRDefault="001E42B8" w:rsidP="009646FF">
            <w:pPr>
              <w:pStyle w:val="JenniRefBody"/>
              <w:spacing w:line="360" w:lineRule="auto"/>
              <w:jc w:val="both"/>
              <w:rPr>
                <w:sz w:val="16"/>
                <w:szCs w:val="16"/>
              </w:rPr>
            </w:pPr>
            <w:r w:rsidRPr="00322DA0">
              <w:rPr>
                <w:sz w:val="16"/>
                <w:szCs w:val="16"/>
              </w:rPr>
              <w:t>Highlights complexity of experience</w:t>
            </w:r>
          </w:p>
        </w:tc>
      </w:tr>
      <w:tr w:rsidR="006A3E9B" w:rsidRPr="00322DA0" w14:paraId="3E9AA804" w14:textId="77777777" w:rsidTr="009646FF">
        <w:trPr>
          <w:tblCellSpacing w:w="15" w:type="dxa"/>
        </w:trPr>
        <w:tc>
          <w:tcPr>
            <w:tcW w:w="0" w:type="auto"/>
            <w:vAlign w:val="center"/>
            <w:hideMark/>
          </w:tcPr>
          <w:p w14:paraId="17AFCC47" w14:textId="77777777" w:rsidR="001E42B8" w:rsidRPr="00322DA0" w:rsidRDefault="001E42B8" w:rsidP="009646FF">
            <w:pPr>
              <w:pStyle w:val="JenniRefBody"/>
              <w:spacing w:line="360" w:lineRule="auto"/>
              <w:jc w:val="both"/>
              <w:rPr>
                <w:sz w:val="16"/>
                <w:szCs w:val="16"/>
              </w:rPr>
            </w:pPr>
            <w:r w:rsidRPr="00322DA0">
              <w:rPr>
                <w:sz w:val="16"/>
                <w:szCs w:val="16"/>
              </w:rPr>
              <w:t>Mbama</w:t>
            </w:r>
          </w:p>
        </w:tc>
        <w:tc>
          <w:tcPr>
            <w:tcW w:w="0" w:type="auto"/>
            <w:vAlign w:val="center"/>
            <w:hideMark/>
          </w:tcPr>
          <w:p w14:paraId="4E3C9044" w14:textId="77777777" w:rsidR="001E42B8" w:rsidRPr="00322DA0" w:rsidRDefault="001E42B8" w:rsidP="009646FF">
            <w:pPr>
              <w:pStyle w:val="JenniRefBody"/>
              <w:spacing w:line="360" w:lineRule="auto"/>
              <w:jc w:val="both"/>
              <w:rPr>
                <w:sz w:val="16"/>
                <w:szCs w:val="16"/>
              </w:rPr>
            </w:pPr>
            <w:r w:rsidRPr="00322DA0">
              <w:rPr>
                <w:sz w:val="16"/>
                <w:szCs w:val="16"/>
              </w:rPr>
              <w:t>2018</w:t>
            </w:r>
          </w:p>
        </w:tc>
        <w:tc>
          <w:tcPr>
            <w:tcW w:w="0" w:type="auto"/>
            <w:vAlign w:val="center"/>
            <w:hideMark/>
          </w:tcPr>
          <w:p w14:paraId="04775DB1" w14:textId="77777777" w:rsidR="001E42B8" w:rsidRPr="00322DA0" w:rsidRDefault="001E42B8" w:rsidP="009646FF">
            <w:pPr>
              <w:pStyle w:val="JenniRefBody"/>
              <w:spacing w:line="360" w:lineRule="auto"/>
              <w:jc w:val="both"/>
              <w:rPr>
                <w:sz w:val="16"/>
                <w:szCs w:val="16"/>
              </w:rPr>
            </w:pPr>
            <w:r w:rsidRPr="00322DA0">
              <w:rPr>
                <w:sz w:val="16"/>
                <w:szCs w:val="16"/>
              </w:rPr>
              <w:t>Digital Banking Customer Experience</w:t>
            </w:r>
          </w:p>
        </w:tc>
        <w:tc>
          <w:tcPr>
            <w:tcW w:w="0" w:type="auto"/>
            <w:vAlign w:val="center"/>
            <w:hideMark/>
          </w:tcPr>
          <w:p w14:paraId="725212BC" w14:textId="77777777" w:rsidR="001E42B8" w:rsidRPr="00322DA0" w:rsidRDefault="001E42B8" w:rsidP="009646FF">
            <w:pPr>
              <w:pStyle w:val="JenniRefBody"/>
              <w:spacing w:line="360" w:lineRule="auto"/>
              <w:jc w:val="both"/>
              <w:rPr>
                <w:sz w:val="16"/>
                <w:szCs w:val="16"/>
              </w:rPr>
            </w:pPr>
            <w:r w:rsidRPr="00322DA0">
              <w:rPr>
                <w:sz w:val="16"/>
                <w:szCs w:val="16"/>
              </w:rPr>
              <w:t>International Journal of Bank Marketing</w:t>
            </w:r>
          </w:p>
        </w:tc>
        <w:tc>
          <w:tcPr>
            <w:tcW w:w="0" w:type="auto"/>
            <w:vAlign w:val="center"/>
            <w:hideMark/>
          </w:tcPr>
          <w:p w14:paraId="51A5A26B" w14:textId="77777777" w:rsidR="001E42B8" w:rsidRPr="00322DA0" w:rsidRDefault="001E42B8" w:rsidP="009646FF">
            <w:pPr>
              <w:pStyle w:val="JenniRefBody"/>
              <w:spacing w:line="360" w:lineRule="auto"/>
              <w:jc w:val="both"/>
              <w:rPr>
                <w:sz w:val="16"/>
                <w:szCs w:val="16"/>
              </w:rPr>
            </w:pPr>
            <w:r w:rsidRPr="00322DA0">
              <w:rPr>
                <w:sz w:val="16"/>
                <w:szCs w:val="16"/>
              </w:rPr>
              <w:t>How digital platforms shape CX</w:t>
            </w:r>
          </w:p>
        </w:tc>
        <w:tc>
          <w:tcPr>
            <w:tcW w:w="0" w:type="auto"/>
            <w:vAlign w:val="center"/>
            <w:hideMark/>
          </w:tcPr>
          <w:p w14:paraId="5A54C0E8" w14:textId="77777777" w:rsidR="001E42B8" w:rsidRPr="00322DA0" w:rsidRDefault="001E42B8" w:rsidP="009646FF">
            <w:pPr>
              <w:pStyle w:val="JenniRefBody"/>
              <w:spacing w:line="360" w:lineRule="auto"/>
              <w:jc w:val="both"/>
              <w:rPr>
                <w:sz w:val="16"/>
                <w:szCs w:val="16"/>
              </w:rPr>
            </w:pPr>
            <w:r w:rsidRPr="00322DA0">
              <w:rPr>
                <w:sz w:val="16"/>
                <w:szCs w:val="16"/>
              </w:rPr>
              <w:t>Customer experience theory</w:t>
            </w:r>
          </w:p>
        </w:tc>
        <w:tc>
          <w:tcPr>
            <w:tcW w:w="0" w:type="auto"/>
            <w:vAlign w:val="center"/>
            <w:hideMark/>
          </w:tcPr>
          <w:p w14:paraId="00795C8D" w14:textId="77777777" w:rsidR="001E42B8" w:rsidRPr="00322DA0" w:rsidRDefault="001E42B8" w:rsidP="009646FF">
            <w:pPr>
              <w:pStyle w:val="JenniRefBody"/>
              <w:spacing w:line="360" w:lineRule="auto"/>
              <w:jc w:val="both"/>
              <w:rPr>
                <w:sz w:val="16"/>
                <w:szCs w:val="16"/>
              </w:rPr>
            </w:pPr>
            <w:r w:rsidRPr="00322DA0">
              <w:rPr>
                <w:sz w:val="16"/>
                <w:szCs w:val="16"/>
              </w:rPr>
              <w:t>Mixed methods</w:t>
            </w:r>
          </w:p>
        </w:tc>
        <w:tc>
          <w:tcPr>
            <w:tcW w:w="0" w:type="auto"/>
            <w:vAlign w:val="center"/>
            <w:hideMark/>
          </w:tcPr>
          <w:p w14:paraId="4AE03FA6" w14:textId="77777777" w:rsidR="001E42B8" w:rsidRPr="00322DA0" w:rsidRDefault="001E42B8" w:rsidP="009646FF">
            <w:pPr>
              <w:pStyle w:val="JenniRefBody"/>
              <w:spacing w:line="360" w:lineRule="auto"/>
              <w:jc w:val="both"/>
              <w:rPr>
                <w:sz w:val="16"/>
                <w:szCs w:val="16"/>
              </w:rPr>
            </w:pPr>
            <w:r w:rsidRPr="00322DA0">
              <w:rPr>
                <w:sz w:val="16"/>
                <w:szCs w:val="16"/>
              </w:rPr>
              <w:t>CX is multi-layered and relational</w:t>
            </w:r>
          </w:p>
        </w:tc>
        <w:tc>
          <w:tcPr>
            <w:tcW w:w="0" w:type="auto"/>
            <w:vAlign w:val="center"/>
            <w:hideMark/>
          </w:tcPr>
          <w:p w14:paraId="17F6A684" w14:textId="77777777" w:rsidR="001E42B8" w:rsidRPr="00322DA0" w:rsidRDefault="001E42B8" w:rsidP="009646FF">
            <w:pPr>
              <w:pStyle w:val="JenniRefBody"/>
              <w:spacing w:line="360" w:lineRule="auto"/>
              <w:jc w:val="both"/>
              <w:rPr>
                <w:sz w:val="16"/>
                <w:szCs w:val="16"/>
              </w:rPr>
            </w:pPr>
            <w:r w:rsidRPr="00322DA0">
              <w:rPr>
                <w:sz w:val="16"/>
                <w:szCs w:val="16"/>
              </w:rPr>
              <w:t>Needs philosophical engagement</w:t>
            </w:r>
          </w:p>
        </w:tc>
        <w:tc>
          <w:tcPr>
            <w:tcW w:w="0" w:type="auto"/>
            <w:vAlign w:val="center"/>
            <w:hideMark/>
          </w:tcPr>
          <w:p w14:paraId="6C5EC169" w14:textId="77777777" w:rsidR="001E42B8" w:rsidRPr="00322DA0" w:rsidRDefault="001E42B8" w:rsidP="009646FF">
            <w:pPr>
              <w:pStyle w:val="JenniRefBody"/>
              <w:spacing w:line="360" w:lineRule="auto"/>
              <w:jc w:val="both"/>
              <w:rPr>
                <w:sz w:val="16"/>
                <w:szCs w:val="16"/>
              </w:rPr>
            </w:pPr>
            <w:r w:rsidRPr="00322DA0">
              <w:rPr>
                <w:sz w:val="16"/>
                <w:szCs w:val="16"/>
              </w:rPr>
              <w:t>Used to critique DSQ reductionism</w:t>
            </w:r>
          </w:p>
        </w:tc>
        <w:tc>
          <w:tcPr>
            <w:tcW w:w="0" w:type="auto"/>
            <w:vAlign w:val="center"/>
            <w:hideMark/>
          </w:tcPr>
          <w:p w14:paraId="0A2EC079" w14:textId="77777777" w:rsidR="001E42B8" w:rsidRPr="00322DA0" w:rsidRDefault="001E42B8" w:rsidP="009646FF">
            <w:pPr>
              <w:pStyle w:val="JenniRefBody"/>
              <w:spacing w:line="360" w:lineRule="auto"/>
              <w:jc w:val="both"/>
              <w:rPr>
                <w:sz w:val="16"/>
                <w:szCs w:val="16"/>
              </w:rPr>
            </w:pPr>
            <w:r w:rsidRPr="00322DA0">
              <w:rPr>
                <w:sz w:val="16"/>
                <w:szCs w:val="16"/>
              </w:rPr>
              <w:t>Earlier but conceptually important</w:t>
            </w:r>
          </w:p>
        </w:tc>
      </w:tr>
      <w:tr w:rsidR="006A3E9B" w:rsidRPr="00322DA0" w14:paraId="17F22619" w14:textId="77777777" w:rsidTr="009646FF">
        <w:trPr>
          <w:tblCellSpacing w:w="15" w:type="dxa"/>
        </w:trPr>
        <w:tc>
          <w:tcPr>
            <w:tcW w:w="0" w:type="auto"/>
            <w:vAlign w:val="center"/>
            <w:hideMark/>
          </w:tcPr>
          <w:p w14:paraId="4E2C74EC" w14:textId="77777777" w:rsidR="001E42B8" w:rsidRPr="00322DA0" w:rsidRDefault="001E42B8" w:rsidP="009646FF">
            <w:pPr>
              <w:pStyle w:val="JenniRefBody"/>
              <w:spacing w:line="360" w:lineRule="auto"/>
              <w:jc w:val="both"/>
              <w:rPr>
                <w:sz w:val="16"/>
                <w:szCs w:val="16"/>
              </w:rPr>
            </w:pPr>
            <w:r w:rsidRPr="00322DA0">
              <w:rPr>
                <w:sz w:val="16"/>
                <w:szCs w:val="16"/>
              </w:rPr>
              <w:t>Hordofa</w:t>
            </w:r>
          </w:p>
        </w:tc>
        <w:tc>
          <w:tcPr>
            <w:tcW w:w="0" w:type="auto"/>
            <w:vAlign w:val="center"/>
            <w:hideMark/>
          </w:tcPr>
          <w:p w14:paraId="1A8E68EA" w14:textId="77777777" w:rsidR="001E42B8" w:rsidRPr="00322DA0" w:rsidRDefault="001E42B8" w:rsidP="009646FF">
            <w:pPr>
              <w:pStyle w:val="JenniRefBody"/>
              <w:spacing w:line="360" w:lineRule="auto"/>
              <w:jc w:val="both"/>
              <w:rPr>
                <w:sz w:val="16"/>
                <w:szCs w:val="16"/>
              </w:rPr>
            </w:pPr>
            <w:r w:rsidRPr="00322DA0">
              <w:rPr>
                <w:sz w:val="16"/>
                <w:szCs w:val="16"/>
              </w:rPr>
              <w:t>2023</w:t>
            </w:r>
          </w:p>
        </w:tc>
        <w:tc>
          <w:tcPr>
            <w:tcW w:w="0" w:type="auto"/>
            <w:vAlign w:val="center"/>
            <w:hideMark/>
          </w:tcPr>
          <w:p w14:paraId="645B910D" w14:textId="77777777" w:rsidR="001E42B8" w:rsidRPr="00322DA0" w:rsidRDefault="001E42B8" w:rsidP="009646FF">
            <w:pPr>
              <w:pStyle w:val="JenniRefBody"/>
              <w:spacing w:line="360" w:lineRule="auto"/>
              <w:jc w:val="both"/>
              <w:rPr>
                <w:sz w:val="16"/>
                <w:szCs w:val="16"/>
              </w:rPr>
            </w:pPr>
            <w:r w:rsidRPr="00322DA0">
              <w:rPr>
                <w:sz w:val="16"/>
                <w:szCs w:val="16"/>
              </w:rPr>
              <w:t>Human–Technology Interaction in Digital Banking</w:t>
            </w:r>
          </w:p>
        </w:tc>
        <w:tc>
          <w:tcPr>
            <w:tcW w:w="0" w:type="auto"/>
            <w:vAlign w:val="center"/>
            <w:hideMark/>
          </w:tcPr>
          <w:p w14:paraId="27D89AD5" w14:textId="77777777" w:rsidR="001E42B8" w:rsidRPr="00322DA0" w:rsidRDefault="001E42B8" w:rsidP="009646FF">
            <w:pPr>
              <w:pStyle w:val="JenniRefBody"/>
              <w:spacing w:line="360" w:lineRule="auto"/>
              <w:jc w:val="both"/>
              <w:rPr>
                <w:sz w:val="16"/>
                <w:szCs w:val="16"/>
              </w:rPr>
            </w:pPr>
            <w:r w:rsidRPr="00322DA0">
              <w:rPr>
                <w:sz w:val="16"/>
                <w:szCs w:val="16"/>
              </w:rPr>
              <w:t>Information Systems Journal</w:t>
            </w:r>
          </w:p>
        </w:tc>
        <w:tc>
          <w:tcPr>
            <w:tcW w:w="0" w:type="auto"/>
            <w:vAlign w:val="center"/>
            <w:hideMark/>
          </w:tcPr>
          <w:p w14:paraId="3BB8A190" w14:textId="77777777" w:rsidR="001E42B8" w:rsidRPr="00322DA0" w:rsidRDefault="001E42B8" w:rsidP="009646FF">
            <w:pPr>
              <w:pStyle w:val="JenniRefBody"/>
              <w:spacing w:line="360" w:lineRule="auto"/>
              <w:jc w:val="both"/>
              <w:rPr>
                <w:sz w:val="16"/>
                <w:szCs w:val="16"/>
              </w:rPr>
            </w:pPr>
            <w:r w:rsidRPr="00322DA0">
              <w:rPr>
                <w:sz w:val="16"/>
                <w:szCs w:val="16"/>
              </w:rPr>
              <w:t>Interaction effects in digital banking</w:t>
            </w:r>
          </w:p>
        </w:tc>
        <w:tc>
          <w:tcPr>
            <w:tcW w:w="0" w:type="auto"/>
            <w:vAlign w:val="center"/>
            <w:hideMark/>
          </w:tcPr>
          <w:p w14:paraId="351AF664" w14:textId="77777777" w:rsidR="001E42B8" w:rsidRPr="00322DA0" w:rsidRDefault="001E42B8" w:rsidP="009646FF">
            <w:pPr>
              <w:pStyle w:val="JenniRefBody"/>
              <w:spacing w:line="360" w:lineRule="auto"/>
              <w:jc w:val="both"/>
              <w:rPr>
                <w:sz w:val="16"/>
                <w:szCs w:val="16"/>
              </w:rPr>
            </w:pPr>
            <w:r w:rsidRPr="00322DA0">
              <w:rPr>
                <w:sz w:val="16"/>
                <w:szCs w:val="16"/>
              </w:rPr>
              <w:t>Socio-technical systems</w:t>
            </w:r>
          </w:p>
        </w:tc>
        <w:tc>
          <w:tcPr>
            <w:tcW w:w="0" w:type="auto"/>
            <w:vAlign w:val="center"/>
            <w:hideMark/>
          </w:tcPr>
          <w:p w14:paraId="666B3570" w14:textId="77777777" w:rsidR="001E42B8" w:rsidRPr="00322DA0" w:rsidRDefault="001E42B8" w:rsidP="009646FF">
            <w:pPr>
              <w:pStyle w:val="JenniRefBody"/>
              <w:spacing w:line="360" w:lineRule="auto"/>
              <w:jc w:val="both"/>
              <w:rPr>
                <w:sz w:val="16"/>
                <w:szCs w:val="16"/>
              </w:rPr>
            </w:pPr>
            <w:r w:rsidRPr="00322DA0">
              <w:rPr>
                <w:sz w:val="16"/>
                <w:szCs w:val="16"/>
              </w:rPr>
              <w:t>Qualitative</w:t>
            </w:r>
          </w:p>
        </w:tc>
        <w:tc>
          <w:tcPr>
            <w:tcW w:w="0" w:type="auto"/>
            <w:vAlign w:val="center"/>
            <w:hideMark/>
          </w:tcPr>
          <w:p w14:paraId="39EE0518" w14:textId="77777777" w:rsidR="001E42B8" w:rsidRPr="00322DA0" w:rsidRDefault="001E42B8" w:rsidP="009646FF">
            <w:pPr>
              <w:pStyle w:val="JenniRefBody"/>
              <w:spacing w:line="360" w:lineRule="auto"/>
              <w:jc w:val="both"/>
              <w:rPr>
                <w:sz w:val="16"/>
                <w:szCs w:val="16"/>
              </w:rPr>
            </w:pPr>
            <w:r w:rsidRPr="00322DA0">
              <w:rPr>
                <w:sz w:val="16"/>
                <w:szCs w:val="16"/>
              </w:rPr>
              <w:t>Experience shaped by interaction and context</w:t>
            </w:r>
          </w:p>
        </w:tc>
        <w:tc>
          <w:tcPr>
            <w:tcW w:w="0" w:type="auto"/>
            <w:vAlign w:val="center"/>
            <w:hideMark/>
          </w:tcPr>
          <w:p w14:paraId="7B4649C6" w14:textId="77777777" w:rsidR="001E42B8" w:rsidRPr="00322DA0" w:rsidRDefault="001E42B8" w:rsidP="009646FF">
            <w:pPr>
              <w:pStyle w:val="JenniRefBody"/>
              <w:spacing w:line="360" w:lineRule="auto"/>
              <w:jc w:val="both"/>
              <w:rPr>
                <w:sz w:val="16"/>
                <w:szCs w:val="16"/>
              </w:rPr>
            </w:pPr>
            <w:r w:rsidRPr="00322DA0">
              <w:rPr>
                <w:sz w:val="16"/>
                <w:szCs w:val="16"/>
              </w:rPr>
              <w:t>Limited generalisability</w:t>
            </w:r>
          </w:p>
        </w:tc>
        <w:tc>
          <w:tcPr>
            <w:tcW w:w="0" w:type="auto"/>
            <w:vAlign w:val="center"/>
            <w:hideMark/>
          </w:tcPr>
          <w:p w14:paraId="52892BE3" w14:textId="77777777" w:rsidR="001E42B8" w:rsidRPr="00322DA0" w:rsidRDefault="001E42B8" w:rsidP="009646FF">
            <w:pPr>
              <w:pStyle w:val="JenniRefBody"/>
              <w:spacing w:line="360" w:lineRule="auto"/>
              <w:jc w:val="both"/>
              <w:rPr>
                <w:sz w:val="16"/>
                <w:szCs w:val="16"/>
              </w:rPr>
            </w:pPr>
            <w:r w:rsidRPr="00322DA0">
              <w:rPr>
                <w:sz w:val="16"/>
                <w:szCs w:val="16"/>
              </w:rPr>
              <w:t>Supports interpretivist critique</w:t>
            </w:r>
          </w:p>
        </w:tc>
        <w:tc>
          <w:tcPr>
            <w:tcW w:w="0" w:type="auto"/>
            <w:vAlign w:val="center"/>
            <w:hideMark/>
          </w:tcPr>
          <w:p w14:paraId="73658026" w14:textId="77777777" w:rsidR="001E42B8" w:rsidRPr="00322DA0" w:rsidRDefault="001E42B8" w:rsidP="009646FF">
            <w:pPr>
              <w:pStyle w:val="JenniRefBody"/>
              <w:spacing w:line="360" w:lineRule="auto"/>
              <w:jc w:val="both"/>
              <w:rPr>
                <w:sz w:val="16"/>
                <w:szCs w:val="16"/>
              </w:rPr>
            </w:pPr>
            <w:r w:rsidRPr="00322DA0">
              <w:rPr>
                <w:sz w:val="16"/>
                <w:szCs w:val="16"/>
              </w:rPr>
              <w:t>Counters positivist dominance</w:t>
            </w:r>
          </w:p>
        </w:tc>
      </w:tr>
      <w:tr w:rsidR="006A3E9B" w:rsidRPr="00322DA0" w14:paraId="76235016" w14:textId="77777777" w:rsidTr="009646FF">
        <w:trPr>
          <w:tblCellSpacing w:w="15" w:type="dxa"/>
        </w:trPr>
        <w:tc>
          <w:tcPr>
            <w:tcW w:w="0" w:type="auto"/>
            <w:vAlign w:val="center"/>
            <w:hideMark/>
          </w:tcPr>
          <w:p w14:paraId="3FAC3CF6" w14:textId="77777777" w:rsidR="001E42B8" w:rsidRPr="00322DA0" w:rsidRDefault="001E42B8" w:rsidP="009646FF">
            <w:pPr>
              <w:pStyle w:val="JenniRefBody"/>
              <w:spacing w:line="360" w:lineRule="auto"/>
              <w:jc w:val="both"/>
              <w:rPr>
                <w:sz w:val="16"/>
                <w:szCs w:val="16"/>
              </w:rPr>
            </w:pPr>
            <w:r w:rsidRPr="00322DA0">
              <w:rPr>
                <w:sz w:val="16"/>
                <w:szCs w:val="16"/>
              </w:rPr>
              <w:t>Gahler et al.</w:t>
            </w:r>
          </w:p>
        </w:tc>
        <w:tc>
          <w:tcPr>
            <w:tcW w:w="0" w:type="auto"/>
            <w:vAlign w:val="center"/>
            <w:hideMark/>
          </w:tcPr>
          <w:p w14:paraId="4DAB85D4" w14:textId="77777777" w:rsidR="001E42B8" w:rsidRPr="00322DA0" w:rsidRDefault="001E42B8" w:rsidP="009646FF">
            <w:pPr>
              <w:pStyle w:val="JenniRefBody"/>
              <w:spacing w:line="360" w:lineRule="auto"/>
              <w:jc w:val="both"/>
              <w:rPr>
                <w:sz w:val="16"/>
                <w:szCs w:val="16"/>
              </w:rPr>
            </w:pPr>
            <w:r w:rsidRPr="00322DA0">
              <w:rPr>
                <w:sz w:val="16"/>
                <w:szCs w:val="16"/>
              </w:rPr>
              <w:t>2022</w:t>
            </w:r>
          </w:p>
        </w:tc>
        <w:tc>
          <w:tcPr>
            <w:tcW w:w="0" w:type="auto"/>
            <w:vAlign w:val="center"/>
            <w:hideMark/>
          </w:tcPr>
          <w:p w14:paraId="4839F566" w14:textId="77777777" w:rsidR="001E42B8" w:rsidRPr="00322DA0" w:rsidRDefault="001E42B8" w:rsidP="009646FF">
            <w:pPr>
              <w:pStyle w:val="JenniRefBody"/>
              <w:spacing w:line="360" w:lineRule="auto"/>
              <w:jc w:val="both"/>
              <w:rPr>
                <w:sz w:val="16"/>
                <w:szCs w:val="16"/>
              </w:rPr>
            </w:pPr>
            <w:r w:rsidRPr="00322DA0">
              <w:rPr>
                <w:sz w:val="16"/>
                <w:szCs w:val="16"/>
              </w:rPr>
              <w:t>Customer Experience Capability and Value Creation</w:t>
            </w:r>
          </w:p>
        </w:tc>
        <w:tc>
          <w:tcPr>
            <w:tcW w:w="0" w:type="auto"/>
            <w:vAlign w:val="center"/>
            <w:hideMark/>
          </w:tcPr>
          <w:p w14:paraId="72882CA8" w14:textId="77777777" w:rsidR="001E42B8" w:rsidRPr="00322DA0" w:rsidRDefault="001E42B8" w:rsidP="009646FF">
            <w:pPr>
              <w:pStyle w:val="JenniRefBody"/>
              <w:spacing w:line="360" w:lineRule="auto"/>
              <w:jc w:val="both"/>
              <w:rPr>
                <w:sz w:val="16"/>
                <w:szCs w:val="16"/>
              </w:rPr>
            </w:pPr>
            <w:r w:rsidRPr="00322DA0">
              <w:rPr>
                <w:sz w:val="16"/>
                <w:szCs w:val="16"/>
              </w:rPr>
              <w:t>Journal of Service Management</w:t>
            </w:r>
          </w:p>
        </w:tc>
        <w:tc>
          <w:tcPr>
            <w:tcW w:w="0" w:type="auto"/>
            <w:vAlign w:val="center"/>
            <w:hideMark/>
          </w:tcPr>
          <w:p w14:paraId="6D262ABB" w14:textId="77777777" w:rsidR="001E42B8" w:rsidRPr="00322DA0" w:rsidRDefault="001E42B8" w:rsidP="009646FF">
            <w:pPr>
              <w:pStyle w:val="JenniRefBody"/>
              <w:spacing w:line="360" w:lineRule="auto"/>
              <w:jc w:val="both"/>
              <w:rPr>
                <w:sz w:val="16"/>
                <w:szCs w:val="16"/>
              </w:rPr>
            </w:pPr>
            <w:r w:rsidRPr="00322DA0">
              <w:rPr>
                <w:sz w:val="16"/>
                <w:szCs w:val="16"/>
              </w:rPr>
              <w:t>How organisations build CX capability</w:t>
            </w:r>
          </w:p>
        </w:tc>
        <w:tc>
          <w:tcPr>
            <w:tcW w:w="0" w:type="auto"/>
            <w:vAlign w:val="center"/>
            <w:hideMark/>
          </w:tcPr>
          <w:p w14:paraId="6C4231F4" w14:textId="77777777" w:rsidR="001E42B8" w:rsidRPr="00322DA0" w:rsidRDefault="001E42B8" w:rsidP="009646FF">
            <w:pPr>
              <w:pStyle w:val="JenniRefBody"/>
              <w:spacing w:line="360" w:lineRule="auto"/>
              <w:jc w:val="both"/>
              <w:rPr>
                <w:sz w:val="16"/>
                <w:szCs w:val="16"/>
              </w:rPr>
            </w:pPr>
            <w:r w:rsidRPr="00322DA0">
              <w:rPr>
                <w:sz w:val="16"/>
                <w:szCs w:val="16"/>
              </w:rPr>
              <w:t>Experience capability framework</w:t>
            </w:r>
          </w:p>
        </w:tc>
        <w:tc>
          <w:tcPr>
            <w:tcW w:w="0" w:type="auto"/>
            <w:vAlign w:val="center"/>
            <w:hideMark/>
          </w:tcPr>
          <w:p w14:paraId="42835EBE" w14:textId="77777777" w:rsidR="001E42B8" w:rsidRPr="00322DA0" w:rsidRDefault="001E42B8" w:rsidP="009646FF">
            <w:pPr>
              <w:pStyle w:val="JenniRefBody"/>
              <w:spacing w:line="360" w:lineRule="auto"/>
              <w:jc w:val="both"/>
              <w:rPr>
                <w:sz w:val="16"/>
                <w:szCs w:val="16"/>
              </w:rPr>
            </w:pPr>
            <w:r w:rsidRPr="00322DA0">
              <w:rPr>
                <w:sz w:val="16"/>
                <w:szCs w:val="16"/>
              </w:rPr>
              <w:t>Quantitative; mediation analysis</w:t>
            </w:r>
          </w:p>
        </w:tc>
        <w:tc>
          <w:tcPr>
            <w:tcW w:w="0" w:type="auto"/>
            <w:vAlign w:val="center"/>
            <w:hideMark/>
          </w:tcPr>
          <w:p w14:paraId="44D677AA" w14:textId="77777777" w:rsidR="001E42B8" w:rsidRPr="00322DA0" w:rsidRDefault="001E42B8" w:rsidP="009646FF">
            <w:pPr>
              <w:pStyle w:val="JenniRefBody"/>
              <w:spacing w:line="360" w:lineRule="auto"/>
              <w:jc w:val="both"/>
              <w:rPr>
                <w:sz w:val="16"/>
                <w:szCs w:val="16"/>
              </w:rPr>
            </w:pPr>
            <w:r w:rsidRPr="00322DA0">
              <w:rPr>
                <w:sz w:val="16"/>
                <w:szCs w:val="16"/>
              </w:rPr>
              <w:t>CX capability mediates performance</w:t>
            </w:r>
          </w:p>
        </w:tc>
        <w:tc>
          <w:tcPr>
            <w:tcW w:w="0" w:type="auto"/>
            <w:vAlign w:val="center"/>
            <w:hideMark/>
          </w:tcPr>
          <w:p w14:paraId="72B98A06" w14:textId="77777777" w:rsidR="001E42B8" w:rsidRPr="00322DA0" w:rsidRDefault="001E42B8" w:rsidP="009646FF">
            <w:pPr>
              <w:pStyle w:val="JenniRefBody"/>
              <w:spacing w:line="360" w:lineRule="auto"/>
              <w:jc w:val="both"/>
              <w:rPr>
                <w:sz w:val="16"/>
                <w:szCs w:val="16"/>
              </w:rPr>
            </w:pPr>
            <w:r w:rsidRPr="00322DA0">
              <w:rPr>
                <w:sz w:val="16"/>
                <w:szCs w:val="16"/>
              </w:rPr>
              <w:t>Treats experience as outcome variable</w:t>
            </w:r>
          </w:p>
        </w:tc>
        <w:tc>
          <w:tcPr>
            <w:tcW w:w="0" w:type="auto"/>
            <w:vAlign w:val="center"/>
            <w:hideMark/>
          </w:tcPr>
          <w:p w14:paraId="52F0FD24" w14:textId="77777777" w:rsidR="001E42B8" w:rsidRPr="00322DA0" w:rsidRDefault="001E42B8" w:rsidP="009646FF">
            <w:pPr>
              <w:pStyle w:val="JenniRefBody"/>
              <w:spacing w:line="360" w:lineRule="auto"/>
              <w:jc w:val="both"/>
              <w:rPr>
                <w:sz w:val="16"/>
                <w:szCs w:val="16"/>
              </w:rPr>
            </w:pPr>
            <w:r w:rsidRPr="00322DA0">
              <w:rPr>
                <w:sz w:val="16"/>
                <w:szCs w:val="16"/>
              </w:rPr>
              <w:t>Central to Theme 2</w:t>
            </w:r>
          </w:p>
        </w:tc>
        <w:tc>
          <w:tcPr>
            <w:tcW w:w="0" w:type="auto"/>
            <w:vAlign w:val="center"/>
            <w:hideMark/>
          </w:tcPr>
          <w:p w14:paraId="022C3CC0" w14:textId="77777777" w:rsidR="001E42B8" w:rsidRPr="00322DA0" w:rsidRDefault="001E42B8" w:rsidP="009646FF">
            <w:pPr>
              <w:pStyle w:val="JenniRefBody"/>
              <w:spacing w:line="360" w:lineRule="auto"/>
              <w:jc w:val="both"/>
              <w:rPr>
                <w:sz w:val="16"/>
                <w:szCs w:val="16"/>
              </w:rPr>
            </w:pPr>
            <w:r w:rsidRPr="00322DA0">
              <w:rPr>
                <w:sz w:val="16"/>
                <w:szCs w:val="16"/>
              </w:rPr>
              <w:t>Partial philosophical shift</w:t>
            </w:r>
          </w:p>
        </w:tc>
      </w:tr>
      <w:tr w:rsidR="006A3E9B" w:rsidRPr="00322DA0" w14:paraId="4ED92DF2" w14:textId="77777777" w:rsidTr="009646FF">
        <w:trPr>
          <w:tblCellSpacing w:w="15" w:type="dxa"/>
        </w:trPr>
        <w:tc>
          <w:tcPr>
            <w:tcW w:w="0" w:type="auto"/>
            <w:vAlign w:val="center"/>
            <w:hideMark/>
          </w:tcPr>
          <w:p w14:paraId="43C460FE" w14:textId="77777777" w:rsidR="001E42B8" w:rsidRPr="00322DA0" w:rsidRDefault="001E42B8" w:rsidP="009646FF">
            <w:pPr>
              <w:pStyle w:val="JenniRefBody"/>
              <w:spacing w:line="360" w:lineRule="auto"/>
              <w:jc w:val="both"/>
              <w:rPr>
                <w:sz w:val="16"/>
                <w:szCs w:val="16"/>
              </w:rPr>
            </w:pPr>
            <w:r w:rsidRPr="00322DA0">
              <w:rPr>
                <w:sz w:val="16"/>
                <w:szCs w:val="16"/>
              </w:rPr>
              <w:t>Becker &amp; Jaakkola</w:t>
            </w:r>
          </w:p>
        </w:tc>
        <w:tc>
          <w:tcPr>
            <w:tcW w:w="0" w:type="auto"/>
            <w:vAlign w:val="center"/>
            <w:hideMark/>
          </w:tcPr>
          <w:p w14:paraId="5FC9CA8F" w14:textId="77777777" w:rsidR="001E42B8" w:rsidRPr="00322DA0" w:rsidRDefault="001E42B8" w:rsidP="009646FF">
            <w:pPr>
              <w:pStyle w:val="JenniRefBody"/>
              <w:spacing w:line="360" w:lineRule="auto"/>
              <w:jc w:val="both"/>
              <w:rPr>
                <w:sz w:val="16"/>
                <w:szCs w:val="16"/>
              </w:rPr>
            </w:pPr>
            <w:r w:rsidRPr="00322DA0">
              <w:rPr>
                <w:sz w:val="16"/>
                <w:szCs w:val="16"/>
              </w:rPr>
              <w:t>2020</w:t>
            </w:r>
          </w:p>
        </w:tc>
        <w:tc>
          <w:tcPr>
            <w:tcW w:w="0" w:type="auto"/>
            <w:vAlign w:val="center"/>
            <w:hideMark/>
          </w:tcPr>
          <w:p w14:paraId="5B6CCB6E" w14:textId="77777777" w:rsidR="001E42B8" w:rsidRPr="00322DA0" w:rsidRDefault="001E42B8" w:rsidP="009646FF">
            <w:pPr>
              <w:pStyle w:val="JenniRefBody"/>
              <w:spacing w:line="360" w:lineRule="auto"/>
              <w:jc w:val="both"/>
              <w:rPr>
                <w:sz w:val="16"/>
                <w:szCs w:val="16"/>
              </w:rPr>
            </w:pPr>
            <w:r w:rsidRPr="00322DA0">
              <w:rPr>
                <w:sz w:val="16"/>
                <w:szCs w:val="16"/>
              </w:rPr>
              <w:t>Customer Experience: Fundamental Premises</w:t>
            </w:r>
          </w:p>
        </w:tc>
        <w:tc>
          <w:tcPr>
            <w:tcW w:w="0" w:type="auto"/>
            <w:vAlign w:val="center"/>
            <w:hideMark/>
          </w:tcPr>
          <w:p w14:paraId="77C521FC" w14:textId="77777777" w:rsidR="001E42B8" w:rsidRPr="00322DA0" w:rsidRDefault="001E42B8" w:rsidP="009646FF">
            <w:pPr>
              <w:pStyle w:val="JenniRefBody"/>
              <w:spacing w:line="360" w:lineRule="auto"/>
              <w:jc w:val="both"/>
              <w:rPr>
                <w:sz w:val="16"/>
                <w:szCs w:val="16"/>
              </w:rPr>
            </w:pPr>
            <w:r w:rsidRPr="00322DA0">
              <w:rPr>
                <w:sz w:val="16"/>
                <w:szCs w:val="16"/>
              </w:rPr>
              <w:t>Journal of the Academy of Marketing Science</w:t>
            </w:r>
          </w:p>
        </w:tc>
        <w:tc>
          <w:tcPr>
            <w:tcW w:w="0" w:type="auto"/>
            <w:vAlign w:val="center"/>
            <w:hideMark/>
          </w:tcPr>
          <w:p w14:paraId="60B5B762" w14:textId="77777777" w:rsidR="001E42B8" w:rsidRPr="00322DA0" w:rsidRDefault="001E42B8" w:rsidP="009646FF">
            <w:pPr>
              <w:pStyle w:val="JenniRefBody"/>
              <w:spacing w:line="360" w:lineRule="auto"/>
              <w:jc w:val="both"/>
              <w:rPr>
                <w:sz w:val="16"/>
                <w:szCs w:val="16"/>
              </w:rPr>
            </w:pPr>
            <w:r w:rsidRPr="00322DA0">
              <w:rPr>
                <w:sz w:val="16"/>
                <w:szCs w:val="16"/>
              </w:rPr>
              <w:t>Conceptual clarity of CX</w:t>
            </w:r>
          </w:p>
        </w:tc>
        <w:tc>
          <w:tcPr>
            <w:tcW w:w="0" w:type="auto"/>
            <w:vAlign w:val="center"/>
            <w:hideMark/>
          </w:tcPr>
          <w:p w14:paraId="364907BD" w14:textId="77777777" w:rsidR="001E42B8" w:rsidRPr="00322DA0" w:rsidRDefault="001E42B8" w:rsidP="009646FF">
            <w:pPr>
              <w:pStyle w:val="JenniRefBody"/>
              <w:spacing w:line="360" w:lineRule="auto"/>
              <w:jc w:val="both"/>
              <w:rPr>
                <w:sz w:val="16"/>
                <w:szCs w:val="16"/>
              </w:rPr>
            </w:pPr>
            <w:r w:rsidRPr="00322DA0">
              <w:rPr>
                <w:sz w:val="16"/>
                <w:szCs w:val="16"/>
              </w:rPr>
              <w:t>Experience as co-creation</w:t>
            </w:r>
          </w:p>
        </w:tc>
        <w:tc>
          <w:tcPr>
            <w:tcW w:w="0" w:type="auto"/>
            <w:vAlign w:val="center"/>
            <w:hideMark/>
          </w:tcPr>
          <w:p w14:paraId="2ABAAF09" w14:textId="77777777" w:rsidR="001E42B8" w:rsidRPr="00322DA0" w:rsidRDefault="001E42B8" w:rsidP="009646FF">
            <w:pPr>
              <w:pStyle w:val="JenniRefBody"/>
              <w:spacing w:line="360" w:lineRule="auto"/>
              <w:jc w:val="both"/>
              <w:rPr>
                <w:sz w:val="16"/>
                <w:szCs w:val="16"/>
              </w:rPr>
            </w:pPr>
            <w:r w:rsidRPr="00322DA0">
              <w:rPr>
                <w:sz w:val="16"/>
                <w:szCs w:val="16"/>
              </w:rPr>
              <w:t>Conceptual paper</w:t>
            </w:r>
          </w:p>
        </w:tc>
        <w:tc>
          <w:tcPr>
            <w:tcW w:w="0" w:type="auto"/>
            <w:vAlign w:val="center"/>
            <w:hideMark/>
          </w:tcPr>
          <w:p w14:paraId="56D9A9C9" w14:textId="77777777" w:rsidR="001E42B8" w:rsidRPr="00322DA0" w:rsidRDefault="001E42B8" w:rsidP="009646FF">
            <w:pPr>
              <w:pStyle w:val="JenniRefBody"/>
              <w:spacing w:line="360" w:lineRule="auto"/>
              <w:jc w:val="both"/>
              <w:rPr>
                <w:sz w:val="16"/>
                <w:szCs w:val="16"/>
              </w:rPr>
            </w:pPr>
            <w:r w:rsidRPr="00322DA0">
              <w:rPr>
                <w:sz w:val="16"/>
                <w:szCs w:val="16"/>
              </w:rPr>
              <w:t>CX is socially constructed</w:t>
            </w:r>
          </w:p>
        </w:tc>
        <w:tc>
          <w:tcPr>
            <w:tcW w:w="0" w:type="auto"/>
            <w:vAlign w:val="center"/>
            <w:hideMark/>
          </w:tcPr>
          <w:p w14:paraId="775362BA" w14:textId="77777777" w:rsidR="001E42B8" w:rsidRPr="00322DA0" w:rsidRDefault="001E42B8" w:rsidP="009646FF">
            <w:pPr>
              <w:pStyle w:val="JenniRefBody"/>
              <w:spacing w:line="360" w:lineRule="auto"/>
              <w:jc w:val="both"/>
              <w:rPr>
                <w:sz w:val="16"/>
                <w:szCs w:val="16"/>
              </w:rPr>
            </w:pPr>
            <w:r w:rsidRPr="00322DA0">
              <w:rPr>
                <w:sz w:val="16"/>
                <w:szCs w:val="16"/>
              </w:rPr>
              <w:t>Needs empirical validation</w:t>
            </w:r>
          </w:p>
        </w:tc>
        <w:tc>
          <w:tcPr>
            <w:tcW w:w="0" w:type="auto"/>
            <w:vAlign w:val="center"/>
            <w:hideMark/>
          </w:tcPr>
          <w:p w14:paraId="54FF6A30" w14:textId="77777777" w:rsidR="001E42B8" w:rsidRPr="00322DA0" w:rsidRDefault="001E42B8" w:rsidP="009646FF">
            <w:pPr>
              <w:pStyle w:val="JenniRefBody"/>
              <w:spacing w:line="360" w:lineRule="auto"/>
              <w:jc w:val="both"/>
              <w:rPr>
                <w:sz w:val="16"/>
                <w:szCs w:val="16"/>
              </w:rPr>
            </w:pPr>
            <w:r w:rsidRPr="00322DA0">
              <w:rPr>
                <w:sz w:val="16"/>
                <w:szCs w:val="16"/>
              </w:rPr>
              <w:t>Supports ontological critique</w:t>
            </w:r>
          </w:p>
        </w:tc>
        <w:tc>
          <w:tcPr>
            <w:tcW w:w="0" w:type="auto"/>
            <w:vAlign w:val="center"/>
            <w:hideMark/>
          </w:tcPr>
          <w:p w14:paraId="65998D93" w14:textId="77777777" w:rsidR="001E42B8" w:rsidRPr="00322DA0" w:rsidRDefault="001E42B8" w:rsidP="009646FF">
            <w:pPr>
              <w:pStyle w:val="JenniRefBody"/>
              <w:spacing w:line="360" w:lineRule="auto"/>
              <w:jc w:val="both"/>
              <w:rPr>
                <w:sz w:val="16"/>
                <w:szCs w:val="16"/>
              </w:rPr>
            </w:pPr>
            <w:r w:rsidRPr="00322DA0">
              <w:rPr>
                <w:sz w:val="16"/>
                <w:szCs w:val="16"/>
              </w:rPr>
              <w:t>Key theoretical anchor</w:t>
            </w:r>
          </w:p>
        </w:tc>
      </w:tr>
      <w:tr w:rsidR="006A3E9B" w:rsidRPr="00322DA0" w14:paraId="13973978" w14:textId="77777777" w:rsidTr="009646FF">
        <w:trPr>
          <w:tblCellSpacing w:w="15" w:type="dxa"/>
        </w:trPr>
        <w:tc>
          <w:tcPr>
            <w:tcW w:w="0" w:type="auto"/>
            <w:vAlign w:val="center"/>
            <w:hideMark/>
          </w:tcPr>
          <w:p w14:paraId="7CC48C2E" w14:textId="77777777" w:rsidR="001E42B8" w:rsidRPr="00322DA0" w:rsidRDefault="001E42B8" w:rsidP="009646FF">
            <w:pPr>
              <w:pStyle w:val="JenniRefBody"/>
              <w:spacing w:line="360" w:lineRule="auto"/>
              <w:jc w:val="both"/>
              <w:rPr>
                <w:sz w:val="16"/>
                <w:szCs w:val="16"/>
              </w:rPr>
            </w:pPr>
            <w:r w:rsidRPr="00322DA0">
              <w:rPr>
                <w:sz w:val="16"/>
                <w:szCs w:val="16"/>
              </w:rPr>
              <w:t>Kandil et al.</w:t>
            </w:r>
          </w:p>
        </w:tc>
        <w:tc>
          <w:tcPr>
            <w:tcW w:w="0" w:type="auto"/>
            <w:vAlign w:val="center"/>
            <w:hideMark/>
          </w:tcPr>
          <w:p w14:paraId="1B42B6CD" w14:textId="77777777" w:rsidR="001E42B8" w:rsidRPr="00322DA0" w:rsidRDefault="001E42B8" w:rsidP="009646FF">
            <w:pPr>
              <w:pStyle w:val="JenniRefBody"/>
              <w:spacing w:line="360" w:lineRule="auto"/>
              <w:jc w:val="both"/>
              <w:rPr>
                <w:sz w:val="16"/>
                <w:szCs w:val="16"/>
              </w:rPr>
            </w:pPr>
            <w:r w:rsidRPr="00322DA0">
              <w:rPr>
                <w:sz w:val="16"/>
                <w:szCs w:val="16"/>
              </w:rPr>
              <w:t>2024</w:t>
            </w:r>
          </w:p>
        </w:tc>
        <w:tc>
          <w:tcPr>
            <w:tcW w:w="0" w:type="auto"/>
            <w:vAlign w:val="center"/>
            <w:hideMark/>
          </w:tcPr>
          <w:p w14:paraId="696B9423" w14:textId="77777777" w:rsidR="001E42B8" w:rsidRPr="00322DA0" w:rsidRDefault="001E42B8" w:rsidP="009646FF">
            <w:pPr>
              <w:pStyle w:val="JenniRefBody"/>
              <w:spacing w:line="360" w:lineRule="auto"/>
              <w:jc w:val="both"/>
              <w:rPr>
                <w:sz w:val="16"/>
                <w:szCs w:val="16"/>
              </w:rPr>
            </w:pPr>
            <w:r w:rsidRPr="00322DA0">
              <w:rPr>
                <w:sz w:val="16"/>
                <w:szCs w:val="16"/>
              </w:rPr>
              <w:t>Digital Touchpoints and Trust</w:t>
            </w:r>
          </w:p>
        </w:tc>
        <w:tc>
          <w:tcPr>
            <w:tcW w:w="0" w:type="auto"/>
            <w:vAlign w:val="center"/>
            <w:hideMark/>
          </w:tcPr>
          <w:p w14:paraId="5F1EEF5C" w14:textId="77777777" w:rsidR="001E42B8" w:rsidRPr="00322DA0" w:rsidRDefault="001E42B8" w:rsidP="009646FF">
            <w:pPr>
              <w:pStyle w:val="JenniRefBody"/>
              <w:spacing w:line="360" w:lineRule="auto"/>
              <w:jc w:val="both"/>
              <w:rPr>
                <w:sz w:val="16"/>
                <w:szCs w:val="16"/>
              </w:rPr>
            </w:pPr>
            <w:r w:rsidRPr="00322DA0">
              <w:rPr>
                <w:sz w:val="16"/>
                <w:szCs w:val="16"/>
              </w:rPr>
              <w:t>Journal of Interactive Marketing</w:t>
            </w:r>
          </w:p>
        </w:tc>
        <w:tc>
          <w:tcPr>
            <w:tcW w:w="0" w:type="auto"/>
            <w:vAlign w:val="center"/>
            <w:hideMark/>
          </w:tcPr>
          <w:p w14:paraId="40D184CC" w14:textId="77777777" w:rsidR="001E42B8" w:rsidRPr="00322DA0" w:rsidRDefault="001E42B8" w:rsidP="009646FF">
            <w:pPr>
              <w:pStyle w:val="JenniRefBody"/>
              <w:spacing w:line="360" w:lineRule="auto"/>
              <w:jc w:val="both"/>
              <w:rPr>
                <w:sz w:val="16"/>
                <w:szCs w:val="16"/>
              </w:rPr>
            </w:pPr>
            <w:r w:rsidRPr="00322DA0">
              <w:rPr>
                <w:sz w:val="16"/>
                <w:szCs w:val="16"/>
              </w:rPr>
              <w:t>Trust formation in digital CX</w:t>
            </w:r>
          </w:p>
        </w:tc>
        <w:tc>
          <w:tcPr>
            <w:tcW w:w="0" w:type="auto"/>
            <w:vAlign w:val="center"/>
            <w:hideMark/>
          </w:tcPr>
          <w:p w14:paraId="40E060EC" w14:textId="77777777" w:rsidR="001E42B8" w:rsidRPr="00322DA0" w:rsidRDefault="001E42B8" w:rsidP="009646FF">
            <w:pPr>
              <w:pStyle w:val="JenniRefBody"/>
              <w:spacing w:line="360" w:lineRule="auto"/>
              <w:jc w:val="both"/>
              <w:rPr>
                <w:sz w:val="16"/>
                <w:szCs w:val="16"/>
              </w:rPr>
            </w:pPr>
            <w:r w:rsidRPr="00322DA0">
              <w:rPr>
                <w:sz w:val="16"/>
                <w:szCs w:val="16"/>
              </w:rPr>
              <w:t>Trust and experience theory</w:t>
            </w:r>
          </w:p>
        </w:tc>
        <w:tc>
          <w:tcPr>
            <w:tcW w:w="0" w:type="auto"/>
            <w:vAlign w:val="center"/>
            <w:hideMark/>
          </w:tcPr>
          <w:p w14:paraId="7AF31D44" w14:textId="77777777" w:rsidR="001E42B8" w:rsidRPr="00322DA0" w:rsidRDefault="001E42B8" w:rsidP="009646FF">
            <w:pPr>
              <w:pStyle w:val="JenniRefBody"/>
              <w:spacing w:line="360" w:lineRule="auto"/>
              <w:jc w:val="both"/>
              <w:rPr>
                <w:sz w:val="16"/>
                <w:szCs w:val="16"/>
              </w:rPr>
            </w:pPr>
            <w:r w:rsidRPr="00322DA0">
              <w:rPr>
                <w:sz w:val="16"/>
                <w:szCs w:val="16"/>
              </w:rPr>
              <w:t>Quantitative survey</w:t>
            </w:r>
          </w:p>
        </w:tc>
        <w:tc>
          <w:tcPr>
            <w:tcW w:w="0" w:type="auto"/>
            <w:vAlign w:val="center"/>
            <w:hideMark/>
          </w:tcPr>
          <w:p w14:paraId="5BB6AA3E" w14:textId="77777777" w:rsidR="001E42B8" w:rsidRPr="00322DA0" w:rsidRDefault="001E42B8" w:rsidP="009646FF">
            <w:pPr>
              <w:pStyle w:val="JenniRefBody"/>
              <w:spacing w:line="360" w:lineRule="auto"/>
              <w:jc w:val="both"/>
              <w:rPr>
                <w:sz w:val="16"/>
                <w:szCs w:val="16"/>
              </w:rPr>
            </w:pPr>
            <w:r w:rsidRPr="00322DA0">
              <w:rPr>
                <w:sz w:val="16"/>
                <w:szCs w:val="16"/>
              </w:rPr>
              <w:t>Trust mediates CX–loyalty link</w:t>
            </w:r>
          </w:p>
        </w:tc>
        <w:tc>
          <w:tcPr>
            <w:tcW w:w="0" w:type="auto"/>
            <w:vAlign w:val="center"/>
            <w:hideMark/>
          </w:tcPr>
          <w:p w14:paraId="09AE0623" w14:textId="77777777" w:rsidR="001E42B8" w:rsidRPr="00322DA0" w:rsidRDefault="001E42B8" w:rsidP="009646FF">
            <w:pPr>
              <w:pStyle w:val="JenniRefBody"/>
              <w:spacing w:line="360" w:lineRule="auto"/>
              <w:jc w:val="both"/>
              <w:rPr>
                <w:sz w:val="16"/>
                <w:szCs w:val="16"/>
              </w:rPr>
            </w:pPr>
            <w:r w:rsidRPr="00322DA0">
              <w:rPr>
                <w:sz w:val="16"/>
                <w:szCs w:val="16"/>
              </w:rPr>
              <w:t>Ignores narrative sensemaking</w:t>
            </w:r>
          </w:p>
        </w:tc>
        <w:tc>
          <w:tcPr>
            <w:tcW w:w="0" w:type="auto"/>
            <w:vAlign w:val="center"/>
            <w:hideMark/>
          </w:tcPr>
          <w:p w14:paraId="742E189F" w14:textId="77777777" w:rsidR="001E42B8" w:rsidRPr="00322DA0" w:rsidRDefault="001E42B8" w:rsidP="009646FF">
            <w:pPr>
              <w:pStyle w:val="JenniRefBody"/>
              <w:spacing w:line="360" w:lineRule="auto"/>
              <w:jc w:val="both"/>
              <w:rPr>
                <w:sz w:val="16"/>
                <w:szCs w:val="16"/>
              </w:rPr>
            </w:pPr>
            <w:r w:rsidRPr="00322DA0">
              <w:rPr>
                <w:sz w:val="16"/>
                <w:szCs w:val="16"/>
              </w:rPr>
              <w:t>Supports epistemological critique</w:t>
            </w:r>
          </w:p>
        </w:tc>
        <w:tc>
          <w:tcPr>
            <w:tcW w:w="0" w:type="auto"/>
            <w:vAlign w:val="center"/>
            <w:hideMark/>
          </w:tcPr>
          <w:p w14:paraId="27737689" w14:textId="77777777" w:rsidR="001E42B8" w:rsidRPr="00322DA0" w:rsidRDefault="001E42B8" w:rsidP="009646FF">
            <w:pPr>
              <w:pStyle w:val="JenniRefBody"/>
              <w:spacing w:line="360" w:lineRule="auto"/>
              <w:jc w:val="both"/>
              <w:rPr>
                <w:sz w:val="16"/>
                <w:szCs w:val="16"/>
              </w:rPr>
            </w:pPr>
            <w:r w:rsidRPr="00322DA0">
              <w:rPr>
                <w:sz w:val="16"/>
                <w:szCs w:val="16"/>
              </w:rPr>
              <w:t>Trust treated instrumentally</w:t>
            </w:r>
          </w:p>
        </w:tc>
      </w:tr>
      <w:tr w:rsidR="006A3E9B" w:rsidRPr="00322DA0" w14:paraId="23B34781" w14:textId="77777777" w:rsidTr="009646FF">
        <w:trPr>
          <w:tblCellSpacing w:w="15" w:type="dxa"/>
        </w:trPr>
        <w:tc>
          <w:tcPr>
            <w:tcW w:w="0" w:type="auto"/>
            <w:vAlign w:val="center"/>
            <w:hideMark/>
          </w:tcPr>
          <w:p w14:paraId="2B845FF3" w14:textId="77777777" w:rsidR="001E42B8" w:rsidRPr="00322DA0" w:rsidRDefault="001E42B8" w:rsidP="009646FF">
            <w:pPr>
              <w:pStyle w:val="JenniRefBody"/>
              <w:spacing w:line="360" w:lineRule="auto"/>
              <w:jc w:val="both"/>
              <w:rPr>
                <w:sz w:val="16"/>
                <w:szCs w:val="16"/>
              </w:rPr>
            </w:pPr>
            <w:r w:rsidRPr="00322DA0">
              <w:rPr>
                <w:sz w:val="16"/>
                <w:szCs w:val="16"/>
              </w:rPr>
              <w:lastRenderedPageBreak/>
              <w:t>Nørfelt et al.</w:t>
            </w:r>
          </w:p>
        </w:tc>
        <w:tc>
          <w:tcPr>
            <w:tcW w:w="0" w:type="auto"/>
            <w:vAlign w:val="center"/>
            <w:hideMark/>
          </w:tcPr>
          <w:p w14:paraId="1061BF54" w14:textId="77777777" w:rsidR="001E42B8" w:rsidRPr="00322DA0" w:rsidRDefault="001E42B8" w:rsidP="009646FF">
            <w:pPr>
              <w:pStyle w:val="JenniRefBody"/>
              <w:spacing w:line="360" w:lineRule="auto"/>
              <w:jc w:val="both"/>
              <w:rPr>
                <w:sz w:val="16"/>
                <w:szCs w:val="16"/>
              </w:rPr>
            </w:pPr>
            <w:r w:rsidRPr="00322DA0">
              <w:rPr>
                <w:sz w:val="16"/>
                <w:szCs w:val="16"/>
              </w:rPr>
              <w:t>2018</w:t>
            </w:r>
          </w:p>
        </w:tc>
        <w:tc>
          <w:tcPr>
            <w:tcW w:w="0" w:type="auto"/>
            <w:vAlign w:val="center"/>
            <w:hideMark/>
          </w:tcPr>
          <w:p w14:paraId="10F5A906" w14:textId="77777777" w:rsidR="001E42B8" w:rsidRPr="00322DA0" w:rsidRDefault="001E42B8" w:rsidP="009646FF">
            <w:pPr>
              <w:pStyle w:val="JenniRefBody"/>
              <w:spacing w:line="360" w:lineRule="auto"/>
              <w:jc w:val="both"/>
              <w:rPr>
                <w:sz w:val="16"/>
                <w:szCs w:val="16"/>
              </w:rPr>
            </w:pPr>
            <w:r w:rsidRPr="00322DA0">
              <w:rPr>
                <w:sz w:val="16"/>
                <w:szCs w:val="16"/>
              </w:rPr>
              <w:t>Experience Quality in Digital Health Services</w:t>
            </w:r>
          </w:p>
        </w:tc>
        <w:tc>
          <w:tcPr>
            <w:tcW w:w="0" w:type="auto"/>
            <w:vAlign w:val="center"/>
            <w:hideMark/>
          </w:tcPr>
          <w:p w14:paraId="3B6204CD" w14:textId="77777777" w:rsidR="001E42B8" w:rsidRPr="00322DA0" w:rsidRDefault="001E42B8" w:rsidP="009646FF">
            <w:pPr>
              <w:pStyle w:val="JenniRefBody"/>
              <w:spacing w:line="360" w:lineRule="auto"/>
              <w:jc w:val="both"/>
              <w:rPr>
                <w:sz w:val="16"/>
                <w:szCs w:val="16"/>
              </w:rPr>
            </w:pPr>
            <w:r w:rsidRPr="00322DA0">
              <w:rPr>
                <w:sz w:val="16"/>
                <w:szCs w:val="16"/>
              </w:rPr>
              <w:t>Journal of Service Research</w:t>
            </w:r>
          </w:p>
        </w:tc>
        <w:tc>
          <w:tcPr>
            <w:tcW w:w="0" w:type="auto"/>
            <w:vAlign w:val="center"/>
            <w:hideMark/>
          </w:tcPr>
          <w:p w14:paraId="3A5EFA19" w14:textId="77777777" w:rsidR="001E42B8" w:rsidRPr="00322DA0" w:rsidRDefault="001E42B8" w:rsidP="009646FF">
            <w:pPr>
              <w:pStyle w:val="JenniRefBody"/>
              <w:spacing w:line="360" w:lineRule="auto"/>
              <w:jc w:val="both"/>
              <w:rPr>
                <w:sz w:val="16"/>
                <w:szCs w:val="16"/>
              </w:rPr>
            </w:pPr>
            <w:r w:rsidRPr="00322DA0">
              <w:rPr>
                <w:sz w:val="16"/>
                <w:szCs w:val="16"/>
              </w:rPr>
              <w:t>Experience perception in digital services</w:t>
            </w:r>
          </w:p>
        </w:tc>
        <w:tc>
          <w:tcPr>
            <w:tcW w:w="0" w:type="auto"/>
            <w:vAlign w:val="center"/>
            <w:hideMark/>
          </w:tcPr>
          <w:p w14:paraId="68AD71D0" w14:textId="77777777" w:rsidR="001E42B8" w:rsidRPr="00322DA0" w:rsidRDefault="001E42B8" w:rsidP="009646FF">
            <w:pPr>
              <w:pStyle w:val="JenniRefBody"/>
              <w:spacing w:line="360" w:lineRule="auto"/>
              <w:jc w:val="both"/>
              <w:rPr>
                <w:sz w:val="16"/>
                <w:szCs w:val="16"/>
              </w:rPr>
            </w:pPr>
            <w:r w:rsidRPr="00322DA0">
              <w:rPr>
                <w:sz w:val="16"/>
                <w:szCs w:val="16"/>
              </w:rPr>
              <w:t>Experience quality theory</w:t>
            </w:r>
          </w:p>
        </w:tc>
        <w:tc>
          <w:tcPr>
            <w:tcW w:w="0" w:type="auto"/>
            <w:vAlign w:val="center"/>
            <w:hideMark/>
          </w:tcPr>
          <w:p w14:paraId="60F42582" w14:textId="77777777" w:rsidR="001E42B8" w:rsidRPr="00322DA0" w:rsidRDefault="001E42B8" w:rsidP="009646FF">
            <w:pPr>
              <w:pStyle w:val="JenniRefBody"/>
              <w:spacing w:line="360" w:lineRule="auto"/>
              <w:jc w:val="both"/>
              <w:rPr>
                <w:sz w:val="16"/>
                <w:szCs w:val="16"/>
              </w:rPr>
            </w:pPr>
            <w:r w:rsidRPr="00322DA0">
              <w:rPr>
                <w:sz w:val="16"/>
                <w:szCs w:val="16"/>
              </w:rPr>
              <w:t>Mixed methods</w:t>
            </w:r>
          </w:p>
        </w:tc>
        <w:tc>
          <w:tcPr>
            <w:tcW w:w="0" w:type="auto"/>
            <w:vAlign w:val="center"/>
            <w:hideMark/>
          </w:tcPr>
          <w:p w14:paraId="114FCA1D" w14:textId="77777777" w:rsidR="001E42B8" w:rsidRPr="00322DA0" w:rsidRDefault="001E42B8" w:rsidP="009646FF">
            <w:pPr>
              <w:pStyle w:val="JenniRefBody"/>
              <w:spacing w:line="360" w:lineRule="auto"/>
              <w:jc w:val="both"/>
              <w:rPr>
                <w:sz w:val="16"/>
                <w:szCs w:val="16"/>
              </w:rPr>
            </w:pPr>
            <w:r w:rsidRPr="00322DA0">
              <w:rPr>
                <w:sz w:val="16"/>
                <w:szCs w:val="16"/>
              </w:rPr>
              <w:t>Experience is subjective and contextual</w:t>
            </w:r>
          </w:p>
        </w:tc>
        <w:tc>
          <w:tcPr>
            <w:tcW w:w="0" w:type="auto"/>
            <w:vAlign w:val="center"/>
            <w:hideMark/>
          </w:tcPr>
          <w:p w14:paraId="3D0984DD" w14:textId="77777777" w:rsidR="001E42B8" w:rsidRPr="00322DA0" w:rsidRDefault="001E42B8" w:rsidP="009646FF">
            <w:pPr>
              <w:pStyle w:val="JenniRefBody"/>
              <w:spacing w:line="360" w:lineRule="auto"/>
              <w:jc w:val="both"/>
              <w:rPr>
                <w:sz w:val="16"/>
                <w:szCs w:val="16"/>
              </w:rPr>
            </w:pPr>
            <w:r w:rsidRPr="00322DA0">
              <w:rPr>
                <w:sz w:val="16"/>
                <w:szCs w:val="16"/>
              </w:rPr>
              <w:t>Limited sector transferability</w:t>
            </w:r>
          </w:p>
        </w:tc>
        <w:tc>
          <w:tcPr>
            <w:tcW w:w="0" w:type="auto"/>
            <w:vAlign w:val="center"/>
            <w:hideMark/>
          </w:tcPr>
          <w:p w14:paraId="313AF352" w14:textId="77777777" w:rsidR="001E42B8" w:rsidRPr="00322DA0" w:rsidRDefault="001E42B8" w:rsidP="009646FF">
            <w:pPr>
              <w:pStyle w:val="JenniRefBody"/>
              <w:spacing w:line="360" w:lineRule="auto"/>
              <w:jc w:val="both"/>
              <w:rPr>
                <w:sz w:val="16"/>
                <w:szCs w:val="16"/>
              </w:rPr>
            </w:pPr>
            <w:r w:rsidRPr="00322DA0">
              <w:rPr>
                <w:sz w:val="16"/>
                <w:szCs w:val="16"/>
              </w:rPr>
              <w:t>Used for cross-context critique</w:t>
            </w:r>
          </w:p>
        </w:tc>
        <w:tc>
          <w:tcPr>
            <w:tcW w:w="0" w:type="auto"/>
            <w:vAlign w:val="center"/>
            <w:hideMark/>
          </w:tcPr>
          <w:p w14:paraId="3D954CE2" w14:textId="77777777" w:rsidR="001E42B8" w:rsidRPr="00322DA0" w:rsidRDefault="001E42B8" w:rsidP="009646FF">
            <w:pPr>
              <w:pStyle w:val="JenniRefBody"/>
              <w:spacing w:line="360" w:lineRule="auto"/>
              <w:jc w:val="both"/>
              <w:rPr>
                <w:sz w:val="16"/>
                <w:szCs w:val="16"/>
              </w:rPr>
            </w:pPr>
            <w:r w:rsidRPr="00322DA0">
              <w:rPr>
                <w:sz w:val="16"/>
                <w:szCs w:val="16"/>
              </w:rPr>
              <w:t>Highlights transferability issues</w:t>
            </w:r>
          </w:p>
        </w:tc>
      </w:tr>
      <w:tr w:rsidR="006A3E9B" w:rsidRPr="00322DA0" w14:paraId="1BB52D5E" w14:textId="77777777" w:rsidTr="009646FF">
        <w:trPr>
          <w:tblCellSpacing w:w="15" w:type="dxa"/>
        </w:trPr>
        <w:tc>
          <w:tcPr>
            <w:tcW w:w="0" w:type="auto"/>
            <w:vAlign w:val="center"/>
            <w:hideMark/>
          </w:tcPr>
          <w:p w14:paraId="2FCAEBB1" w14:textId="77777777" w:rsidR="001E42B8" w:rsidRPr="00322DA0" w:rsidRDefault="001E42B8" w:rsidP="009646FF">
            <w:pPr>
              <w:pStyle w:val="JenniRefBody"/>
              <w:spacing w:line="360" w:lineRule="auto"/>
              <w:jc w:val="both"/>
              <w:rPr>
                <w:sz w:val="16"/>
                <w:szCs w:val="16"/>
              </w:rPr>
            </w:pPr>
            <w:r w:rsidRPr="00322DA0">
              <w:rPr>
                <w:sz w:val="16"/>
                <w:szCs w:val="16"/>
              </w:rPr>
              <w:t>Hani et al.</w:t>
            </w:r>
          </w:p>
        </w:tc>
        <w:tc>
          <w:tcPr>
            <w:tcW w:w="0" w:type="auto"/>
            <w:vAlign w:val="center"/>
            <w:hideMark/>
          </w:tcPr>
          <w:p w14:paraId="16C0B840" w14:textId="77777777" w:rsidR="001E42B8" w:rsidRPr="00322DA0" w:rsidRDefault="001E42B8" w:rsidP="009646FF">
            <w:pPr>
              <w:pStyle w:val="JenniRefBody"/>
              <w:spacing w:line="360" w:lineRule="auto"/>
              <w:jc w:val="both"/>
              <w:rPr>
                <w:sz w:val="16"/>
                <w:szCs w:val="16"/>
              </w:rPr>
            </w:pPr>
            <w:r w:rsidRPr="00322DA0">
              <w:rPr>
                <w:sz w:val="16"/>
                <w:szCs w:val="16"/>
              </w:rPr>
              <w:t>2022</w:t>
            </w:r>
          </w:p>
        </w:tc>
        <w:tc>
          <w:tcPr>
            <w:tcW w:w="0" w:type="auto"/>
            <w:vAlign w:val="center"/>
            <w:hideMark/>
          </w:tcPr>
          <w:p w14:paraId="7A6925A5" w14:textId="77777777" w:rsidR="001E42B8" w:rsidRPr="00322DA0" w:rsidRDefault="001E42B8" w:rsidP="009646FF">
            <w:pPr>
              <w:pStyle w:val="JenniRefBody"/>
              <w:spacing w:line="360" w:lineRule="auto"/>
              <w:jc w:val="both"/>
              <w:rPr>
                <w:sz w:val="16"/>
                <w:szCs w:val="16"/>
              </w:rPr>
            </w:pPr>
            <w:r w:rsidRPr="00322DA0">
              <w:rPr>
                <w:sz w:val="16"/>
                <w:szCs w:val="16"/>
              </w:rPr>
              <w:t>Digital Trust and Loyalty</w:t>
            </w:r>
          </w:p>
        </w:tc>
        <w:tc>
          <w:tcPr>
            <w:tcW w:w="0" w:type="auto"/>
            <w:vAlign w:val="center"/>
            <w:hideMark/>
          </w:tcPr>
          <w:p w14:paraId="2ED62633" w14:textId="77777777" w:rsidR="001E42B8" w:rsidRPr="00322DA0" w:rsidRDefault="001E42B8" w:rsidP="009646FF">
            <w:pPr>
              <w:pStyle w:val="JenniRefBody"/>
              <w:spacing w:line="360" w:lineRule="auto"/>
              <w:jc w:val="both"/>
              <w:rPr>
                <w:sz w:val="16"/>
                <w:szCs w:val="16"/>
              </w:rPr>
            </w:pPr>
            <w:r w:rsidRPr="00322DA0">
              <w:rPr>
                <w:sz w:val="16"/>
                <w:szCs w:val="16"/>
              </w:rPr>
              <w:t>Journal of Consumer Behaviour</w:t>
            </w:r>
          </w:p>
        </w:tc>
        <w:tc>
          <w:tcPr>
            <w:tcW w:w="0" w:type="auto"/>
            <w:vAlign w:val="center"/>
            <w:hideMark/>
          </w:tcPr>
          <w:p w14:paraId="688444B9" w14:textId="77777777" w:rsidR="001E42B8" w:rsidRPr="00322DA0" w:rsidRDefault="001E42B8" w:rsidP="009646FF">
            <w:pPr>
              <w:pStyle w:val="JenniRefBody"/>
              <w:spacing w:line="360" w:lineRule="auto"/>
              <w:jc w:val="both"/>
              <w:rPr>
                <w:sz w:val="16"/>
                <w:szCs w:val="16"/>
              </w:rPr>
            </w:pPr>
            <w:r w:rsidRPr="00322DA0">
              <w:rPr>
                <w:sz w:val="16"/>
                <w:szCs w:val="16"/>
              </w:rPr>
              <w:t>Digital trust effects on loyalty</w:t>
            </w:r>
          </w:p>
        </w:tc>
        <w:tc>
          <w:tcPr>
            <w:tcW w:w="0" w:type="auto"/>
            <w:vAlign w:val="center"/>
            <w:hideMark/>
          </w:tcPr>
          <w:p w14:paraId="354D5103" w14:textId="77777777" w:rsidR="001E42B8" w:rsidRPr="00322DA0" w:rsidRDefault="001E42B8" w:rsidP="009646FF">
            <w:pPr>
              <w:pStyle w:val="JenniRefBody"/>
              <w:spacing w:line="360" w:lineRule="auto"/>
              <w:jc w:val="both"/>
              <w:rPr>
                <w:sz w:val="16"/>
                <w:szCs w:val="16"/>
              </w:rPr>
            </w:pPr>
            <w:r w:rsidRPr="00322DA0">
              <w:rPr>
                <w:sz w:val="16"/>
                <w:szCs w:val="16"/>
              </w:rPr>
              <w:t>Trust-based loyalty theory</w:t>
            </w:r>
          </w:p>
        </w:tc>
        <w:tc>
          <w:tcPr>
            <w:tcW w:w="0" w:type="auto"/>
            <w:vAlign w:val="center"/>
            <w:hideMark/>
          </w:tcPr>
          <w:p w14:paraId="7229B7D4" w14:textId="77777777" w:rsidR="001E42B8" w:rsidRPr="00322DA0" w:rsidRDefault="001E42B8" w:rsidP="009646FF">
            <w:pPr>
              <w:pStyle w:val="JenniRefBody"/>
              <w:spacing w:line="360" w:lineRule="auto"/>
              <w:jc w:val="both"/>
              <w:rPr>
                <w:sz w:val="16"/>
                <w:szCs w:val="16"/>
              </w:rPr>
            </w:pPr>
            <w:r w:rsidRPr="00322DA0">
              <w:rPr>
                <w:sz w:val="16"/>
                <w:szCs w:val="16"/>
              </w:rPr>
              <w:t>Quantitative survey</w:t>
            </w:r>
          </w:p>
        </w:tc>
        <w:tc>
          <w:tcPr>
            <w:tcW w:w="0" w:type="auto"/>
            <w:vAlign w:val="center"/>
            <w:hideMark/>
          </w:tcPr>
          <w:p w14:paraId="457E34C1" w14:textId="77777777" w:rsidR="001E42B8" w:rsidRPr="00322DA0" w:rsidRDefault="001E42B8" w:rsidP="009646FF">
            <w:pPr>
              <w:pStyle w:val="JenniRefBody"/>
              <w:spacing w:line="360" w:lineRule="auto"/>
              <w:jc w:val="both"/>
              <w:rPr>
                <w:sz w:val="16"/>
                <w:szCs w:val="16"/>
              </w:rPr>
            </w:pPr>
            <w:r w:rsidRPr="00322DA0">
              <w:rPr>
                <w:sz w:val="16"/>
                <w:szCs w:val="16"/>
              </w:rPr>
              <w:t>Trust predicts loyalty</w:t>
            </w:r>
          </w:p>
        </w:tc>
        <w:tc>
          <w:tcPr>
            <w:tcW w:w="0" w:type="auto"/>
            <w:vAlign w:val="center"/>
            <w:hideMark/>
          </w:tcPr>
          <w:p w14:paraId="15BAA9F5" w14:textId="77777777" w:rsidR="001E42B8" w:rsidRPr="00322DA0" w:rsidRDefault="001E42B8" w:rsidP="009646FF">
            <w:pPr>
              <w:pStyle w:val="JenniRefBody"/>
              <w:spacing w:line="360" w:lineRule="auto"/>
              <w:jc w:val="both"/>
              <w:rPr>
                <w:sz w:val="16"/>
                <w:szCs w:val="16"/>
              </w:rPr>
            </w:pPr>
            <w:r w:rsidRPr="00322DA0">
              <w:rPr>
                <w:sz w:val="16"/>
                <w:szCs w:val="16"/>
              </w:rPr>
              <w:t>Loyalty treated as static</w:t>
            </w:r>
          </w:p>
        </w:tc>
        <w:tc>
          <w:tcPr>
            <w:tcW w:w="0" w:type="auto"/>
            <w:vAlign w:val="center"/>
            <w:hideMark/>
          </w:tcPr>
          <w:p w14:paraId="3516C750" w14:textId="77777777" w:rsidR="001E42B8" w:rsidRPr="00322DA0" w:rsidRDefault="001E42B8" w:rsidP="009646FF">
            <w:pPr>
              <w:pStyle w:val="JenniRefBody"/>
              <w:spacing w:line="360" w:lineRule="auto"/>
              <w:jc w:val="both"/>
              <w:rPr>
                <w:sz w:val="16"/>
                <w:szCs w:val="16"/>
              </w:rPr>
            </w:pPr>
            <w:r w:rsidRPr="00322DA0">
              <w:rPr>
                <w:sz w:val="16"/>
                <w:szCs w:val="16"/>
              </w:rPr>
              <w:t>Used in Theme 3</w:t>
            </w:r>
          </w:p>
        </w:tc>
        <w:tc>
          <w:tcPr>
            <w:tcW w:w="0" w:type="auto"/>
            <w:vAlign w:val="center"/>
            <w:hideMark/>
          </w:tcPr>
          <w:p w14:paraId="45E92174" w14:textId="77777777" w:rsidR="001E42B8" w:rsidRPr="00322DA0" w:rsidRDefault="001E42B8" w:rsidP="009646FF">
            <w:pPr>
              <w:pStyle w:val="JenniRefBody"/>
              <w:spacing w:line="360" w:lineRule="auto"/>
              <w:jc w:val="both"/>
              <w:rPr>
                <w:sz w:val="16"/>
                <w:szCs w:val="16"/>
              </w:rPr>
            </w:pPr>
            <w:r w:rsidRPr="00322DA0">
              <w:rPr>
                <w:sz w:val="16"/>
                <w:szCs w:val="16"/>
              </w:rPr>
              <w:t>Reinforces need for dynamic models</w:t>
            </w:r>
          </w:p>
        </w:tc>
      </w:tr>
      <w:tr w:rsidR="006A3E9B" w:rsidRPr="00322DA0" w14:paraId="0FD59F46" w14:textId="77777777" w:rsidTr="009646FF">
        <w:trPr>
          <w:tblCellSpacing w:w="15" w:type="dxa"/>
        </w:trPr>
        <w:tc>
          <w:tcPr>
            <w:tcW w:w="0" w:type="auto"/>
            <w:vAlign w:val="center"/>
            <w:hideMark/>
          </w:tcPr>
          <w:p w14:paraId="109A3AE7" w14:textId="77777777" w:rsidR="001E42B8" w:rsidRPr="00322DA0" w:rsidRDefault="001E42B8" w:rsidP="009646FF">
            <w:pPr>
              <w:pStyle w:val="JenniRefBody"/>
              <w:spacing w:line="360" w:lineRule="auto"/>
              <w:jc w:val="both"/>
              <w:rPr>
                <w:sz w:val="16"/>
                <w:szCs w:val="16"/>
              </w:rPr>
            </w:pPr>
            <w:r w:rsidRPr="00322DA0">
              <w:rPr>
                <w:sz w:val="16"/>
                <w:szCs w:val="16"/>
              </w:rPr>
              <w:t>Liana et al.</w:t>
            </w:r>
          </w:p>
        </w:tc>
        <w:tc>
          <w:tcPr>
            <w:tcW w:w="0" w:type="auto"/>
            <w:vAlign w:val="center"/>
            <w:hideMark/>
          </w:tcPr>
          <w:p w14:paraId="07D27BE6" w14:textId="77777777" w:rsidR="001E42B8" w:rsidRPr="00322DA0" w:rsidRDefault="001E42B8" w:rsidP="009646FF">
            <w:pPr>
              <w:pStyle w:val="JenniRefBody"/>
              <w:spacing w:line="360" w:lineRule="auto"/>
              <w:jc w:val="both"/>
              <w:rPr>
                <w:sz w:val="16"/>
                <w:szCs w:val="16"/>
              </w:rPr>
            </w:pPr>
            <w:r w:rsidRPr="00322DA0">
              <w:rPr>
                <w:sz w:val="16"/>
                <w:szCs w:val="16"/>
              </w:rPr>
              <w:t>2023</w:t>
            </w:r>
          </w:p>
        </w:tc>
        <w:tc>
          <w:tcPr>
            <w:tcW w:w="0" w:type="auto"/>
            <w:vAlign w:val="center"/>
            <w:hideMark/>
          </w:tcPr>
          <w:p w14:paraId="30E7E113" w14:textId="77777777" w:rsidR="001E42B8" w:rsidRPr="00322DA0" w:rsidRDefault="001E42B8" w:rsidP="009646FF">
            <w:pPr>
              <w:pStyle w:val="JenniRefBody"/>
              <w:spacing w:line="360" w:lineRule="auto"/>
              <w:jc w:val="both"/>
              <w:rPr>
                <w:sz w:val="16"/>
                <w:szCs w:val="16"/>
              </w:rPr>
            </w:pPr>
            <w:r w:rsidRPr="00322DA0">
              <w:rPr>
                <w:sz w:val="16"/>
                <w:szCs w:val="16"/>
              </w:rPr>
              <w:t>Mobile Payments and Customer Loyalty</w:t>
            </w:r>
          </w:p>
        </w:tc>
        <w:tc>
          <w:tcPr>
            <w:tcW w:w="0" w:type="auto"/>
            <w:vAlign w:val="center"/>
            <w:hideMark/>
          </w:tcPr>
          <w:p w14:paraId="4AB26A6C" w14:textId="77777777" w:rsidR="001E42B8" w:rsidRPr="00322DA0" w:rsidRDefault="001E42B8" w:rsidP="009646FF">
            <w:pPr>
              <w:pStyle w:val="JenniRefBody"/>
              <w:spacing w:line="360" w:lineRule="auto"/>
              <w:jc w:val="both"/>
              <w:rPr>
                <w:sz w:val="16"/>
                <w:szCs w:val="16"/>
              </w:rPr>
            </w:pPr>
            <w:r w:rsidRPr="00322DA0">
              <w:rPr>
                <w:sz w:val="16"/>
                <w:szCs w:val="16"/>
              </w:rPr>
              <w:t>Journal of Financial Services Marketing</w:t>
            </w:r>
          </w:p>
        </w:tc>
        <w:tc>
          <w:tcPr>
            <w:tcW w:w="0" w:type="auto"/>
            <w:vAlign w:val="center"/>
            <w:hideMark/>
          </w:tcPr>
          <w:p w14:paraId="39A986E1" w14:textId="77777777" w:rsidR="001E42B8" w:rsidRPr="00322DA0" w:rsidRDefault="001E42B8" w:rsidP="009646FF">
            <w:pPr>
              <w:pStyle w:val="JenniRefBody"/>
              <w:spacing w:line="360" w:lineRule="auto"/>
              <w:jc w:val="both"/>
              <w:rPr>
                <w:sz w:val="16"/>
                <w:szCs w:val="16"/>
              </w:rPr>
            </w:pPr>
            <w:r w:rsidRPr="00322DA0">
              <w:rPr>
                <w:sz w:val="16"/>
                <w:szCs w:val="16"/>
              </w:rPr>
              <w:t>Demographic moderators of loyalty</w:t>
            </w:r>
          </w:p>
        </w:tc>
        <w:tc>
          <w:tcPr>
            <w:tcW w:w="0" w:type="auto"/>
            <w:vAlign w:val="center"/>
            <w:hideMark/>
          </w:tcPr>
          <w:p w14:paraId="37A830D1" w14:textId="77777777" w:rsidR="001E42B8" w:rsidRPr="00322DA0" w:rsidRDefault="001E42B8" w:rsidP="009646FF">
            <w:pPr>
              <w:pStyle w:val="JenniRefBody"/>
              <w:spacing w:line="360" w:lineRule="auto"/>
              <w:jc w:val="both"/>
              <w:rPr>
                <w:sz w:val="16"/>
                <w:szCs w:val="16"/>
              </w:rPr>
            </w:pPr>
            <w:r w:rsidRPr="00322DA0">
              <w:rPr>
                <w:sz w:val="16"/>
                <w:szCs w:val="16"/>
              </w:rPr>
              <w:t>Technology adoption theory</w:t>
            </w:r>
          </w:p>
        </w:tc>
        <w:tc>
          <w:tcPr>
            <w:tcW w:w="0" w:type="auto"/>
            <w:vAlign w:val="center"/>
            <w:hideMark/>
          </w:tcPr>
          <w:p w14:paraId="4A659BEA" w14:textId="77777777" w:rsidR="001E42B8" w:rsidRPr="00322DA0" w:rsidRDefault="001E42B8" w:rsidP="009646FF">
            <w:pPr>
              <w:pStyle w:val="JenniRefBody"/>
              <w:spacing w:line="360" w:lineRule="auto"/>
              <w:jc w:val="both"/>
              <w:rPr>
                <w:sz w:val="16"/>
                <w:szCs w:val="16"/>
              </w:rPr>
            </w:pPr>
            <w:r w:rsidRPr="00322DA0">
              <w:rPr>
                <w:sz w:val="16"/>
                <w:szCs w:val="16"/>
              </w:rPr>
              <w:t>Quantitative</w:t>
            </w:r>
          </w:p>
        </w:tc>
        <w:tc>
          <w:tcPr>
            <w:tcW w:w="0" w:type="auto"/>
            <w:vAlign w:val="center"/>
            <w:hideMark/>
          </w:tcPr>
          <w:p w14:paraId="371B3F9E" w14:textId="365242DD" w:rsidR="001E42B8" w:rsidRPr="00322DA0" w:rsidRDefault="001E42B8" w:rsidP="009646FF">
            <w:pPr>
              <w:pStyle w:val="JenniRefBody"/>
              <w:spacing w:line="360" w:lineRule="auto"/>
              <w:jc w:val="both"/>
              <w:rPr>
                <w:sz w:val="16"/>
                <w:szCs w:val="16"/>
              </w:rPr>
            </w:pPr>
            <w:r w:rsidRPr="00322DA0">
              <w:rPr>
                <w:sz w:val="16"/>
                <w:szCs w:val="16"/>
              </w:rPr>
              <w:t xml:space="preserve">Gender </w:t>
            </w:r>
            <w:r w:rsidR="00A602DA" w:rsidRPr="00322DA0">
              <w:rPr>
                <w:sz w:val="16"/>
                <w:szCs w:val="16"/>
              </w:rPr>
              <w:t>moderates’</w:t>
            </w:r>
            <w:r w:rsidRPr="00322DA0">
              <w:rPr>
                <w:sz w:val="16"/>
                <w:szCs w:val="16"/>
              </w:rPr>
              <w:t xml:space="preserve"> loyalty formation</w:t>
            </w:r>
          </w:p>
        </w:tc>
        <w:tc>
          <w:tcPr>
            <w:tcW w:w="0" w:type="auto"/>
            <w:vAlign w:val="center"/>
            <w:hideMark/>
          </w:tcPr>
          <w:p w14:paraId="2B64618C" w14:textId="77777777" w:rsidR="001E42B8" w:rsidRPr="00322DA0" w:rsidRDefault="001E42B8" w:rsidP="009646FF">
            <w:pPr>
              <w:pStyle w:val="JenniRefBody"/>
              <w:spacing w:line="360" w:lineRule="auto"/>
              <w:jc w:val="both"/>
              <w:rPr>
                <w:sz w:val="16"/>
                <w:szCs w:val="16"/>
              </w:rPr>
            </w:pPr>
            <w:r w:rsidRPr="00322DA0">
              <w:rPr>
                <w:sz w:val="16"/>
                <w:szCs w:val="16"/>
              </w:rPr>
              <w:t>Lacks interpretive explanation</w:t>
            </w:r>
          </w:p>
        </w:tc>
        <w:tc>
          <w:tcPr>
            <w:tcW w:w="0" w:type="auto"/>
            <w:vAlign w:val="center"/>
            <w:hideMark/>
          </w:tcPr>
          <w:p w14:paraId="44FF06D5" w14:textId="77777777" w:rsidR="001E42B8" w:rsidRPr="00322DA0" w:rsidRDefault="001E42B8" w:rsidP="009646FF">
            <w:pPr>
              <w:pStyle w:val="JenniRefBody"/>
              <w:spacing w:line="360" w:lineRule="auto"/>
              <w:jc w:val="both"/>
              <w:rPr>
                <w:sz w:val="16"/>
                <w:szCs w:val="16"/>
              </w:rPr>
            </w:pPr>
            <w:r w:rsidRPr="00322DA0">
              <w:rPr>
                <w:sz w:val="16"/>
                <w:szCs w:val="16"/>
              </w:rPr>
              <w:t>Contextually aligned loyalty study</w:t>
            </w:r>
          </w:p>
        </w:tc>
        <w:tc>
          <w:tcPr>
            <w:tcW w:w="0" w:type="auto"/>
            <w:vAlign w:val="center"/>
            <w:hideMark/>
          </w:tcPr>
          <w:p w14:paraId="06B60475" w14:textId="77777777" w:rsidR="001E42B8" w:rsidRPr="00322DA0" w:rsidRDefault="001E42B8" w:rsidP="009646FF">
            <w:pPr>
              <w:pStyle w:val="JenniRefBody"/>
              <w:spacing w:line="360" w:lineRule="auto"/>
              <w:jc w:val="both"/>
              <w:rPr>
                <w:sz w:val="16"/>
                <w:szCs w:val="16"/>
              </w:rPr>
            </w:pPr>
            <w:r w:rsidRPr="00322DA0">
              <w:rPr>
                <w:sz w:val="16"/>
                <w:szCs w:val="16"/>
              </w:rPr>
              <w:t>Still positivist</w:t>
            </w:r>
          </w:p>
        </w:tc>
      </w:tr>
      <w:tr w:rsidR="006A3E9B" w:rsidRPr="00322DA0" w14:paraId="27484963" w14:textId="77777777" w:rsidTr="009646FF">
        <w:trPr>
          <w:tblCellSpacing w:w="15" w:type="dxa"/>
        </w:trPr>
        <w:tc>
          <w:tcPr>
            <w:tcW w:w="0" w:type="auto"/>
            <w:vAlign w:val="center"/>
            <w:hideMark/>
          </w:tcPr>
          <w:p w14:paraId="114BFEB3" w14:textId="77777777" w:rsidR="001E42B8" w:rsidRPr="00322DA0" w:rsidRDefault="001E42B8" w:rsidP="009646FF">
            <w:pPr>
              <w:pStyle w:val="JenniRefBody"/>
              <w:spacing w:line="360" w:lineRule="auto"/>
              <w:jc w:val="both"/>
              <w:rPr>
                <w:sz w:val="16"/>
                <w:szCs w:val="16"/>
              </w:rPr>
            </w:pPr>
            <w:r w:rsidRPr="00322DA0">
              <w:rPr>
                <w:sz w:val="16"/>
                <w:szCs w:val="16"/>
              </w:rPr>
              <w:t>Kampani et al.</w:t>
            </w:r>
          </w:p>
        </w:tc>
        <w:tc>
          <w:tcPr>
            <w:tcW w:w="0" w:type="auto"/>
            <w:vAlign w:val="center"/>
            <w:hideMark/>
          </w:tcPr>
          <w:p w14:paraId="2B76CA55" w14:textId="77777777" w:rsidR="001E42B8" w:rsidRPr="00322DA0" w:rsidRDefault="001E42B8" w:rsidP="009646FF">
            <w:pPr>
              <w:pStyle w:val="JenniRefBody"/>
              <w:spacing w:line="360" w:lineRule="auto"/>
              <w:jc w:val="both"/>
              <w:rPr>
                <w:sz w:val="16"/>
                <w:szCs w:val="16"/>
              </w:rPr>
            </w:pPr>
            <w:r w:rsidRPr="00322DA0">
              <w:rPr>
                <w:sz w:val="16"/>
                <w:szCs w:val="16"/>
              </w:rPr>
              <w:t>2023</w:t>
            </w:r>
          </w:p>
        </w:tc>
        <w:tc>
          <w:tcPr>
            <w:tcW w:w="0" w:type="auto"/>
            <w:vAlign w:val="center"/>
            <w:hideMark/>
          </w:tcPr>
          <w:p w14:paraId="073CE64A" w14:textId="77777777" w:rsidR="001E42B8" w:rsidRPr="00322DA0" w:rsidRDefault="001E42B8" w:rsidP="009646FF">
            <w:pPr>
              <w:pStyle w:val="JenniRefBody"/>
              <w:spacing w:line="360" w:lineRule="auto"/>
              <w:jc w:val="both"/>
              <w:rPr>
                <w:sz w:val="16"/>
                <w:szCs w:val="16"/>
              </w:rPr>
            </w:pPr>
            <w:r w:rsidRPr="00322DA0">
              <w:rPr>
                <w:sz w:val="16"/>
                <w:szCs w:val="16"/>
              </w:rPr>
              <w:t>Trust and Loyalty in Healthcare Services</w:t>
            </w:r>
          </w:p>
        </w:tc>
        <w:tc>
          <w:tcPr>
            <w:tcW w:w="0" w:type="auto"/>
            <w:vAlign w:val="center"/>
            <w:hideMark/>
          </w:tcPr>
          <w:p w14:paraId="465B5C54" w14:textId="77777777" w:rsidR="001E42B8" w:rsidRPr="00322DA0" w:rsidRDefault="001E42B8" w:rsidP="009646FF">
            <w:pPr>
              <w:pStyle w:val="JenniRefBody"/>
              <w:spacing w:line="360" w:lineRule="auto"/>
              <w:jc w:val="both"/>
              <w:rPr>
                <w:sz w:val="16"/>
                <w:szCs w:val="16"/>
              </w:rPr>
            </w:pPr>
            <w:r w:rsidRPr="00322DA0">
              <w:rPr>
                <w:sz w:val="16"/>
                <w:szCs w:val="16"/>
              </w:rPr>
              <w:t>Health Services Management Research</w:t>
            </w:r>
          </w:p>
        </w:tc>
        <w:tc>
          <w:tcPr>
            <w:tcW w:w="0" w:type="auto"/>
            <w:vAlign w:val="center"/>
            <w:hideMark/>
          </w:tcPr>
          <w:p w14:paraId="39F1EC3D" w14:textId="77777777" w:rsidR="001E42B8" w:rsidRPr="00322DA0" w:rsidRDefault="001E42B8" w:rsidP="009646FF">
            <w:pPr>
              <w:pStyle w:val="JenniRefBody"/>
              <w:spacing w:line="360" w:lineRule="auto"/>
              <w:jc w:val="both"/>
              <w:rPr>
                <w:sz w:val="16"/>
                <w:szCs w:val="16"/>
              </w:rPr>
            </w:pPr>
            <w:r w:rsidRPr="00322DA0">
              <w:rPr>
                <w:sz w:val="16"/>
                <w:szCs w:val="16"/>
              </w:rPr>
              <w:t>Trust-based loyalty formation</w:t>
            </w:r>
          </w:p>
        </w:tc>
        <w:tc>
          <w:tcPr>
            <w:tcW w:w="0" w:type="auto"/>
            <w:vAlign w:val="center"/>
            <w:hideMark/>
          </w:tcPr>
          <w:p w14:paraId="1100C551" w14:textId="77777777" w:rsidR="001E42B8" w:rsidRPr="00322DA0" w:rsidRDefault="001E42B8" w:rsidP="009646FF">
            <w:pPr>
              <w:pStyle w:val="JenniRefBody"/>
              <w:spacing w:line="360" w:lineRule="auto"/>
              <w:jc w:val="both"/>
              <w:rPr>
                <w:sz w:val="16"/>
                <w:szCs w:val="16"/>
              </w:rPr>
            </w:pPr>
            <w:r w:rsidRPr="00322DA0">
              <w:rPr>
                <w:sz w:val="16"/>
                <w:szCs w:val="16"/>
              </w:rPr>
              <w:t>Relationship marketing</w:t>
            </w:r>
          </w:p>
        </w:tc>
        <w:tc>
          <w:tcPr>
            <w:tcW w:w="0" w:type="auto"/>
            <w:vAlign w:val="center"/>
            <w:hideMark/>
          </w:tcPr>
          <w:p w14:paraId="659E7024" w14:textId="77777777" w:rsidR="001E42B8" w:rsidRPr="00322DA0" w:rsidRDefault="001E42B8" w:rsidP="009646FF">
            <w:pPr>
              <w:pStyle w:val="JenniRefBody"/>
              <w:spacing w:line="360" w:lineRule="auto"/>
              <w:jc w:val="both"/>
              <w:rPr>
                <w:sz w:val="16"/>
                <w:szCs w:val="16"/>
              </w:rPr>
            </w:pPr>
            <w:r w:rsidRPr="00322DA0">
              <w:rPr>
                <w:sz w:val="16"/>
                <w:szCs w:val="16"/>
              </w:rPr>
              <w:t>Quantitative</w:t>
            </w:r>
          </w:p>
        </w:tc>
        <w:tc>
          <w:tcPr>
            <w:tcW w:w="0" w:type="auto"/>
            <w:vAlign w:val="center"/>
            <w:hideMark/>
          </w:tcPr>
          <w:p w14:paraId="0A410C5E" w14:textId="77777777" w:rsidR="001E42B8" w:rsidRPr="00322DA0" w:rsidRDefault="001E42B8" w:rsidP="009646FF">
            <w:pPr>
              <w:pStyle w:val="JenniRefBody"/>
              <w:spacing w:line="360" w:lineRule="auto"/>
              <w:jc w:val="both"/>
              <w:rPr>
                <w:sz w:val="16"/>
                <w:szCs w:val="16"/>
              </w:rPr>
            </w:pPr>
            <w:r w:rsidRPr="00322DA0">
              <w:rPr>
                <w:sz w:val="16"/>
                <w:szCs w:val="16"/>
              </w:rPr>
              <w:t>Trust leads to loyalty</w:t>
            </w:r>
          </w:p>
        </w:tc>
        <w:tc>
          <w:tcPr>
            <w:tcW w:w="0" w:type="auto"/>
            <w:vAlign w:val="center"/>
            <w:hideMark/>
          </w:tcPr>
          <w:p w14:paraId="7C842C37" w14:textId="77777777" w:rsidR="001E42B8" w:rsidRPr="00322DA0" w:rsidRDefault="001E42B8" w:rsidP="009646FF">
            <w:pPr>
              <w:pStyle w:val="JenniRefBody"/>
              <w:spacing w:line="360" w:lineRule="auto"/>
              <w:jc w:val="both"/>
              <w:rPr>
                <w:sz w:val="16"/>
                <w:szCs w:val="16"/>
              </w:rPr>
            </w:pPr>
            <w:r w:rsidRPr="00322DA0">
              <w:rPr>
                <w:sz w:val="16"/>
                <w:szCs w:val="16"/>
              </w:rPr>
              <w:t>Sectoral assumptions unexamined</w:t>
            </w:r>
          </w:p>
        </w:tc>
        <w:tc>
          <w:tcPr>
            <w:tcW w:w="0" w:type="auto"/>
            <w:vAlign w:val="center"/>
            <w:hideMark/>
          </w:tcPr>
          <w:p w14:paraId="75A1316A" w14:textId="77777777" w:rsidR="001E42B8" w:rsidRPr="00322DA0" w:rsidRDefault="001E42B8" w:rsidP="009646FF">
            <w:pPr>
              <w:pStyle w:val="JenniRefBody"/>
              <w:spacing w:line="360" w:lineRule="auto"/>
              <w:jc w:val="both"/>
              <w:rPr>
                <w:sz w:val="16"/>
                <w:szCs w:val="16"/>
              </w:rPr>
            </w:pPr>
            <w:r w:rsidRPr="00322DA0">
              <w:rPr>
                <w:sz w:val="16"/>
                <w:szCs w:val="16"/>
              </w:rPr>
              <w:t>Used to critique transferability</w:t>
            </w:r>
          </w:p>
        </w:tc>
        <w:tc>
          <w:tcPr>
            <w:tcW w:w="0" w:type="auto"/>
            <w:vAlign w:val="center"/>
            <w:hideMark/>
          </w:tcPr>
          <w:p w14:paraId="43F19E07" w14:textId="77777777" w:rsidR="001E42B8" w:rsidRPr="00322DA0" w:rsidRDefault="001E42B8" w:rsidP="009646FF">
            <w:pPr>
              <w:pStyle w:val="JenniRefBody"/>
              <w:spacing w:line="360" w:lineRule="auto"/>
              <w:jc w:val="both"/>
              <w:rPr>
                <w:sz w:val="16"/>
                <w:szCs w:val="16"/>
              </w:rPr>
            </w:pPr>
            <w:r w:rsidRPr="00322DA0">
              <w:rPr>
                <w:sz w:val="16"/>
                <w:szCs w:val="16"/>
              </w:rPr>
              <w:t>Illustrates conceptual risk</w:t>
            </w:r>
          </w:p>
        </w:tc>
      </w:tr>
      <w:tr w:rsidR="006A3E9B" w:rsidRPr="00322DA0" w14:paraId="75D4CC64" w14:textId="77777777" w:rsidTr="009646FF">
        <w:trPr>
          <w:tblCellSpacing w:w="15" w:type="dxa"/>
        </w:trPr>
        <w:tc>
          <w:tcPr>
            <w:tcW w:w="0" w:type="auto"/>
            <w:vAlign w:val="center"/>
            <w:hideMark/>
          </w:tcPr>
          <w:p w14:paraId="1B342273" w14:textId="77777777" w:rsidR="001E42B8" w:rsidRPr="00322DA0" w:rsidRDefault="001E42B8" w:rsidP="009646FF">
            <w:pPr>
              <w:pStyle w:val="JenniRefBody"/>
              <w:spacing w:line="360" w:lineRule="auto"/>
              <w:jc w:val="both"/>
              <w:rPr>
                <w:sz w:val="16"/>
                <w:szCs w:val="16"/>
              </w:rPr>
            </w:pPr>
            <w:r w:rsidRPr="00322DA0">
              <w:rPr>
                <w:sz w:val="16"/>
                <w:szCs w:val="16"/>
              </w:rPr>
              <w:t>Leal et al.</w:t>
            </w:r>
          </w:p>
        </w:tc>
        <w:tc>
          <w:tcPr>
            <w:tcW w:w="0" w:type="auto"/>
            <w:vAlign w:val="center"/>
            <w:hideMark/>
          </w:tcPr>
          <w:p w14:paraId="3A1A5431" w14:textId="77777777" w:rsidR="001E42B8" w:rsidRPr="00322DA0" w:rsidRDefault="001E42B8" w:rsidP="009646FF">
            <w:pPr>
              <w:pStyle w:val="JenniRefBody"/>
              <w:spacing w:line="360" w:lineRule="auto"/>
              <w:jc w:val="both"/>
              <w:rPr>
                <w:sz w:val="16"/>
                <w:szCs w:val="16"/>
              </w:rPr>
            </w:pPr>
            <w:r w:rsidRPr="00322DA0">
              <w:rPr>
                <w:sz w:val="16"/>
                <w:szCs w:val="16"/>
              </w:rPr>
              <w:t>2022</w:t>
            </w:r>
          </w:p>
        </w:tc>
        <w:tc>
          <w:tcPr>
            <w:tcW w:w="0" w:type="auto"/>
            <w:vAlign w:val="center"/>
            <w:hideMark/>
          </w:tcPr>
          <w:p w14:paraId="1F1CC168" w14:textId="77777777" w:rsidR="001E42B8" w:rsidRPr="00322DA0" w:rsidRDefault="001E42B8" w:rsidP="009646FF">
            <w:pPr>
              <w:pStyle w:val="JenniRefBody"/>
              <w:spacing w:line="360" w:lineRule="auto"/>
              <w:jc w:val="both"/>
              <w:rPr>
                <w:sz w:val="16"/>
                <w:szCs w:val="16"/>
              </w:rPr>
            </w:pPr>
            <w:r w:rsidRPr="00322DA0">
              <w:rPr>
                <w:sz w:val="16"/>
                <w:szCs w:val="16"/>
              </w:rPr>
              <w:t>Vulnerability and Loyalty in Healthcare</w:t>
            </w:r>
          </w:p>
        </w:tc>
        <w:tc>
          <w:tcPr>
            <w:tcW w:w="0" w:type="auto"/>
            <w:vAlign w:val="center"/>
            <w:hideMark/>
          </w:tcPr>
          <w:p w14:paraId="2D3471F3" w14:textId="77777777" w:rsidR="001E42B8" w:rsidRPr="00322DA0" w:rsidRDefault="001E42B8" w:rsidP="009646FF">
            <w:pPr>
              <w:pStyle w:val="JenniRefBody"/>
              <w:spacing w:line="360" w:lineRule="auto"/>
              <w:jc w:val="both"/>
              <w:rPr>
                <w:sz w:val="16"/>
                <w:szCs w:val="16"/>
              </w:rPr>
            </w:pPr>
            <w:r w:rsidRPr="00322DA0">
              <w:rPr>
                <w:sz w:val="16"/>
                <w:szCs w:val="16"/>
              </w:rPr>
              <w:t>Social Science &amp; Medicine</w:t>
            </w:r>
          </w:p>
        </w:tc>
        <w:tc>
          <w:tcPr>
            <w:tcW w:w="0" w:type="auto"/>
            <w:vAlign w:val="center"/>
            <w:hideMark/>
          </w:tcPr>
          <w:p w14:paraId="50042F79" w14:textId="77777777" w:rsidR="001E42B8" w:rsidRPr="00322DA0" w:rsidRDefault="001E42B8" w:rsidP="009646FF">
            <w:pPr>
              <w:pStyle w:val="JenniRefBody"/>
              <w:spacing w:line="360" w:lineRule="auto"/>
              <w:jc w:val="both"/>
              <w:rPr>
                <w:sz w:val="16"/>
                <w:szCs w:val="16"/>
              </w:rPr>
            </w:pPr>
            <w:r w:rsidRPr="00322DA0">
              <w:rPr>
                <w:sz w:val="16"/>
                <w:szCs w:val="16"/>
              </w:rPr>
              <w:t>Patient loyalty dynamics</w:t>
            </w:r>
          </w:p>
        </w:tc>
        <w:tc>
          <w:tcPr>
            <w:tcW w:w="0" w:type="auto"/>
            <w:vAlign w:val="center"/>
            <w:hideMark/>
          </w:tcPr>
          <w:p w14:paraId="4B9E17A3" w14:textId="77777777" w:rsidR="001E42B8" w:rsidRPr="00322DA0" w:rsidRDefault="001E42B8" w:rsidP="009646FF">
            <w:pPr>
              <w:pStyle w:val="JenniRefBody"/>
              <w:spacing w:line="360" w:lineRule="auto"/>
              <w:jc w:val="both"/>
              <w:rPr>
                <w:sz w:val="16"/>
                <w:szCs w:val="16"/>
              </w:rPr>
            </w:pPr>
            <w:r w:rsidRPr="00322DA0">
              <w:rPr>
                <w:sz w:val="16"/>
                <w:szCs w:val="16"/>
              </w:rPr>
              <w:t>Ethics of care</w:t>
            </w:r>
          </w:p>
        </w:tc>
        <w:tc>
          <w:tcPr>
            <w:tcW w:w="0" w:type="auto"/>
            <w:vAlign w:val="center"/>
            <w:hideMark/>
          </w:tcPr>
          <w:p w14:paraId="0AFDAA86" w14:textId="77777777" w:rsidR="001E42B8" w:rsidRPr="00322DA0" w:rsidRDefault="001E42B8" w:rsidP="009646FF">
            <w:pPr>
              <w:pStyle w:val="JenniRefBody"/>
              <w:spacing w:line="360" w:lineRule="auto"/>
              <w:jc w:val="both"/>
              <w:rPr>
                <w:sz w:val="16"/>
                <w:szCs w:val="16"/>
              </w:rPr>
            </w:pPr>
            <w:r w:rsidRPr="00322DA0">
              <w:rPr>
                <w:sz w:val="16"/>
                <w:szCs w:val="16"/>
              </w:rPr>
              <w:t>Quantitative</w:t>
            </w:r>
          </w:p>
        </w:tc>
        <w:tc>
          <w:tcPr>
            <w:tcW w:w="0" w:type="auto"/>
            <w:vAlign w:val="center"/>
            <w:hideMark/>
          </w:tcPr>
          <w:p w14:paraId="40839625" w14:textId="77777777" w:rsidR="001E42B8" w:rsidRPr="00322DA0" w:rsidRDefault="001E42B8" w:rsidP="009646FF">
            <w:pPr>
              <w:pStyle w:val="JenniRefBody"/>
              <w:spacing w:line="360" w:lineRule="auto"/>
              <w:jc w:val="both"/>
              <w:rPr>
                <w:sz w:val="16"/>
                <w:szCs w:val="16"/>
              </w:rPr>
            </w:pPr>
            <w:r w:rsidRPr="00322DA0">
              <w:rPr>
                <w:sz w:val="16"/>
                <w:szCs w:val="16"/>
              </w:rPr>
              <w:t>Vulnerability shapes loyalty</w:t>
            </w:r>
          </w:p>
        </w:tc>
        <w:tc>
          <w:tcPr>
            <w:tcW w:w="0" w:type="auto"/>
            <w:vAlign w:val="center"/>
            <w:hideMark/>
          </w:tcPr>
          <w:p w14:paraId="1323DD84" w14:textId="77777777" w:rsidR="001E42B8" w:rsidRPr="00322DA0" w:rsidRDefault="001E42B8" w:rsidP="009646FF">
            <w:pPr>
              <w:pStyle w:val="JenniRefBody"/>
              <w:spacing w:line="360" w:lineRule="auto"/>
              <w:jc w:val="both"/>
              <w:rPr>
                <w:sz w:val="16"/>
                <w:szCs w:val="16"/>
              </w:rPr>
            </w:pPr>
            <w:r w:rsidRPr="00322DA0">
              <w:rPr>
                <w:sz w:val="16"/>
                <w:szCs w:val="16"/>
              </w:rPr>
              <w:t>Not transferable to banking</w:t>
            </w:r>
          </w:p>
        </w:tc>
        <w:tc>
          <w:tcPr>
            <w:tcW w:w="0" w:type="auto"/>
            <w:vAlign w:val="center"/>
            <w:hideMark/>
          </w:tcPr>
          <w:p w14:paraId="61F5BCC9" w14:textId="77777777" w:rsidR="001E42B8" w:rsidRPr="00322DA0" w:rsidRDefault="001E42B8" w:rsidP="009646FF">
            <w:pPr>
              <w:pStyle w:val="JenniRefBody"/>
              <w:spacing w:line="360" w:lineRule="auto"/>
              <w:jc w:val="both"/>
              <w:rPr>
                <w:sz w:val="16"/>
                <w:szCs w:val="16"/>
              </w:rPr>
            </w:pPr>
            <w:r w:rsidRPr="00322DA0">
              <w:rPr>
                <w:sz w:val="16"/>
                <w:szCs w:val="16"/>
              </w:rPr>
              <w:t>Used for ontological contrast</w:t>
            </w:r>
          </w:p>
        </w:tc>
        <w:tc>
          <w:tcPr>
            <w:tcW w:w="0" w:type="auto"/>
            <w:vAlign w:val="center"/>
            <w:hideMark/>
          </w:tcPr>
          <w:p w14:paraId="2B584ED3" w14:textId="77777777" w:rsidR="001E42B8" w:rsidRPr="00322DA0" w:rsidRDefault="001E42B8" w:rsidP="009646FF">
            <w:pPr>
              <w:pStyle w:val="JenniRefBody"/>
              <w:spacing w:line="360" w:lineRule="auto"/>
              <w:jc w:val="both"/>
              <w:rPr>
                <w:sz w:val="16"/>
                <w:szCs w:val="16"/>
              </w:rPr>
            </w:pPr>
            <w:r w:rsidRPr="00322DA0">
              <w:rPr>
                <w:sz w:val="16"/>
                <w:szCs w:val="16"/>
              </w:rPr>
              <w:t>Highlights power asymmetry</w:t>
            </w:r>
          </w:p>
        </w:tc>
      </w:tr>
      <w:tr w:rsidR="006A3E9B" w:rsidRPr="00322DA0" w14:paraId="07DFFE7F" w14:textId="77777777" w:rsidTr="009646FF">
        <w:trPr>
          <w:tblCellSpacing w:w="15" w:type="dxa"/>
        </w:trPr>
        <w:tc>
          <w:tcPr>
            <w:tcW w:w="0" w:type="auto"/>
            <w:vAlign w:val="center"/>
            <w:hideMark/>
          </w:tcPr>
          <w:p w14:paraId="7FB20D10" w14:textId="77777777" w:rsidR="001E42B8" w:rsidRPr="00322DA0" w:rsidRDefault="001E42B8" w:rsidP="009646FF">
            <w:pPr>
              <w:pStyle w:val="JenniRefBody"/>
              <w:spacing w:line="360" w:lineRule="auto"/>
              <w:jc w:val="both"/>
              <w:rPr>
                <w:sz w:val="16"/>
                <w:szCs w:val="16"/>
              </w:rPr>
            </w:pPr>
            <w:r w:rsidRPr="00322DA0">
              <w:rPr>
                <w:sz w:val="16"/>
                <w:szCs w:val="16"/>
              </w:rPr>
              <w:t>Kim &amp; Yang</w:t>
            </w:r>
          </w:p>
        </w:tc>
        <w:tc>
          <w:tcPr>
            <w:tcW w:w="0" w:type="auto"/>
            <w:vAlign w:val="center"/>
            <w:hideMark/>
          </w:tcPr>
          <w:p w14:paraId="6CAC1F03" w14:textId="77777777" w:rsidR="001E42B8" w:rsidRPr="00322DA0" w:rsidRDefault="001E42B8" w:rsidP="009646FF">
            <w:pPr>
              <w:pStyle w:val="JenniRefBody"/>
              <w:spacing w:line="360" w:lineRule="auto"/>
              <w:jc w:val="both"/>
              <w:rPr>
                <w:sz w:val="16"/>
                <w:szCs w:val="16"/>
              </w:rPr>
            </w:pPr>
            <w:r w:rsidRPr="00322DA0">
              <w:rPr>
                <w:sz w:val="16"/>
                <w:szCs w:val="16"/>
              </w:rPr>
              <w:t>2025</w:t>
            </w:r>
          </w:p>
        </w:tc>
        <w:tc>
          <w:tcPr>
            <w:tcW w:w="0" w:type="auto"/>
            <w:vAlign w:val="center"/>
            <w:hideMark/>
          </w:tcPr>
          <w:p w14:paraId="222EAE34" w14:textId="77777777" w:rsidR="001E42B8" w:rsidRPr="00322DA0" w:rsidRDefault="001E42B8" w:rsidP="009646FF">
            <w:pPr>
              <w:pStyle w:val="JenniRefBody"/>
              <w:spacing w:line="360" w:lineRule="auto"/>
              <w:jc w:val="both"/>
              <w:rPr>
                <w:sz w:val="16"/>
                <w:szCs w:val="16"/>
              </w:rPr>
            </w:pPr>
            <w:r w:rsidRPr="00322DA0">
              <w:rPr>
                <w:sz w:val="16"/>
                <w:szCs w:val="16"/>
              </w:rPr>
              <w:t>Service Convenience and Loyalty</w:t>
            </w:r>
          </w:p>
        </w:tc>
        <w:tc>
          <w:tcPr>
            <w:tcW w:w="0" w:type="auto"/>
            <w:vAlign w:val="center"/>
            <w:hideMark/>
          </w:tcPr>
          <w:p w14:paraId="73DDBAF5" w14:textId="77777777" w:rsidR="001E42B8" w:rsidRPr="00322DA0" w:rsidRDefault="001E42B8" w:rsidP="009646FF">
            <w:pPr>
              <w:pStyle w:val="JenniRefBody"/>
              <w:spacing w:line="360" w:lineRule="auto"/>
              <w:jc w:val="both"/>
              <w:rPr>
                <w:sz w:val="16"/>
                <w:szCs w:val="16"/>
              </w:rPr>
            </w:pPr>
            <w:r w:rsidRPr="00322DA0">
              <w:rPr>
                <w:sz w:val="16"/>
                <w:szCs w:val="16"/>
              </w:rPr>
              <w:t>Journal of Services Marketing</w:t>
            </w:r>
          </w:p>
        </w:tc>
        <w:tc>
          <w:tcPr>
            <w:tcW w:w="0" w:type="auto"/>
            <w:vAlign w:val="center"/>
            <w:hideMark/>
          </w:tcPr>
          <w:p w14:paraId="1C5A4071" w14:textId="77777777" w:rsidR="001E42B8" w:rsidRPr="00322DA0" w:rsidRDefault="001E42B8" w:rsidP="009646FF">
            <w:pPr>
              <w:pStyle w:val="JenniRefBody"/>
              <w:spacing w:line="360" w:lineRule="auto"/>
              <w:jc w:val="both"/>
              <w:rPr>
                <w:sz w:val="16"/>
                <w:szCs w:val="16"/>
              </w:rPr>
            </w:pPr>
            <w:r w:rsidRPr="00322DA0">
              <w:rPr>
                <w:sz w:val="16"/>
                <w:szCs w:val="16"/>
              </w:rPr>
              <w:t>Convenience–loyalty link</w:t>
            </w:r>
          </w:p>
        </w:tc>
        <w:tc>
          <w:tcPr>
            <w:tcW w:w="0" w:type="auto"/>
            <w:vAlign w:val="center"/>
            <w:hideMark/>
          </w:tcPr>
          <w:p w14:paraId="4D66F735" w14:textId="77777777" w:rsidR="001E42B8" w:rsidRPr="00322DA0" w:rsidRDefault="001E42B8" w:rsidP="009646FF">
            <w:pPr>
              <w:pStyle w:val="JenniRefBody"/>
              <w:spacing w:line="360" w:lineRule="auto"/>
              <w:jc w:val="both"/>
              <w:rPr>
                <w:sz w:val="16"/>
                <w:szCs w:val="16"/>
              </w:rPr>
            </w:pPr>
            <w:r w:rsidRPr="00322DA0">
              <w:rPr>
                <w:sz w:val="16"/>
                <w:szCs w:val="16"/>
              </w:rPr>
              <w:t>Service convenience theory</w:t>
            </w:r>
          </w:p>
        </w:tc>
        <w:tc>
          <w:tcPr>
            <w:tcW w:w="0" w:type="auto"/>
            <w:vAlign w:val="center"/>
            <w:hideMark/>
          </w:tcPr>
          <w:p w14:paraId="02268306" w14:textId="77777777" w:rsidR="001E42B8" w:rsidRPr="00322DA0" w:rsidRDefault="001E42B8" w:rsidP="009646FF">
            <w:pPr>
              <w:pStyle w:val="JenniRefBody"/>
              <w:spacing w:line="360" w:lineRule="auto"/>
              <w:jc w:val="both"/>
              <w:rPr>
                <w:sz w:val="16"/>
                <w:szCs w:val="16"/>
              </w:rPr>
            </w:pPr>
            <w:r w:rsidRPr="00322DA0">
              <w:rPr>
                <w:sz w:val="16"/>
                <w:szCs w:val="16"/>
              </w:rPr>
              <w:t>Quantitative</w:t>
            </w:r>
          </w:p>
        </w:tc>
        <w:tc>
          <w:tcPr>
            <w:tcW w:w="0" w:type="auto"/>
            <w:vAlign w:val="center"/>
            <w:hideMark/>
          </w:tcPr>
          <w:p w14:paraId="1A7D3DB2" w14:textId="77777777" w:rsidR="001E42B8" w:rsidRPr="00322DA0" w:rsidRDefault="001E42B8" w:rsidP="009646FF">
            <w:pPr>
              <w:pStyle w:val="JenniRefBody"/>
              <w:spacing w:line="360" w:lineRule="auto"/>
              <w:jc w:val="both"/>
              <w:rPr>
                <w:sz w:val="16"/>
                <w:szCs w:val="16"/>
              </w:rPr>
            </w:pPr>
            <w:r w:rsidRPr="00322DA0">
              <w:rPr>
                <w:sz w:val="16"/>
                <w:szCs w:val="16"/>
              </w:rPr>
              <w:t>Convenience predicts loyalty</w:t>
            </w:r>
          </w:p>
        </w:tc>
        <w:tc>
          <w:tcPr>
            <w:tcW w:w="0" w:type="auto"/>
            <w:vAlign w:val="center"/>
            <w:hideMark/>
          </w:tcPr>
          <w:p w14:paraId="51B49834" w14:textId="77777777" w:rsidR="001E42B8" w:rsidRPr="00322DA0" w:rsidRDefault="001E42B8" w:rsidP="009646FF">
            <w:pPr>
              <w:pStyle w:val="JenniRefBody"/>
              <w:spacing w:line="360" w:lineRule="auto"/>
              <w:jc w:val="both"/>
              <w:rPr>
                <w:sz w:val="16"/>
                <w:szCs w:val="16"/>
              </w:rPr>
            </w:pPr>
            <w:r w:rsidRPr="00322DA0">
              <w:rPr>
                <w:sz w:val="16"/>
                <w:szCs w:val="16"/>
              </w:rPr>
              <w:t>Ignores emotional dynamics</w:t>
            </w:r>
          </w:p>
        </w:tc>
        <w:tc>
          <w:tcPr>
            <w:tcW w:w="0" w:type="auto"/>
            <w:vAlign w:val="center"/>
            <w:hideMark/>
          </w:tcPr>
          <w:p w14:paraId="183FD8C3" w14:textId="77777777" w:rsidR="001E42B8" w:rsidRPr="00322DA0" w:rsidRDefault="001E42B8" w:rsidP="009646FF">
            <w:pPr>
              <w:pStyle w:val="JenniRefBody"/>
              <w:spacing w:line="360" w:lineRule="auto"/>
              <w:jc w:val="both"/>
              <w:rPr>
                <w:sz w:val="16"/>
                <w:szCs w:val="16"/>
              </w:rPr>
            </w:pPr>
            <w:r w:rsidRPr="00322DA0">
              <w:rPr>
                <w:sz w:val="16"/>
                <w:szCs w:val="16"/>
              </w:rPr>
              <w:t>Shows efficiency bias</w:t>
            </w:r>
          </w:p>
        </w:tc>
        <w:tc>
          <w:tcPr>
            <w:tcW w:w="0" w:type="auto"/>
            <w:vAlign w:val="center"/>
            <w:hideMark/>
          </w:tcPr>
          <w:p w14:paraId="646B6A75" w14:textId="77777777" w:rsidR="001E42B8" w:rsidRPr="00322DA0" w:rsidRDefault="001E42B8" w:rsidP="009646FF">
            <w:pPr>
              <w:pStyle w:val="JenniRefBody"/>
              <w:spacing w:line="360" w:lineRule="auto"/>
              <w:jc w:val="both"/>
              <w:rPr>
                <w:sz w:val="16"/>
                <w:szCs w:val="16"/>
              </w:rPr>
            </w:pPr>
            <w:r w:rsidRPr="00322DA0">
              <w:rPr>
                <w:sz w:val="16"/>
                <w:szCs w:val="16"/>
              </w:rPr>
              <w:t>Reinforces critique</w:t>
            </w:r>
          </w:p>
        </w:tc>
      </w:tr>
      <w:tr w:rsidR="006A3E9B" w:rsidRPr="00322DA0" w14:paraId="1FA9363A" w14:textId="77777777" w:rsidTr="009646FF">
        <w:trPr>
          <w:tblCellSpacing w:w="15" w:type="dxa"/>
        </w:trPr>
        <w:tc>
          <w:tcPr>
            <w:tcW w:w="0" w:type="auto"/>
            <w:vAlign w:val="center"/>
            <w:hideMark/>
          </w:tcPr>
          <w:p w14:paraId="37330882" w14:textId="77777777" w:rsidR="001E42B8" w:rsidRPr="00322DA0" w:rsidRDefault="001E42B8" w:rsidP="009646FF">
            <w:pPr>
              <w:pStyle w:val="JenniRefBody"/>
              <w:spacing w:line="360" w:lineRule="auto"/>
              <w:jc w:val="both"/>
              <w:rPr>
                <w:sz w:val="16"/>
                <w:szCs w:val="16"/>
              </w:rPr>
            </w:pPr>
            <w:r w:rsidRPr="00322DA0">
              <w:rPr>
                <w:sz w:val="16"/>
                <w:szCs w:val="16"/>
              </w:rPr>
              <w:lastRenderedPageBreak/>
              <w:t>Ungratwar et al.</w:t>
            </w:r>
          </w:p>
        </w:tc>
        <w:tc>
          <w:tcPr>
            <w:tcW w:w="0" w:type="auto"/>
            <w:vAlign w:val="center"/>
            <w:hideMark/>
          </w:tcPr>
          <w:p w14:paraId="3BDA29CF" w14:textId="77777777" w:rsidR="001E42B8" w:rsidRPr="00322DA0" w:rsidRDefault="001E42B8" w:rsidP="009646FF">
            <w:pPr>
              <w:pStyle w:val="JenniRefBody"/>
              <w:spacing w:line="360" w:lineRule="auto"/>
              <w:jc w:val="both"/>
              <w:rPr>
                <w:sz w:val="16"/>
                <w:szCs w:val="16"/>
              </w:rPr>
            </w:pPr>
            <w:r w:rsidRPr="00322DA0">
              <w:rPr>
                <w:sz w:val="16"/>
                <w:szCs w:val="16"/>
              </w:rPr>
              <w:t>2025</w:t>
            </w:r>
          </w:p>
        </w:tc>
        <w:tc>
          <w:tcPr>
            <w:tcW w:w="0" w:type="auto"/>
            <w:vAlign w:val="center"/>
            <w:hideMark/>
          </w:tcPr>
          <w:p w14:paraId="3B82C816" w14:textId="77777777" w:rsidR="001E42B8" w:rsidRPr="00322DA0" w:rsidRDefault="001E42B8" w:rsidP="009646FF">
            <w:pPr>
              <w:pStyle w:val="JenniRefBody"/>
              <w:spacing w:line="360" w:lineRule="auto"/>
              <w:jc w:val="both"/>
              <w:rPr>
                <w:sz w:val="16"/>
                <w:szCs w:val="16"/>
              </w:rPr>
            </w:pPr>
            <w:r w:rsidRPr="00322DA0">
              <w:rPr>
                <w:sz w:val="16"/>
                <w:szCs w:val="16"/>
              </w:rPr>
              <w:t>Digital Banking Research Trends</w:t>
            </w:r>
          </w:p>
        </w:tc>
        <w:tc>
          <w:tcPr>
            <w:tcW w:w="0" w:type="auto"/>
            <w:vAlign w:val="center"/>
            <w:hideMark/>
          </w:tcPr>
          <w:p w14:paraId="2342BE53" w14:textId="77777777" w:rsidR="001E42B8" w:rsidRPr="00322DA0" w:rsidRDefault="001E42B8" w:rsidP="009646FF">
            <w:pPr>
              <w:pStyle w:val="JenniRefBody"/>
              <w:spacing w:line="360" w:lineRule="auto"/>
              <w:jc w:val="both"/>
              <w:rPr>
                <w:sz w:val="16"/>
                <w:szCs w:val="16"/>
              </w:rPr>
            </w:pPr>
            <w:r w:rsidRPr="00322DA0">
              <w:rPr>
                <w:sz w:val="16"/>
                <w:szCs w:val="16"/>
              </w:rPr>
              <w:t>Journal of Banking Research</w:t>
            </w:r>
          </w:p>
        </w:tc>
        <w:tc>
          <w:tcPr>
            <w:tcW w:w="0" w:type="auto"/>
            <w:vAlign w:val="center"/>
            <w:hideMark/>
          </w:tcPr>
          <w:p w14:paraId="528C30D2" w14:textId="77777777" w:rsidR="001E42B8" w:rsidRPr="00322DA0" w:rsidRDefault="001E42B8" w:rsidP="009646FF">
            <w:pPr>
              <w:pStyle w:val="JenniRefBody"/>
              <w:spacing w:line="360" w:lineRule="auto"/>
              <w:jc w:val="both"/>
              <w:rPr>
                <w:sz w:val="16"/>
                <w:szCs w:val="16"/>
              </w:rPr>
            </w:pPr>
            <w:r w:rsidRPr="00322DA0">
              <w:rPr>
                <w:sz w:val="16"/>
                <w:szCs w:val="16"/>
              </w:rPr>
              <w:t>Methodological trends in digital banking</w:t>
            </w:r>
          </w:p>
        </w:tc>
        <w:tc>
          <w:tcPr>
            <w:tcW w:w="0" w:type="auto"/>
            <w:vAlign w:val="center"/>
            <w:hideMark/>
          </w:tcPr>
          <w:p w14:paraId="6739CABE" w14:textId="77777777" w:rsidR="001E42B8" w:rsidRPr="00322DA0" w:rsidRDefault="001E42B8" w:rsidP="009646FF">
            <w:pPr>
              <w:pStyle w:val="JenniRefBody"/>
              <w:spacing w:line="360" w:lineRule="auto"/>
              <w:jc w:val="both"/>
              <w:rPr>
                <w:sz w:val="16"/>
                <w:szCs w:val="16"/>
              </w:rPr>
            </w:pPr>
            <w:r w:rsidRPr="00322DA0">
              <w:rPr>
                <w:sz w:val="16"/>
                <w:szCs w:val="16"/>
              </w:rPr>
              <w:t>Meta-analytical</w:t>
            </w:r>
          </w:p>
        </w:tc>
        <w:tc>
          <w:tcPr>
            <w:tcW w:w="0" w:type="auto"/>
            <w:vAlign w:val="center"/>
            <w:hideMark/>
          </w:tcPr>
          <w:p w14:paraId="2F23CECA" w14:textId="77777777" w:rsidR="001E42B8" w:rsidRPr="00322DA0" w:rsidRDefault="001E42B8" w:rsidP="009646FF">
            <w:pPr>
              <w:pStyle w:val="JenniRefBody"/>
              <w:spacing w:line="360" w:lineRule="auto"/>
              <w:jc w:val="both"/>
              <w:rPr>
                <w:sz w:val="16"/>
                <w:szCs w:val="16"/>
              </w:rPr>
            </w:pPr>
            <w:r w:rsidRPr="00322DA0">
              <w:rPr>
                <w:sz w:val="16"/>
                <w:szCs w:val="16"/>
              </w:rPr>
              <w:t>Bibliometric analysis</w:t>
            </w:r>
          </w:p>
        </w:tc>
        <w:tc>
          <w:tcPr>
            <w:tcW w:w="0" w:type="auto"/>
            <w:vAlign w:val="center"/>
            <w:hideMark/>
          </w:tcPr>
          <w:p w14:paraId="0BC0E737" w14:textId="77777777" w:rsidR="001E42B8" w:rsidRPr="00322DA0" w:rsidRDefault="001E42B8" w:rsidP="009646FF">
            <w:pPr>
              <w:pStyle w:val="JenniRefBody"/>
              <w:spacing w:line="360" w:lineRule="auto"/>
              <w:jc w:val="both"/>
              <w:rPr>
                <w:sz w:val="16"/>
                <w:szCs w:val="16"/>
              </w:rPr>
            </w:pPr>
            <w:r w:rsidRPr="00322DA0">
              <w:rPr>
                <w:sz w:val="16"/>
                <w:szCs w:val="16"/>
              </w:rPr>
              <w:t>Strong positivist dominance</w:t>
            </w:r>
          </w:p>
        </w:tc>
        <w:tc>
          <w:tcPr>
            <w:tcW w:w="0" w:type="auto"/>
            <w:vAlign w:val="center"/>
            <w:hideMark/>
          </w:tcPr>
          <w:p w14:paraId="0272D591" w14:textId="77777777" w:rsidR="001E42B8" w:rsidRPr="00322DA0" w:rsidRDefault="001E42B8" w:rsidP="009646FF">
            <w:pPr>
              <w:pStyle w:val="JenniRefBody"/>
              <w:spacing w:line="360" w:lineRule="auto"/>
              <w:jc w:val="both"/>
              <w:rPr>
                <w:sz w:val="16"/>
                <w:szCs w:val="16"/>
              </w:rPr>
            </w:pPr>
            <w:r w:rsidRPr="00322DA0">
              <w:rPr>
                <w:sz w:val="16"/>
                <w:szCs w:val="16"/>
              </w:rPr>
              <w:t>Need for pluralism</w:t>
            </w:r>
          </w:p>
        </w:tc>
        <w:tc>
          <w:tcPr>
            <w:tcW w:w="0" w:type="auto"/>
            <w:vAlign w:val="center"/>
            <w:hideMark/>
          </w:tcPr>
          <w:p w14:paraId="0A77D214" w14:textId="77777777" w:rsidR="001E42B8" w:rsidRPr="00322DA0" w:rsidRDefault="001E42B8" w:rsidP="009646FF">
            <w:pPr>
              <w:pStyle w:val="JenniRefBody"/>
              <w:spacing w:line="360" w:lineRule="auto"/>
              <w:jc w:val="both"/>
              <w:rPr>
                <w:sz w:val="16"/>
                <w:szCs w:val="16"/>
              </w:rPr>
            </w:pPr>
            <w:r w:rsidRPr="00322DA0">
              <w:rPr>
                <w:sz w:val="16"/>
                <w:szCs w:val="16"/>
              </w:rPr>
              <w:t>Frames whole critique</w:t>
            </w:r>
          </w:p>
        </w:tc>
        <w:tc>
          <w:tcPr>
            <w:tcW w:w="0" w:type="auto"/>
            <w:vAlign w:val="center"/>
            <w:hideMark/>
          </w:tcPr>
          <w:p w14:paraId="31C2F7CD" w14:textId="77777777" w:rsidR="001E42B8" w:rsidRPr="00322DA0" w:rsidRDefault="001E42B8" w:rsidP="009646FF">
            <w:pPr>
              <w:pStyle w:val="JenniRefBody"/>
              <w:spacing w:line="360" w:lineRule="auto"/>
              <w:jc w:val="both"/>
              <w:rPr>
                <w:sz w:val="16"/>
                <w:szCs w:val="16"/>
              </w:rPr>
            </w:pPr>
            <w:r w:rsidRPr="00322DA0">
              <w:rPr>
                <w:sz w:val="16"/>
                <w:szCs w:val="16"/>
              </w:rPr>
              <w:t>High-level justification</w:t>
            </w:r>
          </w:p>
        </w:tc>
      </w:tr>
      <w:tr w:rsidR="006A3E9B" w:rsidRPr="00322DA0" w14:paraId="54FD3FF3" w14:textId="77777777" w:rsidTr="009646FF">
        <w:trPr>
          <w:tblCellSpacing w:w="15" w:type="dxa"/>
        </w:trPr>
        <w:tc>
          <w:tcPr>
            <w:tcW w:w="0" w:type="auto"/>
            <w:vAlign w:val="center"/>
            <w:hideMark/>
          </w:tcPr>
          <w:p w14:paraId="39921398" w14:textId="77777777" w:rsidR="001E42B8" w:rsidRPr="00322DA0" w:rsidRDefault="001E42B8" w:rsidP="009646FF">
            <w:pPr>
              <w:pStyle w:val="JenniRefBody"/>
              <w:spacing w:line="360" w:lineRule="auto"/>
              <w:jc w:val="both"/>
              <w:rPr>
                <w:sz w:val="16"/>
                <w:szCs w:val="16"/>
              </w:rPr>
            </w:pPr>
            <w:r w:rsidRPr="00322DA0">
              <w:rPr>
                <w:sz w:val="16"/>
                <w:szCs w:val="16"/>
              </w:rPr>
              <w:t>Komunda &amp; Osarenkhoe</w:t>
            </w:r>
          </w:p>
        </w:tc>
        <w:tc>
          <w:tcPr>
            <w:tcW w:w="0" w:type="auto"/>
            <w:vAlign w:val="center"/>
            <w:hideMark/>
          </w:tcPr>
          <w:p w14:paraId="3406791C" w14:textId="77777777" w:rsidR="001E42B8" w:rsidRPr="00322DA0" w:rsidRDefault="001E42B8" w:rsidP="009646FF">
            <w:pPr>
              <w:pStyle w:val="JenniRefBody"/>
              <w:spacing w:line="360" w:lineRule="auto"/>
              <w:jc w:val="both"/>
              <w:rPr>
                <w:sz w:val="16"/>
                <w:szCs w:val="16"/>
              </w:rPr>
            </w:pPr>
            <w:r w:rsidRPr="00322DA0">
              <w:rPr>
                <w:sz w:val="16"/>
                <w:szCs w:val="16"/>
              </w:rPr>
              <w:t>2023</w:t>
            </w:r>
          </w:p>
        </w:tc>
        <w:tc>
          <w:tcPr>
            <w:tcW w:w="0" w:type="auto"/>
            <w:vAlign w:val="center"/>
            <w:hideMark/>
          </w:tcPr>
          <w:p w14:paraId="776102E2" w14:textId="77777777" w:rsidR="001E42B8" w:rsidRPr="00322DA0" w:rsidRDefault="001E42B8" w:rsidP="009646FF">
            <w:pPr>
              <w:pStyle w:val="JenniRefBody"/>
              <w:spacing w:line="360" w:lineRule="auto"/>
              <w:jc w:val="both"/>
              <w:rPr>
                <w:sz w:val="16"/>
                <w:szCs w:val="16"/>
              </w:rPr>
            </w:pPr>
            <w:r w:rsidRPr="00322DA0">
              <w:rPr>
                <w:sz w:val="16"/>
                <w:szCs w:val="16"/>
              </w:rPr>
              <w:t>Philosophy in Service Research</w:t>
            </w:r>
          </w:p>
        </w:tc>
        <w:tc>
          <w:tcPr>
            <w:tcW w:w="0" w:type="auto"/>
            <w:vAlign w:val="center"/>
            <w:hideMark/>
          </w:tcPr>
          <w:p w14:paraId="5FB87E87" w14:textId="77777777" w:rsidR="001E42B8" w:rsidRPr="00322DA0" w:rsidRDefault="001E42B8" w:rsidP="009646FF">
            <w:pPr>
              <w:pStyle w:val="JenniRefBody"/>
              <w:spacing w:line="360" w:lineRule="auto"/>
              <w:jc w:val="both"/>
              <w:rPr>
                <w:sz w:val="16"/>
                <w:szCs w:val="16"/>
              </w:rPr>
            </w:pPr>
            <w:r w:rsidRPr="00322DA0">
              <w:rPr>
                <w:sz w:val="16"/>
                <w:szCs w:val="16"/>
              </w:rPr>
              <w:t>Journal of Business Research</w:t>
            </w:r>
          </w:p>
        </w:tc>
        <w:tc>
          <w:tcPr>
            <w:tcW w:w="0" w:type="auto"/>
            <w:vAlign w:val="center"/>
            <w:hideMark/>
          </w:tcPr>
          <w:p w14:paraId="43DAE692" w14:textId="77777777" w:rsidR="001E42B8" w:rsidRPr="00322DA0" w:rsidRDefault="001E42B8" w:rsidP="009646FF">
            <w:pPr>
              <w:pStyle w:val="JenniRefBody"/>
              <w:spacing w:line="360" w:lineRule="auto"/>
              <w:jc w:val="both"/>
              <w:rPr>
                <w:sz w:val="16"/>
                <w:szCs w:val="16"/>
              </w:rPr>
            </w:pPr>
            <w:r w:rsidRPr="00322DA0">
              <w:rPr>
                <w:sz w:val="16"/>
                <w:szCs w:val="16"/>
              </w:rPr>
              <w:t>Role of philosophy in service studies</w:t>
            </w:r>
          </w:p>
        </w:tc>
        <w:tc>
          <w:tcPr>
            <w:tcW w:w="0" w:type="auto"/>
            <w:vAlign w:val="center"/>
            <w:hideMark/>
          </w:tcPr>
          <w:p w14:paraId="3FCC4D99" w14:textId="77777777" w:rsidR="001E42B8" w:rsidRPr="00322DA0" w:rsidRDefault="001E42B8" w:rsidP="009646FF">
            <w:pPr>
              <w:pStyle w:val="JenniRefBody"/>
              <w:spacing w:line="360" w:lineRule="auto"/>
              <w:jc w:val="both"/>
              <w:rPr>
                <w:sz w:val="16"/>
                <w:szCs w:val="16"/>
              </w:rPr>
            </w:pPr>
            <w:r w:rsidRPr="00322DA0">
              <w:rPr>
                <w:sz w:val="16"/>
                <w:szCs w:val="16"/>
              </w:rPr>
              <w:t>Research philosophy</w:t>
            </w:r>
          </w:p>
        </w:tc>
        <w:tc>
          <w:tcPr>
            <w:tcW w:w="0" w:type="auto"/>
            <w:vAlign w:val="center"/>
            <w:hideMark/>
          </w:tcPr>
          <w:p w14:paraId="1BC9C944" w14:textId="77777777" w:rsidR="001E42B8" w:rsidRPr="00322DA0" w:rsidRDefault="001E42B8" w:rsidP="009646FF">
            <w:pPr>
              <w:pStyle w:val="JenniRefBody"/>
              <w:spacing w:line="360" w:lineRule="auto"/>
              <w:jc w:val="both"/>
              <w:rPr>
                <w:sz w:val="16"/>
                <w:szCs w:val="16"/>
              </w:rPr>
            </w:pPr>
            <w:r w:rsidRPr="00322DA0">
              <w:rPr>
                <w:sz w:val="16"/>
                <w:szCs w:val="16"/>
              </w:rPr>
              <w:t>Conceptual</w:t>
            </w:r>
          </w:p>
        </w:tc>
        <w:tc>
          <w:tcPr>
            <w:tcW w:w="0" w:type="auto"/>
            <w:vAlign w:val="center"/>
            <w:hideMark/>
          </w:tcPr>
          <w:p w14:paraId="273AF1A6" w14:textId="77777777" w:rsidR="001E42B8" w:rsidRPr="00322DA0" w:rsidRDefault="001E42B8" w:rsidP="009646FF">
            <w:pPr>
              <w:pStyle w:val="JenniRefBody"/>
              <w:spacing w:line="360" w:lineRule="auto"/>
              <w:jc w:val="both"/>
              <w:rPr>
                <w:sz w:val="16"/>
                <w:szCs w:val="16"/>
              </w:rPr>
            </w:pPr>
            <w:r w:rsidRPr="00322DA0">
              <w:rPr>
                <w:sz w:val="16"/>
                <w:szCs w:val="16"/>
              </w:rPr>
              <w:t>Philosophy shapes methods</w:t>
            </w:r>
          </w:p>
        </w:tc>
        <w:tc>
          <w:tcPr>
            <w:tcW w:w="0" w:type="auto"/>
            <w:vAlign w:val="center"/>
            <w:hideMark/>
          </w:tcPr>
          <w:p w14:paraId="1B552CC6" w14:textId="77777777" w:rsidR="001E42B8" w:rsidRPr="00322DA0" w:rsidRDefault="001E42B8" w:rsidP="009646FF">
            <w:pPr>
              <w:pStyle w:val="JenniRefBody"/>
              <w:spacing w:line="360" w:lineRule="auto"/>
              <w:jc w:val="both"/>
              <w:rPr>
                <w:sz w:val="16"/>
                <w:szCs w:val="16"/>
              </w:rPr>
            </w:pPr>
            <w:r w:rsidRPr="00322DA0">
              <w:rPr>
                <w:sz w:val="16"/>
                <w:szCs w:val="16"/>
              </w:rPr>
              <w:t>Underused in applied research</w:t>
            </w:r>
          </w:p>
        </w:tc>
        <w:tc>
          <w:tcPr>
            <w:tcW w:w="0" w:type="auto"/>
            <w:vAlign w:val="center"/>
            <w:hideMark/>
          </w:tcPr>
          <w:p w14:paraId="2DA355A3" w14:textId="77777777" w:rsidR="001E42B8" w:rsidRPr="00322DA0" w:rsidRDefault="001E42B8" w:rsidP="009646FF">
            <w:pPr>
              <w:pStyle w:val="JenniRefBody"/>
              <w:spacing w:line="360" w:lineRule="auto"/>
              <w:jc w:val="both"/>
              <w:rPr>
                <w:sz w:val="16"/>
                <w:szCs w:val="16"/>
              </w:rPr>
            </w:pPr>
            <w:r w:rsidRPr="00322DA0">
              <w:rPr>
                <w:sz w:val="16"/>
                <w:szCs w:val="16"/>
              </w:rPr>
              <w:t>Supports LCDB7007 framing</w:t>
            </w:r>
          </w:p>
        </w:tc>
        <w:tc>
          <w:tcPr>
            <w:tcW w:w="0" w:type="auto"/>
            <w:vAlign w:val="center"/>
            <w:hideMark/>
          </w:tcPr>
          <w:p w14:paraId="6E192069" w14:textId="77777777" w:rsidR="001E42B8" w:rsidRPr="00322DA0" w:rsidRDefault="001E42B8" w:rsidP="009646FF">
            <w:pPr>
              <w:pStyle w:val="JenniRefBody"/>
              <w:spacing w:line="360" w:lineRule="auto"/>
              <w:jc w:val="both"/>
              <w:rPr>
                <w:sz w:val="16"/>
                <w:szCs w:val="16"/>
              </w:rPr>
            </w:pPr>
            <w:r w:rsidRPr="00322DA0">
              <w:rPr>
                <w:sz w:val="16"/>
                <w:szCs w:val="16"/>
              </w:rPr>
              <w:t>Key synthesis reference</w:t>
            </w:r>
          </w:p>
        </w:tc>
      </w:tr>
      <w:tr w:rsidR="006A3E9B" w:rsidRPr="00322DA0" w14:paraId="4FD85845" w14:textId="77777777" w:rsidTr="009646FF">
        <w:trPr>
          <w:tblCellSpacing w:w="15" w:type="dxa"/>
        </w:trPr>
        <w:tc>
          <w:tcPr>
            <w:tcW w:w="0" w:type="auto"/>
            <w:vAlign w:val="center"/>
            <w:hideMark/>
          </w:tcPr>
          <w:p w14:paraId="128B2505" w14:textId="77777777" w:rsidR="001E42B8" w:rsidRPr="00322DA0" w:rsidRDefault="001E42B8" w:rsidP="009646FF">
            <w:pPr>
              <w:pStyle w:val="JenniRefBody"/>
              <w:spacing w:line="360" w:lineRule="auto"/>
              <w:jc w:val="both"/>
              <w:rPr>
                <w:sz w:val="16"/>
                <w:szCs w:val="16"/>
              </w:rPr>
            </w:pPr>
            <w:r w:rsidRPr="00322DA0">
              <w:rPr>
                <w:sz w:val="16"/>
                <w:szCs w:val="16"/>
              </w:rPr>
              <w:t>Ofodile et al.</w:t>
            </w:r>
          </w:p>
        </w:tc>
        <w:tc>
          <w:tcPr>
            <w:tcW w:w="0" w:type="auto"/>
            <w:vAlign w:val="center"/>
            <w:hideMark/>
          </w:tcPr>
          <w:p w14:paraId="7F17FF30" w14:textId="77777777" w:rsidR="001E42B8" w:rsidRPr="00322DA0" w:rsidRDefault="001E42B8" w:rsidP="009646FF">
            <w:pPr>
              <w:pStyle w:val="JenniRefBody"/>
              <w:spacing w:line="360" w:lineRule="auto"/>
              <w:jc w:val="both"/>
              <w:rPr>
                <w:sz w:val="16"/>
                <w:szCs w:val="16"/>
              </w:rPr>
            </w:pPr>
            <w:r w:rsidRPr="00322DA0">
              <w:rPr>
                <w:sz w:val="16"/>
                <w:szCs w:val="16"/>
              </w:rPr>
              <w:t>2024</w:t>
            </w:r>
          </w:p>
        </w:tc>
        <w:tc>
          <w:tcPr>
            <w:tcW w:w="0" w:type="auto"/>
            <w:vAlign w:val="center"/>
            <w:hideMark/>
          </w:tcPr>
          <w:p w14:paraId="56A5D47D" w14:textId="77777777" w:rsidR="001E42B8" w:rsidRPr="00322DA0" w:rsidRDefault="001E42B8" w:rsidP="009646FF">
            <w:pPr>
              <w:pStyle w:val="JenniRefBody"/>
              <w:spacing w:line="360" w:lineRule="auto"/>
              <w:jc w:val="both"/>
              <w:rPr>
                <w:sz w:val="16"/>
                <w:szCs w:val="16"/>
              </w:rPr>
            </w:pPr>
            <w:r w:rsidRPr="00322DA0">
              <w:rPr>
                <w:sz w:val="16"/>
                <w:szCs w:val="16"/>
              </w:rPr>
              <w:t>Ethics in Digital Financial Services</w:t>
            </w:r>
          </w:p>
        </w:tc>
        <w:tc>
          <w:tcPr>
            <w:tcW w:w="0" w:type="auto"/>
            <w:vAlign w:val="center"/>
            <w:hideMark/>
          </w:tcPr>
          <w:p w14:paraId="32D5A996" w14:textId="77777777" w:rsidR="001E42B8" w:rsidRPr="00322DA0" w:rsidRDefault="001E42B8" w:rsidP="009646FF">
            <w:pPr>
              <w:pStyle w:val="JenniRefBody"/>
              <w:spacing w:line="360" w:lineRule="auto"/>
              <w:jc w:val="both"/>
              <w:rPr>
                <w:sz w:val="16"/>
                <w:szCs w:val="16"/>
              </w:rPr>
            </w:pPr>
            <w:r w:rsidRPr="00322DA0">
              <w:rPr>
                <w:sz w:val="16"/>
                <w:szCs w:val="16"/>
              </w:rPr>
              <w:t>Business Ethics Quarterly</w:t>
            </w:r>
          </w:p>
        </w:tc>
        <w:tc>
          <w:tcPr>
            <w:tcW w:w="0" w:type="auto"/>
            <w:vAlign w:val="center"/>
            <w:hideMark/>
          </w:tcPr>
          <w:p w14:paraId="49D7A1BB" w14:textId="77777777" w:rsidR="001E42B8" w:rsidRPr="00322DA0" w:rsidRDefault="001E42B8" w:rsidP="009646FF">
            <w:pPr>
              <w:pStyle w:val="JenniRefBody"/>
              <w:spacing w:line="360" w:lineRule="auto"/>
              <w:jc w:val="both"/>
              <w:rPr>
                <w:sz w:val="16"/>
                <w:szCs w:val="16"/>
              </w:rPr>
            </w:pPr>
            <w:r w:rsidRPr="00322DA0">
              <w:rPr>
                <w:sz w:val="16"/>
                <w:szCs w:val="16"/>
              </w:rPr>
              <w:t>Ethical implications of digital finance</w:t>
            </w:r>
          </w:p>
        </w:tc>
        <w:tc>
          <w:tcPr>
            <w:tcW w:w="0" w:type="auto"/>
            <w:vAlign w:val="center"/>
            <w:hideMark/>
          </w:tcPr>
          <w:p w14:paraId="70644C49" w14:textId="77777777" w:rsidR="001E42B8" w:rsidRPr="00322DA0" w:rsidRDefault="001E42B8" w:rsidP="009646FF">
            <w:pPr>
              <w:pStyle w:val="JenniRefBody"/>
              <w:spacing w:line="360" w:lineRule="auto"/>
              <w:jc w:val="both"/>
              <w:rPr>
                <w:sz w:val="16"/>
                <w:szCs w:val="16"/>
              </w:rPr>
            </w:pPr>
            <w:r w:rsidRPr="00322DA0">
              <w:rPr>
                <w:sz w:val="16"/>
                <w:szCs w:val="16"/>
              </w:rPr>
              <w:t>Ethical governance</w:t>
            </w:r>
          </w:p>
        </w:tc>
        <w:tc>
          <w:tcPr>
            <w:tcW w:w="0" w:type="auto"/>
            <w:vAlign w:val="center"/>
            <w:hideMark/>
          </w:tcPr>
          <w:p w14:paraId="52CF860D" w14:textId="77777777" w:rsidR="001E42B8" w:rsidRPr="00322DA0" w:rsidRDefault="001E42B8" w:rsidP="009646FF">
            <w:pPr>
              <w:pStyle w:val="JenniRefBody"/>
              <w:spacing w:line="360" w:lineRule="auto"/>
              <w:jc w:val="both"/>
              <w:rPr>
                <w:sz w:val="16"/>
                <w:szCs w:val="16"/>
              </w:rPr>
            </w:pPr>
            <w:r w:rsidRPr="00322DA0">
              <w:rPr>
                <w:sz w:val="16"/>
                <w:szCs w:val="16"/>
              </w:rPr>
              <w:t>Conceptual</w:t>
            </w:r>
          </w:p>
        </w:tc>
        <w:tc>
          <w:tcPr>
            <w:tcW w:w="0" w:type="auto"/>
            <w:vAlign w:val="center"/>
            <w:hideMark/>
          </w:tcPr>
          <w:p w14:paraId="7E569289" w14:textId="77777777" w:rsidR="001E42B8" w:rsidRPr="00322DA0" w:rsidRDefault="001E42B8" w:rsidP="009646FF">
            <w:pPr>
              <w:pStyle w:val="JenniRefBody"/>
              <w:spacing w:line="360" w:lineRule="auto"/>
              <w:jc w:val="both"/>
              <w:rPr>
                <w:sz w:val="16"/>
                <w:szCs w:val="16"/>
              </w:rPr>
            </w:pPr>
            <w:r w:rsidRPr="00322DA0">
              <w:rPr>
                <w:sz w:val="16"/>
                <w:szCs w:val="16"/>
              </w:rPr>
              <w:t>Ethics underexplored</w:t>
            </w:r>
          </w:p>
        </w:tc>
        <w:tc>
          <w:tcPr>
            <w:tcW w:w="0" w:type="auto"/>
            <w:vAlign w:val="center"/>
            <w:hideMark/>
          </w:tcPr>
          <w:p w14:paraId="5A408E99" w14:textId="77777777" w:rsidR="001E42B8" w:rsidRPr="00322DA0" w:rsidRDefault="001E42B8" w:rsidP="009646FF">
            <w:pPr>
              <w:pStyle w:val="JenniRefBody"/>
              <w:spacing w:line="360" w:lineRule="auto"/>
              <w:jc w:val="both"/>
              <w:rPr>
                <w:sz w:val="16"/>
                <w:szCs w:val="16"/>
              </w:rPr>
            </w:pPr>
            <w:r w:rsidRPr="00322DA0">
              <w:rPr>
                <w:sz w:val="16"/>
                <w:szCs w:val="16"/>
              </w:rPr>
              <w:t>Need explicit ethical frameworks</w:t>
            </w:r>
          </w:p>
        </w:tc>
        <w:tc>
          <w:tcPr>
            <w:tcW w:w="0" w:type="auto"/>
            <w:vAlign w:val="center"/>
            <w:hideMark/>
          </w:tcPr>
          <w:p w14:paraId="79AB7518" w14:textId="77777777" w:rsidR="001E42B8" w:rsidRPr="00322DA0" w:rsidRDefault="001E42B8" w:rsidP="009646FF">
            <w:pPr>
              <w:pStyle w:val="JenniRefBody"/>
              <w:spacing w:line="360" w:lineRule="auto"/>
              <w:jc w:val="both"/>
              <w:rPr>
                <w:sz w:val="16"/>
                <w:szCs w:val="16"/>
              </w:rPr>
            </w:pPr>
            <w:r w:rsidRPr="00322DA0">
              <w:rPr>
                <w:sz w:val="16"/>
                <w:szCs w:val="16"/>
              </w:rPr>
              <w:t>Supports axiological critique</w:t>
            </w:r>
          </w:p>
        </w:tc>
        <w:tc>
          <w:tcPr>
            <w:tcW w:w="0" w:type="auto"/>
            <w:vAlign w:val="center"/>
            <w:hideMark/>
          </w:tcPr>
          <w:p w14:paraId="41B8210A" w14:textId="77777777" w:rsidR="001E42B8" w:rsidRPr="00322DA0" w:rsidRDefault="001E42B8" w:rsidP="009646FF">
            <w:pPr>
              <w:pStyle w:val="JenniRefBody"/>
              <w:spacing w:line="360" w:lineRule="auto"/>
              <w:jc w:val="both"/>
              <w:rPr>
                <w:sz w:val="16"/>
                <w:szCs w:val="16"/>
              </w:rPr>
            </w:pPr>
            <w:r w:rsidRPr="00322DA0">
              <w:rPr>
                <w:sz w:val="16"/>
                <w:szCs w:val="16"/>
              </w:rPr>
              <w:t>Strong ethics anchor</w:t>
            </w:r>
          </w:p>
        </w:tc>
      </w:tr>
    </w:tbl>
    <w:p w14:paraId="39BF2E87" w14:textId="77777777" w:rsidR="001E42B8" w:rsidRPr="00C73D83" w:rsidRDefault="001E42B8" w:rsidP="001E42B8">
      <w:pPr>
        <w:pStyle w:val="JenniRefBody"/>
        <w:spacing w:line="360" w:lineRule="auto"/>
        <w:jc w:val="both"/>
        <w:rPr>
          <w:sz w:val="24"/>
          <w:szCs w:val="24"/>
        </w:rPr>
      </w:pPr>
    </w:p>
    <w:p w14:paraId="7668B440" w14:textId="77777777" w:rsidR="001E42B8" w:rsidRPr="00C73D83" w:rsidRDefault="001E42B8" w:rsidP="001E42B8">
      <w:pPr>
        <w:spacing w:line="360" w:lineRule="auto"/>
        <w:jc w:val="both"/>
        <w:rPr>
          <w:sz w:val="24"/>
          <w:szCs w:val="24"/>
        </w:rPr>
      </w:pPr>
    </w:p>
    <w:p w14:paraId="29D7F8D5" w14:textId="77777777" w:rsidR="001E42B8" w:rsidRPr="00C73D83" w:rsidRDefault="001E42B8" w:rsidP="001E42B8">
      <w:pPr>
        <w:spacing w:line="360" w:lineRule="auto"/>
        <w:jc w:val="both"/>
        <w:rPr>
          <w:sz w:val="24"/>
          <w:szCs w:val="24"/>
        </w:rPr>
      </w:pPr>
    </w:p>
    <w:p w14:paraId="5D71C756" w14:textId="77777777" w:rsidR="001E42B8" w:rsidRPr="00C73D83" w:rsidRDefault="001E42B8" w:rsidP="001E42B8">
      <w:pPr>
        <w:spacing w:line="360" w:lineRule="auto"/>
        <w:jc w:val="both"/>
        <w:rPr>
          <w:sz w:val="24"/>
          <w:szCs w:val="24"/>
        </w:rPr>
      </w:pPr>
    </w:p>
    <w:p w14:paraId="55B4D7AD" w14:textId="77777777" w:rsidR="0018457F" w:rsidRDefault="0018457F"/>
    <w:sectPr w:rsidR="0018457F" w:rsidSect="001E42B8">
      <w:pgSz w:w="16838" w:h="11906" w:orient="landscape"/>
      <w:pgMar w:top="1440" w:right="1440" w:bottom="1440" w:left="1440"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C468F" w14:textId="77777777" w:rsidR="00286B49" w:rsidRDefault="00286B49">
      <w:pPr>
        <w:spacing w:before="0" w:after="0"/>
      </w:pPr>
      <w:r>
        <w:separator/>
      </w:r>
    </w:p>
  </w:endnote>
  <w:endnote w:type="continuationSeparator" w:id="0">
    <w:p w14:paraId="03D9E89D" w14:textId="77777777" w:rsidR="00286B49" w:rsidRDefault="00286B49">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931774"/>
      <w:docPartObj>
        <w:docPartGallery w:val="Page Numbers (Bottom of Page)"/>
        <w:docPartUnique/>
      </w:docPartObj>
    </w:sdtPr>
    <w:sdtEndPr>
      <w:rPr>
        <w:noProof/>
      </w:rPr>
    </w:sdtEndPr>
    <w:sdtContent>
      <w:p w14:paraId="5056D28F" w14:textId="77777777" w:rsidR="001E42B8" w:rsidRDefault="001E42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8A98B" w14:textId="77777777" w:rsidR="001E42B8" w:rsidRDefault="001E4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3EBA6" w14:textId="77777777" w:rsidR="00286B49" w:rsidRDefault="00286B49">
      <w:pPr>
        <w:spacing w:before="0" w:after="0"/>
      </w:pPr>
      <w:r>
        <w:separator/>
      </w:r>
    </w:p>
  </w:footnote>
  <w:footnote w:type="continuationSeparator" w:id="0">
    <w:p w14:paraId="269A0330" w14:textId="77777777" w:rsidR="00286B49" w:rsidRDefault="00286B49">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2B8"/>
    <w:rsid w:val="000017F6"/>
    <w:rsid w:val="0018457F"/>
    <w:rsid w:val="001E42B8"/>
    <w:rsid w:val="00242211"/>
    <w:rsid w:val="0027480A"/>
    <w:rsid w:val="00286B49"/>
    <w:rsid w:val="002A5422"/>
    <w:rsid w:val="00313AFC"/>
    <w:rsid w:val="0035285B"/>
    <w:rsid w:val="00420A08"/>
    <w:rsid w:val="00427FF5"/>
    <w:rsid w:val="00471627"/>
    <w:rsid w:val="004E2F93"/>
    <w:rsid w:val="00620094"/>
    <w:rsid w:val="006A3E9B"/>
    <w:rsid w:val="00721AB7"/>
    <w:rsid w:val="00743DBE"/>
    <w:rsid w:val="007703F4"/>
    <w:rsid w:val="00790F9E"/>
    <w:rsid w:val="007E725E"/>
    <w:rsid w:val="007F4CCF"/>
    <w:rsid w:val="00891DCF"/>
    <w:rsid w:val="009B26D7"/>
    <w:rsid w:val="00A602DA"/>
    <w:rsid w:val="00AF13F5"/>
    <w:rsid w:val="00B91705"/>
    <w:rsid w:val="00BE0311"/>
    <w:rsid w:val="00C002AA"/>
    <w:rsid w:val="00C95654"/>
    <w:rsid w:val="00CA46A7"/>
    <w:rsid w:val="00D92741"/>
    <w:rsid w:val="00EE78F7"/>
    <w:rsid w:val="00F07236"/>
    <w:rsid w:val="00F90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168ED"/>
  <w15:chartTrackingRefBased/>
  <w15:docId w15:val="{72AE83C6-7C2F-4B0B-BDD1-CA8B0AB27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2B8"/>
    <w:pPr>
      <w:spacing w:before="144" w:after="72" w:line="240" w:lineRule="auto"/>
    </w:pPr>
    <w:rPr>
      <w:rFonts w:ascii="Times New Roman" w:eastAsia="Times New Roman" w:hAnsi="Times New Roman" w:cs="Times New Roman"/>
      <w:sz w:val="20"/>
      <w:szCs w:val="20"/>
      <w:lang w:val="en-AU" w:eastAsia="en-AU"/>
    </w:rPr>
  </w:style>
  <w:style w:type="paragraph" w:styleId="Heading1">
    <w:name w:val="heading 1"/>
    <w:basedOn w:val="Normal"/>
    <w:next w:val="Normal"/>
    <w:link w:val="Heading1Char"/>
    <w:uiPriority w:val="9"/>
    <w:qFormat/>
    <w:rsid w:val="001E42B8"/>
    <w:pPr>
      <w:keepNext/>
      <w:keepLines/>
      <w:spacing w:before="360" w:after="80" w:line="259" w:lineRule="auto"/>
      <w:outlineLvl w:val="0"/>
    </w:pPr>
    <w:rPr>
      <w:rFonts w:asciiTheme="majorHAnsi" w:eastAsiaTheme="majorEastAsia" w:hAnsiTheme="majorHAnsi" w:cstheme="majorBidi"/>
      <w:color w:val="2E74B5" w:themeColor="accent1" w:themeShade="BF"/>
      <w:sz w:val="40"/>
      <w:szCs w:val="40"/>
      <w:lang w:val="en-GB" w:eastAsia="en-US"/>
    </w:rPr>
  </w:style>
  <w:style w:type="paragraph" w:styleId="Heading2">
    <w:name w:val="heading 2"/>
    <w:basedOn w:val="Normal"/>
    <w:next w:val="Normal"/>
    <w:link w:val="Heading2Char"/>
    <w:uiPriority w:val="9"/>
    <w:unhideWhenUsed/>
    <w:qFormat/>
    <w:rsid w:val="001E42B8"/>
    <w:pPr>
      <w:keepNext/>
      <w:keepLines/>
      <w:spacing w:before="160" w:after="80" w:line="259" w:lineRule="auto"/>
      <w:outlineLvl w:val="1"/>
    </w:pPr>
    <w:rPr>
      <w:rFonts w:asciiTheme="majorHAnsi" w:eastAsiaTheme="majorEastAsia" w:hAnsiTheme="majorHAnsi" w:cstheme="majorBidi"/>
      <w:color w:val="2E74B5" w:themeColor="accent1" w:themeShade="BF"/>
      <w:sz w:val="32"/>
      <w:szCs w:val="32"/>
      <w:lang w:val="en-GB" w:eastAsia="en-US"/>
    </w:rPr>
  </w:style>
  <w:style w:type="paragraph" w:styleId="Heading3">
    <w:name w:val="heading 3"/>
    <w:basedOn w:val="Normal"/>
    <w:next w:val="Normal"/>
    <w:link w:val="Heading3Char"/>
    <w:uiPriority w:val="9"/>
    <w:semiHidden/>
    <w:unhideWhenUsed/>
    <w:qFormat/>
    <w:rsid w:val="001E42B8"/>
    <w:pPr>
      <w:keepNext/>
      <w:keepLines/>
      <w:spacing w:before="160" w:after="80" w:line="259" w:lineRule="auto"/>
      <w:outlineLvl w:val="2"/>
    </w:pPr>
    <w:rPr>
      <w:rFonts w:asciiTheme="minorHAnsi" w:eastAsiaTheme="majorEastAsia" w:hAnsiTheme="minorHAnsi" w:cstheme="majorBidi"/>
      <w:color w:val="2E74B5"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1E42B8"/>
    <w:pPr>
      <w:keepNext/>
      <w:keepLines/>
      <w:spacing w:before="80" w:after="40" w:line="259" w:lineRule="auto"/>
      <w:outlineLvl w:val="3"/>
    </w:pPr>
    <w:rPr>
      <w:rFonts w:asciiTheme="minorHAnsi" w:eastAsiaTheme="majorEastAsia" w:hAnsiTheme="minorHAnsi" w:cstheme="majorBidi"/>
      <w:i/>
      <w:iCs/>
      <w:color w:val="2E74B5" w:themeColor="accent1" w:themeShade="BF"/>
      <w:sz w:val="22"/>
      <w:szCs w:val="22"/>
      <w:lang w:val="en-GB" w:eastAsia="en-US"/>
    </w:rPr>
  </w:style>
  <w:style w:type="paragraph" w:styleId="Heading5">
    <w:name w:val="heading 5"/>
    <w:basedOn w:val="Normal"/>
    <w:next w:val="Normal"/>
    <w:link w:val="Heading5Char"/>
    <w:uiPriority w:val="9"/>
    <w:semiHidden/>
    <w:unhideWhenUsed/>
    <w:qFormat/>
    <w:rsid w:val="001E42B8"/>
    <w:pPr>
      <w:keepNext/>
      <w:keepLines/>
      <w:spacing w:before="80" w:after="40" w:line="259" w:lineRule="auto"/>
      <w:outlineLvl w:val="4"/>
    </w:pPr>
    <w:rPr>
      <w:rFonts w:asciiTheme="minorHAnsi" w:eastAsiaTheme="majorEastAsia" w:hAnsiTheme="minorHAnsi" w:cstheme="majorBidi"/>
      <w:color w:val="2E74B5" w:themeColor="accent1" w:themeShade="BF"/>
      <w:sz w:val="22"/>
      <w:szCs w:val="22"/>
      <w:lang w:val="en-GB" w:eastAsia="en-US"/>
    </w:rPr>
  </w:style>
  <w:style w:type="paragraph" w:styleId="Heading6">
    <w:name w:val="heading 6"/>
    <w:basedOn w:val="Normal"/>
    <w:next w:val="Normal"/>
    <w:link w:val="Heading6Char"/>
    <w:uiPriority w:val="9"/>
    <w:semiHidden/>
    <w:unhideWhenUsed/>
    <w:qFormat/>
    <w:rsid w:val="001E42B8"/>
    <w:pPr>
      <w:keepNext/>
      <w:keepLines/>
      <w:spacing w:before="40" w:after="0" w:line="259" w:lineRule="auto"/>
      <w:outlineLvl w:val="5"/>
    </w:pPr>
    <w:rPr>
      <w:rFonts w:asciiTheme="minorHAnsi" w:eastAsiaTheme="majorEastAsia" w:hAnsiTheme="minorHAnsi" w:cstheme="majorBidi"/>
      <w:i/>
      <w:iCs/>
      <w:color w:val="595959" w:themeColor="text1" w:themeTint="A6"/>
      <w:sz w:val="22"/>
      <w:szCs w:val="22"/>
      <w:lang w:val="en-GB" w:eastAsia="en-US"/>
    </w:rPr>
  </w:style>
  <w:style w:type="paragraph" w:styleId="Heading7">
    <w:name w:val="heading 7"/>
    <w:basedOn w:val="Normal"/>
    <w:next w:val="Normal"/>
    <w:link w:val="Heading7Char"/>
    <w:uiPriority w:val="9"/>
    <w:semiHidden/>
    <w:unhideWhenUsed/>
    <w:qFormat/>
    <w:rsid w:val="001E42B8"/>
    <w:pPr>
      <w:keepNext/>
      <w:keepLines/>
      <w:spacing w:before="40" w:after="0" w:line="259" w:lineRule="auto"/>
      <w:outlineLvl w:val="6"/>
    </w:pPr>
    <w:rPr>
      <w:rFonts w:asciiTheme="minorHAnsi" w:eastAsiaTheme="majorEastAsia" w:hAnsiTheme="minorHAnsi" w:cstheme="majorBidi"/>
      <w:color w:val="595959" w:themeColor="text1" w:themeTint="A6"/>
      <w:sz w:val="22"/>
      <w:szCs w:val="22"/>
      <w:lang w:val="en-GB" w:eastAsia="en-US"/>
    </w:rPr>
  </w:style>
  <w:style w:type="paragraph" w:styleId="Heading8">
    <w:name w:val="heading 8"/>
    <w:basedOn w:val="Normal"/>
    <w:next w:val="Normal"/>
    <w:link w:val="Heading8Char"/>
    <w:uiPriority w:val="9"/>
    <w:semiHidden/>
    <w:unhideWhenUsed/>
    <w:qFormat/>
    <w:rsid w:val="001E42B8"/>
    <w:pPr>
      <w:keepNext/>
      <w:keepLines/>
      <w:spacing w:before="0" w:after="0" w:line="259" w:lineRule="auto"/>
      <w:outlineLvl w:val="7"/>
    </w:pPr>
    <w:rPr>
      <w:rFonts w:asciiTheme="minorHAnsi" w:eastAsiaTheme="majorEastAsia" w:hAnsiTheme="minorHAnsi" w:cstheme="majorBidi"/>
      <w:i/>
      <w:iCs/>
      <w:color w:val="272727" w:themeColor="text1" w:themeTint="D8"/>
      <w:sz w:val="22"/>
      <w:szCs w:val="22"/>
      <w:lang w:val="en-GB" w:eastAsia="en-US"/>
    </w:rPr>
  </w:style>
  <w:style w:type="paragraph" w:styleId="Heading9">
    <w:name w:val="heading 9"/>
    <w:basedOn w:val="Normal"/>
    <w:next w:val="Normal"/>
    <w:link w:val="Heading9Char"/>
    <w:uiPriority w:val="9"/>
    <w:semiHidden/>
    <w:unhideWhenUsed/>
    <w:qFormat/>
    <w:rsid w:val="001E42B8"/>
    <w:pPr>
      <w:keepNext/>
      <w:keepLines/>
      <w:spacing w:before="0" w:after="0" w:line="259" w:lineRule="auto"/>
      <w:outlineLvl w:val="8"/>
    </w:pPr>
    <w:rPr>
      <w:rFonts w:asciiTheme="minorHAnsi" w:eastAsiaTheme="majorEastAsia" w:hAnsiTheme="minorHAnsi" w:cstheme="majorBidi"/>
      <w:color w:val="272727" w:themeColor="text1" w:themeTint="D8"/>
      <w:sz w:val="22"/>
      <w:szCs w:val="22"/>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2B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1E42B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E42B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E42B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E42B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E42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2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2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2B8"/>
    <w:rPr>
      <w:rFonts w:eastAsiaTheme="majorEastAsia" w:cstheme="majorBidi"/>
      <w:color w:val="272727" w:themeColor="text1" w:themeTint="D8"/>
    </w:rPr>
  </w:style>
  <w:style w:type="paragraph" w:styleId="Title">
    <w:name w:val="Title"/>
    <w:basedOn w:val="Normal"/>
    <w:next w:val="Normal"/>
    <w:link w:val="TitleChar"/>
    <w:uiPriority w:val="10"/>
    <w:qFormat/>
    <w:rsid w:val="001E42B8"/>
    <w:pPr>
      <w:spacing w:before="0" w:after="80"/>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1E42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2B8"/>
    <w:pPr>
      <w:numPr>
        <w:ilvl w:val="1"/>
      </w:numPr>
      <w:spacing w:before="0" w:after="160" w:line="259" w:lineRule="auto"/>
    </w:pPr>
    <w:rPr>
      <w:rFonts w:asciiTheme="minorHAnsi" w:eastAsiaTheme="majorEastAsia" w:hAnsiTheme="minorHAnsi"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1E42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2B8"/>
    <w:pPr>
      <w:spacing w:before="160" w:after="160" w:line="259" w:lineRule="auto"/>
      <w:jc w:val="center"/>
    </w:pPr>
    <w:rPr>
      <w:rFonts w:asciiTheme="minorHAnsi" w:eastAsiaTheme="minorHAnsi" w:hAnsiTheme="minorHAnsi" w:cstheme="minorBidi"/>
      <w:i/>
      <w:iCs/>
      <w:color w:val="404040" w:themeColor="text1" w:themeTint="BF"/>
      <w:sz w:val="22"/>
      <w:szCs w:val="22"/>
      <w:lang w:val="en-GB" w:eastAsia="en-US"/>
    </w:rPr>
  </w:style>
  <w:style w:type="character" w:customStyle="1" w:styleId="QuoteChar">
    <w:name w:val="Quote Char"/>
    <w:basedOn w:val="DefaultParagraphFont"/>
    <w:link w:val="Quote"/>
    <w:uiPriority w:val="29"/>
    <w:rsid w:val="001E42B8"/>
    <w:rPr>
      <w:i/>
      <w:iCs/>
      <w:color w:val="404040" w:themeColor="text1" w:themeTint="BF"/>
    </w:rPr>
  </w:style>
  <w:style w:type="paragraph" w:styleId="ListParagraph">
    <w:name w:val="List Paragraph"/>
    <w:basedOn w:val="Normal"/>
    <w:uiPriority w:val="34"/>
    <w:qFormat/>
    <w:rsid w:val="001E42B8"/>
    <w:pPr>
      <w:spacing w:before="0" w:after="160" w:line="259" w:lineRule="auto"/>
      <w:ind w:left="720"/>
      <w:contextualSpacing/>
    </w:pPr>
    <w:rPr>
      <w:rFonts w:asciiTheme="minorHAnsi" w:eastAsiaTheme="minorHAnsi" w:hAnsiTheme="minorHAnsi" w:cstheme="minorBidi"/>
      <w:sz w:val="22"/>
      <w:szCs w:val="22"/>
      <w:lang w:val="en-GB" w:eastAsia="en-US"/>
    </w:rPr>
  </w:style>
  <w:style w:type="character" w:styleId="IntenseEmphasis">
    <w:name w:val="Intense Emphasis"/>
    <w:basedOn w:val="DefaultParagraphFont"/>
    <w:uiPriority w:val="21"/>
    <w:qFormat/>
    <w:rsid w:val="001E42B8"/>
    <w:rPr>
      <w:i/>
      <w:iCs/>
      <w:color w:val="2E74B5" w:themeColor="accent1" w:themeShade="BF"/>
    </w:rPr>
  </w:style>
  <w:style w:type="paragraph" w:styleId="IntenseQuote">
    <w:name w:val="Intense Quote"/>
    <w:basedOn w:val="Normal"/>
    <w:next w:val="Normal"/>
    <w:link w:val="IntenseQuoteChar"/>
    <w:uiPriority w:val="30"/>
    <w:qFormat/>
    <w:rsid w:val="001E42B8"/>
    <w:pPr>
      <w:pBdr>
        <w:top w:val="single" w:sz="4" w:space="10" w:color="2E74B5" w:themeColor="accent1" w:themeShade="BF"/>
        <w:bottom w:val="single" w:sz="4" w:space="10" w:color="2E74B5" w:themeColor="accent1" w:themeShade="BF"/>
      </w:pBdr>
      <w:spacing w:before="360" w:after="360" w:line="259" w:lineRule="auto"/>
      <w:ind w:left="864" w:right="864"/>
      <w:jc w:val="center"/>
    </w:pPr>
    <w:rPr>
      <w:rFonts w:asciiTheme="minorHAnsi" w:eastAsiaTheme="minorHAnsi" w:hAnsiTheme="minorHAnsi" w:cstheme="minorBidi"/>
      <w:i/>
      <w:iCs/>
      <w:color w:val="2E74B5" w:themeColor="accent1" w:themeShade="BF"/>
      <w:sz w:val="22"/>
      <w:szCs w:val="22"/>
      <w:lang w:val="en-GB" w:eastAsia="en-US"/>
    </w:rPr>
  </w:style>
  <w:style w:type="character" w:customStyle="1" w:styleId="IntenseQuoteChar">
    <w:name w:val="Intense Quote Char"/>
    <w:basedOn w:val="DefaultParagraphFont"/>
    <w:link w:val="IntenseQuote"/>
    <w:uiPriority w:val="30"/>
    <w:rsid w:val="001E42B8"/>
    <w:rPr>
      <w:i/>
      <w:iCs/>
      <w:color w:val="2E74B5" w:themeColor="accent1" w:themeShade="BF"/>
    </w:rPr>
  </w:style>
  <w:style w:type="character" w:styleId="IntenseReference">
    <w:name w:val="Intense Reference"/>
    <w:basedOn w:val="DefaultParagraphFont"/>
    <w:uiPriority w:val="32"/>
    <w:qFormat/>
    <w:rsid w:val="001E42B8"/>
    <w:rPr>
      <w:b/>
      <w:bCs/>
      <w:smallCaps/>
      <w:color w:val="2E74B5" w:themeColor="accent1" w:themeShade="BF"/>
      <w:spacing w:val="5"/>
    </w:rPr>
  </w:style>
  <w:style w:type="paragraph" w:customStyle="1" w:styleId="JenniRefBody">
    <w:name w:val="JenniRefBody"/>
    <w:qFormat/>
    <w:rsid w:val="001E42B8"/>
    <w:pPr>
      <w:spacing w:before="144" w:after="72" w:line="240" w:lineRule="auto"/>
    </w:pPr>
    <w:rPr>
      <w:rFonts w:ascii="Times New Roman" w:eastAsia="Times New Roman" w:hAnsi="Times New Roman" w:cs="Times New Roman"/>
      <w:color w:val="000000"/>
      <w:sz w:val="20"/>
      <w:szCs w:val="20"/>
      <w:lang w:val="en-AU" w:eastAsia="en-AU"/>
    </w:rPr>
  </w:style>
  <w:style w:type="character" w:styleId="Hyperlink">
    <w:name w:val="Hyperlink"/>
    <w:basedOn w:val="DefaultParagraphFont"/>
    <w:uiPriority w:val="99"/>
    <w:unhideWhenUsed/>
    <w:rsid w:val="001E42B8"/>
    <w:rPr>
      <w:color w:val="0563C1" w:themeColor="hyperlink"/>
      <w:u w:val="single"/>
    </w:rPr>
  </w:style>
  <w:style w:type="paragraph" w:styleId="TOCHeading">
    <w:name w:val="TOC Heading"/>
    <w:basedOn w:val="Heading1"/>
    <w:next w:val="Normal"/>
    <w:uiPriority w:val="39"/>
    <w:unhideWhenUsed/>
    <w:qFormat/>
    <w:rsid w:val="001E42B8"/>
    <w:pPr>
      <w:spacing w:before="240" w:after="0"/>
      <w:outlineLvl w:val="9"/>
    </w:pPr>
    <w:rPr>
      <w:sz w:val="32"/>
      <w:szCs w:val="32"/>
      <w:lang w:val="en-US"/>
    </w:rPr>
  </w:style>
  <w:style w:type="paragraph" w:styleId="TOC1">
    <w:name w:val="toc 1"/>
    <w:basedOn w:val="Normal"/>
    <w:next w:val="Normal"/>
    <w:autoRedefine/>
    <w:uiPriority w:val="39"/>
    <w:unhideWhenUsed/>
    <w:rsid w:val="001E42B8"/>
    <w:pPr>
      <w:spacing w:after="100"/>
    </w:pPr>
  </w:style>
  <w:style w:type="paragraph" w:styleId="TOC2">
    <w:name w:val="toc 2"/>
    <w:basedOn w:val="Normal"/>
    <w:next w:val="Normal"/>
    <w:autoRedefine/>
    <w:uiPriority w:val="39"/>
    <w:unhideWhenUsed/>
    <w:rsid w:val="001E42B8"/>
    <w:pPr>
      <w:spacing w:after="100"/>
      <w:ind w:left="200"/>
    </w:pPr>
  </w:style>
  <w:style w:type="paragraph" w:styleId="Footer">
    <w:name w:val="footer"/>
    <w:basedOn w:val="Normal"/>
    <w:link w:val="FooterChar"/>
    <w:uiPriority w:val="99"/>
    <w:unhideWhenUsed/>
    <w:rsid w:val="001E42B8"/>
    <w:pPr>
      <w:tabs>
        <w:tab w:val="center" w:pos="4513"/>
        <w:tab w:val="right" w:pos="9026"/>
      </w:tabs>
      <w:spacing w:before="0" w:after="0"/>
    </w:pPr>
  </w:style>
  <w:style w:type="character" w:customStyle="1" w:styleId="FooterChar">
    <w:name w:val="Footer Char"/>
    <w:basedOn w:val="DefaultParagraphFont"/>
    <w:link w:val="Footer"/>
    <w:uiPriority w:val="99"/>
    <w:rsid w:val="001E42B8"/>
    <w:rPr>
      <w:rFonts w:ascii="Times New Roman" w:eastAsia="Times New Roman" w:hAnsi="Times New Roman" w:cs="Times New Roman"/>
      <w:sz w:val="20"/>
      <w:szCs w:val="20"/>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783/eel.v13i3.410" TargetMode="External"/><Relationship Id="rId3" Type="http://schemas.openxmlformats.org/officeDocument/2006/relationships/webSettings" Target="webSettings.xml"/><Relationship Id="rId7" Type="http://schemas.openxmlformats.org/officeDocument/2006/relationships/hyperlink" Target="https://doi.org/10.3390/su1606226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35</Pages>
  <Words>10887</Words>
  <Characters>62057</Characters>
  <Application>Microsoft Office Word</Application>
  <DocSecurity>0</DocSecurity>
  <Lines>517</Lines>
  <Paragraphs>145</Paragraphs>
  <ScaleCrop>false</ScaleCrop>
  <Company/>
  <LinksUpToDate>false</LinksUpToDate>
  <CharactersWithSpaces>72799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panchalpooja7897@gmail.com</dc:creator>
  <cp:keywords/>
  <dc:description/>
  <cp:lastModifiedBy>panchalpooja7897@gmail.com</cp:lastModifiedBy>
  <cp:revision>26</cp:revision>
  <dcterms:created xsi:type="dcterms:W3CDTF">2026-01-05T15:41:00Z</dcterms:created>
  <dcterms:modified xsi:type="dcterms:W3CDTF">2026-01-05T19:55:00Z</dcterms:modified>
</cp:coreProperties>
</file>