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8D8523" w14:textId="78509BCA" w:rsidR="008A3BD7" w:rsidRDefault="000C4A4E" w:rsidP="000C4A4E">
      <w:pPr>
        <w:pStyle w:val="Heading1"/>
        <w:rPr>
          <w:rFonts w:cs="Arial"/>
        </w:rPr>
      </w:pPr>
      <w:r>
        <w:rPr>
          <w:rFonts w:cs="Arial"/>
          <w:noProof/>
        </w:rPr>
        <w:drawing>
          <wp:inline distT="0" distB="0" distL="0" distR="0" wp14:anchorId="2661E9AA" wp14:editId="7D522692">
            <wp:extent cx="1628775" cy="647282"/>
            <wp:effectExtent l="0" t="0" r="0" b="635"/>
            <wp:docPr id="2558487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632422" cy="648731"/>
                    </a:xfrm>
                    <a:prstGeom prst="rect">
                      <a:avLst/>
                    </a:prstGeom>
                    <a:noFill/>
                  </pic:spPr>
                </pic:pic>
              </a:graphicData>
            </a:graphic>
          </wp:inline>
        </w:drawing>
      </w:r>
    </w:p>
    <w:p w14:paraId="108E30DD" w14:textId="52FA4F43" w:rsidR="000C4A4E" w:rsidRPr="00A63389" w:rsidRDefault="000C4A4E" w:rsidP="000C4A4E">
      <w:pPr>
        <w:rPr>
          <w:rFonts w:ascii="Arial" w:hAnsi="Arial" w:cs="Arial"/>
          <w:b/>
        </w:rPr>
      </w:pPr>
      <w:r w:rsidRPr="00A63389">
        <w:rPr>
          <w:rFonts w:ascii="Arial" w:hAnsi="Arial" w:cs="Arial"/>
          <w:b/>
          <w:bCs/>
        </w:rPr>
        <w:t>Module:</w:t>
      </w:r>
      <w:r w:rsidRPr="00A63389">
        <w:rPr>
          <w:rFonts w:ascii="Arial" w:hAnsi="Arial" w:cs="Arial"/>
        </w:rPr>
        <w:t xml:space="preserve"> </w:t>
      </w:r>
      <w:r w:rsidRPr="00A63389">
        <w:rPr>
          <w:rFonts w:ascii="Arial" w:hAnsi="Arial" w:cs="Arial"/>
          <w:b/>
        </w:rPr>
        <w:t xml:space="preserve">Principles of Human Resource </w:t>
      </w:r>
    </w:p>
    <w:p w14:paraId="39F54B94" w14:textId="77777777" w:rsidR="000C4A4E" w:rsidRPr="00A63389" w:rsidRDefault="000C4A4E" w:rsidP="000C4A4E">
      <w:pPr>
        <w:rPr>
          <w:rFonts w:ascii="Arial" w:hAnsi="Arial" w:cs="Arial"/>
          <w:b/>
        </w:rPr>
      </w:pPr>
      <w:r w:rsidRPr="00A63389">
        <w:rPr>
          <w:rFonts w:ascii="Arial" w:hAnsi="Arial" w:cs="Arial"/>
          <w:b/>
        </w:rPr>
        <w:t>Module Code: LCBB5012</w:t>
      </w:r>
    </w:p>
    <w:p w14:paraId="12613693" w14:textId="77777777" w:rsidR="000C4A4E" w:rsidRPr="00A63389" w:rsidRDefault="000C4A4E" w:rsidP="000C4A4E">
      <w:pPr>
        <w:rPr>
          <w:rFonts w:ascii="Arial" w:hAnsi="Arial" w:cs="Arial"/>
          <w:b/>
        </w:rPr>
      </w:pPr>
      <w:r w:rsidRPr="00A63389">
        <w:rPr>
          <w:rFonts w:ascii="Arial" w:hAnsi="Arial" w:cs="Arial"/>
          <w:b/>
        </w:rPr>
        <w:t>Student Name: Andreea-Rebeca Dascalu</w:t>
      </w:r>
    </w:p>
    <w:p w14:paraId="7388B37D" w14:textId="4E1CEE57" w:rsidR="008A3BD7" w:rsidRPr="000C4A4E" w:rsidRDefault="000C4A4E" w:rsidP="000C4A4E">
      <w:pPr>
        <w:rPr>
          <w:rFonts w:ascii="Arial" w:hAnsi="Arial" w:cs="Arial"/>
          <w:b/>
        </w:rPr>
      </w:pPr>
      <w:r w:rsidRPr="00A63389">
        <w:rPr>
          <w:rFonts w:ascii="Arial" w:hAnsi="Arial" w:cs="Arial"/>
          <w:b/>
        </w:rPr>
        <w:t>Student Number: 2311833</w:t>
      </w:r>
    </w:p>
    <w:p w14:paraId="78F21244" w14:textId="4DA2A45F" w:rsidR="007820D4" w:rsidRPr="00390BCC" w:rsidRDefault="00D022AF" w:rsidP="00D022AF">
      <w:pPr>
        <w:pStyle w:val="Heading1"/>
        <w:jc w:val="center"/>
        <w:rPr>
          <w:rFonts w:cs="Arial"/>
          <w:b/>
          <w:bCs/>
          <w:u w:val="single"/>
        </w:rPr>
      </w:pPr>
      <w:r w:rsidRPr="00390BCC">
        <w:rPr>
          <w:rFonts w:cs="Arial"/>
          <w:b/>
          <w:bCs/>
          <w:u w:val="single"/>
        </w:rPr>
        <w:t>Evaluating the Impact of Internal and External Environmental Factors on Human Resource Management: A PESTLE Analysis of IKEA</w:t>
      </w:r>
    </w:p>
    <w:p w14:paraId="7C3B9CB5" w14:textId="77777777" w:rsidR="00D022AF" w:rsidRPr="008A3BD7" w:rsidRDefault="00D022AF" w:rsidP="00D022AF">
      <w:pPr>
        <w:rPr>
          <w:rFonts w:asciiTheme="majorHAnsi" w:hAnsiTheme="majorHAnsi"/>
        </w:rPr>
      </w:pPr>
    </w:p>
    <w:p w14:paraId="3D0DF9B8" w14:textId="77777777" w:rsidR="00B620A8" w:rsidRPr="00390BCC" w:rsidRDefault="00D022AF" w:rsidP="00B620A8">
      <w:pPr>
        <w:rPr>
          <w:rFonts w:asciiTheme="majorHAnsi" w:hAnsiTheme="majorHAnsi"/>
          <w:b/>
          <w:bCs/>
          <w:sz w:val="24"/>
          <w:szCs w:val="24"/>
          <w:u w:val="single"/>
        </w:rPr>
      </w:pPr>
      <w:r w:rsidRPr="00390BCC">
        <w:rPr>
          <w:rFonts w:asciiTheme="majorHAnsi" w:hAnsiTheme="majorHAnsi"/>
          <w:b/>
          <w:bCs/>
          <w:sz w:val="24"/>
          <w:szCs w:val="24"/>
          <w:u w:val="single"/>
        </w:rPr>
        <w:t>Introduction</w:t>
      </w:r>
    </w:p>
    <w:p w14:paraId="7F770379" w14:textId="77777777" w:rsidR="00B620A8" w:rsidRDefault="00D022AF" w:rsidP="00B620A8">
      <w:pPr>
        <w:rPr>
          <w:rFonts w:asciiTheme="majorHAnsi" w:hAnsiTheme="majorHAnsi" w:cs="Arial"/>
        </w:rPr>
      </w:pPr>
      <w:r w:rsidRPr="00B620A8">
        <w:rPr>
          <w:rFonts w:asciiTheme="majorHAnsi" w:hAnsiTheme="majorHAnsi" w:cs="Arial"/>
        </w:rPr>
        <w:t>Human Resource Management (HRM) plays a fundamental role in helping organisations achieve their strategic objectives by ensuring they attract, develop and retain a skilled workforce.</w:t>
      </w:r>
      <w:r w:rsidR="00676022" w:rsidRPr="00B620A8">
        <w:rPr>
          <w:rFonts w:asciiTheme="majorHAnsi" w:hAnsiTheme="majorHAnsi" w:cs="Arial"/>
        </w:rPr>
        <w:t xml:space="preserve"> Human Resource Management (HRM) encompasses strategic and operational activities designed to attract, develop, motivate and retain employees while supporting the achievement of organisational objectives (Armstrong and Taylor, 2023)</w:t>
      </w:r>
      <w:r w:rsidRPr="00B620A8">
        <w:rPr>
          <w:rFonts w:asciiTheme="majorHAnsi" w:hAnsiTheme="majorHAnsi" w:cs="Arial"/>
        </w:rPr>
        <w:t>. Key HR functions include recruitment and selection, training and development, performance management, and employee relations. Recruitment and selection enable organisations to attract individuals with the skills and knowledge required to achieve business objectives, while training and development enhance employees' capabilities and prepare them for changing organisational needs (Bratton and Gold, 2023). Performance management ensures that employee performance is monitored, evaluated and aligned with organisational goals, whereas effective employee relations help to promote employee engagement, communication and a positive working environment (Dessler, 2020). Together, these functions contribute to improved productivity, employee satisfaction and long-term organisational performance. This report evaluates how internal and external environmental factors influence the effectiveness of HR managers within a global organisation. The PESTLE model is used to examine how political, economic, social, technological, legal and environmental factors shape HR practices and decision-making. IKEA has been selected as the organisation for analysis because it operates globally through stores and e-commerce across more than 60 markets and employs approximately 222,000 co-workers worldwide, making it an appropriate example of a multinational organisation facing diverse environmental influences. The report first explains the PESTLE model and its relevance to HRM before applying the model to IKEA's HR practices. It then evaluates how differences in national culture, legal systems and economic conditions affect HR managers' effectiveness before concluding with the future implications for HR professionals operating in an increasingly dynamic global business environment.</w:t>
      </w:r>
    </w:p>
    <w:p w14:paraId="56F09244" w14:textId="77777777" w:rsidR="00B620A8" w:rsidRDefault="00B620A8" w:rsidP="00B620A8">
      <w:pPr>
        <w:rPr>
          <w:rFonts w:asciiTheme="majorHAnsi" w:hAnsiTheme="majorHAnsi" w:cs="Arial"/>
          <w:b/>
          <w:bCs/>
        </w:rPr>
      </w:pPr>
    </w:p>
    <w:p w14:paraId="29ABF58D" w14:textId="77777777" w:rsidR="00B620A8" w:rsidRDefault="00B620A8" w:rsidP="00B620A8">
      <w:pPr>
        <w:rPr>
          <w:rFonts w:asciiTheme="majorHAnsi" w:hAnsiTheme="majorHAnsi" w:cs="Arial"/>
          <w:b/>
          <w:bCs/>
        </w:rPr>
      </w:pPr>
    </w:p>
    <w:p w14:paraId="7B5F0623" w14:textId="66280DF2" w:rsidR="00D022AF" w:rsidRPr="00390BCC" w:rsidRDefault="00D022AF" w:rsidP="00B620A8">
      <w:pPr>
        <w:rPr>
          <w:rFonts w:asciiTheme="majorHAnsi" w:hAnsiTheme="majorHAnsi"/>
          <w:b/>
          <w:bCs/>
          <w:sz w:val="24"/>
          <w:szCs w:val="24"/>
          <w:u w:val="single"/>
        </w:rPr>
      </w:pPr>
      <w:r w:rsidRPr="00390BCC">
        <w:rPr>
          <w:rFonts w:asciiTheme="majorHAnsi" w:hAnsiTheme="majorHAnsi" w:cs="Arial"/>
          <w:b/>
          <w:bCs/>
          <w:sz w:val="24"/>
          <w:szCs w:val="24"/>
          <w:u w:val="single"/>
        </w:rPr>
        <w:lastRenderedPageBreak/>
        <w:t xml:space="preserve"> Internal and External Environment</w:t>
      </w:r>
    </w:p>
    <w:p w14:paraId="077B655A" w14:textId="77777777" w:rsidR="00D022AF" w:rsidRPr="008A3BD7" w:rsidRDefault="00D022AF" w:rsidP="00B620A8">
      <w:pPr>
        <w:pStyle w:val="pdq2pgselectionanchorcontainer"/>
        <w:rPr>
          <w:rFonts w:asciiTheme="majorHAnsi" w:hAnsiTheme="majorHAnsi" w:cs="Arial"/>
          <w:sz w:val="22"/>
          <w:szCs w:val="22"/>
        </w:rPr>
      </w:pPr>
      <w:r w:rsidRPr="008A3BD7">
        <w:rPr>
          <w:rFonts w:asciiTheme="majorHAnsi" w:hAnsiTheme="majorHAnsi" w:cs="Arial"/>
          <w:sz w:val="22"/>
          <w:szCs w:val="22"/>
        </w:rPr>
        <w:t>Understanding the business environment is essential for organisations because internal and external factors can significantly influence organisational performance and decision-making. One of the most widely used strategic tools for analysing the external business environment is the PESTLE model. PESTLE examines six key external factors—Political, Economic, Social, Technological, Legal and Environmental—that may create opportunities or challenges for organisations (Johnson, Scholes and Whittington, 2020). By analysing these factors, organisations can better anticipate changes within their operating environment and develop strategies that support long-term success.</w:t>
      </w:r>
    </w:p>
    <w:p w14:paraId="23EBF242" w14:textId="77777777" w:rsidR="00D022AF" w:rsidRPr="008A3BD7" w:rsidRDefault="00D022AF" w:rsidP="00B620A8">
      <w:pPr>
        <w:pStyle w:val="pdq2pgselectionanchorcontainer"/>
        <w:rPr>
          <w:rFonts w:asciiTheme="majorHAnsi" w:hAnsiTheme="majorHAnsi" w:cs="Arial"/>
          <w:sz w:val="22"/>
          <w:szCs w:val="22"/>
        </w:rPr>
      </w:pPr>
      <w:r w:rsidRPr="008A3BD7">
        <w:rPr>
          <w:rFonts w:asciiTheme="majorHAnsi" w:hAnsiTheme="majorHAnsi" w:cs="Arial"/>
          <w:sz w:val="22"/>
          <w:szCs w:val="22"/>
        </w:rPr>
        <w:t>Political factors refer to government policies, taxation, employment legislation, trade agreements and political stability, all of which can influence organisational operations and workforce management. Economic factors include inflation, unemployment rates, labour market conditions and economic growth, which affect recruitment, employee retention and reward strategies. Social factors relate to demographic changes, employee expectations, cultural values and workforce diversity, requiring HR managers to develop inclusive policies and promote employee wellbeing. Technological factors involve advancements such as artificial intelligence (AI), digital recruitment platforms and online learning systems, enabling HR departments to improve recruitment efficiency, employee development and performance management. Legal factors include employment legislation, equality laws, health and safety regulations and data protection requirements, which organisations must comply with to minimise legal risks. Finally, environmental factors reflect growing concerns regarding sustainability, climate change and corporate social responsibility, encouraging organisations to adopt environmentally responsible HR practices and support sustainable business objectives (Kotler and Keller, 2022).</w:t>
      </w:r>
    </w:p>
    <w:p w14:paraId="2DB9892C" w14:textId="77777777" w:rsidR="00D022AF" w:rsidRPr="008A3BD7" w:rsidRDefault="00D022AF" w:rsidP="00B620A8">
      <w:pPr>
        <w:pStyle w:val="pdq2pgselectionanchorcontainer"/>
        <w:rPr>
          <w:rFonts w:asciiTheme="majorHAnsi" w:hAnsiTheme="majorHAnsi" w:cs="Arial"/>
          <w:sz w:val="22"/>
          <w:szCs w:val="22"/>
        </w:rPr>
      </w:pPr>
      <w:r w:rsidRPr="008A3BD7">
        <w:rPr>
          <w:rFonts w:asciiTheme="majorHAnsi" w:hAnsiTheme="majorHAnsi" w:cs="Arial"/>
          <w:sz w:val="22"/>
          <w:szCs w:val="22"/>
        </w:rPr>
        <w:t>The PESTLE model offers several advantages. It provides organisations with a structured framework for identifying external influences, supports strategic planning and enables managers to anticipate changes that may affect organisational performance (Johnson, Scholes and Whittington, 2020). For HR managers, PESTLE can improve workforce planning by identifying future labour market trends, skills shortages and legislative changes that require adjustments to recruitment, training and employee development strategies. However, despite its usefulness, PESTLE also has limitations. The model focuses primarily on external factors and does not consider an organisation's internal strengths and weaknesses, meaning it should be used alongside other strategic tools, such as SWOT analysis (Sammut-Bonnici and Galea, 2015). Furthermore, external environments change rapidly, particularly due to technological innovation and global economic uncertainty, meaning information obtained from a PESTLE analysis can quickly become outdated.</w:t>
      </w:r>
    </w:p>
    <w:p w14:paraId="41D0237E" w14:textId="77777777" w:rsidR="00D022AF" w:rsidRPr="00676022" w:rsidRDefault="00D022AF" w:rsidP="00B620A8">
      <w:pPr>
        <w:pStyle w:val="pdq2pgselectionanchorcontainer"/>
        <w:rPr>
          <w:rFonts w:asciiTheme="majorHAnsi" w:hAnsiTheme="majorHAnsi" w:cs="Arial"/>
          <w:sz w:val="22"/>
          <w:szCs w:val="22"/>
        </w:rPr>
      </w:pPr>
      <w:r w:rsidRPr="008A3BD7">
        <w:rPr>
          <w:rFonts w:asciiTheme="majorHAnsi" w:hAnsiTheme="majorHAnsi" w:cs="Arial"/>
          <w:sz w:val="22"/>
          <w:szCs w:val="22"/>
        </w:rPr>
        <w:t xml:space="preserve">The PESTLE model has a direct relationship with Human Resource Management because each external factor influences core HR functions. Political and legal changes may require HR managers to revise employment policies and ensure compliance with labour legislation. Economic conditions can influence recruitment activity, salary structures and workforce planning, while social trends shape diversity, inclusion and employee wellbeing initiatives. Technological developments encourage investment in digital HR systems and continuous employee training, whereas environmental concerns increasingly require HR departments to promote sustainability through recruitment, training and organisational culture. Consequently, understanding the external business environment enables HR managers to make informed decisions that support </w:t>
      </w:r>
      <w:r w:rsidRPr="00676022">
        <w:rPr>
          <w:rFonts w:asciiTheme="majorHAnsi" w:hAnsiTheme="majorHAnsi" w:cs="Arial"/>
          <w:sz w:val="22"/>
          <w:szCs w:val="22"/>
        </w:rPr>
        <w:t>organisational objectives while responding effectively to changing global conditions (Armstrong and Taylor, 2023).</w:t>
      </w:r>
    </w:p>
    <w:p w14:paraId="6792E5D2" w14:textId="77777777" w:rsidR="00B620A8" w:rsidRDefault="00B620A8" w:rsidP="00B620A8">
      <w:pPr>
        <w:pStyle w:val="pdq2pgselectionanchorcontainer"/>
        <w:rPr>
          <w:rFonts w:asciiTheme="majorHAnsi" w:hAnsiTheme="majorHAnsi" w:cs="Arial"/>
          <w:b/>
          <w:bCs/>
        </w:rPr>
      </w:pPr>
    </w:p>
    <w:p w14:paraId="31423DB1" w14:textId="77777777" w:rsidR="00B620A8" w:rsidRDefault="00B620A8" w:rsidP="00B620A8">
      <w:pPr>
        <w:pStyle w:val="pdq2pgselectionanchorcontainer"/>
        <w:rPr>
          <w:rFonts w:asciiTheme="majorHAnsi" w:hAnsiTheme="majorHAnsi" w:cs="Arial"/>
          <w:b/>
          <w:bCs/>
        </w:rPr>
      </w:pPr>
    </w:p>
    <w:p w14:paraId="22C67BF9" w14:textId="098793EA" w:rsidR="00DD6CA8" w:rsidRPr="00390BCC" w:rsidRDefault="00DD6CA8" w:rsidP="00B620A8">
      <w:pPr>
        <w:pStyle w:val="pdq2pgselectionanchorcontainer"/>
        <w:rPr>
          <w:rFonts w:asciiTheme="majorHAnsi" w:hAnsiTheme="majorHAnsi" w:cs="Arial"/>
          <w:b/>
          <w:bCs/>
          <w:u w:val="single"/>
        </w:rPr>
      </w:pPr>
      <w:r w:rsidRPr="00390BCC">
        <w:rPr>
          <w:rFonts w:asciiTheme="majorHAnsi" w:hAnsiTheme="majorHAnsi" w:cs="Arial"/>
          <w:b/>
          <w:bCs/>
          <w:u w:val="single"/>
        </w:rPr>
        <w:t>Organisation Application</w:t>
      </w:r>
    </w:p>
    <w:p w14:paraId="7E06C28E" w14:textId="5C160EF3" w:rsidR="005E0ABA" w:rsidRDefault="005E0ABA" w:rsidP="00B620A8">
      <w:pPr>
        <w:pStyle w:val="pdq2pgselectionanchorcontainer"/>
        <w:rPr>
          <w:rFonts w:asciiTheme="majorHAnsi" w:hAnsiTheme="majorHAnsi" w:cs="Arial"/>
        </w:rPr>
      </w:pPr>
      <w:r w:rsidRPr="005E0ABA">
        <w:rPr>
          <w:rFonts w:asciiTheme="majorHAnsi" w:hAnsiTheme="majorHAnsi" w:cs="Arial"/>
        </w:rPr>
        <w:t>IKEA's global workforce includes approximately 2</w:t>
      </w:r>
      <w:r w:rsidR="00B620A8">
        <w:rPr>
          <w:rFonts w:asciiTheme="majorHAnsi" w:hAnsiTheme="majorHAnsi" w:cs="Arial"/>
        </w:rPr>
        <w:t>22</w:t>
      </w:r>
      <w:r w:rsidRPr="005E0ABA">
        <w:rPr>
          <w:rFonts w:asciiTheme="majorHAnsi" w:hAnsiTheme="majorHAnsi" w:cs="Arial"/>
        </w:rPr>
        <w:t>,000 co-workers across more than 60 markets, requiring HR managers to develop people management strategies that balance global organisational values with local employment practices (Inter IKEA Group, 2024).</w:t>
      </w:r>
    </w:p>
    <w:p w14:paraId="054AE2CD" w14:textId="23188082" w:rsidR="00DD6CA8" w:rsidRPr="008A3BD7" w:rsidRDefault="00DD6CA8" w:rsidP="00B620A8">
      <w:pPr>
        <w:pStyle w:val="pdq2pgselectionanchorcontainer"/>
        <w:rPr>
          <w:rFonts w:asciiTheme="majorHAnsi" w:hAnsiTheme="majorHAnsi" w:cs="Arial"/>
        </w:rPr>
      </w:pPr>
      <w:r w:rsidRPr="008A3BD7">
        <w:rPr>
          <w:rFonts w:asciiTheme="majorHAnsi" w:hAnsiTheme="majorHAnsi" w:cs="Arial"/>
        </w:rPr>
        <w:t>IKEA’s Human Resource practices are strongly influenced by its organisational values, including togetherness, responsibility and continuous development. In relation to recruitment, IKEA focuses on attracting employees who demonstrate values that align with its culture, rather than focusing only on technical skills. The organisation promotes diversity and inclusion within its workforce to ensure employees from different backgrounds are represented (IKEA, 2024).</w:t>
      </w:r>
    </w:p>
    <w:p w14:paraId="24EB8354" w14:textId="77777777" w:rsidR="00DD6CA8" w:rsidRPr="008A3BD7" w:rsidRDefault="00DD6CA8" w:rsidP="00B620A8">
      <w:pPr>
        <w:pStyle w:val="pdq2pgselectionanchorcontainer"/>
        <w:rPr>
          <w:rFonts w:asciiTheme="majorHAnsi" w:hAnsiTheme="majorHAnsi" w:cs="Arial"/>
        </w:rPr>
      </w:pPr>
      <w:r w:rsidRPr="008A3BD7">
        <w:rPr>
          <w:rFonts w:asciiTheme="majorHAnsi" w:hAnsiTheme="majorHAnsi" w:cs="Arial"/>
        </w:rPr>
        <w:t>Training and development are also important elements of IKEA’s HR strategy. The organisation invests in employee learning opportunities to improve skills, support career progression and prepare employees for changing business requirements. Performance management within IKEA focuses on employee development, feedback and alignment between individual contributions and organisational objectives. Furthermore, employee relations are supported through communication, wellbeing initiatives and efforts to create an inclusive working environment.</w:t>
      </w:r>
    </w:p>
    <w:p w14:paraId="52E6C911" w14:textId="77777777" w:rsidR="00B620A8" w:rsidRDefault="00DD6CA8" w:rsidP="00B620A8">
      <w:pPr>
        <w:pStyle w:val="pdq2pgselectionanchorcontainer"/>
        <w:rPr>
          <w:rFonts w:asciiTheme="majorHAnsi" w:hAnsiTheme="majorHAnsi" w:cs="Arial"/>
        </w:rPr>
      </w:pPr>
      <w:r w:rsidRPr="008A3BD7">
        <w:rPr>
          <w:rFonts w:asciiTheme="majorHAnsi" w:hAnsiTheme="majorHAnsi" w:cs="Arial"/>
        </w:rPr>
        <w:t>However, managing HR practices across different countries requires IKEA’s HR managers to adapt their approaches according to local conditions. Differences in employment legislation, cultural expectations, economic conditions and technological development mean that HR strategies cannot be identical in every market. Therefore, understanding environmental influences through frameworks such as PESTLE is essential for IKEA’s HR managers to maintain effectiveness across global operations.</w:t>
      </w:r>
    </w:p>
    <w:p w14:paraId="77CD0075" w14:textId="7ABC6CE2" w:rsidR="00DD6CA8" w:rsidRPr="00390BCC" w:rsidRDefault="00DD6CA8" w:rsidP="00B620A8">
      <w:pPr>
        <w:pStyle w:val="pdq2pgselectionanchorcontainer"/>
        <w:rPr>
          <w:rFonts w:asciiTheme="majorHAnsi" w:hAnsiTheme="majorHAnsi" w:cs="Arial"/>
          <w:u w:val="single"/>
        </w:rPr>
      </w:pPr>
      <w:r w:rsidRPr="00390BCC">
        <w:rPr>
          <w:rFonts w:asciiTheme="majorHAnsi" w:hAnsiTheme="majorHAnsi" w:cs="Arial"/>
          <w:b/>
          <w:bCs/>
          <w:u w:val="single"/>
        </w:rPr>
        <w:t>Application of the PESTLE Model</w:t>
      </w:r>
    </w:p>
    <w:p w14:paraId="66F6F2FA" w14:textId="77777777" w:rsidR="00DD6CA8" w:rsidRPr="008A3BD7" w:rsidRDefault="00DD6CA8" w:rsidP="00B620A8">
      <w:pPr>
        <w:pStyle w:val="pdq2pgselectionanchorcontainer"/>
        <w:rPr>
          <w:rFonts w:asciiTheme="majorHAnsi" w:hAnsiTheme="majorHAnsi" w:cs="Arial"/>
        </w:rPr>
      </w:pPr>
      <w:r w:rsidRPr="008A3BD7">
        <w:rPr>
          <w:rFonts w:asciiTheme="majorHAnsi" w:hAnsiTheme="majorHAnsi" w:cs="Arial"/>
        </w:rPr>
        <w:t>The PESTLE model demonstrates how external environmental factors influence IKEA’s HR practices and the effectiveness of its HR managers. As a multinational organisation, IKEA operates within different countries where political systems, economic conditions, cultural expectations, technological developments, legal requirements and environmental pressures vary significantly. These factors influence how HR managers recruit, train, motivate and retain employees.</w:t>
      </w:r>
    </w:p>
    <w:p w14:paraId="2AD45C27" w14:textId="77777777" w:rsidR="00DD6CA8" w:rsidRPr="008A3BD7" w:rsidRDefault="00DD6CA8" w:rsidP="00B620A8">
      <w:pPr>
        <w:pStyle w:val="pdq2pgselectionanchorcontainer"/>
        <w:numPr>
          <w:ilvl w:val="0"/>
          <w:numId w:val="4"/>
        </w:numPr>
        <w:rPr>
          <w:rFonts w:asciiTheme="majorHAnsi" w:hAnsiTheme="majorHAnsi" w:cs="Arial"/>
          <w:b/>
          <w:bCs/>
        </w:rPr>
      </w:pPr>
      <w:r w:rsidRPr="008A3BD7">
        <w:rPr>
          <w:rFonts w:asciiTheme="majorHAnsi" w:hAnsiTheme="majorHAnsi" w:cs="Arial"/>
          <w:b/>
          <w:bCs/>
        </w:rPr>
        <w:t>Political Factors</w:t>
      </w:r>
    </w:p>
    <w:p w14:paraId="2FE01D42" w14:textId="77777777" w:rsidR="00DD6CA8" w:rsidRPr="008A3BD7" w:rsidRDefault="00DD6CA8" w:rsidP="00B620A8">
      <w:pPr>
        <w:pStyle w:val="pdq2pgselectionanchorcontainer"/>
        <w:rPr>
          <w:rFonts w:asciiTheme="majorHAnsi" w:hAnsiTheme="majorHAnsi" w:cs="Arial"/>
        </w:rPr>
      </w:pPr>
      <w:r w:rsidRPr="008A3BD7">
        <w:rPr>
          <w:rFonts w:asciiTheme="majorHAnsi" w:hAnsiTheme="majorHAnsi" w:cs="Arial"/>
        </w:rPr>
        <w:t>Political factors can significantly influence IKEA’s HR management because government decisions and employment policies differ between countries. Changes in immigration policies, taxation, trade regulations and labour market policies can affect workforce planning and recruitment strategies. For example, restrictions on migration in certain countries may reduce the availability of skilled employees, requiring HR managers to adjust recruitment approaches and invest more in employee development.</w:t>
      </w:r>
    </w:p>
    <w:p w14:paraId="43CF45B1" w14:textId="77777777" w:rsidR="00DD6CA8" w:rsidRPr="008A3BD7" w:rsidRDefault="00DD6CA8" w:rsidP="00B620A8">
      <w:pPr>
        <w:pStyle w:val="pdq2pgselectionanchorcontainer"/>
        <w:rPr>
          <w:rFonts w:asciiTheme="majorHAnsi" w:hAnsiTheme="majorHAnsi" w:cs="Arial"/>
        </w:rPr>
      </w:pPr>
      <w:r w:rsidRPr="008A3BD7">
        <w:rPr>
          <w:rFonts w:asciiTheme="majorHAnsi" w:hAnsiTheme="majorHAnsi" w:cs="Arial"/>
        </w:rPr>
        <w:t>Additionally, political stability can influence business confidence and employment opportunities. HR managers operating in countries with unstable political environments may face difficulties related to workforce retention, operational uncertainty and changing employment regulations. Therefore, IKEA’s HR managers must continuously monitor political developments to ensure that workforce strategies remain suitable for each country.</w:t>
      </w:r>
    </w:p>
    <w:p w14:paraId="56062D4B" w14:textId="77777777" w:rsidR="00B620A8" w:rsidRDefault="00DD6CA8" w:rsidP="00B620A8">
      <w:pPr>
        <w:pStyle w:val="pdq2pgselectionanchorcontainer"/>
        <w:numPr>
          <w:ilvl w:val="0"/>
          <w:numId w:val="4"/>
        </w:numPr>
        <w:rPr>
          <w:rFonts w:asciiTheme="majorHAnsi" w:hAnsiTheme="majorHAnsi" w:cs="Arial"/>
          <w:b/>
          <w:bCs/>
        </w:rPr>
      </w:pPr>
      <w:r w:rsidRPr="008A3BD7">
        <w:rPr>
          <w:rFonts w:asciiTheme="majorHAnsi" w:hAnsiTheme="majorHAnsi" w:cs="Arial"/>
          <w:b/>
          <w:bCs/>
        </w:rPr>
        <w:t>Economic Factors</w:t>
      </w:r>
    </w:p>
    <w:p w14:paraId="0FAA3F9D" w14:textId="23B0F07A" w:rsidR="00DD6CA8" w:rsidRPr="00B620A8" w:rsidRDefault="00DD6CA8" w:rsidP="00B620A8">
      <w:pPr>
        <w:pStyle w:val="pdq2pgselectionanchorcontainer"/>
        <w:rPr>
          <w:rFonts w:asciiTheme="majorHAnsi" w:hAnsiTheme="majorHAnsi" w:cs="Arial"/>
          <w:b/>
          <w:bCs/>
        </w:rPr>
      </w:pPr>
      <w:r w:rsidRPr="00B620A8">
        <w:rPr>
          <w:rFonts w:asciiTheme="majorHAnsi" w:hAnsiTheme="majorHAnsi" w:cs="Arial"/>
        </w:rPr>
        <w:t>Economic conditions directly affect IKEA’s ability to manage its workforce effectively. Factors such as inflation, unemployment rates, wage expectations and economic growth influence recruitment, compensation and employee retention strategies. For example, during periods of high inflation, employees may demand higher wages due to increased living costs, creating pressure for organisations to review reward systems (Armstrong and Taylor, 2023).</w:t>
      </w:r>
    </w:p>
    <w:p w14:paraId="115732A5" w14:textId="77777777" w:rsidR="00DD6CA8" w:rsidRPr="008A3BD7" w:rsidRDefault="00DD6CA8" w:rsidP="00B620A8">
      <w:pPr>
        <w:pStyle w:val="pdq2pgselectionanchorcontainer"/>
        <w:rPr>
          <w:rFonts w:asciiTheme="majorHAnsi" w:hAnsiTheme="majorHAnsi" w:cs="Arial"/>
        </w:rPr>
      </w:pPr>
      <w:r w:rsidRPr="008A3BD7">
        <w:rPr>
          <w:rFonts w:asciiTheme="majorHAnsi" w:hAnsiTheme="majorHAnsi" w:cs="Arial"/>
        </w:rPr>
        <w:t>Different countries also experience different labour market conditions. In developed economies, IKEA may face challenges related to labour shortages and competition for skilled workers, while in developing markets the organisation may have access to larger labour pools but may need to provide additional training. Consequently, HR managers must adapt compensation packages, recruitment methods and development programmes according to local economic conditions.</w:t>
      </w:r>
    </w:p>
    <w:p w14:paraId="7C36A69A" w14:textId="77777777" w:rsidR="00390BCC" w:rsidRDefault="00DD6CA8" w:rsidP="00390BCC">
      <w:pPr>
        <w:pStyle w:val="pdq2pgselectionanchorcontainer"/>
        <w:numPr>
          <w:ilvl w:val="0"/>
          <w:numId w:val="4"/>
        </w:numPr>
        <w:rPr>
          <w:rFonts w:asciiTheme="majorHAnsi" w:hAnsiTheme="majorHAnsi" w:cs="Arial"/>
          <w:b/>
          <w:bCs/>
        </w:rPr>
      </w:pPr>
      <w:r w:rsidRPr="008A3BD7">
        <w:rPr>
          <w:rFonts w:asciiTheme="majorHAnsi" w:hAnsiTheme="majorHAnsi" w:cs="Arial"/>
          <w:b/>
          <w:bCs/>
        </w:rPr>
        <w:t>Social Factors</w:t>
      </w:r>
    </w:p>
    <w:p w14:paraId="13697CC7" w14:textId="68AAD191" w:rsidR="00DD6CA8" w:rsidRPr="00390BCC" w:rsidRDefault="00DD6CA8" w:rsidP="00390BCC">
      <w:pPr>
        <w:pStyle w:val="pdq2pgselectionanchorcontainer"/>
        <w:rPr>
          <w:rFonts w:asciiTheme="majorHAnsi" w:hAnsiTheme="majorHAnsi" w:cs="Arial"/>
          <w:b/>
          <w:bCs/>
        </w:rPr>
      </w:pPr>
      <w:r w:rsidRPr="00390BCC">
        <w:rPr>
          <w:rFonts w:asciiTheme="majorHAnsi" w:hAnsiTheme="majorHAnsi" w:cs="Arial"/>
        </w:rPr>
        <w:t>Social factors are particularly important for IKEA because the organisation operates</w:t>
      </w:r>
      <w:r w:rsidR="00B620A8" w:rsidRPr="00390BCC">
        <w:rPr>
          <w:rFonts w:asciiTheme="majorHAnsi" w:hAnsiTheme="majorHAnsi" w:cs="Arial"/>
        </w:rPr>
        <w:t xml:space="preserve"> </w:t>
      </w:r>
      <w:r w:rsidRPr="00390BCC">
        <w:rPr>
          <w:rFonts w:asciiTheme="majorHAnsi" w:hAnsiTheme="majorHAnsi" w:cs="Arial"/>
        </w:rPr>
        <w:t xml:space="preserve">across culturally diverse markets. Differences in values, attitudes towards work, employee expectations and communication styles influence how HR managers manage employees. Hofstede’s cultural dimensions theory highlights </w:t>
      </w:r>
      <w:r w:rsidR="00B620A8" w:rsidRPr="00390BCC">
        <w:rPr>
          <w:rFonts w:asciiTheme="majorHAnsi" w:hAnsiTheme="majorHAnsi" w:cs="Arial"/>
        </w:rPr>
        <w:t>those national cultures</w:t>
      </w:r>
      <w:r w:rsidRPr="00390BCC">
        <w:rPr>
          <w:rFonts w:asciiTheme="majorHAnsi" w:hAnsiTheme="majorHAnsi" w:cs="Arial"/>
        </w:rPr>
        <w:t xml:space="preserve"> influence workplace behaviour, leadership preferences and employee motivation (Hofstede, Hofstede and Minkov, 2010).</w:t>
      </w:r>
      <w:r w:rsidR="00B620A8" w:rsidRPr="00390BCC">
        <w:rPr>
          <w:rFonts w:asciiTheme="majorHAnsi" w:hAnsiTheme="majorHAnsi" w:cs="Arial"/>
        </w:rPr>
        <w:t xml:space="preserve"> </w:t>
      </w:r>
      <w:r w:rsidRPr="00390BCC">
        <w:rPr>
          <w:rFonts w:asciiTheme="majorHAnsi" w:hAnsiTheme="majorHAnsi" w:cs="Arial"/>
        </w:rPr>
        <w:t>For example, employees in some countries may prefer individual recognition and personal achievement, while others may value teamwork and collective decision-making. Therefore, IKEA’s HR managers must consider cultural differences when designing performance management systems, leadership approaches and employee engagement strategies. Failure to recognise cultural differences may reduce employee satisfaction and negatively affect organisational effectiveness.</w:t>
      </w:r>
    </w:p>
    <w:p w14:paraId="50E487F4" w14:textId="77777777" w:rsidR="00DD6CA8" w:rsidRPr="008A3BD7" w:rsidRDefault="00DD6CA8" w:rsidP="00390BCC">
      <w:pPr>
        <w:pStyle w:val="pdq2pgselectionanchorcontainer"/>
        <w:numPr>
          <w:ilvl w:val="0"/>
          <w:numId w:val="4"/>
        </w:numPr>
        <w:rPr>
          <w:rFonts w:asciiTheme="majorHAnsi" w:hAnsiTheme="majorHAnsi" w:cs="Arial"/>
          <w:b/>
          <w:bCs/>
        </w:rPr>
      </w:pPr>
      <w:r w:rsidRPr="008A3BD7">
        <w:rPr>
          <w:rFonts w:asciiTheme="majorHAnsi" w:hAnsiTheme="majorHAnsi" w:cs="Arial"/>
          <w:b/>
          <w:bCs/>
        </w:rPr>
        <w:t>Technological Factors</w:t>
      </w:r>
    </w:p>
    <w:p w14:paraId="6A40752D" w14:textId="77777777" w:rsidR="00DD6CA8" w:rsidRPr="008A3BD7" w:rsidRDefault="00DD6CA8" w:rsidP="00B620A8">
      <w:pPr>
        <w:pStyle w:val="pdq2pgselectionanchorcontainer"/>
        <w:rPr>
          <w:rFonts w:asciiTheme="majorHAnsi" w:hAnsiTheme="majorHAnsi" w:cs="Arial"/>
        </w:rPr>
      </w:pPr>
      <w:r w:rsidRPr="008A3BD7">
        <w:rPr>
          <w:rFonts w:asciiTheme="majorHAnsi" w:hAnsiTheme="majorHAnsi" w:cs="Arial"/>
        </w:rPr>
        <w:t>Technological development has transformed HR management by introducing digital recruitment platforms, online training systems and data-driven decision-making. IKEA’s HR managers can use technology to improve recruitment efficiency, provide flexible learning opportunities and analyse workforce information.</w:t>
      </w:r>
    </w:p>
    <w:p w14:paraId="45DC41DF" w14:textId="77777777" w:rsidR="00DD6CA8" w:rsidRPr="008A3BD7" w:rsidRDefault="00DD6CA8" w:rsidP="00B620A8">
      <w:pPr>
        <w:pStyle w:val="pdq2pgselectionanchorcontainer"/>
        <w:rPr>
          <w:rFonts w:asciiTheme="majorHAnsi" w:hAnsiTheme="majorHAnsi" w:cs="Arial"/>
        </w:rPr>
      </w:pPr>
      <w:r w:rsidRPr="008A3BD7">
        <w:rPr>
          <w:rFonts w:asciiTheme="majorHAnsi" w:hAnsiTheme="majorHAnsi" w:cs="Arial"/>
        </w:rPr>
        <w:t>However, technological changes also create challenges. Increased automation and digitalisation require employees to develop new skills, meaning HR managers must invest in continuous learning and reskilling programmes. Furthermore, differences in technological access between countries may affect how consistently IKEA can implement digital HR systems globally.</w:t>
      </w:r>
    </w:p>
    <w:p w14:paraId="2DD7F1E3" w14:textId="77777777" w:rsidR="00DD6CA8" w:rsidRPr="008A3BD7" w:rsidRDefault="00DD6CA8" w:rsidP="00390BCC">
      <w:pPr>
        <w:pStyle w:val="pdq2pgselectionanchorcontainer"/>
        <w:numPr>
          <w:ilvl w:val="0"/>
          <w:numId w:val="4"/>
        </w:numPr>
        <w:rPr>
          <w:rFonts w:asciiTheme="majorHAnsi" w:hAnsiTheme="majorHAnsi" w:cs="Arial"/>
          <w:b/>
          <w:bCs/>
        </w:rPr>
      </w:pPr>
      <w:r w:rsidRPr="008A3BD7">
        <w:rPr>
          <w:rFonts w:asciiTheme="majorHAnsi" w:hAnsiTheme="majorHAnsi" w:cs="Arial"/>
          <w:b/>
          <w:bCs/>
        </w:rPr>
        <w:t>Legal Factors</w:t>
      </w:r>
    </w:p>
    <w:p w14:paraId="50675E31" w14:textId="77777777" w:rsidR="00DD6CA8" w:rsidRPr="008A3BD7" w:rsidRDefault="00DD6CA8" w:rsidP="00B620A8">
      <w:pPr>
        <w:pStyle w:val="pdq2pgselectionanchorcontainer"/>
        <w:rPr>
          <w:rFonts w:asciiTheme="majorHAnsi" w:hAnsiTheme="majorHAnsi" w:cs="Arial"/>
        </w:rPr>
      </w:pPr>
      <w:r w:rsidRPr="008A3BD7">
        <w:rPr>
          <w:rFonts w:asciiTheme="majorHAnsi" w:hAnsiTheme="majorHAnsi" w:cs="Arial"/>
        </w:rPr>
        <w:t>Legal factors represent one of the most significant challenges for multinational organisations because employment laws vary between countries. IKEA must comply with different regulations relating to minimum wages, working hours, employee rights, equality legislation and health and safety requirements.</w:t>
      </w:r>
    </w:p>
    <w:p w14:paraId="289557A4" w14:textId="77777777" w:rsidR="00DD6CA8" w:rsidRPr="008A3BD7" w:rsidRDefault="00DD6CA8" w:rsidP="00B620A8">
      <w:pPr>
        <w:pStyle w:val="pdq2pgselectionanchorcontainer"/>
        <w:rPr>
          <w:rFonts w:asciiTheme="majorHAnsi" w:hAnsiTheme="majorHAnsi" w:cs="Arial"/>
        </w:rPr>
      </w:pPr>
      <w:r w:rsidRPr="008A3BD7">
        <w:rPr>
          <w:rFonts w:asciiTheme="majorHAnsi" w:hAnsiTheme="majorHAnsi" w:cs="Arial"/>
        </w:rPr>
        <w:t>For example, HR managers operating within European countries must consider regulations such as the General Data Protection Regulation (GDPR), which affects how employee information is collected and stored. In contrast, other countries may have different approaches to employee protection and workplace regulation. These differences require HR managers to maintain flexibility while ensuring legal compliance in every market.</w:t>
      </w:r>
    </w:p>
    <w:p w14:paraId="04500041" w14:textId="77777777" w:rsidR="00DD6CA8" w:rsidRPr="008A3BD7" w:rsidRDefault="00DD6CA8" w:rsidP="00390BCC">
      <w:pPr>
        <w:pStyle w:val="pdq2pgselectionanchorcontainer"/>
        <w:numPr>
          <w:ilvl w:val="0"/>
          <w:numId w:val="4"/>
        </w:numPr>
        <w:rPr>
          <w:rFonts w:asciiTheme="majorHAnsi" w:hAnsiTheme="majorHAnsi" w:cs="Arial"/>
          <w:b/>
          <w:bCs/>
        </w:rPr>
      </w:pPr>
      <w:r w:rsidRPr="008A3BD7">
        <w:rPr>
          <w:rFonts w:asciiTheme="majorHAnsi" w:hAnsiTheme="majorHAnsi" w:cs="Arial"/>
          <w:b/>
          <w:bCs/>
        </w:rPr>
        <w:t>Environmental Factors</w:t>
      </w:r>
    </w:p>
    <w:p w14:paraId="0C2670A5" w14:textId="77777777" w:rsidR="00DD6CA8" w:rsidRPr="008A3BD7" w:rsidRDefault="00DD6CA8" w:rsidP="00B620A8">
      <w:pPr>
        <w:pStyle w:val="pdq2pgselectionanchorcontainer"/>
        <w:rPr>
          <w:rFonts w:asciiTheme="majorHAnsi" w:hAnsiTheme="majorHAnsi" w:cs="Arial"/>
        </w:rPr>
      </w:pPr>
      <w:r w:rsidRPr="008A3BD7">
        <w:rPr>
          <w:rFonts w:asciiTheme="majorHAnsi" w:hAnsiTheme="majorHAnsi" w:cs="Arial"/>
        </w:rPr>
        <w:t>Environmental concerns increasingly influence HR management as organisations face pressure to improve sustainability practices. IKEA has made sustainability a central part of its business strategy, which also affects HR practices through employee awareness, training and organisational culture.</w:t>
      </w:r>
    </w:p>
    <w:p w14:paraId="39BC11CE" w14:textId="77777777" w:rsidR="00DD6CA8" w:rsidRPr="008A3BD7" w:rsidRDefault="00DD6CA8" w:rsidP="00B620A8">
      <w:pPr>
        <w:pStyle w:val="pdq2pgselectionanchorcontainer"/>
        <w:rPr>
          <w:rFonts w:asciiTheme="majorHAnsi" w:hAnsiTheme="majorHAnsi" w:cs="Arial"/>
        </w:rPr>
      </w:pPr>
      <w:r w:rsidRPr="008A3BD7">
        <w:rPr>
          <w:rFonts w:asciiTheme="majorHAnsi" w:hAnsiTheme="majorHAnsi" w:cs="Arial"/>
        </w:rPr>
        <w:t>HR managers can support environmental objectives by recruiting employees who demonstrate sustainability values, providing environmental training and encouraging responsible workplace behaviours. However, expectations regarding sustainability may differ between countries depending on government policies, consumer awareness and economic development. Therefore, HR managers must adapt sustainability-related initiatives to local conditions while maintaining IKEA’s global environmental commitments.</w:t>
      </w:r>
    </w:p>
    <w:p w14:paraId="7F03D796" w14:textId="77777777" w:rsidR="00DD6CA8" w:rsidRPr="00390BCC" w:rsidRDefault="00DD6CA8" w:rsidP="00B620A8">
      <w:pPr>
        <w:pStyle w:val="pdq2pgselectionanchorcontainer"/>
        <w:rPr>
          <w:rFonts w:asciiTheme="majorHAnsi" w:hAnsiTheme="majorHAnsi" w:cs="Arial"/>
          <w:b/>
          <w:bCs/>
          <w:u w:val="single"/>
        </w:rPr>
      </w:pPr>
      <w:r w:rsidRPr="00390BCC">
        <w:rPr>
          <w:rFonts w:asciiTheme="majorHAnsi" w:hAnsiTheme="majorHAnsi" w:cs="Arial"/>
          <w:b/>
          <w:bCs/>
          <w:u w:val="single"/>
        </w:rPr>
        <w:t>Evaluation of Country Differences</w:t>
      </w:r>
    </w:p>
    <w:p w14:paraId="517287D5" w14:textId="77777777" w:rsidR="00DD6CA8" w:rsidRPr="008A3BD7" w:rsidRDefault="00DD6CA8" w:rsidP="00B620A8">
      <w:pPr>
        <w:pStyle w:val="pdq2pgselectionanchorcontainer"/>
        <w:rPr>
          <w:rFonts w:asciiTheme="majorHAnsi" w:hAnsiTheme="majorHAnsi" w:cs="Arial"/>
        </w:rPr>
      </w:pPr>
      <w:r w:rsidRPr="008A3BD7">
        <w:rPr>
          <w:rFonts w:asciiTheme="majorHAnsi" w:hAnsiTheme="majorHAnsi" w:cs="Arial"/>
        </w:rPr>
        <w:t>The impact of PESTLE factors differs significantly between countries due to variations in culture, legislation and economic circumstances. For example, IKEA’s HR managers in Sweden operate within a country known for strong employee protections, equality policies and collaborative workplace cultures. In comparison, HR managers operating in countries such as China or the United States may face different legal frameworks, employee expectations and labour market conditions.</w:t>
      </w:r>
    </w:p>
    <w:p w14:paraId="31D1D76A" w14:textId="77777777" w:rsidR="00DD6CA8" w:rsidRPr="008A3BD7" w:rsidRDefault="00DD6CA8" w:rsidP="00B620A8">
      <w:pPr>
        <w:pStyle w:val="pdq2pgselectionanchorcontainer"/>
        <w:rPr>
          <w:rFonts w:asciiTheme="majorHAnsi" w:hAnsiTheme="majorHAnsi" w:cs="Arial"/>
        </w:rPr>
      </w:pPr>
      <w:r w:rsidRPr="008A3BD7">
        <w:rPr>
          <w:rFonts w:asciiTheme="majorHAnsi" w:hAnsiTheme="majorHAnsi" w:cs="Arial"/>
        </w:rPr>
        <w:t>These differences demonstrate that effective global HR management requires a balance between standardisation and localisation. While IKEA benefits from maintaining consistent organisational values worldwide, HR managers must adapt specific practices to suit local environments. Therefore, the PESTLE model highlights that external environmental awareness is essential for HR managers because it allows them to make informed decisions, manage risks and support organisational performance in different international markets.</w:t>
      </w:r>
    </w:p>
    <w:p w14:paraId="522FF07B" w14:textId="77777777" w:rsidR="009B7CB7" w:rsidRPr="008A3BD7" w:rsidRDefault="009B7CB7" w:rsidP="00B620A8">
      <w:pPr>
        <w:pStyle w:val="pdq2pgselectionanchorcontainer"/>
        <w:rPr>
          <w:rFonts w:asciiTheme="majorHAnsi" w:hAnsiTheme="majorHAnsi" w:cs="Arial"/>
          <w:b/>
          <w:bCs/>
        </w:rPr>
      </w:pPr>
    </w:p>
    <w:p w14:paraId="27ABE7CD" w14:textId="77777777" w:rsidR="00390BCC" w:rsidRDefault="00390BCC" w:rsidP="00B620A8">
      <w:pPr>
        <w:pStyle w:val="pdq2pgselectionanchorcontainer"/>
        <w:rPr>
          <w:rFonts w:asciiTheme="majorHAnsi" w:hAnsiTheme="majorHAnsi" w:cs="Arial"/>
          <w:b/>
          <w:bCs/>
        </w:rPr>
      </w:pPr>
    </w:p>
    <w:p w14:paraId="56D4DD7F" w14:textId="77777777" w:rsidR="00390BCC" w:rsidRDefault="00390BCC" w:rsidP="00B620A8">
      <w:pPr>
        <w:pStyle w:val="pdq2pgselectionanchorcontainer"/>
        <w:rPr>
          <w:rFonts w:asciiTheme="majorHAnsi" w:hAnsiTheme="majorHAnsi" w:cs="Arial"/>
          <w:b/>
          <w:bCs/>
        </w:rPr>
      </w:pPr>
    </w:p>
    <w:p w14:paraId="254EA346" w14:textId="08E86770" w:rsidR="009B7CB7" w:rsidRPr="00390BCC" w:rsidRDefault="009B7CB7" w:rsidP="00B620A8">
      <w:pPr>
        <w:pStyle w:val="pdq2pgselectionanchorcontainer"/>
        <w:rPr>
          <w:rFonts w:asciiTheme="majorHAnsi" w:hAnsiTheme="majorHAnsi" w:cs="Arial"/>
          <w:b/>
          <w:bCs/>
          <w:u w:val="single"/>
        </w:rPr>
      </w:pPr>
      <w:r w:rsidRPr="00390BCC">
        <w:rPr>
          <w:rFonts w:asciiTheme="majorHAnsi" w:hAnsiTheme="majorHAnsi" w:cs="Arial"/>
          <w:b/>
          <w:bCs/>
          <w:u w:val="single"/>
        </w:rPr>
        <w:t>Conclusion</w:t>
      </w:r>
    </w:p>
    <w:p w14:paraId="54DA886C" w14:textId="77777777" w:rsidR="009B7CB7" w:rsidRPr="008A3BD7" w:rsidRDefault="009B7CB7" w:rsidP="00B620A8">
      <w:pPr>
        <w:pStyle w:val="pdq2pgselectionanchorcontainer"/>
        <w:rPr>
          <w:rFonts w:asciiTheme="majorHAnsi" w:hAnsiTheme="majorHAnsi" w:cs="Arial"/>
        </w:rPr>
      </w:pPr>
      <w:r w:rsidRPr="008A3BD7">
        <w:rPr>
          <w:rFonts w:asciiTheme="majorHAnsi" w:hAnsiTheme="majorHAnsi" w:cs="Arial"/>
        </w:rPr>
        <w:t>Human Resource Management plays a vital role in enabling organisations to achieve their strategic objectives by attracting, developing and retaining a skilled and motivated workforce. Throughout this report, it has been demonstrated that HR functions, including recruitment and selection, training and development, performance management and employee relations, are essential for supporting organisational performance and maintaining a competitive advantage. The report also established that the PESTLE model is an effective strategic framework for identifying external environmental factors that influence organisational decision-making and HR practices. Although the model has limitations, such as its focus on external factors and its inability to predict future changes, it remains a valuable tool for understanding the business environment and supporting strategic planning (Johnson, Scholes and Whittington, 2020).</w:t>
      </w:r>
    </w:p>
    <w:p w14:paraId="5EB088D3" w14:textId="77777777" w:rsidR="009B7CB7" w:rsidRPr="008A3BD7" w:rsidRDefault="009B7CB7" w:rsidP="00B620A8">
      <w:pPr>
        <w:pStyle w:val="pdq2pgselectionanchorcontainer"/>
        <w:rPr>
          <w:rFonts w:asciiTheme="majorHAnsi" w:hAnsiTheme="majorHAnsi" w:cs="Arial"/>
        </w:rPr>
      </w:pPr>
      <w:r w:rsidRPr="008A3BD7">
        <w:rPr>
          <w:rFonts w:asciiTheme="majorHAnsi" w:hAnsiTheme="majorHAnsi" w:cs="Arial"/>
        </w:rPr>
        <w:t>The analysis of IKEA demonstrated that operating across multiple countries presents both opportunities and challenges for HR managers. Political, economic, social, technological, legal and environmental factors all influence how HR policies are developed and implemented. Furthermore, differences in national culture, employment legislation and economic conditions require IKEA’s HR managers to balance consistent global values with local adaptation. This flexibility enables the organisation to recruit, develop and retain employees while remaining compliant with local regulations and responding to changing workforce expectations (Armstrong and Taylor, 2023).</w:t>
      </w:r>
    </w:p>
    <w:p w14:paraId="357DEE94" w14:textId="77777777" w:rsidR="009B7CB7" w:rsidRPr="008A3BD7" w:rsidRDefault="009B7CB7" w:rsidP="00B620A8">
      <w:pPr>
        <w:pStyle w:val="pdq2pgselectionanchorcontainer"/>
        <w:rPr>
          <w:rFonts w:asciiTheme="majorHAnsi" w:hAnsiTheme="majorHAnsi" w:cs="Arial"/>
        </w:rPr>
      </w:pPr>
      <w:r w:rsidRPr="008A3BD7">
        <w:rPr>
          <w:rFonts w:asciiTheme="majorHAnsi" w:hAnsiTheme="majorHAnsi" w:cs="Arial"/>
        </w:rPr>
        <w:t>Looking ahead, HR managers are likely to face increasing challenges resulting from rapid technological advancement, artificial intelligence, sustainability expectations, demographic changes and ongoing global economic uncertainty. These developments will require HR professionals to continuously review organisational strategies, invest in employee development and embrace innovation while maintaining employee wellbeing and organisational performance. Ultimately, organisations that proactively monitor environmental changes and adapt their HR practices accordingly will be better positioned to achieve sustainable success in an increasingly competitive global business environment.</w:t>
      </w:r>
    </w:p>
    <w:p w14:paraId="75095AB9" w14:textId="77777777" w:rsidR="00DD6CA8" w:rsidRPr="008A3BD7" w:rsidRDefault="00DD6CA8" w:rsidP="00B620A8">
      <w:pPr>
        <w:pStyle w:val="pdq2pgselectionanchorcontainer"/>
        <w:rPr>
          <w:rFonts w:asciiTheme="majorHAnsi" w:hAnsiTheme="majorHAnsi" w:cs="Arial"/>
        </w:rPr>
      </w:pPr>
    </w:p>
    <w:p w14:paraId="52649C1D" w14:textId="614D8828" w:rsidR="00D022AF" w:rsidRPr="008A3BD7" w:rsidRDefault="00D022AF" w:rsidP="00B620A8">
      <w:pPr>
        <w:pStyle w:val="pdq2pgselectionanchorcontainer"/>
        <w:rPr>
          <w:rFonts w:asciiTheme="majorHAnsi" w:hAnsiTheme="majorHAnsi" w:cs="Arial"/>
        </w:rPr>
      </w:pPr>
    </w:p>
    <w:p w14:paraId="6C04B555" w14:textId="77777777" w:rsidR="009B7CB7" w:rsidRPr="008A3BD7" w:rsidRDefault="009B7CB7" w:rsidP="00B620A8">
      <w:pPr>
        <w:rPr>
          <w:rFonts w:asciiTheme="majorHAnsi" w:hAnsiTheme="majorHAnsi"/>
        </w:rPr>
      </w:pPr>
    </w:p>
    <w:p w14:paraId="18384F7C" w14:textId="77777777" w:rsidR="009B7CB7" w:rsidRPr="008A3BD7" w:rsidRDefault="009B7CB7" w:rsidP="00B620A8">
      <w:pPr>
        <w:rPr>
          <w:rFonts w:asciiTheme="majorHAnsi" w:hAnsiTheme="majorHAnsi"/>
        </w:rPr>
      </w:pPr>
    </w:p>
    <w:p w14:paraId="22EAA784" w14:textId="77777777" w:rsidR="009B7CB7" w:rsidRPr="008A3BD7" w:rsidRDefault="009B7CB7" w:rsidP="00B620A8">
      <w:pPr>
        <w:rPr>
          <w:rFonts w:asciiTheme="majorHAnsi" w:hAnsiTheme="majorHAnsi"/>
        </w:rPr>
      </w:pPr>
    </w:p>
    <w:p w14:paraId="0B8B5AEB" w14:textId="77777777" w:rsidR="009B7CB7" w:rsidRPr="008A3BD7" w:rsidRDefault="009B7CB7" w:rsidP="00B620A8">
      <w:pPr>
        <w:rPr>
          <w:rFonts w:asciiTheme="majorHAnsi" w:hAnsiTheme="majorHAnsi"/>
        </w:rPr>
      </w:pPr>
    </w:p>
    <w:p w14:paraId="2F162F0D" w14:textId="77777777" w:rsidR="009B7CB7" w:rsidRPr="008A3BD7" w:rsidRDefault="009B7CB7" w:rsidP="00B620A8">
      <w:pPr>
        <w:rPr>
          <w:rFonts w:asciiTheme="majorHAnsi" w:hAnsiTheme="majorHAnsi"/>
        </w:rPr>
      </w:pPr>
    </w:p>
    <w:p w14:paraId="0884500B" w14:textId="77777777" w:rsidR="009B7CB7" w:rsidRPr="008A3BD7" w:rsidRDefault="009B7CB7" w:rsidP="00B620A8">
      <w:pPr>
        <w:rPr>
          <w:rFonts w:asciiTheme="majorHAnsi" w:hAnsiTheme="majorHAnsi"/>
        </w:rPr>
      </w:pPr>
    </w:p>
    <w:p w14:paraId="5519B238" w14:textId="77777777" w:rsidR="008A3BD7" w:rsidRDefault="008A3BD7" w:rsidP="00B620A8">
      <w:pPr>
        <w:rPr>
          <w:rFonts w:asciiTheme="majorHAnsi" w:hAnsiTheme="majorHAnsi"/>
        </w:rPr>
      </w:pPr>
    </w:p>
    <w:p w14:paraId="6A82B2F4" w14:textId="77777777" w:rsidR="00390BCC" w:rsidRDefault="00390BCC" w:rsidP="00B620A8">
      <w:pPr>
        <w:rPr>
          <w:rFonts w:asciiTheme="majorHAnsi" w:hAnsiTheme="majorHAnsi"/>
          <w:b/>
          <w:bCs/>
        </w:rPr>
      </w:pPr>
    </w:p>
    <w:p w14:paraId="73D4AE17" w14:textId="3F42389D" w:rsidR="00D022AF" w:rsidRPr="008A3BD7" w:rsidRDefault="009B7CB7" w:rsidP="00B620A8">
      <w:pPr>
        <w:rPr>
          <w:rFonts w:asciiTheme="majorHAnsi" w:hAnsiTheme="majorHAnsi"/>
          <w:b/>
          <w:bCs/>
        </w:rPr>
      </w:pPr>
      <w:r w:rsidRPr="008A3BD7">
        <w:rPr>
          <w:rFonts w:asciiTheme="majorHAnsi" w:hAnsiTheme="majorHAnsi"/>
          <w:b/>
          <w:bCs/>
        </w:rPr>
        <w:t>Reference List</w:t>
      </w:r>
    </w:p>
    <w:p w14:paraId="1486C089" w14:textId="77777777" w:rsidR="009B7CB7" w:rsidRPr="008A3BD7" w:rsidRDefault="009B7CB7" w:rsidP="00B620A8">
      <w:pPr>
        <w:rPr>
          <w:rFonts w:asciiTheme="majorHAnsi" w:hAnsiTheme="majorHAnsi"/>
        </w:rPr>
      </w:pPr>
    </w:p>
    <w:p w14:paraId="064B04BA" w14:textId="77777777" w:rsidR="009B7CB7" w:rsidRPr="008A3BD7" w:rsidRDefault="009B7CB7" w:rsidP="00B620A8">
      <w:pPr>
        <w:rPr>
          <w:rFonts w:asciiTheme="majorHAnsi" w:hAnsiTheme="majorHAnsi"/>
        </w:rPr>
      </w:pPr>
      <w:r w:rsidRPr="008A3BD7">
        <w:rPr>
          <w:rFonts w:asciiTheme="majorHAnsi" w:hAnsiTheme="majorHAnsi"/>
        </w:rPr>
        <w:t>Armstrong, M. and Taylor, S. (2023</w:t>
      </w:r>
      <w:r w:rsidRPr="00390BCC">
        <w:rPr>
          <w:rFonts w:asciiTheme="majorHAnsi" w:hAnsiTheme="majorHAnsi"/>
          <w:i/>
          <w:iCs/>
        </w:rPr>
        <w:t>) Armstrong's Handbook of Human Resource Management Practice.</w:t>
      </w:r>
      <w:r w:rsidRPr="008A3BD7">
        <w:rPr>
          <w:rFonts w:asciiTheme="majorHAnsi" w:hAnsiTheme="majorHAnsi"/>
        </w:rPr>
        <w:t xml:space="preserve"> 16th </w:t>
      </w:r>
      <w:proofErr w:type="spellStart"/>
      <w:r w:rsidRPr="008A3BD7">
        <w:rPr>
          <w:rFonts w:asciiTheme="majorHAnsi" w:hAnsiTheme="majorHAnsi"/>
        </w:rPr>
        <w:t>edn</w:t>
      </w:r>
      <w:proofErr w:type="spellEnd"/>
      <w:r w:rsidRPr="008A3BD7">
        <w:rPr>
          <w:rFonts w:asciiTheme="majorHAnsi" w:hAnsiTheme="majorHAnsi"/>
        </w:rPr>
        <w:t>. London: Kogan Page.</w:t>
      </w:r>
    </w:p>
    <w:p w14:paraId="070117AF" w14:textId="77777777" w:rsidR="009B7CB7" w:rsidRPr="008A3BD7" w:rsidRDefault="009B7CB7" w:rsidP="00B620A8">
      <w:pPr>
        <w:rPr>
          <w:rFonts w:asciiTheme="majorHAnsi" w:hAnsiTheme="majorHAnsi"/>
        </w:rPr>
      </w:pPr>
      <w:r w:rsidRPr="008A3BD7">
        <w:rPr>
          <w:rFonts w:asciiTheme="majorHAnsi" w:hAnsiTheme="majorHAnsi"/>
        </w:rPr>
        <w:t xml:space="preserve">Bratton, J. and Gold, J. (2023) </w:t>
      </w:r>
      <w:r w:rsidRPr="00390BCC">
        <w:rPr>
          <w:rFonts w:asciiTheme="majorHAnsi" w:hAnsiTheme="majorHAnsi"/>
          <w:i/>
          <w:iCs/>
        </w:rPr>
        <w:t>Human Resource Management: Theory and Practice</w:t>
      </w:r>
      <w:r w:rsidRPr="008A3BD7">
        <w:rPr>
          <w:rFonts w:asciiTheme="majorHAnsi" w:hAnsiTheme="majorHAnsi"/>
        </w:rPr>
        <w:t xml:space="preserve">. 8th </w:t>
      </w:r>
      <w:proofErr w:type="spellStart"/>
      <w:r w:rsidRPr="008A3BD7">
        <w:rPr>
          <w:rFonts w:asciiTheme="majorHAnsi" w:hAnsiTheme="majorHAnsi"/>
        </w:rPr>
        <w:t>edn</w:t>
      </w:r>
      <w:proofErr w:type="spellEnd"/>
      <w:r w:rsidRPr="008A3BD7">
        <w:rPr>
          <w:rFonts w:asciiTheme="majorHAnsi" w:hAnsiTheme="majorHAnsi"/>
        </w:rPr>
        <w:t>. London: Palgrave Macmillan.</w:t>
      </w:r>
    </w:p>
    <w:p w14:paraId="4FF64C52" w14:textId="77777777" w:rsidR="009B7CB7" w:rsidRPr="008A3BD7" w:rsidRDefault="009B7CB7" w:rsidP="00B620A8">
      <w:pPr>
        <w:rPr>
          <w:rFonts w:asciiTheme="majorHAnsi" w:hAnsiTheme="majorHAnsi"/>
        </w:rPr>
      </w:pPr>
      <w:r w:rsidRPr="008A3BD7">
        <w:rPr>
          <w:rFonts w:asciiTheme="majorHAnsi" w:hAnsiTheme="majorHAnsi"/>
        </w:rPr>
        <w:t xml:space="preserve">Dessler, G. (2020) </w:t>
      </w:r>
      <w:r w:rsidRPr="00390BCC">
        <w:rPr>
          <w:rFonts w:asciiTheme="majorHAnsi" w:hAnsiTheme="majorHAnsi"/>
          <w:i/>
          <w:iCs/>
        </w:rPr>
        <w:t>Human Resource Management.</w:t>
      </w:r>
      <w:r w:rsidRPr="008A3BD7">
        <w:rPr>
          <w:rFonts w:asciiTheme="majorHAnsi" w:hAnsiTheme="majorHAnsi"/>
        </w:rPr>
        <w:t xml:space="preserve"> 16th </w:t>
      </w:r>
      <w:proofErr w:type="spellStart"/>
      <w:r w:rsidRPr="008A3BD7">
        <w:rPr>
          <w:rFonts w:asciiTheme="majorHAnsi" w:hAnsiTheme="majorHAnsi"/>
        </w:rPr>
        <w:t>edn</w:t>
      </w:r>
      <w:proofErr w:type="spellEnd"/>
      <w:r w:rsidRPr="008A3BD7">
        <w:rPr>
          <w:rFonts w:asciiTheme="majorHAnsi" w:hAnsiTheme="majorHAnsi"/>
        </w:rPr>
        <w:t>. Harlow: Pearson.</w:t>
      </w:r>
    </w:p>
    <w:p w14:paraId="36DAC506" w14:textId="77777777" w:rsidR="009B7CB7" w:rsidRPr="008A3BD7" w:rsidRDefault="009B7CB7" w:rsidP="00B620A8">
      <w:pPr>
        <w:rPr>
          <w:rFonts w:asciiTheme="majorHAnsi" w:hAnsiTheme="majorHAnsi"/>
        </w:rPr>
      </w:pPr>
      <w:r w:rsidRPr="008A3BD7">
        <w:rPr>
          <w:rFonts w:asciiTheme="majorHAnsi" w:hAnsiTheme="majorHAnsi"/>
        </w:rPr>
        <w:t xml:space="preserve">Hofstede, G., Hofstede, G.J. and Minkov, M. (2010) </w:t>
      </w:r>
      <w:r w:rsidRPr="00390BCC">
        <w:rPr>
          <w:rFonts w:asciiTheme="majorHAnsi" w:hAnsiTheme="majorHAnsi"/>
          <w:i/>
          <w:iCs/>
        </w:rPr>
        <w:t>Cultures and Organizations: Software of the Mind.</w:t>
      </w:r>
      <w:r w:rsidRPr="008A3BD7">
        <w:rPr>
          <w:rFonts w:asciiTheme="majorHAnsi" w:hAnsiTheme="majorHAnsi"/>
        </w:rPr>
        <w:t xml:space="preserve"> 3rd </w:t>
      </w:r>
      <w:proofErr w:type="spellStart"/>
      <w:r w:rsidRPr="008A3BD7">
        <w:rPr>
          <w:rFonts w:asciiTheme="majorHAnsi" w:hAnsiTheme="majorHAnsi"/>
        </w:rPr>
        <w:t>edn</w:t>
      </w:r>
      <w:proofErr w:type="spellEnd"/>
      <w:r w:rsidRPr="008A3BD7">
        <w:rPr>
          <w:rFonts w:asciiTheme="majorHAnsi" w:hAnsiTheme="majorHAnsi"/>
        </w:rPr>
        <w:t>. New York: McGraw-Hill.</w:t>
      </w:r>
    </w:p>
    <w:p w14:paraId="01C54BDA" w14:textId="25E131B4" w:rsidR="009B7CB7" w:rsidRPr="008A3BD7" w:rsidRDefault="009B7CB7" w:rsidP="00B620A8">
      <w:pPr>
        <w:rPr>
          <w:rFonts w:asciiTheme="majorHAnsi" w:hAnsiTheme="majorHAnsi"/>
        </w:rPr>
      </w:pPr>
      <w:r w:rsidRPr="008A3BD7">
        <w:rPr>
          <w:rFonts w:asciiTheme="majorHAnsi" w:hAnsiTheme="majorHAnsi"/>
        </w:rPr>
        <w:t xml:space="preserve">IKEA (2024) </w:t>
      </w:r>
      <w:r w:rsidRPr="00390BCC">
        <w:rPr>
          <w:rFonts w:asciiTheme="majorHAnsi" w:hAnsiTheme="majorHAnsi"/>
          <w:i/>
          <w:iCs/>
        </w:rPr>
        <w:t>Annual Summary and Sustainability Report 2024</w:t>
      </w:r>
      <w:r w:rsidRPr="008A3BD7">
        <w:rPr>
          <w:rFonts w:asciiTheme="majorHAnsi" w:hAnsiTheme="majorHAnsi"/>
        </w:rPr>
        <w:t>. Available at: https://www.ikea.com/global/en/our-business/how-we-work/ (Accessed: 23 July 2026).</w:t>
      </w:r>
    </w:p>
    <w:p w14:paraId="3D4C7F02" w14:textId="08FBA76A" w:rsidR="009B7CB7" w:rsidRPr="008A3BD7" w:rsidRDefault="009B7CB7" w:rsidP="00B620A8">
      <w:pPr>
        <w:rPr>
          <w:rFonts w:asciiTheme="majorHAnsi" w:hAnsiTheme="majorHAnsi"/>
        </w:rPr>
      </w:pPr>
      <w:r w:rsidRPr="008A3BD7">
        <w:rPr>
          <w:rFonts w:asciiTheme="majorHAnsi" w:hAnsiTheme="majorHAnsi"/>
        </w:rPr>
        <w:t xml:space="preserve">Johnson, G., Scholes, K. and Whittington, R. (2020) </w:t>
      </w:r>
      <w:r w:rsidRPr="00390BCC">
        <w:rPr>
          <w:rFonts w:asciiTheme="majorHAnsi" w:hAnsiTheme="majorHAnsi"/>
          <w:i/>
          <w:iCs/>
        </w:rPr>
        <w:t>Exploring Strategy</w:t>
      </w:r>
      <w:r w:rsidRPr="008A3BD7">
        <w:rPr>
          <w:rFonts w:asciiTheme="majorHAnsi" w:hAnsiTheme="majorHAnsi"/>
        </w:rPr>
        <w:t xml:space="preserve">. 12th </w:t>
      </w:r>
      <w:proofErr w:type="spellStart"/>
      <w:r w:rsidRPr="008A3BD7">
        <w:rPr>
          <w:rFonts w:asciiTheme="majorHAnsi" w:hAnsiTheme="majorHAnsi"/>
        </w:rPr>
        <w:t>edn</w:t>
      </w:r>
      <w:proofErr w:type="spellEnd"/>
      <w:r w:rsidRPr="008A3BD7">
        <w:rPr>
          <w:rFonts w:asciiTheme="majorHAnsi" w:hAnsiTheme="majorHAnsi"/>
        </w:rPr>
        <w:t>. Harlow: Pearson.</w:t>
      </w:r>
    </w:p>
    <w:sectPr w:rsidR="009B7CB7" w:rsidRPr="008A3B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9919E2"/>
    <w:multiLevelType w:val="hybridMultilevel"/>
    <w:tmpl w:val="F27AC8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507816"/>
    <w:multiLevelType w:val="hybridMultilevel"/>
    <w:tmpl w:val="A2D8EBF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5C11F0"/>
    <w:multiLevelType w:val="hybridMultilevel"/>
    <w:tmpl w:val="6A3E5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36126F"/>
    <w:multiLevelType w:val="hybridMultilevel"/>
    <w:tmpl w:val="7B56FB7C"/>
    <w:lvl w:ilvl="0" w:tplc="47086554">
      <w:start w:val="1"/>
      <w:numFmt w:val="decimal"/>
      <w:lvlText w:val="%1."/>
      <w:lvlJc w:val="left"/>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564381">
    <w:abstractNumId w:val="3"/>
  </w:num>
  <w:num w:numId="2" w16cid:durableId="1663776397">
    <w:abstractNumId w:val="0"/>
  </w:num>
  <w:num w:numId="3" w16cid:durableId="2115510425">
    <w:abstractNumId w:val="1"/>
  </w:num>
  <w:num w:numId="4" w16cid:durableId="20977031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2AF"/>
    <w:rsid w:val="000C4A4E"/>
    <w:rsid w:val="00390BCC"/>
    <w:rsid w:val="004107D3"/>
    <w:rsid w:val="00444F16"/>
    <w:rsid w:val="005E0ABA"/>
    <w:rsid w:val="00676022"/>
    <w:rsid w:val="00706C5A"/>
    <w:rsid w:val="007820D4"/>
    <w:rsid w:val="008A3BD7"/>
    <w:rsid w:val="009B7CB7"/>
    <w:rsid w:val="00B236DA"/>
    <w:rsid w:val="00B620A8"/>
    <w:rsid w:val="00D022AF"/>
    <w:rsid w:val="00DD6C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8FC6A9"/>
  <w15:chartTrackingRefBased/>
  <w15:docId w15:val="{65E079C9-9189-42D1-94E2-3B2699190E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22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22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22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22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22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22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22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22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22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22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22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22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22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22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22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22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22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22AF"/>
    <w:rPr>
      <w:rFonts w:eastAsiaTheme="majorEastAsia" w:cstheme="majorBidi"/>
      <w:color w:val="272727" w:themeColor="text1" w:themeTint="D8"/>
    </w:rPr>
  </w:style>
  <w:style w:type="paragraph" w:styleId="Title">
    <w:name w:val="Title"/>
    <w:basedOn w:val="Normal"/>
    <w:next w:val="Normal"/>
    <w:link w:val="TitleChar"/>
    <w:uiPriority w:val="10"/>
    <w:qFormat/>
    <w:rsid w:val="00D022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22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22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22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22AF"/>
    <w:pPr>
      <w:spacing w:before="160"/>
      <w:jc w:val="center"/>
    </w:pPr>
    <w:rPr>
      <w:i/>
      <w:iCs/>
      <w:color w:val="404040" w:themeColor="text1" w:themeTint="BF"/>
    </w:rPr>
  </w:style>
  <w:style w:type="character" w:customStyle="1" w:styleId="QuoteChar">
    <w:name w:val="Quote Char"/>
    <w:basedOn w:val="DefaultParagraphFont"/>
    <w:link w:val="Quote"/>
    <w:uiPriority w:val="29"/>
    <w:rsid w:val="00D022AF"/>
    <w:rPr>
      <w:i/>
      <w:iCs/>
      <w:color w:val="404040" w:themeColor="text1" w:themeTint="BF"/>
    </w:rPr>
  </w:style>
  <w:style w:type="paragraph" w:styleId="ListParagraph">
    <w:name w:val="List Paragraph"/>
    <w:basedOn w:val="Normal"/>
    <w:uiPriority w:val="34"/>
    <w:qFormat/>
    <w:rsid w:val="00D022AF"/>
    <w:pPr>
      <w:ind w:left="720"/>
      <w:contextualSpacing/>
    </w:pPr>
  </w:style>
  <w:style w:type="character" w:styleId="IntenseEmphasis">
    <w:name w:val="Intense Emphasis"/>
    <w:basedOn w:val="DefaultParagraphFont"/>
    <w:uiPriority w:val="21"/>
    <w:qFormat/>
    <w:rsid w:val="00D022AF"/>
    <w:rPr>
      <w:i/>
      <w:iCs/>
      <w:color w:val="0F4761" w:themeColor="accent1" w:themeShade="BF"/>
    </w:rPr>
  </w:style>
  <w:style w:type="paragraph" w:styleId="IntenseQuote">
    <w:name w:val="Intense Quote"/>
    <w:basedOn w:val="Normal"/>
    <w:next w:val="Normal"/>
    <w:link w:val="IntenseQuoteChar"/>
    <w:uiPriority w:val="30"/>
    <w:qFormat/>
    <w:rsid w:val="00D022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22AF"/>
    <w:rPr>
      <w:i/>
      <w:iCs/>
      <w:color w:val="0F4761" w:themeColor="accent1" w:themeShade="BF"/>
    </w:rPr>
  </w:style>
  <w:style w:type="character" w:styleId="IntenseReference">
    <w:name w:val="Intense Reference"/>
    <w:basedOn w:val="DefaultParagraphFont"/>
    <w:uiPriority w:val="32"/>
    <w:qFormat/>
    <w:rsid w:val="00D022AF"/>
    <w:rPr>
      <w:b/>
      <w:bCs/>
      <w:smallCaps/>
      <w:color w:val="0F4761" w:themeColor="accent1" w:themeShade="BF"/>
      <w:spacing w:val="5"/>
    </w:rPr>
  </w:style>
  <w:style w:type="paragraph" w:customStyle="1" w:styleId="pdq2pgselectionanchorcontainer">
    <w:name w:val="pdq2pg_selectionanchorcontainer"/>
    <w:basedOn w:val="Normal"/>
    <w:rsid w:val="00D022A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semiHidden/>
    <w:unhideWhenUsed/>
    <w:rsid w:val="00D022A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96ADD1-3902-4CDE-A2E9-7D3E87C616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3108</TotalTime>
  <Pages>7</Pages>
  <Words>2652</Words>
  <Characters>15123</Characters>
  <Application>Microsoft Office Word</Application>
  <DocSecurity>0</DocSecurity>
  <Lines>126</Lines>
  <Paragraphs>35</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vt:lpstr>
      <vt:lpstr>Evaluating the Impact of Internal and External Environmental Factors on Human Re</vt:lpstr>
    </vt:vector>
  </TitlesOfParts>
  <Company/>
  <LinksUpToDate>false</LinksUpToDate>
  <CharactersWithSpaces>17740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Rebeca Dascalu (2311833)</dc:creator>
  <cp:keywords/>
  <dc:description/>
  <cp:lastModifiedBy>Andreea Rebeca Dascalu (2311833)</cp:lastModifiedBy>
  <cp:revision>2</cp:revision>
  <dcterms:created xsi:type="dcterms:W3CDTF">2026-07-25T11:50:00Z</dcterms:created>
  <dcterms:modified xsi:type="dcterms:W3CDTF">2026-07-28T09:25:00Z</dcterms:modified>
</cp:coreProperties>
</file>