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C5AAC" w:rsidRDefault="00CC5AAC" w:rsidP="00CC5AAC">
      <w:pPr>
        <w:spacing w:line="360" w:lineRule="auto"/>
        <w:ind w:left="4320" w:hanging="2880"/>
        <w:jc w:val="center"/>
        <w:rPr>
          <w:rFonts w:ascii="Arial" w:hAnsi="Arial" w:cs="Arial"/>
          <w:b/>
          <w:bCs/>
          <w:color w:val="000000" w:themeColor="text1"/>
        </w:rPr>
      </w:pPr>
      <w:r>
        <w:rPr>
          <w:rFonts w:ascii="Arial" w:hAnsi="Arial" w:cs="Arial"/>
          <w:b/>
          <w:bCs/>
          <w:noProof/>
          <w:color w:val="000000" w:themeColor="text1"/>
        </w:rPr>
        <w:drawing>
          <wp:inline distT="0" distB="0" distL="0" distR="0" wp14:anchorId="2F4554C5" wp14:editId="11D1D579">
            <wp:extent cx="3409950" cy="1343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png"/>
                    <pic:cNvPicPr/>
                  </pic:nvPicPr>
                  <pic:blipFill>
                    <a:blip r:embed="rId8">
                      <a:extLst>
                        <a:ext uri="{28A0092B-C50C-407E-A947-70E740481C1C}">
                          <a14:useLocalDpi xmlns:a14="http://schemas.microsoft.com/office/drawing/2010/main" val="0"/>
                        </a:ext>
                      </a:extLst>
                    </a:blip>
                    <a:stretch>
                      <a:fillRect/>
                    </a:stretch>
                  </pic:blipFill>
                  <pic:spPr>
                    <a:xfrm>
                      <a:off x="0" y="0"/>
                      <a:ext cx="3409950" cy="1343025"/>
                    </a:xfrm>
                    <a:prstGeom prst="rect">
                      <a:avLst/>
                    </a:prstGeom>
                  </pic:spPr>
                </pic:pic>
              </a:graphicData>
            </a:graphic>
          </wp:inline>
        </w:drawing>
      </w:r>
    </w:p>
    <w:p w:rsidR="00CC5AAC" w:rsidRDefault="00CC5AAC" w:rsidP="00CC5AAC">
      <w:pPr>
        <w:spacing w:line="360" w:lineRule="auto"/>
        <w:ind w:left="4320" w:hanging="2880"/>
        <w:rPr>
          <w:rFonts w:ascii="Arial" w:hAnsi="Arial" w:cs="Arial"/>
          <w:b/>
          <w:bCs/>
          <w:color w:val="000000" w:themeColor="text1"/>
        </w:rPr>
      </w:pPr>
    </w:p>
    <w:p w:rsidR="00CC5AAC" w:rsidRDefault="00CC5AAC" w:rsidP="00CC5AA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4320" w:hanging="2880"/>
        <w:rPr>
          <w:rFonts w:ascii="Arial" w:hAnsi="Arial" w:cs="Arial"/>
          <w:b/>
          <w:bCs/>
          <w:color w:val="000000" w:themeColor="text1"/>
        </w:rPr>
      </w:pPr>
      <w:r>
        <w:rPr>
          <w:rFonts w:ascii="Arial" w:hAnsi="Arial" w:cs="Arial"/>
          <w:b/>
          <w:bCs/>
          <w:color w:val="000000" w:themeColor="text1"/>
        </w:rPr>
        <w:t xml:space="preserve">Assignment Title: </w:t>
      </w:r>
      <w:r>
        <w:rPr>
          <w:rFonts w:ascii="Arial" w:hAnsi="Arial" w:cs="Arial"/>
          <w:b/>
          <w:bCs/>
          <w:color w:val="000000" w:themeColor="text1"/>
        </w:rPr>
        <w:tab/>
        <w:t>Essay</w:t>
      </w:r>
    </w:p>
    <w:p w:rsidR="00CC5AAC" w:rsidRDefault="00CC5AAC" w:rsidP="00CC5AA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4320" w:hanging="2880"/>
        <w:rPr>
          <w:rFonts w:ascii="Arial" w:hAnsi="Arial" w:cs="Arial"/>
          <w:color w:val="000000" w:themeColor="text1"/>
        </w:rPr>
      </w:pPr>
      <w:r>
        <w:rPr>
          <w:rFonts w:ascii="Arial" w:hAnsi="Arial" w:cs="Arial"/>
          <w:b/>
          <w:bCs/>
          <w:color w:val="000000" w:themeColor="text1"/>
        </w:rPr>
        <w:t xml:space="preserve">Module Name: </w:t>
      </w:r>
      <w:r>
        <w:rPr>
          <w:rFonts w:ascii="Arial" w:hAnsi="Arial" w:cs="Arial"/>
          <w:b/>
          <w:bCs/>
          <w:color w:val="000000" w:themeColor="text1"/>
        </w:rPr>
        <w:tab/>
        <w:t>Criminal Litigation</w:t>
      </w:r>
    </w:p>
    <w:p w:rsidR="00CC5AAC" w:rsidRDefault="00CC5AAC" w:rsidP="00CC5AA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1440"/>
        <w:rPr>
          <w:rFonts w:ascii="Arial" w:hAnsi="Arial" w:cs="Arial"/>
          <w:color w:val="000000" w:themeColor="text1"/>
        </w:rPr>
      </w:pPr>
      <w:r>
        <w:rPr>
          <w:rFonts w:ascii="Arial" w:hAnsi="Arial" w:cs="Arial"/>
          <w:b/>
          <w:bCs/>
          <w:color w:val="000000" w:themeColor="text1"/>
        </w:rPr>
        <w:t>Module Code:</w:t>
      </w:r>
      <w:r>
        <w:rPr>
          <w:rFonts w:ascii="Arial" w:hAnsi="Arial" w:cs="Arial"/>
          <w:b/>
          <w:bCs/>
          <w:color w:val="000000" w:themeColor="text1"/>
        </w:rPr>
        <w:tab/>
      </w:r>
      <w:r>
        <w:rPr>
          <w:rFonts w:ascii="Arial" w:hAnsi="Arial" w:cs="Arial"/>
          <w:b/>
          <w:bCs/>
          <w:color w:val="000000" w:themeColor="text1"/>
        </w:rPr>
        <w:tab/>
      </w:r>
      <w:r w:rsidRPr="00F66EA8">
        <w:rPr>
          <w:rFonts w:ascii="Arial" w:eastAsia="Arial" w:hAnsi="Arial" w:cs="Arial"/>
          <w:b/>
        </w:rPr>
        <w:t>BMLW4000</w:t>
      </w:r>
    </w:p>
    <w:p w:rsidR="00CC5AAC" w:rsidRDefault="00CC5AAC" w:rsidP="00CC5AA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4320" w:hanging="2880"/>
        <w:rPr>
          <w:rFonts w:ascii="Arial" w:hAnsi="Arial" w:cs="Arial"/>
          <w:color w:val="000000" w:themeColor="text1"/>
        </w:rPr>
      </w:pPr>
      <w:r>
        <w:rPr>
          <w:rFonts w:ascii="Arial" w:hAnsi="Arial" w:cs="Arial"/>
          <w:b/>
          <w:bCs/>
          <w:color w:val="000000" w:themeColor="text1"/>
        </w:rPr>
        <w:t>Program of Study:</w:t>
      </w:r>
      <w:r>
        <w:rPr>
          <w:rFonts w:ascii="Arial" w:hAnsi="Arial" w:cs="Arial"/>
          <w:b/>
          <w:bCs/>
          <w:color w:val="000000" w:themeColor="text1"/>
        </w:rPr>
        <w:tab/>
        <w:t xml:space="preserve">Law Portfolio  </w:t>
      </w:r>
    </w:p>
    <w:p w:rsidR="00CC5AAC" w:rsidRDefault="00CC5AAC" w:rsidP="00CC5AA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t xml:space="preserve">Mohammed </w:t>
      </w:r>
      <w:proofErr w:type="spellStart"/>
      <w:r>
        <w:rPr>
          <w:rFonts w:ascii="Arial" w:hAnsi="Arial" w:cs="Arial"/>
          <w:b/>
          <w:bCs/>
          <w:color w:val="000000" w:themeColor="text1"/>
        </w:rPr>
        <w:t>Zahoor</w:t>
      </w:r>
      <w:proofErr w:type="spellEnd"/>
    </w:p>
    <w:p w:rsidR="00CC5AAC" w:rsidRDefault="00CC5AAC" w:rsidP="00CC5AA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1440"/>
        <w:rPr>
          <w:rFonts w:ascii="Arial" w:hAnsi="Arial" w:cs="Arial"/>
          <w:b/>
          <w:bCs/>
          <w:color w:val="000000" w:themeColor="text1"/>
        </w:rPr>
      </w:pPr>
      <w:r>
        <w:rPr>
          <w:rFonts w:ascii="Arial" w:hAnsi="Arial" w:cs="Arial"/>
          <w:b/>
          <w:bCs/>
          <w:color w:val="000000" w:themeColor="text1"/>
        </w:rPr>
        <w:t xml:space="preserve">Student ID #: </w:t>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sidRPr="00CC5AAC">
        <w:rPr>
          <w:rFonts w:ascii="Arial" w:hAnsi="Arial" w:cs="Arial"/>
          <w:b/>
          <w:bCs/>
          <w:color w:val="000000" w:themeColor="text1"/>
        </w:rPr>
        <w:t>2243573</w:t>
      </w:r>
      <w:r>
        <w:rPr>
          <w:rFonts w:ascii="Arial" w:hAnsi="Arial" w:cs="Arial"/>
          <w:b/>
          <w:bCs/>
          <w:color w:val="000000" w:themeColor="text1"/>
        </w:rPr>
        <w:tab/>
      </w:r>
    </w:p>
    <w:p w:rsidR="00CC5AAC" w:rsidRDefault="00CC5AAC" w:rsidP="00CC5AA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1440"/>
        <w:rPr>
          <w:rFonts w:ascii="Arial" w:hAnsi="Arial" w:cs="Arial"/>
          <w:b/>
          <w:sz w:val="24"/>
          <w:szCs w:val="24"/>
        </w:rPr>
      </w:pPr>
      <w:r>
        <w:rPr>
          <w:rFonts w:ascii="Arial" w:hAnsi="Arial" w:cs="Arial"/>
          <w:b/>
          <w:bCs/>
          <w:color w:val="000000" w:themeColor="text1"/>
        </w:rPr>
        <w:t xml:space="preserve">Lecturer Name: </w:t>
      </w:r>
      <w:r>
        <w:rPr>
          <w:rFonts w:ascii="Arial" w:hAnsi="Arial" w:cs="Arial"/>
          <w:b/>
          <w:bCs/>
          <w:color w:val="000000" w:themeColor="text1"/>
        </w:rPr>
        <w:tab/>
      </w:r>
      <w:r>
        <w:rPr>
          <w:rFonts w:ascii="Arial" w:hAnsi="Arial" w:cs="Arial"/>
          <w:b/>
          <w:bCs/>
          <w:color w:val="000000" w:themeColor="text1"/>
        </w:rPr>
        <w:tab/>
        <w:t xml:space="preserve">Mr. </w:t>
      </w:r>
      <w:r w:rsidRPr="00F66EA8">
        <w:rPr>
          <w:rFonts w:ascii="Arial" w:hAnsi="Arial" w:cs="Arial"/>
          <w:b/>
          <w:bCs/>
          <w:color w:val="000000" w:themeColor="text1"/>
        </w:rPr>
        <w:t xml:space="preserve">Scott </w:t>
      </w:r>
      <w:proofErr w:type="spellStart"/>
      <w:r w:rsidRPr="00F66EA8">
        <w:rPr>
          <w:rFonts w:ascii="Arial" w:hAnsi="Arial" w:cs="Arial"/>
          <w:b/>
          <w:bCs/>
          <w:color w:val="000000" w:themeColor="text1"/>
        </w:rPr>
        <w:t>Tuppen</w:t>
      </w:r>
      <w:proofErr w:type="spellEnd"/>
      <w:r w:rsidRPr="00F66EA8">
        <w:rPr>
          <w:rFonts w:ascii="Arial" w:hAnsi="Arial" w:cs="Arial"/>
          <w:b/>
          <w:bCs/>
          <w:color w:val="000000" w:themeColor="text1"/>
        </w:rPr>
        <w:t xml:space="preserve"> </w:t>
      </w:r>
      <w:r>
        <w:rPr>
          <w:rFonts w:ascii="Arial" w:hAnsi="Arial" w:cs="Arial"/>
          <w:b/>
          <w:sz w:val="24"/>
          <w:szCs w:val="24"/>
        </w:rPr>
        <w:br w:type="page"/>
      </w:r>
    </w:p>
    <w:p w:rsidR="00587AC1" w:rsidRPr="003257A1" w:rsidRDefault="00587AC1" w:rsidP="00587AC1">
      <w:pPr>
        <w:spacing w:line="360" w:lineRule="auto"/>
        <w:jc w:val="both"/>
        <w:rPr>
          <w:rFonts w:ascii="Arial" w:hAnsi="Arial" w:cs="Arial"/>
          <w:b/>
          <w:sz w:val="24"/>
          <w:szCs w:val="24"/>
        </w:rPr>
      </w:pPr>
      <w:r w:rsidRPr="003257A1">
        <w:rPr>
          <w:rFonts w:ascii="Arial" w:hAnsi="Arial" w:cs="Arial"/>
          <w:b/>
          <w:sz w:val="24"/>
          <w:szCs w:val="24"/>
        </w:rPr>
        <w:lastRenderedPageBreak/>
        <w:t>Introduction:</w:t>
      </w:r>
    </w:p>
    <w:p w:rsidR="009B30B9" w:rsidRPr="009B30B9" w:rsidRDefault="009B30B9" w:rsidP="009B30B9">
      <w:pPr>
        <w:spacing w:line="360" w:lineRule="auto"/>
        <w:jc w:val="both"/>
        <w:rPr>
          <w:rFonts w:ascii="Arial" w:hAnsi="Arial" w:cs="Arial"/>
          <w:sz w:val="24"/>
          <w:szCs w:val="24"/>
        </w:rPr>
      </w:pPr>
      <w:r w:rsidRPr="009B30B9">
        <w:rPr>
          <w:rFonts w:ascii="Arial" w:hAnsi="Arial" w:cs="Arial"/>
          <w:sz w:val="24"/>
          <w:szCs w:val="24"/>
        </w:rPr>
        <w:t xml:space="preserve">The role of a Crown Prosecutor holds immense significance within the framework of the criminal justice system. These legal professionals play a </w:t>
      </w:r>
      <w:r w:rsidR="00A3724E" w:rsidRPr="009B30B9">
        <w:rPr>
          <w:rFonts w:ascii="Arial" w:hAnsi="Arial" w:cs="Arial"/>
          <w:sz w:val="24"/>
          <w:szCs w:val="24"/>
        </w:rPr>
        <w:t>major</w:t>
      </w:r>
      <w:r w:rsidRPr="009B30B9">
        <w:rPr>
          <w:rFonts w:ascii="Arial" w:hAnsi="Arial" w:cs="Arial"/>
          <w:sz w:val="24"/>
          <w:szCs w:val="24"/>
        </w:rPr>
        <w:t xml:space="preserve"> part by representing the interests of the state and initiating legal proceedings against individuals suspected of engaging in criminal activities. Their primary objective revolves around ensuring that fairness and equity prevail in the pursuit of justice. The responsibilities entrusted to Crown Prosecutors encompass a wide array of tasks, including conducting meticulous investigations, deliberating on the appropriateness of levying charges, meticulously preparing cases for trial, and furnishing compelling evi</w:t>
      </w:r>
      <w:r>
        <w:rPr>
          <w:rFonts w:ascii="Arial" w:hAnsi="Arial" w:cs="Arial"/>
          <w:sz w:val="24"/>
          <w:szCs w:val="24"/>
        </w:rPr>
        <w:t>dence during court proceedings.</w:t>
      </w:r>
    </w:p>
    <w:p w:rsidR="00587AC1" w:rsidRDefault="00FA68F3" w:rsidP="009B30B9">
      <w:pPr>
        <w:spacing w:line="360" w:lineRule="auto"/>
        <w:jc w:val="both"/>
        <w:rPr>
          <w:rFonts w:ascii="Arial" w:hAnsi="Arial" w:cs="Arial"/>
          <w:sz w:val="24"/>
          <w:szCs w:val="24"/>
        </w:rPr>
      </w:pPr>
      <w:r w:rsidRPr="00FA68F3">
        <w:rPr>
          <w:rFonts w:ascii="Arial" w:hAnsi="Arial" w:cs="Arial"/>
          <w:sz w:val="24"/>
          <w:szCs w:val="24"/>
        </w:rPr>
        <w:t>The criminal justice system's pivotal moment occurs when Crown Prosecutors make a decision to charge an individual and guide them towards trial. This exposition aims to explain Crown Prosecu</w:t>
      </w:r>
      <w:r>
        <w:rPr>
          <w:rFonts w:ascii="Arial" w:hAnsi="Arial" w:cs="Arial"/>
          <w:sz w:val="24"/>
          <w:szCs w:val="24"/>
        </w:rPr>
        <w:t>tors' responsibilities</w:t>
      </w:r>
      <w:r w:rsidRPr="00FA68F3">
        <w:rPr>
          <w:rFonts w:ascii="Arial" w:hAnsi="Arial" w:cs="Arial"/>
          <w:sz w:val="24"/>
          <w:szCs w:val="24"/>
        </w:rPr>
        <w:t>, their methodologies, criteria, and factors influencing their decisions. It also discusses the complexities of their ro</w:t>
      </w:r>
      <w:r>
        <w:rPr>
          <w:rFonts w:ascii="Arial" w:hAnsi="Arial" w:cs="Arial"/>
          <w:sz w:val="24"/>
          <w:szCs w:val="24"/>
        </w:rPr>
        <w:t>le in guiding legal proceedings</w:t>
      </w:r>
      <w:r w:rsidR="00587AC1" w:rsidRPr="00587AC1">
        <w:rPr>
          <w:rFonts w:ascii="Arial" w:hAnsi="Arial" w:cs="Arial"/>
          <w:sz w:val="24"/>
          <w:szCs w:val="24"/>
        </w:rPr>
        <w:t>.</w:t>
      </w:r>
    </w:p>
    <w:p w:rsidR="0079744C" w:rsidRDefault="0079744C" w:rsidP="00587AC1">
      <w:pPr>
        <w:spacing w:line="360" w:lineRule="auto"/>
        <w:jc w:val="both"/>
        <w:rPr>
          <w:rFonts w:ascii="Arial" w:hAnsi="Arial" w:cs="Arial"/>
          <w:b/>
          <w:sz w:val="24"/>
          <w:szCs w:val="24"/>
        </w:rPr>
      </w:pPr>
      <w:r w:rsidRPr="0079744C">
        <w:rPr>
          <w:rFonts w:ascii="Arial" w:hAnsi="Arial" w:cs="Arial"/>
          <w:b/>
          <w:sz w:val="24"/>
          <w:szCs w:val="24"/>
        </w:rPr>
        <w:t>Crown Prosecution Service</w:t>
      </w:r>
      <w:r>
        <w:rPr>
          <w:rFonts w:ascii="Arial" w:hAnsi="Arial" w:cs="Arial"/>
          <w:b/>
          <w:sz w:val="24"/>
          <w:szCs w:val="24"/>
        </w:rPr>
        <w:t>:</w:t>
      </w:r>
    </w:p>
    <w:p w:rsidR="00FA68F3" w:rsidRPr="00FA68F3" w:rsidRDefault="00FA68F3" w:rsidP="00587AC1">
      <w:pPr>
        <w:spacing w:line="360" w:lineRule="auto"/>
        <w:jc w:val="both"/>
        <w:rPr>
          <w:rFonts w:ascii="Arial" w:hAnsi="Arial" w:cs="Arial"/>
          <w:sz w:val="24"/>
          <w:szCs w:val="24"/>
        </w:rPr>
      </w:pPr>
      <w:r w:rsidRPr="00FA68F3">
        <w:rPr>
          <w:rFonts w:ascii="Arial" w:hAnsi="Arial" w:cs="Arial"/>
          <w:sz w:val="24"/>
          <w:szCs w:val="24"/>
        </w:rPr>
        <w:t>The Crown Prosecution Service, established in 1986 in England and Wales, is responsible for preparing and presenting criminal prosecutions. Its purpose is to create an impartial intermediary between law enforcement and the court, enhancing the justice system's efficacy</w:t>
      </w:r>
      <w:r>
        <w:rPr>
          <w:rFonts w:ascii="Arial" w:hAnsi="Arial" w:cs="Arial"/>
          <w:sz w:val="24"/>
          <w:szCs w:val="24"/>
        </w:rPr>
        <w:t xml:space="preserve"> (Soubise, 2023)</w:t>
      </w:r>
      <w:r w:rsidRPr="00FA68F3">
        <w:rPr>
          <w:rFonts w:ascii="Arial" w:hAnsi="Arial" w:cs="Arial"/>
          <w:sz w:val="24"/>
          <w:szCs w:val="24"/>
        </w:rPr>
        <w:t>. The Director of Public Prosecutions leads the service, while Chief Crown Prosecutors hold membership within the framework</w:t>
      </w:r>
      <w:r>
        <w:rPr>
          <w:rFonts w:ascii="Arial" w:hAnsi="Arial" w:cs="Arial"/>
          <w:sz w:val="24"/>
          <w:szCs w:val="24"/>
        </w:rPr>
        <w:t xml:space="preserve"> </w:t>
      </w:r>
      <w:r w:rsidRPr="00CE6D7D">
        <w:rPr>
          <w:rFonts w:ascii="Arial" w:hAnsi="Arial" w:cs="Arial"/>
          <w:i/>
          <w:sz w:val="24"/>
          <w:szCs w:val="24"/>
        </w:rPr>
        <w:t>(Prosecution of Offences Act 1985)</w:t>
      </w:r>
      <w:r w:rsidRPr="00FA68F3">
        <w:rPr>
          <w:rFonts w:ascii="Arial" w:hAnsi="Arial" w:cs="Arial"/>
          <w:sz w:val="24"/>
          <w:szCs w:val="24"/>
        </w:rPr>
        <w:t>.</w:t>
      </w:r>
    </w:p>
    <w:p w:rsidR="00516EA2" w:rsidRDefault="00516EA2" w:rsidP="0079744C">
      <w:pPr>
        <w:spacing w:line="360" w:lineRule="auto"/>
        <w:jc w:val="both"/>
        <w:rPr>
          <w:rFonts w:ascii="Arial" w:hAnsi="Arial" w:cs="Arial"/>
          <w:sz w:val="24"/>
          <w:szCs w:val="24"/>
        </w:rPr>
      </w:pPr>
      <w:r>
        <w:rPr>
          <w:rFonts w:ascii="Arial" w:hAnsi="Arial" w:cs="Arial"/>
          <w:sz w:val="24"/>
          <w:szCs w:val="24"/>
        </w:rPr>
        <w:t>To discuss further the role of crown prosecutors it would be better to understand the structure of the courts, criminal jurisdiction and the role of the police.</w:t>
      </w:r>
    </w:p>
    <w:p w:rsidR="00CE6D7D" w:rsidRDefault="00CE6D7D" w:rsidP="00CE6D7D">
      <w:pPr>
        <w:spacing w:line="360" w:lineRule="auto"/>
        <w:jc w:val="both"/>
        <w:rPr>
          <w:rFonts w:ascii="Arial" w:hAnsi="Arial" w:cs="Arial"/>
          <w:sz w:val="24"/>
          <w:szCs w:val="24"/>
        </w:rPr>
      </w:pPr>
      <w:r w:rsidRPr="00C61D29">
        <w:rPr>
          <w:rFonts w:ascii="Arial" w:hAnsi="Arial" w:cs="Arial"/>
          <w:b/>
          <w:sz w:val="24"/>
          <w:szCs w:val="24"/>
        </w:rPr>
        <w:t>Key concepts of the structure of the courts, criminal jurisdiction and the role of the police</w:t>
      </w:r>
    </w:p>
    <w:p w:rsidR="00CE6D7D" w:rsidRPr="00E34BDF" w:rsidRDefault="00CE6D7D" w:rsidP="00CE6D7D">
      <w:pPr>
        <w:spacing w:line="360" w:lineRule="auto"/>
        <w:jc w:val="both"/>
        <w:rPr>
          <w:rFonts w:ascii="Arial" w:hAnsi="Arial" w:cs="Arial"/>
          <w:sz w:val="24"/>
          <w:szCs w:val="24"/>
        </w:rPr>
      </w:pPr>
      <w:r w:rsidRPr="00E34BDF">
        <w:rPr>
          <w:rFonts w:ascii="Arial" w:hAnsi="Arial" w:cs="Arial"/>
          <w:sz w:val="24"/>
          <w:szCs w:val="24"/>
        </w:rPr>
        <w:t>The court system in the UK has different levels. There are magistrates' courts, Crown Courts, and higher courts like the Court of Appeal and the Supreme Court</w:t>
      </w:r>
      <w:r w:rsidR="005533D7">
        <w:rPr>
          <w:rFonts w:ascii="Arial" w:hAnsi="Arial" w:cs="Arial"/>
          <w:sz w:val="24"/>
          <w:szCs w:val="24"/>
        </w:rPr>
        <w:t xml:space="preserve"> (</w:t>
      </w:r>
      <w:proofErr w:type="spellStart"/>
      <w:r w:rsidR="005533D7">
        <w:rPr>
          <w:rFonts w:ascii="Arial" w:hAnsi="Arial" w:cs="Arial"/>
          <w:sz w:val="24"/>
          <w:szCs w:val="24"/>
        </w:rPr>
        <w:t>Sprack</w:t>
      </w:r>
      <w:proofErr w:type="spellEnd"/>
      <w:r w:rsidR="005533D7" w:rsidRPr="0077190A">
        <w:rPr>
          <w:rFonts w:ascii="Arial" w:hAnsi="Arial" w:cs="Arial"/>
          <w:sz w:val="24"/>
          <w:szCs w:val="24"/>
        </w:rPr>
        <w:t xml:space="preserve"> and </w:t>
      </w:r>
      <w:proofErr w:type="spellStart"/>
      <w:r w:rsidR="005533D7" w:rsidRPr="0077190A">
        <w:rPr>
          <w:rFonts w:ascii="Arial" w:hAnsi="Arial" w:cs="Arial"/>
          <w:sz w:val="24"/>
          <w:szCs w:val="24"/>
        </w:rPr>
        <w:t>Engelhardt</w:t>
      </w:r>
      <w:proofErr w:type="spellEnd"/>
      <w:r w:rsidR="005533D7" w:rsidRPr="0077190A">
        <w:rPr>
          <w:rFonts w:ascii="Arial" w:hAnsi="Arial" w:cs="Arial"/>
          <w:sz w:val="24"/>
          <w:szCs w:val="24"/>
        </w:rPr>
        <w:t>–</w:t>
      </w:r>
      <w:proofErr w:type="spellStart"/>
      <w:r w:rsidR="005533D7" w:rsidRPr="0077190A">
        <w:rPr>
          <w:rFonts w:ascii="Arial" w:hAnsi="Arial" w:cs="Arial"/>
          <w:sz w:val="24"/>
          <w:szCs w:val="24"/>
        </w:rPr>
        <w:t>Sprack</w:t>
      </w:r>
      <w:proofErr w:type="spellEnd"/>
      <w:r w:rsidR="005533D7" w:rsidRPr="0077190A">
        <w:rPr>
          <w:rFonts w:ascii="Arial" w:hAnsi="Arial" w:cs="Arial"/>
          <w:sz w:val="24"/>
          <w:szCs w:val="24"/>
        </w:rPr>
        <w:t xml:space="preserve">, </w:t>
      </w:r>
      <w:r w:rsidR="005533D7">
        <w:rPr>
          <w:rFonts w:ascii="Arial" w:hAnsi="Arial" w:cs="Arial"/>
          <w:sz w:val="24"/>
          <w:szCs w:val="24"/>
        </w:rPr>
        <w:t>2019)</w:t>
      </w:r>
      <w:r w:rsidRPr="00E34BDF">
        <w:rPr>
          <w:rFonts w:ascii="Arial" w:hAnsi="Arial" w:cs="Arial"/>
          <w:sz w:val="24"/>
          <w:szCs w:val="24"/>
        </w:rPr>
        <w:t xml:space="preserve">. Magistrates' courts deal with small crimes, while Crown </w:t>
      </w:r>
      <w:r w:rsidRPr="00E34BDF">
        <w:rPr>
          <w:rFonts w:ascii="Arial" w:hAnsi="Arial" w:cs="Arial"/>
          <w:sz w:val="24"/>
          <w:szCs w:val="24"/>
        </w:rPr>
        <w:lastRenderedPageBreak/>
        <w:t>Courts handle more serious cases. The Court of Appeal reviews decisions from lower courts to make sure they are correct. The Supreme Court is the highest court and deals with complicated legal matters</w:t>
      </w:r>
      <w:r w:rsidR="00680772">
        <w:rPr>
          <w:rFonts w:ascii="Arial" w:hAnsi="Arial" w:cs="Arial"/>
          <w:sz w:val="24"/>
          <w:szCs w:val="24"/>
        </w:rPr>
        <w:t>.</w:t>
      </w:r>
    </w:p>
    <w:p w:rsidR="00CE6D7D" w:rsidRPr="00E34BDF" w:rsidRDefault="00CE6D7D" w:rsidP="00CE6D7D">
      <w:pPr>
        <w:spacing w:line="360" w:lineRule="auto"/>
        <w:jc w:val="both"/>
        <w:rPr>
          <w:rFonts w:ascii="Arial" w:hAnsi="Arial" w:cs="Arial"/>
          <w:sz w:val="24"/>
          <w:szCs w:val="24"/>
        </w:rPr>
      </w:pPr>
      <w:r w:rsidRPr="00E34BDF">
        <w:rPr>
          <w:rFonts w:ascii="Arial" w:hAnsi="Arial" w:cs="Arial"/>
          <w:sz w:val="24"/>
          <w:szCs w:val="24"/>
        </w:rPr>
        <w:t>When it comes to crimes, different courts have the power to hear and decide cases. Magistrates' courts handle less serious crimes, while Crown Courts deal with more serious ones. This is based on how bad the crime is and what the person being accused prefers.</w:t>
      </w:r>
    </w:p>
    <w:p w:rsidR="00FA68F3" w:rsidRDefault="00CE6D7D" w:rsidP="00CE6D7D">
      <w:pPr>
        <w:spacing w:line="360" w:lineRule="auto"/>
        <w:jc w:val="both"/>
        <w:rPr>
          <w:rFonts w:ascii="Arial" w:hAnsi="Arial" w:cs="Arial"/>
          <w:sz w:val="24"/>
          <w:szCs w:val="24"/>
        </w:rPr>
      </w:pPr>
      <w:r w:rsidRPr="00E34BDF">
        <w:rPr>
          <w:rFonts w:ascii="Arial" w:hAnsi="Arial" w:cs="Arial"/>
          <w:sz w:val="24"/>
          <w:szCs w:val="24"/>
        </w:rPr>
        <w:t>The police are really important in the legal system. They look into crimes, collect proof, and arrest people. They also keep the peace and make sure everyone is safe. They don't just react to crimes; they also try to stop them from happening. They work with the community and help in court cases by giving evidence.</w:t>
      </w:r>
      <w:r w:rsidR="00DE31F3">
        <w:rPr>
          <w:rFonts w:ascii="Arial" w:hAnsi="Arial" w:cs="Arial"/>
          <w:sz w:val="24"/>
          <w:szCs w:val="24"/>
        </w:rPr>
        <w:t xml:space="preserve"> </w:t>
      </w:r>
      <w:r w:rsidRPr="00E34BDF">
        <w:rPr>
          <w:rFonts w:ascii="Arial" w:hAnsi="Arial" w:cs="Arial"/>
          <w:sz w:val="24"/>
          <w:szCs w:val="24"/>
        </w:rPr>
        <w:t>The courts and the police work together to make sure the laws are followed, fairness is kept, and people's</w:t>
      </w:r>
      <w:r w:rsidR="00680772">
        <w:rPr>
          <w:rFonts w:ascii="Arial" w:hAnsi="Arial" w:cs="Arial"/>
          <w:sz w:val="24"/>
          <w:szCs w:val="24"/>
        </w:rPr>
        <w:t xml:space="preserve"> rights are protected in the UK</w:t>
      </w:r>
      <w:r w:rsidRPr="00E34BDF">
        <w:rPr>
          <w:rFonts w:ascii="Arial" w:hAnsi="Arial" w:cs="Arial"/>
          <w:sz w:val="24"/>
          <w:szCs w:val="24"/>
        </w:rPr>
        <w:t xml:space="preserve"> </w:t>
      </w:r>
      <w:r w:rsidR="00680772" w:rsidRPr="00727C11">
        <w:rPr>
          <w:rFonts w:ascii="Arial" w:hAnsi="Arial" w:cs="Arial"/>
          <w:noProof/>
          <w:sz w:val="24"/>
          <w:szCs w:val="24"/>
        </w:rPr>
        <w:t>(</w:t>
      </w:r>
      <w:proofErr w:type="spellStart"/>
      <w:r w:rsidR="00D07287">
        <w:rPr>
          <w:rFonts w:ascii="Arial" w:hAnsi="Arial" w:cs="Arial"/>
          <w:sz w:val="24"/>
          <w:szCs w:val="24"/>
        </w:rPr>
        <w:t>Sprack</w:t>
      </w:r>
      <w:proofErr w:type="spellEnd"/>
      <w:r w:rsidR="00D07287" w:rsidRPr="0077190A">
        <w:rPr>
          <w:rFonts w:ascii="Arial" w:hAnsi="Arial" w:cs="Arial"/>
          <w:sz w:val="24"/>
          <w:szCs w:val="24"/>
        </w:rPr>
        <w:t xml:space="preserve"> and </w:t>
      </w:r>
      <w:proofErr w:type="spellStart"/>
      <w:r w:rsidR="00D07287">
        <w:rPr>
          <w:rFonts w:ascii="Arial" w:hAnsi="Arial" w:cs="Arial"/>
          <w:sz w:val="24"/>
          <w:szCs w:val="24"/>
        </w:rPr>
        <w:t>Engelhardt</w:t>
      </w:r>
      <w:proofErr w:type="spellEnd"/>
      <w:r w:rsidR="00D07287">
        <w:rPr>
          <w:rFonts w:ascii="Arial" w:hAnsi="Arial" w:cs="Arial"/>
          <w:sz w:val="24"/>
          <w:szCs w:val="24"/>
        </w:rPr>
        <w:t>–</w:t>
      </w:r>
      <w:proofErr w:type="spellStart"/>
      <w:r w:rsidR="00D07287">
        <w:rPr>
          <w:rFonts w:ascii="Arial" w:hAnsi="Arial" w:cs="Arial"/>
          <w:sz w:val="24"/>
          <w:szCs w:val="24"/>
        </w:rPr>
        <w:t>Sprack</w:t>
      </w:r>
      <w:proofErr w:type="spellEnd"/>
      <w:r w:rsidR="00D07287">
        <w:rPr>
          <w:rFonts w:ascii="Arial" w:hAnsi="Arial" w:cs="Arial"/>
          <w:sz w:val="24"/>
          <w:szCs w:val="24"/>
        </w:rPr>
        <w:t>, 2019</w:t>
      </w:r>
      <w:r w:rsidR="00680772" w:rsidRPr="00727C11">
        <w:rPr>
          <w:rFonts w:ascii="Arial" w:hAnsi="Arial" w:cs="Arial"/>
          <w:noProof/>
          <w:sz w:val="24"/>
          <w:szCs w:val="24"/>
        </w:rPr>
        <w:t>)</w:t>
      </w:r>
      <w:r w:rsidRPr="001A2354">
        <w:rPr>
          <w:rFonts w:ascii="Arial" w:hAnsi="Arial" w:cs="Arial"/>
          <w:sz w:val="24"/>
          <w:szCs w:val="24"/>
        </w:rPr>
        <w:t>.</w:t>
      </w:r>
    </w:p>
    <w:p w:rsidR="00CE6D7D" w:rsidRDefault="00CE6D7D" w:rsidP="00CE6D7D">
      <w:pPr>
        <w:spacing w:line="360" w:lineRule="auto"/>
        <w:jc w:val="both"/>
        <w:rPr>
          <w:rFonts w:ascii="Arial" w:hAnsi="Arial" w:cs="Arial"/>
        </w:rPr>
      </w:pPr>
      <w:r w:rsidRPr="00D15D95">
        <w:rPr>
          <w:rFonts w:ascii="Arial" w:hAnsi="Arial" w:cs="Arial"/>
          <w:b/>
          <w:sz w:val="24"/>
        </w:rPr>
        <w:t>Various stages of criminal proceedings, bail and funding:</w:t>
      </w:r>
    </w:p>
    <w:p w:rsidR="00CE6D7D" w:rsidRPr="00727C11" w:rsidRDefault="00FA68F3" w:rsidP="00CE6D7D">
      <w:pPr>
        <w:spacing w:line="360" w:lineRule="auto"/>
        <w:jc w:val="both"/>
        <w:rPr>
          <w:rFonts w:ascii="Arial" w:hAnsi="Arial" w:cs="Arial"/>
          <w:sz w:val="24"/>
          <w:szCs w:val="24"/>
        </w:rPr>
      </w:pPr>
      <w:r w:rsidRPr="00FA68F3">
        <w:rPr>
          <w:rFonts w:ascii="Arial" w:hAnsi="Arial" w:cs="Arial"/>
          <w:sz w:val="24"/>
          <w:szCs w:val="24"/>
        </w:rPr>
        <w:t>In the UK, criminal proceedings involve arrest, detention, police investigation, and potential charges. After being charged, the defendant appears in court for their first hearing, where bail may be granted if appropriate. Bail can be unconditional or subject to conditions to ensure attenda</w:t>
      </w:r>
      <w:r>
        <w:rPr>
          <w:rFonts w:ascii="Arial" w:hAnsi="Arial" w:cs="Arial"/>
          <w:sz w:val="24"/>
          <w:szCs w:val="24"/>
        </w:rPr>
        <w:t>nce and prevent future offenses</w:t>
      </w:r>
      <w:r w:rsidRPr="00FA68F3">
        <w:rPr>
          <w:rFonts w:ascii="Arial" w:hAnsi="Arial" w:cs="Arial"/>
          <w:sz w:val="24"/>
          <w:szCs w:val="24"/>
        </w:rPr>
        <w:t xml:space="preserve"> </w:t>
      </w:r>
      <w:r w:rsidR="00680772">
        <w:rPr>
          <w:rFonts w:ascii="Arial" w:hAnsi="Arial" w:cs="Arial"/>
          <w:noProof/>
          <w:sz w:val="24"/>
          <w:szCs w:val="24"/>
        </w:rPr>
        <w:t>(</w:t>
      </w:r>
      <w:r w:rsidR="00E665C2" w:rsidRPr="00811B6B">
        <w:rPr>
          <w:rFonts w:ascii="Arial" w:hAnsi="Arial" w:cs="Arial"/>
          <w:i/>
          <w:sz w:val="24"/>
          <w:szCs w:val="24"/>
        </w:rPr>
        <w:t>Pre-charge bail an overview of the evidence 2021</w:t>
      </w:r>
      <w:r w:rsidR="00680772" w:rsidRPr="00680772">
        <w:rPr>
          <w:rFonts w:ascii="Arial" w:hAnsi="Arial" w:cs="Arial"/>
          <w:noProof/>
          <w:sz w:val="24"/>
          <w:szCs w:val="24"/>
        </w:rPr>
        <w:t>)</w:t>
      </w:r>
      <w:r w:rsidR="00CE6D7D" w:rsidRPr="00727C11">
        <w:rPr>
          <w:rFonts w:ascii="Arial" w:hAnsi="Arial" w:cs="Arial"/>
          <w:sz w:val="24"/>
          <w:szCs w:val="24"/>
        </w:rPr>
        <w:t>.</w:t>
      </w:r>
    </w:p>
    <w:p w:rsidR="00CE6D7D" w:rsidRPr="00727C11" w:rsidRDefault="00FA68F3" w:rsidP="00CE6D7D">
      <w:pPr>
        <w:spacing w:line="360" w:lineRule="auto"/>
        <w:jc w:val="both"/>
        <w:rPr>
          <w:rFonts w:ascii="Arial" w:hAnsi="Arial" w:cs="Arial"/>
          <w:sz w:val="24"/>
          <w:szCs w:val="24"/>
        </w:rPr>
      </w:pPr>
      <w:r w:rsidRPr="00FA68F3">
        <w:rPr>
          <w:rFonts w:ascii="Arial" w:hAnsi="Arial" w:cs="Arial"/>
          <w:sz w:val="24"/>
          <w:szCs w:val="24"/>
        </w:rPr>
        <w:t>Understanding charges and potential penalties is essential for advising clients. Legal aid is available for those without representation, ensuring access to justice. Preparation for court involves gathering evidence, interviewing witnesses, and formulating defense strategies. Trials present cases, and convicted individuals face fines, community service, or imprisonment.</w:t>
      </w:r>
      <w:r w:rsidR="00E665C2">
        <w:rPr>
          <w:rFonts w:ascii="Arial" w:hAnsi="Arial" w:cs="Arial"/>
          <w:sz w:val="24"/>
          <w:szCs w:val="24"/>
        </w:rPr>
        <w:t xml:space="preserve"> </w:t>
      </w:r>
    </w:p>
    <w:p w:rsidR="00CE6D7D" w:rsidRDefault="00CE6D7D" w:rsidP="00CE6D7D">
      <w:pPr>
        <w:spacing w:line="360" w:lineRule="auto"/>
        <w:jc w:val="both"/>
        <w:rPr>
          <w:rFonts w:ascii="Arial" w:hAnsi="Arial" w:cs="Arial"/>
          <w:noProof/>
          <w:sz w:val="24"/>
          <w:szCs w:val="24"/>
        </w:rPr>
      </w:pPr>
      <w:r w:rsidRPr="00727C11">
        <w:rPr>
          <w:rFonts w:ascii="Arial" w:hAnsi="Arial" w:cs="Arial"/>
          <w:sz w:val="24"/>
          <w:szCs w:val="24"/>
        </w:rPr>
        <w:t>In advising a client, ensuring their rights are upheld, explaining the legal processes, and providing expert guidance tailored to their situation are essential to a fair and just resolution</w:t>
      </w:r>
      <w:r>
        <w:rPr>
          <w:rFonts w:ascii="Arial" w:hAnsi="Arial" w:cs="Arial"/>
          <w:sz w:val="24"/>
          <w:szCs w:val="24"/>
        </w:rPr>
        <w:t xml:space="preserve"> </w:t>
      </w:r>
      <w:r w:rsidR="00680772">
        <w:rPr>
          <w:rFonts w:ascii="Arial" w:hAnsi="Arial" w:cs="Arial"/>
          <w:noProof/>
          <w:sz w:val="24"/>
          <w:szCs w:val="24"/>
        </w:rPr>
        <w:t>(</w:t>
      </w:r>
      <w:r w:rsidR="00E665C2" w:rsidRPr="00811B6B">
        <w:rPr>
          <w:rFonts w:ascii="Arial" w:hAnsi="Arial" w:cs="Arial"/>
          <w:i/>
          <w:sz w:val="24"/>
          <w:szCs w:val="24"/>
        </w:rPr>
        <w:t>Pre-charge bail an overview of the evidence 2021</w:t>
      </w:r>
      <w:r w:rsidR="002A3131">
        <w:rPr>
          <w:rFonts w:ascii="Arial" w:hAnsi="Arial" w:cs="Arial"/>
          <w:noProof/>
          <w:sz w:val="24"/>
          <w:szCs w:val="24"/>
        </w:rPr>
        <w:t>)</w:t>
      </w:r>
      <w:r w:rsidR="00F8414B">
        <w:rPr>
          <w:rFonts w:ascii="Arial" w:hAnsi="Arial" w:cs="Arial"/>
          <w:noProof/>
          <w:sz w:val="24"/>
          <w:szCs w:val="24"/>
        </w:rPr>
        <w:t>.</w:t>
      </w:r>
    </w:p>
    <w:p w:rsidR="00F8414B" w:rsidRPr="00587AC1" w:rsidRDefault="00F8414B" w:rsidP="00CE6D7D">
      <w:pPr>
        <w:spacing w:line="360" w:lineRule="auto"/>
        <w:jc w:val="both"/>
        <w:rPr>
          <w:rFonts w:ascii="Arial" w:hAnsi="Arial" w:cs="Arial"/>
          <w:sz w:val="24"/>
          <w:szCs w:val="24"/>
        </w:rPr>
      </w:pPr>
    </w:p>
    <w:p w:rsidR="00587AC1" w:rsidRPr="00587AC1" w:rsidRDefault="00587AC1" w:rsidP="00587AC1">
      <w:pPr>
        <w:spacing w:line="360" w:lineRule="auto"/>
        <w:jc w:val="both"/>
        <w:rPr>
          <w:rFonts w:ascii="Arial" w:hAnsi="Arial" w:cs="Arial"/>
          <w:b/>
          <w:sz w:val="24"/>
          <w:szCs w:val="24"/>
        </w:rPr>
      </w:pPr>
      <w:r w:rsidRPr="00587AC1">
        <w:rPr>
          <w:rFonts w:ascii="Arial" w:hAnsi="Arial" w:cs="Arial"/>
          <w:b/>
          <w:sz w:val="24"/>
          <w:szCs w:val="24"/>
        </w:rPr>
        <w:lastRenderedPageBreak/>
        <w:t>Role of a Crown Prosecutor:</w:t>
      </w:r>
    </w:p>
    <w:p w:rsidR="00587AC1" w:rsidRPr="00587AC1" w:rsidRDefault="004C7C5B" w:rsidP="00587AC1">
      <w:pPr>
        <w:spacing w:line="360" w:lineRule="auto"/>
        <w:jc w:val="both"/>
        <w:rPr>
          <w:rFonts w:ascii="Arial" w:hAnsi="Arial" w:cs="Arial"/>
          <w:sz w:val="24"/>
          <w:szCs w:val="24"/>
        </w:rPr>
      </w:pPr>
      <w:r w:rsidRPr="004C7C5B">
        <w:rPr>
          <w:rFonts w:ascii="Arial" w:hAnsi="Arial" w:cs="Arial"/>
          <w:sz w:val="24"/>
          <w:szCs w:val="24"/>
        </w:rPr>
        <w:t xml:space="preserve">Government-employed attorneys, known as crown prosecutors, undertake the responsibility of managing instances where individuals are charged with legal violations. In certain legal jurisdictions, these professionals might be referred to as district attorneys or state attorneys. Their </w:t>
      </w:r>
      <w:r w:rsidR="005C3BF8" w:rsidRPr="004C7C5B">
        <w:rPr>
          <w:rFonts w:ascii="Arial" w:hAnsi="Arial" w:cs="Arial"/>
          <w:sz w:val="24"/>
          <w:szCs w:val="24"/>
        </w:rPr>
        <w:t>main</w:t>
      </w:r>
      <w:r w:rsidRPr="004C7C5B">
        <w:rPr>
          <w:rFonts w:ascii="Arial" w:hAnsi="Arial" w:cs="Arial"/>
          <w:sz w:val="24"/>
          <w:szCs w:val="24"/>
        </w:rPr>
        <w:t xml:space="preserve"> objec</w:t>
      </w:r>
      <w:r w:rsidR="005C3BF8">
        <w:rPr>
          <w:rFonts w:ascii="Arial" w:hAnsi="Arial" w:cs="Arial"/>
          <w:sz w:val="24"/>
          <w:szCs w:val="24"/>
        </w:rPr>
        <w:t>tives encompass the upholding</w:t>
      </w:r>
      <w:r w:rsidRPr="004C7C5B">
        <w:rPr>
          <w:rFonts w:ascii="Arial" w:hAnsi="Arial" w:cs="Arial"/>
          <w:sz w:val="24"/>
          <w:szCs w:val="24"/>
        </w:rPr>
        <w:t xml:space="preserve"> legal statutes, safeguarding impartiality, and overseeing the accountability of those who contravene the law (</w:t>
      </w:r>
      <w:proofErr w:type="spellStart"/>
      <w:r w:rsidRPr="004C7C5B">
        <w:rPr>
          <w:rFonts w:ascii="Arial" w:hAnsi="Arial" w:cs="Arial"/>
          <w:sz w:val="24"/>
          <w:szCs w:val="24"/>
        </w:rPr>
        <w:t>Ormord</w:t>
      </w:r>
      <w:proofErr w:type="spellEnd"/>
      <w:r w:rsidRPr="004C7C5B">
        <w:rPr>
          <w:rFonts w:ascii="Arial" w:hAnsi="Arial" w:cs="Arial"/>
          <w:sz w:val="24"/>
          <w:szCs w:val="24"/>
        </w:rPr>
        <w:t>, 2011). A multitude of significant tasks falls under the purview of a Crown Prosecutor, as ou</w:t>
      </w:r>
      <w:r>
        <w:rPr>
          <w:rFonts w:ascii="Arial" w:hAnsi="Arial" w:cs="Arial"/>
          <w:sz w:val="24"/>
          <w:szCs w:val="24"/>
        </w:rPr>
        <w:t>tlined in the ensuing discourse</w:t>
      </w:r>
      <w:r w:rsidR="00587AC1" w:rsidRPr="00587AC1">
        <w:rPr>
          <w:rFonts w:ascii="Arial" w:hAnsi="Arial" w:cs="Arial"/>
          <w:sz w:val="24"/>
          <w:szCs w:val="24"/>
        </w:rPr>
        <w:t>:</w:t>
      </w:r>
    </w:p>
    <w:p w:rsidR="00587AC1" w:rsidRPr="00587AC1" w:rsidRDefault="004B21E2" w:rsidP="00587AC1">
      <w:pPr>
        <w:spacing w:line="360" w:lineRule="auto"/>
        <w:jc w:val="both"/>
        <w:rPr>
          <w:rFonts w:ascii="Arial" w:hAnsi="Arial" w:cs="Arial"/>
          <w:sz w:val="24"/>
          <w:szCs w:val="24"/>
        </w:rPr>
      </w:pPr>
      <w:r>
        <w:rPr>
          <w:rFonts w:ascii="Arial" w:hAnsi="Arial" w:cs="Arial"/>
          <w:b/>
          <w:sz w:val="24"/>
          <w:szCs w:val="24"/>
        </w:rPr>
        <w:t>Making i</w:t>
      </w:r>
      <w:r w:rsidR="00587AC1" w:rsidRPr="00587AC1">
        <w:rPr>
          <w:rFonts w:ascii="Arial" w:hAnsi="Arial" w:cs="Arial"/>
          <w:b/>
          <w:sz w:val="24"/>
          <w:szCs w:val="24"/>
        </w:rPr>
        <w:t>nvestigation:</w:t>
      </w:r>
      <w:r w:rsidR="00587AC1" w:rsidRPr="00587AC1">
        <w:rPr>
          <w:rFonts w:ascii="Arial" w:hAnsi="Arial" w:cs="Arial"/>
          <w:sz w:val="24"/>
          <w:szCs w:val="24"/>
        </w:rPr>
        <w:t xml:space="preserve"> </w:t>
      </w:r>
      <w:r w:rsidR="004C7C5B" w:rsidRPr="004C7C5B">
        <w:rPr>
          <w:rFonts w:ascii="Arial" w:hAnsi="Arial" w:cs="Arial"/>
          <w:sz w:val="24"/>
          <w:szCs w:val="24"/>
        </w:rPr>
        <w:t>Crown Prosecutors collaborate with law enforcement to amass data and proof related to criminal incidents. They meticulously assess the collected information, engage in discussions with witnesses, and, if needed, seek insights from specialists. All these endeavors converge to construct a formidable and comp</w:t>
      </w:r>
      <w:r w:rsidR="004C7C5B">
        <w:rPr>
          <w:rFonts w:ascii="Arial" w:hAnsi="Arial" w:cs="Arial"/>
          <w:sz w:val="24"/>
          <w:szCs w:val="24"/>
        </w:rPr>
        <w:t>elling legal case</w:t>
      </w:r>
      <w:r w:rsidR="004C7C5B" w:rsidRPr="004C7C5B">
        <w:rPr>
          <w:rFonts w:ascii="Arial" w:hAnsi="Arial" w:cs="Arial"/>
          <w:sz w:val="24"/>
          <w:szCs w:val="24"/>
        </w:rPr>
        <w:t xml:space="preserve"> </w:t>
      </w:r>
      <w:r w:rsidR="0094578E">
        <w:rPr>
          <w:rFonts w:ascii="Arial" w:hAnsi="Arial" w:cs="Arial"/>
          <w:sz w:val="24"/>
          <w:szCs w:val="24"/>
        </w:rPr>
        <w:t>(</w:t>
      </w:r>
      <w:proofErr w:type="spellStart"/>
      <w:r w:rsidR="0094578E">
        <w:rPr>
          <w:rFonts w:ascii="Arial" w:hAnsi="Arial" w:cs="Arial"/>
          <w:sz w:val="24"/>
          <w:szCs w:val="24"/>
        </w:rPr>
        <w:t>Ormord</w:t>
      </w:r>
      <w:proofErr w:type="spellEnd"/>
      <w:r w:rsidR="0094578E">
        <w:rPr>
          <w:rFonts w:ascii="Arial" w:hAnsi="Arial" w:cs="Arial"/>
          <w:sz w:val="24"/>
          <w:szCs w:val="24"/>
        </w:rPr>
        <w:t>, 2011)</w:t>
      </w:r>
      <w:r w:rsidR="00587AC1" w:rsidRPr="00587AC1">
        <w:rPr>
          <w:rFonts w:ascii="Arial" w:hAnsi="Arial" w:cs="Arial"/>
          <w:sz w:val="24"/>
          <w:szCs w:val="24"/>
        </w:rPr>
        <w:t>.</w:t>
      </w:r>
    </w:p>
    <w:p w:rsidR="00587AC1" w:rsidRPr="00587AC1" w:rsidRDefault="00587AC1" w:rsidP="00587AC1">
      <w:pPr>
        <w:spacing w:line="360" w:lineRule="auto"/>
        <w:jc w:val="both"/>
        <w:rPr>
          <w:rFonts w:ascii="Arial" w:hAnsi="Arial" w:cs="Arial"/>
          <w:sz w:val="24"/>
          <w:szCs w:val="24"/>
        </w:rPr>
      </w:pPr>
      <w:r w:rsidRPr="00587AC1">
        <w:rPr>
          <w:rFonts w:ascii="Arial" w:hAnsi="Arial" w:cs="Arial"/>
          <w:b/>
          <w:sz w:val="24"/>
          <w:szCs w:val="24"/>
        </w:rPr>
        <w:t>Charging Decisions:</w:t>
      </w:r>
      <w:r w:rsidRPr="00587AC1">
        <w:rPr>
          <w:rFonts w:ascii="Arial" w:hAnsi="Arial" w:cs="Arial"/>
          <w:sz w:val="24"/>
          <w:szCs w:val="24"/>
        </w:rPr>
        <w:t xml:space="preserve"> </w:t>
      </w:r>
      <w:r w:rsidR="004C7C5B" w:rsidRPr="004C7C5B">
        <w:rPr>
          <w:rFonts w:ascii="Arial" w:hAnsi="Arial" w:cs="Arial"/>
          <w:sz w:val="24"/>
          <w:szCs w:val="24"/>
        </w:rPr>
        <w:t>Determining whether to bring allegations against an individual for a criminal offense stands as a highly crucial responsibility vested in a Crown Prosecutor. This task encompasses meticulous examination of the proof, the relevant legal statutes, and pondering upon whether proceeding with a trial aligns with the</w:t>
      </w:r>
      <w:r w:rsidR="00287004">
        <w:rPr>
          <w:rFonts w:ascii="Arial" w:hAnsi="Arial" w:cs="Arial"/>
          <w:sz w:val="24"/>
          <w:szCs w:val="24"/>
        </w:rPr>
        <w:t xml:space="preserve"> greater welfare of the society</w:t>
      </w:r>
      <w:r w:rsidR="004C7C5B" w:rsidRPr="004C7C5B">
        <w:rPr>
          <w:rFonts w:ascii="Arial" w:hAnsi="Arial" w:cs="Arial"/>
          <w:sz w:val="24"/>
          <w:szCs w:val="24"/>
        </w:rPr>
        <w:t xml:space="preserve"> </w:t>
      </w:r>
      <w:r w:rsidR="00AB27CA">
        <w:rPr>
          <w:rFonts w:ascii="Arial" w:hAnsi="Arial" w:cs="Arial"/>
          <w:sz w:val="24"/>
          <w:szCs w:val="24"/>
        </w:rPr>
        <w:t>(</w:t>
      </w:r>
      <w:proofErr w:type="spellStart"/>
      <w:r w:rsidR="00AB27CA">
        <w:rPr>
          <w:rFonts w:ascii="Arial" w:hAnsi="Arial" w:cs="Arial"/>
          <w:sz w:val="24"/>
          <w:szCs w:val="24"/>
        </w:rPr>
        <w:t>Ormord</w:t>
      </w:r>
      <w:proofErr w:type="spellEnd"/>
      <w:r w:rsidR="00AB27CA">
        <w:rPr>
          <w:rFonts w:ascii="Arial" w:hAnsi="Arial" w:cs="Arial"/>
          <w:sz w:val="24"/>
          <w:szCs w:val="24"/>
        </w:rPr>
        <w:t>, 2011)</w:t>
      </w:r>
      <w:r w:rsidRPr="00587AC1">
        <w:rPr>
          <w:rFonts w:ascii="Arial" w:hAnsi="Arial" w:cs="Arial"/>
          <w:sz w:val="24"/>
          <w:szCs w:val="24"/>
        </w:rPr>
        <w:t>.</w:t>
      </w:r>
    </w:p>
    <w:p w:rsidR="00587AC1" w:rsidRPr="00587AC1" w:rsidRDefault="00587AC1" w:rsidP="00587AC1">
      <w:pPr>
        <w:spacing w:line="360" w:lineRule="auto"/>
        <w:jc w:val="both"/>
        <w:rPr>
          <w:rFonts w:ascii="Arial" w:hAnsi="Arial" w:cs="Arial"/>
          <w:sz w:val="24"/>
          <w:szCs w:val="24"/>
        </w:rPr>
      </w:pPr>
      <w:r w:rsidRPr="00587AC1">
        <w:rPr>
          <w:rFonts w:ascii="Arial" w:hAnsi="Arial" w:cs="Arial"/>
          <w:b/>
          <w:sz w:val="24"/>
          <w:szCs w:val="24"/>
        </w:rPr>
        <w:t>Case Preparation:</w:t>
      </w:r>
      <w:r w:rsidRPr="00587AC1">
        <w:rPr>
          <w:rFonts w:ascii="Arial" w:hAnsi="Arial" w:cs="Arial"/>
          <w:sz w:val="24"/>
          <w:szCs w:val="24"/>
        </w:rPr>
        <w:t xml:space="preserve"> </w:t>
      </w:r>
      <w:r w:rsidR="00287004" w:rsidRPr="00287004">
        <w:rPr>
          <w:rFonts w:ascii="Arial" w:hAnsi="Arial" w:cs="Arial"/>
          <w:sz w:val="24"/>
          <w:szCs w:val="24"/>
        </w:rPr>
        <w:t>Crown attorneys dedicate rigorous efforts towards preparing cases for trial subsequent to their determination of whether charges should be filed. This process encompasses strategizing the presentation of individuals and specialists entwined within the case, formulating the legal groundwork for</w:t>
      </w:r>
      <w:r w:rsidR="005C3BF8">
        <w:rPr>
          <w:rFonts w:ascii="Arial" w:hAnsi="Arial" w:cs="Arial"/>
          <w:sz w:val="24"/>
          <w:szCs w:val="24"/>
        </w:rPr>
        <w:t xml:space="preserve"> the</w:t>
      </w:r>
      <w:r w:rsidR="00287004" w:rsidRPr="00287004">
        <w:rPr>
          <w:rFonts w:ascii="Arial" w:hAnsi="Arial" w:cs="Arial"/>
          <w:sz w:val="24"/>
          <w:szCs w:val="24"/>
        </w:rPr>
        <w:t xml:space="preserve"> defense, and meticulously organizing the factual back</w:t>
      </w:r>
      <w:r w:rsidR="00287004">
        <w:rPr>
          <w:rFonts w:ascii="Arial" w:hAnsi="Arial" w:cs="Arial"/>
          <w:sz w:val="24"/>
          <w:szCs w:val="24"/>
        </w:rPr>
        <w:t>drop and persuasive contentions</w:t>
      </w:r>
      <w:r w:rsidR="004A5120">
        <w:rPr>
          <w:rFonts w:ascii="Arial" w:hAnsi="Arial" w:cs="Arial"/>
          <w:sz w:val="24"/>
          <w:szCs w:val="24"/>
        </w:rPr>
        <w:t xml:space="preserve"> (Soubise, 2023)</w:t>
      </w:r>
      <w:r w:rsidRPr="00587AC1">
        <w:rPr>
          <w:rFonts w:ascii="Arial" w:hAnsi="Arial" w:cs="Arial"/>
          <w:sz w:val="24"/>
          <w:szCs w:val="24"/>
        </w:rPr>
        <w:t>.</w:t>
      </w:r>
    </w:p>
    <w:p w:rsidR="00587AC1" w:rsidRDefault="00587AC1" w:rsidP="00587AC1">
      <w:pPr>
        <w:spacing w:line="360" w:lineRule="auto"/>
        <w:jc w:val="both"/>
        <w:rPr>
          <w:rFonts w:ascii="Arial" w:hAnsi="Arial" w:cs="Arial"/>
          <w:sz w:val="24"/>
          <w:szCs w:val="24"/>
        </w:rPr>
      </w:pPr>
      <w:r w:rsidRPr="00587AC1">
        <w:rPr>
          <w:rFonts w:ascii="Arial" w:hAnsi="Arial" w:cs="Arial"/>
          <w:b/>
          <w:sz w:val="24"/>
          <w:szCs w:val="24"/>
        </w:rPr>
        <w:t>Trial Presentation:</w:t>
      </w:r>
      <w:r w:rsidRPr="00587AC1">
        <w:rPr>
          <w:rFonts w:ascii="Arial" w:hAnsi="Arial" w:cs="Arial"/>
          <w:sz w:val="24"/>
          <w:szCs w:val="24"/>
        </w:rPr>
        <w:t xml:space="preserve"> </w:t>
      </w:r>
      <w:r w:rsidR="00287004" w:rsidRPr="00287004">
        <w:rPr>
          <w:rFonts w:ascii="Arial" w:hAnsi="Arial" w:cs="Arial"/>
          <w:sz w:val="24"/>
          <w:szCs w:val="24"/>
        </w:rPr>
        <w:t xml:space="preserve">Prosecutors present the proof, question witnesses, and present their arguments in front of the judge throughout the trial (Soubise, 2023). They invest a significant amount of effort to establish the defendant's </w:t>
      </w:r>
      <w:r w:rsidR="00287004">
        <w:rPr>
          <w:rFonts w:ascii="Arial" w:hAnsi="Arial" w:cs="Arial"/>
          <w:sz w:val="24"/>
          <w:szCs w:val="24"/>
        </w:rPr>
        <w:t>guilt beyond a reasonable doubt</w:t>
      </w:r>
      <w:r w:rsidR="000A5D01" w:rsidRPr="000A5D01">
        <w:rPr>
          <w:rFonts w:ascii="Arial" w:hAnsi="Arial" w:cs="Arial"/>
          <w:sz w:val="24"/>
          <w:szCs w:val="24"/>
        </w:rPr>
        <w:t>.</w:t>
      </w:r>
    </w:p>
    <w:p w:rsidR="00DE31F3" w:rsidRPr="00587AC1" w:rsidRDefault="00DE31F3" w:rsidP="00587AC1">
      <w:pPr>
        <w:spacing w:line="360" w:lineRule="auto"/>
        <w:jc w:val="both"/>
        <w:rPr>
          <w:rFonts w:ascii="Arial" w:hAnsi="Arial" w:cs="Arial"/>
          <w:sz w:val="24"/>
          <w:szCs w:val="24"/>
        </w:rPr>
      </w:pPr>
    </w:p>
    <w:p w:rsidR="00587AC1" w:rsidRPr="00587AC1" w:rsidRDefault="00587AC1" w:rsidP="00587AC1">
      <w:pPr>
        <w:spacing w:line="360" w:lineRule="auto"/>
        <w:jc w:val="both"/>
        <w:rPr>
          <w:rFonts w:ascii="Arial" w:hAnsi="Arial" w:cs="Arial"/>
          <w:b/>
          <w:sz w:val="24"/>
          <w:szCs w:val="24"/>
        </w:rPr>
      </w:pPr>
      <w:r w:rsidRPr="00587AC1">
        <w:rPr>
          <w:rFonts w:ascii="Arial" w:hAnsi="Arial" w:cs="Arial"/>
          <w:b/>
          <w:sz w:val="24"/>
          <w:szCs w:val="24"/>
        </w:rPr>
        <w:lastRenderedPageBreak/>
        <w:t>Charging Decision Tests:</w:t>
      </w:r>
    </w:p>
    <w:p w:rsidR="002158F5" w:rsidRDefault="002B69B5" w:rsidP="00587AC1">
      <w:pPr>
        <w:spacing w:line="360" w:lineRule="auto"/>
        <w:jc w:val="both"/>
        <w:rPr>
          <w:rFonts w:ascii="Arial" w:hAnsi="Arial" w:cs="Arial"/>
          <w:sz w:val="24"/>
          <w:szCs w:val="24"/>
        </w:rPr>
      </w:pPr>
      <w:r w:rsidRPr="002B69B5">
        <w:rPr>
          <w:rFonts w:ascii="Arial" w:hAnsi="Arial" w:cs="Arial"/>
          <w:sz w:val="24"/>
          <w:szCs w:val="24"/>
        </w:rPr>
        <w:t xml:space="preserve">Prosecutors take several factors into account when deciding whether to press charges against an individual. These include the amount and </w:t>
      </w:r>
      <w:r w:rsidR="005C3BF8">
        <w:rPr>
          <w:rFonts w:ascii="Arial" w:hAnsi="Arial" w:cs="Arial"/>
          <w:sz w:val="24"/>
          <w:szCs w:val="24"/>
        </w:rPr>
        <w:t xml:space="preserve">the </w:t>
      </w:r>
      <w:r w:rsidRPr="002B69B5">
        <w:rPr>
          <w:rFonts w:ascii="Arial" w:hAnsi="Arial" w:cs="Arial"/>
          <w:sz w:val="24"/>
          <w:szCs w:val="24"/>
        </w:rPr>
        <w:t>credibility of the evidence, the type of crime committed, the individual's past run-ins with the law, and the overall welfare of the public (</w:t>
      </w:r>
      <w:proofErr w:type="spellStart"/>
      <w:r w:rsidRPr="002B69B5">
        <w:rPr>
          <w:rFonts w:ascii="Arial" w:hAnsi="Arial" w:cs="Arial"/>
          <w:sz w:val="24"/>
          <w:szCs w:val="24"/>
        </w:rPr>
        <w:t>Dawnay</w:t>
      </w:r>
      <w:proofErr w:type="spellEnd"/>
      <w:r w:rsidRPr="002B69B5">
        <w:rPr>
          <w:rFonts w:ascii="Arial" w:hAnsi="Arial" w:cs="Arial"/>
          <w:sz w:val="24"/>
          <w:szCs w:val="24"/>
        </w:rPr>
        <w:t xml:space="preserve"> and Sheppa</w:t>
      </w:r>
      <w:r>
        <w:rPr>
          <w:rFonts w:ascii="Arial" w:hAnsi="Arial" w:cs="Arial"/>
          <w:sz w:val="24"/>
          <w:szCs w:val="24"/>
        </w:rPr>
        <w:t>rd, 2023)</w:t>
      </w:r>
      <w:r w:rsidR="006A14D2">
        <w:rPr>
          <w:rFonts w:ascii="Arial" w:hAnsi="Arial" w:cs="Arial"/>
          <w:sz w:val="24"/>
          <w:szCs w:val="24"/>
        </w:rPr>
        <w:t>.</w:t>
      </w:r>
      <w:r w:rsidR="00B0534E" w:rsidRPr="00B0534E">
        <w:rPr>
          <w:rFonts w:ascii="Arial" w:hAnsi="Arial" w:cs="Arial"/>
          <w:sz w:val="24"/>
          <w:szCs w:val="24"/>
        </w:rPr>
        <w:t xml:space="preserve"> </w:t>
      </w:r>
    </w:p>
    <w:p w:rsidR="002158F5" w:rsidRPr="002158F5" w:rsidRDefault="002158F5" w:rsidP="00587AC1">
      <w:pPr>
        <w:spacing w:line="360" w:lineRule="auto"/>
        <w:jc w:val="both"/>
        <w:rPr>
          <w:rFonts w:ascii="Arial" w:hAnsi="Arial" w:cs="Arial"/>
          <w:b/>
          <w:sz w:val="24"/>
          <w:szCs w:val="24"/>
        </w:rPr>
      </w:pPr>
      <w:r w:rsidRPr="002158F5">
        <w:rPr>
          <w:rFonts w:ascii="Arial" w:hAnsi="Arial" w:cs="Arial"/>
          <w:b/>
          <w:sz w:val="24"/>
          <w:szCs w:val="24"/>
        </w:rPr>
        <w:t>Full Code Test</w:t>
      </w:r>
      <w:r>
        <w:rPr>
          <w:rFonts w:ascii="Arial" w:hAnsi="Arial" w:cs="Arial"/>
          <w:b/>
          <w:sz w:val="24"/>
          <w:szCs w:val="24"/>
        </w:rPr>
        <w:t>:</w:t>
      </w:r>
    </w:p>
    <w:p w:rsidR="00587AC1" w:rsidRPr="00587AC1" w:rsidRDefault="002B69B5" w:rsidP="00587AC1">
      <w:pPr>
        <w:spacing w:line="360" w:lineRule="auto"/>
        <w:jc w:val="both"/>
        <w:rPr>
          <w:rFonts w:ascii="Arial" w:hAnsi="Arial" w:cs="Arial"/>
          <w:sz w:val="24"/>
          <w:szCs w:val="24"/>
        </w:rPr>
      </w:pPr>
      <w:r w:rsidRPr="002B69B5">
        <w:rPr>
          <w:rFonts w:ascii="Arial" w:hAnsi="Arial" w:cs="Arial"/>
          <w:sz w:val="24"/>
          <w:szCs w:val="24"/>
        </w:rPr>
        <w:t>Crown Prosecutors commonly employ a variety of methods or standards to ensure the fairness and uniformity of their deci</w:t>
      </w:r>
      <w:r w:rsidR="005A40D4">
        <w:rPr>
          <w:rFonts w:ascii="Arial" w:hAnsi="Arial" w:cs="Arial"/>
          <w:sz w:val="24"/>
          <w:szCs w:val="24"/>
        </w:rPr>
        <w:t>sions. The "Evidential Test</w:t>
      </w:r>
      <w:r w:rsidRPr="002B69B5">
        <w:rPr>
          <w:rFonts w:ascii="Arial" w:hAnsi="Arial" w:cs="Arial"/>
          <w:sz w:val="24"/>
          <w:szCs w:val="24"/>
        </w:rPr>
        <w:t xml:space="preserve">" and the "Test of Public </w:t>
      </w:r>
      <w:r w:rsidR="005A40D4">
        <w:rPr>
          <w:rFonts w:ascii="Arial" w:hAnsi="Arial" w:cs="Arial"/>
          <w:sz w:val="24"/>
          <w:szCs w:val="24"/>
        </w:rPr>
        <w:t>Interest</w:t>
      </w:r>
      <w:r w:rsidRPr="002B69B5">
        <w:rPr>
          <w:rFonts w:ascii="Arial" w:hAnsi="Arial" w:cs="Arial"/>
          <w:sz w:val="24"/>
          <w:szCs w:val="24"/>
        </w:rPr>
        <w:t>" are a pair of fundamental principles within the comprehensive code assessment used to dete</w:t>
      </w:r>
      <w:r>
        <w:rPr>
          <w:rFonts w:ascii="Arial" w:hAnsi="Arial" w:cs="Arial"/>
          <w:sz w:val="24"/>
          <w:szCs w:val="24"/>
        </w:rPr>
        <w:t>rmine the imposition of charges</w:t>
      </w:r>
      <w:r w:rsidR="00B0534E" w:rsidRPr="00B0534E">
        <w:rPr>
          <w:rFonts w:ascii="Arial" w:hAnsi="Arial" w:cs="Arial"/>
          <w:sz w:val="24"/>
          <w:szCs w:val="24"/>
        </w:rPr>
        <w:t>.</w:t>
      </w:r>
    </w:p>
    <w:p w:rsidR="00587AC1" w:rsidRPr="00812EB6" w:rsidRDefault="00587AC1" w:rsidP="00812EB6">
      <w:pPr>
        <w:spacing w:line="360" w:lineRule="auto"/>
        <w:jc w:val="both"/>
        <w:rPr>
          <w:rFonts w:ascii="Arial" w:hAnsi="Arial" w:cs="Arial"/>
          <w:sz w:val="24"/>
          <w:szCs w:val="24"/>
        </w:rPr>
      </w:pPr>
      <w:r w:rsidRPr="00812EB6">
        <w:rPr>
          <w:rFonts w:ascii="Arial" w:hAnsi="Arial" w:cs="Arial"/>
          <w:b/>
          <w:sz w:val="24"/>
          <w:szCs w:val="24"/>
        </w:rPr>
        <w:t>Evidential Test:</w:t>
      </w:r>
      <w:r w:rsidRPr="00812EB6">
        <w:rPr>
          <w:rFonts w:ascii="Arial" w:hAnsi="Arial" w:cs="Arial"/>
          <w:sz w:val="24"/>
          <w:szCs w:val="24"/>
        </w:rPr>
        <w:t xml:space="preserve"> </w:t>
      </w:r>
      <w:r w:rsidR="00A62CD4" w:rsidRPr="00A62CD4">
        <w:rPr>
          <w:rFonts w:ascii="Arial" w:hAnsi="Arial" w:cs="Arial"/>
          <w:sz w:val="24"/>
          <w:szCs w:val="24"/>
        </w:rPr>
        <w:t>The evidence test focuses on the sufficiency and caliber of evidence presented. Prosecutors evaluate the evidence to establish a plausible likelihood of a guilty verdict</w:t>
      </w:r>
      <w:r w:rsidR="00A62CD4">
        <w:rPr>
          <w:rFonts w:ascii="Arial" w:hAnsi="Arial" w:cs="Arial"/>
          <w:sz w:val="24"/>
          <w:szCs w:val="24"/>
        </w:rPr>
        <w:t xml:space="preserve"> (</w:t>
      </w:r>
      <w:proofErr w:type="spellStart"/>
      <w:r w:rsidR="00A62CD4" w:rsidRPr="00B07D8A">
        <w:rPr>
          <w:rFonts w:ascii="Arial" w:hAnsi="Arial" w:cs="Arial"/>
          <w:sz w:val="24"/>
          <w:szCs w:val="24"/>
        </w:rPr>
        <w:t>D</w:t>
      </w:r>
      <w:r w:rsidR="00A62CD4">
        <w:rPr>
          <w:rFonts w:ascii="Arial" w:hAnsi="Arial" w:cs="Arial"/>
          <w:sz w:val="24"/>
          <w:szCs w:val="24"/>
        </w:rPr>
        <w:t>awnay</w:t>
      </w:r>
      <w:proofErr w:type="spellEnd"/>
      <w:r w:rsidR="00A62CD4">
        <w:rPr>
          <w:rFonts w:ascii="Arial" w:hAnsi="Arial" w:cs="Arial"/>
          <w:sz w:val="24"/>
          <w:szCs w:val="24"/>
        </w:rPr>
        <w:t xml:space="preserve"> and </w:t>
      </w:r>
      <w:r w:rsidR="00A62CD4" w:rsidRPr="00B07D8A">
        <w:rPr>
          <w:rFonts w:ascii="Arial" w:hAnsi="Arial" w:cs="Arial"/>
          <w:sz w:val="24"/>
          <w:szCs w:val="24"/>
        </w:rPr>
        <w:t>Sheppard</w:t>
      </w:r>
      <w:r w:rsidR="00A62CD4">
        <w:rPr>
          <w:rFonts w:ascii="Arial" w:hAnsi="Arial" w:cs="Arial"/>
          <w:sz w:val="24"/>
          <w:szCs w:val="24"/>
        </w:rPr>
        <w:t>, 2023)</w:t>
      </w:r>
      <w:r w:rsidR="00A62CD4" w:rsidRPr="00A62CD4">
        <w:rPr>
          <w:rFonts w:ascii="Arial" w:hAnsi="Arial" w:cs="Arial"/>
          <w:sz w:val="24"/>
          <w:szCs w:val="24"/>
        </w:rPr>
        <w:t>. The substantiating evidence must be compelling enough to convince a rational jury of the accused's culpability. If the evidence falls short, the Crown Prosecutor may opt against pursuing charges</w:t>
      </w:r>
      <w:r w:rsidR="002B69B5">
        <w:rPr>
          <w:rFonts w:ascii="Arial" w:hAnsi="Arial" w:cs="Arial"/>
          <w:sz w:val="24"/>
          <w:szCs w:val="24"/>
        </w:rPr>
        <w:t xml:space="preserve"> (</w:t>
      </w:r>
      <w:proofErr w:type="spellStart"/>
      <w:r w:rsidR="002B69B5">
        <w:rPr>
          <w:rFonts w:ascii="Arial" w:hAnsi="Arial" w:cs="Arial"/>
          <w:sz w:val="24"/>
          <w:szCs w:val="24"/>
        </w:rPr>
        <w:t>Abramovaite</w:t>
      </w:r>
      <w:proofErr w:type="spellEnd"/>
      <w:r w:rsidR="002B69B5">
        <w:rPr>
          <w:rFonts w:ascii="Arial" w:hAnsi="Arial" w:cs="Arial"/>
          <w:sz w:val="24"/>
          <w:szCs w:val="24"/>
        </w:rPr>
        <w:t xml:space="preserve"> et al. 2022)</w:t>
      </w:r>
      <w:r w:rsidRPr="00812EB6">
        <w:rPr>
          <w:rFonts w:ascii="Arial" w:hAnsi="Arial" w:cs="Arial"/>
          <w:sz w:val="24"/>
          <w:szCs w:val="24"/>
        </w:rPr>
        <w:t>.</w:t>
      </w:r>
    </w:p>
    <w:p w:rsidR="00587AC1" w:rsidRPr="00812EB6" w:rsidRDefault="00587AC1" w:rsidP="00812EB6">
      <w:pPr>
        <w:spacing w:line="360" w:lineRule="auto"/>
        <w:jc w:val="both"/>
        <w:rPr>
          <w:rFonts w:ascii="Arial" w:hAnsi="Arial" w:cs="Arial"/>
          <w:sz w:val="24"/>
          <w:szCs w:val="24"/>
        </w:rPr>
      </w:pPr>
      <w:r w:rsidRPr="00812EB6">
        <w:rPr>
          <w:rFonts w:ascii="Arial" w:hAnsi="Arial" w:cs="Arial"/>
          <w:b/>
          <w:sz w:val="24"/>
          <w:szCs w:val="24"/>
        </w:rPr>
        <w:t>Public Interest Test:</w:t>
      </w:r>
      <w:r w:rsidRPr="00812EB6">
        <w:rPr>
          <w:rFonts w:ascii="Arial" w:hAnsi="Arial" w:cs="Arial"/>
          <w:sz w:val="24"/>
          <w:szCs w:val="24"/>
        </w:rPr>
        <w:t xml:space="preserve"> </w:t>
      </w:r>
      <w:r w:rsidR="008079D7" w:rsidRPr="008079D7">
        <w:rPr>
          <w:rFonts w:ascii="Arial" w:hAnsi="Arial" w:cs="Arial"/>
          <w:sz w:val="24"/>
          <w:szCs w:val="24"/>
        </w:rPr>
        <w:t xml:space="preserve">Assessing pressing charges involves considering financial aspects and public welfare. Government litigators must determine if a trial is in the public's interest, even in cases with substantial substantiation </w:t>
      </w:r>
      <w:r w:rsidR="008079D7" w:rsidRPr="008079D7">
        <w:rPr>
          <w:rFonts w:ascii="Arial" w:hAnsi="Arial" w:cs="Arial"/>
          <w:color w:val="252525"/>
          <w:sz w:val="24"/>
          <w:szCs w:val="24"/>
          <w:shd w:val="clear" w:color="auto" w:fill="FFFFFF"/>
        </w:rPr>
        <w:t>(Health and Safety Executive, 2023)</w:t>
      </w:r>
      <w:r w:rsidR="008079D7" w:rsidRPr="008079D7">
        <w:rPr>
          <w:rFonts w:ascii="Arial" w:hAnsi="Arial" w:cs="Arial"/>
          <w:sz w:val="24"/>
          <w:szCs w:val="24"/>
        </w:rPr>
        <w:t xml:space="preserve">. Deliberations consider the severity of the transgression, victim engagement, </w:t>
      </w:r>
      <w:r w:rsidR="00264F19">
        <w:rPr>
          <w:rFonts w:ascii="Arial" w:hAnsi="Arial" w:cs="Arial"/>
          <w:sz w:val="24"/>
          <w:szCs w:val="24"/>
        </w:rPr>
        <w:t xml:space="preserve">the </w:t>
      </w:r>
      <w:r w:rsidR="008079D7" w:rsidRPr="008079D7">
        <w:rPr>
          <w:rFonts w:ascii="Arial" w:hAnsi="Arial" w:cs="Arial"/>
          <w:sz w:val="24"/>
          <w:szCs w:val="24"/>
        </w:rPr>
        <w:t>defendant's criminal record, and potential communal repercussions. If pursuing the case doesn't align with the greater communal good, the option of refraining from prosecution may be entertained, even if t</w:t>
      </w:r>
      <w:r w:rsidR="008079D7">
        <w:rPr>
          <w:rFonts w:ascii="Arial" w:hAnsi="Arial" w:cs="Arial"/>
          <w:sz w:val="24"/>
          <w:szCs w:val="24"/>
        </w:rPr>
        <w:t>he evidentiary threshold is met</w:t>
      </w:r>
      <w:r w:rsidR="002B69B5" w:rsidRPr="002B69B5">
        <w:rPr>
          <w:rFonts w:ascii="Arial" w:hAnsi="Arial" w:cs="Arial"/>
          <w:sz w:val="24"/>
          <w:szCs w:val="24"/>
        </w:rPr>
        <w:t>.</w:t>
      </w:r>
    </w:p>
    <w:p w:rsidR="00587AC1" w:rsidRDefault="002B69B5" w:rsidP="00587AC1">
      <w:pPr>
        <w:spacing w:line="360" w:lineRule="auto"/>
        <w:jc w:val="both"/>
        <w:rPr>
          <w:rFonts w:ascii="Arial" w:hAnsi="Arial" w:cs="Arial"/>
          <w:sz w:val="24"/>
          <w:szCs w:val="24"/>
        </w:rPr>
      </w:pPr>
      <w:r w:rsidRPr="002B69B5">
        <w:rPr>
          <w:rFonts w:ascii="Arial" w:hAnsi="Arial" w:cs="Arial"/>
          <w:sz w:val="24"/>
          <w:szCs w:val="24"/>
        </w:rPr>
        <w:t>Prosecutors have the option to factor in supplementary criteria beyond the fundamental ones. These supplementary factors might include the likelihood of securing a conviction, the credibility and availability of witnesses, as noted by the H</w:t>
      </w:r>
      <w:r w:rsidR="00586C50">
        <w:rPr>
          <w:rFonts w:ascii="Arial" w:hAnsi="Arial" w:cs="Arial"/>
          <w:sz w:val="24"/>
          <w:szCs w:val="24"/>
        </w:rPr>
        <w:t xml:space="preserve">ealth and Safety Executive </w:t>
      </w:r>
      <w:r w:rsidRPr="002B69B5">
        <w:rPr>
          <w:rFonts w:ascii="Arial" w:hAnsi="Arial" w:cs="Arial"/>
          <w:sz w:val="24"/>
          <w:szCs w:val="24"/>
        </w:rPr>
        <w:t>in 2023. They should also weigh the potential effects on the victim and the overall fairness in deciding whether to proceed with the case</w:t>
      </w:r>
      <w:r w:rsidR="00587AC1" w:rsidRPr="00587AC1">
        <w:rPr>
          <w:rFonts w:ascii="Arial" w:hAnsi="Arial" w:cs="Arial"/>
          <w:sz w:val="24"/>
          <w:szCs w:val="24"/>
        </w:rPr>
        <w:t>.</w:t>
      </w:r>
    </w:p>
    <w:p w:rsidR="00DE31F3" w:rsidRDefault="00DE31F3" w:rsidP="00587AC1">
      <w:pPr>
        <w:spacing w:line="360" w:lineRule="auto"/>
        <w:jc w:val="both"/>
        <w:rPr>
          <w:rFonts w:ascii="Arial" w:hAnsi="Arial" w:cs="Arial"/>
          <w:b/>
          <w:sz w:val="24"/>
          <w:szCs w:val="24"/>
        </w:rPr>
      </w:pPr>
    </w:p>
    <w:p w:rsidR="00587AC1" w:rsidRPr="00587AC1" w:rsidRDefault="00587AC1" w:rsidP="00587AC1">
      <w:pPr>
        <w:spacing w:line="360" w:lineRule="auto"/>
        <w:jc w:val="both"/>
        <w:rPr>
          <w:rFonts w:ascii="Arial" w:hAnsi="Arial" w:cs="Arial"/>
          <w:b/>
          <w:sz w:val="24"/>
          <w:szCs w:val="24"/>
        </w:rPr>
      </w:pPr>
      <w:r w:rsidRPr="00587AC1">
        <w:rPr>
          <w:rFonts w:ascii="Arial" w:hAnsi="Arial" w:cs="Arial"/>
          <w:b/>
          <w:sz w:val="24"/>
          <w:szCs w:val="24"/>
        </w:rPr>
        <w:lastRenderedPageBreak/>
        <w:t>Factors Influencing Charging Decisions:</w:t>
      </w:r>
    </w:p>
    <w:p w:rsidR="00587AC1" w:rsidRPr="00587AC1" w:rsidRDefault="00C51989" w:rsidP="00587AC1">
      <w:pPr>
        <w:spacing w:line="360" w:lineRule="auto"/>
        <w:jc w:val="both"/>
        <w:rPr>
          <w:rFonts w:ascii="Arial" w:hAnsi="Arial" w:cs="Arial"/>
          <w:sz w:val="24"/>
          <w:szCs w:val="24"/>
        </w:rPr>
      </w:pPr>
      <w:r w:rsidRPr="00C51989">
        <w:rPr>
          <w:rFonts w:ascii="Arial" w:hAnsi="Arial" w:cs="Arial"/>
          <w:sz w:val="24"/>
          <w:szCs w:val="24"/>
        </w:rPr>
        <w:t>The considerations that influence Crown prosecutors' decisions regarding charges are impacted by various factors. These elements delineate the delicate balance that needs to be established between ensuring fairness, upholding individual rights, and fostering public confidence in the criminal justice system (</w:t>
      </w:r>
      <w:proofErr w:type="spellStart"/>
      <w:r w:rsidRPr="00C51989">
        <w:rPr>
          <w:rFonts w:ascii="Arial" w:hAnsi="Arial" w:cs="Arial"/>
          <w:sz w:val="24"/>
          <w:szCs w:val="24"/>
        </w:rPr>
        <w:t>Marstaller</w:t>
      </w:r>
      <w:proofErr w:type="spellEnd"/>
      <w:r w:rsidRPr="00C51989">
        <w:rPr>
          <w:rFonts w:ascii="Arial" w:hAnsi="Arial" w:cs="Arial"/>
          <w:sz w:val="24"/>
          <w:szCs w:val="24"/>
        </w:rPr>
        <w:t>, 2016). Some of the notable elements encompass:</w:t>
      </w:r>
    </w:p>
    <w:p w:rsidR="00587AC1" w:rsidRPr="00587AC1" w:rsidRDefault="00587AC1" w:rsidP="00587AC1">
      <w:pPr>
        <w:spacing w:line="360" w:lineRule="auto"/>
        <w:jc w:val="both"/>
        <w:rPr>
          <w:rFonts w:ascii="Arial" w:hAnsi="Arial" w:cs="Arial"/>
          <w:sz w:val="24"/>
          <w:szCs w:val="24"/>
        </w:rPr>
      </w:pPr>
      <w:r w:rsidRPr="00587AC1">
        <w:rPr>
          <w:rFonts w:ascii="Arial" w:hAnsi="Arial" w:cs="Arial"/>
          <w:b/>
          <w:sz w:val="24"/>
          <w:szCs w:val="24"/>
        </w:rPr>
        <w:t>Strength of Evidence:</w:t>
      </w:r>
      <w:r w:rsidRPr="00587AC1">
        <w:rPr>
          <w:rFonts w:ascii="Arial" w:hAnsi="Arial" w:cs="Arial"/>
          <w:sz w:val="24"/>
          <w:szCs w:val="24"/>
        </w:rPr>
        <w:t xml:space="preserve"> </w:t>
      </w:r>
      <w:r w:rsidR="00C51989" w:rsidRPr="00C51989">
        <w:rPr>
          <w:rFonts w:ascii="Arial" w:hAnsi="Arial" w:cs="Arial"/>
          <w:sz w:val="24"/>
          <w:szCs w:val="24"/>
        </w:rPr>
        <w:t>The foremost considerations revolve around the caliber and reliability of the proof presented. Prosecutors assess the veracity, suitability for court presentation, and the potential of the evidence to establish guilt unequivocally.</w:t>
      </w:r>
      <w:r w:rsidR="007F291E">
        <w:rPr>
          <w:rFonts w:ascii="Arial" w:hAnsi="Arial" w:cs="Arial"/>
          <w:sz w:val="24"/>
          <w:szCs w:val="24"/>
        </w:rPr>
        <w:t xml:space="preserve"> (</w:t>
      </w:r>
      <w:proofErr w:type="spellStart"/>
      <w:r w:rsidR="007F291E" w:rsidRPr="009869FD">
        <w:rPr>
          <w:rFonts w:ascii="Arial" w:hAnsi="Arial" w:cs="Arial"/>
          <w:sz w:val="24"/>
          <w:szCs w:val="24"/>
        </w:rPr>
        <w:t>Marstaller</w:t>
      </w:r>
      <w:proofErr w:type="spellEnd"/>
      <w:r w:rsidR="007F291E">
        <w:rPr>
          <w:rFonts w:ascii="Arial" w:hAnsi="Arial" w:cs="Arial"/>
          <w:sz w:val="24"/>
          <w:szCs w:val="24"/>
        </w:rPr>
        <w:t>, 2016)</w:t>
      </w:r>
      <w:r w:rsidRPr="00587AC1">
        <w:rPr>
          <w:rFonts w:ascii="Arial" w:hAnsi="Arial" w:cs="Arial"/>
          <w:sz w:val="24"/>
          <w:szCs w:val="24"/>
        </w:rPr>
        <w:t>.</w:t>
      </w:r>
    </w:p>
    <w:p w:rsidR="00587AC1" w:rsidRPr="00587AC1" w:rsidRDefault="00587AC1" w:rsidP="00587AC1">
      <w:pPr>
        <w:spacing w:line="360" w:lineRule="auto"/>
        <w:jc w:val="both"/>
        <w:rPr>
          <w:rFonts w:ascii="Arial" w:hAnsi="Arial" w:cs="Arial"/>
          <w:sz w:val="24"/>
          <w:szCs w:val="24"/>
        </w:rPr>
      </w:pPr>
      <w:r w:rsidRPr="00587AC1">
        <w:rPr>
          <w:rFonts w:ascii="Arial" w:hAnsi="Arial" w:cs="Arial"/>
          <w:b/>
          <w:sz w:val="24"/>
          <w:szCs w:val="24"/>
        </w:rPr>
        <w:t>Criminal History:</w:t>
      </w:r>
      <w:r w:rsidRPr="00587AC1">
        <w:rPr>
          <w:rFonts w:ascii="Arial" w:hAnsi="Arial" w:cs="Arial"/>
          <w:sz w:val="24"/>
          <w:szCs w:val="24"/>
        </w:rPr>
        <w:t xml:space="preserve"> </w:t>
      </w:r>
      <w:r w:rsidR="00C51989" w:rsidRPr="00C51989">
        <w:rPr>
          <w:rFonts w:ascii="Arial" w:hAnsi="Arial" w:cs="Arial"/>
          <w:sz w:val="24"/>
          <w:szCs w:val="24"/>
        </w:rPr>
        <w:t xml:space="preserve">Consideration is given to the accused's prior criminal history and previous engagements. Those with a track record of similar transgressions or recurrent offenders might face a higher probability of being subjected to charges </w:t>
      </w:r>
      <w:r w:rsidR="007F291E" w:rsidRPr="00C51989">
        <w:rPr>
          <w:rFonts w:ascii="Arial" w:hAnsi="Arial" w:cs="Arial"/>
          <w:sz w:val="24"/>
          <w:szCs w:val="24"/>
        </w:rPr>
        <w:t>(</w:t>
      </w:r>
      <w:proofErr w:type="spellStart"/>
      <w:r w:rsidR="007F291E" w:rsidRPr="00C51989">
        <w:rPr>
          <w:rFonts w:ascii="Arial" w:hAnsi="Arial" w:cs="Arial"/>
          <w:sz w:val="24"/>
          <w:szCs w:val="24"/>
        </w:rPr>
        <w:t>Marstaller</w:t>
      </w:r>
      <w:proofErr w:type="spellEnd"/>
      <w:r w:rsidR="007F291E" w:rsidRPr="00C51989">
        <w:rPr>
          <w:rFonts w:ascii="Arial" w:hAnsi="Arial" w:cs="Arial"/>
          <w:sz w:val="24"/>
          <w:szCs w:val="24"/>
        </w:rPr>
        <w:t>, 2016)</w:t>
      </w:r>
      <w:r w:rsidRPr="00C51989">
        <w:rPr>
          <w:rFonts w:ascii="Arial" w:hAnsi="Arial" w:cs="Arial"/>
          <w:sz w:val="24"/>
          <w:szCs w:val="24"/>
        </w:rPr>
        <w:t>.</w:t>
      </w:r>
    </w:p>
    <w:p w:rsidR="00587AC1" w:rsidRPr="00587AC1" w:rsidRDefault="00587AC1" w:rsidP="00587AC1">
      <w:pPr>
        <w:spacing w:line="360" w:lineRule="auto"/>
        <w:jc w:val="both"/>
        <w:rPr>
          <w:rFonts w:ascii="Arial" w:hAnsi="Arial" w:cs="Arial"/>
          <w:sz w:val="24"/>
          <w:szCs w:val="24"/>
        </w:rPr>
      </w:pPr>
      <w:r w:rsidRPr="00587AC1">
        <w:rPr>
          <w:rFonts w:ascii="Arial" w:hAnsi="Arial" w:cs="Arial"/>
          <w:b/>
          <w:sz w:val="24"/>
          <w:szCs w:val="24"/>
        </w:rPr>
        <w:t xml:space="preserve">Victim's </w:t>
      </w:r>
      <w:r w:rsidR="009D6057">
        <w:rPr>
          <w:rFonts w:ascii="Arial" w:hAnsi="Arial" w:cs="Arial"/>
          <w:b/>
          <w:sz w:val="24"/>
          <w:szCs w:val="24"/>
        </w:rPr>
        <w:t>Desires</w:t>
      </w:r>
      <w:r w:rsidRPr="00587AC1">
        <w:rPr>
          <w:rFonts w:ascii="Arial" w:hAnsi="Arial" w:cs="Arial"/>
          <w:b/>
          <w:sz w:val="24"/>
          <w:szCs w:val="24"/>
        </w:rPr>
        <w:t>:</w:t>
      </w:r>
      <w:r w:rsidRPr="00587AC1">
        <w:rPr>
          <w:rFonts w:ascii="Arial" w:hAnsi="Arial" w:cs="Arial"/>
          <w:sz w:val="24"/>
          <w:szCs w:val="24"/>
        </w:rPr>
        <w:t xml:space="preserve"> </w:t>
      </w:r>
      <w:r w:rsidR="00C51989" w:rsidRPr="00C51989">
        <w:rPr>
          <w:rFonts w:ascii="Arial" w:hAnsi="Arial" w:cs="Arial"/>
          <w:sz w:val="24"/>
          <w:szCs w:val="24"/>
        </w:rPr>
        <w:t xml:space="preserve">The choice could be influenced by the preferences and decisions of the person in question. However, while their wishes hold significance, they do not hold ultimate authority. This is because the foremost priority of the state remains adherence to the law and ensuring the safety of society </w:t>
      </w:r>
      <w:r w:rsidR="007F291E">
        <w:rPr>
          <w:rFonts w:ascii="Arial" w:hAnsi="Arial" w:cs="Arial"/>
          <w:sz w:val="24"/>
          <w:szCs w:val="24"/>
        </w:rPr>
        <w:t>(</w:t>
      </w:r>
      <w:proofErr w:type="spellStart"/>
      <w:r w:rsidR="007F291E" w:rsidRPr="009869FD">
        <w:rPr>
          <w:rFonts w:ascii="Arial" w:hAnsi="Arial" w:cs="Arial"/>
          <w:sz w:val="24"/>
          <w:szCs w:val="24"/>
        </w:rPr>
        <w:t>Marstaller</w:t>
      </w:r>
      <w:proofErr w:type="spellEnd"/>
      <w:r w:rsidR="007F291E">
        <w:rPr>
          <w:rFonts w:ascii="Arial" w:hAnsi="Arial" w:cs="Arial"/>
          <w:sz w:val="24"/>
          <w:szCs w:val="24"/>
        </w:rPr>
        <w:t>, 2016)</w:t>
      </w:r>
      <w:r w:rsidRPr="00587AC1">
        <w:rPr>
          <w:rFonts w:ascii="Arial" w:hAnsi="Arial" w:cs="Arial"/>
          <w:sz w:val="24"/>
          <w:szCs w:val="24"/>
        </w:rPr>
        <w:t>.</w:t>
      </w:r>
    </w:p>
    <w:p w:rsidR="00587AC1" w:rsidRPr="00587AC1" w:rsidRDefault="00587AC1" w:rsidP="00587AC1">
      <w:pPr>
        <w:spacing w:line="360" w:lineRule="auto"/>
        <w:jc w:val="both"/>
        <w:rPr>
          <w:rFonts w:ascii="Arial" w:hAnsi="Arial" w:cs="Arial"/>
          <w:sz w:val="24"/>
          <w:szCs w:val="24"/>
        </w:rPr>
      </w:pPr>
      <w:r w:rsidRPr="004727B6">
        <w:rPr>
          <w:rFonts w:ascii="Arial" w:hAnsi="Arial" w:cs="Arial"/>
          <w:b/>
          <w:sz w:val="24"/>
          <w:szCs w:val="24"/>
        </w:rPr>
        <w:t>Public Interest:</w:t>
      </w:r>
      <w:r w:rsidRPr="00587AC1">
        <w:rPr>
          <w:rFonts w:ascii="Arial" w:hAnsi="Arial" w:cs="Arial"/>
          <w:sz w:val="24"/>
          <w:szCs w:val="24"/>
        </w:rPr>
        <w:t xml:space="preserve"> </w:t>
      </w:r>
      <w:r w:rsidR="00470D19" w:rsidRPr="00470D19">
        <w:rPr>
          <w:rFonts w:ascii="Arial" w:hAnsi="Arial" w:cs="Arial"/>
          <w:sz w:val="24"/>
          <w:szCs w:val="24"/>
        </w:rPr>
        <w:t>As noted earlier, the notion of societal welfare holds substantial importance. Crown Prosecutors assess whether prosecuting the case is in harmony with larger communal objectives, encompassing the discouragement of criminal activities, establishment of responsibility, and uph</w:t>
      </w:r>
      <w:r w:rsidR="00470D19">
        <w:rPr>
          <w:rFonts w:ascii="Arial" w:hAnsi="Arial" w:cs="Arial"/>
          <w:sz w:val="24"/>
          <w:szCs w:val="24"/>
        </w:rPr>
        <w:t>olding the safety of the public</w:t>
      </w:r>
      <w:r w:rsidR="007F291E">
        <w:rPr>
          <w:rFonts w:ascii="Arial" w:hAnsi="Arial" w:cs="Arial"/>
          <w:sz w:val="24"/>
          <w:szCs w:val="24"/>
        </w:rPr>
        <w:t xml:space="preserve"> (</w:t>
      </w:r>
      <w:proofErr w:type="spellStart"/>
      <w:r w:rsidR="007F291E" w:rsidRPr="009869FD">
        <w:rPr>
          <w:rFonts w:ascii="Arial" w:hAnsi="Arial" w:cs="Arial"/>
          <w:sz w:val="24"/>
          <w:szCs w:val="24"/>
        </w:rPr>
        <w:t>Marstaller</w:t>
      </w:r>
      <w:proofErr w:type="spellEnd"/>
      <w:r w:rsidR="007F291E">
        <w:rPr>
          <w:rFonts w:ascii="Arial" w:hAnsi="Arial" w:cs="Arial"/>
          <w:sz w:val="24"/>
          <w:szCs w:val="24"/>
        </w:rPr>
        <w:t>, 2016)</w:t>
      </w:r>
      <w:r w:rsidRPr="00587AC1">
        <w:rPr>
          <w:rFonts w:ascii="Arial" w:hAnsi="Arial" w:cs="Arial"/>
          <w:sz w:val="24"/>
          <w:szCs w:val="24"/>
        </w:rPr>
        <w:t>.</w:t>
      </w:r>
    </w:p>
    <w:p w:rsidR="00587AC1" w:rsidRPr="00587AC1" w:rsidRDefault="00587AC1" w:rsidP="00587AC1">
      <w:pPr>
        <w:spacing w:line="360" w:lineRule="auto"/>
        <w:jc w:val="both"/>
        <w:rPr>
          <w:rFonts w:ascii="Arial" w:hAnsi="Arial" w:cs="Arial"/>
          <w:sz w:val="24"/>
          <w:szCs w:val="24"/>
        </w:rPr>
      </w:pPr>
      <w:r w:rsidRPr="004727B6">
        <w:rPr>
          <w:rFonts w:ascii="Arial" w:hAnsi="Arial" w:cs="Arial"/>
          <w:b/>
          <w:sz w:val="24"/>
          <w:szCs w:val="24"/>
        </w:rPr>
        <w:t>Resource Constraints:</w:t>
      </w:r>
      <w:r w:rsidRPr="00587AC1">
        <w:rPr>
          <w:rFonts w:ascii="Arial" w:hAnsi="Arial" w:cs="Arial"/>
          <w:sz w:val="24"/>
          <w:szCs w:val="24"/>
        </w:rPr>
        <w:t xml:space="preserve"> </w:t>
      </w:r>
      <w:r w:rsidR="009836A2" w:rsidRPr="009836A2">
        <w:rPr>
          <w:rFonts w:ascii="Arial" w:hAnsi="Arial" w:cs="Arial"/>
          <w:sz w:val="24"/>
          <w:szCs w:val="24"/>
        </w:rPr>
        <w:t xml:space="preserve">Factors such as the availability of financial resources, the court's caseload capacity, and the potential expenses associated with legal representation could potentially influence the decision-making process of individuals </w:t>
      </w:r>
      <w:r w:rsidR="006F1E5A">
        <w:rPr>
          <w:rFonts w:ascii="Arial" w:hAnsi="Arial" w:cs="Arial"/>
          <w:sz w:val="24"/>
          <w:szCs w:val="24"/>
        </w:rPr>
        <w:t>(</w:t>
      </w:r>
      <w:proofErr w:type="spellStart"/>
      <w:r w:rsidR="006F1E5A" w:rsidRPr="007F291E">
        <w:rPr>
          <w:rFonts w:ascii="Arial" w:hAnsi="Arial" w:cs="Arial"/>
          <w:sz w:val="24"/>
          <w:szCs w:val="24"/>
        </w:rPr>
        <w:t>Abramovaite</w:t>
      </w:r>
      <w:proofErr w:type="spellEnd"/>
      <w:r w:rsidR="006F1E5A">
        <w:rPr>
          <w:rFonts w:ascii="Arial" w:hAnsi="Arial" w:cs="Arial"/>
          <w:sz w:val="24"/>
          <w:szCs w:val="24"/>
        </w:rPr>
        <w:t xml:space="preserve"> </w:t>
      </w:r>
      <w:r w:rsidR="006F1E5A" w:rsidRPr="006F1E5A">
        <w:rPr>
          <w:rFonts w:ascii="Arial" w:hAnsi="Arial" w:cs="Arial"/>
          <w:i/>
          <w:sz w:val="24"/>
          <w:szCs w:val="24"/>
        </w:rPr>
        <w:t>et al.</w:t>
      </w:r>
      <w:r w:rsidR="006F1E5A">
        <w:rPr>
          <w:rFonts w:ascii="Arial" w:hAnsi="Arial" w:cs="Arial"/>
          <w:sz w:val="24"/>
          <w:szCs w:val="24"/>
        </w:rPr>
        <w:t xml:space="preserve"> 2022)</w:t>
      </w:r>
      <w:r w:rsidRPr="00587AC1">
        <w:rPr>
          <w:rFonts w:ascii="Arial" w:hAnsi="Arial" w:cs="Arial"/>
          <w:sz w:val="24"/>
          <w:szCs w:val="24"/>
        </w:rPr>
        <w:t>.</w:t>
      </w:r>
    </w:p>
    <w:p w:rsidR="00587AC1" w:rsidRPr="00587AC1" w:rsidRDefault="00587AC1" w:rsidP="00587AC1">
      <w:pPr>
        <w:spacing w:line="360" w:lineRule="auto"/>
        <w:jc w:val="both"/>
        <w:rPr>
          <w:rFonts w:ascii="Arial" w:hAnsi="Arial" w:cs="Arial"/>
          <w:sz w:val="24"/>
          <w:szCs w:val="24"/>
        </w:rPr>
      </w:pPr>
      <w:r w:rsidRPr="004727B6">
        <w:rPr>
          <w:rFonts w:ascii="Arial" w:hAnsi="Arial" w:cs="Arial"/>
          <w:b/>
          <w:sz w:val="24"/>
          <w:szCs w:val="24"/>
        </w:rPr>
        <w:t>Mitigating and Aggravating Factors:</w:t>
      </w:r>
      <w:r w:rsidRPr="00587AC1">
        <w:rPr>
          <w:rFonts w:ascii="Arial" w:hAnsi="Arial" w:cs="Arial"/>
          <w:sz w:val="24"/>
          <w:szCs w:val="24"/>
        </w:rPr>
        <w:t xml:space="preserve"> </w:t>
      </w:r>
      <w:r w:rsidR="009836A2" w:rsidRPr="009836A2">
        <w:rPr>
          <w:rFonts w:ascii="Arial" w:hAnsi="Arial" w:cs="Arial"/>
          <w:sz w:val="24"/>
          <w:szCs w:val="24"/>
        </w:rPr>
        <w:t xml:space="preserve">Prosecutors closely analyze elements that might mitigate or exacerbate the gravity of a crime. Specific considerations, such as exceptional situations, can impact the decision to file charges or the severity </w:t>
      </w:r>
      <w:r w:rsidR="009836A2">
        <w:rPr>
          <w:rFonts w:ascii="Arial" w:hAnsi="Arial" w:cs="Arial"/>
          <w:sz w:val="24"/>
          <w:szCs w:val="24"/>
        </w:rPr>
        <w:t>ascribed to the allegations</w:t>
      </w:r>
      <w:r w:rsidR="006F1E5A">
        <w:rPr>
          <w:rFonts w:ascii="Arial" w:hAnsi="Arial" w:cs="Arial"/>
          <w:sz w:val="24"/>
          <w:szCs w:val="24"/>
        </w:rPr>
        <w:t xml:space="preserve"> (</w:t>
      </w:r>
      <w:proofErr w:type="spellStart"/>
      <w:r w:rsidR="006F1E5A" w:rsidRPr="009869FD">
        <w:rPr>
          <w:rFonts w:ascii="Arial" w:hAnsi="Arial" w:cs="Arial"/>
          <w:sz w:val="24"/>
          <w:szCs w:val="24"/>
        </w:rPr>
        <w:t>Marstaller</w:t>
      </w:r>
      <w:proofErr w:type="spellEnd"/>
      <w:r w:rsidR="006F1E5A">
        <w:rPr>
          <w:rFonts w:ascii="Arial" w:hAnsi="Arial" w:cs="Arial"/>
          <w:sz w:val="24"/>
          <w:szCs w:val="24"/>
        </w:rPr>
        <w:t>, 2016)</w:t>
      </w:r>
      <w:r w:rsidRPr="00587AC1">
        <w:rPr>
          <w:rFonts w:ascii="Arial" w:hAnsi="Arial" w:cs="Arial"/>
          <w:sz w:val="24"/>
          <w:szCs w:val="24"/>
        </w:rPr>
        <w:t>.</w:t>
      </w:r>
    </w:p>
    <w:p w:rsidR="00587AC1" w:rsidRPr="00587AC1" w:rsidRDefault="00587AC1" w:rsidP="00587AC1">
      <w:pPr>
        <w:spacing w:line="360" w:lineRule="auto"/>
        <w:jc w:val="both"/>
        <w:rPr>
          <w:rFonts w:ascii="Arial" w:hAnsi="Arial" w:cs="Arial"/>
          <w:sz w:val="24"/>
          <w:szCs w:val="24"/>
        </w:rPr>
      </w:pPr>
      <w:r w:rsidRPr="004727B6">
        <w:rPr>
          <w:rFonts w:ascii="Arial" w:hAnsi="Arial" w:cs="Arial"/>
          <w:b/>
          <w:sz w:val="24"/>
          <w:szCs w:val="24"/>
        </w:rPr>
        <w:lastRenderedPageBreak/>
        <w:t>Precedent and Consistency:</w:t>
      </w:r>
      <w:r w:rsidRPr="00587AC1">
        <w:rPr>
          <w:rFonts w:ascii="Arial" w:hAnsi="Arial" w:cs="Arial"/>
          <w:sz w:val="24"/>
          <w:szCs w:val="24"/>
        </w:rPr>
        <w:t xml:space="preserve"> </w:t>
      </w:r>
      <w:r w:rsidR="001F5C48" w:rsidRPr="001F5C48">
        <w:rPr>
          <w:rFonts w:ascii="Arial" w:hAnsi="Arial" w:cs="Arial"/>
          <w:sz w:val="24"/>
          <w:szCs w:val="24"/>
        </w:rPr>
        <w:t>Maintaining a uniform approach to decision-making holds immense significance in upholding public faith in the legal framework. When it comes to making determinations, legal authorities can draw upon precedent cases and adhere to</w:t>
      </w:r>
      <w:r w:rsidR="001F5C48">
        <w:rPr>
          <w:rFonts w:ascii="Arial" w:hAnsi="Arial" w:cs="Arial"/>
          <w:sz w:val="24"/>
          <w:szCs w:val="24"/>
        </w:rPr>
        <w:t xml:space="preserve"> well-founded legal precedents</w:t>
      </w:r>
      <w:r w:rsidR="001F5C48" w:rsidRPr="001F5C48">
        <w:rPr>
          <w:rFonts w:ascii="Arial" w:hAnsi="Arial" w:cs="Arial"/>
          <w:sz w:val="24"/>
          <w:szCs w:val="24"/>
        </w:rPr>
        <w:t xml:space="preserve"> </w:t>
      </w:r>
      <w:r w:rsidR="00427F39">
        <w:rPr>
          <w:rFonts w:ascii="Arial" w:hAnsi="Arial" w:cs="Arial"/>
          <w:sz w:val="24"/>
          <w:szCs w:val="24"/>
        </w:rPr>
        <w:t>(</w:t>
      </w:r>
      <w:proofErr w:type="spellStart"/>
      <w:r w:rsidR="00427F39" w:rsidRPr="00B07D8A">
        <w:rPr>
          <w:rFonts w:ascii="Arial" w:hAnsi="Arial" w:cs="Arial"/>
          <w:sz w:val="24"/>
          <w:szCs w:val="24"/>
        </w:rPr>
        <w:t>D</w:t>
      </w:r>
      <w:r w:rsidR="00427F39">
        <w:rPr>
          <w:rFonts w:ascii="Arial" w:hAnsi="Arial" w:cs="Arial"/>
          <w:sz w:val="24"/>
          <w:szCs w:val="24"/>
        </w:rPr>
        <w:t>awnay</w:t>
      </w:r>
      <w:proofErr w:type="spellEnd"/>
      <w:r w:rsidR="00427F39">
        <w:rPr>
          <w:rFonts w:ascii="Arial" w:hAnsi="Arial" w:cs="Arial"/>
          <w:sz w:val="24"/>
          <w:szCs w:val="24"/>
        </w:rPr>
        <w:t xml:space="preserve"> and </w:t>
      </w:r>
      <w:r w:rsidR="00427F39" w:rsidRPr="00B07D8A">
        <w:rPr>
          <w:rFonts w:ascii="Arial" w:hAnsi="Arial" w:cs="Arial"/>
          <w:sz w:val="24"/>
          <w:szCs w:val="24"/>
        </w:rPr>
        <w:t>Sheppard</w:t>
      </w:r>
      <w:r w:rsidR="00427F39">
        <w:rPr>
          <w:rFonts w:ascii="Arial" w:hAnsi="Arial" w:cs="Arial"/>
          <w:sz w:val="24"/>
          <w:szCs w:val="24"/>
        </w:rPr>
        <w:t>, 2023)</w:t>
      </w:r>
      <w:r w:rsidRPr="00587AC1">
        <w:rPr>
          <w:rFonts w:ascii="Arial" w:hAnsi="Arial" w:cs="Arial"/>
          <w:sz w:val="24"/>
          <w:szCs w:val="24"/>
        </w:rPr>
        <w:t>.</w:t>
      </w:r>
    </w:p>
    <w:p w:rsidR="00587AC1" w:rsidRPr="00587AC1" w:rsidRDefault="00587AC1" w:rsidP="00587AC1">
      <w:pPr>
        <w:spacing w:line="360" w:lineRule="auto"/>
        <w:jc w:val="both"/>
        <w:rPr>
          <w:rFonts w:ascii="Arial" w:hAnsi="Arial" w:cs="Arial"/>
          <w:sz w:val="24"/>
          <w:szCs w:val="24"/>
        </w:rPr>
      </w:pPr>
      <w:r w:rsidRPr="004727B6">
        <w:rPr>
          <w:rFonts w:ascii="Arial" w:hAnsi="Arial" w:cs="Arial"/>
          <w:b/>
          <w:sz w:val="24"/>
          <w:szCs w:val="24"/>
        </w:rPr>
        <w:t>Community Impact:</w:t>
      </w:r>
      <w:r w:rsidRPr="00587AC1">
        <w:rPr>
          <w:rFonts w:ascii="Arial" w:hAnsi="Arial" w:cs="Arial"/>
          <w:sz w:val="24"/>
          <w:szCs w:val="24"/>
        </w:rPr>
        <w:t xml:space="preserve"> </w:t>
      </w:r>
      <w:r w:rsidR="001F5C48" w:rsidRPr="001F5C48">
        <w:rPr>
          <w:rFonts w:ascii="Arial" w:hAnsi="Arial" w:cs="Arial"/>
          <w:sz w:val="24"/>
          <w:szCs w:val="24"/>
        </w:rPr>
        <w:t xml:space="preserve">The impact on society is taken into account when assessing the case. Prosecutors might take into consideration the worries of the community, matters of safety, and the complete backdrop of the offense when presenting their argument </w:t>
      </w:r>
      <w:r w:rsidR="00427F39">
        <w:rPr>
          <w:rFonts w:ascii="Arial" w:hAnsi="Arial" w:cs="Arial"/>
          <w:sz w:val="24"/>
          <w:szCs w:val="24"/>
        </w:rPr>
        <w:t>(</w:t>
      </w:r>
      <w:proofErr w:type="spellStart"/>
      <w:r w:rsidR="00427F39" w:rsidRPr="007F291E">
        <w:rPr>
          <w:rFonts w:ascii="Arial" w:hAnsi="Arial" w:cs="Arial"/>
          <w:sz w:val="24"/>
          <w:szCs w:val="24"/>
        </w:rPr>
        <w:t>Abramovaite</w:t>
      </w:r>
      <w:proofErr w:type="spellEnd"/>
      <w:r w:rsidR="00427F39">
        <w:rPr>
          <w:rFonts w:ascii="Arial" w:hAnsi="Arial" w:cs="Arial"/>
          <w:sz w:val="24"/>
          <w:szCs w:val="24"/>
        </w:rPr>
        <w:t xml:space="preserve"> </w:t>
      </w:r>
      <w:r w:rsidR="00427F39" w:rsidRPr="006F1E5A">
        <w:rPr>
          <w:rFonts w:ascii="Arial" w:hAnsi="Arial" w:cs="Arial"/>
          <w:i/>
          <w:sz w:val="24"/>
          <w:szCs w:val="24"/>
        </w:rPr>
        <w:t>et al.</w:t>
      </w:r>
      <w:r w:rsidR="00427F39">
        <w:rPr>
          <w:rFonts w:ascii="Arial" w:hAnsi="Arial" w:cs="Arial"/>
          <w:sz w:val="24"/>
          <w:szCs w:val="24"/>
        </w:rPr>
        <w:t xml:space="preserve"> 2022)</w:t>
      </w:r>
      <w:r w:rsidRPr="00587AC1">
        <w:rPr>
          <w:rFonts w:ascii="Arial" w:hAnsi="Arial" w:cs="Arial"/>
          <w:sz w:val="24"/>
          <w:szCs w:val="24"/>
        </w:rPr>
        <w:t>.</w:t>
      </w:r>
    </w:p>
    <w:p w:rsidR="00587AC1" w:rsidRPr="004727B6" w:rsidRDefault="00587AC1" w:rsidP="00587AC1">
      <w:pPr>
        <w:spacing w:line="360" w:lineRule="auto"/>
        <w:jc w:val="both"/>
        <w:rPr>
          <w:rFonts w:ascii="Arial" w:hAnsi="Arial" w:cs="Arial"/>
          <w:b/>
          <w:sz w:val="24"/>
          <w:szCs w:val="24"/>
        </w:rPr>
      </w:pPr>
      <w:r w:rsidRPr="004727B6">
        <w:rPr>
          <w:rFonts w:ascii="Arial" w:hAnsi="Arial" w:cs="Arial"/>
          <w:b/>
          <w:sz w:val="24"/>
          <w:szCs w:val="24"/>
        </w:rPr>
        <w:t>Conclusion:</w:t>
      </w:r>
    </w:p>
    <w:p w:rsidR="00B45D2B" w:rsidRDefault="00234A45" w:rsidP="00B45D2B">
      <w:pPr>
        <w:spacing w:line="360" w:lineRule="auto"/>
        <w:jc w:val="both"/>
        <w:rPr>
          <w:rFonts w:ascii="Arial" w:hAnsi="Arial" w:cs="Arial"/>
          <w:sz w:val="24"/>
          <w:szCs w:val="24"/>
        </w:rPr>
      </w:pPr>
      <w:r w:rsidRPr="00234A45">
        <w:rPr>
          <w:rFonts w:ascii="Arial" w:hAnsi="Arial" w:cs="Arial"/>
          <w:sz w:val="24"/>
          <w:szCs w:val="24"/>
        </w:rPr>
        <w:t xml:space="preserve">The role of a Crown Prosecutor holds immense significance within the realm of the criminal justice system, representing the state and holding criminals accountable. Their duty involves analyzing public welfare, equity, and justice pursuits, determining whether allegations should be levied against a defendant. This evaluation is essential for determining whether to pursue criminal charges and is a </w:t>
      </w:r>
      <w:r w:rsidR="006943FE" w:rsidRPr="00234A45">
        <w:rPr>
          <w:rFonts w:ascii="Arial" w:hAnsi="Arial" w:cs="Arial"/>
          <w:sz w:val="24"/>
          <w:szCs w:val="24"/>
        </w:rPr>
        <w:t>key</w:t>
      </w:r>
      <w:r>
        <w:rPr>
          <w:rFonts w:ascii="Arial" w:hAnsi="Arial" w:cs="Arial"/>
          <w:sz w:val="24"/>
          <w:szCs w:val="24"/>
        </w:rPr>
        <w:t xml:space="preserve"> aspect of the legal process</w:t>
      </w:r>
      <w:r w:rsidR="00B45D2B">
        <w:rPr>
          <w:rFonts w:ascii="Arial" w:hAnsi="Arial" w:cs="Arial"/>
          <w:sz w:val="24"/>
          <w:szCs w:val="24"/>
        </w:rPr>
        <w:t>.</w:t>
      </w:r>
    </w:p>
    <w:p w:rsidR="00B45D2B" w:rsidRPr="00B45D2B" w:rsidRDefault="00264F19" w:rsidP="00B45D2B">
      <w:pPr>
        <w:spacing w:line="360" w:lineRule="auto"/>
        <w:jc w:val="both"/>
        <w:rPr>
          <w:rFonts w:ascii="Arial" w:hAnsi="Arial" w:cs="Arial"/>
          <w:sz w:val="24"/>
          <w:szCs w:val="24"/>
        </w:rPr>
      </w:pPr>
      <w:r>
        <w:rPr>
          <w:rFonts w:ascii="Arial" w:hAnsi="Arial" w:cs="Arial"/>
          <w:sz w:val="24"/>
          <w:szCs w:val="24"/>
        </w:rPr>
        <w:t>The s</w:t>
      </w:r>
      <w:r w:rsidR="006943FE" w:rsidRPr="006943FE">
        <w:rPr>
          <w:rFonts w:ascii="Arial" w:hAnsi="Arial" w:cs="Arial"/>
          <w:sz w:val="24"/>
          <w:szCs w:val="24"/>
        </w:rPr>
        <w:t>tructure of the courts, criminal jurisdiction and the role of the police</w:t>
      </w:r>
      <w:r>
        <w:rPr>
          <w:rFonts w:ascii="Arial" w:hAnsi="Arial" w:cs="Arial"/>
          <w:sz w:val="24"/>
          <w:szCs w:val="24"/>
        </w:rPr>
        <w:t xml:space="preserve"> is </w:t>
      </w:r>
      <w:r w:rsidR="00686D81">
        <w:rPr>
          <w:rFonts w:ascii="Arial" w:hAnsi="Arial" w:cs="Arial"/>
          <w:sz w:val="24"/>
          <w:szCs w:val="24"/>
        </w:rPr>
        <w:t>discussed</w:t>
      </w:r>
      <w:r w:rsidR="006943FE">
        <w:rPr>
          <w:rFonts w:ascii="Arial" w:hAnsi="Arial" w:cs="Arial"/>
          <w:sz w:val="24"/>
          <w:szCs w:val="24"/>
        </w:rPr>
        <w:t xml:space="preserve"> in this essay to better understand the role of crown prosecutors in the judicial system. </w:t>
      </w:r>
      <w:r w:rsidR="00B45D2B" w:rsidRPr="00B45D2B">
        <w:rPr>
          <w:rFonts w:ascii="Arial" w:hAnsi="Arial" w:cs="Arial"/>
          <w:sz w:val="24"/>
          <w:szCs w:val="24"/>
        </w:rPr>
        <w:t>Crown prosecutors heavily rely on both the Evidential Test and the Public Interest Test, employing them as essential tools to guide the direction of a case's prosecution, guided by principles of impartiality and ethical judgment. The intricate calculus involved in arriving at these determinations is influenced by a multitude of factors: the strength of the evidence, the defendant's prior criminal record, the desires of the victim, and the po</w:t>
      </w:r>
      <w:r w:rsidR="00B45D2B">
        <w:rPr>
          <w:rFonts w:ascii="Arial" w:hAnsi="Arial" w:cs="Arial"/>
          <w:sz w:val="24"/>
          <w:szCs w:val="24"/>
        </w:rPr>
        <w:t>tential societal repercussions.</w:t>
      </w:r>
    </w:p>
    <w:p w:rsidR="00745DF1" w:rsidRDefault="00745DF1">
      <w:pPr>
        <w:rPr>
          <w:rFonts w:ascii="Arial" w:hAnsi="Arial" w:cs="Arial"/>
          <w:b/>
          <w:sz w:val="24"/>
          <w:szCs w:val="24"/>
        </w:rPr>
      </w:pPr>
      <w:r>
        <w:rPr>
          <w:rFonts w:ascii="Arial" w:hAnsi="Arial" w:cs="Arial"/>
          <w:b/>
          <w:sz w:val="24"/>
          <w:szCs w:val="24"/>
        </w:rPr>
        <w:br w:type="page"/>
      </w:r>
    </w:p>
    <w:sdt>
      <w:sdtPr>
        <w:rPr>
          <w:rFonts w:ascii="Arial" w:eastAsiaTheme="minorHAnsi" w:hAnsi="Arial" w:cs="Arial"/>
          <w:color w:val="auto"/>
          <w:sz w:val="24"/>
          <w:szCs w:val="24"/>
        </w:rPr>
        <w:id w:val="-33974362"/>
        <w:docPartObj>
          <w:docPartGallery w:val="Bibliographies"/>
          <w:docPartUnique/>
        </w:docPartObj>
      </w:sdtPr>
      <w:sdtEndPr/>
      <w:sdtContent>
        <w:p w:rsidR="00727C11" w:rsidRPr="00C8799D" w:rsidRDefault="00727C11" w:rsidP="00C8799D">
          <w:pPr>
            <w:pStyle w:val="Heading1"/>
            <w:spacing w:line="360" w:lineRule="auto"/>
            <w:rPr>
              <w:rFonts w:ascii="Arial" w:hAnsi="Arial" w:cs="Arial"/>
              <w:sz w:val="24"/>
              <w:szCs w:val="24"/>
            </w:rPr>
          </w:pPr>
          <w:r w:rsidRPr="00C8799D">
            <w:rPr>
              <w:rFonts w:ascii="Arial" w:hAnsi="Arial" w:cs="Arial"/>
              <w:sz w:val="24"/>
              <w:szCs w:val="24"/>
            </w:rPr>
            <w:t>References</w:t>
          </w:r>
        </w:p>
        <w:p w:rsidR="00727C11" w:rsidRDefault="00727C11" w:rsidP="00727C11">
          <w:pPr>
            <w:spacing w:line="360" w:lineRule="auto"/>
            <w:jc w:val="both"/>
            <w:rPr>
              <w:rFonts w:ascii="Arial" w:hAnsi="Arial" w:cs="Arial"/>
              <w:i/>
              <w:sz w:val="24"/>
              <w:szCs w:val="24"/>
            </w:rPr>
          </w:pPr>
          <w:proofErr w:type="spellStart"/>
          <w:r w:rsidRPr="00C8799D">
            <w:rPr>
              <w:rFonts w:ascii="Arial" w:hAnsi="Arial" w:cs="Arial"/>
              <w:sz w:val="24"/>
              <w:szCs w:val="24"/>
            </w:rPr>
            <w:t>Abramovaite</w:t>
          </w:r>
          <w:proofErr w:type="spellEnd"/>
          <w:r w:rsidRPr="00C8799D">
            <w:rPr>
              <w:rFonts w:ascii="Arial" w:hAnsi="Arial" w:cs="Arial"/>
              <w:sz w:val="24"/>
              <w:szCs w:val="24"/>
            </w:rPr>
            <w:t xml:space="preserve">, J., Bandyopadhyay, S., Bhattacharya, S., and Cowen, N. (2022). ‘Classical deterrence theory revisited: An empirical analysis of Police Force Areas in England and Wales’. </w:t>
          </w:r>
          <w:r w:rsidRPr="00C8799D">
            <w:rPr>
              <w:rFonts w:ascii="Arial" w:hAnsi="Arial" w:cs="Arial"/>
              <w:i/>
              <w:sz w:val="24"/>
              <w:szCs w:val="24"/>
            </w:rPr>
            <w:t>European Journal of Criminology, 0(0).</w:t>
          </w:r>
        </w:p>
        <w:p w:rsidR="00727C11" w:rsidRPr="00C8799D" w:rsidRDefault="00727C11" w:rsidP="00727C11">
          <w:pPr>
            <w:spacing w:line="360" w:lineRule="auto"/>
            <w:jc w:val="both"/>
            <w:rPr>
              <w:rFonts w:ascii="Arial" w:hAnsi="Arial" w:cs="Arial"/>
              <w:i/>
              <w:sz w:val="24"/>
              <w:szCs w:val="24"/>
            </w:rPr>
          </w:pPr>
          <w:proofErr w:type="spellStart"/>
          <w:r w:rsidRPr="00C8799D">
            <w:rPr>
              <w:rFonts w:ascii="Arial" w:hAnsi="Arial" w:cs="Arial"/>
              <w:sz w:val="24"/>
              <w:szCs w:val="24"/>
            </w:rPr>
            <w:t>Dawnay</w:t>
          </w:r>
          <w:proofErr w:type="spellEnd"/>
          <w:r w:rsidRPr="00C8799D">
            <w:rPr>
              <w:rFonts w:ascii="Arial" w:hAnsi="Arial" w:cs="Arial"/>
              <w:sz w:val="24"/>
              <w:szCs w:val="24"/>
            </w:rPr>
            <w:t xml:space="preserve">, N., and Sheppard, K. (2023). ‘From crime scene to the courtroom: A review of the current bioanalytical evidence workflows used in rape and sexual assault investigations in the United Kingdom’. </w:t>
          </w:r>
          <w:r w:rsidRPr="00C8799D">
            <w:rPr>
              <w:rFonts w:ascii="Arial" w:hAnsi="Arial" w:cs="Arial"/>
              <w:i/>
              <w:sz w:val="24"/>
              <w:szCs w:val="24"/>
            </w:rPr>
            <w:t>Science &amp; Justice. Volume 63, Issue 2, March 2023, Pages 206-228.</w:t>
          </w:r>
        </w:p>
        <w:p w:rsidR="00727C11" w:rsidRPr="00C8799D" w:rsidRDefault="00727C11" w:rsidP="00727C11">
          <w:pPr>
            <w:spacing w:line="360" w:lineRule="auto"/>
            <w:jc w:val="both"/>
            <w:rPr>
              <w:rFonts w:ascii="Arial" w:hAnsi="Arial" w:cs="Arial"/>
              <w:sz w:val="24"/>
              <w:szCs w:val="24"/>
            </w:rPr>
          </w:pPr>
          <w:r w:rsidRPr="00C8799D">
            <w:rPr>
              <w:rFonts w:ascii="Arial" w:hAnsi="Arial" w:cs="Arial"/>
              <w:sz w:val="24"/>
              <w:szCs w:val="24"/>
            </w:rPr>
            <w:t xml:space="preserve">Health and Safety Executive (2023). </w:t>
          </w:r>
          <w:r w:rsidRPr="00C8799D">
            <w:rPr>
              <w:rFonts w:ascii="Arial" w:hAnsi="Arial" w:cs="Arial"/>
              <w:i/>
              <w:sz w:val="24"/>
              <w:szCs w:val="24"/>
            </w:rPr>
            <w:t>Public interest stage.</w:t>
          </w:r>
          <w:r w:rsidRPr="00C8799D">
            <w:rPr>
              <w:rFonts w:ascii="Arial" w:hAnsi="Arial" w:cs="Arial"/>
              <w:sz w:val="24"/>
              <w:szCs w:val="24"/>
            </w:rPr>
            <w:t xml:space="preserve"> Available at: </w:t>
          </w:r>
          <w:r w:rsidR="000C3EC2" w:rsidRPr="00C8799D">
            <w:rPr>
              <w:rFonts w:ascii="Arial" w:hAnsi="Arial" w:cs="Arial"/>
              <w:sz w:val="24"/>
              <w:szCs w:val="24"/>
            </w:rPr>
            <w:t xml:space="preserve"> </w:t>
          </w:r>
          <w:r w:rsidR="00D26804" w:rsidRPr="00C8799D">
            <w:rPr>
              <w:rFonts w:ascii="Arial" w:hAnsi="Arial" w:cs="Arial"/>
              <w:sz w:val="24"/>
              <w:szCs w:val="24"/>
            </w:rPr>
            <w:t xml:space="preserve"> </w:t>
          </w:r>
          <w:r w:rsidRPr="00C8799D">
            <w:rPr>
              <w:rStyle w:val="Hyperlink"/>
              <w:rFonts w:ascii="Arial" w:hAnsi="Arial" w:cs="Arial"/>
              <w:sz w:val="24"/>
              <w:szCs w:val="24"/>
            </w:rPr>
            <w:t>https://www.hse.gov.uk/enforce/enforcementguide/investigation/approving-</w:t>
          </w:r>
          <w:proofErr w:type="gramStart"/>
          <w:r w:rsidRPr="00C8799D">
            <w:rPr>
              <w:rStyle w:val="Hyperlink"/>
              <w:rFonts w:ascii="Arial" w:hAnsi="Arial" w:cs="Arial"/>
              <w:sz w:val="24"/>
              <w:szCs w:val="24"/>
            </w:rPr>
            <w:t>public.htm</w:t>
          </w:r>
          <w:r w:rsidR="000C3EC2" w:rsidRPr="00C8799D">
            <w:rPr>
              <w:rStyle w:val="Hyperlink"/>
              <w:rFonts w:ascii="Arial" w:hAnsi="Arial" w:cs="Arial"/>
              <w:sz w:val="24"/>
              <w:szCs w:val="24"/>
            </w:rPr>
            <w:t xml:space="preserve"> </w:t>
          </w:r>
          <w:r w:rsidRPr="00C8799D">
            <w:rPr>
              <w:rFonts w:ascii="Arial" w:hAnsi="Arial" w:cs="Arial"/>
              <w:sz w:val="24"/>
              <w:szCs w:val="24"/>
            </w:rPr>
            <w:t xml:space="preserve"> (</w:t>
          </w:r>
          <w:proofErr w:type="gramEnd"/>
          <w:r w:rsidRPr="00C8799D">
            <w:rPr>
              <w:rFonts w:ascii="Arial" w:hAnsi="Arial" w:cs="Arial"/>
              <w:sz w:val="24"/>
              <w:szCs w:val="24"/>
            </w:rPr>
            <w:t>Accessed: 04-Aug-2023)</w:t>
          </w:r>
        </w:p>
        <w:p w:rsidR="00C8799D" w:rsidRPr="00C8799D" w:rsidRDefault="00C8799D" w:rsidP="00C8799D">
          <w:pPr>
            <w:spacing w:line="360" w:lineRule="auto"/>
            <w:jc w:val="both"/>
            <w:rPr>
              <w:rFonts w:ascii="Arial" w:hAnsi="Arial" w:cs="Arial"/>
              <w:sz w:val="24"/>
              <w:szCs w:val="24"/>
            </w:rPr>
          </w:pPr>
          <w:proofErr w:type="spellStart"/>
          <w:r w:rsidRPr="00C8799D">
            <w:rPr>
              <w:rFonts w:ascii="Arial" w:hAnsi="Arial" w:cs="Arial"/>
              <w:sz w:val="24"/>
              <w:szCs w:val="24"/>
            </w:rPr>
            <w:t>Marstaller</w:t>
          </w:r>
          <w:proofErr w:type="spellEnd"/>
          <w:r w:rsidRPr="00C8799D">
            <w:rPr>
              <w:rFonts w:ascii="Arial" w:hAnsi="Arial" w:cs="Arial"/>
              <w:sz w:val="24"/>
              <w:szCs w:val="24"/>
            </w:rPr>
            <w:t xml:space="preserve">, M. (2016). ‘The Legality Principle: An Effective Way to </w:t>
          </w:r>
          <w:proofErr w:type="spellStart"/>
          <w:r w:rsidRPr="00C8799D">
            <w:rPr>
              <w:rFonts w:ascii="Arial" w:hAnsi="Arial" w:cs="Arial"/>
              <w:sz w:val="24"/>
              <w:szCs w:val="24"/>
            </w:rPr>
            <w:t>Minimise</w:t>
          </w:r>
          <w:proofErr w:type="spellEnd"/>
          <w:r w:rsidRPr="00C8799D">
            <w:rPr>
              <w:rFonts w:ascii="Arial" w:hAnsi="Arial" w:cs="Arial"/>
              <w:sz w:val="24"/>
              <w:szCs w:val="24"/>
            </w:rPr>
            <w:t xml:space="preserve"> the European Prosecutors’ Influence on Substantive </w:t>
          </w:r>
          <w:proofErr w:type="spellStart"/>
          <w:r w:rsidRPr="00C8799D">
            <w:rPr>
              <w:rFonts w:ascii="Arial" w:hAnsi="Arial" w:cs="Arial"/>
              <w:sz w:val="24"/>
              <w:szCs w:val="24"/>
            </w:rPr>
            <w:t>Criminalisation</w:t>
          </w:r>
          <w:proofErr w:type="spellEnd"/>
          <w:r w:rsidRPr="00C8799D">
            <w:rPr>
              <w:rFonts w:ascii="Arial" w:hAnsi="Arial" w:cs="Arial"/>
              <w:sz w:val="24"/>
              <w:szCs w:val="24"/>
            </w:rPr>
            <w:t xml:space="preserve">’? </w:t>
          </w:r>
          <w:proofErr w:type="spellStart"/>
          <w:r w:rsidRPr="00C8799D">
            <w:rPr>
              <w:rFonts w:ascii="Arial" w:hAnsi="Arial" w:cs="Arial"/>
              <w:i/>
              <w:sz w:val="24"/>
              <w:szCs w:val="24"/>
            </w:rPr>
            <w:t>EuCLR</w:t>
          </w:r>
          <w:proofErr w:type="spellEnd"/>
          <w:r w:rsidRPr="00C8799D">
            <w:rPr>
              <w:rFonts w:ascii="Arial" w:hAnsi="Arial" w:cs="Arial"/>
              <w:i/>
              <w:sz w:val="24"/>
              <w:szCs w:val="24"/>
            </w:rPr>
            <w:t xml:space="preserve"> Vol. 6, 2. Page 161-185.</w:t>
          </w:r>
        </w:p>
        <w:p w:rsidR="00C8799D" w:rsidRPr="00C8799D" w:rsidRDefault="00C8799D" w:rsidP="00C8799D">
          <w:pPr>
            <w:spacing w:line="360" w:lineRule="auto"/>
            <w:jc w:val="both"/>
            <w:rPr>
              <w:rFonts w:ascii="Arial" w:hAnsi="Arial" w:cs="Arial"/>
              <w:sz w:val="24"/>
              <w:szCs w:val="24"/>
            </w:rPr>
          </w:pPr>
          <w:proofErr w:type="spellStart"/>
          <w:r w:rsidRPr="00C8799D">
            <w:rPr>
              <w:rFonts w:ascii="Arial" w:hAnsi="Arial" w:cs="Arial"/>
              <w:sz w:val="24"/>
              <w:szCs w:val="24"/>
            </w:rPr>
            <w:t>Ormerod</w:t>
          </w:r>
          <w:proofErr w:type="spellEnd"/>
          <w:r w:rsidRPr="00C8799D">
            <w:rPr>
              <w:rFonts w:ascii="Arial" w:hAnsi="Arial" w:cs="Arial"/>
              <w:sz w:val="24"/>
              <w:szCs w:val="24"/>
            </w:rPr>
            <w:t>, D. (2011). Blackstone's Criminal Practice 2012. United Kingdom: OUP Oxford.</w:t>
          </w:r>
        </w:p>
        <w:p w:rsidR="00C8799D" w:rsidRPr="00C8799D" w:rsidRDefault="00C8799D" w:rsidP="00C8799D">
          <w:pPr>
            <w:spacing w:line="360" w:lineRule="auto"/>
            <w:jc w:val="both"/>
            <w:rPr>
              <w:rFonts w:ascii="Arial" w:hAnsi="Arial" w:cs="Arial"/>
              <w:sz w:val="24"/>
              <w:szCs w:val="24"/>
            </w:rPr>
          </w:pPr>
          <w:r w:rsidRPr="00C8799D">
            <w:rPr>
              <w:rFonts w:ascii="Arial" w:hAnsi="Arial" w:cs="Arial"/>
              <w:sz w:val="24"/>
              <w:szCs w:val="24"/>
            </w:rPr>
            <w:t xml:space="preserve">Politics.co.uk, (2023). Crown Prosecution Service. Available at:  </w:t>
          </w:r>
          <w:r w:rsidRPr="00C8799D">
            <w:rPr>
              <w:rStyle w:val="Hyperlink"/>
              <w:rFonts w:ascii="Arial" w:hAnsi="Arial" w:cs="Arial"/>
              <w:sz w:val="24"/>
              <w:szCs w:val="24"/>
            </w:rPr>
            <w:t>https://www.politics.co.uk/reference/crown-prosecution-service</w:t>
          </w:r>
          <w:proofErr w:type="gramStart"/>
          <w:r w:rsidRPr="00C8799D">
            <w:rPr>
              <w:rStyle w:val="Hyperlink"/>
              <w:rFonts w:ascii="Arial" w:hAnsi="Arial" w:cs="Arial"/>
              <w:sz w:val="24"/>
              <w:szCs w:val="24"/>
            </w:rPr>
            <w:t xml:space="preserve">/ </w:t>
          </w:r>
          <w:r w:rsidRPr="00C8799D">
            <w:rPr>
              <w:rFonts w:ascii="Arial" w:hAnsi="Arial" w:cs="Arial"/>
              <w:sz w:val="24"/>
              <w:szCs w:val="24"/>
            </w:rPr>
            <w:t xml:space="preserve"> (</w:t>
          </w:r>
          <w:proofErr w:type="gramEnd"/>
          <w:r w:rsidRPr="00C8799D">
            <w:rPr>
              <w:rFonts w:ascii="Arial" w:hAnsi="Arial" w:cs="Arial"/>
              <w:sz w:val="24"/>
              <w:szCs w:val="24"/>
            </w:rPr>
            <w:t>Accessed: 08-Aug-2023)</w:t>
          </w:r>
          <w:r>
            <w:rPr>
              <w:rFonts w:ascii="Arial" w:hAnsi="Arial" w:cs="Arial"/>
              <w:sz w:val="24"/>
              <w:szCs w:val="24"/>
            </w:rPr>
            <w:t>.</w:t>
          </w:r>
        </w:p>
        <w:p w:rsidR="00B34195" w:rsidRDefault="00B34195" w:rsidP="00727C11">
          <w:pPr>
            <w:spacing w:line="360" w:lineRule="auto"/>
            <w:jc w:val="both"/>
            <w:rPr>
              <w:rFonts w:ascii="Arial" w:hAnsi="Arial" w:cs="Arial"/>
              <w:i/>
              <w:sz w:val="24"/>
              <w:szCs w:val="24"/>
            </w:rPr>
          </w:pPr>
          <w:r w:rsidRPr="00811B6B">
            <w:rPr>
              <w:rFonts w:ascii="Arial" w:hAnsi="Arial" w:cs="Arial"/>
              <w:i/>
              <w:sz w:val="24"/>
              <w:szCs w:val="24"/>
            </w:rPr>
            <w:t>Pre-charge bail an overview of the evidence 2021.</w:t>
          </w:r>
          <w:r>
            <w:rPr>
              <w:rFonts w:ascii="Arial" w:hAnsi="Arial" w:cs="Arial"/>
              <w:i/>
              <w:sz w:val="24"/>
              <w:szCs w:val="24"/>
            </w:rPr>
            <w:t xml:space="preserve"> </w:t>
          </w:r>
          <w:r w:rsidRPr="00811B6B">
            <w:rPr>
              <w:rFonts w:ascii="Arial" w:hAnsi="Arial" w:cs="Arial"/>
              <w:sz w:val="24"/>
              <w:szCs w:val="24"/>
            </w:rPr>
            <w:t>Home Office.</w:t>
          </w:r>
          <w:r>
            <w:rPr>
              <w:rFonts w:ascii="Arial" w:hAnsi="Arial" w:cs="Arial"/>
              <w:sz w:val="24"/>
              <w:szCs w:val="24"/>
            </w:rPr>
            <w:t xml:space="preserve"> Available at: </w:t>
          </w:r>
          <w:hyperlink r:id="rId9" w:history="1">
            <w:r w:rsidRPr="00274889">
              <w:rPr>
                <w:rStyle w:val="Hyperlink"/>
                <w:rFonts w:ascii="Arial" w:hAnsi="Arial" w:cs="Arial"/>
                <w:sz w:val="24"/>
                <w:szCs w:val="24"/>
              </w:rPr>
              <w:t>https://assets.publishing.service.gov.uk/government/uploads/system/uploads/attachment_data/file/952065/PCB_evidence_review_FINAL.pdf</w:t>
            </w:r>
          </w:hyperlink>
        </w:p>
        <w:p w:rsidR="00727C11" w:rsidRDefault="00727C11" w:rsidP="00727C11">
          <w:pPr>
            <w:spacing w:line="360" w:lineRule="auto"/>
            <w:jc w:val="both"/>
            <w:rPr>
              <w:rFonts w:ascii="Arial" w:hAnsi="Arial" w:cs="Arial"/>
              <w:sz w:val="24"/>
              <w:szCs w:val="24"/>
            </w:rPr>
          </w:pPr>
          <w:r w:rsidRPr="00C8799D">
            <w:rPr>
              <w:rFonts w:ascii="Arial" w:hAnsi="Arial" w:cs="Arial"/>
              <w:i/>
              <w:sz w:val="24"/>
              <w:szCs w:val="24"/>
            </w:rPr>
            <w:t xml:space="preserve">Prosecution of Offences Act 1985 c. 23 Part I. </w:t>
          </w:r>
          <w:r w:rsidRPr="00C8799D">
            <w:rPr>
              <w:rFonts w:ascii="Arial" w:hAnsi="Arial" w:cs="Arial"/>
              <w:sz w:val="24"/>
              <w:szCs w:val="24"/>
            </w:rPr>
            <w:t xml:space="preserve">Available at: </w:t>
          </w:r>
          <w:r w:rsidR="000C3EC2" w:rsidRPr="00C8799D">
            <w:rPr>
              <w:rFonts w:ascii="Arial" w:hAnsi="Arial" w:cs="Arial"/>
              <w:sz w:val="24"/>
              <w:szCs w:val="24"/>
            </w:rPr>
            <w:t xml:space="preserve"> </w:t>
          </w:r>
          <w:r w:rsidR="00D26804" w:rsidRPr="00C8799D">
            <w:rPr>
              <w:rFonts w:ascii="Arial" w:hAnsi="Arial" w:cs="Arial"/>
              <w:sz w:val="24"/>
              <w:szCs w:val="24"/>
            </w:rPr>
            <w:t xml:space="preserve"> </w:t>
          </w:r>
          <w:r w:rsidRPr="00C8799D">
            <w:rPr>
              <w:rStyle w:val="Hyperlink"/>
              <w:rFonts w:ascii="Arial" w:hAnsi="Arial" w:cs="Arial"/>
              <w:sz w:val="24"/>
              <w:szCs w:val="24"/>
            </w:rPr>
            <w:t>https://www.legislation.gov.uk/ukpga/1985/23/part/</w:t>
          </w:r>
          <w:proofErr w:type="gramStart"/>
          <w:r w:rsidRPr="00C8799D">
            <w:rPr>
              <w:rStyle w:val="Hyperlink"/>
              <w:rFonts w:ascii="Arial" w:hAnsi="Arial" w:cs="Arial"/>
              <w:sz w:val="24"/>
              <w:szCs w:val="24"/>
            </w:rPr>
            <w:t>I</w:t>
          </w:r>
          <w:r w:rsidR="000C3EC2" w:rsidRPr="00C8799D">
            <w:rPr>
              <w:rStyle w:val="Hyperlink"/>
              <w:rFonts w:ascii="Arial" w:hAnsi="Arial" w:cs="Arial"/>
              <w:sz w:val="24"/>
              <w:szCs w:val="24"/>
            </w:rPr>
            <w:t xml:space="preserve"> </w:t>
          </w:r>
          <w:r w:rsidRPr="00C8799D">
            <w:rPr>
              <w:rFonts w:ascii="Arial" w:hAnsi="Arial" w:cs="Arial"/>
              <w:sz w:val="24"/>
              <w:szCs w:val="24"/>
            </w:rPr>
            <w:t xml:space="preserve"> (</w:t>
          </w:r>
          <w:proofErr w:type="gramEnd"/>
          <w:r w:rsidRPr="00C8799D">
            <w:rPr>
              <w:rFonts w:ascii="Arial" w:hAnsi="Arial" w:cs="Arial"/>
              <w:sz w:val="24"/>
              <w:szCs w:val="24"/>
            </w:rPr>
            <w:t>Accessed: 08-Aug-2023)</w:t>
          </w:r>
        </w:p>
        <w:p w:rsidR="00B34195" w:rsidRPr="00C8799D" w:rsidRDefault="00B34195" w:rsidP="00B34195">
          <w:pPr>
            <w:spacing w:line="360" w:lineRule="auto"/>
            <w:jc w:val="both"/>
            <w:rPr>
              <w:rFonts w:ascii="Arial" w:hAnsi="Arial" w:cs="Arial"/>
              <w:sz w:val="24"/>
              <w:szCs w:val="24"/>
            </w:rPr>
          </w:pPr>
          <w:r w:rsidRPr="00C8799D">
            <w:rPr>
              <w:rFonts w:ascii="Arial" w:hAnsi="Arial" w:cs="Arial"/>
              <w:sz w:val="24"/>
              <w:szCs w:val="24"/>
            </w:rPr>
            <w:t xml:space="preserve">Soubise, L. (2023) </w:t>
          </w:r>
          <w:r w:rsidRPr="00C8799D">
            <w:rPr>
              <w:rFonts w:ascii="Arial" w:hAnsi="Arial" w:cs="Arial"/>
              <w:i/>
              <w:sz w:val="24"/>
              <w:szCs w:val="24"/>
            </w:rPr>
            <w:t xml:space="preserve">Professional identity, legitimacy and </w:t>
          </w:r>
          <w:proofErr w:type="spellStart"/>
          <w:r w:rsidRPr="00C8799D">
            <w:rPr>
              <w:rFonts w:ascii="Arial" w:hAnsi="Arial" w:cs="Arial"/>
              <w:i/>
              <w:sz w:val="24"/>
              <w:szCs w:val="24"/>
            </w:rPr>
            <w:t>managerialism</w:t>
          </w:r>
          <w:proofErr w:type="spellEnd"/>
          <w:r w:rsidRPr="00C8799D">
            <w:rPr>
              <w:rFonts w:ascii="Arial" w:hAnsi="Arial" w:cs="Arial"/>
              <w:i/>
              <w:sz w:val="24"/>
              <w:szCs w:val="24"/>
            </w:rPr>
            <w:t xml:space="preserve"> at the Crown Prosecution Service.</w:t>
          </w:r>
          <w:r w:rsidRPr="00C8799D">
            <w:rPr>
              <w:rFonts w:ascii="Arial" w:hAnsi="Arial" w:cs="Arial"/>
              <w:sz w:val="24"/>
              <w:szCs w:val="24"/>
            </w:rPr>
            <w:t xml:space="preserve"> Legal Studies. Cambridge University Press, pp. 1–18.</w:t>
          </w:r>
        </w:p>
        <w:p w:rsidR="0077190A" w:rsidRPr="00C8799D" w:rsidRDefault="0077190A" w:rsidP="00727C11">
          <w:pPr>
            <w:spacing w:line="360" w:lineRule="auto"/>
            <w:jc w:val="both"/>
            <w:rPr>
              <w:rFonts w:ascii="Arial" w:hAnsi="Arial" w:cs="Arial"/>
              <w:sz w:val="24"/>
              <w:szCs w:val="24"/>
            </w:rPr>
          </w:pPr>
          <w:bookmarkStart w:id="0" w:name="_GoBack"/>
          <w:bookmarkEnd w:id="0"/>
          <w:proofErr w:type="spellStart"/>
          <w:r>
            <w:rPr>
              <w:rFonts w:ascii="Arial" w:hAnsi="Arial" w:cs="Arial"/>
              <w:sz w:val="24"/>
              <w:szCs w:val="24"/>
            </w:rPr>
            <w:t>Sprack</w:t>
          </w:r>
          <w:proofErr w:type="spellEnd"/>
          <w:r>
            <w:rPr>
              <w:rFonts w:ascii="Arial" w:hAnsi="Arial" w:cs="Arial"/>
              <w:sz w:val="24"/>
              <w:szCs w:val="24"/>
            </w:rPr>
            <w:t>, J.</w:t>
          </w:r>
          <w:r w:rsidRPr="0077190A">
            <w:rPr>
              <w:rFonts w:ascii="Arial" w:hAnsi="Arial" w:cs="Arial"/>
              <w:sz w:val="24"/>
              <w:szCs w:val="24"/>
            </w:rPr>
            <w:t xml:space="preserve">, and </w:t>
          </w:r>
          <w:proofErr w:type="spellStart"/>
          <w:r w:rsidRPr="0077190A">
            <w:rPr>
              <w:rFonts w:ascii="Arial" w:hAnsi="Arial" w:cs="Arial"/>
              <w:sz w:val="24"/>
              <w:szCs w:val="24"/>
            </w:rPr>
            <w:t>Engelhardt</w:t>
          </w:r>
          <w:proofErr w:type="spellEnd"/>
          <w:r w:rsidRPr="0077190A">
            <w:rPr>
              <w:rFonts w:ascii="Arial" w:hAnsi="Arial" w:cs="Arial"/>
              <w:sz w:val="24"/>
              <w:szCs w:val="24"/>
            </w:rPr>
            <w:t>–</w:t>
          </w:r>
          <w:proofErr w:type="spellStart"/>
          <w:r w:rsidRPr="0077190A">
            <w:rPr>
              <w:rFonts w:ascii="Arial" w:hAnsi="Arial" w:cs="Arial"/>
              <w:sz w:val="24"/>
              <w:szCs w:val="24"/>
            </w:rPr>
            <w:t>Sprack</w:t>
          </w:r>
          <w:proofErr w:type="spellEnd"/>
          <w:r w:rsidRPr="0077190A">
            <w:rPr>
              <w:rFonts w:ascii="Arial" w:hAnsi="Arial" w:cs="Arial"/>
              <w:sz w:val="24"/>
              <w:szCs w:val="24"/>
            </w:rPr>
            <w:t xml:space="preserve">, </w:t>
          </w:r>
          <w:r>
            <w:rPr>
              <w:rFonts w:ascii="Arial" w:hAnsi="Arial" w:cs="Arial"/>
              <w:sz w:val="24"/>
              <w:szCs w:val="24"/>
            </w:rPr>
            <w:t xml:space="preserve">M. (2019). </w:t>
          </w:r>
          <w:r w:rsidRPr="0077190A">
            <w:rPr>
              <w:rFonts w:ascii="Arial" w:hAnsi="Arial" w:cs="Arial"/>
              <w:i/>
              <w:sz w:val="24"/>
              <w:szCs w:val="24"/>
            </w:rPr>
            <w:t xml:space="preserve">The Role of the Criminal Procedure Rules, </w:t>
          </w:r>
          <w:proofErr w:type="gramStart"/>
          <w:r w:rsidRPr="0077190A">
            <w:rPr>
              <w:rFonts w:ascii="Arial" w:hAnsi="Arial" w:cs="Arial"/>
              <w:i/>
              <w:sz w:val="24"/>
              <w:szCs w:val="24"/>
            </w:rPr>
            <w:t>A</w:t>
          </w:r>
          <w:proofErr w:type="gramEnd"/>
          <w:r w:rsidRPr="0077190A">
            <w:rPr>
              <w:rFonts w:ascii="Arial" w:hAnsi="Arial" w:cs="Arial"/>
              <w:i/>
              <w:sz w:val="24"/>
              <w:szCs w:val="24"/>
            </w:rPr>
            <w:t xml:space="preserve"> Practical Approach to Criminal Procedure </w:t>
          </w:r>
          <w:r w:rsidRPr="0077190A">
            <w:rPr>
              <w:rFonts w:ascii="Arial" w:hAnsi="Arial" w:cs="Arial"/>
              <w:sz w:val="24"/>
              <w:szCs w:val="24"/>
            </w:rPr>
            <w:t>United Kingdom</w:t>
          </w:r>
          <w:r>
            <w:rPr>
              <w:rFonts w:ascii="Arial" w:hAnsi="Arial" w:cs="Arial"/>
              <w:sz w:val="24"/>
              <w:szCs w:val="24"/>
            </w:rPr>
            <w:t>: Oxford Academic.</w:t>
          </w:r>
        </w:p>
      </w:sdtContent>
    </w:sdt>
    <w:p w:rsidR="007F291E" w:rsidRPr="00C8799D" w:rsidRDefault="007F291E" w:rsidP="009869FD">
      <w:pPr>
        <w:spacing w:line="360" w:lineRule="auto"/>
        <w:jc w:val="both"/>
        <w:rPr>
          <w:rFonts w:ascii="Arial" w:hAnsi="Arial" w:cs="Arial"/>
          <w:sz w:val="24"/>
          <w:szCs w:val="24"/>
        </w:rPr>
      </w:pPr>
    </w:p>
    <w:sectPr w:rsidR="007F291E" w:rsidRPr="00C8799D" w:rsidSect="002143DF">
      <w:headerReference w:type="default" r:id="rId10"/>
      <w:pgSz w:w="12240" w:h="15840"/>
      <w:pgMar w:top="1440" w:right="1440" w:bottom="1440" w:left="1440" w:header="720" w:footer="720"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2AAE" w:rsidRDefault="00A42AAE" w:rsidP="002143DF">
      <w:pPr>
        <w:spacing w:after="0" w:line="240" w:lineRule="auto"/>
      </w:pPr>
      <w:r>
        <w:separator/>
      </w:r>
    </w:p>
  </w:endnote>
  <w:endnote w:type="continuationSeparator" w:id="0">
    <w:p w:rsidR="00A42AAE" w:rsidRDefault="00A42AAE" w:rsidP="00214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2AAE" w:rsidRDefault="00A42AAE" w:rsidP="002143DF">
      <w:pPr>
        <w:spacing w:after="0" w:line="240" w:lineRule="auto"/>
      </w:pPr>
      <w:r>
        <w:separator/>
      </w:r>
    </w:p>
  </w:footnote>
  <w:footnote w:type="continuationSeparator" w:id="0">
    <w:p w:rsidR="00A42AAE" w:rsidRDefault="00A42AAE" w:rsidP="002143D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31512640"/>
      <w:docPartObj>
        <w:docPartGallery w:val="Page Numbers (Top of Page)"/>
        <w:docPartUnique/>
      </w:docPartObj>
    </w:sdtPr>
    <w:sdtEndPr>
      <w:rPr>
        <w:noProof/>
      </w:rPr>
    </w:sdtEndPr>
    <w:sdtContent>
      <w:p w:rsidR="002143DF" w:rsidRDefault="002143DF">
        <w:pPr>
          <w:pStyle w:val="Header"/>
          <w:jc w:val="right"/>
        </w:pPr>
        <w:r>
          <w:fldChar w:fldCharType="begin"/>
        </w:r>
        <w:r>
          <w:instrText xml:space="preserve"> PAGE   \* MERGEFORMAT </w:instrText>
        </w:r>
        <w:r>
          <w:fldChar w:fldCharType="separate"/>
        </w:r>
        <w:r w:rsidR="00B34195">
          <w:rPr>
            <w:noProof/>
          </w:rPr>
          <w:t>8</w:t>
        </w:r>
        <w:r>
          <w:rPr>
            <w:noProof/>
          </w:rPr>
          <w:fldChar w:fldCharType="end"/>
        </w:r>
      </w:p>
    </w:sdtContent>
  </w:sdt>
  <w:p w:rsidR="002143DF" w:rsidRDefault="002143D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120343A"/>
    <w:multiLevelType w:val="hybridMultilevel"/>
    <w:tmpl w:val="A9D4AACE"/>
    <w:lvl w:ilvl="0" w:tplc="7E168326">
      <w:start w:val="1"/>
      <w:numFmt w:val="lowerLetter"/>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6C57"/>
    <w:rsid w:val="0005249B"/>
    <w:rsid w:val="00056350"/>
    <w:rsid w:val="0009296A"/>
    <w:rsid w:val="000A5D01"/>
    <w:rsid w:val="000C3EC2"/>
    <w:rsid w:val="00106C57"/>
    <w:rsid w:val="0016775D"/>
    <w:rsid w:val="00195D15"/>
    <w:rsid w:val="001A2354"/>
    <w:rsid w:val="001F5C48"/>
    <w:rsid w:val="002143DF"/>
    <w:rsid w:val="002158F5"/>
    <w:rsid w:val="00234A45"/>
    <w:rsid w:val="00264ED3"/>
    <w:rsid w:val="00264F19"/>
    <w:rsid w:val="00287004"/>
    <w:rsid w:val="002A3131"/>
    <w:rsid w:val="002B69B5"/>
    <w:rsid w:val="00306EC1"/>
    <w:rsid w:val="003257A1"/>
    <w:rsid w:val="00337D37"/>
    <w:rsid w:val="00352F50"/>
    <w:rsid w:val="003951BF"/>
    <w:rsid w:val="003A2078"/>
    <w:rsid w:val="003A3665"/>
    <w:rsid w:val="003A7A9B"/>
    <w:rsid w:val="003E2CA5"/>
    <w:rsid w:val="003E5EDA"/>
    <w:rsid w:val="00400463"/>
    <w:rsid w:val="004025AB"/>
    <w:rsid w:val="00427F39"/>
    <w:rsid w:val="00470D19"/>
    <w:rsid w:val="004727B6"/>
    <w:rsid w:val="004A5120"/>
    <w:rsid w:val="004B21E2"/>
    <w:rsid w:val="004C7C5B"/>
    <w:rsid w:val="00501CA2"/>
    <w:rsid w:val="00516EA2"/>
    <w:rsid w:val="005533D7"/>
    <w:rsid w:val="00586C50"/>
    <w:rsid w:val="00587AC1"/>
    <w:rsid w:val="005A40D4"/>
    <w:rsid w:val="005C0F08"/>
    <w:rsid w:val="005C3BF8"/>
    <w:rsid w:val="00611AC1"/>
    <w:rsid w:val="00620F43"/>
    <w:rsid w:val="00680772"/>
    <w:rsid w:val="00686D81"/>
    <w:rsid w:val="006943FE"/>
    <w:rsid w:val="00696172"/>
    <w:rsid w:val="006A14D2"/>
    <w:rsid w:val="006B34F9"/>
    <w:rsid w:val="006C7116"/>
    <w:rsid w:val="006E1272"/>
    <w:rsid w:val="006F1E5A"/>
    <w:rsid w:val="00727C11"/>
    <w:rsid w:val="00745DF1"/>
    <w:rsid w:val="0077190A"/>
    <w:rsid w:val="0079744C"/>
    <w:rsid w:val="007D3DE8"/>
    <w:rsid w:val="007F291E"/>
    <w:rsid w:val="008079D7"/>
    <w:rsid w:val="00811B6B"/>
    <w:rsid w:val="00812EB6"/>
    <w:rsid w:val="00814DF8"/>
    <w:rsid w:val="0082062A"/>
    <w:rsid w:val="008217DA"/>
    <w:rsid w:val="008758AC"/>
    <w:rsid w:val="008E55A4"/>
    <w:rsid w:val="00907AA0"/>
    <w:rsid w:val="00916F37"/>
    <w:rsid w:val="00924EE7"/>
    <w:rsid w:val="0094578E"/>
    <w:rsid w:val="009836A2"/>
    <w:rsid w:val="009869FD"/>
    <w:rsid w:val="009B30B9"/>
    <w:rsid w:val="009D6057"/>
    <w:rsid w:val="009E4FD1"/>
    <w:rsid w:val="00A3724E"/>
    <w:rsid w:val="00A42AAE"/>
    <w:rsid w:val="00A62CD4"/>
    <w:rsid w:val="00A64A3F"/>
    <w:rsid w:val="00AA19AE"/>
    <w:rsid w:val="00AB27CA"/>
    <w:rsid w:val="00AB7D10"/>
    <w:rsid w:val="00B0534E"/>
    <w:rsid w:val="00B07D8A"/>
    <w:rsid w:val="00B34195"/>
    <w:rsid w:val="00B44A24"/>
    <w:rsid w:val="00B45D2B"/>
    <w:rsid w:val="00BF4CF3"/>
    <w:rsid w:val="00C341BC"/>
    <w:rsid w:val="00C51989"/>
    <w:rsid w:val="00C61D29"/>
    <w:rsid w:val="00C753E4"/>
    <w:rsid w:val="00C8799D"/>
    <w:rsid w:val="00C95140"/>
    <w:rsid w:val="00CC5AAC"/>
    <w:rsid w:val="00CE03D9"/>
    <w:rsid w:val="00CE6D7D"/>
    <w:rsid w:val="00D07287"/>
    <w:rsid w:val="00D15D95"/>
    <w:rsid w:val="00D26804"/>
    <w:rsid w:val="00D337B2"/>
    <w:rsid w:val="00D7433A"/>
    <w:rsid w:val="00DE31F3"/>
    <w:rsid w:val="00E14E46"/>
    <w:rsid w:val="00E34BDF"/>
    <w:rsid w:val="00E665C2"/>
    <w:rsid w:val="00ED5FF6"/>
    <w:rsid w:val="00F42E9B"/>
    <w:rsid w:val="00F64F75"/>
    <w:rsid w:val="00F8414B"/>
    <w:rsid w:val="00FA6272"/>
    <w:rsid w:val="00FA68F3"/>
    <w:rsid w:val="00FB30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B5471B-A082-4A68-87FC-2E156138A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27C1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1CA2"/>
    <w:rPr>
      <w:color w:val="0563C1" w:themeColor="hyperlink"/>
      <w:u w:val="single"/>
    </w:rPr>
  </w:style>
  <w:style w:type="paragraph" w:styleId="Header">
    <w:name w:val="header"/>
    <w:basedOn w:val="Normal"/>
    <w:link w:val="HeaderChar"/>
    <w:uiPriority w:val="99"/>
    <w:unhideWhenUsed/>
    <w:rsid w:val="002143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43DF"/>
  </w:style>
  <w:style w:type="paragraph" w:styleId="Footer">
    <w:name w:val="footer"/>
    <w:basedOn w:val="Normal"/>
    <w:link w:val="FooterChar"/>
    <w:uiPriority w:val="99"/>
    <w:unhideWhenUsed/>
    <w:rsid w:val="002143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43DF"/>
  </w:style>
  <w:style w:type="paragraph" w:styleId="ListParagraph">
    <w:name w:val="List Paragraph"/>
    <w:basedOn w:val="Normal"/>
    <w:uiPriority w:val="34"/>
    <w:qFormat/>
    <w:rsid w:val="002158F5"/>
    <w:pPr>
      <w:ind w:left="720"/>
      <w:contextualSpacing/>
    </w:pPr>
  </w:style>
  <w:style w:type="character" w:customStyle="1" w:styleId="Heading1Char">
    <w:name w:val="Heading 1 Char"/>
    <w:basedOn w:val="DefaultParagraphFont"/>
    <w:link w:val="Heading1"/>
    <w:uiPriority w:val="9"/>
    <w:rsid w:val="00727C11"/>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727C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83176">
      <w:bodyDiv w:val="1"/>
      <w:marLeft w:val="0"/>
      <w:marRight w:val="0"/>
      <w:marTop w:val="0"/>
      <w:marBottom w:val="0"/>
      <w:divBdr>
        <w:top w:val="none" w:sz="0" w:space="0" w:color="auto"/>
        <w:left w:val="none" w:sz="0" w:space="0" w:color="auto"/>
        <w:bottom w:val="none" w:sz="0" w:space="0" w:color="auto"/>
        <w:right w:val="none" w:sz="0" w:space="0" w:color="auto"/>
      </w:divBdr>
    </w:div>
    <w:div w:id="70741521">
      <w:bodyDiv w:val="1"/>
      <w:marLeft w:val="0"/>
      <w:marRight w:val="0"/>
      <w:marTop w:val="0"/>
      <w:marBottom w:val="0"/>
      <w:divBdr>
        <w:top w:val="none" w:sz="0" w:space="0" w:color="auto"/>
        <w:left w:val="none" w:sz="0" w:space="0" w:color="auto"/>
        <w:bottom w:val="none" w:sz="0" w:space="0" w:color="auto"/>
        <w:right w:val="none" w:sz="0" w:space="0" w:color="auto"/>
      </w:divBdr>
    </w:div>
    <w:div w:id="100997612">
      <w:bodyDiv w:val="1"/>
      <w:marLeft w:val="0"/>
      <w:marRight w:val="0"/>
      <w:marTop w:val="0"/>
      <w:marBottom w:val="0"/>
      <w:divBdr>
        <w:top w:val="none" w:sz="0" w:space="0" w:color="auto"/>
        <w:left w:val="none" w:sz="0" w:space="0" w:color="auto"/>
        <w:bottom w:val="none" w:sz="0" w:space="0" w:color="auto"/>
        <w:right w:val="none" w:sz="0" w:space="0" w:color="auto"/>
      </w:divBdr>
    </w:div>
    <w:div w:id="615722508">
      <w:bodyDiv w:val="1"/>
      <w:marLeft w:val="0"/>
      <w:marRight w:val="0"/>
      <w:marTop w:val="0"/>
      <w:marBottom w:val="0"/>
      <w:divBdr>
        <w:top w:val="none" w:sz="0" w:space="0" w:color="auto"/>
        <w:left w:val="none" w:sz="0" w:space="0" w:color="auto"/>
        <w:bottom w:val="none" w:sz="0" w:space="0" w:color="auto"/>
        <w:right w:val="none" w:sz="0" w:space="0" w:color="auto"/>
      </w:divBdr>
    </w:div>
    <w:div w:id="667515492">
      <w:bodyDiv w:val="1"/>
      <w:marLeft w:val="0"/>
      <w:marRight w:val="0"/>
      <w:marTop w:val="0"/>
      <w:marBottom w:val="0"/>
      <w:divBdr>
        <w:top w:val="none" w:sz="0" w:space="0" w:color="auto"/>
        <w:left w:val="none" w:sz="0" w:space="0" w:color="auto"/>
        <w:bottom w:val="none" w:sz="0" w:space="0" w:color="auto"/>
        <w:right w:val="none" w:sz="0" w:space="0" w:color="auto"/>
      </w:divBdr>
    </w:div>
    <w:div w:id="735395681">
      <w:bodyDiv w:val="1"/>
      <w:marLeft w:val="0"/>
      <w:marRight w:val="0"/>
      <w:marTop w:val="0"/>
      <w:marBottom w:val="0"/>
      <w:divBdr>
        <w:top w:val="none" w:sz="0" w:space="0" w:color="auto"/>
        <w:left w:val="none" w:sz="0" w:space="0" w:color="auto"/>
        <w:bottom w:val="none" w:sz="0" w:space="0" w:color="auto"/>
        <w:right w:val="none" w:sz="0" w:space="0" w:color="auto"/>
      </w:divBdr>
    </w:div>
    <w:div w:id="777062937">
      <w:bodyDiv w:val="1"/>
      <w:marLeft w:val="0"/>
      <w:marRight w:val="0"/>
      <w:marTop w:val="0"/>
      <w:marBottom w:val="0"/>
      <w:divBdr>
        <w:top w:val="none" w:sz="0" w:space="0" w:color="auto"/>
        <w:left w:val="none" w:sz="0" w:space="0" w:color="auto"/>
        <w:bottom w:val="none" w:sz="0" w:space="0" w:color="auto"/>
        <w:right w:val="none" w:sz="0" w:space="0" w:color="auto"/>
      </w:divBdr>
    </w:div>
    <w:div w:id="891038091">
      <w:bodyDiv w:val="1"/>
      <w:marLeft w:val="0"/>
      <w:marRight w:val="0"/>
      <w:marTop w:val="0"/>
      <w:marBottom w:val="0"/>
      <w:divBdr>
        <w:top w:val="none" w:sz="0" w:space="0" w:color="auto"/>
        <w:left w:val="none" w:sz="0" w:space="0" w:color="auto"/>
        <w:bottom w:val="none" w:sz="0" w:space="0" w:color="auto"/>
        <w:right w:val="none" w:sz="0" w:space="0" w:color="auto"/>
      </w:divBdr>
    </w:div>
    <w:div w:id="934051009">
      <w:bodyDiv w:val="1"/>
      <w:marLeft w:val="0"/>
      <w:marRight w:val="0"/>
      <w:marTop w:val="0"/>
      <w:marBottom w:val="0"/>
      <w:divBdr>
        <w:top w:val="none" w:sz="0" w:space="0" w:color="auto"/>
        <w:left w:val="none" w:sz="0" w:space="0" w:color="auto"/>
        <w:bottom w:val="none" w:sz="0" w:space="0" w:color="auto"/>
        <w:right w:val="none" w:sz="0" w:space="0" w:color="auto"/>
      </w:divBdr>
    </w:div>
    <w:div w:id="935790276">
      <w:bodyDiv w:val="1"/>
      <w:marLeft w:val="0"/>
      <w:marRight w:val="0"/>
      <w:marTop w:val="0"/>
      <w:marBottom w:val="0"/>
      <w:divBdr>
        <w:top w:val="none" w:sz="0" w:space="0" w:color="auto"/>
        <w:left w:val="none" w:sz="0" w:space="0" w:color="auto"/>
        <w:bottom w:val="none" w:sz="0" w:space="0" w:color="auto"/>
        <w:right w:val="none" w:sz="0" w:space="0" w:color="auto"/>
      </w:divBdr>
    </w:div>
    <w:div w:id="1059016405">
      <w:bodyDiv w:val="1"/>
      <w:marLeft w:val="0"/>
      <w:marRight w:val="0"/>
      <w:marTop w:val="0"/>
      <w:marBottom w:val="0"/>
      <w:divBdr>
        <w:top w:val="none" w:sz="0" w:space="0" w:color="auto"/>
        <w:left w:val="none" w:sz="0" w:space="0" w:color="auto"/>
        <w:bottom w:val="none" w:sz="0" w:space="0" w:color="auto"/>
        <w:right w:val="none" w:sz="0" w:space="0" w:color="auto"/>
      </w:divBdr>
    </w:div>
    <w:div w:id="1189173591">
      <w:bodyDiv w:val="1"/>
      <w:marLeft w:val="0"/>
      <w:marRight w:val="0"/>
      <w:marTop w:val="0"/>
      <w:marBottom w:val="0"/>
      <w:divBdr>
        <w:top w:val="none" w:sz="0" w:space="0" w:color="auto"/>
        <w:left w:val="none" w:sz="0" w:space="0" w:color="auto"/>
        <w:bottom w:val="none" w:sz="0" w:space="0" w:color="auto"/>
        <w:right w:val="none" w:sz="0" w:space="0" w:color="auto"/>
      </w:divBdr>
    </w:div>
    <w:div w:id="1286043802">
      <w:bodyDiv w:val="1"/>
      <w:marLeft w:val="0"/>
      <w:marRight w:val="0"/>
      <w:marTop w:val="0"/>
      <w:marBottom w:val="0"/>
      <w:divBdr>
        <w:top w:val="none" w:sz="0" w:space="0" w:color="auto"/>
        <w:left w:val="none" w:sz="0" w:space="0" w:color="auto"/>
        <w:bottom w:val="none" w:sz="0" w:space="0" w:color="auto"/>
        <w:right w:val="none" w:sz="0" w:space="0" w:color="auto"/>
      </w:divBdr>
    </w:div>
    <w:div w:id="1608267932">
      <w:bodyDiv w:val="1"/>
      <w:marLeft w:val="0"/>
      <w:marRight w:val="0"/>
      <w:marTop w:val="0"/>
      <w:marBottom w:val="0"/>
      <w:divBdr>
        <w:top w:val="none" w:sz="0" w:space="0" w:color="auto"/>
        <w:left w:val="none" w:sz="0" w:space="0" w:color="auto"/>
        <w:bottom w:val="none" w:sz="0" w:space="0" w:color="auto"/>
        <w:right w:val="none" w:sz="0" w:space="0" w:color="auto"/>
      </w:divBdr>
    </w:div>
    <w:div w:id="1645967957">
      <w:bodyDiv w:val="1"/>
      <w:marLeft w:val="0"/>
      <w:marRight w:val="0"/>
      <w:marTop w:val="0"/>
      <w:marBottom w:val="0"/>
      <w:divBdr>
        <w:top w:val="none" w:sz="0" w:space="0" w:color="auto"/>
        <w:left w:val="none" w:sz="0" w:space="0" w:color="auto"/>
        <w:bottom w:val="none" w:sz="0" w:space="0" w:color="auto"/>
        <w:right w:val="none" w:sz="0" w:space="0" w:color="auto"/>
      </w:divBdr>
    </w:div>
    <w:div w:id="1699895612">
      <w:bodyDiv w:val="1"/>
      <w:marLeft w:val="0"/>
      <w:marRight w:val="0"/>
      <w:marTop w:val="0"/>
      <w:marBottom w:val="0"/>
      <w:divBdr>
        <w:top w:val="none" w:sz="0" w:space="0" w:color="auto"/>
        <w:left w:val="none" w:sz="0" w:space="0" w:color="auto"/>
        <w:bottom w:val="none" w:sz="0" w:space="0" w:color="auto"/>
        <w:right w:val="none" w:sz="0" w:space="0" w:color="auto"/>
      </w:divBdr>
    </w:div>
    <w:div w:id="1727025342">
      <w:bodyDiv w:val="1"/>
      <w:marLeft w:val="0"/>
      <w:marRight w:val="0"/>
      <w:marTop w:val="0"/>
      <w:marBottom w:val="0"/>
      <w:divBdr>
        <w:top w:val="none" w:sz="0" w:space="0" w:color="auto"/>
        <w:left w:val="none" w:sz="0" w:space="0" w:color="auto"/>
        <w:bottom w:val="none" w:sz="0" w:space="0" w:color="auto"/>
        <w:right w:val="none" w:sz="0" w:space="0" w:color="auto"/>
      </w:divBdr>
    </w:div>
    <w:div w:id="2095321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952065/PCB_evidence_review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NGH78</b:Tag>
    <b:SourceType>Book</b:SourceType>
    <b:Guid>{4256C2AE-3D0E-4521-882F-078011FE7551}</b:Guid>
    <b:Author>
      <b:Author>
        <b:NameList>
          <b:Person>
            <b:Last>HOLTEN</b:Last>
            <b:First>N</b:First>
            <b:Middle>G</b:Middle>
          </b:Person>
        </b:NameList>
      </b:Author>
    </b:Author>
    <b:Title>SYSTEM OF CRIMINAL JUSTICE</b:Title>
    <b:Year>1978</b:Year>
    <b:City>US</b:City>
    <b:Publisher>Little, Brown and Co</b:Publisher>
    <b:RefOrder>1</b:RefOrder>
  </b:Source>
  <b:Source>
    <b:Tag>Edw00</b:Tag>
    <b:SourceType>Book</b:SourceType>
    <b:Guid>{CE177C4A-1613-473C-B4A7-BEA0CD1C4AD5}</b:Guid>
    <b:Author>
      <b:Author>
        <b:NameList>
          <b:Person>
            <b:Last>E.</b:Last>
            <b:First>Edward</b:First>
          </b:Person>
        </b:NameList>
      </b:Author>
    </b:Author>
    <b:Title>Basic Criminal Procedures</b:Title>
    <b:Year>2000</b:Year>
    <b:City>United States of America</b:City>
    <b:Publisher>Prentice Hall Publishing</b:Publisher>
    <b:RefOrder>2</b:RefOrder>
  </b:Source>
</b:Sources>
</file>

<file path=customXml/itemProps1.xml><?xml version="1.0" encoding="utf-8"?>
<ds:datastoreItem xmlns:ds="http://schemas.openxmlformats.org/officeDocument/2006/customXml" ds:itemID="{821F3090-6532-496F-B3E6-41BD614AA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8</Pages>
  <Words>2117</Words>
  <Characters>12070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Zahoor</dc:creator>
  <cp:keywords/>
  <dc:description/>
  <cp:lastModifiedBy>Dell</cp:lastModifiedBy>
  <cp:revision>24</cp:revision>
  <dcterms:created xsi:type="dcterms:W3CDTF">2023-08-14T18:58:00Z</dcterms:created>
  <dcterms:modified xsi:type="dcterms:W3CDTF">2023-08-14T20:22:00Z</dcterms:modified>
</cp:coreProperties>
</file>