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1035"/>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7"/>
        <w:gridCol w:w="2124"/>
        <w:gridCol w:w="2503"/>
        <w:gridCol w:w="2268"/>
      </w:tblGrid>
      <w:tr w:rsidR="008B7016" w:rsidRPr="008853DB" w14:paraId="4759FDFA" w14:textId="77777777" w:rsidTr="002E1A22">
        <w:trPr>
          <w:trHeight w:val="483"/>
        </w:trPr>
        <w:tc>
          <w:tcPr>
            <w:tcW w:w="1747" w:type="dxa"/>
            <w:shd w:val="pct15" w:color="auto" w:fill="auto"/>
          </w:tcPr>
          <w:p w14:paraId="1F321794" w14:textId="5623B9E9" w:rsidR="008B7016" w:rsidRPr="008853DB" w:rsidRDefault="00EA17E4" w:rsidP="002E1A22">
            <w:pPr>
              <w:spacing w:before="120" w:after="120" w:line="360" w:lineRule="auto"/>
              <w:jc w:val="both"/>
              <w:rPr>
                <w:b/>
                <w:sz w:val="24"/>
                <w:szCs w:val="24"/>
              </w:rPr>
            </w:pPr>
            <w:r>
              <w:rPr>
                <w:b/>
                <w:sz w:val="24"/>
                <w:szCs w:val="24"/>
              </w:rPr>
              <w:t xml:space="preserve"> </w:t>
            </w:r>
            <w:r w:rsidR="008B7016" w:rsidRPr="008853DB">
              <w:rPr>
                <w:b/>
                <w:sz w:val="24"/>
                <w:szCs w:val="24"/>
              </w:rPr>
              <w:t>Student Name:</w:t>
            </w:r>
          </w:p>
        </w:tc>
        <w:tc>
          <w:tcPr>
            <w:tcW w:w="6895" w:type="dxa"/>
            <w:gridSpan w:val="3"/>
          </w:tcPr>
          <w:p w14:paraId="5FBF4229" w14:textId="77777777" w:rsidR="008B7016" w:rsidRPr="008853DB" w:rsidRDefault="008B7016" w:rsidP="002E1A22">
            <w:pPr>
              <w:spacing w:before="120" w:after="120" w:line="360" w:lineRule="auto"/>
              <w:jc w:val="both"/>
              <w:rPr>
                <w:b/>
                <w:bCs/>
                <w:sz w:val="24"/>
                <w:szCs w:val="24"/>
              </w:rPr>
            </w:pPr>
            <w:r w:rsidRPr="008853DB">
              <w:rPr>
                <w:bCs/>
                <w:sz w:val="24"/>
                <w:szCs w:val="24"/>
              </w:rPr>
              <w:t>Rajwinder Kaur</w:t>
            </w:r>
          </w:p>
        </w:tc>
      </w:tr>
      <w:tr w:rsidR="008B7016" w:rsidRPr="008853DB" w14:paraId="3F13E577" w14:textId="77777777" w:rsidTr="002E1A22">
        <w:trPr>
          <w:trHeight w:val="483"/>
        </w:trPr>
        <w:tc>
          <w:tcPr>
            <w:tcW w:w="1747" w:type="dxa"/>
            <w:shd w:val="pct15" w:color="auto" w:fill="auto"/>
          </w:tcPr>
          <w:p w14:paraId="62714CEA" w14:textId="77777777" w:rsidR="008B7016" w:rsidRPr="008853DB" w:rsidRDefault="008B7016" w:rsidP="002E1A22">
            <w:pPr>
              <w:spacing w:before="120" w:after="120" w:line="360" w:lineRule="auto"/>
              <w:jc w:val="both"/>
              <w:rPr>
                <w:b/>
                <w:sz w:val="24"/>
                <w:szCs w:val="24"/>
              </w:rPr>
            </w:pPr>
            <w:r w:rsidRPr="008853DB">
              <w:rPr>
                <w:b/>
                <w:sz w:val="24"/>
                <w:szCs w:val="24"/>
              </w:rPr>
              <w:t>Student ID:</w:t>
            </w:r>
          </w:p>
        </w:tc>
        <w:tc>
          <w:tcPr>
            <w:tcW w:w="6895" w:type="dxa"/>
            <w:gridSpan w:val="3"/>
          </w:tcPr>
          <w:p w14:paraId="2FA098D5" w14:textId="77777777" w:rsidR="008B7016" w:rsidRPr="008853DB" w:rsidRDefault="008B7016" w:rsidP="002E1A22">
            <w:pPr>
              <w:spacing w:before="120" w:after="120" w:line="360" w:lineRule="auto"/>
              <w:jc w:val="both"/>
              <w:rPr>
                <w:b/>
                <w:bCs/>
                <w:sz w:val="24"/>
                <w:szCs w:val="24"/>
              </w:rPr>
            </w:pPr>
            <w:r w:rsidRPr="008853DB">
              <w:rPr>
                <w:bCs/>
                <w:sz w:val="24"/>
                <w:szCs w:val="24"/>
              </w:rPr>
              <w:t>2214604</w:t>
            </w:r>
          </w:p>
        </w:tc>
      </w:tr>
      <w:tr w:rsidR="008B7016" w:rsidRPr="008853DB" w14:paraId="6F0D9D6A" w14:textId="77777777" w:rsidTr="002E1A22">
        <w:trPr>
          <w:trHeight w:val="483"/>
        </w:trPr>
        <w:tc>
          <w:tcPr>
            <w:tcW w:w="1747" w:type="dxa"/>
            <w:shd w:val="pct15" w:color="auto" w:fill="auto"/>
          </w:tcPr>
          <w:p w14:paraId="7956E802" w14:textId="77777777" w:rsidR="008B7016" w:rsidRPr="008853DB" w:rsidRDefault="008B7016" w:rsidP="002E1A22">
            <w:pPr>
              <w:spacing w:before="120" w:after="120" w:line="360" w:lineRule="auto"/>
              <w:jc w:val="both"/>
              <w:rPr>
                <w:b/>
                <w:sz w:val="24"/>
                <w:szCs w:val="24"/>
              </w:rPr>
            </w:pPr>
            <w:r w:rsidRPr="008853DB">
              <w:rPr>
                <w:b/>
                <w:sz w:val="24"/>
                <w:szCs w:val="24"/>
              </w:rPr>
              <w:t>Programme:</w:t>
            </w:r>
          </w:p>
        </w:tc>
        <w:tc>
          <w:tcPr>
            <w:tcW w:w="6895" w:type="dxa"/>
            <w:gridSpan w:val="3"/>
          </w:tcPr>
          <w:p w14:paraId="160F9681" w14:textId="77777777" w:rsidR="008B7016" w:rsidRPr="008853DB" w:rsidRDefault="008B7016" w:rsidP="002E1A22">
            <w:pPr>
              <w:spacing w:before="120" w:after="120" w:line="360" w:lineRule="auto"/>
              <w:jc w:val="both"/>
              <w:rPr>
                <w:b/>
                <w:sz w:val="24"/>
                <w:szCs w:val="24"/>
              </w:rPr>
            </w:pPr>
            <w:r w:rsidRPr="008853DB">
              <w:rPr>
                <w:b/>
                <w:bCs/>
                <w:sz w:val="24"/>
                <w:szCs w:val="24"/>
              </w:rPr>
              <w:t>BA (Hons) Business Management</w:t>
            </w:r>
          </w:p>
        </w:tc>
      </w:tr>
      <w:tr w:rsidR="008B7016" w:rsidRPr="008853DB" w14:paraId="57F01191" w14:textId="77777777" w:rsidTr="002E1A22">
        <w:trPr>
          <w:trHeight w:val="469"/>
        </w:trPr>
        <w:tc>
          <w:tcPr>
            <w:tcW w:w="1747" w:type="dxa"/>
            <w:shd w:val="pct15" w:color="auto" w:fill="auto"/>
          </w:tcPr>
          <w:p w14:paraId="785CE171" w14:textId="77777777" w:rsidR="008B7016" w:rsidRPr="008853DB" w:rsidRDefault="008B7016" w:rsidP="002E1A22">
            <w:pPr>
              <w:spacing w:before="120" w:after="120" w:line="360" w:lineRule="auto"/>
              <w:jc w:val="both"/>
              <w:rPr>
                <w:b/>
                <w:sz w:val="24"/>
                <w:szCs w:val="24"/>
              </w:rPr>
            </w:pPr>
            <w:r w:rsidRPr="008853DB">
              <w:rPr>
                <w:b/>
                <w:sz w:val="24"/>
                <w:szCs w:val="24"/>
              </w:rPr>
              <w:t>Module:</w:t>
            </w:r>
          </w:p>
        </w:tc>
        <w:tc>
          <w:tcPr>
            <w:tcW w:w="6895" w:type="dxa"/>
            <w:gridSpan w:val="3"/>
          </w:tcPr>
          <w:p w14:paraId="1E41A8A9" w14:textId="77777777" w:rsidR="008B7016" w:rsidRPr="008853DB" w:rsidRDefault="008B7016" w:rsidP="002E1A22">
            <w:pPr>
              <w:spacing w:before="120" w:after="120" w:line="360" w:lineRule="auto"/>
              <w:jc w:val="both"/>
              <w:rPr>
                <w:b/>
                <w:sz w:val="24"/>
                <w:szCs w:val="24"/>
              </w:rPr>
            </w:pPr>
            <w:r w:rsidRPr="008853DB">
              <w:rPr>
                <w:b/>
                <w:sz w:val="24"/>
                <w:szCs w:val="24"/>
              </w:rPr>
              <w:t>Project Management</w:t>
            </w:r>
          </w:p>
        </w:tc>
      </w:tr>
      <w:tr w:rsidR="008B7016" w:rsidRPr="008853DB" w14:paraId="7A78E615" w14:textId="77777777" w:rsidTr="002E1A22">
        <w:trPr>
          <w:trHeight w:val="1026"/>
        </w:trPr>
        <w:tc>
          <w:tcPr>
            <w:tcW w:w="1747" w:type="dxa"/>
            <w:shd w:val="pct15" w:color="auto" w:fill="auto"/>
          </w:tcPr>
          <w:p w14:paraId="2FDECE07" w14:textId="77777777" w:rsidR="008B7016" w:rsidRPr="008853DB" w:rsidRDefault="008B7016" w:rsidP="002E1A22">
            <w:pPr>
              <w:spacing w:before="120" w:after="120" w:line="360" w:lineRule="auto"/>
              <w:jc w:val="both"/>
              <w:rPr>
                <w:b/>
                <w:sz w:val="24"/>
                <w:szCs w:val="24"/>
              </w:rPr>
            </w:pPr>
            <w:r w:rsidRPr="008853DB">
              <w:rPr>
                <w:b/>
                <w:sz w:val="24"/>
                <w:szCs w:val="24"/>
              </w:rPr>
              <w:t>Module code:</w:t>
            </w:r>
          </w:p>
        </w:tc>
        <w:tc>
          <w:tcPr>
            <w:tcW w:w="2124" w:type="dxa"/>
          </w:tcPr>
          <w:p w14:paraId="1192C108" w14:textId="77777777" w:rsidR="008B7016" w:rsidRPr="008853DB" w:rsidRDefault="008B7016" w:rsidP="002E1A22">
            <w:pPr>
              <w:spacing w:before="120" w:after="120" w:line="360" w:lineRule="auto"/>
              <w:jc w:val="both"/>
              <w:rPr>
                <w:b/>
                <w:sz w:val="24"/>
                <w:szCs w:val="24"/>
              </w:rPr>
            </w:pPr>
            <w:r w:rsidRPr="008853DB">
              <w:rPr>
                <w:b/>
                <w:sz w:val="24"/>
                <w:szCs w:val="24"/>
              </w:rPr>
              <w:t>LCBB6006</w:t>
            </w:r>
          </w:p>
        </w:tc>
        <w:tc>
          <w:tcPr>
            <w:tcW w:w="2503" w:type="dxa"/>
            <w:shd w:val="clear" w:color="auto" w:fill="D9D9D9"/>
          </w:tcPr>
          <w:p w14:paraId="46040541" w14:textId="77777777" w:rsidR="008B7016" w:rsidRPr="008853DB" w:rsidRDefault="008B7016" w:rsidP="002E1A22">
            <w:pPr>
              <w:pStyle w:val="Heading2"/>
              <w:spacing w:line="360" w:lineRule="auto"/>
              <w:rPr>
                <w:rFonts w:ascii="Times New Roman" w:hAnsi="Times New Roman" w:cs="Times New Roman"/>
                <w:sz w:val="24"/>
                <w:szCs w:val="24"/>
              </w:rPr>
            </w:pPr>
            <w:r w:rsidRPr="008853DB">
              <w:rPr>
                <w:rFonts w:ascii="Times New Roman" w:hAnsi="Times New Roman" w:cs="Times New Roman"/>
                <w:sz w:val="24"/>
                <w:szCs w:val="24"/>
              </w:rPr>
              <w:t>Submission Date</w:t>
            </w:r>
          </w:p>
        </w:tc>
        <w:tc>
          <w:tcPr>
            <w:tcW w:w="2268" w:type="dxa"/>
          </w:tcPr>
          <w:p w14:paraId="234A750B" w14:textId="77777777" w:rsidR="008B7016" w:rsidRPr="008853DB" w:rsidRDefault="008B7016" w:rsidP="002E1A22">
            <w:pPr>
              <w:spacing w:before="120" w:after="120" w:line="360" w:lineRule="auto"/>
              <w:jc w:val="both"/>
              <w:rPr>
                <w:b/>
                <w:sz w:val="24"/>
                <w:szCs w:val="24"/>
              </w:rPr>
            </w:pPr>
          </w:p>
        </w:tc>
      </w:tr>
      <w:tr w:rsidR="008B7016" w:rsidRPr="008853DB" w14:paraId="1023E5BA" w14:textId="77777777" w:rsidTr="002E1A22">
        <w:trPr>
          <w:trHeight w:val="483"/>
        </w:trPr>
        <w:tc>
          <w:tcPr>
            <w:tcW w:w="1747" w:type="dxa"/>
            <w:shd w:val="pct15" w:color="auto" w:fill="auto"/>
          </w:tcPr>
          <w:p w14:paraId="0B1FB196" w14:textId="77777777" w:rsidR="008B7016" w:rsidRPr="008853DB" w:rsidRDefault="008B7016" w:rsidP="002E1A22">
            <w:pPr>
              <w:spacing w:before="120" w:after="120" w:line="360" w:lineRule="auto"/>
              <w:jc w:val="both"/>
              <w:rPr>
                <w:b/>
                <w:sz w:val="24"/>
                <w:szCs w:val="24"/>
              </w:rPr>
            </w:pPr>
            <w:r w:rsidRPr="008853DB">
              <w:rPr>
                <w:b/>
                <w:sz w:val="24"/>
                <w:szCs w:val="24"/>
              </w:rPr>
              <w:t>Lecturer:</w:t>
            </w:r>
          </w:p>
        </w:tc>
        <w:tc>
          <w:tcPr>
            <w:tcW w:w="2124" w:type="dxa"/>
          </w:tcPr>
          <w:p w14:paraId="59EC8801" w14:textId="77777777" w:rsidR="008B7016" w:rsidRPr="008853DB" w:rsidRDefault="008B7016" w:rsidP="002E1A22">
            <w:pPr>
              <w:spacing w:before="120" w:after="120" w:line="360" w:lineRule="auto"/>
              <w:jc w:val="both"/>
              <w:rPr>
                <w:b/>
                <w:sz w:val="24"/>
                <w:szCs w:val="24"/>
              </w:rPr>
            </w:pPr>
            <w:r w:rsidRPr="008853DB">
              <w:rPr>
                <w:b/>
                <w:sz w:val="24"/>
                <w:szCs w:val="24"/>
              </w:rPr>
              <w:t>Dr Said Usman</w:t>
            </w:r>
          </w:p>
        </w:tc>
        <w:tc>
          <w:tcPr>
            <w:tcW w:w="2503" w:type="dxa"/>
            <w:shd w:val="clear" w:color="auto" w:fill="D9D9D9"/>
          </w:tcPr>
          <w:p w14:paraId="622A7743" w14:textId="77777777" w:rsidR="008B7016" w:rsidRPr="008853DB" w:rsidRDefault="008B7016" w:rsidP="002E1A22">
            <w:pPr>
              <w:spacing w:before="120" w:after="120" w:line="360" w:lineRule="auto"/>
              <w:jc w:val="both"/>
              <w:rPr>
                <w:b/>
                <w:sz w:val="24"/>
                <w:szCs w:val="24"/>
              </w:rPr>
            </w:pPr>
            <w:r w:rsidRPr="008853DB">
              <w:rPr>
                <w:b/>
                <w:sz w:val="24"/>
                <w:szCs w:val="24"/>
              </w:rPr>
              <w:t>Internal Verifier:</w:t>
            </w:r>
          </w:p>
        </w:tc>
        <w:tc>
          <w:tcPr>
            <w:tcW w:w="2268" w:type="dxa"/>
          </w:tcPr>
          <w:p w14:paraId="122E2A92" w14:textId="77777777" w:rsidR="008B7016" w:rsidRPr="008853DB" w:rsidRDefault="008B7016" w:rsidP="002E1A22">
            <w:pPr>
              <w:spacing w:before="120" w:after="120" w:line="360" w:lineRule="auto"/>
              <w:jc w:val="both"/>
              <w:rPr>
                <w:b/>
                <w:sz w:val="24"/>
                <w:szCs w:val="24"/>
              </w:rPr>
            </w:pPr>
            <w:r w:rsidRPr="008853DB">
              <w:rPr>
                <w:b/>
                <w:sz w:val="24"/>
                <w:szCs w:val="24"/>
              </w:rPr>
              <w:t>Dr Anupam Mazumdar</w:t>
            </w:r>
          </w:p>
        </w:tc>
      </w:tr>
      <w:tr w:rsidR="008B7016" w:rsidRPr="008853DB" w14:paraId="5AE18B37" w14:textId="77777777" w:rsidTr="002E1A22">
        <w:trPr>
          <w:trHeight w:val="718"/>
        </w:trPr>
        <w:tc>
          <w:tcPr>
            <w:tcW w:w="1747" w:type="dxa"/>
            <w:shd w:val="pct15" w:color="auto" w:fill="auto"/>
          </w:tcPr>
          <w:p w14:paraId="4C30DD5F" w14:textId="77777777" w:rsidR="008B7016" w:rsidRPr="008853DB" w:rsidRDefault="008B7016" w:rsidP="002E1A22">
            <w:pPr>
              <w:spacing w:before="120" w:after="120" w:line="360" w:lineRule="auto"/>
              <w:jc w:val="both"/>
              <w:rPr>
                <w:b/>
                <w:sz w:val="24"/>
                <w:szCs w:val="24"/>
              </w:rPr>
            </w:pPr>
            <w:r w:rsidRPr="008853DB">
              <w:rPr>
                <w:b/>
                <w:sz w:val="24"/>
                <w:szCs w:val="24"/>
              </w:rPr>
              <w:t>Assignment Title:</w:t>
            </w:r>
          </w:p>
        </w:tc>
        <w:tc>
          <w:tcPr>
            <w:tcW w:w="2124" w:type="dxa"/>
          </w:tcPr>
          <w:p w14:paraId="09A96653" w14:textId="77777777" w:rsidR="008B7016" w:rsidRPr="008853DB" w:rsidRDefault="008B7016" w:rsidP="002E1A22">
            <w:pPr>
              <w:spacing w:before="120" w:after="120" w:line="360" w:lineRule="auto"/>
              <w:jc w:val="both"/>
              <w:rPr>
                <w:b/>
                <w:sz w:val="24"/>
                <w:szCs w:val="24"/>
              </w:rPr>
            </w:pPr>
            <w:r w:rsidRPr="008853DB">
              <w:rPr>
                <w:b/>
                <w:bCs/>
                <w:sz w:val="24"/>
                <w:szCs w:val="24"/>
              </w:rPr>
              <w:t>Component 2: Coursework:  Essay</w:t>
            </w:r>
          </w:p>
        </w:tc>
        <w:tc>
          <w:tcPr>
            <w:tcW w:w="2503" w:type="dxa"/>
            <w:shd w:val="pct15" w:color="auto" w:fill="auto"/>
          </w:tcPr>
          <w:p w14:paraId="42C72557" w14:textId="77777777" w:rsidR="008B7016" w:rsidRPr="008853DB" w:rsidRDefault="008B7016" w:rsidP="002E1A22">
            <w:pPr>
              <w:spacing w:before="120" w:after="120" w:line="360" w:lineRule="auto"/>
              <w:jc w:val="both"/>
              <w:rPr>
                <w:b/>
                <w:sz w:val="24"/>
                <w:szCs w:val="24"/>
              </w:rPr>
            </w:pPr>
            <w:r w:rsidRPr="008853DB">
              <w:rPr>
                <w:b/>
                <w:sz w:val="24"/>
                <w:szCs w:val="24"/>
              </w:rPr>
              <w:t xml:space="preserve">Word count </w:t>
            </w:r>
          </w:p>
        </w:tc>
        <w:tc>
          <w:tcPr>
            <w:tcW w:w="2268" w:type="dxa"/>
          </w:tcPr>
          <w:p w14:paraId="6CF0545E" w14:textId="77777777" w:rsidR="008B7016" w:rsidRPr="008853DB" w:rsidRDefault="008B7016" w:rsidP="002E1A22">
            <w:pPr>
              <w:spacing w:before="120" w:after="120" w:line="360" w:lineRule="auto"/>
              <w:jc w:val="both"/>
              <w:rPr>
                <w:b/>
                <w:sz w:val="24"/>
                <w:szCs w:val="24"/>
              </w:rPr>
            </w:pPr>
            <w:r w:rsidRPr="008853DB">
              <w:rPr>
                <w:b/>
                <w:bCs/>
                <w:sz w:val="24"/>
                <w:szCs w:val="24"/>
              </w:rPr>
              <w:t>2188 words</w:t>
            </w:r>
          </w:p>
        </w:tc>
      </w:tr>
    </w:tbl>
    <w:p w14:paraId="19A69A92" w14:textId="77777777" w:rsidR="008B7016" w:rsidRPr="008853DB" w:rsidRDefault="008B7016" w:rsidP="008B7016">
      <w:pPr>
        <w:spacing w:line="360" w:lineRule="auto"/>
        <w:rPr>
          <w:sz w:val="24"/>
          <w:szCs w:val="24"/>
        </w:rPr>
      </w:pPr>
    </w:p>
    <w:p w14:paraId="2784817F" w14:textId="77777777" w:rsidR="008B7016" w:rsidRPr="008853DB" w:rsidRDefault="008B7016" w:rsidP="008B7016">
      <w:pPr>
        <w:spacing w:line="360" w:lineRule="auto"/>
        <w:rPr>
          <w:sz w:val="24"/>
          <w:szCs w:val="24"/>
        </w:rPr>
      </w:pPr>
    </w:p>
    <w:p w14:paraId="2168B04B" w14:textId="77777777" w:rsidR="008B7016" w:rsidRPr="008853DB" w:rsidRDefault="008B7016" w:rsidP="008B7016">
      <w:pPr>
        <w:spacing w:line="360" w:lineRule="auto"/>
        <w:rPr>
          <w:sz w:val="24"/>
          <w:szCs w:val="24"/>
        </w:rPr>
      </w:pPr>
    </w:p>
    <w:p w14:paraId="483FE7D7" w14:textId="77777777" w:rsidR="008B7016" w:rsidRPr="008853DB" w:rsidRDefault="008B7016" w:rsidP="008B7016">
      <w:pPr>
        <w:spacing w:line="360" w:lineRule="auto"/>
        <w:rPr>
          <w:sz w:val="24"/>
          <w:szCs w:val="24"/>
        </w:rPr>
      </w:pPr>
    </w:p>
    <w:p w14:paraId="56ADFE98" w14:textId="77777777" w:rsidR="008B7016" w:rsidRPr="008853DB" w:rsidRDefault="008B7016" w:rsidP="008B7016">
      <w:pPr>
        <w:spacing w:line="360" w:lineRule="auto"/>
        <w:rPr>
          <w:sz w:val="24"/>
          <w:szCs w:val="24"/>
        </w:rPr>
      </w:pPr>
    </w:p>
    <w:p w14:paraId="6C0CDEBD" w14:textId="77777777" w:rsidR="008B7016" w:rsidRPr="008853DB" w:rsidRDefault="008B7016" w:rsidP="008B7016">
      <w:pPr>
        <w:spacing w:after="160" w:line="360" w:lineRule="auto"/>
        <w:rPr>
          <w:sz w:val="24"/>
          <w:szCs w:val="24"/>
        </w:rPr>
      </w:pPr>
      <w:r w:rsidRPr="008853DB">
        <w:rPr>
          <w:sz w:val="24"/>
          <w:szCs w:val="24"/>
        </w:rPr>
        <w:br w:type="page"/>
      </w:r>
    </w:p>
    <w:p w14:paraId="44C9EA7A" w14:textId="77777777" w:rsidR="008B7016" w:rsidRPr="008853DB" w:rsidRDefault="008B7016" w:rsidP="008B7016">
      <w:pPr>
        <w:spacing w:line="360" w:lineRule="auto"/>
        <w:rPr>
          <w:b/>
          <w:bCs/>
          <w:sz w:val="24"/>
          <w:szCs w:val="24"/>
        </w:rPr>
      </w:pPr>
      <w:r w:rsidRPr="008853DB">
        <w:rPr>
          <w:b/>
          <w:bCs/>
          <w:sz w:val="24"/>
          <w:szCs w:val="24"/>
        </w:rPr>
        <w:lastRenderedPageBreak/>
        <w:t>Contents Page</w:t>
      </w:r>
    </w:p>
    <w:p w14:paraId="113520DE" w14:textId="77777777" w:rsidR="008B7016" w:rsidRPr="008853DB" w:rsidRDefault="008B7016" w:rsidP="008B7016">
      <w:pPr>
        <w:spacing w:line="360" w:lineRule="auto"/>
        <w:rPr>
          <w:b/>
          <w:bCs/>
          <w:sz w:val="24"/>
          <w:szCs w:val="24"/>
        </w:rPr>
      </w:pPr>
    </w:p>
    <w:p w14:paraId="3E3A9042" w14:textId="77777777" w:rsidR="008B7016" w:rsidRPr="008853DB" w:rsidRDefault="008B7016" w:rsidP="008B7016">
      <w:pPr>
        <w:spacing w:line="360" w:lineRule="auto"/>
        <w:rPr>
          <w:sz w:val="24"/>
          <w:szCs w:val="24"/>
        </w:rPr>
      </w:pPr>
      <w:r w:rsidRPr="008853DB">
        <w:rPr>
          <w:sz w:val="24"/>
          <w:szCs w:val="24"/>
        </w:rPr>
        <w:t>Introduction ……………………………………………...……………………………………3</w:t>
      </w:r>
    </w:p>
    <w:p w14:paraId="67BD02E0" w14:textId="77777777" w:rsidR="008B7016" w:rsidRPr="008853DB" w:rsidRDefault="008B7016" w:rsidP="008B7016">
      <w:pPr>
        <w:spacing w:line="360" w:lineRule="auto"/>
        <w:rPr>
          <w:sz w:val="24"/>
          <w:szCs w:val="24"/>
        </w:rPr>
      </w:pPr>
    </w:p>
    <w:p w14:paraId="59242F7A" w14:textId="77777777" w:rsidR="008B7016" w:rsidRPr="008853DB" w:rsidRDefault="008B7016" w:rsidP="008B7016">
      <w:pPr>
        <w:spacing w:line="360" w:lineRule="auto"/>
        <w:rPr>
          <w:sz w:val="24"/>
          <w:szCs w:val="24"/>
        </w:rPr>
      </w:pPr>
      <w:r w:rsidRPr="008853DB">
        <w:rPr>
          <w:sz w:val="24"/>
          <w:szCs w:val="24"/>
        </w:rPr>
        <w:t>Concepts and Rationale ………………………….……………………………………………3</w:t>
      </w:r>
    </w:p>
    <w:p w14:paraId="5C3E4EEF" w14:textId="77777777" w:rsidR="008B7016" w:rsidRPr="008853DB" w:rsidRDefault="008B7016" w:rsidP="008B7016">
      <w:pPr>
        <w:spacing w:line="360" w:lineRule="auto"/>
        <w:rPr>
          <w:sz w:val="24"/>
          <w:szCs w:val="24"/>
        </w:rPr>
      </w:pPr>
    </w:p>
    <w:p w14:paraId="5D670B14" w14:textId="77777777" w:rsidR="008B7016" w:rsidRPr="008853DB" w:rsidRDefault="008B7016" w:rsidP="008B7016">
      <w:pPr>
        <w:spacing w:line="360" w:lineRule="auto"/>
        <w:rPr>
          <w:sz w:val="24"/>
          <w:szCs w:val="24"/>
        </w:rPr>
      </w:pPr>
      <w:r w:rsidRPr="008853DB">
        <w:rPr>
          <w:sz w:val="24"/>
          <w:szCs w:val="24"/>
        </w:rPr>
        <w:t>Turnkey Contracting in Project Management ………………………………..……………… 3</w:t>
      </w:r>
    </w:p>
    <w:p w14:paraId="5520D974" w14:textId="77777777" w:rsidR="008B7016" w:rsidRPr="008853DB" w:rsidRDefault="008B7016" w:rsidP="008B7016">
      <w:pPr>
        <w:spacing w:line="360" w:lineRule="auto"/>
        <w:rPr>
          <w:sz w:val="24"/>
          <w:szCs w:val="24"/>
        </w:rPr>
      </w:pPr>
    </w:p>
    <w:p w14:paraId="68431327" w14:textId="77777777" w:rsidR="008B7016" w:rsidRPr="008853DB" w:rsidRDefault="008B7016" w:rsidP="008B7016">
      <w:pPr>
        <w:spacing w:line="360" w:lineRule="auto"/>
        <w:rPr>
          <w:sz w:val="24"/>
          <w:szCs w:val="24"/>
        </w:rPr>
      </w:pPr>
      <w:r w:rsidRPr="008853DB">
        <w:rPr>
          <w:sz w:val="24"/>
          <w:szCs w:val="24"/>
        </w:rPr>
        <w:t>Multicontract in Project Management ……………………………………………………….. 4</w:t>
      </w:r>
    </w:p>
    <w:p w14:paraId="70429B1A" w14:textId="77777777" w:rsidR="008B7016" w:rsidRPr="008853DB" w:rsidRDefault="008B7016" w:rsidP="008B7016">
      <w:pPr>
        <w:spacing w:line="360" w:lineRule="auto"/>
        <w:rPr>
          <w:sz w:val="24"/>
          <w:szCs w:val="24"/>
        </w:rPr>
      </w:pPr>
    </w:p>
    <w:p w14:paraId="46452FC7" w14:textId="77777777" w:rsidR="008B7016" w:rsidRPr="008853DB" w:rsidRDefault="008B7016" w:rsidP="008B7016">
      <w:pPr>
        <w:spacing w:line="360" w:lineRule="auto"/>
        <w:rPr>
          <w:sz w:val="24"/>
          <w:szCs w:val="24"/>
        </w:rPr>
      </w:pPr>
      <w:r w:rsidRPr="008853DB">
        <w:rPr>
          <w:sz w:val="24"/>
          <w:szCs w:val="24"/>
        </w:rPr>
        <w:t>Do-It-Yourself (DIY)  ……………………………………………………………………… 6</w:t>
      </w:r>
    </w:p>
    <w:p w14:paraId="6746BE88" w14:textId="77777777" w:rsidR="008B7016" w:rsidRPr="008853DB" w:rsidRDefault="008B7016" w:rsidP="008B7016">
      <w:pPr>
        <w:spacing w:line="360" w:lineRule="auto"/>
        <w:rPr>
          <w:sz w:val="24"/>
          <w:szCs w:val="24"/>
        </w:rPr>
      </w:pPr>
    </w:p>
    <w:p w14:paraId="20084E0F" w14:textId="77777777" w:rsidR="008B7016" w:rsidRPr="008853DB" w:rsidRDefault="008B7016" w:rsidP="008B7016">
      <w:pPr>
        <w:spacing w:line="360" w:lineRule="auto"/>
        <w:rPr>
          <w:sz w:val="24"/>
          <w:szCs w:val="24"/>
        </w:rPr>
      </w:pPr>
      <w:r w:rsidRPr="008853DB">
        <w:rPr>
          <w:sz w:val="24"/>
          <w:szCs w:val="24"/>
        </w:rPr>
        <w:t>Multicontract + DIY Contracting ……………………………………………………………. 7</w:t>
      </w:r>
    </w:p>
    <w:p w14:paraId="79A76971" w14:textId="77777777" w:rsidR="008B7016" w:rsidRPr="008853DB" w:rsidRDefault="008B7016" w:rsidP="008B7016">
      <w:pPr>
        <w:spacing w:line="360" w:lineRule="auto"/>
        <w:rPr>
          <w:sz w:val="24"/>
          <w:szCs w:val="24"/>
        </w:rPr>
      </w:pPr>
    </w:p>
    <w:p w14:paraId="268505A5" w14:textId="77777777" w:rsidR="008B7016" w:rsidRPr="008853DB" w:rsidRDefault="008B7016" w:rsidP="008B7016">
      <w:pPr>
        <w:spacing w:after="160" w:line="360" w:lineRule="auto"/>
        <w:rPr>
          <w:sz w:val="24"/>
          <w:szCs w:val="24"/>
        </w:rPr>
      </w:pPr>
      <w:r w:rsidRPr="008853DB">
        <w:rPr>
          <w:sz w:val="24"/>
          <w:szCs w:val="24"/>
        </w:rPr>
        <w:t>Conclusion …………………………………………………………………………………… 8</w:t>
      </w:r>
    </w:p>
    <w:p w14:paraId="58364C81" w14:textId="77777777" w:rsidR="008B7016" w:rsidRPr="008853DB" w:rsidRDefault="008B7016" w:rsidP="008B7016">
      <w:pPr>
        <w:spacing w:after="160" w:line="360" w:lineRule="auto"/>
        <w:rPr>
          <w:sz w:val="24"/>
          <w:szCs w:val="24"/>
        </w:rPr>
      </w:pPr>
      <w:r w:rsidRPr="008853DB">
        <w:rPr>
          <w:sz w:val="24"/>
          <w:szCs w:val="24"/>
        </w:rPr>
        <w:t>References …………………………………………………………………………………… 9</w:t>
      </w:r>
      <w:r w:rsidRPr="008853DB">
        <w:rPr>
          <w:sz w:val="24"/>
          <w:szCs w:val="24"/>
        </w:rPr>
        <w:br w:type="page"/>
      </w:r>
    </w:p>
    <w:p w14:paraId="3621C83B" w14:textId="77777777" w:rsidR="008B7016" w:rsidRPr="008853DB" w:rsidRDefault="008B7016" w:rsidP="008B7016">
      <w:pPr>
        <w:spacing w:line="360" w:lineRule="auto"/>
        <w:rPr>
          <w:b/>
          <w:bCs/>
          <w:sz w:val="24"/>
          <w:szCs w:val="24"/>
        </w:rPr>
      </w:pPr>
      <w:r w:rsidRPr="008853DB">
        <w:rPr>
          <w:b/>
          <w:bCs/>
          <w:sz w:val="24"/>
          <w:szCs w:val="24"/>
        </w:rPr>
        <w:lastRenderedPageBreak/>
        <w:t>Introduction</w:t>
      </w:r>
    </w:p>
    <w:p w14:paraId="490B5154" w14:textId="0687C469" w:rsidR="008B7016" w:rsidRPr="008853DB" w:rsidRDefault="00EA17E4" w:rsidP="008B7016">
      <w:pPr>
        <w:spacing w:line="360" w:lineRule="auto"/>
        <w:rPr>
          <w:sz w:val="24"/>
          <w:szCs w:val="24"/>
        </w:rPr>
      </w:pPr>
      <w:r w:rsidRPr="00EA17E4">
        <w:rPr>
          <w:sz w:val="24"/>
          <w:szCs w:val="24"/>
        </w:rPr>
        <w:t>Project management is coordinated application of principles, domains and practices to deliver outcomes through governed change (PMI, 2021; ISO, 2020). Effective PM converts strategy into benefits by aligning scope, time, cost, quality and risk; weak PM is a driver of delay, overspend and benefit loss (PMI, 2021). Contracting is treated as the structural choice of delivery/governance (e.g., Turnkey, MultiContract, DIY, Hybrid), not the pricing mechanism (fixed/cost-plus) (NAO, 2023; Cabinet Office, 2025). Because contracting allocates accountability and capabilities, the choice shapes project success. This essay explains four methods, evaluates their advantages, limitations and contextual fit, and demonstrates tools.</w:t>
      </w:r>
    </w:p>
    <w:p w14:paraId="523BF1CF" w14:textId="77777777" w:rsidR="008B7016" w:rsidRPr="008853DB" w:rsidRDefault="008B7016" w:rsidP="008B7016">
      <w:pPr>
        <w:spacing w:line="360" w:lineRule="auto"/>
        <w:rPr>
          <w:sz w:val="24"/>
          <w:szCs w:val="24"/>
        </w:rPr>
      </w:pPr>
    </w:p>
    <w:p w14:paraId="60B87A6C" w14:textId="77777777" w:rsidR="008B7016" w:rsidRPr="008853DB" w:rsidRDefault="008B7016" w:rsidP="008B7016">
      <w:pPr>
        <w:spacing w:line="360" w:lineRule="auto"/>
        <w:rPr>
          <w:b/>
          <w:bCs/>
          <w:sz w:val="24"/>
          <w:szCs w:val="24"/>
        </w:rPr>
      </w:pPr>
      <w:r w:rsidRPr="008853DB">
        <w:rPr>
          <w:b/>
          <w:bCs/>
          <w:sz w:val="24"/>
          <w:szCs w:val="24"/>
        </w:rPr>
        <w:t xml:space="preserve">Concepts and Rationale </w:t>
      </w:r>
    </w:p>
    <w:p w14:paraId="203D747A" w14:textId="77777777" w:rsidR="008B7016" w:rsidRPr="008853DB" w:rsidRDefault="008B7016" w:rsidP="008B7016">
      <w:pPr>
        <w:spacing w:line="360" w:lineRule="auto"/>
        <w:rPr>
          <w:sz w:val="24"/>
          <w:szCs w:val="24"/>
        </w:rPr>
      </w:pPr>
      <w:r w:rsidRPr="008853DB">
        <w:rPr>
          <w:sz w:val="24"/>
          <w:szCs w:val="24"/>
        </w:rPr>
        <w:t>Contracting techniques involve decisions about delivery and governance such as who integrates, who takes on risk and how interfaces are managed (NAO, 2023; Cabinet Office, 2025). Organisations outsource to access specialist capability at pace, reallocate risks to parties best able to manage them, accelerate time to value through supply chain capacity and meet regulatory/commercial compliance (ISO, 2020). Trade offs include loss of direct control, knowledge leakage or dependency on vendors and potential interface/coordination risk when multiple packages are let; these costs grow with complexity and weak integration governance (PMI, 2021; Fenwick Elliott, 2024). Selection must therefore match context and capability.</w:t>
      </w:r>
    </w:p>
    <w:p w14:paraId="70AA2DBB" w14:textId="77777777" w:rsidR="008B7016" w:rsidRPr="008853DB" w:rsidRDefault="008B7016" w:rsidP="008B7016">
      <w:pPr>
        <w:spacing w:line="360" w:lineRule="auto"/>
        <w:rPr>
          <w:sz w:val="24"/>
          <w:szCs w:val="24"/>
        </w:rPr>
      </w:pPr>
    </w:p>
    <w:p w14:paraId="4BA94EBA" w14:textId="77777777" w:rsidR="008B7016" w:rsidRPr="008853DB" w:rsidRDefault="008B7016" w:rsidP="008B7016">
      <w:pPr>
        <w:spacing w:line="360" w:lineRule="auto"/>
        <w:rPr>
          <w:b/>
          <w:bCs/>
          <w:sz w:val="24"/>
          <w:szCs w:val="24"/>
        </w:rPr>
      </w:pPr>
      <w:r w:rsidRPr="008853DB">
        <w:rPr>
          <w:b/>
          <w:bCs/>
          <w:sz w:val="24"/>
          <w:szCs w:val="24"/>
        </w:rPr>
        <w:t>Turnkey Contracting in Project Management</w:t>
      </w:r>
    </w:p>
    <w:p w14:paraId="393E0FB6" w14:textId="77777777" w:rsidR="008B7016" w:rsidRPr="008853DB" w:rsidRDefault="008B7016" w:rsidP="008B7016">
      <w:pPr>
        <w:spacing w:line="360" w:lineRule="auto"/>
        <w:rPr>
          <w:sz w:val="24"/>
          <w:szCs w:val="24"/>
        </w:rPr>
      </w:pPr>
      <w:r w:rsidRPr="008853DB">
        <w:rPr>
          <w:b/>
          <w:bCs/>
          <w:sz w:val="24"/>
          <w:szCs w:val="24"/>
        </w:rPr>
        <w:t>Definition &amp; Governance:</w:t>
      </w:r>
      <w:r w:rsidRPr="008853DB">
        <w:rPr>
          <w:sz w:val="24"/>
          <w:szCs w:val="24"/>
        </w:rPr>
        <w:t xml:space="preserve"> n turnkey contract project management method, one contractor manages all project components, from design and procurement to construction and delivers a fully operating facility to the owner (Adnan &amp; Rosman, 2018).  In real estate development, “turnkey” means the customer just has to “turn the key” to a finished property (Merna &amp; Smith, 1990; Mimoso, 2020).  Turnkey contracting improves governance by combining roles: the owner signs one contract for a set price fixed amount and the contractor executes the project to performance requirements.  EPC (Engineering, Procurement, Construction) and design–build are sometimes used interchangeably with turnkey since they include integrated delivery under one company (Huse, 2002).  Standard contract formats, such as the FIDIC Silver Book for EPC/Turnkey projects, assign most project risks to the contractor and limit the owner's involvement to setting criteria and accepting the finished product (Huse, 2002).  </w:t>
      </w:r>
      <w:r w:rsidRPr="008853DB">
        <w:rPr>
          <w:sz w:val="24"/>
          <w:szCs w:val="24"/>
        </w:rPr>
        <w:lastRenderedPageBreak/>
        <w:t>This governance approach requires the contractor to manage design and construction quality and meet deadlines and prices under contract control.</w:t>
      </w:r>
    </w:p>
    <w:p w14:paraId="1CED804D" w14:textId="77777777" w:rsidR="008B7016" w:rsidRPr="008853DB" w:rsidRDefault="008B7016" w:rsidP="008B7016">
      <w:pPr>
        <w:spacing w:line="360" w:lineRule="auto"/>
        <w:rPr>
          <w:sz w:val="24"/>
          <w:szCs w:val="24"/>
        </w:rPr>
      </w:pPr>
      <w:r w:rsidRPr="008853DB">
        <w:rPr>
          <w:b/>
          <w:bCs/>
          <w:sz w:val="24"/>
          <w:szCs w:val="24"/>
        </w:rPr>
        <w:t>Pros:</w:t>
      </w:r>
      <w:r w:rsidRPr="008853DB">
        <w:rPr>
          <w:sz w:val="24"/>
          <w:szCs w:val="24"/>
        </w:rPr>
        <w:t xml:space="preserve"> Turnkey contracting benefits project management.  First, the owner can hold the contractor exclusively responsible for the design, construction, and project performance (Merna &amp; Smith, 1990).  Since contractor organises all subcontractors and consultants, this methods is simplifies communication and reduces owner's coordinating load. Turnkey arrangements speed project delivery.  The contractor can overlap design and construction processes, allowing the project to finish faster than the design–bid–build process (Huse, 2002).  Third, turnkey contracts are usually fixed-price, offering the customer cost certainty and moving financial risk to the contractor.  The owner understands the project cost upfront, which helps control budgets (Merna &amp; Smith, 1990).  Contractors may charge more for this risk, but they may optimise design and construction for efficiency.  One company designing and building the project improves buildability, creativity and reduces designer-builder disagreements. </w:t>
      </w:r>
    </w:p>
    <w:p w14:paraId="5E5FD2E0" w14:textId="77777777" w:rsidR="008B7016" w:rsidRPr="008853DB" w:rsidRDefault="008B7016" w:rsidP="008B7016">
      <w:pPr>
        <w:spacing w:line="360" w:lineRule="auto"/>
        <w:rPr>
          <w:sz w:val="24"/>
          <w:szCs w:val="24"/>
        </w:rPr>
      </w:pPr>
      <w:r w:rsidRPr="008853DB">
        <w:rPr>
          <w:b/>
          <w:bCs/>
          <w:sz w:val="24"/>
          <w:szCs w:val="24"/>
        </w:rPr>
        <w:t>Cons:</w:t>
      </w:r>
      <w:r w:rsidRPr="008853DB">
        <w:rPr>
          <w:sz w:val="24"/>
          <w:szCs w:val="24"/>
        </w:rPr>
        <w:t xml:space="preserve"> Although it is useful method but turnkey method has limitations and risks. Client satisfaction has limited effect after contract award which may result in misalignment with owner expectations or less flexibility for changes (Sha, 2016; Berends, 2015). A "hands-off" approach may cause dissatisfaction if end facility does not meet consumer preferences or have quality issues at completion. Moreover, to keep within budget, contractor may under design or utilise low quality and less expensive materials to save money, result in lower quality (Huse, 2002). Owners frequently need to hire independent supervisors or inspectors to ensure that contractor's work meets specifications and performance standards. Change orders limit the benefits of turnkey projects and can strain owner-contractor relationships (Frost and Hellgren, 2023). Thus, specific early needs are time-consuming yet necessary as the planning process grows longer and more complex. Furthermore, turnkey projects give the contractor a major advantage in risk allocation. Contractors must absorb cost overruns, design defects, and other risks, which increase bid costs and put a burden on resources if unexpected issues develop (Adnan &amp; Rosman 2018). Thus, contractor's knowledge and financial strength are critical to project success; weak or unwilling contractor increases likelihood of project failure (Adnan &amp; Rosman, 2018).</w:t>
      </w:r>
    </w:p>
    <w:p w14:paraId="1D29D177" w14:textId="77777777" w:rsidR="008B7016" w:rsidRPr="008853DB" w:rsidRDefault="008B7016" w:rsidP="008B7016">
      <w:pPr>
        <w:spacing w:line="360" w:lineRule="auto"/>
        <w:rPr>
          <w:sz w:val="24"/>
          <w:szCs w:val="24"/>
        </w:rPr>
      </w:pPr>
    </w:p>
    <w:p w14:paraId="68557FE5" w14:textId="77777777" w:rsidR="008B7016" w:rsidRPr="008853DB" w:rsidRDefault="008B7016" w:rsidP="008B7016">
      <w:pPr>
        <w:spacing w:line="360" w:lineRule="auto"/>
        <w:rPr>
          <w:b/>
          <w:bCs/>
          <w:sz w:val="24"/>
          <w:szCs w:val="24"/>
        </w:rPr>
      </w:pPr>
      <w:r w:rsidRPr="008853DB">
        <w:rPr>
          <w:b/>
          <w:bCs/>
          <w:sz w:val="24"/>
          <w:szCs w:val="24"/>
        </w:rPr>
        <w:t>Multicontract in Project Management</w:t>
      </w:r>
    </w:p>
    <w:p w14:paraId="331860D7" w14:textId="1673242D" w:rsidR="008B7016" w:rsidRPr="008853DB" w:rsidRDefault="008B7016" w:rsidP="008B7016">
      <w:pPr>
        <w:spacing w:line="360" w:lineRule="auto"/>
        <w:rPr>
          <w:sz w:val="24"/>
          <w:szCs w:val="24"/>
        </w:rPr>
      </w:pPr>
      <w:r w:rsidRPr="008853DB">
        <w:rPr>
          <w:b/>
          <w:bCs/>
          <w:sz w:val="24"/>
          <w:szCs w:val="24"/>
        </w:rPr>
        <w:t>Definition &amp; Governance:</w:t>
      </w:r>
      <w:r w:rsidRPr="008853DB">
        <w:rPr>
          <w:sz w:val="24"/>
          <w:szCs w:val="24"/>
        </w:rPr>
        <w:t xml:space="preserve"> The multicontract method is a project delivery strategy where a client splits the work into multiple contracts, engaging several contractors directly for </w:t>
      </w:r>
      <w:r w:rsidRPr="008853DB">
        <w:rPr>
          <w:sz w:val="24"/>
          <w:szCs w:val="24"/>
        </w:rPr>
        <w:lastRenderedPageBreak/>
        <w:t xml:space="preserve">different project components (Gandhi, 2024; Helmi, 2025). </w:t>
      </w:r>
      <w:r w:rsidR="00522D26">
        <w:rPr>
          <w:sz w:val="24"/>
          <w:szCs w:val="24"/>
        </w:rPr>
        <w:t>O</w:t>
      </w:r>
      <w:r w:rsidRPr="008853DB">
        <w:rPr>
          <w:sz w:val="24"/>
          <w:szCs w:val="24"/>
        </w:rPr>
        <w:t>wner hires design experts to make documentation and then signs separate deals with each trade or work package nstead of one general contractor (Kuhlmann, Benedetto and Frisa, 2025). This method allows the owner more control over contractor selection and sequencing, but they must also manage and coordinate contractor interactions (AlBarkous, Hatush and Mohammed, 2023; Su et al., 2025). The owner (or construction/program manager) must handle design integration, scheduling and contractor interactions in a multicontract system (Albarkous, Hatush and Mohammed, 2023). This indicates that the owner is liable for interface issues and delays and must devote more effort to contract administration and coordination than single contract (Rojas, 2008). Clear duties, robust coordination and conflict resolution are essential for successful multicontract project management (Su et al., 2025; Government Project Delivery, 2024).</w:t>
      </w:r>
    </w:p>
    <w:p w14:paraId="4947DA1E" w14:textId="77777777" w:rsidR="008B7016" w:rsidRPr="008853DB" w:rsidRDefault="008B7016" w:rsidP="008B7016">
      <w:pPr>
        <w:spacing w:line="360" w:lineRule="auto"/>
        <w:rPr>
          <w:sz w:val="24"/>
          <w:szCs w:val="24"/>
        </w:rPr>
      </w:pPr>
      <w:r w:rsidRPr="008853DB">
        <w:rPr>
          <w:b/>
          <w:bCs/>
          <w:sz w:val="24"/>
          <w:szCs w:val="24"/>
        </w:rPr>
        <w:t>Pros:</w:t>
      </w:r>
      <w:r w:rsidRPr="008853DB">
        <w:rPr>
          <w:sz w:val="24"/>
          <w:szCs w:val="24"/>
        </w:rPr>
        <w:t xml:space="preserve"> Adopt multiple prime contracts can deliver cost advantages and flexibility. According to research, public projects with multiple prime contractors cost 5% less than single contract projects (Rojas, 2008). When direct contracts with the owner eliminate general contractor risk premiums and mark-ups, speciality contractors bid more competitively (Rojas, 2008). A research found that multi-prime contracting reduced building costs by 8% (Kim, 2017). To improve quality, each package is managed by contractor with competence in that scope (Orango, Ajwang and Njuki, 2024). For instance, one analysis reported that multi-prime projects had significantly better quality outcomes than single-prime projects in large infrastructure works (Orango et al., 2025). The project benefits from contractors who are confident and knowledgeable in their trades since the owner may hire experts (Harling et al., 2014). Moreover, multicontract strategy gives schedule and scope management more flexibility. By overlapping design and construction, the customer may speed up the project by starting certain work packages while others are designed (Albarkous, Hatush and Mohammed, 2023). Accelerating, decelerating, or reordering individual contracts can help adapt scope or budget changes without renegotiating the project contract (Albarkous, Hatush, and Mohammed, 2023). Multi-contracting can increase competitiveness (more bids for smaller packages), offer the owner direct management of each contract, and allow adaptive project phasing to meet schedule or technical restrictions (Harling et al., 2014; Su et al., 2025).</w:t>
      </w:r>
    </w:p>
    <w:p w14:paraId="64878BB6" w14:textId="77777777" w:rsidR="008B7016" w:rsidRPr="008853DB" w:rsidRDefault="008B7016" w:rsidP="008B7016">
      <w:pPr>
        <w:spacing w:line="360" w:lineRule="auto"/>
        <w:rPr>
          <w:sz w:val="24"/>
          <w:szCs w:val="24"/>
        </w:rPr>
      </w:pPr>
      <w:r w:rsidRPr="008853DB">
        <w:rPr>
          <w:b/>
          <w:bCs/>
          <w:sz w:val="24"/>
          <w:szCs w:val="24"/>
        </w:rPr>
        <w:t>Cons:</w:t>
      </w:r>
      <w:r w:rsidRPr="008853DB">
        <w:rPr>
          <w:sz w:val="24"/>
          <w:szCs w:val="24"/>
        </w:rPr>
        <w:t xml:space="preserve"> There are number of problems and concerns with multicontract method.  The owner's huge administrative and coordinating load is most important thing to note.  It costs more to manage a project when there are more contracts and bids that involve more effort and </w:t>
      </w:r>
      <w:r w:rsidRPr="008853DB">
        <w:rPr>
          <w:sz w:val="24"/>
          <w:szCs w:val="24"/>
        </w:rPr>
        <w:lastRenderedPageBreak/>
        <w:t xml:space="preserve">oversight (AlBarkous, Hatush, and Mohammed, 2023).  In a case with more than one contract, the owner may not know the final cost of the project until the last package is chosen. This makes it tougher to plan and control costs (AlBarkous, Hatush and Mohammed, 2023).  Owners lose one general contractor responsibility point.  With many prime contractors, the client solves interface issues as no one connects.  One contractor's delay or mistake may disrupt others' work, generating conflicts or a blame-shifting “domino effect” (AlBarkous, Hatush and Mohammed, 2023).  Inter-contractor disputes, coordination issues, and scope overlaps delay and cost multi-contract projects (AlBarkous, Hatush, and Mohammed, 2023).  The owner must handle coordination or design difficulties since the customer has substantial interface risk (Harling et al., 2014). Multi-prime can cause cost overruns and schedule delays without effective management due to the difficulties of arranging multiple independent contractors (Orango et al., 2025). </w:t>
      </w:r>
    </w:p>
    <w:p w14:paraId="3F07A4A7" w14:textId="77777777" w:rsidR="008B7016" w:rsidRPr="008853DB" w:rsidRDefault="008B7016" w:rsidP="008B7016">
      <w:pPr>
        <w:spacing w:line="360" w:lineRule="auto"/>
        <w:rPr>
          <w:sz w:val="24"/>
          <w:szCs w:val="24"/>
        </w:rPr>
      </w:pPr>
    </w:p>
    <w:p w14:paraId="234464D9" w14:textId="77777777" w:rsidR="008B7016" w:rsidRPr="008853DB" w:rsidRDefault="008B7016" w:rsidP="008B7016">
      <w:pPr>
        <w:spacing w:line="360" w:lineRule="auto"/>
        <w:rPr>
          <w:b/>
          <w:bCs/>
          <w:sz w:val="24"/>
          <w:szCs w:val="24"/>
        </w:rPr>
      </w:pPr>
      <w:r w:rsidRPr="008853DB">
        <w:rPr>
          <w:b/>
          <w:bCs/>
          <w:sz w:val="24"/>
          <w:szCs w:val="24"/>
        </w:rPr>
        <w:t xml:space="preserve">Do-It-Yourself (DIY) </w:t>
      </w:r>
    </w:p>
    <w:p w14:paraId="11DDABEE" w14:textId="77777777" w:rsidR="008B7016" w:rsidRPr="008853DB" w:rsidRDefault="008B7016" w:rsidP="008B7016">
      <w:pPr>
        <w:spacing w:line="360" w:lineRule="auto"/>
        <w:rPr>
          <w:sz w:val="24"/>
          <w:szCs w:val="24"/>
        </w:rPr>
      </w:pPr>
      <w:r w:rsidRPr="008853DB">
        <w:rPr>
          <w:b/>
          <w:bCs/>
          <w:sz w:val="24"/>
          <w:szCs w:val="24"/>
        </w:rPr>
        <w:t>Definition &amp; Governance:</w:t>
      </w:r>
      <w:r w:rsidRPr="008853DB">
        <w:rPr>
          <w:sz w:val="24"/>
          <w:szCs w:val="24"/>
        </w:rPr>
        <w:t xml:space="preserve"> In DIY contracting which is also known as force account or owner-managed, the project owner is the general contractor and the people who work for the company are the project managers (Almutairi et al., 2022). The owner's team arranges, recruits, and schedules subcontractors instead of a primary contractor (Almutairi et al., 2022).  Design and inspection consultants are generally less involved under this technique (Almutairi et al., 2022).  DIY project owners require enough technical staff and effective administration (Magania, Tekka and Chengula, 2025). When becoming an independent contractor and making decisions, the owner must establish strong quality, risk, and time management controls (Almutairi et al., 2022). Owners with the skills, time and infrastructure to self-manage projects can use this technique.</w:t>
      </w:r>
    </w:p>
    <w:p w14:paraId="00198DCD" w14:textId="77777777" w:rsidR="008B7016" w:rsidRPr="008853DB" w:rsidRDefault="008B7016" w:rsidP="008B7016">
      <w:pPr>
        <w:spacing w:line="360" w:lineRule="auto"/>
        <w:rPr>
          <w:sz w:val="24"/>
          <w:szCs w:val="24"/>
        </w:rPr>
      </w:pPr>
      <w:r w:rsidRPr="008853DB">
        <w:rPr>
          <w:b/>
          <w:bCs/>
          <w:sz w:val="24"/>
          <w:szCs w:val="24"/>
        </w:rPr>
        <w:t>Pros:</w:t>
      </w:r>
      <w:r w:rsidRPr="008853DB">
        <w:rPr>
          <w:sz w:val="24"/>
          <w:szCs w:val="24"/>
        </w:rPr>
        <w:t xml:space="preserve"> DIY contracting can lead to significant cost savings and better budget control by removing overheads and profit margins associated with general contractors, resulting in enhanced project cost efficiency and value for money (Magania et al., 2025). This method enables owners directly control spending which makes financial transactions more open and accountable.  Internal project management also gives business owners more freedom and control, so they can respond quickly to unexpected events and observe day-to-day operations (Blevins, 2022).  Lessening contractual obligations allows tasks be re-prioritized and designs be improved, which stakeholders see as more openness and response.  Additionally, do-it-yourself projects are more in line with the owner's goals and standards because outside workers do not have any competing interests (Awuzie et al., 2022).  This alignment is good </w:t>
      </w:r>
      <w:r w:rsidRPr="008853DB">
        <w:rPr>
          <w:sz w:val="24"/>
          <w:szCs w:val="24"/>
        </w:rPr>
        <w:lastRenderedPageBreak/>
        <w:t>for repeat builders who can do tasks on their own to gain experience and remember things for future projects. Well-run do-it-yourself projects may be able to compete with hired ones in terms of cost, schedule and quality.</w:t>
      </w:r>
    </w:p>
    <w:p w14:paraId="6F6197C2" w14:textId="77777777" w:rsidR="008B7016" w:rsidRPr="008853DB" w:rsidRDefault="008B7016" w:rsidP="008B7016">
      <w:pPr>
        <w:spacing w:line="360" w:lineRule="auto"/>
        <w:rPr>
          <w:sz w:val="24"/>
          <w:szCs w:val="24"/>
        </w:rPr>
      </w:pPr>
      <w:r w:rsidRPr="008853DB">
        <w:rPr>
          <w:b/>
          <w:bCs/>
          <w:sz w:val="24"/>
          <w:szCs w:val="24"/>
        </w:rPr>
        <w:t>Cons:</w:t>
      </w:r>
      <w:r w:rsidRPr="008853DB">
        <w:rPr>
          <w:sz w:val="24"/>
          <w:szCs w:val="24"/>
        </w:rPr>
        <w:t xml:space="preserve"> DIY contracting places significant risks and liabilities on the project owner, who is fully accountable for cost overruns, schedule delays, and workmanship issues, making it unsuitable for risk-averse investors (Awuzie et al., 2022). Not all owners have the project management skills and resources to plan, supervise, and complete key activities with a professional in-house staff. Ineffective monitoring can cause quality and compliance issues, with stakeholders citing quality control and scheduling issues (Magania et al., 2025). Assuming contractor duties can also be time consuming, distracting from owner's main business operations and complicate project management that leading in inefficiencies and slower project completion (Gabriel et al., 2024). Overall, DIY contracting is often impractical for larger or more complex projects that demand professional expertise for perfection (Magania et al., 2025).</w:t>
      </w:r>
    </w:p>
    <w:p w14:paraId="0E07E6B7" w14:textId="77777777" w:rsidR="008B7016" w:rsidRPr="008853DB" w:rsidRDefault="008B7016" w:rsidP="008B7016">
      <w:pPr>
        <w:spacing w:line="360" w:lineRule="auto"/>
        <w:rPr>
          <w:sz w:val="24"/>
          <w:szCs w:val="24"/>
        </w:rPr>
      </w:pPr>
    </w:p>
    <w:p w14:paraId="602AB7B2" w14:textId="77777777" w:rsidR="008B7016" w:rsidRPr="008853DB" w:rsidRDefault="008B7016" w:rsidP="008B7016">
      <w:pPr>
        <w:spacing w:line="360" w:lineRule="auto"/>
        <w:rPr>
          <w:sz w:val="24"/>
          <w:szCs w:val="24"/>
        </w:rPr>
      </w:pPr>
    </w:p>
    <w:p w14:paraId="61D610DD" w14:textId="77777777" w:rsidR="008B7016" w:rsidRPr="008853DB" w:rsidRDefault="008B7016" w:rsidP="008B7016">
      <w:pPr>
        <w:spacing w:line="360" w:lineRule="auto"/>
        <w:rPr>
          <w:b/>
          <w:bCs/>
          <w:sz w:val="24"/>
          <w:szCs w:val="24"/>
        </w:rPr>
      </w:pPr>
      <w:r w:rsidRPr="008853DB">
        <w:rPr>
          <w:b/>
          <w:bCs/>
          <w:sz w:val="24"/>
          <w:szCs w:val="24"/>
        </w:rPr>
        <w:t xml:space="preserve">Multicontract + DIY Contracting </w:t>
      </w:r>
    </w:p>
    <w:p w14:paraId="6C51C905" w14:textId="77777777" w:rsidR="008B7016" w:rsidRPr="008853DB" w:rsidRDefault="008B7016" w:rsidP="008B7016">
      <w:pPr>
        <w:spacing w:line="360" w:lineRule="auto"/>
        <w:rPr>
          <w:sz w:val="24"/>
          <w:szCs w:val="24"/>
        </w:rPr>
      </w:pPr>
      <w:r w:rsidRPr="008853DB">
        <w:rPr>
          <w:b/>
          <w:bCs/>
          <w:sz w:val="24"/>
          <w:szCs w:val="24"/>
        </w:rPr>
        <w:t>Definition &amp; Governance:</w:t>
      </w:r>
      <w:r w:rsidRPr="008853DB">
        <w:rPr>
          <w:sz w:val="24"/>
          <w:szCs w:val="24"/>
        </w:rPr>
        <w:t xml:space="preserve"> A multicontract + DIY project delivery technique involves owner (client) hiring numerous contractors directly for different parts of job rather than single general contractor (AlBarkous et al., 2023).  Multi-prime contracting divides project into the specialised packages (e.g. civil, electrical, mechanical contracts) to take advantage of expertise and speed up or lower costs (AlBarkous et al., 2023).  Governance is more complicated in this setup since the owner coordinates instead of a major contractor.  The owner or project manager must coordinate contractor designs, timetables and responsibilities (Harling et al., 2014).  Research shows that an owner's management competence positively impacts project success in multi-contract agreements (Kim, 2017).  Professional construction managers assist owners manage and integrate different contracts to ensure effective communication and dispute resolution (Kim, 2017).</w:t>
      </w:r>
    </w:p>
    <w:p w14:paraId="1899C3BF" w14:textId="43DDAD46" w:rsidR="008B7016" w:rsidRPr="008853DB" w:rsidRDefault="008B7016" w:rsidP="008B7016">
      <w:pPr>
        <w:spacing w:line="360" w:lineRule="auto"/>
        <w:rPr>
          <w:sz w:val="24"/>
          <w:szCs w:val="24"/>
        </w:rPr>
      </w:pPr>
      <w:r w:rsidRPr="008853DB">
        <w:rPr>
          <w:b/>
          <w:bCs/>
          <w:sz w:val="24"/>
          <w:szCs w:val="24"/>
        </w:rPr>
        <w:t>Pros:</w:t>
      </w:r>
      <w:r w:rsidRPr="008853DB">
        <w:rPr>
          <w:sz w:val="24"/>
          <w:szCs w:val="24"/>
        </w:rPr>
        <w:t xml:space="preserve"> The use of multi-prime contracts can improve cost effectiveness of building projects. This allows owners to save around 8% of their money by removing markup that is often charged by general contractors (Kim, 2017). This method allows for direct contracts with specialised contractors which improve the quality and efficiency because professionals manage every agreement (AlBarkous et al., 2023; Harling et al., 2014).  Also, owners have </w:t>
      </w:r>
      <w:r w:rsidRPr="008853DB">
        <w:rPr>
          <w:sz w:val="24"/>
          <w:szCs w:val="24"/>
        </w:rPr>
        <w:lastRenderedPageBreak/>
        <w:t>more influence over choosing contractors and managing projects which makes it easier to make rapid decisions and cuts down on misunderstandings (Orango et al., 2025).</w:t>
      </w:r>
    </w:p>
    <w:p w14:paraId="5DF744D6" w14:textId="77777777" w:rsidR="008B7016" w:rsidRPr="008853DB" w:rsidRDefault="008B7016" w:rsidP="008B7016">
      <w:pPr>
        <w:spacing w:line="360" w:lineRule="auto"/>
        <w:rPr>
          <w:sz w:val="24"/>
          <w:szCs w:val="24"/>
        </w:rPr>
      </w:pPr>
      <w:r w:rsidRPr="008853DB">
        <w:rPr>
          <w:b/>
          <w:bCs/>
          <w:sz w:val="24"/>
          <w:szCs w:val="24"/>
        </w:rPr>
        <w:t>Cons</w:t>
      </w:r>
      <w:r w:rsidRPr="008853DB">
        <w:rPr>
          <w:sz w:val="24"/>
          <w:szCs w:val="24"/>
        </w:rPr>
        <w:t>: Managing multiple contracts in construction presents significant challenges, including the high coordination burden, increased administrative load, and greater exposure to risks for owners (Harling et al., 2014). Owners have to deal with challenging integration responsibilities amongst contractors which makes it more likely that there will be delays and arguments because of poorly managed interfaces (Kim, 2017; AlBarkous et al., 2023).  Also, multi contracting makes administrative work and prices go up because of many procurement procedures and paperwork. This might be too much for project management teams that are not ready (Orango et al., 2025).  Without a general contractor, owners are entirely responsible for construction risks, such as cost overruns and delays which might cancel out whatever savings they were expecting because of mistakes. This means that it need to be very careful about managing risks and communicating well for avoid problems and make sure the project successful (Orango et al., 2025).</w:t>
      </w:r>
    </w:p>
    <w:p w14:paraId="7218A666" w14:textId="77777777" w:rsidR="008B7016" w:rsidRPr="008853DB" w:rsidRDefault="008B7016" w:rsidP="008B7016">
      <w:pPr>
        <w:spacing w:line="360" w:lineRule="auto"/>
        <w:rPr>
          <w:sz w:val="24"/>
          <w:szCs w:val="24"/>
        </w:rPr>
      </w:pPr>
    </w:p>
    <w:p w14:paraId="36B47D08" w14:textId="77777777" w:rsidR="008B7016" w:rsidRPr="008853DB" w:rsidRDefault="008B7016" w:rsidP="008B7016">
      <w:pPr>
        <w:spacing w:line="360" w:lineRule="auto"/>
        <w:rPr>
          <w:b/>
          <w:bCs/>
          <w:sz w:val="24"/>
          <w:szCs w:val="24"/>
        </w:rPr>
      </w:pPr>
      <w:r w:rsidRPr="008853DB">
        <w:rPr>
          <w:b/>
          <w:bCs/>
          <w:sz w:val="24"/>
          <w:szCs w:val="24"/>
        </w:rPr>
        <w:t>Conclusion</w:t>
      </w:r>
    </w:p>
    <w:p w14:paraId="452D7DFD" w14:textId="77777777" w:rsidR="008B7016" w:rsidRPr="008853DB" w:rsidRDefault="008B7016" w:rsidP="008B7016">
      <w:pPr>
        <w:spacing w:line="360" w:lineRule="auto"/>
        <w:rPr>
          <w:sz w:val="24"/>
          <w:szCs w:val="24"/>
        </w:rPr>
      </w:pPr>
      <w:r w:rsidRPr="008853DB">
        <w:rPr>
          <w:sz w:val="24"/>
          <w:szCs w:val="24"/>
        </w:rPr>
        <w:t>In conclusion, there is no universal "best" approach of contracting; performance is dependent on the circumstances and capabilities of the situation.  Turnkey is suitable for assets that are well-specified and heavy on integration when certainty is of the utmost importance; multicontract is suitable for modular scopes where a strong client project manager can handle interfaces; do-it-yourself (DIY) is beneficial for strategic learning and intellectual property retention when there is a high degree of uncertainty; hybrid is optimal when novel and commodity work coexist.  The application of specific selection criteria and operational tools such as work breakdown structures (WBS), stakeholder mapping, risk registers, and schedule controls, helps to align governance with risk, strengthen accountability, and minimise delivery uncertainty across a variety of projects in a measurable way.</w:t>
      </w:r>
    </w:p>
    <w:p w14:paraId="7D4723D4" w14:textId="77777777" w:rsidR="008B7016" w:rsidRPr="008853DB" w:rsidRDefault="008B7016" w:rsidP="008B7016">
      <w:pPr>
        <w:spacing w:line="360" w:lineRule="auto"/>
        <w:rPr>
          <w:sz w:val="24"/>
          <w:szCs w:val="24"/>
        </w:rPr>
      </w:pPr>
    </w:p>
    <w:p w14:paraId="2D3682D0" w14:textId="77777777" w:rsidR="008B7016" w:rsidRPr="008853DB" w:rsidRDefault="008B7016" w:rsidP="008B7016">
      <w:pPr>
        <w:spacing w:line="360" w:lineRule="auto"/>
        <w:rPr>
          <w:sz w:val="24"/>
          <w:szCs w:val="24"/>
        </w:rPr>
      </w:pPr>
    </w:p>
    <w:p w14:paraId="1F4536B6" w14:textId="77777777" w:rsidR="008B7016" w:rsidRPr="008853DB" w:rsidRDefault="008B7016" w:rsidP="008B7016">
      <w:pPr>
        <w:spacing w:line="360" w:lineRule="auto"/>
        <w:rPr>
          <w:sz w:val="24"/>
          <w:szCs w:val="24"/>
        </w:rPr>
      </w:pPr>
    </w:p>
    <w:p w14:paraId="3D50B318" w14:textId="77777777" w:rsidR="008B7016" w:rsidRPr="008853DB" w:rsidRDefault="008B7016" w:rsidP="008B7016">
      <w:pPr>
        <w:spacing w:line="360" w:lineRule="auto"/>
        <w:rPr>
          <w:sz w:val="24"/>
          <w:szCs w:val="24"/>
        </w:rPr>
      </w:pPr>
    </w:p>
    <w:p w14:paraId="5BF3646D" w14:textId="77777777" w:rsidR="008B7016" w:rsidRPr="008853DB" w:rsidRDefault="008B7016" w:rsidP="008B7016">
      <w:pPr>
        <w:spacing w:after="160" w:line="360" w:lineRule="auto"/>
        <w:rPr>
          <w:sz w:val="24"/>
          <w:szCs w:val="24"/>
        </w:rPr>
      </w:pPr>
      <w:r w:rsidRPr="008853DB">
        <w:rPr>
          <w:sz w:val="24"/>
          <w:szCs w:val="24"/>
        </w:rPr>
        <w:br w:type="page"/>
      </w:r>
    </w:p>
    <w:p w14:paraId="23609918" w14:textId="77777777" w:rsidR="008B7016" w:rsidRPr="008853DB" w:rsidRDefault="008B7016" w:rsidP="008B7016">
      <w:pPr>
        <w:spacing w:line="360" w:lineRule="auto"/>
        <w:rPr>
          <w:b/>
          <w:bCs/>
          <w:sz w:val="24"/>
          <w:szCs w:val="24"/>
        </w:rPr>
      </w:pPr>
      <w:r w:rsidRPr="008853DB">
        <w:rPr>
          <w:b/>
          <w:bCs/>
          <w:sz w:val="24"/>
          <w:szCs w:val="24"/>
        </w:rPr>
        <w:lastRenderedPageBreak/>
        <w:t>References</w:t>
      </w:r>
    </w:p>
    <w:p w14:paraId="4BDDEBFC" w14:textId="77777777" w:rsidR="008B7016" w:rsidRPr="008853DB" w:rsidRDefault="008B7016" w:rsidP="008B7016">
      <w:pPr>
        <w:spacing w:line="360" w:lineRule="auto"/>
        <w:rPr>
          <w:sz w:val="24"/>
          <w:szCs w:val="24"/>
          <w:lang w:val="en-IN"/>
        </w:rPr>
      </w:pPr>
      <w:r w:rsidRPr="008853DB">
        <w:rPr>
          <w:sz w:val="24"/>
          <w:szCs w:val="24"/>
          <w:lang w:val="en-IN"/>
        </w:rPr>
        <w:t xml:space="preserve">Adnan, H. &amp; Rosman, M.R. (2018). Risk management in turnkey projects in Malaysia. WSEAS Transactions on Business and Economics, 15, 35–43. Available at: </w:t>
      </w:r>
      <w:hyperlink r:id="rId6" w:history="1">
        <w:r w:rsidRPr="008853DB">
          <w:rPr>
            <w:rStyle w:val="Hyperlink"/>
            <w:sz w:val="24"/>
            <w:szCs w:val="24"/>
            <w:lang w:val="en-IN"/>
          </w:rPr>
          <w:t>https://www.wseas.org/multimedia/journals/economics/2018/a125907-027.pdf</w:t>
        </w:r>
      </w:hyperlink>
      <w:r w:rsidRPr="008853DB">
        <w:rPr>
          <w:sz w:val="24"/>
          <w:szCs w:val="24"/>
          <w:lang w:val="en-IN"/>
        </w:rPr>
        <w:t xml:space="preserve"> </w:t>
      </w:r>
    </w:p>
    <w:p w14:paraId="1BB2FA37" w14:textId="77777777" w:rsidR="008B7016" w:rsidRPr="008853DB" w:rsidRDefault="008B7016" w:rsidP="008B7016">
      <w:pPr>
        <w:spacing w:line="360" w:lineRule="auto"/>
        <w:rPr>
          <w:sz w:val="24"/>
          <w:szCs w:val="24"/>
        </w:rPr>
      </w:pPr>
      <w:r w:rsidRPr="008853DB">
        <w:rPr>
          <w:sz w:val="24"/>
          <w:szCs w:val="24"/>
        </w:rPr>
        <w:t xml:space="preserve">AlBarkous, A., Hatush, Z. and Mohammed, O. (2023) ‘The Risks of Multi Package Contracts within Complex Projects’, </w:t>
      </w:r>
      <w:r w:rsidRPr="008853DB">
        <w:rPr>
          <w:i/>
          <w:iCs/>
          <w:sz w:val="24"/>
          <w:szCs w:val="24"/>
        </w:rPr>
        <w:t>Academy Journal for Basic and Applied Sciences (AJBAS)</w:t>
      </w:r>
      <w:r w:rsidRPr="008853DB">
        <w:rPr>
          <w:sz w:val="24"/>
          <w:szCs w:val="24"/>
        </w:rPr>
        <w:t xml:space="preserve">, Special Issue No. 2, July 2023. Presented at the </w:t>
      </w:r>
      <w:r w:rsidRPr="008853DB">
        <w:rPr>
          <w:i/>
          <w:iCs/>
          <w:sz w:val="24"/>
          <w:szCs w:val="24"/>
        </w:rPr>
        <w:t>First Libyan International Conference on Engineering Sciences &amp; Applications (FLICESA_LA)</w:t>
      </w:r>
      <w:r w:rsidRPr="008853DB">
        <w:rPr>
          <w:sz w:val="24"/>
          <w:szCs w:val="24"/>
        </w:rPr>
        <w:t xml:space="preserve">, 13–15 March 2023, Tripoli, Libya. </w:t>
      </w:r>
    </w:p>
    <w:p w14:paraId="3C35D763" w14:textId="77777777" w:rsidR="008B7016" w:rsidRPr="008853DB" w:rsidRDefault="008B7016" w:rsidP="008B7016">
      <w:pPr>
        <w:spacing w:line="360" w:lineRule="auto"/>
        <w:rPr>
          <w:sz w:val="24"/>
          <w:szCs w:val="24"/>
          <w:lang w:val="en-IN"/>
        </w:rPr>
      </w:pPr>
      <w:r w:rsidRPr="00D972E2">
        <w:rPr>
          <w:sz w:val="24"/>
          <w:szCs w:val="24"/>
          <w:lang w:val="en-IN"/>
        </w:rPr>
        <w:t xml:space="preserve">Almutairi, N.S. </w:t>
      </w:r>
      <w:r w:rsidRPr="00D972E2">
        <w:rPr>
          <w:i/>
          <w:iCs/>
          <w:sz w:val="24"/>
          <w:szCs w:val="24"/>
          <w:lang w:val="en-IN"/>
        </w:rPr>
        <w:t>et al.</w:t>
      </w:r>
      <w:r w:rsidRPr="00D972E2">
        <w:rPr>
          <w:sz w:val="24"/>
          <w:szCs w:val="24"/>
          <w:lang w:val="en-IN"/>
        </w:rPr>
        <w:t xml:space="preserve"> (2022) 'Project delivery systems and contracting strategies,' </w:t>
      </w:r>
      <w:r w:rsidRPr="00D972E2">
        <w:rPr>
          <w:i/>
          <w:iCs/>
          <w:sz w:val="24"/>
          <w:szCs w:val="24"/>
          <w:lang w:val="en-IN"/>
        </w:rPr>
        <w:t>International Journal of Engineering Research &amp; Technology (IJERT)</w:t>
      </w:r>
      <w:r w:rsidRPr="00D972E2">
        <w:rPr>
          <w:sz w:val="24"/>
          <w:szCs w:val="24"/>
          <w:lang w:val="en-IN"/>
        </w:rPr>
        <w:t xml:space="preserve">, 11–11(03), pp. 385–385. </w:t>
      </w:r>
      <w:hyperlink r:id="rId7" w:history="1">
        <w:r w:rsidRPr="00D972E2">
          <w:rPr>
            <w:rStyle w:val="Hyperlink"/>
            <w:sz w:val="24"/>
            <w:szCs w:val="24"/>
            <w:lang w:val="en-IN"/>
          </w:rPr>
          <w:t>https://www.ijert.org/research/project-delivery-systems-and-contracting-strategies-IJERTV11IS030161.pdf</w:t>
        </w:r>
      </w:hyperlink>
      <w:r w:rsidRPr="00D972E2">
        <w:rPr>
          <w:sz w:val="24"/>
          <w:szCs w:val="24"/>
          <w:lang w:val="en-IN"/>
        </w:rPr>
        <w:t>.</w:t>
      </w:r>
    </w:p>
    <w:p w14:paraId="7894CEC6" w14:textId="77777777" w:rsidR="008B7016" w:rsidRPr="008853DB" w:rsidRDefault="008B7016" w:rsidP="008B7016">
      <w:pPr>
        <w:spacing w:line="360" w:lineRule="auto"/>
        <w:rPr>
          <w:sz w:val="24"/>
          <w:szCs w:val="24"/>
          <w:lang w:val="en-IN"/>
        </w:rPr>
      </w:pPr>
      <w:r w:rsidRPr="00392C82">
        <w:rPr>
          <w:sz w:val="24"/>
          <w:szCs w:val="24"/>
          <w:lang w:val="en-IN"/>
        </w:rPr>
        <w:t xml:space="preserve">Awuzie, B.O. </w:t>
      </w:r>
      <w:r w:rsidRPr="00392C82">
        <w:rPr>
          <w:i/>
          <w:iCs/>
          <w:sz w:val="24"/>
          <w:szCs w:val="24"/>
          <w:lang w:val="en-IN"/>
        </w:rPr>
        <w:t>et al.</w:t>
      </w:r>
      <w:r w:rsidRPr="00392C82">
        <w:rPr>
          <w:sz w:val="24"/>
          <w:szCs w:val="24"/>
          <w:lang w:val="en-IN"/>
        </w:rPr>
        <w:t xml:space="preserve"> (2022) 'Analysing outsourced and insourced public infrastructure projects’ performance in a provincial department of public works: a grounded theory approach,' </w:t>
      </w:r>
      <w:r w:rsidRPr="00392C82">
        <w:rPr>
          <w:i/>
          <w:iCs/>
          <w:sz w:val="24"/>
          <w:szCs w:val="24"/>
          <w:lang w:val="en-IN"/>
        </w:rPr>
        <w:t>Journal of Engineering Design and Technology</w:t>
      </w:r>
      <w:r w:rsidRPr="00392C82">
        <w:rPr>
          <w:sz w:val="24"/>
          <w:szCs w:val="24"/>
          <w:lang w:val="en-IN"/>
        </w:rPr>
        <w:t xml:space="preserve">, 22(2), pp. 456–479. </w:t>
      </w:r>
      <w:hyperlink r:id="rId8" w:history="1">
        <w:r w:rsidRPr="00392C82">
          <w:rPr>
            <w:rStyle w:val="Hyperlink"/>
            <w:sz w:val="24"/>
            <w:szCs w:val="24"/>
            <w:lang w:val="en-IN"/>
          </w:rPr>
          <w:t>https://doi.org/10.1108/jedt-11-2021-0640</w:t>
        </w:r>
      </w:hyperlink>
      <w:r w:rsidRPr="00392C82">
        <w:rPr>
          <w:sz w:val="24"/>
          <w:szCs w:val="24"/>
          <w:lang w:val="en-IN"/>
        </w:rPr>
        <w:t>.</w:t>
      </w:r>
    </w:p>
    <w:p w14:paraId="7FCD6BA6" w14:textId="77777777" w:rsidR="008B7016" w:rsidRPr="007233C5" w:rsidRDefault="008B7016" w:rsidP="008B7016">
      <w:pPr>
        <w:spacing w:line="360" w:lineRule="auto"/>
        <w:rPr>
          <w:sz w:val="24"/>
          <w:szCs w:val="24"/>
          <w:lang w:val="en-IN"/>
        </w:rPr>
      </w:pPr>
      <w:r w:rsidRPr="007233C5">
        <w:rPr>
          <w:sz w:val="24"/>
          <w:szCs w:val="24"/>
          <w:lang w:val="en-IN"/>
        </w:rPr>
        <w:t xml:space="preserve">Berends, K., 2015. Developing contracting strategies for capital projects: Experiences from the oil and gas industry. In: </w:t>
      </w:r>
      <w:r w:rsidRPr="007233C5">
        <w:rPr>
          <w:i/>
          <w:iCs/>
          <w:sz w:val="24"/>
          <w:szCs w:val="24"/>
          <w:lang w:val="en-IN"/>
        </w:rPr>
        <w:t>European Decision Sciences Institute Annual Conference</w:t>
      </w:r>
      <w:r w:rsidRPr="007233C5">
        <w:rPr>
          <w:sz w:val="24"/>
          <w:szCs w:val="24"/>
          <w:lang w:val="en-IN"/>
        </w:rPr>
        <w:t xml:space="preserve">. Available at: </w:t>
      </w:r>
      <w:hyperlink r:id="rId9" w:history="1">
        <w:r w:rsidRPr="007233C5">
          <w:rPr>
            <w:rStyle w:val="Hyperlink"/>
            <w:sz w:val="24"/>
            <w:szCs w:val="24"/>
            <w:lang w:val="en-IN"/>
          </w:rPr>
          <w:t>https://www.researchgate.net/publication/281450145</w:t>
        </w:r>
      </w:hyperlink>
      <w:r w:rsidRPr="007233C5">
        <w:rPr>
          <w:sz w:val="24"/>
          <w:szCs w:val="24"/>
          <w:lang w:val="en-IN"/>
        </w:rPr>
        <w:t xml:space="preserve"> </w:t>
      </w:r>
    </w:p>
    <w:p w14:paraId="06A7CAE6" w14:textId="77777777" w:rsidR="008B7016" w:rsidRPr="008853DB" w:rsidRDefault="008B7016" w:rsidP="008B7016">
      <w:pPr>
        <w:spacing w:line="360" w:lineRule="auto"/>
        <w:rPr>
          <w:sz w:val="24"/>
          <w:szCs w:val="24"/>
        </w:rPr>
      </w:pPr>
      <w:r w:rsidRPr="008853DB">
        <w:rPr>
          <w:sz w:val="24"/>
          <w:szCs w:val="24"/>
        </w:rPr>
        <w:t xml:space="preserve">Blevins, C.A. (2022) </w:t>
      </w:r>
      <w:r w:rsidRPr="008853DB">
        <w:rPr>
          <w:i/>
          <w:iCs/>
          <w:sz w:val="24"/>
          <w:szCs w:val="24"/>
        </w:rPr>
        <w:t>“Self-Performing Developers and General Contractors Working Together.”</w:t>
      </w:r>
      <w:r w:rsidRPr="008853DB">
        <w:rPr>
          <w:sz w:val="24"/>
          <w:szCs w:val="24"/>
        </w:rPr>
        <w:t xml:space="preserve"> (Conference Paper/Report). Available at: </w:t>
      </w:r>
      <w:hyperlink r:id="rId10" w:history="1">
        <w:r w:rsidRPr="008853DB">
          <w:rPr>
            <w:rStyle w:val="Hyperlink"/>
            <w:sz w:val="24"/>
            <w:szCs w:val="24"/>
          </w:rPr>
          <w:t>https://digitalcommons.calpoly.edu/cgi/viewcontent.cgi?article=1667&amp;context=cmsp</w:t>
        </w:r>
      </w:hyperlink>
      <w:r w:rsidRPr="008853DB">
        <w:rPr>
          <w:sz w:val="24"/>
          <w:szCs w:val="24"/>
        </w:rPr>
        <w:t xml:space="preserve"> </w:t>
      </w:r>
    </w:p>
    <w:p w14:paraId="6E1F9C50" w14:textId="77777777" w:rsidR="008B7016" w:rsidRPr="008853DB" w:rsidRDefault="008B7016" w:rsidP="008B7016">
      <w:pPr>
        <w:spacing w:line="360" w:lineRule="auto"/>
        <w:rPr>
          <w:sz w:val="24"/>
          <w:szCs w:val="24"/>
          <w:lang w:val="en-IN"/>
        </w:rPr>
      </w:pPr>
      <w:r w:rsidRPr="004C72C6">
        <w:rPr>
          <w:sz w:val="24"/>
          <w:szCs w:val="24"/>
          <w:lang w:val="en-IN"/>
        </w:rPr>
        <w:t xml:space="preserve">Cabinet Office (2025) </w:t>
      </w:r>
      <w:r w:rsidRPr="004C72C6">
        <w:rPr>
          <w:i/>
          <w:iCs/>
          <w:sz w:val="24"/>
          <w:szCs w:val="24"/>
          <w:lang w:val="en-IN"/>
        </w:rPr>
        <w:t>The Sourcing Playbook.</w:t>
      </w:r>
      <w:r w:rsidRPr="008853DB">
        <w:rPr>
          <w:i/>
          <w:iCs/>
          <w:sz w:val="24"/>
          <w:szCs w:val="24"/>
          <w:lang w:val="en-IN"/>
        </w:rPr>
        <w:t xml:space="preserve"> </w:t>
      </w:r>
      <w:r w:rsidRPr="008853DB">
        <w:rPr>
          <w:sz w:val="24"/>
          <w:szCs w:val="24"/>
          <w:lang w:val="en-IN"/>
        </w:rPr>
        <w:t xml:space="preserve">Available at: </w:t>
      </w:r>
      <w:hyperlink r:id="rId11" w:history="1">
        <w:r w:rsidRPr="008853DB">
          <w:rPr>
            <w:rStyle w:val="Hyperlink"/>
            <w:sz w:val="24"/>
            <w:szCs w:val="24"/>
            <w:lang w:val="en-IN"/>
          </w:rPr>
          <w:t>https://www.gov.uk/government/publications/the-sourcing-and-consultancy-playbooks/the-sourcing-playbook-html</w:t>
        </w:r>
      </w:hyperlink>
      <w:r w:rsidRPr="008853DB">
        <w:rPr>
          <w:sz w:val="24"/>
          <w:szCs w:val="24"/>
          <w:lang w:val="en-IN"/>
        </w:rPr>
        <w:t xml:space="preserve"> </w:t>
      </w:r>
    </w:p>
    <w:p w14:paraId="4DBCA332" w14:textId="77777777" w:rsidR="008B7016" w:rsidRPr="008853DB" w:rsidRDefault="008B7016" w:rsidP="008B7016">
      <w:pPr>
        <w:spacing w:line="360" w:lineRule="auto"/>
        <w:rPr>
          <w:sz w:val="24"/>
          <w:szCs w:val="24"/>
          <w:lang w:val="en-IN"/>
        </w:rPr>
      </w:pPr>
      <w:r w:rsidRPr="004C72C6">
        <w:rPr>
          <w:sz w:val="24"/>
          <w:szCs w:val="24"/>
          <w:lang w:val="en-IN"/>
        </w:rPr>
        <w:t xml:space="preserve">Fenwick Elliott (2024) </w:t>
      </w:r>
      <w:r w:rsidRPr="004C72C6">
        <w:rPr>
          <w:i/>
          <w:iCs/>
          <w:sz w:val="24"/>
          <w:szCs w:val="24"/>
          <w:lang w:val="en-IN"/>
        </w:rPr>
        <w:t>Procurement and construction in the nuclear setting—interface risk in multi-contracting.</w:t>
      </w:r>
      <w:r w:rsidRPr="008853DB">
        <w:rPr>
          <w:i/>
          <w:iCs/>
          <w:sz w:val="24"/>
          <w:szCs w:val="24"/>
          <w:lang w:val="en-IN"/>
        </w:rPr>
        <w:t xml:space="preserve"> </w:t>
      </w:r>
      <w:r w:rsidRPr="008853DB">
        <w:rPr>
          <w:sz w:val="24"/>
          <w:szCs w:val="24"/>
          <w:lang w:val="en-IN"/>
        </w:rPr>
        <w:t xml:space="preserve">Available at: </w:t>
      </w:r>
      <w:hyperlink r:id="rId12" w:history="1">
        <w:r w:rsidRPr="008853DB">
          <w:rPr>
            <w:rStyle w:val="Hyperlink"/>
            <w:sz w:val="24"/>
            <w:szCs w:val="24"/>
            <w:lang w:val="en-IN"/>
          </w:rPr>
          <w:t>https://www.fenwickelliott.com/sites/default/files/pages_from_international_energy_law_review_issue_4_2024.pdf</w:t>
        </w:r>
      </w:hyperlink>
      <w:r w:rsidRPr="008853DB">
        <w:rPr>
          <w:sz w:val="24"/>
          <w:szCs w:val="24"/>
          <w:lang w:val="en-IN"/>
        </w:rPr>
        <w:t xml:space="preserve"> </w:t>
      </w:r>
    </w:p>
    <w:p w14:paraId="58CD9200" w14:textId="77777777" w:rsidR="008B7016" w:rsidRPr="008853DB" w:rsidRDefault="008B7016" w:rsidP="008B7016">
      <w:pPr>
        <w:spacing w:line="360" w:lineRule="auto"/>
        <w:rPr>
          <w:sz w:val="24"/>
          <w:szCs w:val="24"/>
          <w:lang w:val="en-IN"/>
        </w:rPr>
      </w:pPr>
      <w:r w:rsidRPr="00CA2918">
        <w:rPr>
          <w:sz w:val="24"/>
          <w:szCs w:val="24"/>
          <w:lang w:val="en-IN"/>
        </w:rPr>
        <w:t>Fr</w:t>
      </w:r>
      <w:r w:rsidRPr="008853DB">
        <w:rPr>
          <w:sz w:val="24"/>
          <w:szCs w:val="24"/>
          <w:lang w:val="en-IN"/>
        </w:rPr>
        <w:t>o</w:t>
      </w:r>
      <w:r w:rsidRPr="00CA2918">
        <w:rPr>
          <w:sz w:val="24"/>
          <w:szCs w:val="24"/>
          <w:lang w:val="en-IN"/>
        </w:rPr>
        <w:t>st, F., Hellgren, S.</w:t>
      </w:r>
      <w:r w:rsidRPr="008853DB">
        <w:rPr>
          <w:sz w:val="24"/>
          <w:szCs w:val="24"/>
          <w:lang w:val="en-IN"/>
        </w:rPr>
        <w:t xml:space="preserve"> </w:t>
      </w:r>
      <w:r w:rsidRPr="00CA2918">
        <w:rPr>
          <w:sz w:val="24"/>
          <w:szCs w:val="24"/>
          <w:lang w:val="en-IN"/>
        </w:rPr>
        <w:t xml:space="preserve">(2023) </w:t>
      </w:r>
      <w:r w:rsidRPr="00CA2918">
        <w:rPr>
          <w:i/>
          <w:iCs/>
          <w:sz w:val="24"/>
          <w:szCs w:val="24"/>
          <w:lang w:val="en-IN"/>
        </w:rPr>
        <w:t>Developing Business Models for Turnkey Offerings: A case study on organizing turnkey offerings for a large original equipment manufacturer</w:t>
      </w:r>
      <w:r w:rsidRPr="00CA2918">
        <w:rPr>
          <w:sz w:val="24"/>
          <w:szCs w:val="24"/>
          <w:lang w:val="en-IN"/>
        </w:rPr>
        <w:t xml:space="preserve">. thesis. </w:t>
      </w:r>
      <w:hyperlink r:id="rId13" w:history="1">
        <w:r w:rsidRPr="00CA2918">
          <w:rPr>
            <w:rStyle w:val="Hyperlink"/>
            <w:sz w:val="24"/>
            <w:szCs w:val="24"/>
            <w:lang w:val="en-IN"/>
          </w:rPr>
          <w:t>https://www.diva-portal.org/smash/get/diva2:1775927/FULLTEXT01.pdf</w:t>
        </w:r>
      </w:hyperlink>
      <w:r w:rsidRPr="00CA2918">
        <w:rPr>
          <w:sz w:val="24"/>
          <w:szCs w:val="24"/>
          <w:lang w:val="en-IN"/>
        </w:rPr>
        <w:t>.</w:t>
      </w:r>
      <w:r w:rsidRPr="008853DB">
        <w:rPr>
          <w:sz w:val="24"/>
          <w:szCs w:val="24"/>
          <w:lang w:val="en-IN"/>
        </w:rPr>
        <w:t xml:space="preserve"> </w:t>
      </w:r>
    </w:p>
    <w:p w14:paraId="6166E5DC" w14:textId="77777777" w:rsidR="008B7016" w:rsidRPr="008853DB" w:rsidRDefault="008B7016" w:rsidP="008B7016">
      <w:pPr>
        <w:spacing w:line="360" w:lineRule="auto"/>
        <w:rPr>
          <w:sz w:val="24"/>
          <w:szCs w:val="24"/>
          <w:lang w:val="en-IN"/>
        </w:rPr>
      </w:pPr>
      <w:r w:rsidRPr="00135C61">
        <w:rPr>
          <w:sz w:val="24"/>
          <w:szCs w:val="24"/>
          <w:lang w:val="en-IN"/>
        </w:rPr>
        <w:t xml:space="preserve">Gabriel, D., Jaffu, R. and Ismail, I.J. (2024) 'Does laborer compensation affect the time performance of force account construction projects in Tanzania? The moderating role of </w:t>
      </w:r>
      <w:r w:rsidRPr="00135C61">
        <w:rPr>
          <w:sz w:val="24"/>
          <w:szCs w:val="24"/>
          <w:lang w:val="en-IN"/>
        </w:rPr>
        <w:lastRenderedPageBreak/>
        <w:t xml:space="preserve">social capital,' </w:t>
      </w:r>
      <w:r w:rsidRPr="00135C61">
        <w:rPr>
          <w:i/>
          <w:iCs/>
          <w:sz w:val="24"/>
          <w:szCs w:val="24"/>
          <w:lang w:val="en-IN"/>
        </w:rPr>
        <w:t>Cogent Social Sciences</w:t>
      </w:r>
      <w:r w:rsidRPr="00135C61">
        <w:rPr>
          <w:sz w:val="24"/>
          <w:szCs w:val="24"/>
          <w:lang w:val="en-IN"/>
        </w:rPr>
        <w:t xml:space="preserve">, 10(1). </w:t>
      </w:r>
      <w:hyperlink r:id="rId14" w:history="1">
        <w:r w:rsidRPr="00135C61">
          <w:rPr>
            <w:rStyle w:val="Hyperlink"/>
            <w:sz w:val="24"/>
            <w:szCs w:val="24"/>
            <w:lang w:val="en-IN"/>
          </w:rPr>
          <w:t>https://doi.org/10.1080/23311886.2024.2401625</w:t>
        </w:r>
      </w:hyperlink>
      <w:r w:rsidRPr="00135C61">
        <w:rPr>
          <w:sz w:val="24"/>
          <w:szCs w:val="24"/>
          <w:lang w:val="en-IN"/>
        </w:rPr>
        <w:t>.</w:t>
      </w:r>
    </w:p>
    <w:p w14:paraId="438D1D49" w14:textId="77777777" w:rsidR="008B7016" w:rsidRPr="008853DB" w:rsidRDefault="008B7016" w:rsidP="008B7016">
      <w:pPr>
        <w:spacing w:line="360" w:lineRule="auto"/>
        <w:rPr>
          <w:sz w:val="24"/>
          <w:szCs w:val="24"/>
          <w:lang w:val="en-IN"/>
        </w:rPr>
      </w:pPr>
      <w:r w:rsidRPr="00476E53">
        <w:rPr>
          <w:sz w:val="24"/>
          <w:szCs w:val="24"/>
          <w:lang w:val="en-IN"/>
        </w:rPr>
        <w:t xml:space="preserve">Gandhi, G. (2024) 'Multi Prime Contracts: CMMP Method explained - RDASH,' </w:t>
      </w:r>
      <w:r w:rsidRPr="00476E53">
        <w:rPr>
          <w:i/>
          <w:iCs/>
          <w:sz w:val="24"/>
          <w:szCs w:val="24"/>
          <w:lang w:val="en-IN"/>
        </w:rPr>
        <w:t>RDash</w:t>
      </w:r>
      <w:r w:rsidRPr="00476E53">
        <w:rPr>
          <w:sz w:val="24"/>
          <w:szCs w:val="24"/>
          <w:lang w:val="en-IN"/>
        </w:rPr>
        <w:t xml:space="preserve">, 14 December. </w:t>
      </w:r>
      <w:hyperlink r:id="rId15" w:history="1">
        <w:r w:rsidRPr="00476E53">
          <w:rPr>
            <w:rStyle w:val="Hyperlink"/>
            <w:sz w:val="24"/>
            <w:szCs w:val="24"/>
            <w:lang w:val="en-IN"/>
          </w:rPr>
          <w:t>https://rdash.io/blog/multi-prime-contracts-cmmp-method-explained/</w:t>
        </w:r>
      </w:hyperlink>
      <w:r w:rsidRPr="00476E53">
        <w:rPr>
          <w:sz w:val="24"/>
          <w:szCs w:val="24"/>
          <w:lang w:val="en-IN"/>
        </w:rPr>
        <w:t>.</w:t>
      </w:r>
      <w:r w:rsidRPr="008853DB">
        <w:rPr>
          <w:sz w:val="24"/>
          <w:szCs w:val="24"/>
          <w:lang w:val="en-IN"/>
        </w:rPr>
        <w:t xml:space="preserve"> </w:t>
      </w:r>
    </w:p>
    <w:p w14:paraId="17A956BC" w14:textId="77777777" w:rsidR="008B7016" w:rsidRPr="008853DB" w:rsidRDefault="008B7016" w:rsidP="008B7016">
      <w:pPr>
        <w:spacing w:line="360" w:lineRule="auto"/>
        <w:rPr>
          <w:sz w:val="24"/>
          <w:szCs w:val="24"/>
        </w:rPr>
      </w:pPr>
      <w:r w:rsidRPr="008853DB">
        <w:rPr>
          <w:sz w:val="24"/>
          <w:szCs w:val="24"/>
        </w:rPr>
        <w:t xml:space="preserve">Government Project Delivery (2024) </w:t>
      </w:r>
      <w:r w:rsidRPr="008853DB">
        <w:rPr>
          <w:i/>
          <w:iCs/>
          <w:sz w:val="24"/>
          <w:szCs w:val="24"/>
        </w:rPr>
        <w:t>Chapter 13: The governance and management of programmes and projects</w:t>
      </w:r>
      <w:r w:rsidRPr="008853DB">
        <w:rPr>
          <w:sz w:val="24"/>
          <w:szCs w:val="24"/>
        </w:rPr>
        <w:t xml:space="preserve">, in </w:t>
      </w:r>
      <w:r w:rsidRPr="008853DB">
        <w:rPr>
          <w:i/>
          <w:iCs/>
          <w:sz w:val="24"/>
          <w:szCs w:val="24"/>
        </w:rPr>
        <w:t>The Teal Book: Part D – Managing programmes and projects</w:t>
      </w:r>
      <w:r w:rsidRPr="008853DB">
        <w:rPr>
          <w:sz w:val="24"/>
          <w:szCs w:val="24"/>
        </w:rPr>
        <w:t xml:space="preserve">, published 29 July 2024 [online]. Available at: </w:t>
      </w:r>
      <w:hyperlink r:id="rId16" w:history="1">
        <w:r w:rsidRPr="008853DB">
          <w:rPr>
            <w:rStyle w:val="Hyperlink"/>
            <w:sz w:val="24"/>
            <w:szCs w:val="24"/>
          </w:rPr>
          <w:t>https://projectdelivery.gov.uk/teal-book/home/part-d-managing-programmes-and-projects/chapter-13-the-governance-and-management-of-programmes-and-projects/</w:t>
        </w:r>
      </w:hyperlink>
      <w:r w:rsidRPr="008853DB">
        <w:rPr>
          <w:sz w:val="24"/>
          <w:szCs w:val="24"/>
        </w:rPr>
        <w:t xml:space="preserve"> </w:t>
      </w:r>
    </w:p>
    <w:p w14:paraId="56711C46" w14:textId="77777777" w:rsidR="008B7016" w:rsidRPr="008853DB" w:rsidRDefault="008B7016" w:rsidP="008B7016">
      <w:pPr>
        <w:spacing w:line="360" w:lineRule="auto"/>
        <w:rPr>
          <w:sz w:val="24"/>
          <w:szCs w:val="24"/>
        </w:rPr>
      </w:pPr>
      <w:r w:rsidRPr="008853DB">
        <w:rPr>
          <w:sz w:val="24"/>
          <w:szCs w:val="24"/>
        </w:rPr>
        <w:t xml:space="preserve">Harling, M., Gard, W. &amp; James, S. (2014) </w:t>
      </w:r>
      <w:r w:rsidRPr="008853DB">
        <w:rPr>
          <w:i/>
          <w:iCs/>
          <w:sz w:val="24"/>
          <w:szCs w:val="24"/>
        </w:rPr>
        <w:t>Multi-package contracting: how to deal with interface issues</w:t>
      </w:r>
      <w:r w:rsidRPr="008853DB">
        <w:rPr>
          <w:sz w:val="24"/>
          <w:szCs w:val="24"/>
        </w:rPr>
        <w:t xml:space="preserve">. Lexology (Burges Salmon LLP), 27 May 2014. Available at: </w:t>
      </w:r>
      <w:hyperlink r:id="rId17" w:history="1">
        <w:r w:rsidRPr="008853DB">
          <w:rPr>
            <w:rStyle w:val="Hyperlink"/>
            <w:sz w:val="24"/>
            <w:szCs w:val="24"/>
          </w:rPr>
          <w:t>https://www.lexology.com/library/detail.aspx</w:t>
        </w:r>
      </w:hyperlink>
      <w:r w:rsidRPr="008853DB">
        <w:rPr>
          <w:sz w:val="24"/>
          <w:szCs w:val="24"/>
        </w:rPr>
        <w:t xml:space="preserve"> </w:t>
      </w:r>
    </w:p>
    <w:p w14:paraId="4C568930" w14:textId="77777777" w:rsidR="008B7016" w:rsidRPr="008853DB" w:rsidRDefault="008B7016" w:rsidP="008B7016">
      <w:pPr>
        <w:spacing w:line="360" w:lineRule="auto"/>
        <w:rPr>
          <w:sz w:val="24"/>
          <w:szCs w:val="24"/>
          <w:lang w:val="en-IN"/>
        </w:rPr>
      </w:pPr>
      <w:r w:rsidRPr="006C2E14">
        <w:rPr>
          <w:sz w:val="24"/>
          <w:szCs w:val="24"/>
          <w:lang w:val="en-IN"/>
        </w:rPr>
        <w:t xml:space="preserve">Helmi, J. (2025) </w:t>
      </w:r>
      <w:r w:rsidRPr="006C2E14">
        <w:rPr>
          <w:i/>
          <w:iCs/>
          <w:sz w:val="24"/>
          <w:szCs w:val="24"/>
          <w:lang w:val="en-IN"/>
        </w:rPr>
        <w:t>Strategies for using multiple contracts in project execution: avoiding pitfalls, disputes, and interface issues</w:t>
      </w:r>
      <w:r w:rsidRPr="006C2E14">
        <w:rPr>
          <w:sz w:val="24"/>
          <w:szCs w:val="24"/>
          <w:lang w:val="en-IN"/>
        </w:rPr>
        <w:t xml:space="preserve">. </w:t>
      </w:r>
      <w:hyperlink r:id="rId18" w:history="1">
        <w:r w:rsidRPr="006C2E14">
          <w:rPr>
            <w:rStyle w:val="Hyperlink"/>
            <w:sz w:val="24"/>
            <w:szCs w:val="24"/>
            <w:lang w:val="en-IN"/>
          </w:rPr>
          <w:t>https://www.linkedin.com/pulse/strategies-using-multiple-contracts-project-execution-pmp-kcsyc</w:t>
        </w:r>
      </w:hyperlink>
      <w:r w:rsidRPr="006C2E14">
        <w:rPr>
          <w:sz w:val="24"/>
          <w:szCs w:val="24"/>
          <w:lang w:val="en-IN"/>
        </w:rPr>
        <w:t>.</w:t>
      </w:r>
    </w:p>
    <w:p w14:paraId="2ED9D586" w14:textId="77777777" w:rsidR="008B7016" w:rsidRPr="008853DB" w:rsidRDefault="008B7016" w:rsidP="008B7016">
      <w:pPr>
        <w:spacing w:line="360" w:lineRule="auto"/>
        <w:rPr>
          <w:sz w:val="24"/>
          <w:szCs w:val="24"/>
        </w:rPr>
      </w:pPr>
      <w:r w:rsidRPr="008853DB">
        <w:rPr>
          <w:sz w:val="24"/>
          <w:szCs w:val="24"/>
        </w:rPr>
        <w:t xml:space="preserve">Huse, J.A. (2002). </w:t>
      </w:r>
      <w:r w:rsidRPr="008853DB">
        <w:rPr>
          <w:i/>
          <w:iCs/>
          <w:sz w:val="24"/>
          <w:szCs w:val="24"/>
        </w:rPr>
        <w:t>Understanding and Negotiating Turnkey and EPC Contracts</w:t>
      </w:r>
      <w:r w:rsidRPr="008853DB">
        <w:rPr>
          <w:sz w:val="24"/>
          <w:szCs w:val="24"/>
        </w:rPr>
        <w:t xml:space="preserve"> (2nd ed.). Sweet &amp; Maxwell.</w:t>
      </w:r>
    </w:p>
    <w:p w14:paraId="75E13C69" w14:textId="77777777" w:rsidR="008B7016" w:rsidRPr="008853DB" w:rsidRDefault="008B7016" w:rsidP="008B7016">
      <w:pPr>
        <w:spacing w:line="360" w:lineRule="auto"/>
        <w:rPr>
          <w:sz w:val="24"/>
          <w:szCs w:val="24"/>
          <w:lang w:val="en-IN"/>
        </w:rPr>
      </w:pPr>
      <w:r w:rsidRPr="004C72C6">
        <w:rPr>
          <w:sz w:val="24"/>
          <w:szCs w:val="24"/>
          <w:lang w:val="en-IN"/>
        </w:rPr>
        <w:t xml:space="preserve">ISO (2020) </w:t>
      </w:r>
      <w:r w:rsidRPr="004C72C6">
        <w:rPr>
          <w:i/>
          <w:iCs/>
          <w:sz w:val="24"/>
          <w:szCs w:val="24"/>
          <w:lang w:val="en-IN"/>
        </w:rPr>
        <w:t>ISO 21502: Guidance on project management.</w:t>
      </w:r>
      <w:r w:rsidRPr="008853DB">
        <w:rPr>
          <w:i/>
          <w:iCs/>
          <w:sz w:val="24"/>
          <w:szCs w:val="24"/>
          <w:lang w:val="en-IN"/>
        </w:rPr>
        <w:t xml:space="preserve"> </w:t>
      </w:r>
    </w:p>
    <w:p w14:paraId="5CD773F7" w14:textId="77777777" w:rsidR="008B7016" w:rsidRPr="002D5D11" w:rsidRDefault="008B7016" w:rsidP="008B7016">
      <w:pPr>
        <w:spacing w:line="360" w:lineRule="auto"/>
        <w:rPr>
          <w:sz w:val="24"/>
          <w:szCs w:val="24"/>
          <w:lang w:val="en-IN"/>
        </w:rPr>
      </w:pPr>
      <w:r w:rsidRPr="002D5D11">
        <w:rPr>
          <w:sz w:val="24"/>
          <w:szCs w:val="24"/>
          <w:lang w:val="en-IN"/>
        </w:rPr>
        <w:t xml:space="preserve">Kim, K. (2017) 'Project Performance Evaluation of Multi-prime Contracts in Comparison with General Contractor Contracts,' </w:t>
      </w:r>
      <w:r w:rsidRPr="002D5D11">
        <w:rPr>
          <w:i/>
          <w:iCs/>
          <w:sz w:val="24"/>
          <w:szCs w:val="24"/>
          <w:lang w:val="en-IN"/>
        </w:rPr>
        <w:t>Journal of Asian Architecture and Building Engineering</w:t>
      </w:r>
      <w:r w:rsidRPr="002D5D11">
        <w:rPr>
          <w:sz w:val="24"/>
          <w:szCs w:val="24"/>
          <w:lang w:val="en-IN"/>
        </w:rPr>
        <w:t xml:space="preserve">, 16(3), pp. 613–618. </w:t>
      </w:r>
      <w:hyperlink r:id="rId19" w:history="1">
        <w:r w:rsidRPr="002D5D11">
          <w:rPr>
            <w:rStyle w:val="Hyperlink"/>
            <w:sz w:val="24"/>
            <w:szCs w:val="24"/>
            <w:lang w:val="en-IN"/>
          </w:rPr>
          <w:t>https://doi.org/10.3130/jaabe.16.613</w:t>
        </w:r>
      </w:hyperlink>
      <w:r w:rsidRPr="002D5D11">
        <w:rPr>
          <w:sz w:val="24"/>
          <w:szCs w:val="24"/>
          <w:lang w:val="en-IN"/>
        </w:rPr>
        <w:t>.</w:t>
      </w:r>
      <w:r w:rsidRPr="008853DB">
        <w:rPr>
          <w:sz w:val="24"/>
          <w:szCs w:val="24"/>
          <w:lang w:val="en-IN"/>
        </w:rPr>
        <w:t xml:space="preserve"> </w:t>
      </w:r>
    </w:p>
    <w:p w14:paraId="5088B341" w14:textId="77777777" w:rsidR="008B7016" w:rsidRPr="008853DB" w:rsidRDefault="008B7016" w:rsidP="008B7016">
      <w:pPr>
        <w:spacing w:line="360" w:lineRule="auto"/>
        <w:rPr>
          <w:sz w:val="24"/>
          <w:szCs w:val="24"/>
          <w:lang w:val="en-IN"/>
        </w:rPr>
      </w:pPr>
      <w:r w:rsidRPr="00E2719A">
        <w:rPr>
          <w:sz w:val="24"/>
          <w:szCs w:val="24"/>
          <w:lang w:val="en-IN"/>
        </w:rPr>
        <w:t xml:space="preserve">Kuhlmann, J., Benedetto, D.J. and Frisa, K. (2025) </w:t>
      </w:r>
      <w:r w:rsidRPr="00E2719A">
        <w:rPr>
          <w:i/>
          <w:iCs/>
          <w:sz w:val="24"/>
          <w:szCs w:val="24"/>
          <w:lang w:val="en-IN"/>
        </w:rPr>
        <w:t>Multi-Prime Contracts: Understanding the CMMP Method of Project delivery | ProCore</w:t>
      </w:r>
      <w:r w:rsidRPr="00E2719A">
        <w:rPr>
          <w:sz w:val="24"/>
          <w:szCs w:val="24"/>
          <w:lang w:val="en-IN"/>
        </w:rPr>
        <w:t xml:space="preserve">. </w:t>
      </w:r>
      <w:hyperlink r:id="rId20" w:history="1">
        <w:r w:rsidRPr="00E2719A">
          <w:rPr>
            <w:rStyle w:val="Hyperlink"/>
            <w:sz w:val="24"/>
            <w:szCs w:val="24"/>
            <w:lang w:val="en-IN"/>
          </w:rPr>
          <w:t>https://www.procore.com/library/cmmp-contracts</w:t>
        </w:r>
      </w:hyperlink>
      <w:r w:rsidRPr="00E2719A">
        <w:rPr>
          <w:sz w:val="24"/>
          <w:szCs w:val="24"/>
          <w:lang w:val="en-IN"/>
        </w:rPr>
        <w:t>.</w:t>
      </w:r>
    </w:p>
    <w:p w14:paraId="2751AD5D" w14:textId="77777777" w:rsidR="008B7016" w:rsidRPr="008853DB" w:rsidRDefault="008B7016" w:rsidP="008B7016">
      <w:pPr>
        <w:spacing w:line="360" w:lineRule="auto"/>
        <w:rPr>
          <w:sz w:val="24"/>
          <w:szCs w:val="24"/>
          <w:lang w:val="en-IN"/>
        </w:rPr>
      </w:pPr>
      <w:r w:rsidRPr="0043023B">
        <w:rPr>
          <w:sz w:val="24"/>
          <w:szCs w:val="24"/>
          <w:lang w:val="en-IN"/>
        </w:rPr>
        <w:t xml:space="preserve">Magania, N. *Faraji M., Tekka, N.R.S., PhD and Chengula, N.D.H., PhD (2025) 'Stakeholders’ awareness and perceptions on the use of force account method in public building construction projects in Tanzania,' </w:t>
      </w:r>
      <w:r w:rsidRPr="0043023B">
        <w:rPr>
          <w:i/>
          <w:iCs/>
          <w:sz w:val="24"/>
          <w:szCs w:val="24"/>
          <w:lang w:val="en-IN"/>
        </w:rPr>
        <w:t>Dama Academic Scholarly Journal of Researchers</w:t>
      </w:r>
      <w:r w:rsidRPr="0043023B">
        <w:rPr>
          <w:sz w:val="24"/>
          <w:szCs w:val="24"/>
          <w:lang w:val="en-IN"/>
        </w:rPr>
        <w:t xml:space="preserve">, 10(6), pp. 47–58. </w:t>
      </w:r>
      <w:hyperlink r:id="rId21" w:history="1">
        <w:r w:rsidRPr="0043023B">
          <w:rPr>
            <w:rStyle w:val="Hyperlink"/>
            <w:sz w:val="24"/>
            <w:szCs w:val="24"/>
            <w:lang w:val="en-IN"/>
          </w:rPr>
          <w:t>https://doi.org/10.4314/dasjr.v10i6.4</w:t>
        </w:r>
      </w:hyperlink>
      <w:r w:rsidRPr="0043023B">
        <w:rPr>
          <w:sz w:val="24"/>
          <w:szCs w:val="24"/>
          <w:lang w:val="en-IN"/>
        </w:rPr>
        <w:t>.</w:t>
      </w:r>
    </w:p>
    <w:p w14:paraId="0374A015" w14:textId="77777777" w:rsidR="008B7016" w:rsidRPr="008853DB" w:rsidRDefault="008B7016" w:rsidP="008B7016">
      <w:pPr>
        <w:spacing w:line="360" w:lineRule="auto"/>
        <w:rPr>
          <w:sz w:val="24"/>
          <w:szCs w:val="24"/>
          <w:lang w:val="en-IN"/>
        </w:rPr>
      </w:pPr>
      <w:r w:rsidRPr="00C4485F">
        <w:rPr>
          <w:sz w:val="24"/>
          <w:szCs w:val="24"/>
          <w:lang w:val="en-IN"/>
        </w:rPr>
        <w:t xml:space="preserve">Merna, A. and Smith, N. (1990) 'Project managers and the use of turnkey contracts,' </w:t>
      </w:r>
      <w:r w:rsidRPr="00C4485F">
        <w:rPr>
          <w:i/>
          <w:iCs/>
          <w:sz w:val="24"/>
          <w:szCs w:val="24"/>
          <w:lang w:val="en-IN"/>
        </w:rPr>
        <w:t>International Journal of Project Management</w:t>
      </w:r>
      <w:r w:rsidRPr="00C4485F">
        <w:rPr>
          <w:sz w:val="24"/>
          <w:szCs w:val="24"/>
          <w:lang w:val="en-IN"/>
        </w:rPr>
        <w:t xml:space="preserve">, 8(3), pp. 183–189. </w:t>
      </w:r>
      <w:hyperlink r:id="rId22" w:history="1">
        <w:r w:rsidRPr="00C4485F">
          <w:rPr>
            <w:rStyle w:val="Hyperlink"/>
            <w:sz w:val="24"/>
            <w:szCs w:val="24"/>
            <w:lang w:val="en-IN"/>
          </w:rPr>
          <w:t>https://doi.org/10.1016/0263-7863(90)90021-3</w:t>
        </w:r>
      </w:hyperlink>
      <w:r w:rsidRPr="00C4485F">
        <w:rPr>
          <w:sz w:val="24"/>
          <w:szCs w:val="24"/>
          <w:lang w:val="en-IN"/>
        </w:rPr>
        <w:t>.</w:t>
      </w:r>
      <w:r w:rsidRPr="008853DB">
        <w:rPr>
          <w:sz w:val="24"/>
          <w:szCs w:val="24"/>
          <w:lang w:val="en-IN"/>
        </w:rPr>
        <w:t xml:space="preserve"> </w:t>
      </w:r>
    </w:p>
    <w:p w14:paraId="2C2DEA32" w14:textId="77777777" w:rsidR="008B7016" w:rsidRPr="008853DB" w:rsidRDefault="008B7016" w:rsidP="008B7016">
      <w:pPr>
        <w:spacing w:line="360" w:lineRule="auto"/>
        <w:rPr>
          <w:sz w:val="24"/>
          <w:szCs w:val="24"/>
          <w:lang w:val="en-IN"/>
        </w:rPr>
      </w:pPr>
      <w:r w:rsidRPr="00B30BC8">
        <w:rPr>
          <w:sz w:val="24"/>
          <w:szCs w:val="24"/>
          <w:lang w:val="en-IN"/>
        </w:rPr>
        <w:t xml:space="preserve">Mimoso, M.J. (2020) 'The Turnkey contract and the globalization era,' </w:t>
      </w:r>
      <w:r w:rsidRPr="00B30BC8">
        <w:rPr>
          <w:i/>
          <w:iCs/>
          <w:sz w:val="24"/>
          <w:szCs w:val="24"/>
          <w:lang w:val="en-IN"/>
        </w:rPr>
        <w:t>Conference Paper</w:t>
      </w:r>
      <w:r w:rsidRPr="00B30BC8">
        <w:rPr>
          <w:sz w:val="24"/>
          <w:szCs w:val="24"/>
          <w:lang w:val="en-IN"/>
        </w:rPr>
        <w:t xml:space="preserve"> [Preprint]. </w:t>
      </w:r>
      <w:hyperlink r:id="rId23" w:history="1">
        <w:r w:rsidRPr="00B30BC8">
          <w:rPr>
            <w:rStyle w:val="Hyperlink"/>
            <w:sz w:val="24"/>
            <w:szCs w:val="24"/>
            <w:lang w:val="en-IN"/>
          </w:rPr>
          <w:t>https://doi.org/10.33422/8th.mah.2020.02.17</w:t>
        </w:r>
      </w:hyperlink>
      <w:r w:rsidRPr="00B30BC8">
        <w:rPr>
          <w:sz w:val="24"/>
          <w:szCs w:val="24"/>
          <w:lang w:val="en-IN"/>
        </w:rPr>
        <w:t>.</w:t>
      </w:r>
      <w:r w:rsidRPr="008853DB">
        <w:rPr>
          <w:sz w:val="24"/>
          <w:szCs w:val="24"/>
          <w:lang w:val="en-IN"/>
        </w:rPr>
        <w:t xml:space="preserve"> </w:t>
      </w:r>
    </w:p>
    <w:p w14:paraId="787E4C37" w14:textId="77777777" w:rsidR="008B7016" w:rsidRPr="008853DB" w:rsidRDefault="008B7016" w:rsidP="008B7016">
      <w:pPr>
        <w:spacing w:line="360" w:lineRule="auto"/>
        <w:rPr>
          <w:sz w:val="24"/>
          <w:szCs w:val="24"/>
          <w:lang w:val="en-IN"/>
        </w:rPr>
      </w:pPr>
      <w:r w:rsidRPr="004C72C6">
        <w:rPr>
          <w:sz w:val="24"/>
          <w:szCs w:val="24"/>
          <w:lang w:val="en-IN"/>
        </w:rPr>
        <w:lastRenderedPageBreak/>
        <w:t xml:space="preserve">National Audit Office (2023) </w:t>
      </w:r>
      <w:r w:rsidRPr="004C72C6">
        <w:rPr>
          <w:i/>
          <w:iCs/>
          <w:sz w:val="24"/>
          <w:szCs w:val="24"/>
          <w:lang w:val="en-IN"/>
        </w:rPr>
        <w:t>Lessons learned: competition in public procurement.</w:t>
      </w:r>
      <w:r w:rsidRPr="008853DB">
        <w:rPr>
          <w:i/>
          <w:iCs/>
          <w:sz w:val="24"/>
          <w:szCs w:val="24"/>
          <w:lang w:val="en-IN"/>
        </w:rPr>
        <w:t xml:space="preserve"> </w:t>
      </w:r>
      <w:r w:rsidRPr="008853DB">
        <w:rPr>
          <w:sz w:val="24"/>
          <w:szCs w:val="24"/>
          <w:lang w:val="en-IN"/>
        </w:rPr>
        <w:t xml:space="preserve">Available at: </w:t>
      </w:r>
      <w:hyperlink r:id="rId24" w:history="1">
        <w:r w:rsidRPr="008853DB">
          <w:rPr>
            <w:rStyle w:val="Hyperlink"/>
            <w:sz w:val="24"/>
            <w:szCs w:val="24"/>
            <w:lang w:val="en-IN"/>
          </w:rPr>
          <w:t>https://www.nao.org.uk/wp-content/uploads/2023/07/lessons-learned-competition-in-public-procurement.pdf</w:t>
        </w:r>
      </w:hyperlink>
      <w:r w:rsidRPr="008853DB">
        <w:rPr>
          <w:sz w:val="24"/>
          <w:szCs w:val="24"/>
          <w:lang w:val="en-IN"/>
        </w:rPr>
        <w:t xml:space="preserve"> </w:t>
      </w:r>
    </w:p>
    <w:p w14:paraId="203EC1D5" w14:textId="77777777" w:rsidR="008B7016" w:rsidRPr="008853DB" w:rsidRDefault="008B7016" w:rsidP="008B7016">
      <w:pPr>
        <w:spacing w:line="360" w:lineRule="auto"/>
        <w:rPr>
          <w:sz w:val="24"/>
          <w:szCs w:val="24"/>
        </w:rPr>
      </w:pPr>
      <w:r w:rsidRPr="008853DB">
        <w:rPr>
          <w:sz w:val="24"/>
          <w:szCs w:val="24"/>
        </w:rPr>
        <w:t xml:space="preserve">Orango, E., Ajwang, P.O. and Musa, G. (2025) </w:t>
      </w:r>
      <w:r w:rsidRPr="008853DB">
        <w:rPr>
          <w:i/>
          <w:iCs/>
          <w:sz w:val="24"/>
          <w:szCs w:val="24"/>
        </w:rPr>
        <w:t>“Does contracting method matter? A comparative analysis of quality and performance outcomes in multi-prime vs single-prime urban roads infrastructure construction.”</w:t>
      </w:r>
      <w:r w:rsidRPr="008853DB">
        <w:rPr>
          <w:sz w:val="24"/>
          <w:szCs w:val="24"/>
        </w:rPr>
        <w:t xml:space="preserve"> Material Science &amp; Engineering International Journal, 9(2), pp.63–71. Available at: </w:t>
      </w:r>
      <w:hyperlink r:id="rId25" w:history="1">
        <w:r w:rsidRPr="008853DB">
          <w:rPr>
            <w:rStyle w:val="Hyperlink"/>
            <w:sz w:val="24"/>
            <w:szCs w:val="24"/>
          </w:rPr>
          <w:t>https://medcraveonline.com/MSEIJ/MSEIJ-09-00255.pdf</w:t>
        </w:r>
      </w:hyperlink>
      <w:r w:rsidRPr="008853DB">
        <w:rPr>
          <w:sz w:val="24"/>
          <w:szCs w:val="24"/>
        </w:rPr>
        <w:t xml:space="preserve"> </w:t>
      </w:r>
    </w:p>
    <w:p w14:paraId="229ED8EE" w14:textId="77777777" w:rsidR="008B7016" w:rsidRPr="006C2E14" w:rsidRDefault="008B7016" w:rsidP="008B7016">
      <w:pPr>
        <w:spacing w:line="360" w:lineRule="auto"/>
        <w:rPr>
          <w:sz w:val="24"/>
          <w:szCs w:val="24"/>
          <w:lang w:val="en-IN"/>
        </w:rPr>
      </w:pPr>
      <w:r w:rsidRPr="008853DB">
        <w:rPr>
          <w:sz w:val="24"/>
          <w:szCs w:val="24"/>
        </w:rPr>
        <w:t xml:space="preserve">Orango, E.O., Ajwang’, P. and Njuki, L. (2024) ‘Comparative study of multi prime and single prime contracting performance in large road construction project in Kenya’, </w:t>
      </w:r>
      <w:r w:rsidRPr="008853DB">
        <w:rPr>
          <w:i/>
          <w:iCs/>
          <w:sz w:val="24"/>
          <w:szCs w:val="24"/>
        </w:rPr>
        <w:t>International Research Journal of Engineering and Technology (IRJET)</w:t>
      </w:r>
      <w:r w:rsidRPr="008853DB">
        <w:rPr>
          <w:sz w:val="24"/>
          <w:szCs w:val="24"/>
        </w:rPr>
        <w:t xml:space="preserve">, 11(4), April, pp. [page numbers if available]. Available at: </w:t>
      </w:r>
      <w:hyperlink r:id="rId26" w:tgtFrame="_new" w:history="1">
        <w:r w:rsidRPr="008853DB">
          <w:rPr>
            <w:rStyle w:val="Hyperlink"/>
            <w:sz w:val="24"/>
            <w:szCs w:val="24"/>
          </w:rPr>
          <w:t>https://www.irjet.net/archives/V11/i4/IRJET-V11I4326.pdf</w:t>
        </w:r>
      </w:hyperlink>
      <w:r w:rsidRPr="008853DB">
        <w:rPr>
          <w:sz w:val="24"/>
          <w:szCs w:val="24"/>
        </w:rPr>
        <w:t xml:space="preserve"> </w:t>
      </w:r>
    </w:p>
    <w:p w14:paraId="42F4E00D" w14:textId="77777777" w:rsidR="008B7016" w:rsidRPr="008853DB" w:rsidRDefault="008B7016" w:rsidP="008B7016">
      <w:pPr>
        <w:spacing w:line="360" w:lineRule="auto"/>
        <w:rPr>
          <w:sz w:val="24"/>
          <w:szCs w:val="24"/>
          <w:lang w:val="en-IN"/>
        </w:rPr>
      </w:pPr>
      <w:r w:rsidRPr="004C72C6">
        <w:rPr>
          <w:sz w:val="24"/>
          <w:szCs w:val="24"/>
          <w:lang w:val="en-IN"/>
        </w:rPr>
        <w:t xml:space="preserve">PMI (2021) </w:t>
      </w:r>
      <w:r w:rsidRPr="004C72C6">
        <w:rPr>
          <w:i/>
          <w:iCs/>
          <w:sz w:val="24"/>
          <w:szCs w:val="24"/>
          <w:lang w:val="en-IN"/>
        </w:rPr>
        <w:t>A Guide to the Project Management Body of Knowledge (PMBOK® Guide), 7th ed.</w:t>
      </w:r>
      <w:r w:rsidRPr="008853DB">
        <w:rPr>
          <w:i/>
          <w:iCs/>
          <w:sz w:val="24"/>
          <w:szCs w:val="24"/>
          <w:lang w:val="en-IN"/>
        </w:rPr>
        <w:t xml:space="preserve"> </w:t>
      </w:r>
    </w:p>
    <w:p w14:paraId="47443866" w14:textId="77777777" w:rsidR="008B7016" w:rsidRPr="002D2D40" w:rsidRDefault="008B7016" w:rsidP="008B7016">
      <w:pPr>
        <w:spacing w:line="360" w:lineRule="auto"/>
        <w:rPr>
          <w:sz w:val="24"/>
          <w:szCs w:val="24"/>
          <w:lang w:val="en-IN"/>
        </w:rPr>
      </w:pPr>
      <w:r w:rsidRPr="008853DB">
        <w:rPr>
          <w:sz w:val="24"/>
          <w:szCs w:val="24"/>
        </w:rPr>
        <w:t xml:space="preserve">Rojas, E.M. (2008) </w:t>
      </w:r>
      <w:r w:rsidRPr="008853DB">
        <w:rPr>
          <w:i/>
          <w:iCs/>
          <w:sz w:val="24"/>
          <w:szCs w:val="24"/>
        </w:rPr>
        <w:t>“Single versus multiple prime contracting.”</w:t>
      </w:r>
      <w:r w:rsidRPr="008853DB">
        <w:rPr>
          <w:sz w:val="24"/>
          <w:szCs w:val="24"/>
        </w:rPr>
        <w:t xml:space="preserve"> Journal of Construction Engineering and Management, 134(10), pp.758–765. Available at: </w:t>
      </w:r>
      <w:hyperlink r:id="rId27" w:history="1">
        <w:r w:rsidRPr="008853DB">
          <w:rPr>
            <w:rStyle w:val="Hyperlink"/>
            <w:sz w:val="24"/>
            <w:szCs w:val="24"/>
          </w:rPr>
          <w:t>https://www.greatertorontoeca.org/files/Single%20Vs%20Multiple%20Prime%20Contracting%20(2007).pdf</w:t>
        </w:r>
      </w:hyperlink>
      <w:r w:rsidRPr="008853DB">
        <w:rPr>
          <w:sz w:val="24"/>
          <w:szCs w:val="24"/>
        </w:rPr>
        <w:t xml:space="preserve"> </w:t>
      </w:r>
    </w:p>
    <w:p w14:paraId="1F348D8E" w14:textId="77777777" w:rsidR="008B7016" w:rsidRPr="008853DB" w:rsidRDefault="008B7016" w:rsidP="008B7016">
      <w:pPr>
        <w:spacing w:line="360" w:lineRule="auto"/>
        <w:rPr>
          <w:sz w:val="24"/>
          <w:szCs w:val="24"/>
          <w:lang w:val="en-IN"/>
        </w:rPr>
      </w:pPr>
      <w:r w:rsidRPr="007233C5">
        <w:rPr>
          <w:sz w:val="24"/>
          <w:szCs w:val="24"/>
          <w:lang w:val="en-IN"/>
        </w:rPr>
        <w:t xml:space="preserve">Sha, K., 2016. Understanding construction project governance: An inter-organizational perspective. </w:t>
      </w:r>
      <w:r w:rsidRPr="007233C5">
        <w:rPr>
          <w:i/>
          <w:iCs/>
          <w:sz w:val="24"/>
          <w:szCs w:val="24"/>
          <w:lang w:val="en-IN"/>
        </w:rPr>
        <w:t>International Journal of Architecture, Engineering and Construction</w:t>
      </w:r>
      <w:r w:rsidRPr="007233C5">
        <w:rPr>
          <w:sz w:val="24"/>
          <w:szCs w:val="24"/>
          <w:lang w:val="en-IN"/>
        </w:rPr>
        <w:t xml:space="preserve">, 5(2), pp.117–127. Available at: </w:t>
      </w:r>
      <w:hyperlink r:id="rId28" w:history="1">
        <w:r w:rsidRPr="007233C5">
          <w:rPr>
            <w:rStyle w:val="Hyperlink"/>
            <w:sz w:val="24"/>
            <w:szCs w:val="24"/>
            <w:lang w:val="en-IN"/>
          </w:rPr>
          <w:t>https://www.researchgate.net/publication/305351771</w:t>
        </w:r>
      </w:hyperlink>
      <w:r w:rsidRPr="007233C5">
        <w:rPr>
          <w:sz w:val="24"/>
          <w:szCs w:val="24"/>
          <w:lang w:val="en-IN"/>
        </w:rPr>
        <w:t xml:space="preserve"> </w:t>
      </w:r>
    </w:p>
    <w:p w14:paraId="3E2734A9" w14:textId="77777777" w:rsidR="008B7016" w:rsidRPr="008853DB" w:rsidRDefault="008B7016" w:rsidP="008B7016">
      <w:pPr>
        <w:spacing w:line="360" w:lineRule="auto"/>
        <w:rPr>
          <w:sz w:val="24"/>
          <w:szCs w:val="24"/>
        </w:rPr>
      </w:pPr>
      <w:r w:rsidRPr="002D2D40">
        <w:rPr>
          <w:sz w:val="24"/>
          <w:szCs w:val="24"/>
          <w:lang w:val="en-IN"/>
        </w:rPr>
        <w:t xml:space="preserve">Su, L. </w:t>
      </w:r>
      <w:r w:rsidRPr="002D2D40">
        <w:rPr>
          <w:i/>
          <w:iCs/>
          <w:sz w:val="24"/>
          <w:szCs w:val="24"/>
          <w:lang w:val="en-IN"/>
        </w:rPr>
        <w:t>et al.</w:t>
      </w:r>
      <w:r w:rsidRPr="002D2D40">
        <w:rPr>
          <w:sz w:val="24"/>
          <w:szCs w:val="24"/>
          <w:lang w:val="en-IN"/>
        </w:rPr>
        <w:t xml:space="preserve"> (2025) 'A Two-Stage sustainable optimal scheduling strategy for Multi-Contract collaborative distributed resource aggregators,' </w:t>
      </w:r>
      <w:r w:rsidRPr="002D2D40">
        <w:rPr>
          <w:i/>
          <w:iCs/>
          <w:sz w:val="24"/>
          <w:szCs w:val="24"/>
          <w:lang w:val="en-IN"/>
        </w:rPr>
        <w:t>Sustainability</w:t>
      </w:r>
      <w:r w:rsidRPr="002D2D40">
        <w:rPr>
          <w:sz w:val="24"/>
          <w:szCs w:val="24"/>
          <w:lang w:val="en-IN"/>
        </w:rPr>
        <w:t xml:space="preserve">, 17(15), p. 6767. </w:t>
      </w:r>
      <w:hyperlink r:id="rId29" w:history="1">
        <w:r w:rsidRPr="002D2D40">
          <w:rPr>
            <w:rStyle w:val="Hyperlink"/>
            <w:sz w:val="24"/>
            <w:szCs w:val="24"/>
            <w:lang w:val="en-IN"/>
          </w:rPr>
          <w:t>https://doi.org/10.3390/su17156767</w:t>
        </w:r>
      </w:hyperlink>
      <w:r w:rsidRPr="002D2D40">
        <w:rPr>
          <w:sz w:val="24"/>
          <w:szCs w:val="24"/>
          <w:lang w:val="en-IN"/>
        </w:rPr>
        <w:t>.</w:t>
      </w:r>
    </w:p>
    <w:p w14:paraId="011C1A74" w14:textId="2F73A877" w:rsidR="008B7016" w:rsidRPr="008853DB" w:rsidRDefault="00BF2ACA" w:rsidP="008B7016">
      <w:pPr>
        <w:spacing w:line="360" w:lineRule="auto"/>
        <w:rPr>
          <w:sz w:val="24"/>
          <w:szCs w:val="24"/>
          <w:lang w:val="en-US"/>
        </w:rPr>
      </w:pPr>
      <w:r>
        <w:rPr>
          <w:sz w:val="24"/>
          <w:szCs w:val="24"/>
          <w:lang w:val="en-US"/>
        </w:rPr>
        <w:t xml:space="preserve"> </w:t>
      </w:r>
    </w:p>
    <w:p w14:paraId="1B52D425" w14:textId="77777777" w:rsidR="0033555F" w:rsidRDefault="0033555F"/>
    <w:sectPr w:rsidR="0033555F">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93712" w14:textId="77777777" w:rsidR="00D628E9" w:rsidRDefault="00D628E9" w:rsidP="003450C1">
      <w:r>
        <w:separator/>
      </w:r>
    </w:p>
  </w:endnote>
  <w:endnote w:type="continuationSeparator" w:id="0">
    <w:p w14:paraId="3596B8BD" w14:textId="77777777" w:rsidR="00D628E9" w:rsidRDefault="00D628E9" w:rsidP="00345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24951" w14:textId="77777777" w:rsidR="003450C1" w:rsidRDefault="003450C1">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5100C18E" w14:textId="77777777" w:rsidR="003450C1" w:rsidRDefault="003450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A3033" w14:textId="77777777" w:rsidR="00D628E9" w:rsidRDefault="00D628E9" w:rsidP="003450C1">
      <w:r>
        <w:separator/>
      </w:r>
    </w:p>
  </w:footnote>
  <w:footnote w:type="continuationSeparator" w:id="0">
    <w:p w14:paraId="45F105B6" w14:textId="77777777" w:rsidR="00D628E9" w:rsidRDefault="00D628E9" w:rsidP="003450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A9264" w14:textId="6DB0CA76" w:rsidR="003450C1" w:rsidRDefault="003450C1">
    <w:pPr>
      <w:pStyle w:val="Header"/>
    </w:pPr>
    <w:r w:rsidRPr="00A406E5">
      <w:rPr>
        <w:rFonts w:ascii="Arial" w:hAnsi="Arial" w:cs="Arial"/>
        <w:noProof/>
      </w:rPr>
      <w:drawing>
        <wp:anchor distT="0" distB="0" distL="114300" distR="114300" simplePos="0" relativeHeight="251659264" behindDoc="0" locked="0" layoutInCell="1" allowOverlap="1" wp14:anchorId="3253FB91" wp14:editId="03A879C0">
          <wp:simplePos x="0" y="0"/>
          <wp:positionH relativeFrom="margin">
            <wp:align>left</wp:align>
          </wp:positionH>
          <wp:positionV relativeFrom="paragraph">
            <wp:posOffset>-16911</wp:posOffset>
          </wp:positionV>
          <wp:extent cx="1400175" cy="466725"/>
          <wp:effectExtent l="0" t="0" r="9525" b="9525"/>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00175" cy="4667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016"/>
    <w:rsid w:val="001114FE"/>
    <w:rsid w:val="0033555F"/>
    <w:rsid w:val="003450C1"/>
    <w:rsid w:val="003E2C68"/>
    <w:rsid w:val="00433642"/>
    <w:rsid w:val="0049143B"/>
    <w:rsid w:val="004E6D06"/>
    <w:rsid w:val="00522D26"/>
    <w:rsid w:val="006C7B36"/>
    <w:rsid w:val="007C5460"/>
    <w:rsid w:val="008B7016"/>
    <w:rsid w:val="00BF2ACA"/>
    <w:rsid w:val="00D628E9"/>
    <w:rsid w:val="00E451C7"/>
    <w:rsid w:val="00EA17E4"/>
    <w:rsid w:val="00ED1E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005E5"/>
  <w15:chartTrackingRefBased/>
  <w15:docId w15:val="{97F4F94D-9D33-4CA2-B1DF-15E678D0B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016"/>
    <w:pPr>
      <w:spacing w:after="0" w:line="240" w:lineRule="auto"/>
    </w:pPr>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8B701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IN" w:eastAsia="en-US"/>
      <w14:ligatures w14:val="standardContextual"/>
    </w:rPr>
  </w:style>
  <w:style w:type="paragraph" w:styleId="Heading2">
    <w:name w:val="heading 2"/>
    <w:basedOn w:val="Normal"/>
    <w:next w:val="Normal"/>
    <w:link w:val="Heading2Char"/>
    <w:unhideWhenUsed/>
    <w:qFormat/>
    <w:rsid w:val="008B701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IN" w:eastAsia="en-US"/>
      <w14:ligatures w14:val="standardContextual"/>
    </w:rPr>
  </w:style>
  <w:style w:type="paragraph" w:styleId="Heading3">
    <w:name w:val="heading 3"/>
    <w:basedOn w:val="Normal"/>
    <w:next w:val="Normal"/>
    <w:link w:val="Heading3Char"/>
    <w:uiPriority w:val="9"/>
    <w:semiHidden/>
    <w:unhideWhenUsed/>
    <w:qFormat/>
    <w:rsid w:val="008B701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IN" w:eastAsia="en-US"/>
      <w14:ligatures w14:val="standardContextual"/>
    </w:rPr>
  </w:style>
  <w:style w:type="paragraph" w:styleId="Heading4">
    <w:name w:val="heading 4"/>
    <w:basedOn w:val="Normal"/>
    <w:next w:val="Normal"/>
    <w:link w:val="Heading4Char"/>
    <w:uiPriority w:val="9"/>
    <w:semiHidden/>
    <w:unhideWhenUsed/>
    <w:qFormat/>
    <w:rsid w:val="008B7016"/>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n-IN" w:eastAsia="en-US"/>
      <w14:ligatures w14:val="standardContextual"/>
    </w:rPr>
  </w:style>
  <w:style w:type="paragraph" w:styleId="Heading5">
    <w:name w:val="heading 5"/>
    <w:basedOn w:val="Normal"/>
    <w:next w:val="Normal"/>
    <w:link w:val="Heading5Char"/>
    <w:uiPriority w:val="9"/>
    <w:semiHidden/>
    <w:unhideWhenUsed/>
    <w:qFormat/>
    <w:rsid w:val="008B7016"/>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en-IN" w:eastAsia="en-US"/>
      <w14:ligatures w14:val="standardContextual"/>
    </w:rPr>
  </w:style>
  <w:style w:type="paragraph" w:styleId="Heading6">
    <w:name w:val="heading 6"/>
    <w:basedOn w:val="Normal"/>
    <w:next w:val="Normal"/>
    <w:link w:val="Heading6Char"/>
    <w:uiPriority w:val="9"/>
    <w:semiHidden/>
    <w:unhideWhenUsed/>
    <w:qFormat/>
    <w:rsid w:val="008B7016"/>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IN" w:eastAsia="en-US"/>
      <w14:ligatures w14:val="standardContextual"/>
    </w:rPr>
  </w:style>
  <w:style w:type="paragraph" w:styleId="Heading7">
    <w:name w:val="heading 7"/>
    <w:basedOn w:val="Normal"/>
    <w:next w:val="Normal"/>
    <w:link w:val="Heading7Char"/>
    <w:uiPriority w:val="9"/>
    <w:semiHidden/>
    <w:unhideWhenUsed/>
    <w:qFormat/>
    <w:rsid w:val="008B7016"/>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n-IN" w:eastAsia="en-US"/>
      <w14:ligatures w14:val="standardContextual"/>
    </w:rPr>
  </w:style>
  <w:style w:type="paragraph" w:styleId="Heading8">
    <w:name w:val="heading 8"/>
    <w:basedOn w:val="Normal"/>
    <w:next w:val="Normal"/>
    <w:link w:val="Heading8Char"/>
    <w:uiPriority w:val="9"/>
    <w:semiHidden/>
    <w:unhideWhenUsed/>
    <w:qFormat/>
    <w:rsid w:val="008B7016"/>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n-IN" w:eastAsia="en-US"/>
      <w14:ligatures w14:val="standardContextual"/>
    </w:rPr>
  </w:style>
  <w:style w:type="paragraph" w:styleId="Heading9">
    <w:name w:val="heading 9"/>
    <w:basedOn w:val="Normal"/>
    <w:next w:val="Normal"/>
    <w:link w:val="Heading9Char"/>
    <w:uiPriority w:val="9"/>
    <w:semiHidden/>
    <w:unhideWhenUsed/>
    <w:qFormat/>
    <w:rsid w:val="008B7016"/>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n-IN"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0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70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70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70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70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70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70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70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7016"/>
    <w:rPr>
      <w:rFonts w:eastAsiaTheme="majorEastAsia" w:cstheme="majorBidi"/>
      <w:color w:val="272727" w:themeColor="text1" w:themeTint="D8"/>
    </w:rPr>
  </w:style>
  <w:style w:type="paragraph" w:styleId="Title">
    <w:name w:val="Title"/>
    <w:basedOn w:val="Normal"/>
    <w:next w:val="Normal"/>
    <w:link w:val="TitleChar"/>
    <w:uiPriority w:val="10"/>
    <w:qFormat/>
    <w:rsid w:val="008B7016"/>
    <w:pPr>
      <w:spacing w:after="80"/>
      <w:contextualSpacing/>
    </w:pPr>
    <w:rPr>
      <w:rFonts w:asciiTheme="majorHAnsi" w:eastAsiaTheme="majorEastAsia" w:hAnsiTheme="majorHAnsi" w:cstheme="majorBidi"/>
      <w:spacing w:val="-10"/>
      <w:kern w:val="28"/>
      <w:sz w:val="56"/>
      <w:szCs w:val="56"/>
      <w:lang w:val="en-IN" w:eastAsia="en-US"/>
      <w14:ligatures w14:val="standardContextual"/>
    </w:rPr>
  </w:style>
  <w:style w:type="character" w:customStyle="1" w:styleId="TitleChar">
    <w:name w:val="Title Char"/>
    <w:basedOn w:val="DefaultParagraphFont"/>
    <w:link w:val="Title"/>
    <w:uiPriority w:val="10"/>
    <w:rsid w:val="008B70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701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IN" w:eastAsia="en-US"/>
      <w14:ligatures w14:val="standardContextual"/>
    </w:rPr>
  </w:style>
  <w:style w:type="character" w:customStyle="1" w:styleId="SubtitleChar">
    <w:name w:val="Subtitle Char"/>
    <w:basedOn w:val="DefaultParagraphFont"/>
    <w:link w:val="Subtitle"/>
    <w:uiPriority w:val="11"/>
    <w:rsid w:val="008B70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7016"/>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IN" w:eastAsia="en-US"/>
      <w14:ligatures w14:val="standardContextual"/>
    </w:rPr>
  </w:style>
  <w:style w:type="character" w:customStyle="1" w:styleId="QuoteChar">
    <w:name w:val="Quote Char"/>
    <w:basedOn w:val="DefaultParagraphFont"/>
    <w:link w:val="Quote"/>
    <w:uiPriority w:val="29"/>
    <w:rsid w:val="008B7016"/>
    <w:rPr>
      <w:i/>
      <w:iCs/>
      <w:color w:val="404040" w:themeColor="text1" w:themeTint="BF"/>
    </w:rPr>
  </w:style>
  <w:style w:type="paragraph" w:styleId="ListParagraph">
    <w:name w:val="List Paragraph"/>
    <w:basedOn w:val="Normal"/>
    <w:uiPriority w:val="34"/>
    <w:qFormat/>
    <w:rsid w:val="008B7016"/>
    <w:pPr>
      <w:spacing w:after="160" w:line="259" w:lineRule="auto"/>
      <w:ind w:left="720"/>
      <w:contextualSpacing/>
    </w:pPr>
    <w:rPr>
      <w:rFonts w:asciiTheme="minorHAnsi" w:eastAsiaTheme="minorHAnsi" w:hAnsiTheme="minorHAnsi" w:cstheme="minorBidi"/>
      <w:kern w:val="2"/>
      <w:sz w:val="22"/>
      <w:szCs w:val="22"/>
      <w:lang w:val="en-IN" w:eastAsia="en-US"/>
      <w14:ligatures w14:val="standardContextual"/>
    </w:rPr>
  </w:style>
  <w:style w:type="character" w:styleId="IntenseEmphasis">
    <w:name w:val="Intense Emphasis"/>
    <w:basedOn w:val="DefaultParagraphFont"/>
    <w:uiPriority w:val="21"/>
    <w:qFormat/>
    <w:rsid w:val="008B7016"/>
    <w:rPr>
      <w:i/>
      <w:iCs/>
      <w:color w:val="0F4761" w:themeColor="accent1" w:themeShade="BF"/>
    </w:rPr>
  </w:style>
  <w:style w:type="paragraph" w:styleId="IntenseQuote">
    <w:name w:val="Intense Quote"/>
    <w:basedOn w:val="Normal"/>
    <w:next w:val="Normal"/>
    <w:link w:val="IntenseQuoteChar"/>
    <w:uiPriority w:val="30"/>
    <w:qFormat/>
    <w:rsid w:val="008B701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IN" w:eastAsia="en-US"/>
      <w14:ligatures w14:val="standardContextual"/>
    </w:rPr>
  </w:style>
  <w:style w:type="character" w:customStyle="1" w:styleId="IntenseQuoteChar">
    <w:name w:val="Intense Quote Char"/>
    <w:basedOn w:val="DefaultParagraphFont"/>
    <w:link w:val="IntenseQuote"/>
    <w:uiPriority w:val="30"/>
    <w:rsid w:val="008B7016"/>
    <w:rPr>
      <w:i/>
      <w:iCs/>
      <w:color w:val="0F4761" w:themeColor="accent1" w:themeShade="BF"/>
    </w:rPr>
  </w:style>
  <w:style w:type="character" w:styleId="IntenseReference">
    <w:name w:val="Intense Reference"/>
    <w:basedOn w:val="DefaultParagraphFont"/>
    <w:uiPriority w:val="32"/>
    <w:qFormat/>
    <w:rsid w:val="008B7016"/>
    <w:rPr>
      <w:b/>
      <w:bCs/>
      <w:smallCaps/>
      <w:color w:val="0F4761" w:themeColor="accent1" w:themeShade="BF"/>
      <w:spacing w:val="5"/>
    </w:rPr>
  </w:style>
  <w:style w:type="character" w:styleId="Hyperlink">
    <w:name w:val="Hyperlink"/>
    <w:basedOn w:val="DefaultParagraphFont"/>
    <w:uiPriority w:val="99"/>
    <w:unhideWhenUsed/>
    <w:rsid w:val="008B7016"/>
    <w:rPr>
      <w:color w:val="467886" w:themeColor="hyperlink"/>
      <w:u w:val="single"/>
    </w:rPr>
  </w:style>
  <w:style w:type="paragraph" w:styleId="Header">
    <w:name w:val="header"/>
    <w:basedOn w:val="Normal"/>
    <w:link w:val="HeaderChar"/>
    <w:uiPriority w:val="99"/>
    <w:unhideWhenUsed/>
    <w:rsid w:val="003450C1"/>
    <w:pPr>
      <w:tabs>
        <w:tab w:val="center" w:pos="4513"/>
        <w:tab w:val="right" w:pos="9026"/>
      </w:tabs>
    </w:pPr>
  </w:style>
  <w:style w:type="character" w:customStyle="1" w:styleId="HeaderChar">
    <w:name w:val="Header Char"/>
    <w:basedOn w:val="DefaultParagraphFont"/>
    <w:link w:val="Header"/>
    <w:uiPriority w:val="99"/>
    <w:rsid w:val="003450C1"/>
    <w:rPr>
      <w:rFonts w:ascii="Times New Roman" w:eastAsia="Times New Roman" w:hAnsi="Times New Roman" w:cs="Times New Roman"/>
      <w:kern w:val="0"/>
      <w:sz w:val="20"/>
      <w:szCs w:val="20"/>
      <w:lang w:val="en-GB" w:eastAsia="en-GB"/>
      <w14:ligatures w14:val="none"/>
    </w:rPr>
  </w:style>
  <w:style w:type="paragraph" w:styleId="Footer">
    <w:name w:val="footer"/>
    <w:basedOn w:val="Normal"/>
    <w:link w:val="FooterChar"/>
    <w:uiPriority w:val="99"/>
    <w:unhideWhenUsed/>
    <w:rsid w:val="003450C1"/>
    <w:pPr>
      <w:tabs>
        <w:tab w:val="center" w:pos="4513"/>
        <w:tab w:val="right" w:pos="9026"/>
      </w:tabs>
    </w:pPr>
  </w:style>
  <w:style w:type="character" w:customStyle="1" w:styleId="FooterChar">
    <w:name w:val="Footer Char"/>
    <w:basedOn w:val="DefaultParagraphFont"/>
    <w:link w:val="Footer"/>
    <w:uiPriority w:val="99"/>
    <w:rsid w:val="003450C1"/>
    <w:rPr>
      <w:rFonts w:ascii="Times New Roman" w:eastAsia="Times New Roman" w:hAnsi="Times New Roman" w:cs="Times New Roman"/>
      <w:kern w:val="0"/>
      <w:sz w:val="20"/>
      <w:szCs w:val="2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iva-portal.org/smash/get/diva2:1775927/FULLTEXT01.pdf" TargetMode="External"/><Relationship Id="rId18" Type="http://schemas.openxmlformats.org/officeDocument/2006/relationships/hyperlink" Target="https://www.linkedin.com/pulse/strategies-using-multiple-contracts-project-execution-pmp-kcsyc" TargetMode="External"/><Relationship Id="rId26" Type="http://schemas.openxmlformats.org/officeDocument/2006/relationships/hyperlink" Target="https://www.irjet.net/archives/V11/i4/IRJET-V11I4326.pdf" TargetMode="External"/><Relationship Id="rId3" Type="http://schemas.openxmlformats.org/officeDocument/2006/relationships/webSettings" Target="webSettings.xml"/><Relationship Id="rId21" Type="http://schemas.openxmlformats.org/officeDocument/2006/relationships/hyperlink" Target="https://doi.org/10.4314/dasjr.v10i6.4" TargetMode="External"/><Relationship Id="rId7" Type="http://schemas.openxmlformats.org/officeDocument/2006/relationships/hyperlink" Target="https://www.ijert.org/research/project-delivery-systems-and-contracting-strategies-IJERTV11IS030161.pdf" TargetMode="External"/><Relationship Id="rId12" Type="http://schemas.openxmlformats.org/officeDocument/2006/relationships/hyperlink" Target="https://www.fenwickelliott.com/sites/default/files/pages_from_international_energy_law_review_issue_4_2024.pdf" TargetMode="External"/><Relationship Id="rId17" Type="http://schemas.openxmlformats.org/officeDocument/2006/relationships/hyperlink" Target="https://www.lexology.com/library/detail.aspx" TargetMode="External"/><Relationship Id="rId25" Type="http://schemas.openxmlformats.org/officeDocument/2006/relationships/hyperlink" Target="https://medcraveonline.com/MSEIJ/MSEIJ-09-00255.pdf"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projectdelivery.gov.uk/teal-book/home/part-d-managing-programmes-and-projects/chapter-13-the-governance-and-management-of-programmes-and-projects/" TargetMode="External"/><Relationship Id="rId20" Type="http://schemas.openxmlformats.org/officeDocument/2006/relationships/hyperlink" Target="https://www.procore.com/library/cmmp-contracts" TargetMode="External"/><Relationship Id="rId29" Type="http://schemas.openxmlformats.org/officeDocument/2006/relationships/hyperlink" Target="https://doi.org/10.3390/su17156767" TargetMode="External"/><Relationship Id="rId1" Type="http://schemas.openxmlformats.org/officeDocument/2006/relationships/styles" Target="styles.xml"/><Relationship Id="rId6" Type="http://schemas.openxmlformats.org/officeDocument/2006/relationships/hyperlink" Target="https://www.wseas.org/multimedia/journals/economics/2018/a125907-027.pdf" TargetMode="External"/><Relationship Id="rId11" Type="http://schemas.openxmlformats.org/officeDocument/2006/relationships/hyperlink" Target="https://www.gov.uk/government/publications/the-sourcing-and-consultancy-playbooks/the-sourcing-playbook-html" TargetMode="External"/><Relationship Id="rId24" Type="http://schemas.openxmlformats.org/officeDocument/2006/relationships/hyperlink" Target="https://www.nao.org.uk/wp-content/uploads/2023/07/lessons-learned-competition-in-public-procurement.pdf"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rdash.io/blog/multi-prime-contracts-cmmp-method-explained/" TargetMode="External"/><Relationship Id="rId23" Type="http://schemas.openxmlformats.org/officeDocument/2006/relationships/hyperlink" Target="https://doi.org/10.33422/8th.mah.2020.02.17" TargetMode="External"/><Relationship Id="rId28" Type="http://schemas.openxmlformats.org/officeDocument/2006/relationships/hyperlink" Target="https://www.researchgate.net/publication/305351771" TargetMode="External"/><Relationship Id="rId10" Type="http://schemas.openxmlformats.org/officeDocument/2006/relationships/hyperlink" Target="https://digitalcommons.calpoly.edu/cgi/viewcontent.cgi?article=1667&amp;context=cmsp" TargetMode="External"/><Relationship Id="rId19" Type="http://schemas.openxmlformats.org/officeDocument/2006/relationships/hyperlink" Target="https://doi.org/10.3130/jaabe.16.613"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researchgate.net/publication/281450145" TargetMode="External"/><Relationship Id="rId14" Type="http://schemas.openxmlformats.org/officeDocument/2006/relationships/hyperlink" Target="https://doi.org/10.1080/23311886.2024.2401625" TargetMode="External"/><Relationship Id="rId22" Type="http://schemas.openxmlformats.org/officeDocument/2006/relationships/hyperlink" Target="https://doi.org/10.1016/0263-7863(90)90021-3" TargetMode="External"/><Relationship Id="rId27" Type="http://schemas.openxmlformats.org/officeDocument/2006/relationships/hyperlink" Target="https://www.greatertorontoeca.org/files/Single%20Vs%20Multiple%20Prime%20Contracting%20(2007).pdf" TargetMode="External"/><Relationship Id="rId30" Type="http://schemas.openxmlformats.org/officeDocument/2006/relationships/header" Target="header1.xml"/><Relationship Id="rId8" Type="http://schemas.openxmlformats.org/officeDocument/2006/relationships/hyperlink" Target="https://doi.org/10.1108/jedt-11-2021-0640"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3705</Words>
  <Characters>21123</Characters>
  <Application>Microsoft Office Word</Application>
  <DocSecurity>0</DocSecurity>
  <Lines>176</Lines>
  <Paragraphs>49</Paragraphs>
  <ScaleCrop>false</ScaleCrop>
  <Company/>
  <LinksUpToDate>false</LinksUpToDate>
  <CharactersWithSpaces>24779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Rajwinder Kaur</dc:creator>
  <cp:keywords/>
  <dc:description/>
  <cp:lastModifiedBy>Rajdeep Kaur</cp:lastModifiedBy>
  <cp:revision>8</cp:revision>
  <dcterms:created xsi:type="dcterms:W3CDTF">2025-11-09T23:01:00Z</dcterms:created>
  <dcterms:modified xsi:type="dcterms:W3CDTF">2025-11-15T22:54:00Z</dcterms:modified>
</cp:coreProperties>
</file>