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F50283" w14:textId="77777777" w:rsidR="00DF218A" w:rsidRPr="00FE187D" w:rsidRDefault="00040FA2" w:rsidP="00802C4F">
      <w:pPr>
        <w:pStyle w:val="Title"/>
        <w:spacing w:line="360" w:lineRule="auto"/>
        <w:jc w:val="center"/>
        <w:rPr>
          <w:rFonts w:ascii="Times New Roman" w:hAnsi="Times New Roman" w:cs="Times New Roman"/>
          <w:sz w:val="52"/>
        </w:rPr>
      </w:pPr>
      <w:r w:rsidRPr="00FE187D">
        <w:rPr>
          <w:rFonts w:ascii="Times New Roman" w:hAnsi="Times New Roman" w:cs="Times New Roman"/>
          <w:sz w:val="52"/>
        </w:rPr>
        <w:t>EVENT STRATEGIC PLANNING AND DELIVERY CONSIDERATIONS FOR AN INTERNATIONAL MEETING</w:t>
      </w:r>
    </w:p>
    <w:p w14:paraId="166E1CA1" w14:textId="77777777" w:rsidR="00040FA2" w:rsidRPr="00040FA2" w:rsidRDefault="00040FA2" w:rsidP="00040FA2"/>
    <w:p w14:paraId="194D1971" w14:textId="77777777" w:rsidR="00040FA2" w:rsidRDefault="00040FA2" w:rsidP="00040FA2">
      <w:pPr>
        <w:spacing w:line="360" w:lineRule="auto"/>
        <w:jc w:val="center"/>
        <w:rPr>
          <w:rFonts w:ascii="Times New Roman" w:hAnsi="Times New Roman" w:cs="Times New Roman"/>
          <w:b/>
          <w:sz w:val="24"/>
          <w:szCs w:val="24"/>
        </w:rPr>
      </w:pPr>
    </w:p>
    <w:p w14:paraId="3DD5CC6F" w14:textId="77777777" w:rsidR="00040FA2" w:rsidRDefault="00040FA2" w:rsidP="00040FA2">
      <w:pPr>
        <w:spacing w:line="360" w:lineRule="auto"/>
        <w:jc w:val="center"/>
        <w:rPr>
          <w:rFonts w:ascii="Times New Roman" w:hAnsi="Times New Roman" w:cs="Times New Roman"/>
          <w:b/>
          <w:sz w:val="24"/>
          <w:szCs w:val="24"/>
        </w:rPr>
      </w:pPr>
    </w:p>
    <w:p w14:paraId="4E1083A2" w14:textId="77777777" w:rsidR="00040FA2" w:rsidRPr="006A5F8D" w:rsidRDefault="00040FA2" w:rsidP="006A5F8D">
      <w:pPr>
        <w:spacing w:line="360" w:lineRule="auto"/>
        <w:jc w:val="both"/>
        <w:rPr>
          <w:rFonts w:ascii="Times New Roman" w:hAnsi="Times New Roman" w:cs="Times New Roman"/>
          <w:b/>
          <w:sz w:val="24"/>
          <w:szCs w:val="24"/>
        </w:rPr>
      </w:pPr>
    </w:p>
    <w:p w14:paraId="6A96B85D" w14:textId="77777777" w:rsidR="00040FA2" w:rsidRPr="006A5F8D" w:rsidRDefault="00040FA2" w:rsidP="006A5F8D">
      <w:pPr>
        <w:spacing w:line="360" w:lineRule="auto"/>
        <w:jc w:val="both"/>
        <w:rPr>
          <w:rFonts w:ascii="Times New Roman" w:hAnsi="Times New Roman" w:cs="Times New Roman"/>
          <w:b/>
          <w:sz w:val="24"/>
          <w:szCs w:val="24"/>
        </w:rPr>
      </w:pPr>
    </w:p>
    <w:p w14:paraId="332BB1CF" w14:textId="77777777" w:rsidR="00040FA2" w:rsidRPr="006A5F8D" w:rsidRDefault="00040FA2" w:rsidP="006A5F8D">
      <w:pPr>
        <w:spacing w:line="360" w:lineRule="auto"/>
        <w:jc w:val="both"/>
        <w:rPr>
          <w:rFonts w:ascii="Times New Roman" w:hAnsi="Times New Roman" w:cs="Times New Roman"/>
          <w:b/>
          <w:sz w:val="24"/>
          <w:szCs w:val="24"/>
        </w:rPr>
      </w:pPr>
    </w:p>
    <w:p w14:paraId="2E512CDD" w14:textId="77777777" w:rsidR="00040FA2" w:rsidRPr="006A5F8D" w:rsidRDefault="00040FA2" w:rsidP="006A5F8D">
      <w:pPr>
        <w:spacing w:line="360" w:lineRule="auto"/>
        <w:jc w:val="both"/>
        <w:rPr>
          <w:rFonts w:ascii="Times New Roman" w:hAnsi="Times New Roman" w:cs="Times New Roman"/>
          <w:b/>
          <w:sz w:val="24"/>
          <w:szCs w:val="24"/>
        </w:rPr>
      </w:pPr>
    </w:p>
    <w:p w14:paraId="7B32EBE1" w14:textId="77777777" w:rsidR="00040FA2" w:rsidRPr="006A5F8D" w:rsidRDefault="00040FA2" w:rsidP="006A5F8D">
      <w:pPr>
        <w:spacing w:line="360" w:lineRule="auto"/>
        <w:jc w:val="both"/>
        <w:rPr>
          <w:rFonts w:ascii="Times New Roman" w:hAnsi="Times New Roman" w:cs="Times New Roman"/>
          <w:b/>
          <w:sz w:val="24"/>
          <w:szCs w:val="24"/>
        </w:rPr>
      </w:pPr>
    </w:p>
    <w:p w14:paraId="6B900F85" w14:textId="77777777" w:rsidR="00040FA2" w:rsidRPr="006A5F8D" w:rsidRDefault="00040FA2" w:rsidP="006A5F8D">
      <w:pPr>
        <w:spacing w:line="360" w:lineRule="auto"/>
        <w:jc w:val="both"/>
        <w:rPr>
          <w:rFonts w:ascii="Times New Roman" w:hAnsi="Times New Roman" w:cs="Times New Roman"/>
          <w:b/>
          <w:sz w:val="24"/>
          <w:szCs w:val="24"/>
        </w:rPr>
      </w:pPr>
    </w:p>
    <w:p w14:paraId="10B05A07" w14:textId="77777777" w:rsidR="00040FA2" w:rsidRPr="006A5F8D" w:rsidRDefault="00040FA2" w:rsidP="004A2E70">
      <w:pPr>
        <w:spacing w:line="360" w:lineRule="auto"/>
        <w:rPr>
          <w:rFonts w:ascii="Times New Roman" w:hAnsi="Times New Roman" w:cs="Times New Roman"/>
          <w:b/>
          <w:sz w:val="24"/>
          <w:szCs w:val="24"/>
        </w:rPr>
      </w:pPr>
    </w:p>
    <w:p w14:paraId="587A89FF" w14:textId="7CABF7ED" w:rsidR="00040FA2" w:rsidRPr="006A5F8D" w:rsidRDefault="00040FA2" w:rsidP="004A2E70">
      <w:pPr>
        <w:spacing w:line="360" w:lineRule="auto"/>
        <w:rPr>
          <w:rFonts w:ascii="Times New Roman" w:hAnsi="Times New Roman" w:cs="Times New Roman"/>
          <w:b/>
          <w:sz w:val="24"/>
          <w:szCs w:val="24"/>
        </w:rPr>
      </w:pPr>
      <w:r w:rsidRPr="006A5F8D">
        <w:rPr>
          <w:rFonts w:ascii="Times New Roman" w:hAnsi="Times New Roman" w:cs="Times New Roman"/>
          <w:b/>
          <w:sz w:val="24"/>
          <w:szCs w:val="24"/>
        </w:rPr>
        <w:t xml:space="preserve">Student </w:t>
      </w:r>
      <w:r w:rsidR="004A2E70" w:rsidRPr="006A5F8D">
        <w:rPr>
          <w:rFonts w:ascii="Times New Roman" w:hAnsi="Times New Roman" w:cs="Times New Roman"/>
          <w:b/>
          <w:sz w:val="24"/>
          <w:szCs w:val="24"/>
        </w:rPr>
        <w:t>Name:</w:t>
      </w:r>
      <w:r w:rsidR="004A2E70">
        <w:rPr>
          <w:rFonts w:ascii="Times New Roman" w:hAnsi="Times New Roman" w:cs="Times New Roman"/>
          <w:b/>
          <w:sz w:val="24"/>
          <w:szCs w:val="24"/>
        </w:rPr>
        <w:t xml:space="preserve"> Vasile – Florin Apostol</w:t>
      </w:r>
    </w:p>
    <w:p w14:paraId="700CD21A" w14:textId="23C13342" w:rsidR="00040FA2" w:rsidRPr="006A5F8D" w:rsidRDefault="00040FA2" w:rsidP="004A2E70">
      <w:pPr>
        <w:spacing w:line="360" w:lineRule="auto"/>
        <w:rPr>
          <w:rFonts w:ascii="Times New Roman" w:hAnsi="Times New Roman" w:cs="Times New Roman"/>
          <w:b/>
          <w:sz w:val="24"/>
          <w:szCs w:val="24"/>
        </w:rPr>
      </w:pPr>
      <w:r w:rsidRPr="006A5F8D">
        <w:rPr>
          <w:rFonts w:ascii="Times New Roman" w:hAnsi="Times New Roman" w:cs="Times New Roman"/>
          <w:b/>
          <w:sz w:val="24"/>
          <w:szCs w:val="24"/>
        </w:rPr>
        <w:t xml:space="preserve">Student ID </w:t>
      </w:r>
      <w:r w:rsidR="004A2E70">
        <w:rPr>
          <w:rFonts w:ascii="Times New Roman" w:hAnsi="Times New Roman" w:cs="Times New Roman"/>
          <w:b/>
          <w:sz w:val="24"/>
          <w:szCs w:val="24"/>
        </w:rPr>
        <w:t>:2131343</w:t>
      </w:r>
    </w:p>
    <w:p w14:paraId="0F289EA9" w14:textId="77777777" w:rsidR="00040FA2" w:rsidRPr="006A5F8D" w:rsidRDefault="00040FA2" w:rsidP="004A2E70">
      <w:pPr>
        <w:spacing w:line="360" w:lineRule="auto"/>
        <w:rPr>
          <w:rFonts w:ascii="Times New Roman" w:hAnsi="Times New Roman" w:cs="Times New Roman"/>
          <w:sz w:val="24"/>
          <w:szCs w:val="24"/>
        </w:rPr>
      </w:pPr>
      <w:r w:rsidRPr="006A5F8D">
        <w:rPr>
          <w:rFonts w:ascii="Times New Roman" w:hAnsi="Times New Roman" w:cs="Times New Roman"/>
          <w:b/>
          <w:sz w:val="24"/>
          <w:szCs w:val="24"/>
        </w:rPr>
        <w:t>Module:</w:t>
      </w:r>
      <w:r w:rsidRPr="006A5F8D">
        <w:rPr>
          <w:rFonts w:ascii="Times New Roman" w:hAnsi="Times New Roman" w:cs="Times New Roman"/>
          <w:sz w:val="24"/>
          <w:szCs w:val="24"/>
        </w:rPr>
        <w:t xml:space="preserve"> International Meetings Management for the Hotel Industry</w:t>
      </w:r>
    </w:p>
    <w:p w14:paraId="245B7DBB" w14:textId="77777777" w:rsidR="00040FA2" w:rsidRPr="006A5F8D" w:rsidRDefault="00040FA2" w:rsidP="004A2E70">
      <w:pPr>
        <w:spacing w:line="360" w:lineRule="auto"/>
        <w:rPr>
          <w:rFonts w:ascii="Times New Roman" w:hAnsi="Times New Roman" w:cs="Times New Roman"/>
          <w:sz w:val="24"/>
          <w:szCs w:val="24"/>
        </w:rPr>
      </w:pPr>
      <w:r w:rsidRPr="006A5F8D">
        <w:rPr>
          <w:rFonts w:ascii="Times New Roman" w:hAnsi="Times New Roman" w:cs="Times New Roman"/>
          <w:b/>
          <w:sz w:val="24"/>
          <w:szCs w:val="24"/>
        </w:rPr>
        <w:t xml:space="preserve">Module Code: </w:t>
      </w:r>
      <w:r w:rsidRPr="006A5F8D">
        <w:rPr>
          <w:rFonts w:ascii="Times New Roman" w:hAnsi="Times New Roman" w:cs="Times New Roman"/>
          <w:sz w:val="24"/>
          <w:szCs w:val="24"/>
        </w:rPr>
        <w:t>BMIH6007</w:t>
      </w:r>
    </w:p>
    <w:p w14:paraId="64F33B95" w14:textId="754B3EEA" w:rsidR="00BE7721" w:rsidRPr="006A5F8D" w:rsidRDefault="004A2E70" w:rsidP="004A2E70">
      <w:pPr>
        <w:spacing w:line="360" w:lineRule="auto"/>
        <w:rPr>
          <w:rFonts w:ascii="Times New Roman" w:hAnsi="Times New Roman" w:cs="Times New Roman"/>
          <w:sz w:val="24"/>
          <w:szCs w:val="24"/>
        </w:rPr>
      </w:pPr>
      <w:r>
        <w:rPr>
          <w:rFonts w:ascii="Times New Roman" w:hAnsi="Times New Roman" w:cs="Times New Roman"/>
          <w:b/>
          <w:sz w:val="24"/>
          <w:szCs w:val="24"/>
        </w:rPr>
        <w:t>Lecturer Name: Kathryn Flynn</w:t>
      </w:r>
    </w:p>
    <w:p w14:paraId="6241BC5C" w14:textId="77777777" w:rsidR="00116EC2" w:rsidRPr="006A5F8D" w:rsidRDefault="00116EC2" w:rsidP="006A5F8D">
      <w:pPr>
        <w:spacing w:line="360" w:lineRule="auto"/>
        <w:jc w:val="both"/>
        <w:rPr>
          <w:rFonts w:ascii="Times New Roman" w:eastAsiaTheme="majorEastAsia" w:hAnsi="Times New Roman" w:cs="Times New Roman"/>
          <w:color w:val="2E74B5" w:themeColor="accent1" w:themeShade="BF"/>
          <w:sz w:val="24"/>
          <w:szCs w:val="24"/>
        </w:rPr>
      </w:pPr>
      <w:r w:rsidRPr="006A5F8D">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40793666"/>
        <w:docPartObj>
          <w:docPartGallery w:val="Table of Contents"/>
          <w:docPartUnique/>
        </w:docPartObj>
      </w:sdtPr>
      <w:sdtEndPr>
        <w:rPr>
          <w:b/>
          <w:bCs/>
          <w:noProof/>
        </w:rPr>
      </w:sdtEndPr>
      <w:sdtContent>
        <w:p w14:paraId="0EE41195" w14:textId="77777777" w:rsidR="00116EC2" w:rsidRPr="006A5F8D" w:rsidRDefault="00116EC2" w:rsidP="00D23E65">
          <w:pPr>
            <w:pStyle w:val="TOCHeading"/>
            <w:spacing w:line="360" w:lineRule="auto"/>
            <w:jc w:val="both"/>
            <w:rPr>
              <w:rFonts w:ascii="Times New Roman" w:hAnsi="Times New Roman" w:cs="Times New Roman"/>
              <w:sz w:val="24"/>
              <w:szCs w:val="24"/>
            </w:rPr>
          </w:pPr>
          <w:r w:rsidRPr="006A5F8D">
            <w:rPr>
              <w:rFonts w:ascii="Times New Roman" w:hAnsi="Times New Roman" w:cs="Times New Roman"/>
              <w:sz w:val="24"/>
              <w:szCs w:val="24"/>
            </w:rPr>
            <w:t>Table of Contents</w:t>
          </w:r>
        </w:p>
        <w:p w14:paraId="23A2ED19" w14:textId="4342E683" w:rsidR="00D23E65" w:rsidRDefault="00116EC2">
          <w:pPr>
            <w:pStyle w:val="TOC1"/>
            <w:tabs>
              <w:tab w:val="right" w:leader="dot" w:pos="9016"/>
            </w:tabs>
            <w:rPr>
              <w:rFonts w:eastAsiaTheme="minorEastAsia"/>
              <w:noProof/>
              <w:lang w:eastAsia="en-GB"/>
            </w:rPr>
          </w:pPr>
          <w:r w:rsidRPr="006A5F8D">
            <w:rPr>
              <w:rFonts w:ascii="Times New Roman" w:hAnsi="Times New Roman" w:cs="Times New Roman"/>
              <w:sz w:val="24"/>
              <w:szCs w:val="24"/>
            </w:rPr>
            <w:fldChar w:fldCharType="begin"/>
          </w:r>
          <w:r w:rsidRPr="006A5F8D">
            <w:rPr>
              <w:rFonts w:ascii="Times New Roman" w:hAnsi="Times New Roman" w:cs="Times New Roman"/>
              <w:sz w:val="24"/>
              <w:szCs w:val="24"/>
            </w:rPr>
            <w:instrText xml:space="preserve"> TOC \o "1-3" \h \z \u </w:instrText>
          </w:r>
          <w:r w:rsidRPr="006A5F8D">
            <w:rPr>
              <w:rFonts w:ascii="Times New Roman" w:hAnsi="Times New Roman" w:cs="Times New Roman"/>
              <w:sz w:val="24"/>
              <w:szCs w:val="24"/>
            </w:rPr>
            <w:fldChar w:fldCharType="separate"/>
          </w:r>
          <w:hyperlink w:anchor="_Toc167901506" w:history="1">
            <w:r w:rsidR="00D23E65" w:rsidRPr="005A5AC3">
              <w:rPr>
                <w:rStyle w:val="Hyperlink"/>
                <w:rFonts w:ascii="Times New Roman" w:hAnsi="Times New Roman" w:cs="Times New Roman"/>
                <w:noProof/>
              </w:rPr>
              <w:t>Table of Figures</w:t>
            </w:r>
            <w:r w:rsidR="00D23E65">
              <w:rPr>
                <w:noProof/>
                <w:webHidden/>
              </w:rPr>
              <w:tab/>
            </w:r>
            <w:r w:rsidR="00D23E65">
              <w:rPr>
                <w:noProof/>
                <w:webHidden/>
              </w:rPr>
              <w:fldChar w:fldCharType="begin"/>
            </w:r>
            <w:r w:rsidR="00D23E65">
              <w:rPr>
                <w:noProof/>
                <w:webHidden/>
              </w:rPr>
              <w:instrText xml:space="preserve"> PAGEREF _Toc167901506 \h </w:instrText>
            </w:r>
            <w:r w:rsidR="00D23E65">
              <w:rPr>
                <w:noProof/>
                <w:webHidden/>
              </w:rPr>
            </w:r>
            <w:r w:rsidR="00D23E65">
              <w:rPr>
                <w:noProof/>
                <w:webHidden/>
              </w:rPr>
              <w:fldChar w:fldCharType="separate"/>
            </w:r>
            <w:r w:rsidR="00802C4F">
              <w:rPr>
                <w:noProof/>
                <w:webHidden/>
              </w:rPr>
              <w:t>3</w:t>
            </w:r>
            <w:r w:rsidR="00D23E65">
              <w:rPr>
                <w:noProof/>
                <w:webHidden/>
              </w:rPr>
              <w:fldChar w:fldCharType="end"/>
            </w:r>
          </w:hyperlink>
        </w:p>
        <w:p w14:paraId="3C6E936D" w14:textId="01ED6F49" w:rsidR="00D23E65" w:rsidRDefault="00000000">
          <w:pPr>
            <w:pStyle w:val="TOC1"/>
            <w:tabs>
              <w:tab w:val="right" w:leader="dot" w:pos="9016"/>
            </w:tabs>
            <w:rPr>
              <w:rFonts w:eastAsiaTheme="minorEastAsia"/>
              <w:noProof/>
              <w:lang w:eastAsia="en-GB"/>
            </w:rPr>
          </w:pPr>
          <w:hyperlink w:anchor="_Toc167901507" w:history="1">
            <w:r w:rsidR="00D23E65" w:rsidRPr="005A5AC3">
              <w:rPr>
                <w:rStyle w:val="Hyperlink"/>
                <w:rFonts w:ascii="Times New Roman" w:hAnsi="Times New Roman" w:cs="Times New Roman"/>
                <w:noProof/>
              </w:rPr>
              <w:t>Introduction</w:t>
            </w:r>
            <w:r w:rsidR="00D23E65">
              <w:rPr>
                <w:noProof/>
                <w:webHidden/>
              </w:rPr>
              <w:tab/>
            </w:r>
            <w:r w:rsidR="00D23E65">
              <w:rPr>
                <w:noProof/>
                <w:webHidden/>
              </w:rPr>
              <w:fldChar w:fldCharType="begin"/>
            </w:r>
            <w:r w:rsidR="00D23E65">
              <w:rPr>
                <w:noProof/>
                <w:webHidden/>
              </w:rPr>
              <w:instrText xml:space="preserve"> PAGEREF _Toc167901507 \h </w:instrText>
            </w:r>
            <w:r w:rsidR="00D23E65">
              <w:rPr>
                <w:noProof/>
                <w:webHidden/>
              </w:rPr>
            </w:r>
            <w:r w:rsidR="00D23E65">
              <w:rPr>
                <w:noProof/>
                <w:webHidden/>
              </w:rPr>
              <w:fldChar w:fldCharType="separate"/>
            </w:r>
            <w:r w:rsidR="00802C4F">
              <w:rPr>
                <w:noProof/>
                <w:webHidden/>
              </w:rPr>
              <w:t>4</w:t>
            </w:r>
            <w:r w:rsidR="00D23E65">
              <w:rPr>
                <w:noProof/>
                <w:webHidden/>
              </w:rPr>
              <w:fldChar w:fldCharType="end"/>
            </w:r>
          </w:hyperlink>
        </w:p>
        <w:p w14:paraId="791A910A" w14:textId="2E14CDE4" w:rsidR="00D23E65" w:rsidRDefault="00000000">
          <w:pPr>
            <w:pStyle w:val="TOC2"/>
            <w:tabs>
              <w:tab w:val="right" w:leader="dot" w:pos="9016"/>
            </w:tabs>
            <w:rPr>
              <w:rFonts w:eastAsiaTheme="minorEastAsia"/>
              <w:noProof/>
              <w:lang w:eastAsia="en-GB"/>
            </w:rPr>
          </w:pPr>
          <w:hyperlink w:anchor="_Toc167901508" w:history="1">
            <w:r w:rsidR="00D23E65" w:rsidRPr="005A5AC3">
              <w:rPr>
                <w:rStyle w:val="Hyperlink"/>
                <w:rFonts w:ascii="Times New Roman" w:hAnsi="Times New Roman" w:cs="Times New Roman"/>
                <w:noProof/>
              </w:rPr>
              <w:t>The Event Cycle: Ensuring Success for the Tech-Inn Hospitality Expo 2024</w:t>
            </w:r>
            <w:r w:rsidR="00D23E65">
              <w:rPr>
                <w:noProof/>
                <w:webHidden/>
              </w:rPr>
              <w:tab/>
            </w:r>
            <w:r w:rsidR="00D23E65">
              <w:rPr>
                <w:noProof/>
                <w:webHidden/>
              </w:rPr>
              <w:fldChar w:fldCharType="begin"/>
            </w:r>
            <w:r w:rsidR="00D23E65">
              <w:rPr>
                <w:noProof/>
                <w:webHidden/>
              </w:rPr>
              <w:instrText xml:space="preserve"> PAGEREF _Toc167901508 \h </w:instrText>
            </w:r>
            <w:r w:rsidR="00D23E65">
              <w:rPr>
                <w:noProof/>
                <w:webHidden/>
              </w:rPr>
            </w:r>
            <w:r w:rsidR="00D23E65">
              <w:rPr>
                <w:noProof/>
                <w:webHidden/>
              </w:rPr>
              <w:fldChar w:fldCharType="separate"/>
            </w:r>
            <w:r w:rsidR="00802C4F">
              <w:rPr>
                <w:noProof/>
                <w:webHidden/>
              </w:rPr>
              <w:t>5</w:t>
            </w:r>
            <w:r w:rsidR="00D23E65">
              <w:rPr>
                <w:noProof/>
                <w:webHidden/>
              </w:rPr>
              <w:fldChar w:fldCharType="end"/>
            </w:r>
          </w:hyperlink>
        </w:p>
        <w:p w14:paraId="0B3B21AD" w14:textId="49B89BB3" w:rsidR="00D23E65" w:rsidRDefault="00000000">
          <w:pPr>
            <w:pStyle w:val="TOC2"/>
            <w:tabs>
              <w:tab w:val="right" w:leader="dot" w:pos="9016"/>
            </w:tabs>
            <w:rPr>
              <w:rFonts w:eastAsiaTheme="minorEastAsia"/>
              <w:noProof/>
              <w:lang w:eastAsia="en-GB"/>
            </w:rPr>
          </w:pPr>
          <w:hyperlink w:anchor="_Toc167901509" w:history="1">
            <w:r w:rsidR="00D23E65" w:rsidRPr="005A5AC3">
              <w:rPr>
                <w:rStyle w:val="Hyperlink"/>
                <w:rFonts w:ascii="Times New Roman" w:hAnsi="Times New Roman" w:cs="Times New Roman"/>
                <w:noProof/>
              </w:rPr>
              <w:t>Event Concept</w:t>
            </w:r>
            <w:r w:rsidR="00D23E65">
              <w:rPr>
                <w:noProof/>
                <w:webHidden/>
              </w:rPr>
              <w:tab/>
            </w:r>
            <w:r w:rsidR="00D23E65">
              <w:rPr>
                <w:noProof/>
                <w:webHidden/>
              </w:rPr>
              <w:fldChar w:fldCharType="begin"/>
            </w:r>
            <w:r w:rsidR="00D23E65">
              <w:rPr>
                <w:noProof/>
                <w:webHidden/>
              </w:rPr>
              <w:instrText xml:space="preserve"> PAGEREF _Toc167901509 \h </w:instrText>
            </w:r>
            <w:r w:rsidR="00D23E65">
              <w:rPr>
                <w:noProof/>
                <w:webHidden/>
              </w:rPr>
            </w:r>
            <w:r w:rsidR="00D23E65">
              <w:rPr>
                <w:noProof/>
                <w:webHidden/>
              </w:rPr>
              <w:fldChar w:fldCharType="separate"/>
            </w:r>
            <w:r w:rsidR="00802C4F">
              <w:rPr>
                <w:noProof/>
                <w:webHidden/>
              </w:rPr>
              <w:t>7</w:t>
            </w:r>
            <w:r w:rsidR="00D23E65">
              <w:rPr>
                <w:noProof/>
                <w:webHidden/>
              </w:rPr>
              <w:fldChar w:fldCharType="end"/>
            </w:r>
          </w:hyperlink>
        </w:p>
        <w:p w14:paraId="768792D5" w14:textId="2D99C79A" w:rsidR="00D23E65" w:rsidRDefault="00000000">
          <w:pPr>
            <w:pStyle w:val="TOC2"/>
            <w:tabs>
              <w:tab w:val="right" w:leader="dot" w:pos="9016"/>
            </w:tabs>
            <w:rPr>
              <w:rFonts w:eastAsiaTheme="minorEastAsia"/>
              <w:noProof/>
              <w:lang w:eastAsia="en-GB"/>
            </w:rPr>
          </w:pPr>
          <w:hyperlink w:anchor="_Toc167901510" w:history="1">
            <w:r w:rsidR="00D23E65" w:rsidRPr="005A5AC3">
              <w:rPr>
                <w:rStyle w:val="Hyperlink"/>
                <w:rFonts w:ascii="Times New Roman" w:hAnsi="Times New Roman" w:cs="Times New Roman"/>
                <w:noProof/>
              </w:rPr>
              <w:t>Aim and Objectives of the Tech-Inn Hospitality Expo 2024</w:t>
            </w:r>
            <w:r w:rsidR="00D23E65">
              <w:rPr>
                <w:noProof/>
                <w:webHidden/>
              </w:rPr>
              <w:tab/>
            </w:r>
            <w:r w:rsidR="00D23E65">
              <w:rPr>
                <w:noProof/>
                <w:webHidden/>
              </w:rPr>
              <w:fldChar w:fldCharType="begin"/>
            </w:r>
            <w:r w:rsidR="00D23E65">
              <w:rPr>
                <w:noProof/>
                <w:webHidden/>
              </w:rPr>
              <w:instrText xml:space="preserve"> PAGEREF _Toc167901510 \h </w:instrText>
            </w:r>
            <w:r w:rsidR="00D23E65">
              <w:rPr>
                <w:noProof/>
                <w:webHidden/>
              </w:rPr>
            </w:r>
            <w:r w:rsidR="00D23E65">
              <w:rPr>
                <w:noProof/>
                <w:webHidden/>
              </w:rPr>
              <w:fldChar w:fldCharType="separate"/>
            </w:r>
            <w:r w:rsidR="00802C4F">
              <w:rPr>
                <w:noProof/>
                <w:webHidden/>
              </w:rPr>
              <w:t>9</w:t>
            </w:r>
            <w:r w:rsidR="00D23E65">
              <w:rPr>
                <w:noProof/>
                <w:webHidden/>
              </w:rPr>
              <w:fldChar w:fldCharType="end"/>
            </w:r>
          </w:hyperlink>
        </w:p>
        <w:p w14:paraId="4A18DCEE" w14:textId="312335E7" w:rsidR="00D23E65" w:rsidRDefault="00000000">
          <w:pPr>
            <w:pStyle w:val="TOC2"/>
            <w:tabs>
              <w:tab w:val="right" w:leader="dot" w:pos="9016"/>
            </w:tabs>
            <w:rPr>
              <w:rFonts w:eastAsiaTheme="minorEastAsia"/>
              <w:noProof/>
              <w:lang w:eastAsia="en-GB"/>
            </w:rPr>
          </w:pPr>
          <w:hyperlink w:anchor="_Toc167901511" w:history="1">
            <w:r w:rsidR="00D23E65" w:rsidRPr="005A5AC3">
              <w:rPr>
                <w:rStyle w:val="Hyperlink"/>
                <w:rFonts w:ascii="Times New Roman" w:hAnsi="Times New Roman" w:cs="Times New Roman"/>
                <w:noProof/>
              </w:rPr>
              <w:t>Event Operations for the Tech-Inn Hospitality Expo 2024</w:t>
            </w:r>
            <w:r w:rsidR="00D23E65">
              <w:rPr>
                <w:noProof/>
                <w:webHidden/>
              </w:rPr>
              <w:tab/>
            </w:r>
            <w:r w:rsidR="00D23E65">
              <w:rPr>
                <w:noProof/>
                <w:webHidden/>
              </w:rPr>
              <w:fldChar w:fldCharType="begin"/>
            </w:r>
            <w:r w:rsidR="00D23E65">
              <w:rPr>
                <w:noProof/>
                <w:webHidden/>
              </w:rPr>
              <w:instrText xml:space="preserve"> PAGEREF _Toc167901511 \h </w:instrText>
            </w:r>
            <w:r w:rsidR="00D23E65">
              <w:rPr>
                <w:noProof/>
                <w:webHidden/>
              </w:rPr>
            </w:r>
            <w:r w:rsidR="00D23E65">
              <w:rPr>
                <w:noProof/>
                <w:webHidden/>
              </w:rPr>
              <w:fldChar w:fldCharType="separate"/>
            </w:r>
            <w:r w:rsidR="00802C4F">
              <w:rPr>
                <w:noProof/>
                <w:webHidden/>
              </w:rPr>
              <w:t>10</w:t>
            </w:r>
            <w:r w:rsidR="00D23E65">
              <w:rPr>
                <w:noProof/>
                <w:webHidden/>
              </w:rPr>
              <w:fldChar w:fldCharType="end"/>
            </w:r>
          </w:hyperlink>
        </w:p>
        <w:p w14:paraId="36E07180" w14:textId="1CB09665" w:rsidR="00D23E65" w:rsidRDefault="00000000">
          <w:pPr>
            <w:pStyle w:val="TOC2"/>
            <w:tabs>
              <w:tab w:val="right" w:leader="dot" w:pos="9016"/>
            </w:tabs>
            <w:rPr>
              <w:rFonts w:eastAsiaTheme="minorEastAsia"/>
              <w:noProof/>
              <w:lang w:eastAsia="en-GB"/>
            </w:rPr>
          </w:pPr>
          <w:hyperlink w:anchor="_Toc167901512" w:history="1">
            <w:r w:rsidR="00D23E65" w:rsidRPr="005A5AC3">
              <w:rPr>
                <w:rStyle w:val="Hyperlink"/>
                <w:rFonts w:ascii="Times New Roman" w:hAnsi="Times New Roman" w:cs="Times New Roman"/>
                <w:noProof/>
              </w:rPr>
              <w:t>Event Budget</w:t>
            </w:r>
            <w:r w:rsidR="00D23E65">
              <w:rPr>
                <w:noProof/>
                <w:webHidden/>
              </w:rPr>
              <w:tab/>
            </w:r>
            <w:r w:rsidR="00D23E65">
              <w:rPr>
                <w:noProof/>
                <w:webHidden/>
              </w:rPr>
              <w:fldChar w:fldCharType="begin"/>
            </w:r>
            <w:r w:rsidR="00D23E65">
              <w:rPr>
                <w:noProof/>
                <w:webHidden/>
              </w:rPr>
              <w:instrText xml:space="preserve"> PAGEREF _Toc167901512 \h </w:instrText>
            </w:r>
            <w:r w:rsidR="00D23E65">
              <w:rPr>
                <w:noProof/>
                <w:webHidden/>
              </w:rPr>
            </w:r>
            <w:r w:rsidR="00D23E65">
              <w:rPr>
                <w:noProof/>
                <w:webHidden/>
              </w:rPr>
              <w:fldChar w:fldCharType="separate"/>
            </w:r>
            <w:r w:rsidR="00802C4F">
              <w:rPr>
                <w:noProof/>
                <w:webHidden/>
              </w:rPr>
              <w:t>11</w:t>
            </w:r>
            <w:r w:rsidR="00D23E65">
              <w:rPr>
                <w:noProof/>
                <w:webHidden/>
              </w:rPr>
              <w:fldChar w:fldCharType="end"/>
            </w:r>
          </w:hyperlink>
        </w:p>
        <w:p w14:paraId="5B6F0993" w14:textId="692E2FA1" w:rsidR="00D23E65" w:rsidRDefault="00000000">
          <w:pPr>
            <w:pStyle w:val="TOC2"/>
            <w:tabs>
              <w:tab w:val="right" w:leader="dot" w:pos="9016"/>
            </w:tabs>
            <w:rPr>
              <w:rFonts w:eastAsiaTheme="minorEastAsia"/>
              <w:noProof/>
              <w:lang w:eastAsia="en-GB"/>
            </w:rPr>
          </w:pPr>
          <w:hyperlink w:anchor="_Toc167901513" w:history="1">
            <w:r w:rsidR="00D23E65" w:rsidRPr="005A5AC3">
              <w:rPr>
                <w:rStyle w:val="Hyperlink"/>
                <w:rFonts w:ascii="Times New Roman" w:hAnsi="Times New Roman" w:cs="Times New Roman"/>
                <w:noProof/>
              </w:rPr>
              <w:t>Industry Trends</w:t>
            </w:r>
            <w:r w:rsidR="00D23E65">
              <w:rPr>
                <w:noProof/>
                <w:webHidden/>
              </w:rPr>
              <w:tab/>
            </w:r>
            <w:r w:rsidR="00D23E65">
              <w:rPr>
                <w:noProof/>
                <w:webHidden/>
              </w:rPr>
              <w:fldChar w:fldCharType="begin"/>
            </w:r>
            <w:r w:rsidR="00D23E65">
              <w:rPr>
                <w:noProof/>
                <w:webHidden/>
              </w:rPr>
              <w:instrText xml:space="preserve"> PAGEREF _Toc167901513 \h </w:instrText>
            </w:r>
            <w:r w:rsidR="00D23E65">
              <w:rPr>
                <w:noProof/>
                <w:webHidden/>
              </w:rPr>
            </w:r>
            <w:r w:rsidR="00D23E65">
              <w:rPr>
                <w:noProof/>
                <w:webHidden/>
              </w:rPr>
              <w:fldChar w:fldCharType="separate"/>
            </w:r>
            <w:r w:rsidR="00802C4F">
              <w:rPr>
                <w:noProof/>
                <w:webHidden/>
              </w:rPr>
              <w:t>11</w:t>
            </w:r>
            <w:r w:rsidR="00D23E65">
              <w:rPr>
                <w:noProof/>
                <w:webHidden/>
              </w:rPr>
              <w:fldChar w:fldCharType="end"/>
            </w:r>
          </w:hyperlink>
        </w:p>
        <w:p w14:paraId="4DCF3095" w14:textId="66C2CEDE" w:rsidR="00D23E65" w:rsidRDefault="00000000">
          <w:pPr>
            <w:pStyle w:val="TOC2"/>
            <w:tabs>
              <w:tab w:val="right" w:leader="dot" w:pos="9016"/>
            </w:tabs>
            <w:rPr>
              <w:rFonts w:eastAsiaTheme="minorEastAsia"/>
              <w:noProof/>
              <w:lang w:eastAsia="en-GB"/>
            </w:rPr>
          </w:pPr>
          <w:hyperlink w:anchor="_Toc167901514" w:history="1">
            <w:r w:rsidR="00D23E65" w:rsidRPr="005A5AC3">
              <w:rPr>
                <w:rStyle w:val="Hyperlink"/>
                <w:rFonts w:ascii="Times New Roman" w:hAnsi="Times New Roman" w:cs="Times New Roman"/>
                <w:noProof/>
              </w:rPr>
              <w:t>Cultural and Situational Considerations</w:t>
            </w:r>
            <w:r w:rsidR="00D23E65">
              <w:rPr>
                <w:noProof/>
                <w:webHidden/>
              </w:rPr>
              <w:tab/>
            </w:r>
            <w:r w:rsidR="00D23E65">
              <w:rPr>
                <w:noProof/>
                <w:webHidden/>
              </w:rPr>
              <w:fldChar w:fldCharType="begin"/>
            </w:r>
            <w:r w:rsidR="00D23E65">
              <w:rPr>
                <w:noProof/>
                <w:webHidden/>
              </w:rPr>
              <w:instrText xml:space="preserve"> PAGEREF _Toc167901514 \h </w:instrText>
            </w:r>
            <w:r w:rsidR="00D23E65">
              <w:rPr>
                <w:noProof/>
                <w:webHidden/>
              </w:rPr>
            </w:r>
            <w:r w:rsidR="00D23E65">
              <w:rPr>
                <w:noProof/>
                <w:webHidden/>
              </w:rPr>
              <w:fldChar w:fldCharType="separate"/>
            </w:r>
            <w:r w:rsidR="00802C4F">
              <w:rPr>
                <w:noProof/>
                <w:webHidden/>
              </w:rPr>
              <w:t>14</w:t>
            </w:r>
            <w:r w:rsidR="00D23E65">
              <w:rPr>
                <w:noProof/>
                <w:webHidden/>
              </w:rPr>
              <w:fldChar w:fldCharType="end"/>
            </w:r>
          </w:hyperlink>
        </w:p>
        <w:p w14:paraId="2087985A" w14:textId="1AF194FE" w:rsidR="00D23E65" w:rsidRDefault="00000000">
          <w:pPr>
            <w:pStyle w:val="TOC1"/>
            <w:tabs>
              <w:tab w:val="right" w:leader="dot" w:pos="9016"/>
            </w:tabs>
            <w:rPr>
              <w:rFonts w:eastAsiaTheme="minorEastAsia"/>
              <w:noProof/>
              <w:lang w:eastAsia="en-GB"/>
            </w:rPr>
          </w:pPr>
          <w:hyperlink w:anchor="_Toc167901515" w:history="1">
            <w:r w:rsidR="00D23E65" w:rsidRPr="005A5AC3">
              <w:rPr>
                <w:rStyle w:val="Hyperlink"/>
                <w:rFonts w:ascii="Times New Roman" w:hAnsi="Times New Roman" w:cs="Times New Roman"/>
                <w:noProof/>
              </w:rPr>
              <w:t>Conclusion</w:t>
            </w:r>
            <w:r w:rsidR="00D23E65">
              <w:rPr>
                <w:noProof/>
                <w:webHidden/>
              </w:rPr>
              <w:tab/>
            </w:r>
            <w:r w:rsidR="00D23E65">
              <w:rPr>
                <w:noProof/>
                <w:webHidden/>
              </w:rPr>
              <w:fldChar w:fldCharType="begin"/>
            </w:r>
            <w:r w:rsidR="00D23E65">
              <w:rPr>
                <w:noProof/>
                <w:webHidden/>
              </w:rPr>
              <w:instrText xml:space="preserve"> PAGEREF _Toc167901515 \h </w:instrText>
            </w:r>
            <w:r w:rsidR="00D23E65">
              <w:rPr>
                <w:noProof/>
                <w:webHidden/>
              </w:rPr>
            </w:r>
            <w:r w:rsidR="00D23E65">
              <w:rPr>
                <w:noProof/>
                <w:webHidden/>
              </w:rPr>
              <w:fldChar w:fldCharType="separate"/>
            </w:r>
            <w:r w:rsidR="00802C4F">
              <w:rPr>
                <w:noProof/>
                <w:webHidden/>
              </w:rPr>
              <w:t>15</w:t>
            </w:r>
            <w:r w:rsidR="00D23E65">
              <w:rPr>
                <w:noProof/>
                <w:webHidden/>
              </w:rPr>
              <w:fldChar w:fldCharType="end"/>
            </w:r>
          </w:hyperlink>
        </w:p>
        <w:p w14:paraId="0CEC6E78" w14:textId="05434896" w:rsidR="00D23E65" w:rsidRDefault="00000000">
          <w:pPr>
            <w:pStyle w:val="TOC1"/>
            <w:tabs>
              <w:tab w:val="right" w:leader="dot" w:pos="9016"/>
            </w:tabs>
            <w:rPr>
              <w:rFonts w:eastAsiaTheme="minorEastAsia"/>
              <w:noProof/>
              <w:lang w:eastAsia="en-GB"/>
            </w:rPr>
          </w:pPr>
          <w:hyperlink w:anchor="_Toc167901516" w:history="1">
            <w:r w:rsidR="00D23E65" w:rsidRPr="005A5AC3">
              <w:rPr>
                <w:rStyle w:val="Hyperlink"/>
                <w:rFonts w:ascii="Times New Roman" w:hAnsi="Times New Roman" w:cs="Times New Roman"/>
                <w:noProof/>
              </w:rPr>
              <w:t>Reference List</w:t>
            </w:r>
            <w:r w:rsidR="00D23E65">
              <w:rPr>
                <w:noProof/>
                <w:webHidden/>
              </w:rPr>
              <w:tab/>
            </w:r>
            <w:r w:rsidR="00D23E65">
              <w:rPr>
                <w:noProof/>
                <w:webHidden/>
              </w:rPr>
              <w:fldChar w:fldCharType="begin"/>
            </w:r>
            <w:r w:rsidR="00D23E65">
              <w:rPr>
                <w:noProof/>
                <w:webHidden/>
              </w:rPr>
              <w:instrText xml:space="preserve"> PAGEREF _Toc167901516 \h </w:instrText>
            </w:r>
            <w:r w:rsidR="00D23E65">
              <w:rPr>
                <w:noProof/>
                <w:webHidden/>
              </w:rPr>
            </w:r>
            <w:r w:rsidR="00D23E65">
              <w:rPr>
                <w:noProof/>
                <w:webHidden/>
              </w:rPr>
              <w:fldChar w:fldCharType="separate"/>
            </w:r>
            <w:r w:rsidR="00802C4F">
              <w:rPr>
                <w:noProof/>
                <w:webHidden/>
              </w:rPr>
              <w:t>16</w:t>
            </w:r>
            <w:r w:rsidR="00D23E65">
              <w:rPr>
                <w:noProof/>
                <w:webHidden/>
              </w:rPr>
              <w:fldChar w:fldCharType="end"/>
            </w:r>
          </w:hyperlink>
        </w:p>
        <w:p w14:paraId="5CD7D748" w14:textId="2A6FF1FB" w:rsidR="00116EC2" w:rsidRPr="006A5F8D" w:rsidRDefault="00116EC2" w:rsidP="00D23E65">
          <w:pPr>
            <w:spacing w:line="360" w:lineRule="auto"/>
            <w:jc w:val="both"/>
            <w:rPr>
              <w:rFonts w:ascii="Times New Roman" w:hAnsi="Times New Roman" w:cs="Times New Roman"/>
              <w:sz w:val="24"/>
              <w:szCs w:val="24"/>
            </w:rPr>
          </w:pPr>
          <w:r w:rsidRPr="006A5F8D">
            <w:rPr>
              <w:rFonts w:ascii="Times New Roman" w:hAnsi="Times New Roman" w:cs="Times New Roman"/>
              <w:b/>
              <w:bCs/>
              <w:noProof/>
              <w:sz w:val="24"/>
              <w:szCs w:val="24"/>
            </w:rPr>
            <w:fldChar w:fldCharType="end"/>
          </w:r>
        </w:p>
      </w:sdtContent>
    </w:sdt>
    <w:p w14:paraId="5F6AC5E3" w14:textId="77777777" w:rsidR="00116EC2" w:rsidRPr="006A5F8D" w:rsidRDefault="00116EC2" w:rsidP="00D23E65">
      <w:pPr>
        <w:spacing w:line="360" w:lineRule="auto"/>
        <w:jc w:val="both"/>
        <w:rPr>
          <w:rFonts w:ascii="Times New Roman" w:eastAsiaTheme="majorEastAsia" w:hAnsi="Times New Roman" w:cs="Times New Roman"/>
          <w:color w:val="2E74B5" w:themeColor="accent1" w:themeShade="BF"/>
          <w:sz w:val="24"/>
          <w:szCs w:val="24"/>
        </w:rPr>
      </w:pPr>
      <w:r w:rsidRPr="006A5F8D">
        <w:rPr>
          <w:rFonts w:ascii="Times New Roman" w:hAnsi="Times New Roman" w:cs="Times New Roman"/>
          <w:sz w:val="24"/>
          <w:szCs w:val="24"/>
        </w:rPr>
        <w:br w:type="page"/>
      </w:r>
    </w:p>
    <w:p w14:paraId="0E307C9A" w14:textId="647A7CFF" w:rsidR="00D23E65" w:rsidRPr="00D23E65" w:rsidRDefault="00D23E65" w:rsidP="00D23E65">
      <w:pPr>
        <w:pStyle w:val="Heading1"/>
        <w:spacing w:line="360" w:lineRule="auto"/>
        <w:rPr>
          <w:rFonts w:ascii="Times New Roman" w:hAnsi="Times New Roman" w:cs="Times New Roman"/>
          <w:sz w:val="24"/>
          <w:szCs w:val="24"/>
        </w:rPr>
      </w:pPr>
      <w:bookmarkStart w:id="0" w:name="_Toc167901506"/>
      <w:r w:rsidRPr="00D23E65">
        <w:rPr>
          <w:rFonts w:ascii="Times New Roman" w:hAnsi="Times New Roman" w:cs="Times New Roman"/>
          <w:sz w:val="24"/>
          <w:szCs w:val="24"/>
        </w:rPr>
        <w:lastRenderedPageBreak/>
        <w:t>Table of Figures</w:t>
      </w:r>
      <w:bookmarkEnd w:id="0"/>
      <w:r w:rsidRPr="00D23E65">
        <w:rPr>
          <w:rFonts w:ascii="Times New Roman" w:hAnsi="Times New Roman" w:cs="Times New Roman"/>
          <w:sz w:val="24"/>
          <w:szCs w:val="24"/>
        </w:rPr>
        <w:t xml:space="preserve"> </w:t>
      </w:r>
    </w:p>
    <w:p w14:paraId="4A687B65" w14:textId="42994D1F" w:rsidR="00D23E65" w:rsidRPr="00D23E65" w:rsidRDefault="00D23E65" w:rsidP="00D23E65">
      <w:pPr>
        <w:pStyle w:val="TableofFigures"/>
        <w:tabs>
          <w:tab w:val="right" w:leader="dot" w:pos="9016"/>
        </w:tabs>
        <w:spacing w:line="360" w:lineRule="auto"/>
        <w:rPr>
          <w:rFonts w:ascii="Times New Roman" w:hAnsi="Times New Roman" w:cs="Times New Roman"/>
          <w:noProof/>
          <w:sz w:val="24"/>
          <w:szCs w:val="24"/>
        </w:rPr>
      </w:pPr>
      <w:r w:rsidRPr="00D23E65">
        <w:rPr>
          <w:rFonts w:ascii="Times New Roman" w:hAnsi="Times New Roman" w:cs="Times New Roman"/>
          <w:sz w:val="24"/>
          <w:szCs w:val="24"/>
        </w:rPr>
        <w:fldChar w:fldCharType="begin"/>
      </w:r>
      <w:r w:rsidRPr="00D23E65">
        <w:rPr>
          <w:rFonts w:ascii="Times New Roman" w:hAnsi="Times New Roman" w:cs="Times New Roman"/>
          <w:sz w:val="24"/>
          <w:szCs w:val="24"/>
        </w:rPr>
        <w:instrText xml:space="preserve"> TOC \h \z \c "Figure" </w:instrText>
      </w:r>
      <w:r w:rsidRPr="00D23E65">
        <w:rPr>
          <w:rFonts w:ascii="Times New Roman" w:hAnsi="Times New Roman" w:cs="Times New Roman"/>
          <w:sz w:val="24"/>
          <w:szCs w:val="24"/>
        </w:rPr>
        <w:fldChar w:fldCharType="separate"/>
      </w:r>
      <w:hyperlink w:anchor="_Toc167901439" w:history="1">
        <w:r w:rsidRPr="00D23E65">
          <w:rPr>
            <w:rStyle w:val="Hyperlink"/>
            <w:rFonts w:ascii="Times New Roman" w:hAnsi="Times New Roman" w:cs="Times New Roman"/>
            <w:noProof/>
            <w:sz w:val="24"/>
            <w:szCs w:val="24"/>
          </w:rPr>
          <w:t>Figure 1 - Five stages of Event Cycle</w:t>
        </w:r>
        <w:r w:rsidRPr="00D23E65">
          <w:rPr>
            <w:rFonts w:ascii="Times New Roman" w:hAnsi="Times New Roman" w:cs="Times New Roman"/>
            <w:noProof/>
            <w:webHidden/>
            <w:sz w:val="24"/>
            <w:szCs w:val="24"/>
          </w:rPr>
          <w:tab/>
        </w:r>
        <w:r w:rsidRPr="00D23E65">
          <w:rPr>
            <w:rFonts w:ascii="Times New Roman" w:hAnsi="Times New Roman" w:cs="Times New Roman"/>
            <w:noProof/>
            <w:webHidden/>
            <w:sz w:val="24"/>
            <w:szCs w:val="24"/>
          </w:rPr>
          <w:fldChar w:fldCharType="begin"/>
        </w:r>
        <w:r w:rsidRPr="00D23E65">
          <w:rPr>
            <w:rFonts w:ascii="Times New Roman" w:hAnsi="Times New Roman" w:cs="Times New Roman"/>
            <w:noProof/>
            <w:webHidden/>
            <w:sz w:val="24"/>
            <w:szCs w:val="24"/>
          </w:rPr>
          <w:instrText xml:space="preserve"> PAGEREF _Toc167901439 \h </w:instrText>
        </w:r>
        <w:r w:rsidRPr="00D23E65">
          <w:rPr>
            <w:rFonts w:ascii="Times New Roman" w:hAnsi="Times New Roman" w:cs="Times New Roman"/>
            <w:noProof/>
            <w:webHidden/>
            <w:sz w:val="24"/>
            <w:szCs w:val="24"/>
          </w:rPr>
        </w:r>
        <w:r w:rsidRPr="00D23E65">
          <w:rPr>
            <w:rFonts w:ascii="Times New Roman" w:hAnsi="Times New Roman" w:cs="Times New Roman"/>
            <w:noProof/>
            <w:webHidden/>
            <w:sz w:val="24"/>
            <w:szCs w:val="24"/>
          </w:rPr>
          <w:fldChar w:fldCharType="separate"/>
        </w:r>
        <w:r w:rsidRPr="00D23E65">
          <w:rPr>
            <w:rFonts w:ascii="Times New Roman" w:hAnsi="Times New Roman" w:cs="Times New Roman"/>
            <w:noProof/>
            <w:webHidden/>
            <w:sz w:val="24"/>
            <w:szCs w:val="24"/>
          </w:rPr>
          <w:t>5</w:t>
        </w:r>
        <w:r w:rsidRPr="00D23E65">
          <w:rPr>
            <w:rFonts w:ascii="Times New Roman" w:hAnsi="Times New Roman" w:cs="Times New Roman"/>
            <w:noProof/>
            <w:webHidden/>
            <w:sz w:val="24"/>
            <w:szCs w:val="24"/>
          </w:rPr>
          <w:fldChar w:fldCharType="end"/>
        </w:r>
      </w:hyperlink>
    </w:p>
    <w:p w14:paraId="755A56E9" w14:textId="4AB7403D" w:rsidR="00D23E65" w:rsidRPr="00D23E65" w:rsidRDefault="00D23E65" w:rsidP="00D23E65">
      <w:pPr>
        <w:spacing w:line="360" w:lineRule="auto"/>
        <w:rPr>
          <w:rFonts w:ascii="Times New Roman" w:eastAsiaTheme="majorEastAsia" w:hAnsi="Times New Roman" w:cs="Times New Roman"/>
          <w:color w:val="2E74B5" w:themeColor="accent1" w:themeShade="BF"/>
          <w:sz w:val="24"/>
          <w:szCs w:val="24"/>
        </w:rPr>
      </w:pPr>
      <w:r w:rsidRPr="00D23E65">
        <w:rPr>
          <w:rFonts w:ascii="Times New Roman" w:hAnsi="Times New Roman" w:cs="Times New Roman"/>
          <w:sz w:val="24"/>
          <w:szCs w:val="24"/>
        </w:rPr>
        <w:fldChar w:fldCharType="end"/>
      </w:r>
      <w:r w:rsidRPr="00D23E65">
        <w:rPr>
          <w:rFonts w:ascii="Times New Roman" w:hAnsi="Times New Roman" w:cs="Times New Roman"/>
          <w:sz w:val="24"/>
          <w:szCs w:val="24"/>
        </w:rPr>
        <w:br w:type="page"/>
      </w:r>
    </w:p>
    <w:p w14:paraId="1E36826A" w14:textId="0F3EC00C" w:rsidR="00E249C0" w:rsidRPr="006A5F8D" w:rsidRDefault="00E249C0" w:rsidP="008F79BC">
      <w:pPr>
        <w:pStyle w:val="Heading1"/>
        <w:spacing w:line="360" w:lineRule="auto"/>
        <w:jc w:val="both"/>
        <w:rPr>
          <w:rFonts w:ascii="Times New Roman" w:hAnsi="Times New Roman" w:cs="Times New Roman"/>
          <w:sz w:val="24"/>
          <w:szCs w:val="24"/>
        </w:rPr>
      </w:pPr>
      <w:bookmarkStart w:id="1" w:name="_Toc167901507"/>
      <w:r w:rsidRPr="006A5F8D">
        <w:rPr>
          <w:rFonts w:ascii="Times New Roman" w:hAnsi="Times New Roman" w:cs="Times New Roman"/>
          <w:sz w:val="24"/>
          <w:szCs w:val="24"/>
        </w:rPr>
        <w:lastRenderedPageBreak/>
        <w:t>Introduction</w:t>
      </w:r>
      <w:bookmarkEnd w:id="1"/>
      <w:r w:rsidRPr="006A5F8D">
        <w:rPr>
          <w:rFonts w:ascii="Times New Roman" w:hAnsi="Times New Roman" w:cs="Times New Roman"/>
          <w:sz w:val="24"/>
          <w:szCs w:val="24"/>
        </w:rPr>
        <w:t xml:space="preserve"> </w:t>
      </w:r>
    </w:p>
    <w:p w14:paraId="2C35D408" w14:textId="77777777" w:rsidR="006867A5" w:rsidRPr="00983EEB" w:rsidRDefault="006867A5" w:rsidP="008F79BC">
      <w:pPr>
        <w:tabs>
          <w:tab w:val="left" w:pos="3072"/>
        </w:tabs>
        <w:spacing w:line="360" w:lineRule="auto"/>
        <w:jc w:val="both"/>
        <w:rPr>
          <w:rFonts w:ascii="Times New Roman" w:hAnsi="Times New Roman" w:cs="Times New Roman"/>
          <w:sz w:val="24"/>
          <w:szCs w:val="24"/>
        </w:rPr>
      </w:pPr>
      <w:r w:rsidRPr="006A5F8D">
        <w:rPr>
          <w:rFonts w:ascii="Times New Roman" w:hAnsi="Times New Roman" w:cs="Times New Roman"/>
          <w:sz w:val="24"/>
          <w:szCs w:val="24"/>
        </w:rPr>
        <w:t>The Tech-Inn Hospitality Expo 2024 represents a pivotal opportunity to delve into the intersection of technology and the hospitality sector, reflecting the burgeoning importance of innovation in shaping its landscape</w:t>
      </w:r>
      <w:r w:rsidR="000116BF" w:rsidRPr="006A5F8D">
        <w:rPr>
          <w:rFonts w:ascii="Times New Roman" w:hAnsi="Times New Roman" w:cs="Times New Roman"/>
          <w:sz w:val="24"/>
          <w:szCs w:val="24"/>
        </w:rPr>
        <w:t xml:space="preserve"> (Nawarathna </w:t>
      </w:r>
      <w:r w:rsidR="006D21E7" w:rsidRPr="006A5F8D">
        <w:rPr>
          <w:rFonts w:ascii="Times New Roman" w:hAnsi="Times New Roman" w:cs="Times New Roman"/>
          <w:sz w:val="24"/>
          <w:szCs w:val="24"/>
        </w:rPr>
        <w:t>and</w:t>
      </w:r>
      <w:r w:rsidR="000116BF" w:rsidRPr="006A5F8D">
        <w:rPr>
          <w:rFonts w:ascii="Times New Roman" w:hAnsi="Times New Roman" w:cs="Times New Roman"/>
          <w:sz w:val="24"/>
          <w:szCs w:val="24"/>
        </w:rPr>
        <w:t xml:space="preserve"> Arachchi, 2021, pp. 49-64)</w:t>
      </w:r>
      <w:r w:rsidRPr="006A5F8D">
        <w:rPr>
          <w:rFonts w:ascii="Times New Roman" w:hAnsi="Times New Roman" w:cs="Times New Roman"/>
          <w:sz w:val="24"/>
          <w:szCs w:val="24"/>
        </w:rPr>
        <w:t>. With the UK's hospitality industry standing as one of the nation's largest employers and a significant contributor to its economy, the imperative to harness technological advancements for its advancement cannot be overstated. Chosen against this backdrop, the event seeks to foster a dynamic exchange among industry professionals, technology providers, and innovators</w:t>
      </w:r>
      <w:r w:rsidR="006D21E7" w:rsidRPr="006A5F8D">
        <w:rPr>
          <w:rFonts w:ascii="Times New Roman" w:hAnsi="Times New Roman" w:cs="Times New Roman"/>
          <w:sz w:val="24"/>
          <w:szCs w:val="24"/>
        </w:rPr>
        <w:t xml:space="preserve"> (Naaman et al., 2019, pp. 88-98</w:t>
      </w:r>
      <w:r w:rsidR="003B35B4" w:rsidRPr="006A5F8D">
        <w:rPr>
          <w:rFonts w:ascii="Times New Roman" w:hAnsi="Times New Roman" w:cs="Times New Roman"/>
          <w:sz w:val="24"/>
          <w:szCs w:val="24"/>
        </w:rPr>
        <w:t>)</w:t>
      </w:r>
      <w:r w:rsidRPr="006A5F8D">
        <w:rPr>
          <w:rFonts w:ascii="Times New Roman" w:hAnsi="Times New Roman" w:cs="Times New Roman"/>
          <w:sz w:val="24"/>
          <w:szCs w:val="24"/>
        </w:rPr>
        <w:t>. By facilitating dialogue, demonstrations, and exploration of technology's transform</w:t>
      </w:r>
      <w:r w:rsidRPr="00983EEB">
        <w:rPr>
          <w:rFonts w:ascii="Times New Roman" w:hAnsi="Times New Roman" w:cs="Times New Roman"/>
          <w:sz w:val="24"/>
          <w:szCs w:val="24"/>
        </w:rPr>
        <w:t>ative potential, the expo aims to illuminate pathways toward enhanced efficiency, guest experiences, and industry sustainability.</w:t>
      </w:r>
    </w:p>
    <w:p w14:paraId="2814013D" w14:textId="0AFE3384" w:rsidR="00D7619C" w:rsidRPr="00983EEB" w:rsidRDefault="006867A5" w:rsidP="008F79BC">
      <w:pPr>
        <w:pStyle w:val="NormalWeb"/>
        <w:spacing w:line="360" w:lineRule="auto"/>
        <w:jc w:val="both"/>
      </w:pPr>
      <w:r w:rsidRPr="00983EEB">
        <w:t xml:space="preserve">The selection of the Technology </w:t>
      </w:r>
      <w:r w:rsidR="006D21E7" w:rsidRPr="00983EEB">
        <w:t>and</w:t>
      </w:r>
      <w:r w:rsidRPr="00983EEB">
        <w:t xml:space="preserve"> Innovation Centre at the University </w:t>
      </w:r>
      <w:r w:rsidR="0064363A" w:rsidRPr="00983EEB">
        <w:t>of</w:t>
      </w:r>
      <w:r w:rsidRPr="00983EEB">
        <w:t xml:space="preserve"> Strathclyde as the event venue is strategic, capitalizing on its status as a hub for technological research and development. Situated in Glasgow, a city renowned for its vibrant hospitality scene, the location embodies synergy between academia, industry, and innovation</w:t>
      </w:r>
      <w:r w:rsidR="00F94B7B" w:rsidRPr="00983EEB">
        <w:t xml:space="preserve"> (Alananzeh et al., 2023, pp. 2379-2389)</w:t>
      </w:r>
      <w:r w:rsidRPr="00983EEB">
        <w:t xml:space="preserve">. </w:t>
      </w:r>
      <w:r w:rsidR="00D7619C" w:rsidRPr="00983EEB">
        <w:t>Its availability, together with the convenient atmosphere, greatly contributes to creating an environment conducive to engendering cooperation and the sharing of information. In brief, it is planned that the Tech-Inn Hospitality Expo 2024 will be the event, spark, and change catalyst for the hospitality industry (Venske, 2021, pp. 297-313). The show aims to focus on the potential and prospects of technology in the hospitality sector, thereby encouraging participants to be innovative and embrace change, which, in the long run, will result in growth and the emergence of new opportunities.</w:t>
      </w:r>
    </w:p>
    <w:p w14:paraId="22803BD5" w14:textId="77777777" w:rsidR="006867A5" w:rsidRPr="00983EEB" w:rsidRDefault="006867A5" w:rsidP="008F79BC">
      <w:pPr>
        <w:tabs>
          <w:tab w:val="left" w:pos="3072"/>
        </w:tabs>
        <w:spacing w:line="360" w:lineRule="auto"/>
        <w:jc w:val="both"/>
        <w:rPr>
          <w:rFonts w:ascii="Times New Roman" w:hAnsi="Times New Roman" w:cs="Times New Roman"/>
          <w:sz w:val="24"/>
          <w:szCs w:val="24"/>
        </w:rPr>
      </w:pPr>
    </w:p>
    <w:p w14:paraId="2C841679" w14:textId="77777777" w:rsidR="00001070" w:rsidRPr="00983EEB" w:rsidRDefault="00001070" w:rsidP="008F79BC">
      <w:pPr>
        <w:spacing w:line="360" w:lineRule="auto"/>
        <w:jc w:val="both"/>
        <w:rPr>
          <w:rFonts w:ascii="Times New Roman" w:hAnsi="Times New Roman" w:cs="Times New Roman"/>
          <w:sz w:val="24"/>
          <w:szCs w:val="24"/>
        </w:rPr>
      </w:pPr>
    </w:p>
    <w:p w14:paraId="625EED5B" w14:textId="77777777" w:rsidR="00AA72C9" w:rsidRPr="00983EEB" w:rsidRDefault="00AA72C9" w:rsidP="008F79BC">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br w:type="page"/>
      </w:r>
    </w:p>
    <w:p w14:paraId="6EC4AE3F" w14:textId="77777777" w:rsidR="00001070" w:rsidRPr="00983EEB" w:rsidRDefault="00001070" w:rsidP="008F79BC">
      <w:pPr>
        <w:pStyle w:val="Heading2"/>
        <w:spacing w:line="360" w:lineRule="auto"/>
        <w:jc w:val="both"/>
        <w:rPr>
          <w:rFonts w:ascii="Times New Roman" w:hAnsi="Times New Roman" w:cs="Times New Roman"/>
          <w:sz w:val="24"/>
          <w:szCs w:val="24"/>
        </w:rPr>
      </w:pPr>
      <w:bookmarkStart w:id="2" w:name="_Toc167901508"/>
      <w:r w:rsidRPr="00983EEB">
        <w:rPr>
          <w:rFonts w:ascii="Times New Roman" w:hAnsi="Times New Roman" w:cs="Times New Roman"/>
          <w:sz w:val="24"/>
          <w:szCs w:val="24"/>
        </w:rPr>
        <w:lastRenderedPageBreak/>
        <w:t xml:space="preserve">The Event Cycle: Ensuring Success for the </w:t>
      </w:r>
      <w:r w:rsidR="00756EB0" w:rsidRPr="00983EEB">
        <w:rPr>
          <w:rFonts w:ascii="Times New Roman" w:hAnsi="Times New Roman" w:cs="Times New Roman"/>
          <w:sz w:val="24"/>
          <w:szCs w:val="24"/>
        </w:rPr>
        <w:t>Tech-Inn Hospitality Expo 2024</w:t>
      </w:r>
      <w:bookmarkEnd w:id="2"/>
    </w:p>
    <w:p w14:paraId="140DFC1F" w14:textId="4DBED7FA" w:rsidR="0064363A" w:rsidRDefault="0064363A" w:rsidP="008F79BC">
      <w:pPr>
        <w:spacing w:line="360" w:lineRule="auto"/>
        <w:jc w:val="both"/>
        <w:rPr>
          <w:rFonts w:ascii="Times New Roman" w:hAnsi="Times New Roman" w:cs="Times New Roman"/>
          <w:sz w:val="24"/>
          <w:szCs w:val="24"/>
          <w:highlight w:val="yellow"/>
        </w:rPr>
      </w:pPr>
      <w:r w:rsidRPr="004A2E70">
        <w:rPr>
          <w:rFonts w:ascii="Times New Roman" w:hAnsi="Times New Roman" w:cs="Times New Roman"/>
          <w:sz w:val="24"/>
          <w:szCs w:val="24"/>
        </w:rPr>
        <w:t>In Event Success Management, the focus is on maximizing the participant experience, as the ultimate measure of an event's success is the participant's perception. The Event Cycle for the Tech-Inn Hospitality Expo 2024 consists of five stages: Plan, Organize, Measure, Analyze, and Share, ensuring a comprehensive approach to event management.</w:t>
      </w:r>
    </w:p>
    <w:p w14:paraId="51D138F2" w14:textId="77777777" w:rsidR="0064363A" w:rsidRDefault="0064363A" w:rsidP="008F79BC">
      <w:pPr>
        <w:keepNext/>
        <w:spacing w:line="360" w:lineRule="auto"/>
        <w:jc w:val="center"/>
      </w:pPr>
      <w:r w:rsidRPr="0064363A">
        <w:rPr>
          <w:rFonts w:ascii="Times New Roman" w:hAnsi="Times New Roman" w:cs="Times New Roman"/>
          <w:noProof/>
          <w:sz w:val="24"/>
          <w:szCs w:val="24"/>
        </w:rPr>
        <w:drawing>
          <wp:inline distT="0" distB="0" distL="0" distR="0" wp14:anchorId="62B27299" wp14:editId="460F069C">
            <wp:extent cx="4255770" cy="2962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92451" cy="2987601"/>
                    </a:xfrm>
                    <a:prstGeom prst="rect">
                      <a:avLst/>
                    </a:prstGeom>
                  </pic:spPr>
                </pic:pic>
              </a:graphicData>
            </a:graphic>
          </wp:inline>
        </w:drawing>
      </w:r>
    </w:p>
    <w:p w14:paraId="2D706DFC" w14:textId="6C1CB65C" w:rsidR="0064363A" w:rsidRDefault="0064363A" w:rsidP="008F79BC">
      <w:pPr>
        <w:pStyle w:val="Caption"/>
        <w:spacing w:line="360" w:lineRule="auto"/>
        <w:jc w:val="center"/>
      </w:pPr>
      <w:bookmarkStart w:id="3" w:name="_Toc167901439"/>
      <w:r>
        <w:t xml:space="preserve">Figure </w:t>
      </w:r>
      <w:r>
        <w:fldChar w:fldCharType="begin"/>
      </w:r>
      <w:r>
        <w:instrText xml:space="preserve"> SEQ Figure \* ARABIC </w:instrText>
      </w:r>
      <w:r>
        <w:fldChar w:fldCharType="separate"/>
      </w:r>
      <w:r>
        <w:rPr>
          <w:noProof/>
        </w:rPr>
        <w:t>1</w:t>
      </w:r>
      <w:r>
        <w:fldChar w:fldCharType="end"/>
      </w:r>
      <w:r>
        <w:t xml:space="preserve"> - Five stages of Event Cycle</w:t>
      </w:r>
      <w:bookmarkEnd w:id="3"/>
    </w:p>
    <w:p w14:paraId="4206192C" w14:textId="373BFD9F" w:rsidR="0064363A" w:rsidRPr="004A2E70" w:rsidRDefault="0064363A" w:rsidP="008F79BC">
      <w:pPr>
        <w:spacing w:line="360" w:lineRule="auto"/>
        <w:jc w:val="center"/>
        <w:rPr>
          <w:rFonts w:ascii="Times New Roman" w:hAnsi="Times New Roman" w:cs="Times New Roman"/>
          <w:b/>
          <w:sz w:val="24"/>
          <w:szCs w:val="24"/>
        </w:rPr>
      </w:pPr>
      <w:r w:rsidRPr="004A2E70">
        <w:rPr>
          <w:rFonts w:ascii="Times New Roman" w:hAnsi="Times New Roman" w:cs="Times New Roman"/>
          <w:b/>
          <w:sz w:val="24"/>
          <w:szCs w:val="24"/>
        </w:rPr>
        <w:t xml:space="preserve">Source - </w:t>
      </w:r>
      <w:r w:rsidRPr="004A2E70">
        <w:rPr>
          <w:rFonts w:ascii="Times New Roman" w:hAnsi="Times New Roman" w:cs="Times New Roman"/>
          <w:b/>
          <w:color w:val="000000"/>
          <w:sz w:val="24"/>
          <w:szCs w:val="24"/>
          <w:shd w:val="clear" w:color="auto" w:fill="FFFFFF"/>
        </w:rPr>
        <w:t>(Aleksi Kaunisto, 2021)</w:t>
      </w:r>
    </w:p>
    <w:p w14:paraId="6CA816B6" w14:textId="3D547EB9" w:rsidR="008F79BC" w:rsidRPr="004A2E70" w:rsidRDefault="0064363A" w:rsidP="008F79BC">
      <w:pPr>
        <w:pStyle w:val="NormalWeb"/>
        <w:spacing w:before="0" w:beforeAutospacing="0" w:after="0" w:afterAutospacing="0" w:line="360" w:lineRule="auto"/>
        <w:jc w:val="both"/>
        <w:rPr>
          <w:color w:val="0E101A"/>
        </w:rPr>
      </w:pPr>
      <w:r w:rsidRPr="004A2E70">
        <w:rPr>
          <w:b/>
        </w:rPr>
        <w:t>Plan:</w:t>
      </w:r>
      <w:r w:rsidRPr="004A2E70">
        <w:t xml:space="preserve"> The Planning phase involves reviewing key findings from previous events to set new goals and targets. For the Tech-Inn Hospitality Expo 2024, this phase included meticulous strategizing of venue selection, date determination, and identification of necessary skills and resources (Barron and Leask, 2020, pp. 287-305).</w:t>
      </w:r>
      <w:r w:rsidR="008F79BC" w:rsidRPr="004A2E70">
        <w:rPr>
          <w:color w:val="0E101A"/>
        </w:rPr>
        <w:t xml:space="preserve"> </w:t>
      </w:r>
    </w:p>
    <w:p w14:paraId="077C2B72" w14:textId="77777777" w:rsidR="008F79BC" w:rsidRPr="004A2E70" w:rsidRDefault="008F79BC" w:rsidP="009759D2">
      <w:pPr>
        <w:pStyle w:val="NormalWeb"/>
        <w:spacing w:before="0" w:beforeAutospacing="0" w:after="0" w:afterAutospacing="0" w:line="360" w:lineRule="auto"/>
        <w:jc w:val="both"/>
        <w:rPr>
          <w:color w:val="0E101A"/>
        </w:rPr>
      </w:pPr>
      <w:r w:rsidRPr="004A2E70">
        <w:rPr>
          <w:rStyle w:val="Strong"/>
          <w:rFonts w:eastAsiaTheme="majorEastAsia"/>
          <w:color w:val="0E101A"/>
        </w:rPr>
        <w:t>Information on Actual Event:</w:t>
      </w:r>
      <w:r w:rsidRPr="004A2E70">
        <w:rPr>
          <w:color w:val="0E101A"/>
        </w:rPr>
        <w:t xml:space="preserve"> The Tech-Inn Hospitality Expo 2024 planning process required a critical evaluation of the crucial issues regarding the previous hospitality technology trade shows. This entailed data from participants' feedback and performance indicators that we used to set objectives and aims for this year's event. A clear and justified choice of the University of Strathclyde as a location, given its technological support and experience in hosting such events, thus creating a favourable atmosphere for the presentation of novelties in the field of hospitality (Barron and Leask, 2020, pp. 287-305).</w:t>
      </w:r>
    </w:p>
    <w:p w14:paraId="419B7A79" w14:textId="77777777" w:rsidR="008F79BC" w:rsidRPr="004A2E70" w:rsidRDefault="008F79BC" w:rsidP="009759D2">
      <w:pPr>
        <w:pStyle w:val="NormalWeb"/>
        <w:spacing w:before="0" w:beforeAutospacing="0" w:after="0" w:afterAutospacing="0" w:line="360" w:lineRule="auto"/>
        <w:jc w:val="both"/>
        <w:rPr>
          <w:color w:val="0E101A"/>
        </w:rPr>
      </w:pPr>
      <w:r w:rsidRPr="004A2E70">
        <w:rPr>
          <w:color w:val="0E101A"/>
        </w:rPr>
        <w:t xml:space="preserve">The organisation encompasses all event marketing activities, from pre-event marketing to post-event follow-up. In organizing the Inn Hospitality Expo 2024, event structuring was adopted, which comprises the content and organisation. This encompasses coordinating the venue and </w:t>
      </w:r>
      <w:r w:rsidRPr="004A2E70">
        <w:rPr>
          <w:color w:val="0E101A"/>
        </w:rPr>
        <w:lastRenderedPageBreak/>
        <w:t>organisational processes, which must align with the event's goals (Wickham et al., 2021, pp. 279-296).</w:t>
      </w:r>
    </w:p>
    <w:p w14:paraId="218FC6D6" w14:textId="4B7E20B9" w:rsidR="009759D2" w:rsidRPr="004A2E70" w:rsidRDefault="009759D2" w:rsidP="009759D2">
      <w:pPr>
        <w:pStyle w:val="NormalWeb"/>
        <w:spacing w:before="0" w:beforeAutospacing="0" w:after="0" w:afterAutospacing="0" w:line="360" w:lineRule="auto"/>
        <w:jc w:val="both"/>
        <w:rPr>
          <w:color w:val="0E101A"/>
        </w:rPr>
      </w:pPr>
      <w:r w:rsidRPr="004A2E70">
        <w:rPr>
          <w:rStyle w:val="Strong"/>
          <w:rFonts w:eastAsiaTheme="majorEastAsia"/>
          <w:color w:val="0E101A"/>
        </w:rPr>
        <w:t>Information on Actual Event:</w:t>
      </w:r>
      <w:r w:rsidRPr="004A2E70">
        <w:rPr>
          <w:color w:val="0E101A"/>
        </w:rPr>
        <w:t xml:space="preserve"> In organising the Tech-Inn Hospitality Expo 2024, significant emphasis was placed on the concept and the correct distribution of responsibilities concerning the general organisation of the event and its content (Wickham et al., 2021, pp. 279-296).</w:t>
      </w:r>
    </w:p>
    <w:p w14:paraId="23CBD5FD" w14:textId="77777777" w:rsidR="009759D2" w:rsidRPr="004A2E70" w:rsidRDefault="009759D2" w:rsidP="009759D2">
      <w:pPr>
        <w:pStyle w:val="NormalWeb"/>
        <w:spacing w:before="0" w:beforeAutospacing="0" w:after="0" w:afterAutospacing="0" w:line="360" w:lineRule="auto"/>
        <w:jc w:val="both"/>
        <w:rPr>
          <w:color w:val="0E101A"/>
        </w:rPr>
      </w:pPr>
      <w:r w:rsidRPr="004A2E70">
        <w:rPr>
          <w:b/>
          <w:color w:val="0E101A"/>
        </w:rPr>
        <w:t>Measure:</w:t>
      </w:r>
      <w:r w:rsidRPr="004A2E70">
        <w:rPr>
          <w:color w:val="0E101A"/>
        </w:rPr>
        <w:t xml:space="preserve"> The Experience Value Score (EVS) was used to measure the perceived value after the event. Other qualitative data that may have been gathered from the participants were also collected, while other quantitative measures or key performance indicators were also evaluated to gauge the success of the event.</w:t>
      </w:r>
    </w:p>
    <w:p w14:paraId="5DDD0102" w14:textId="7E414706" w:rsidR="009759D2" w:rsidRPr="004A2E70" w:rsidRDefault="009759D2" w:rsidP="009759D2">
      <w:pPr>
        <w:pStyle w:val="NormalWeb"/>
        <w:spacing w:before="0" w:beforeAutospacing="0" w:after="0" w:afterAutospacing="0" w:line="360" w:lineRule="auto"/>
        <w:jc w:val="both"/>
        <w:rPr>
          <w:color w:val="0E101A"/>
        </w:rPr>
      </w:pPr>
      <w:r w:rsidRPr="004A2E70">
        <w:rPr>
          <w:rStyle w:val="Strong"/>
          <w:rFonts w:eastAsiaTheme="majorEastAsia"/>
          <w:color w:val="0E101A"/>
        </w:rPr>
        <w:t>Information on Actual Event:</w:t>
      </w:r>
      <w:r w:rsidRPr="004A2E70">
        <w:rPr>
          <w:color w:val="0E101A"/>
        </w:rPr>
        <w:t xml:space="preserve"> Th</w:t>
      </w:r>
      <w:r w:rsidR="00C5015D" w:rsidRPr="004A2E70">
        <w:rPr>
          <w:color w:val="0E101A"/>
        </w:rPr>
        <w:t xml:space="preserve">is </w:t>
      </w:r>
      <w:r w:rsidRPr="004A2E70">
        <w:rPr>
          <w:color w:val="0E101A"/>
        </w:rPr>
        <w:t xml:space="preserve">will include </w:t>
      </w:r>
      <w:r w:rsidR="00C5015D" w:rsidRPr="004A2E70">
        <w:rPr>
          <w:color w:val="0E101A"/>
        </w:rPr>
        <w:t>managing</w:t>
      </w:r>
      <w:r w:rsidRPr="004A2E70">
        <w:rPr>
          <w:color w:val="0E101A"/>
        </w:rPr>
        <w:t xml:space="preserve"> the Experience Value Score (EVS) </w:t>
      </w:r>
      <w:r w:rsidR="00F07081" w:rsidRPr="004A2E70">
        <w:rPr>
          <w:color w:val="0E101A"/>
        </w:rPr>
        <w:t>instantly</w:t>
      </w:r>
      <w:r w:rsidRPr="004A2E70">
        <w:rPr>
          <w:color w:val="0E101A"/>
        </w:rPr>
        <w:t xml:space="preserve"> after the event to </w:t>
      </w:r>
      <w:r w:rsidR="00F07081" w:rsidRPr="004A2E70">
        <w:rPr>
          <w:color w:val="0E101A"/>
        </w:rPr>
        <w:t>evaluate</w:t>
      </w:r>
      <w:r w:rsidRPr="004A2E70">
        <w:rPr>
          <w:color w:val="0E101A"/>
        </w:rPr>
        <w:t xml:space="preserve"> the participants' </w:t>
      </w:r>
      <w:r w:rsidR="00F07081" w:rsidRPr="004A2E70">
        <w:rPr>
          <w:color w:val="0E101A"/>
        </w:rPr>
        <w:t>happiness</w:t>
      </w:r>
      <w:r w:rsidRPr="004A2E70">
        <w:rPr>
          <w:color w:val="0E101A"/>
        </w:rPr>
        <w:t xml:space="preserve"> level. Other quantitative measures that will be used are the number of attendees and their actions before, during, and after the event, as well as the social media engagement of the event, to provide an overall view of the event's impact on the hospitality technology sector.</w:t>
      </w:r>
    </w:p>
    <w:p w14:paraId="4589D698" w14:textId="1FCC1C18" w:rsidR="008F79BC" w:rsidRPr="004A2E70" w:rsidRDefault="00802C4F" w:rsidP="008F79BC">
      <w:pPr>
        <w:pStyle w:val="NormalWeb"/>
        <w:spacing w:before="0" w:beforeAutospacing="0" w:after="0" w:afterAutospacing="0" w:line="360" w:lineRule="auto"/>
        <w:jc w:val="both"/>
        <w:rPr>
          <w:color w:val="0E101A"/>
        </w:rPr>
      </w:pPr>
      <w:r w:rsidRPr="004A2E70">
        <w:rPr>
          <w:b/>
          <w:color w:val="0E101A"/>
        </w:rPr>
        <w:t>Analyse</w:t>
      </w:r>
      <w:r w:rsidR="008F79BC" w:rsidRPr="004A2E70">
        <w:rPr>
          <w:color w:val="0E101A"/>
        </w:rPr>
        <w:t xml:space="preserve">: The </w:t>
      </w:r>
      <w:r w:rsidRPr="004A2E70">
        <w:rPr>
          <w:color w:val="0E101A"/>
        </w:rPr>
        <w:t>Analyse</w:t>
      </w:r>
      <w:r w:rsidR="008F79BC" w:rsidRPr="004A2E70">
        <w:rPr>
          <w:color w:val="0E101A"/>
        </w:rPr>
        <w:t xml:space="preserve"> phase involves a retrospective assessment done at the end of the particular phase or after the completion of the project. Regarding the Tech-Inn Hospitality Expo 2024, it was essential to identify the successes, missed opportunities, and changes that should be made in the future. The evaluation feedback and EVS scores have been examined in detail (Mysyk, 2022, pp. 34-43).</w:t>
      </w:r>
    </w:p>
    <w:p w14:paraId="53FA6367" w14:textId="77777777"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Information on Actual Event:</w:t>
      </w:r>
      <w:r w:rsidRPr="004A2E70">
        <w:rPr>
          <w:color w:val="0E101A"/>
        </w:rPr>
        <w:t xml:space="preserve"> The event evaluation will be performed after the Tech-Inn Hospitality Expo 2024 and will involve a debriefing session with all the stakeholders concerning the results obtained in the EVS and the overall feedback received. This evaluation will state the best practices and challenges faced so that such areas are considered during the planning of subsequent events to improve the participants’ level of engagement and achieve higher levels of engagement (Mysyk, 2022, pp. 34-43).</w:t>
      </w:r>
    </w:p>
    <w:p w14:paraId="47C44C9F" w14:textId="77777777"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Information on Actual event:</w:t>
      </w:r>
      <w:r w:rsidRPr="004A2E70">
        <w:rPr>
          <w:color w:val="0E101A"/>
        </w:rPr>
        <w:t xml:space="preserve"> The third one is based on the findings and recommendations from the Tech-Inn Hospitality Expo 2024 and their presentation to colleagues. This ensures that the team harnesses the knowledge and best practices in event management to improve the existing practices, hence promoting the event as a means to advance technology in the hospitality industry (Bezvesilnaya et al., 2020).</w:t>
      </w:r>
    </w:p>
    <w:p w14:paraId="76B43CEA" w14:textId="12CD0D2C" w:rsidR="008F79BC" w:rsidRPr="008F79BC"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Share: </w:t>
      </w:r>
      <w:r w:rsidRPr="004A2E70">
        <w:rPr>
          <w:color w:val="0E101A"/>
        </w:rPr>
        <w:t>Lastly, the conclusion and recommendations were written and disseminated among colleagues for future related activities. This stage will help apply the information gathered at the Tech-Inn Hospitality Expo 2024 to improve the planning and staging of subsequent events and create a culture of continual improvement (Bezvesilnaya et al., 2020).</w:t>
      </w:r>
    </w:p>
    <w:p w14:paraId="655DD10C" w14:textId="4FF3B0EB" w:rsidR="008F79BC" w:rsidRPr="008F79BC" w:rsidRDefault="00E249C0" w:rsidP="008F79BC">
      <w:pPr>
        <w:pStyle w:val="Heading2"/>
        <w:spacing w:line="360" w:lineRule="auto"/>
        <w:jc w:val="both"/>
        <w:rPr>
          <w:rFonts w:ascii="Times New Roman" w:hAnsi="Times New Roman" w:cs="Times New Roman"/>
          <w:sz w:val="24"/>
          <w:szCs w:val="24"/>
        </w:rPr>
      </w:pPr>
      <w:bookmarkStart w:id="4" w:name="_Toc167901509"/>
      <w:r w:rsidRPr="008F79BC">
        <w:rPr>
          <w:rFonts w:ascii="Times New Roman" w:hAnsi="Times New Roman" w:cs="Times New Roman"/>
          <w:sz w:val="24"/>
          <w:szCs w:val="24"/>
        </w:rPr>
        <w:lastRenderedPageBreak/>
        <w:t>Event Concept</w:t>
      </w:r>
      <w:bookmarkEnd w:id="4"/>
      <w:r w:rsidRPr="008F79BC">
        <w:rPr>
          <w:rFonts w:ascii="Times New Roman" w:hAnsi="Times New Roman" w:cs="Times New Roman"/>
          <w:sz w:val="24"/>
          <w:szCs w:val="24"/>
        </w:rPr>
        <w:t xml:space="preserve"> </w:t>
      </w:r>
    </w:p>
    <w:p w14:paraId="39A64968" w14:textId="14A02F95" w:rsidR="008F79BC" w:rsidRDefault="008F79BC" w:rsidP="008F79BC">
      <w:pPr>
        <w:pStyle w:val="NormalWeb"/>
        <w:spacing w:before="0" w:beforeAutospacing="0" w:after="0" w:afterAutospacing="0" w:line="360" w:lineRule="auto"/>
        <w:jc w:val="both"/>
        <w:rPr>
          <w:color w:val="0E101A"/>
        </w:rPr>
      </w:pPr>
      <w:r>
        <w:rPr>
          <w:color w:val="0E101A"/>
        </w:rPr>
        <w:t>The Tech-Inn Hospitality Expo 2024 is an upcoming two-day conference and exhibition event focused on Technology and Innovation in the Hospitality Sector (Tripura and Avi, 2021, pp. 215-226). The key rationale for the event, which will gather players, technology vendors, and innovators, is to discuss technological change in the hospitality industry.</w:t>
      </w:r>
    </w:p>
    <w:p w14:paraId="3B5AE99B" w14:textId="77777777" w:rsidR="008F79BC" w:rsidRDefault="008F79BC" w:rsidP="008F79BC">
      <w:pPr>
        <w:pStyle w:val="NormalWeb"/>
        <w:spacing w:before="0" w:beforeAutospacing="0" w:after="0" w:afterAutospacing="0" w:line="360" w:lineRule="auto"/>
        <w:jc w:val="both"/>
        <w:rPr>
          <w:color w:val="0E101A"/>
        </w:rPr>
      </w:pPr>
      <w:r>
        <w:rPr>
          <w:rStyle w:val="Strong"/>
          <w:rFonts w:eastAsiaTheme="majorEastAsia"/>
          <w:color w:val="0E101A"/>
        </w:rPr>
        <w:t>Delegates/Guests Experience:</w:t>
      </w:r>
    </w:p>
    <w:p w14:paraId="29C0BC72" w14:textId="77777777" w:rsidR="008F79BC" w:rsidRDefault="008F79BC" w:rsidP="008F79BC">
      <w:pPr>
        <w:pStyle w:val="NormalWeb"/>
        <w:spacing w:before="0" w:beforeAutospacing="0" w:after="0" w:afterAutospacing="0" w:line="360" w:lineRule="auto"/>
        <w:jc w:val="both"/>
        <w:rPr>
          <w:color w:val="0E101A"/>
        </w:rPr>
      </w:pPr>
      <w:r>
        <w:rPr>
          <w:color w:val="0E101A"/>
        </w:rPr>
        <w:t>Attendees of the Tech-Inn Hospitality Expo 2024 can anticipate a rich and engaging experience:</w:t>
      </w:r>
    </w:p>
    <w:p w14:paraId="620A32C9" w14:textId="463027A3" w:rsidR="008F79BC" w:rsidRDefault="008F79BC" w:rsidP="008F79BC">
      <w:pPr>
        <w:pStyle w:val="NormalWeb"/>
        <w:spacing w:before="0" w:beforeAutospacing="0" w:after="0" w:afterAutospacing="0" w:line="360" w:lineRule="auto"/>
        <w:jc w:val="both"/>
        <w:rPr>
          <w:color w:val="0E101A"/>
        </w:rPr>
      </w:pPr>
      <w:r>
        <w:rPr>
          <w:rStyle w:val="Strong"/>
          <w:rFonts w:eastAsiaTheme="majorEastAsia"/>
          <w:color w:val="0E101A"/>
        </w:rPr>
        <w:t xml:space="preserve">Keynote Speeches: </w:t>
      </w:r>
      <w:r>
        <w:rPr>
          <w:color w:val="0E101A"/>
        </w:rPr>
        <w:t>Industry pioneers will be the chief guests and speakers who will present their insights on the latest trends in technology and how these apply to the hospitality domain (Tian, 2024: p. 1025-1043).</w:t>
      </w:r>
    </w:p>
    <w:p w14:paraId="5AAE5214" w14:textId="30A44F5E" w:rsidR="00D7619C" w:rsidRPr="00983EEB" w:rsidRDefault="00D7619C" w:rsidP="008F79BC">
      <w:pPr>
        <w:pStyle w:val="NormalWeb"/>
        <w:spacing w:line="360" w:lineRule="auto"/>
        <w:jc w:val="both"/>
      </w:pPr>
      <w:r w:rsidRPr="00983EEB">
        <w:rPr>
          <w:rStyle w:val="Strong"/>
          <w:rFonts w:eastAsiaTheme="majorEastAsia"/>
        </w:rPr>
        <w:t>Panel Discussions:</w:t>
      </w:r>
      <w:r w:rsidRPr="00983EEB">
        <w:t xml:space="preserve"> An interactive panel discussion session will offer a profound study about technological integration in terms of challenges and opportunities, hence the hospitality sector (Sharma </w:t>
      </w:r>
      <w:r w:rsidR="008F79BC">
        <w:t>and</w:t>
      </w:r>
      <w:r w:rsidRPr="00983EEB">
        <w:t xml:space="preserve"> Bhat, 2022). Attending such discussions allows the audience to participate in the conversation, sharing their opinions and ideas.</w:t>
      </w:r>
    </w:p>
    <w:p w14:paraId="48DF45A1" w14:textId="77777777" w:rsidR="008F79BC" w:rsidRDefault="00D7619C" w:rsidP="008F79BC">
      <w:pPr>
        <w:pStyle w:val="NormalWeb"/>
        <w:spacing w:before="0" w:beforeAutospacing="0" w:after="0" w:afterAutospacing="0" w:line="360" w:lineRule="auto"/>
        <w:jc w:val="both"/>
        <w:rPr>
          <w:color w:val="0E101A"/>
        </w:rPr>
      </w:pPr>
      <w:r w:rsidRPr="00983EEB">
        <w:rPr>
          <w:rStyle w:val="Strong"/>
          <w:rFonts w:eastAsiaTheme="majorEastAsia"/>
        </w:rPr>
        <w:t>Exhibition Exploration:</w:t>
      </w:r>
      <w:r w:rsidRPr="00983EEB">
        <w:t> The exhibition area will be filled with a wide range of different providers, each of which will display their technological innovations (Morrone et al., 2021, pp. 257-270). </w:t>
      </w:r>
      <w:r w:rsidR="008F79BC">
        <w:rPr>
          <w:color w:val="0E101A"/>
        </w:rPr>
        <w:t>Guests will have a chance to examine such innovations personally, meet with the companies that developed them, and be inspired to further develop hospitality (Nikopoulou et al., 2023).</w:t>
      </w:r>
    </w:p>
    <w:p w14:paraId="387F1871" w14:textId="77777777" w:rsidR="008F79BC" w:rsidRDefault="008F79BC" w:rsidP="008F79BC">
      <w:pPr>
        <w:pStyle w:val="NormalWeb"/>
        <w:spacing w:before="0" w:beforeAutospacing="0" w:after="0" w:afterAutospacing="0" w:line="360" w:lineRule="auto"/>
        <w:jc w:val="both"/>
        <w:rPr>
          <w:color w:val="0E101A"/>
        </w:rPr>
      </w:pPr>
      <w:r>
        <w:rPr>
          <w:rStyle w:val="Strong"/>
          <w:rFonts w:eastAsiaTheme="majorEastAsia"/>
          <w:color w:val="0E101A"/>
        </w:rPr>
        <w:t>Networking Opportunities: </w:t>
      </w:r>
      <w:r>
        <w:rPr>
          <w:color w:val="0E101A"/>
        </w:rPr>
        <w:t>This event will be designed with networking sessions where visitors can meet and interact with colleagues, technology suppliers, and innovators. This will result in cooperation and knowledge sharing (Buhalis et al., 2024 pp. 1-20).</w:t>
      </w:r>
    </w:p>
    <w:p w14:paraId="69CC0652" w14:textId="3E7FD370" w:rsidR="00001070" w:rsidRPr="00983EEB" w:rsidRDefault="00001070" w:rsidP="008F79BC">
      <w:pPr>
        <w:pStyle w:val="NormalWeb"/>
        <w:spacing w:line="360" w:lineRule="auto"/>
        <w:jc w:val="both"/>
        <w:rPr>
          <w:b/>
        </w:rPr>
      </w:pPr>
      <w:r w:rsidRPr="00983EEB">
        <w:rPr>
          <w:b/>
        </w:rPr>
        <w:t>Proposed Itinerary:</w:t>
      </w:r>
    </w:p>
    <w:p w14:paraId="531B5A18" w14:textId="77777777" w:rsidR="00001070" w:rsidRPr="00983EEB" w:rsidRDefault="00001070" w:rsidP="008F79BC">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t>Day 1:</w:t>
      </w:r>
    </w:p>
    <w:p w14:paraId="5B5C308C"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Registration and Welcome Coffee: 9:00 - 10:00</w:t>
      </w:r>
    </w:p>
    <w:p w14:paraId="7ABF3EED"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Opening Keynote Speech: 10:00 - 11:00</w:t>
      </w:r>
    </w:p>
    <w:p w14:paraId="15DE02A9"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Panel Discussion 1: 11:00 - 12:30</w:t>
      </w:r>
    </w:p>
    <w:p w14:paraId="0118CAEA"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Lunch Break and Networking: 12:30 - 14:00</w:t>
      </w:r>
    </w:p>
    <w:p w14:paraId="2F2D2B5B"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lastRenderedPageBreak/>
        <w:t>- Panel Discussion 2: 14:00 - 15:30</w:t>
      </w:r>
    </w:p>
    <w:p w14:paraId="72E50C50"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Exhibition and Networking: 15:30 - 17:00</w:t>
      </w:r>
    </w:p>
    <w:p w14:paraId="58163EA0" w14:textId="77777777" w:rsidR="00001070" w:rsidRPr="00983EEB" w:rsidRDefault="00001070" w:rsidP="008F79BC">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t>Day 2:</w:t>
      </w:r>
    </w:p>
    <w:p w14:paraId="686D7563"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Welcome Coffee: 9:00 - 10:00</w:t>
      </w:r>
    </w:p>
    <w:p w14:paraId="4A3D3B12"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Keynote Speech 2: 10:00 - 11:00</w:t>
      </w:r>
    </w:p>
    <w:p w14:paraId="2A0FEECB"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Panel Discussion 3: 11:00 - 12:30</w:t>
      </w:r>
    </w:p>
    <w:p w14:paraId="40489FA3"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Lunch Break and Networking: 12:30 - 14:00</w:t>
      </w:r>
    </w:p>
    <w:p w14:paraId="3D210B67"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Panel Discussion 4: 14:00 - 15:30</w:t>
      </w:r>
    </w:p>
    <w:p w14:paraId="37BF4A6E" w14:textId="77777777" w:rsidR="00001070" w:rsidRPr="00983EEB" w:rsidRDefault="00001070" w:rsidP="008F79BC">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 Exhibition and Closing Remarks: 15:30 - 17:00</w:t>
      </w:r>
    </w:p>
    <w:p w14:paraId="409739E6" w14:textId="77777777" w:rsidR="00001070" w:rsidRPr="00983EEB" w:rsidRDefault="00001070" w:rsidP="008F79BC">
      <w:pPr>
        <w:spacing w:line="360" w:lineRule="auto"/>
        <w:jc w:val="both"/>
        <w:rPr>
          <w:rFonts w:ascii="Times New Roman" w:hAnsi="Times New Roman" w:cs="Times New Roman"/>
          <w:sz w:val="24"/>
          <w:szCs w:val="24"/>
        </w:rPr>
      </w:pPr>
    </w:p>
    <w:p w14:paraId="04950187" w14:textId="77777777" w:rsidR="00001070" w:rsidRPr="00983EEB" w:rsidRDefault="00001070" w:rsidP="008F79BC">
      <w:pPr>
        <w:spacing w:line="360" w:lineRule="auto"/>
        <w:jc w:val="both"/>
        <w:rPr>
          <w:rFonts w:ascii="Times New Roman" w:hAnsi="Times New Roman" w:cs="Times New Roman"/>
          <w:sz w:val="24"/>
          <w:szCs w:val="24"/>
        </w:rPr>
      </w:pPr>
    </w:p>
    <w:p w14:paraId="5DA2A711" w14:textId="5A0DC3A8" w:rsidR="008F79BC" w:rsidRPr="004A2E70" w:rsidRDefault="00FD29C0" w:rsidP="008F79BC">
      <w:pPr>
        <w:pStyle w:val="Heading2"/>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br w:type="page"/>
      </w:r>
      <w:bookmarkStart w:id="5" w:name="_Toc167901510"/>
      <w:r w:rsidR="003B7CE2" w:rsidRPr="004A2E70">
        <w:rPr>
          <w:rFonts w:ascii="Times New Roman" w:hAnsi="Times New Roman" w:cs="Times New Roman"/>
          <w:sz w:val="24"/>
          <w:szCs w:val="24"/>
        </w:rPr>
        <w:lastRenderedPageBreak/>
        <w:t>Aim and Objectives of the Tech-Inn Hospitality Expo 2024</w:t>
      </w:r>
      <w:bookmarkEnd w:id="5"/>
      <w:r w:rsidR="00F51D30" w:rsidRPr="004A2E70">
        <w:rPr>
          <w:rFonts w:ascii="Times New Roman" w:hAnsi="Times New Roman" w:cs="Times New Roman"/>
          <w:sz w:val="24"/>
          <w:szCs w:val="24"/>
        </w:rPr>
        <w:t xml:space="preserve"> </w:t>
      </w:r>
    </w:p>
    <w:p w14:paraId="5D56E5FE" w14:textId="62ED3F8A" w:rsidR="008F79BC" w:rsidRPr="004A2E70" w:rsidRDefault="008F79BC" w:rsidP="008F79BC">
      <w:pPr>
        <w:pStyle w:val="NormalWeb"/>
        <w:spacing w:before="0" w:beforeAutospacing="0" w:after="0" w:afterAutospacing="0" w:line="360" w:lineRule="auto"/>
        <w:jc w:val="both"/>
        <w:rPr>
          <w:color w:val="0E101A"/>
        </w:rPr>
      </w:pPr>
      <w:r w:rsidRPr="004A2E70">
        <w:rPr>
          <w:color w:val="0E101A"/>
        </w:rPr>
        <w:t>The primary goal of the UK Tech-Inn Hospitality Expo 2024 is to bring awareness and advance technology and innovation in the hospitality industry in the United Kingdom (Motta and Sharma, 2020). It is a place for sharing ideas, making connections, and showcasing products, which stimulates field development. According to Maslow’s hierarchy of needs, the event will fulfil several participants' needs and make the experience more enjoyable for the clients.</w:t>
      </w:r>
    </w:p>
    <w:p w14:paraId="69C23676" w14:textId="77777777"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Physiological Needs: </w:t>
      </w:r>
      <w:r w:rsidRPr="004A2E70">
        <w:rPr>
          <w:color w:val="0E101A"/>
        </w:rPr>
        <w:t>There will be an inviting atmosphere at the University of Strathclyde where the attendees can sit, access comfortable temperatures, and have some food provided for them. Meeting these basic needs will foster the learning and networking environment of the participants (Naaman et al., 2019, pp. 88-98).</w:t>
      </w:r>
    </w:p>
    <w:p w14:paraId="5AB02A00" w14:textId="1CF9856F"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Safety Needs: </w:t>
      </w:r>
      <w:r w:rsidRPr="004A2E70">
        <w:rPr>
          <w:color w:val="0E101A"/>
        </w:rPr>
        <w:t>The event’s financial viability is maintained through the sponsorship of the technology providers and equivalent companies (Ziakas and Getz, 2020, pp. 3523-3544). This stability makes the participants or the public comfortable with the event and its sustainability (Nawarathna and Arachchi, 2021, pp. 49-64).</w:t>
      </w:r>
    </w:p>
    <w:p w14:paraId="334839BD" w14:textId="77777777"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Belongingness and Love Needs: </w:t>
      </w:r>
      <w:r w:rsidRPr="004A2E70">
        <w:rPr>
          <w:color w:val="0E101A"/>
        </w:rPr>
        <w:t>The event allows networking and developing business contacts through formal and informal sessions. People can communicate with other like-minded individuals, professionals and entrepreneurs, thus creating a strong feeling of unity and inclusion (Alananzeh et al., 2023, pp. 2379-2389).</w:t>
      </w:r>
    </w:p>
    <w:p w14:paraId="74DBC52C" w14:textId="77777777"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Esteem Needs: </w:t>
      </w:r>
      <w:r w:rsidRPr="004A2E70">
        <w:rPr>
          <w:color w:val="0E101A"/>
        </w:rPr>
        <w:t>This will feature technology showcases, presentations, discussions in panels, and speech-making where participants will have chances of recognition and accomplishment. The opportunity to use innovative approaches and discuss matters raises their professional level and self-esteem (Venske, 2021, pp. 297-313).</w:t>
      </w:r>
    </w:p>
    <w:p w14:paraId="2E282E0F" w14:textId="03FB9C16"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Self-Actualization Needs: </w:t>
      </w:r>
      <w:r w:rsidRPr="004A2E70">
        <w:rPr>
          <w:color w:val="0E101A"/>
        </w:rPr>
        <w:t>The core track of Technology and Innovation in the Hospitality Sector makes it possible for participants to be open-minded to new concepts. This emphasis on personal and career development encourages the participants to maximize their potential (Mehrotra and Lobo, 2020, pp. 436-441).</w:t>
      </w:r>
    </w:p>
    <w:p w14:paraId="3DC32FDD" w14:textId="238DEC70" w:rsidR="003B7CE2" w:rsidRPr="008F79BC" w:rsidRDefault="003B7CE2" w:rsidP="008F79BC">
      <w:pPr>
        <w:spacing w:line="360" w:lineRule="auto"/>
        <w:jc w:val="both"/>
        <w:rPr>
          <w:rFonts w:ascii="Times New Roman" w:hAnsi="Times New Roman" w:cs="Times New Roman"/>
          <w:sz w:val="24"/>
          <w:szCs w:val="24"/>
          <w:highlight w:val="yellow"/>
        </w:rPr>
      </w:pPr>
      <w:r w:rsidRPr="008F79BC">
        <w:rPr>
          <w:rFonts w:ascii="Times New Roman" w:hAnsi="Times New Roman" w:cs="Times New Roman"/>
          <w:sz w:val="24"/>
          <w:szCs w:val="24"/>
          <w:highlight w:val="yellow"/>
        </w:rPr>
        <w:br w:type="page"/>
      </w:r>
    </w:p>
    <w:p w14:paraId="04100954" w14:textId="62792415" w:rsidR="003B7CE2" w:rsidRPr="004A2E70" w:rsidRDefault="003B7CE2" w:rsidP="008F79BC">
      <w:pPr>
        <w:pStyle w:val="Heading2"/>
        <w:spacing w:line="360" w:lineRule="auto"/>
        <w:jc w:val="both"/>
        <w:rPr>
          <w:rFonts w:ascii="Times New Roman" w:hAnsi="Times New Roman" w:cs="Times New Roman"/>
          <w:sz w:val="24"/>
          <w:szCs w:val="24"/>
        </w:rPr>
      </w:pPr>
      <w:bookmarkStart w:id="6" w:name="_Toc167901511"/>
      <w:r w:rsidRPr="004A2E70">
        <w:rPr>
          <w:rFonts w:ascii="Times New Roman" w:hAnsi="Times New Roman" w:cs="Times New Roman"/>
          <w:sz w:val="24"/>
          <w:szCs w:val="24"/>
        </w:rPr>
        <w:lastRenderedPageBreak/>
        <w:t>Event Operations for the Tech-Inn Hospitality Expo 2024</w:t>
      </w:r>
      <w:bookmarkEnd w:id="6"/>
      <w:r w:rsidR="00F51D30" w:rsidRPr="004A2E70">
        <w:rPr>
          <w:rFonts w:ascii="Times New Roman" w:hAnsi="Times New Roman" w:cs="Times New Roman"/>
          <w:sz w:val="24"/>
          <w:szCs w:val="24"/>
        </w:rPr>
        <w:t xml:space="preserve"> </w:t>
      </w:r>
    </w:p>
    <w:p w14:paraId="45581447" w14:textId="77777777" w:rsidR="008F79BC" w:rsidRPr="004A2E70" w:rsidRDefault="008F79BC" w:rsidP="008F79BC">
      <w:pPr>
        <w:pStyle w:val="NormalWeb"/>
        <w:spacing w:before="0" w:beforeAutospacing="0" w:after="0" w:afterAutospacing="0" w:line="360" w:lineRule="auto"/>
        <w:jc w:val="both"/>
        <w:rPr>
          <w:color w:val="0E101A"/>
        </w:rPr>
      </w:pPr>
      <w:r w:rsidRPr="004A2E70">
        <w:rPr>
          <w:color w:val="0E101A"/>
        </w:rPr>
        <w:t>The successful execution of the Tech-Inn Hospitality Expo 2024 relies on the strategic application of the EMBOK model, which includes five Knowledge Domains: Design, Administration, Marketing, Operations, and Risk are the five major areas of specialization in business. These domains are crucial, as they address all the sides of event management and guarantee the practical work of the managers.</w:t>
      </w:r>
    </w:p>
    <w:p w14:paraId="5F0ED244" w14:textId="14A7A19B"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Design: </w:t>
      </w:r>
      <w:r w:rsidRPr="004A2E70">
        <w:rPr>
          <w:color w:val="0E101A"/>
        </w:rPr>
        <w:t>This domain is concerned with the imaginative process of designing the event, including formulating the theme, the arrangement and the general mood (Ziakas and Getz, 2020, pp. 3523-3544). When preparing for the Tech-Inn Hospitality Expo 2024, the choice of the venue at the University of Strathclyde’s Technology and Innovation Centre was made because the event is innovative and the venue’s facilities meet this concept (Wickham et al., 2021, pp. 279-296).</w:t>
      </w:r>
    </w:p>
    <w:p w14:paraId="56A558D0" w14:textId="68F9A37C"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Administration: </w:t>
      </w:r>
      <w:r w:rsidRPr="004A2E70">
        <w:rPr>
          <w:color w:val="0E101A"/>
        </w:rPr>
        <w:t>Good management involves organization, finances, and people management. Qualified and competent personnel in event planning, IT, marketing, and customer relations will be hired to facilitate the implementation of the event. This entails handling the schedules, arranging with the suppliers and ensuring that every logistical matter is addressed (Tripura and Avi, 2021, pp. 215-226).</w:t>
      </w:r>
    </w:p>
    <w:p w14:paraId="204D02CC" w14:textId="77777777"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Marketing: </w:t>
      </w:r>
      <w:r w:rsidRPr="004A2E70">
        <w:rPr>
          <w:color w:val="0E101A"/>
        </w:rPr>
        <w:t>In this domain, emphasis is placed on the event's promotion so that the most significant number of people will attend. Marketing communication and promotion techniques include digital marketing, social media marketing, and engaging key opinion leaders in relevant industries to attract individual and corporate visitors (Bezvesilnaya et al., 2020). It is essential to showcase the value that the event holds and, therefore, encourage people to participate in it.</w:t>
      </w:r>
    </w:p>
    <w:p w14:paraId="457120C7" w14:textId="77777777" w:rsidR="008F79BC" w:rsidRPr="004A2E70" w:rsidRDefault="008F79BC" w:rsidP="008F79BC">
      <w:pPr>
        <w:pStyle w:val="NormalWeb"/>
        <w:spacing w:before="0" w:beforeAutospacing="0" w:after="0" w:afterAutospacing="0" w:line="360" w:lineRule="auto"/>
        <w:jc w:val="both"/>
        <w:rPr>
          <w:color w:val="0E101A"/>
        </w:rPr>
      </w:pPr>
      <w:r w:rsidRPr="004A2E70">
        <w:rPr>
          <w:rStyle w:val="Strong"/>
          <w:rFonts w:eastAsiaTheme="majorEastAsia"/>
          <w:color w:val="0E101A"/>
        </w:rPr>
        <w:t xml:space="preserve">Operations: </w:t>
      </w:r>
      <w:r w:rsidRPr="004A2E70">
        <w:rPr>
          <w:color w:val="0E101A"/>
        </w:rPr>
        <w:t>This entails an event's processional and operational planning and implementation (Hayes et al., 2024, pp. 1-11). Staging facilities and technologies, including projectors, screens, sound systems, and a reliable internet connection, are expected to enhance presentations and demonstrations (KULU and BOLA, 2023, pp. 35-48). The operations team ensures all setups are working correctly and are up to par with the event.</w:t>
      </w:r>
    </w:p>
    <w:p w14:paraId="0DF671E8" w14:textId="7AC39367" w:rsidR="008F79BC" w:rsidRPr="004A2E70" w:rsidRDefault="008F79BC" w:rsidP="008F79BC">
      <w:pPr>
        <w:spacing w:line="360" w:lineRule="auto"/>
        <w:jc w:val="both"/>
        <w:rPr>
          <w:rFonts w:ascii="Times New Roman" w:hAnsi="Times New Roman" w:cs="Times New Roman"/>
          <w:sz w:val="24"/>
          <w:szCs w:val="24"/>
        </w:rPr>
      </w:pPr>
      <w:r w:rsidRPr="004A2E70">
        <w:rPr>
          <w:rStyle w:val="Strong"/>
          <w:rFonts w:ascii="Times New Roman" w:hAnsi="Times New Roman" w:cs="Times New Roman"/>
          <w:color w:val="0E101A"/>
          <w:sz w:val="24"/>
          <w:szCs w:val="24"/>
        </w:rPr>
        <w:t>Risk:</w:t>
      </w:r>
      <w:r w:rsidRPr="004A2E70">
        <w:rPr>
          <w:rFonts w:ascii="Times New Roman" w:hAnsi="Times New Roman" w:cs="Times New Roman"/>
          <w:sz w:val="24"/>
          <w:szCs w:val="24"/>
        </w:rPr>
        <w:t xml:space="preserve"> Identifying the risks that may occur during the event and ensuring they are controlled effectively is essential. This includes guaranteeing safety measures, the availability of high-quality catering services for culinary needs, and having emergency procedures in case of any occurrence (Mysyk, 2022, pp. 34-43). Another aspect of risk management is financial stability with the sponsor and budget (Nawarathna and Arachchi, 2021, pp. 49-64).</w:t>
      </w:r>
      <w:bookmarkStart w:id="7" w:name="_Toc167901512"/>
    </w:p>
    <w:p w14:paraId="2D267AD1" w14:textId="10D67295" w:rsidR="00116EC2" w:rsidRPr="00983EEB" w:rsidRDefault="00E249C0" w:rsidP="008F79BC">
      <w:pPr>
        <w:pStyle w:val="Heading2"/>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lastRenderedPageBreak/>
        <w:t>Event Budget</w:t>
      </w:r>
      <w:bookmarkEnd w:id="7"/>
      <w:r w:rsidRPr="00983EEB">
        <w:rPr>
          <w:rFonts w:ascii="Times New Roman" w:hAnsi="Times New Roman" w:cs="Times New Roman"/>
          <w:sz w:val="24"/>
          <w:szCs w:val="24"/>
        </w:rPr>
        <w:t xml:space="preserve"> </w:t>
      </w:r>
    </w:p>
    <w:p w14:paraId="38428003" w14:textId="77777777" w:rsidR="00D7619C" w:rsidRPr="00983EEB" w:rsidRDefault="003B7CE2" w:rsidP="008F79BC">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t>Projected Costs:</w:t>
      </w:r>
    </w:p>
    <w:p w14:paraId="6A35D5FE" w14:textId="77777777" w:rsidR="00983EEB" w:rsidRPr="00983EEB" w:rsidRDefault="00983EEB" w:rsidP="008F79BC">
      <w:pPr>
        <w:pStyle w:val="NormalWeb"/>
        <w:spacing w:line="360" w:lineRule="auto"/>
        <w:jc w:val="both"/>
      </w:pPr>
      <w:r w:rsidRPr="00983EEB">
        <w:rPr>
          <w:rStyle w:val="Strong"/>
          <w:rFonts w:eastAsiaTheme="majorEastAsia"/>
        </w:rPr>
        <w:t>Venue Hire:</w:t>
      </w:r>
      <w:r w:rsidRPr="00983EEB">
        <w:t> The cost of the Technology and Innovation Centre rental for two days is approximately £ 10,000.</w:t>
      </w:r>
    </w:p>
    <w:p w14:paraId="2E5F687C" w14:textId="77777777" w:rsidR="00983EEB" w:rsidRPr="00983EEB" w:rsidRDefault="00983EEB" w:rsidP="008F79BC">
      <w:pPr>
        <w:pStyle w:val="NormalWeb"/>
        <w:spacing w:line="360" w:lineRule="auto"/>
        <w:jc w:val="both"/>
      </w:pPr>
      <w:r w:rsidRPr="00983EEB">
        <w:rPr>
          <w:rStyle w:val="Strong"/>
          <w:rFonts w:eastAsiaTheme="majorEastAsia"/>
        </w:rPr>
        <w:t>Technology Equipment:</w:t>
      </w:r>
      <w:r w:rsidRPr="00983EEB">
        <w:t> The cost of all the equipment rentals, i.e. screens, projectors and sound systems, is estimated to be £5,000.</w:t>
      </w:r>
    </w:p>
    <w:p w14:paraId="1D383684" w14:textId="77777777" w:rsidR="00983EEB" w:rsidRPr="00983EEB" w:rsidRDefault="00983EEB" w:rsidP="008F79BC">
      <w:pPr>
        <w:pStyle w:val="NormalWeb"/>
        <w:spacing w:line="360" w:lineRule="auto"/>
        <w:jc w:val="both"/>
      </w:pPr>
      <w:r w:rsidRPr="00983EEB">
        <w:rPr>
          <w:rStyle w:val="Strong"/>
          <w:rFonts w:eastAsiaTheme="majorEastAsia"/>
        </w:rPr>
        <w:t>Catering Services:</w:t>
      </w:r>
      <w:r w:rsidRPr="00983EEB">
        <w:t> The accommodation of the required food and drinks for attendees would be £7,000.</w:t>
      </w:r>
    </w:p>
    <w:p w14:paraId="109014C9" w14:textId="77777777" w:rsidR="00983EEB" w:rsidRPr="00983EEB" w:rsidRDefault="00983EEB" w:rsidP="008F79BC">
      <w:pPr>
        <w:pStyle w:val="NormalWeb"/>
        <w:spacing w:line="360" w:lineRule="auto"/>
        <w:jc w:val="both"/>
      </w:pPr>
      <w:r w:rsidRPr="00983EEB">
        <w:rPr>
          <w:b/>
        </w:rPr>
        <w:t>Promotional Materials:</w:t>
      </w:r>
      <w:r w:rsidRPr="00983EEB">
        <w:t xml:space="preserve"> The estimate that brochures and banners will cost us £ 3,000.</w:t>
      </w:r>
    </w:p>
    <w:p w14:paraId="027A2AA8" w14:textId="77777777" w:rsidR="00983EEB" w:rsidRPr="00983EEB" w:rsidRDefault="00983EEB" w:rsidP="008F79BC">
      <w:pPr>
        <w:pStyle w:val="NormalWeb"/>
        <w:spacing w:line="360" w:lineRule="auto"/>
        <w:jc w:val="both"/>
      </w:pPr>
      <w:r w:rsidRPr="00983EEB">
        <w:rPr>
          <w:rStyle w:val="Strong"/>
          <w:rFonts w:eastAsiaTheme="majorEastAsia"/>
        </w:rPr>
        <w:t>Staffing:</w:t>
      </w:r>
      <w:r w:rsidRPr="00983EEB">
        <w:t> Coordinators, technological experts, and other supporting staff will be among the employees hired within the first year, and their salaries will total £10,000.</w:t>
      </w:r>
    </w:p>
    <w:p w14:paraId="23C31506" w14:textId="77777777" w:rsidR="00D7619C" w:rsidRPr="00983EEB" w:rsidRDefault="00D7619C" w:rsidP="008F79BC">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t>Total Estimated Costs: £35,000</w:t>
      </w:r>
    </w:p>
    <w:p w14:paraId="0E0A3E2F" w14:textId="77777777" w:rsidR="00D7619C" w:rsidRPr="00983EEB" w:rsidRDefault="00D7619C" w:rsidP="008F79BC">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t>Projected Revenues:</w:t>
      </w:r>
    </w:p>
    <w:p w14:paraId="3A0041A1" w14:textId="77777777" w:rsidR="00983EEB" w:rsidRPr="00983EEB" w:rsidRDefault="00983EEB" w:rsidP="006A5F8D">
      <w:pPr>
        <w:spacing w:line="360" w:lineRule="auto"/>
        <w:jc w:val="both"/>
        <w:rPr>
          <w:rFonts w:ascii="Times New Roman" w:hAnsi="Times New Roman" w:cs="Times New Roman"/>
          <w:sz w:val="24"/>
          <w:szCs w:val="24"/>
        </w:rPr>
      </w:pPr>
      <w:r w:rsidRPr="00983EEB">
        <w:rPr>
          <w:rStyle w:val="Strong"/>
          <w:rFonts w:ascii="Times New Roman" w:hAnsi="Times New Roman" w:cs="Times New Roman"/>
          <w:sz w:val="24"/>
          <w:szCs w:val="24"/>
        </w:rPr>
        <w:t>Ticket Sales:</w:t>
      </w:r>
      <w:r w:rsidRPr="00983EEB">
        <w:rPr>
          <w:rFonts w:ascii="Times New Roman" w:hAnsi="Times New Roman" w:cs="Times New Roman"/>
          <w:sz w:val="24"/>
          <w:szCs w:val="24"/>
        </w:rPr>
        <w:t> The price of £100 per person and the capacity of 500 audience members allows us to make £50K with the ticket sales.</w:t>
      </w:r>
    </w:p>
    <w:p w14:paraId="36E28BF0" w14:textId="77777777" w:rsidR="00D7619C" w:rsidRPr="00983EEB" w:rsidRDefault="00D7619C" w:rsidP="006A5F8D">
      <w:pPr>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Sponsorships:</w:t>
      </w:r>
      <w:r w:rsidRPr="00983EEB">
        <w:rPr>
          <w:rFonts w:ascii="Times New Roman" w:hAnsi="Times New Roman" w:cs="Times New Roman"/>
          <w:sz w:val="24"/>
          <w:szCs w:val="24"/>
        </w:rPr>
        <w:t> We anticipate receiving sponsorships from technology organizations and businesses that would generate an additional £20,000.</w:t>
      </w:r>
    </w:p>
    <w:p w14:paraId="2C1F56D9" w14:textId="77777777" w:rsidR="00D7619C" w:rsidRPr="00983EEB" w:rsidRDefault="00D7619C" w:rsidP="006A5F8D">
      <w:pPr>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Exhibition Booths:</w:t>
      </w:r>
      <w:r w:rsidRPr="00983EEB">
        <w:rPr>
          <w:rFonts w:ascii="Times New Roman" w:hAnsi="Times New Roman" w:cs="Times New Roman"/>
          <w:sz w:val="24"/>
          <w:szCs w:val="24"/>
        </w:rPr>
        <w:t> Showing space to technological vendors allows for earning £ 10,000.</w:t>
      </w:r>
    </w:p>
    <w:p w14:paraId="49538272" w14:textId="77777777" w:rsidR="00D7619C" w:rsidRPr="00983EEB" w:rsidRDefault="00D7619C" w:rsidP="006A5F8D">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t>Total Estimated Revenues: £80,000</w:t>
      </w:r>
    </w:p>
    <w:p w14:paraId="46A403FE" w14:textId="4A3CC532" w:rsidR="003B7CE2" w:rsidRPr="00983EEB" w:rsidRDefault="00D7619C" w:rsidP="00983EEB">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This expo generated a surplus, with net revenues exceeding expenses, making it financially viable. Ticket sales, sponsorships, and booth rentals are major sources of income that can help the event generate the revenue needed for the financial success of the event.</w:t>
      </w:r>
    </w:p>
    <w:p w14:paraId="1D39F7F9" w14:textId="77777777" w:rsidR="00E249C0" w:rsidRPr="00983EEB" w:rsidRDefault="00E249C0" w:rsidP="006A5F8D">
      <w:pPr>
        <w:pStyle w:val="Heading2"/>
        <w:spacing w:line="360" w:lineRule="auto"/>
        <w:jc w:val="both"/>
        <w:rPr>
          <w:rFonts w:ascii="Times New Roman" w:hAnsi="Times New Roman" w:cs="Times New Roman"/>
          <w:sz w:val="24"/>
          <w:szCs w:val="24"/>
        </w:rPr>
      </w:pPr>
      <w:bookmarkStart w:id="8" w:name="_Toc167901513"/>
      <w:r w:rsidRPr="00983EEB">
        <w:rPr>
          <w:rFonts w:ascii="Times New Roman" w:hAnsi="Times New Roman" w:cs="Times New Roman"/>
          <w:sz w:val="24"/>
          <w:szCs w:val="24"/>
        </w:rPr>
        <w:t>Industry Trends</w:t>
      </w:r>
      <w:bookmarkEnd w:id="8"/>
      <w:r w:rsidRPr="00983EEB">
        <w:rPr>
          <w:rFonts w:ascii="Times New Roman" w:hAnsi="Times New Roman" w:cs="Times New Roman"/>
          <w:sz w:val="24"/>
          <w:szCs w:val="24"/>
        </w:rPr>
        <w:t xml:space="preserve"> </w:t>
      </w:r>
    </w:p>
    <w:p w14:paraId="53EAD6FC" w14:textId="21252238" w:rsidR="00D7619C" w:rsidRPr="00983EEB" w:rsidRDefault="00D7619C" w:rsidP="006A5F8D">
      <w:pPr>
        <w:pStyle w:val="NormalWeb"/>
        <w:spacing w:line="360" w:lineRule="auto"/>
        <w:jc w:val="both"/>
      </w:pPr>
      <w:r w:rsidRPr="00983EEB">
        <w:t xml:space="preserve">The meetings and events industry of the UK is a vibrant, trend-driven platform that is affected by different topics and consequences (Motta </w:t>
      </w:r>
      <w:r w:rsidR="008F79BC">
        <w:t>and</w:t>
      </w:r>
      <w:r w:rsidRPr="00983EEB">
        <w:t xml:space="preserve"> Sharma, 2020). Knowing these factors helps plan and conduct the Tech-Inn hospitality Expo 2024 event.</w:t>
      </w:r>
    </w:p>
    <w:p w14:paraId="73465EFB" w14:textId="77777777" w:rsidR="00D7619C" w:rsidRPr="00983EEB" w:rsidRDefault="00D7619C" w:rsidP="006A5F8D">
      <w:pPr>
        <w:pStyle w:val="NormalWeb"/>
        <w:spacing w:line="360" w:lineRule="auto"/>
        <w:jc w:val="both"/>
        <w:rPr>
          <w:b/>
        </w:rPr>
      </w:pPr>
      <w:r w:rsidRPr="00983EEB">
        <w:rPr>
          <w:b/>
        </w:rPr>
        <w:lastRenderedPageBreak/>
        <w:t>Trends</w:t>
      </w:r>
    </w:p>
    <w:p w14:paraId="6DB6B06D" w14:textId="77777777" w:rsidR="00D7619C" w:rsidRPr="00983EEB" w:rsidRDefault="00D7619C" w:rsidP="006A5F8D">
      <w:pPr>
        <w:pStyle w:val="NormalWeb"/>
        <w:spacing w:line="360" w:lineRule="auto"/>
        <w:jc w:val="both"/>
      </w:pPr>
      <w:r w:rsidRPr="00983EEB">
        <w:rPr>
          <w:rStyle w:val="Strong"/>
          <w:rFonts w:eastAsiaTheme="majorEastAsia"/>
        </w:rPr>
        <w:t>Hybrid Events:</w:t>
      </w:r>
      <w:r w:rsidRPr="00983EEB">
        <w:t> Hybrid events, which are the combination of in-person and virtual elements, have become many because of being easy and convenient to do and to budget, sustainability reasons and the ability to reach a global audience (Naaman et al., 2019, pp. 88-98). Using these opportunities, the Tech-Inn Hospitality Expo 2024 will introduce virtual options to widen participation and engagement.</w:t>
      </w:r>
    </w:p>
    <w:p w14:paraId="149B3F82" w14:textId="620E309F" w:rsidR="00D7619C" w:rsidRPr="00983EEB" w:rsidRDefault="00D7619C" w:rsidP="006A5F8D">
      <w:pPr>
        <w:pStyle w:val="NormalWeb"/>
        <w:spacing w:line="360" w:lineRule="auto"/>
        <w:jc w:val="both"/>
      </w:pPr>
      <w:r w:rsidRPr="00983EEB">
        <w:rPr>
          <w:rStyle w:val="Strong"/>
          <w:rFonts w:eastAsiaTheme="majorEastAsia"/>
        </w:rPr>
        <w:t>Experience-First Events:</w:t>
      </w:r>
      <w:r w:rsidRPr="00983EEB">
        <w:t xml:space="preserve"> Pastime searchers search for such immersive and interactive entertainment (Nawarathna </w:t>
      </w:r>
      <w:r w:rsidR="008F79BC">
        <w:t>and</w:t>
      </w:r>
      <w:r w:rsidRPr="00983EEB">
        <w:t xml:space="preserve"> Arachchi, 2021, pp. 49-64). The expo’s emphasis on demonstrating technological innovations matches this trend; this provides newer and more engaging experiences to the attendees (Alananzeh et al., 2023, pp. 2379-2389).</w:t>
      </w:r>
    </w:p>
    <w:p w14:paraId="22E02616" w14:textId="33E2DEA3" w:rsidR="00D7619C" w:rsidRPr="00983EEB" w:rsidRDefault="00D7619C" w:rsidP="006A5F8D">
      <w:pPr>
        <w:pStyle w:val="NormalWeb"/>
        <w:spacing w:line="360" w:lineRule="auto"/>
        <w:jc w:val="both"/>
      </w:pPr>
      <w:r w:rsidRPr="00983EEB">
        <w:rPr>
          <w:rStyle w:val="Strong"/>
          <w:rFonts w:eastAsiaTheme="majorEastAsia"/>
        </w:rPr>
        <w:t>AI Experimentation:</w:t>
      </w:r>
      <w:r w:rsidRPr="00983EEB">
        <w:t xml:space="preserve"> The role of AI in event management is now growing fast, an indication that it will soon be more efficient and personalised (Venske, 2021, pp. 297-313). AI could be a major highlight and attract more visitors if the expo uses it in attendee management, personalised experience and so forth (Mehrotra </w:t>
      </w:r>
      <w:r w:rsidR="008F79BC">
        <w:t>and</w:t>
      </w:r>
      <w:r w:rsidRPr="00983EEB">
        <w:t xml:space="preserve"> Lobo, 2020, pp. 436-441).</w:t>
      </w:r>
    </w:p>
    <w:p w14:paraId="0C21D4E4" w14:textId="77777777" w:rsidR="00D7619C" w:rsidRPr="00983EEB" w:rsidRDefault="00D7619C" w:rsidP="006A5F8D">
      <w:pPr>
        <w:pStyle w:val="NormalWeb"/>
        <w:spacing w:line="360" w:lineRule="auto"/>
        <w:jc w:val="both"/>
        <w:rPr>
          <w:b/>
        </w:rPr>
      </w:pPr>
      <w:r w:rsidRPr="00983EEB">
        <w:rPr>
          <w:b/>
        </w:rPr>
        <w:t>Issues</w:t>
      </w:r>
    </w:p>
    <w:p w14:paraId="08F0D977" w14:textId="77777777" w:rsidR="00D7619C" w:rsidRPr="00983EEB" w:rsidRDefault="00D7619C" w:rsidP="006A5F8D">
      <w:pPr>
        <w:pStyle w:val="NormalWeb"/>
        <w:spacing w:line="360" w:lineRule="auto"/>
        <w:jc w:val="both"/>
      </w:pPr>
      <w:r w:rsidRPr="00983EEB">
        <w:rPr>
          <w:rStyle w:val="Strong"/>
          <w:rFonts w:eastAsiaTheme="majorEastAsia"/>
        </w:rPr>
        <w:t>Staffing Shortages:</w:t>
      </w:r>
      <w:r w:rsidRPr="00983EEB">
        <w:t> The industry not only suffers from the staff shortage problem but also hinders the training of professionals and affects the availability of skilled workers (Richards et al., 2022). This concern is highly important for the successful show and for providing quality services.</w:t>
      </w:r>
    </w:p>
    <w:p w14:paraId="1AD36B45" w14:textId="5DF05AD5" w:rsidR="00D7619C" w:rsidRPr="00983EEB" w:rsidRDefault="00D7619C" w:rsidP="006A5F8D">
      <w:pPr>
        <w:pStyle w:val="NormalWeb"/>
        <w:spacing w:line="360" w:lineRule="auto"/>
        <w:jc w:val="both"/>
      </w:pPr>
      <w:r w:rsidRPr="00983EEB">
        <w:rPr>
          <w:rStyle w:val="Strong"/>
          <w:rFonts w:eastAsiaTheme="majorEastAsia"/>
        </w:rPr>
        <w:t>High Costs:</w:t>
      </w:r>
      <w:r w:rsidRPr="00983EEB">
        <w:t xml:space="preserve"> With event prices increasing, the organisers needed help planning budgets and pricing decisions (Barron </w:t>
      </w:r>
      <w:r w:rsidR="008F79BC">
        <w:t>and</w:t>
      </w:r>
      <w:r w:rsidRPr="00983EEB">
        <w:t xml:space="preserve"> Leask, 2020, pp. 287-305).</w:t>
      </w:r>
    </w:p>
    <w:p w14:paraId="3BC70305"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t>Mitigating cost pressures while maintaining quality standards is crucial for the expo's financial viability.</w:t>
      </w:r>
    </w:p>
    <w:p w14:paraId="5CCB9F32" w14:textId="77777777" w:rsidR="00CD44DC" w:rsidRPr="00983EEB" w:rsidRDefault="00CD44DC" w:rsidP="006A5F8D">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t>Impacts</w:t>
      </w:r>
    </w:p>
    <w:p w14:paraId="0AA72CD7"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Economic Contribution:</w:t>
      </w:r>
      <w:r w:rsidRPr="00983EEB">
        <w:rPr>
          <w:rFonts w:ascii="Times New Roman" w:hAnsi="Times New Roman" w:cs="Times New Roman"/>
          <w:sz w:val="24"/>
          <w:szCs w:val="24"/>
        </w:rPr>
        <w:t xml:space="preserve"> The events industry significantly contributes to the UK economy, generating billions in direct spend</w:t>
      </w:r>
      <w:r w:rsidR="00300F89" w:rsidRPr="00983EEB">
        <w:rPr>
          <w:rFonts w:ascii="Times New Roman" w:hAnsi="Times New Roman" w:cs="Times New Roman"/>
          <w:sz w:val="24"/>
          <w:szCs w:val="24"/>
        </w:rPr>
        <w:t xml:space="preserve"> (Wickham et al., 2021, pp. 279-296)</w:t>
      </w:r>
      <w:r w:rsidRPr="00983EEB">
        <w:rPr>
          <w:rFonts w:ascii="Times New Roman" w:hAnsi="Times New Roman" w:cs="Times New Roman"/>
          <w:sz w:val="24"/>
          <w:szCs w:val="24"/>
        </w:rPr>
        <w:t>. The expo's economic impact extends beyond its direct revenues, encompassing contributions t</w:t>
      </w:r>
      <w:r w:rsidR="00A9157B" w:rsidRPr="00983EEB">
        <w:rPr>
          <w:rFonts w:ascii="Times New Roman" w:hAnsi="Times New Roman" w:cs="Times New Roman"/>
          <w:sz w:val="24"/>
          <w:szCs w:val="24"/>
        </w:rPr>
        <w:t>o local businesses and tourism (Mysyk, 2022, pp. 34-43)</w:t>
      </w:r>
      <w:r w:rsidR="00B35A71" w:rsidRPr="00983EEB">
        <w:rPr>
          <w:rFonts w:ascii="Times New Roman" w:hAnsi="Times New Roman" w:cs="Times New Roman"/>
          <w:sz w:val="24"/>
          <w:szCs w:val="24"/>
        </w:rPr>
        <w:t>.</w:t>
      </w:r>
    </w:p>
    <w:p w14:paraId="4A6FE841"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lastRenderedPageBreak/>
        <w:t>COVID-19:</w:t>
      </w:r>
      <w:r w:rsidRPr="00983EEB">
        <w:rPr>
          <w:rFonts w:ascii="Times New Roman" w:hAnsi="Times New Roman" w:cs="Times New Roman"/>
          <w:sz w:val="24"/>
          <w:szCs w:val="24"/>
        </w:rPr>
        <w:t xml:space="preserve"> The pandemic has reshaped the events landscape, with many events transitioning online</w:t>
      </w:r>
      <w:r w:rsidR="00AB6B52" w:rsidRPr="00983EEB">
        <w:rPr>
          <w:rFonts w:ascii="Times New Roman" w:hAnsi="Times New Roman" w:cs="Times New Roman"/>
          <w:sz w:val="24"/>
          <w:szCs w:val="24"/>
        </w:rPr>
        <w:t xml:space="preserve"> (KULU </w:t>
      </w:r>
      <w:r w:rsidR="006D21E7" w:rsidRPr="00983EEB">
        <w:rPr>
          <w:rFonts w:ascii="Times New Roman" w:hAnsi="Times New Roman" w:cs="Times New Roman"/>
          <w:sz w:val="24"/>
          <w:szCs w:val="24"/>
        </w:rPr>
        <w:t>and</w:t>
      </w:r>
      <w:r w:rsidR="00AB6B52" w:rsidRPr="00983EEB">
        <w:rPr>
          <w:rFonts w:ascii="Times New Roman" w:hAnsi="Times New Roman" w:cs="Times New Roman"/>
          <w:sz w:val="24"/>
          <w:szCs w:val="24"/>
        </w:rPr>
        <w:t xml:space="preserve"> BOLA, 2023, pp. 35-48)</w:t>
      </w:r>
      <w:r w:rsidRPr="00983EEB">
        <w:rPr>
          <w:rFonts w:ascii="Times New Roman" w:hAnsi="Times New Roman" w:cs="Times New Roman"/>
          <w:sz w:val="24"/>
          <w:szCs w:val="24"/>
        </w:rPr>
        <w:t>. This has implications for the expo's planning and execution, necessitating adaptable strategies to accommodate changing circumstances.</w:t>
      </w:r>
    </w:p>
    <w:p w14:paraId="422DEFA3" w14:textId="77777777" w:rsidR="00CD44DC" w:rsidRPr="00983EEB" w:rsidRDefault="00CD44DC" w:rsidP="006A5F8D">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t>SWOT Analysis:</w:t>
      </w:r>
    </w:p>
    <w:p w14:paraId="774F1AE0"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Strengths:</w:t>
      </w:r>
      <w:r w:rsidRPr="00983EEB">
        <w:rPr>
          <w:rFonts w:ascii="Times New Roman" w:hAnsi="Times New Roman" w:cs="Times New Roman"/>
          <w:sz w:val="24"/>
          <w:szCs w:val="24"/>
        </w:rPr>
        <w:t xml:space="preserve"> The expo's unique focus on technology and innovation, experienced team, and strong vendor network are key strengths</w:t>
      </w:r>
      <w:r w:rsidR="00765762" w:rsidRPr="00983EEB">
        <w:rPr>
          <w:rFonts w:ascii="Times New Roman" w:hAnsi="Times New Roman" w:cs="Times New Roman"/>
          <w:sz w:val="24"/>
          <w:szCs w:val="24"/>
        </w:rPr>
        <w:t xml:space="preserve"> (Bezvesilnaya et al., 2020)</w:t>
      </w:r>
      <w:r w:rsidRPr="00983EEB">
        <w:rPr>
          <w:rFonts w:ascii="Times New Roman" w:hAnsi="Times New Roman" w:cs="Times New Roman"/>
          <w:sz w:val="24"/>
          <w:szCs w:val="24"/>
        </w:rPr>
        <w:t>.</w:t>
      </w:r>
    </w:p>
    <w:p w14:paraId="30C6FB56"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Weaknesses:</w:t>
      </w:r>
      <w:r w:rsidRPr="00983EEB">
        <w:rPr>
          <w:rFonts w:ascii="Times New Roman" w:hAnsi="Times New Roman" w:cs="Times New Roman"/>
          <w:sz w:val="24"/>
          <w:szCs w:val="24"/>
        </w:rPr>
        <w:t xml:space="preserve"> Limited digital marketing presence and budget constraints pose challenges that need to be addressed for optimal event success</w:t>
      </w:r>
      <w:r w:rsidR="00765762" w:rsidRPr="00983EEB">
        <w:rPr>
          <w:rFonts w:ascii="Times New Roman" w:hAnsi="Times New Roman" w:cs="Times New Roman"/>
          <w:sz w:val="24"/>
          <w:szCs w:val="24"/>
        </w:rPr>
        <w:t xml:space="preserve"> (Tripura </w:t>
      </w:r>
      <w:r w:rsidR="006D21E7" w:rsidRPr="00983EEB">
        <w:rPr>
          <w:rFonts w:ascii="Times New Roman" w:hAnsi="Times New Roman" w:cs="Times New Roman"/>
          <w:sz w:val="24"/>
          <w:szCs w:val="24"/>
        </w:rPr>
        <w:t>and</w:t>
      </w:r>
      <w:r w:rsidR="00765762" w:rsidRPr="00983EEB">
        <w:rPr>
          <w:rFonts w:ascii="Times New Roman" w:hAnsi="Times New Roman" w:cs="Times New Roman"/>
          <w:sz w:val="24"/>
          <w:szCs w:val="24"/>
        </w:rPr>
        <w:t xml:space="preserve"> Avi, 2021, pp. 215-226)</w:t>
      </w:r>
      <w:r w:rsidRPr="00983EEB">
        <w:rPr>
          <w:rFonts w:ascii="Times New Roman" w:hAnsi="Times New Roman" w:cs="Times New Roman"/>
          <w:sz w:val="24"/>
          <w:szCs w:val="24"/>
        </w:rPr>
        <w:t>.</w:t>
      </w:r>
    </w:p>
    <w:p w14:paraId="5CA4E4BD"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Opportunities:</w:t>
      </w:r>
      <w:r w:rsidRPr="00983EEB">
        <w:rPr>
          <w:rFonts w:ascii="Times New Roman" w:hAnsi="Times New Roman" w:cs="Times New Roman"/>
          <w:sz w:val="24"/>
          <w:szCs w:val="24"/>
        </w:rPr>
        <w:t xml:space="preserve"> Emerging trends like virtual reality experiences offer opportunities for enhancing attendee engagement and sponsorships, fostering collaborations with technology providers</w:t>
      </w:r>
      <w:r w:rsidR="00765762" w:rsidRPr="00983EEB">
        <w:rPr>
          <w:rFonts w:ascii="Times New Roman" w:hAnsi="Times New Roman" w:cs="Times New Roman"/>
          <w:sz w:val="24"/>
          <w:szCs w:val="24"/>
        </w:rPr>
        <w:t xml:space="preserve"> (Tian, 2024, pp. 1025-1043)</w:t>
      </w:r>
      <w:r w:rsidRPr="00983EEB">
        <w:rPr>
          <w:rFonts w:ascii="Times New Roman" w:hAnsi="Times New Roman" w:cs="Times New Roman"/>
          <w:sz w:val="24"/>
          <w:szCs w:val="24"/>
        </w:rPr>
        <w:t>.</w:t>
      </w:r>
    </w:p>
    <w:p w14:paraId="3CE7FFFA"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Threats:</w:t>
      </w:r>
      <w:r w:rsidRPr="00983EEB">
        <w:rPr>
          <w:rFonts w:ascii="Times New Roman" w:hAnsi="Times New Roman" w:cs="Times New Roman"/>
          <w:sz w:val="24"/>
          <w:szCs w:val="24"/>
        </w:rPr>
        <w:t xml:space="preserve"> Economic downturns, increasing competition, and staffing shortages pose threats that require proactive mitigation strategies</w:t>
      </w:r>
      <w:r w:rsidR="00765762" w:rsidRPr="00983EEB">
        <w:rPr>
          <w:rFonts w:ascii="Times New Roman" w:hAnsi="Times New Roman" w:cs="Times New Roman"/>
          <w:sz w:val="24"/>
          <w:szCs w:val="24"/>
        </w:rPr>
        <w:t xml:space="preserve"> (Sharma </w:t>
      </w:r>
      <w:r w:rsidR="006D21E7" w:rsidRPr="00983EEB">
        <w:rPr>
          <w:rFonts w:ascii="Times New Roman" w:hAnsi="Times New Roman" w:cs="Times New Roman"/>
          <w:sz w:val="24"/>
          <w:szCs w:val="24"/>
        </w:rPr>
        <w:t>and</w:t>
      </w:r>
      <w:r w:rsidR="00765762" w:rsidRPr="00983EEB">
        <w:rPr>
          <w:rFonts w:ascii="Times New Roman" w:hAnsi="Times New Roman" w:cs="Times New Roman"/>
          <w:sz w:val="24"/>
          <w:szCs w:val="24"/>
        </w:rPr>
        <w:t xml:space="preserve"> Bhat, 2022)</w:t>
      </w:r>
      <w:r w:rsidRPr="00983EEB">
        <w:rPr>
          <w:rFonts w:ascii="Times New Roman" w:hAnsi="Times New Roman" w:cs="Times New Roman"/>
          <w:sz w:val="24"/>
          <w:szCs w:val="24"/>
        </w:rPr>
        <w:t>.</w:t>
      </w:r>
    </w:p>
    <w:p w14:paraId="2B53E114" w14:textId="77777777" w:rsidR="00CD44DC" w:rsidRPr="00983EEB" w:rsidRDefault="00CD44DC" w:rsidP="006A5F8D">
      <w:pPr>
        <w:spacing w:line="360" w:lineRule="auto"/>
        <w:jc w:val="both"/>
        <w:rPr>
          <w:rFonts w:ascii="Times New Roman" w:hAnsi="Times New Roman" w:cs="Times New Roman"/>
          <w:b/>
          <w:sz w:val="24"/>
          <w:szCs w:val="24"/>
        </w:rPr>
      </w:pPr>
      <w:r w:rsidRPr="00983EEB">
        <w:rPr>
          <w:rFonts w:ascii="Times New Roman" w:hAnsi="Times New Roman" w:cs="Times New Roman"/>
          <w:b/>
          <w:sz w:val="24"/>
          <w:szCs w:val="24"/>
        </w:rPr>
        <w:t>PESTLE Analysis:</w:t>
      </w:r>
    </w:p>
    <w:p w14:paraId="4BEE8C24"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Political:</w:t>
      </w:r>
      <w:r w:rsidRPr="00983EEB">
        <w:rPr>
          <w:rFonts w:ascii="Times New Roman" w:hAnsi="Times New Roman" w:cs="Times New Roman"/>
          <w:sz w:val="24"/>
          <w:szCs w:val="24"/>
        </w:rPr>
        <w:t xml:space="preserve"> Government policies supporting the events industry are favorable, providing a conducive environment for event planning and execution</w:t>
      </w:r>
      <w:r w:rsidR="00765762" w:rsidRPr="00983EEB">
        <w:rPr>
          <w:rFonts w:ascii="Times New Roman" w:hAnsi="Times New Roman" w:cs="Times New Roman"/>
          <w:sz w:val="24"/>
          <w:szCs w:val="24"/>
        </w:rPr>
        <w:t xml:space="preserve"> (Morrone et al., 2021, pp. 257-270)</w:t>
      </w:r>
      <w:r w:rsidRPr="00983EEB">
        <w:rPr>
          <w:rFonts w:ascii="Times New Roman" w:hAnsi="Times New Roman" w:cs="Times New Roman"/>
          <w:sz w:val="24"/>
          <w:szCs w:val="24"/>
        </w:rPr>
        <w:t>.</w:t>
      </w:r>
    </w:p>
    <w:p w14:paraId="19830CAF"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Economic:</w:t>
      </w:r>
      <w:r w:rsidRPr="00983EEB">
        <w:rPr>
          <w:rFonts w:ascii="Times New Roman" w:hAnsi="Times New Roman" w:cs="Times New Roman"/>
          <w:sz w:val="24"/>
          <w:szCs w:val="24"/>
        </w:rPr>
        <w:t xml:space="preserve"> The industry's substantial economic contribution underscores its significance and potential for growth</w:t>
      </w:r>
      <w:r w:rsidR="001F63B3" w:rsidRPr="00983EEB">
        <w:rPr>
          <w:rFonts w:ascii="Times New Roman" w:hAnsi="Times New Roman" w:cs="Times New Roman"/>
          <w:sz w:val="24"/>
          <w:szCs w:val="24"/>
        </w:rPr>
        <w:t xml:space="preserve"> (Nikopoulou et al., 2023)</w:t>
      </w:r>
      <w:r w:rsidRPr="00983EEB">
        <w:rPr>
          <w:rFonts w:ascii="Times New Roman" w:hAnsi="Times New Roman" w:cs="Times New Roman"/>
          <w:sz w:val="24"/>
          <w:szCs w:val="24"/>
        </w:rPr>
        <w:t>.</w:t>
      </w:r>
    </w:p>
    <w:p w14:paraId="538A539D"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Sociocultural:</w:t>
      </w:r>
      <w:r w:rsidRPr="00983EEB">
        <w:rPr>
          <w:rFonts w:ascii="Times New Roman" w:hAnsi="Times New Roman" w:cs="Times New Roman"/>
          <w:sz w:val="24"/>
          <w:szCs w:val="24"/>
        </w:rPr>
        <w:t xml:space="preserve"> Growing demand for technology-focused events in the hospitality sector aligns with the expo's theme, reflecting evolving consumer preferences</w:t>
      </w:r>
      <w:r w:rsidR="001F63B3" w:rsidRPr="00983EEB">
        <w:rPr>
          <w:rFonts w:ascii="Times New Roman" w:hAnsi="Times New Roman" w:cs="Times New Roman"/>
          <w:sz w:val="24"/>
          <w:szCs w:val="24"/>
        </w:rPr>
        <w:t xml:space="preserve"> (Alananzeh et al., 2023, pp. 2379-2389)</w:t>
      </w:r>
      <w:r w:rsidRPr="00983EEB">
        <w:rPr>
          <w:rFonts w:ascii="Times New Roman" w:hAnsi="Times New Roman" w:cs="Times New Roman"/>
          <w:sz w:val="24"/>
          <w:szCs w:val="24"/>
        </w:rPr>
        <w:t>.</w:t>
      </w:r>
    </w:p>
    <w:p w14:paraId="7CB69728" w14:textId="77777777" w:rsidR="00CD44DC" w:rsidRPr="00983EEB" w:rsidRDefault="00CD44DC" w:rsidP="006A5F8D">
      <w:pPr>
        <w:tabs>
          <w:tab w:val="left" w:pos="3072"/>
        </w:tabs>
        <w:spacing w:line="360" w:lineRule="auto"/>
        <w:jc w:val="both"/>
        <w:rPr>
          <w:rFonts w:ascii="Times New Roman" w:hAnsi="Times New Roman" w:cs="Times New Roman"/>
          <w:sz w:val="24"/>
          <w:szCs w:val="24"/>
        </w:rPr>
      </w:pPr>
      <w:r w:rsidRPr="00983EEB">
        <w:rPr>
          <w:rFonts w:ascii="Times New Roman" w:hAnsi="Times New Roman" w:cs="Times New Roman"/>
          <w:b/>
          <w:sz w:val="24"/>
          <w:szCs w:val="24"/>
        </w:rPr>
        <w:t xml:space="preserve">Technological: </w:t>
      </w:r>
      <w:r w:rsidRPr="00983EEB">
        <w:rPr>
          <w:rFonts w:ascii="Times New Roman" w:hAnsi="Times New Roman" w:cs="Times New Roman"/>
          <w:sz w:val="24"/>
          <w:szCs w:val="24"/>
        </w:rPr>
        <w:t>Advancements in event technology, including hybrid event solutions, offer opportunities for enhancing the expo's appeal and effectiveness</w:t>
      </w:r>
      <w:r w:rsidR="001F63B3" w:rsidRPr="00983EEB">
        <w:rPr>
          <w:rFonts w:ascii="Times New Roman" w:hAnsi="Times New Roman" w:cs="Times New Roman"/>
          <w:sz w:val="24"/>
          <w:szCs w:val="24"/>
        </w:rPr>
        <w:t xml:space="preserve"> (Venske, 2021, pp. 297-313)</w:t>
      </w:r>
      <w:r w:rsidRPr="00983EEB">
        <w:rPr>
          <w:rFonts w:ascii="Times New Roman" w:hAnsi="Times New Roman" w:cs="Times New Roman"/>
          <w:sz w:val="24"/>
          <w:szCs w:val="24"/>
        </w:rPr>
        <w:t>.</w:t>
      </w:r>
    </w:p>
    <w:p w14:paraId="03D1D3AB" w14:textId="77777777" w:rsidR="00D7619C" w:rsidRPr="00983EEB" w:rsidRDefault="00D7619C" w:rsidP="006A5F8D">
      <w:pPr>
        <w:pStyle w:val="NormalWeb"/>
        <w:spacing w:line="360" w:lineRule="auto"/>
        <w:jc w:val="both"/>
      </w:pPr>
      <w:r w:rsidRPr="00983EEB">
        <w:rPr>
          <w:b/>
        </w:rPr>
        <w:t>Legal:</w:t>
      </w:r>
      <w:r w:rsidRPr="00983EEB">
        <w:t xml:space="preserve"> Sufficient regulatory compliance with health and safety rules and data protection laws will allow the trade show to be legal and reputable (Mehrotra and Lobo, 2020, pp. 436-441).</w:t>
      </w:r>
    </w:p>
    <w:p w14:paraId="23B1FD99" w14:textId="2ADD9FC4" w:rsidR="00D7619C" w:rsidRDefault="00D7619C" w:rsidP="006A5F8D">
      <w:pPr>
        <w:pStyle w:val="NormalWeb"/>
        <w:spacing w:line="360" w:lineRule="auto"/>
        <w:jc w:val="both"/>
      </w:pPr>
      <w:r w:rsidRPr="00983EEB">
        <w:rPr>
          <w:b/>
        </w:rPr>
        <w:t>Environmental:</w:t>
      </w:r>
      <w:r w:rsidRPr="00983EEB">
        <w:t xml:space="preserve"> Economic sustainability arguments and ecological practices should be followed in events and match the rising eco-conscious consumer expectations (Richards et al., 2022).</w:t>
      </w:r>
    </w:p>
    <w:p w14:paraId="483BF6B4" w14:textId="7C223833" w:rsidR="00A05BC4" w:rsidRPr="004A2E70" w:rsidRDefault="00A05BC4" w:rsidP="00A05BC4">
      <w:pPr>
        <w:pStyle w:val="NormalWeb"/>
        <w:spacing w:line="360" w:lineRule="auto"/>
        <w:jc w:val="both"/>
        <w:rPr>
          <w:b/>
        </w:rPr>
      </w:pPr>
      <w:r w:rsidRPr="004A2E70">
        <w:rPr>
          <w:b/>
        </w:rPr>
        <w:lastRenderedPageBreak/>
        <w:t>Competition Analysis</w:t>
      </w:r>
    </w:p>
    <w:p w14:paraId="1346F141" w14:textId="5A278903" w:rsidR="00A05BC4" w:rsidRPr="004A2E70" w:rsidRDefault="00A05BC4" w:rsidP="00A05BC4">
      <w:pPr>
        <w:pStyle w:val="NormalWeb"/>
        <w:spacing w:line="360" w:lineRule="auto"/>
        <w:jc w:val="both"/>
      </w:pPr>
      <w:r w:rsidRPr="004A2E70">
        <w:t>The Tech-Inn Hospitality Expo 2024 faces competition from similar events such as the Hospitality Technology Expo and TechFest. These events also focus on showcasing technological innovations within the hospitality industry</w:t>
      </w:r>
      <w:r w:rsidR="00A5587C" w:rsidRPr="004A2E70">
        <w:t xml:space="preserve"> (Bezvesilnaya et al., 2020)</w:t>
      </w:r>
      <w:r w:rsidRPr="004A2E70">
        <w:t xml:space="preserve">. However, the Tech-Inn Hospitality Expo 2024 distinguishes itself with its comprehensive approach that integrates live technology demonstrations, in-depth panel discussions, and keynote speeches from industry leaders. </w:t>
      </w:r>
      <w:r w:rsidR="00F2098E" w:rsidRPr="004A2E70">
        <w:t xml:space="preserve">The </w:t>
      </w:r>
      <w:r w:rsidRPr="004A2E70">
        <w:rPr>
          <w:b/>
        </w:rPr>
        <w:t xml:space="preserve">unique selling proposition </w:t>
      </w:r>
      <w:r w:rsidR="00F2098E" w:rsidRPr="004A2E70">
        <w:rPr>
          <w:b/>
        </w:rPr>
        <w:t>(USP</w:t>
      </w:r>
      <w:r w:rsidR="00F2098E" w:rsidRPr="004A2E70">
        <w:t xml:space="preserve">) </w:t>
      </w:r>
      <w:r w:rsidRPr="004A2E70">
        <w:t>lies in the interactive and immersive experience offered to attendees, facilitating meaningful networking opportunities and firsthand exposure to cutting-edge solutions</w:t>
      </w:r>
      <w:r w:rsidR="00A5587C" w:rsidRPr="004A2E70">
        <w:t xml:space="preserve"> (Wickham et al., 2021, pp. 279-296)</w:t>
      </w:r>
      <w:r w:rsidRPr="004A2E70">
        <w:t>.</w:t>
      </w:r>
    </w:p>
    <w:p w14:paraId="0EE614B7" w14:textId="43450EA7" w:rsidR="00343B6E" w:rsidRPr="004A2E70" w:rsidRDefault="00343B6E" w:rsidP="00343B6E">
      <w:pPr>
        <w:pStyle w:val="NormalWeb"/>
        <w:spacing w:line="360" w:lineRule="auto"/>
        <w:jc w:val="both"/>
        <w:rPr>
          <w:b/>
        </w:rPr>
      </w:pPr>
      <w:r w:rsidRPr="004A2E70">
        <w:rPr>
          <w:b/>
        </w:rPr>
        <w:t>Example for Event Concept Section:</w:t>
      </w:r>
    </w:p>
    <w:p w14:paraId="2A6C601F" w14:textId="7F6C5F41" w:rsidR="008F79BC" w:rsidRPr="00343B6E" w:rsidRDefault="008F79BC" w:rsidP="008F79BC">
      <w:pPr>
        <w:pStyle w:val="NormalWeb"/>
        <w:spacing w:line="360" w:lineRule="auto"/>
        <w:jc w:val="both"/>
      </w:pPr>
      <w:r w:rsidRPr="004A2E70">
        <w:t>To make the Tech-Inn Hospitality Expo 2024 successful, the following strategies adopted from successful events like CES and ITB have been followed: These events are characterized by their excellent audience handling systems, creative approaches to booth displays and feedback capturing processes. In this regard, we strive to maintain similar practices to deliver the best experience possible for our attendees and foster high levels of engagement and satisfaction (Wickham et al., 2021, pp. 279-296). For instance, similar to the event, there will be technologies like those seen in CES, but instead of merely showcasing them, participants will be able to interact with the technologies that shape the hospitality industry.</w:t>
      </w:r>
    </w:p>
    <w:p w14:paraId="72BCCFA0" w14:textId="77777777" w:rsidR="00E249C0" w:rsidRPr="00983EEB" w:rsidRDefault="00E249C0" w:rsidP="008F79BC">
      <w:pPr>
        <w:pStyle w:val="Heading2"/>
        <w:spacing w:line="360" w:lineRule="auto"/>
        <w:jc w:val="both"/>
        <w:rPr>
          <w:rFonts w:ascii="Times New Roman" w:hAnsi="Times New Roman" w:cs="Times New Roman"/>
          <w:sz w:val="24"/>
          <w:szCs w:val="24"/>
        </w:rPr>
      </w:pPr>
      <w:bookmarkStart w:id="9" w:name="_Toc167901514"/>
      <w:r w:rsidRPr="00983EEB">
        <w:rPr>
          <w:rFonts w:ascii="Times New Roman" w:hAnsi="Times New Roman" w:cs="Times New Roman"/>
          <w:sz w:val="24"/>
          <w:szCs w:val="24"/>
        </w:rPr>
        <w:t>Cultural and Situational Considerations</w:t>
      </w:r>
      <w:bookmarkEnd w:id="9"/>
      <w:r w:rsidRPr="00983EEB">
        <w:rPr>
          <w:rFonts w:ascii="Times New Roman" w:hAnsi="Times New Roman" w:cs="Times New Roman"/>
          <w:sz w:val="24"/>
          <w:szCs w:val="24"/>
        </w:rPr>
        <w:t xml:space="preserve"> </w:t>
      </w:r>
    </w:p>
    <w:p w14:paraId="507630C6" w14:textId="7D0F6ADC" w:rsidR="00D7619C" w:rsidRPr="008F79BC" w:rsidRDefault="008F79BC" w:rsidP="008F79BC">
      <w:pPr>
        <w:pStyle w:val="NormalWeb"/>
        <w:spacing w:before="0" w:beforeAutospacing="0" w:after="0" w:afterAutospacing="0" w:line="360" w:lineRule="auto"/>
        <w:jc w:val="both"/>
        <w:rPr>
          <w:color w:val="0E101A"/>
        </w:rPr>
      </w:pPr>
      <w:r>
        <w:rPr>
          <w:rStyle w:val="Strong"/>
          <w:rFonts w:eastAsiaTheme="majorEastAsia"/>
          <w:color w:val="0E101A"/>
        </w:rPr>
        <w:t>Cultural Considerations: </w:t>
      </w:r>
      <w:r>
        <w:rPr>
          <w:color w:val="0E101A"/>
        </w:rPr>
        <w:t xml:space="preserve">A specific strength of the UK is its rich and multicultural population, which will be beneficial when hosting the Tech-Inn Hospitality Expo 2024 (Barron and Leask, 2020, pp. 287-305). </w:t>
      </w:r>
      <w:r w:rsidR="00D7619C" w:rsidRPr="00983EEB">
        <w:t>This diversity can be a huge help in giving the event a lift and a platform for displaying the varied tastes that define the cultural peculiarities in the hospitality business (Wickham et al., 2021, pp. 279-296). It is important to mention the formal social norms in the UK to the guests so they will not wear inappropriate clothes at the event.</w:t>
      </w:r>
    </w:p>
    <w:p w14:paraId="6139FB50" w14:textId="77777777" w:rsidR="00D7619C" w:rsidRPr="00983EEB" w:rsidRDefault="00D7619C" w:rsidP="008F79BC">
      <w:pPr>
        <w:pStyle w:val="NormalWeb"/>
        <w:spacing w:line="360" w:lineRule="auto"/>
        <w:jc w:val="both"/>
      </w:pPr>
      <w:r w:rsidRPr="00983EEB">
        <w:rPr>
          <w:rStyle w:val="Strong"/>
          <w:rFonts w:eastAsiaTheme="majorEastAsia"/>
        </w:rPr>
        <w:t>Situational Considerations:</w:t>
      </w:r>
      <w:r w:rsidRPr="00983EEB">
        <w:t xml:space="preserve"> The COVID-19 pandemic has impacted the UK's events industry significantly, as described in the article "COVID-19 and Events" (KULU and BOLA, 2023, pp. 35-48). However, the event cannot be fully recovered, and measures must be taken to meet attendees' health and safety requirements, follow government directives, and be ready for disruptions (Bezvesilnaya et al., 2020). Legal and practical aspects of event planning, such as </w:t>
      </w:r>
      <w:r w:rsidRPr="00983EEB">
        <w:lastRenderedPageBreak/>
        <w:t>safe protocols, permits, insurance and risk management, entail the highest attentiveness to the event's integrity.</w:t>
      </w:r>
    </w:p>
    <w:p w14:paraId="0E1E9176" w14:textId="77777777" w:rsidR="00001070" w:rsidRPr="00983EEB" w:rsidRDefault="00BE7721" w:rsidP="006A5F8D">
      <w:pPr>
        <w:pStyle w:val="Heading1"/>
        <w:spacing w:line="360" w:lineRule="auto"/>
        <w:jc w:val="both"/>
        <w:rPr>
          <w:rFonts w:ascii="Times New Roman" w:hAnsi="Times New Roman" w:cs="Times New Roman"/>
          <w:sz w:val="24"/>
          <w:szCs w:val="24"/>
        </w:rPr>
      </w:pPr>
      <w:bookmarkStart w:id="10" w:name="_Toc167901515"/>
      <w:r w:rsidRPr="00983EEB">
        <w:rPr>
          <w:rFonts w:ascii="Times New Roman" w:hAnsi="Times New Roman" w:cs="Times New Roman"/>
          <w:sz w:val="24"/>
          <w:szCs w:val="24"/>
        </w:rPr>
        <w:t>Conclusion</w:t>
      </w:r>
      <w:bookmarkEnd w:id="10"/>
      <w:r w:rsidRPr="00983EEB">
        <w:rPr>
          <w:rFonts w:ascii="Times New Roman" w:hAnsi="Times New Roman" w:cs="Times New Roman"/>
          <w:sz w:val="24"/>
          <w:szCs w:val="24"/>
        </w:rPr>
        <w:t xml:space="preserve"> </w:t>
      </w:r>
    </w:p>
    <w:p w14:paraId="45BF1F74" w14:textId="77777777" w:rsidR="00D7619C" w:rsidRPr="00983EEB" w:rsidRDefault="00D7619C" w:rsidP="006A5F8D">
      <w:pPr>
        <w:pStyle w:val="NormalWeb"/>
        <w:spacing w:line="360" w:lineRule="auto"/>
        <w:jc w:val="both"/>
      </w:pPr>
      <w:r w:rsidRPr="00983EEB">
        <w:t>The tech-inn hospitality expo 2024 exhibits significant meaning and feasibility in the final analysis. Placing the product in line with the trend of the market and the hospitality demands stands as a key to the success of the UK hospitality sector's growth and development. Positioned as a knowledge hub for innovation, knowledge-sharing, networking, and industry advocacy, the Expo promises to play a meaningful role. The feasibility study involved a thorough investigation of market dynamics, operational requisites, financial issues, industry tendencies, and cultural and situational peculiarities. Projections show not only its budget coverage but also its profit-making, which, in turn, helps strengthen the UK's events industry economic impact.</w:t>
      </w:r>
    </w:p>
    <w:p w14:paraId="502678D6" w14:textId="77777777" w:rsidR="00D7619C" w:rsidRPr="00983EEB" w:rsidRDefault="00D7619C" w:rsidP="006A5F8D">
      <w:pPr>
        <w:pStyle w:val="NormalWeb"/>
        <w:spacing w:line="360" w:lineRule="auto"/>
        <w:jc w:val="both"/>
      </w:pPr>
      <w:r w:rsidRPr="00983EEB">
        <w:t>Still, the performance of this mission is very dependent on the effectiveness of good planning and implementation. Adaptability and responsiveness become very important with the constant change of the events sector and the gearing of the socio-economic settings. The Tech-Inn Hospitality Expo 2024 organisers should also be flexible in handling the changing circumstances throughout the event's planning to enable the show to stay relevant in the eyes of its audience. Therefore, the fact that the feasibility study shows that we are all determined to have the Tech-Inn Hospitality Expo 2024 happen is significant. Finally, the team is trying not to lose its breath and plunge headlong into action - making the vision come true and turning the Expo into a milestone of innovation and progress in the hospitality industry.</w:t>
      </w:r>
    </w:p>
    <w:p w14:paraId="6EF67F75" w14:textId="77777777" w:rsidR="006D21E7" w:rsidRPr="00983EEB" w:rsidRDefault="006D21E7" w:rsidP="00040FA2">
      <w:pPr>
        <w:spacing w:line="360" w:lineRule="auto"/>
        <w:jc w:val="both"/>
        <w:rPr>
          <w:rFonts w:ascii="Times New Roman" w:hAnsi="Times New Roman" w:cs="Times New Roman"/>
          <w:sz w:val="24"/>
          <w:szCs w:val="24"/>
        </w:rPr>
      </w:pPr>
      <w:r w:rsidRPr="00983EEB">
        <w:rPr>
          <w:rFonts w:ascii="Times New Roman" w:hAnsi="Times New Roman" w:cs="Times New Roman"/>
          <w:sz w:val="24"/>
          <w:szCs w:val="24"/>
        </w:rPr>
        <w:br w:type="page"/>
      </w:r>
    </w:p>
    <w:p w14:paraId="0184A3EB" w14:textId="77777777" w:rsidR="00E249C0" w:rsidRPr="00983EEB" w:rsidRDefault="00E249C0" w:rsidP="00040FA2">
      <w:pPr>
        <w:pStyle w:val="Heading1"/>
        <w:spacing w:line="360" w:lineRule="auto"/>
        <w:jc w:val="both"/>
        <w:rPr>
          <w:rFonts w:ascii="Times New Roman" w:hAnsi="Times New Roman" w:cs="Times New Roman"/>
          <w:sz w:val="24"/>
          <w:szCs w:val="24"/>
        </w:rPr>
      </w:pPr>
      <w:bookmarkStart w:id="11" w:name="_Toc167901516"/>
      <w:r w:rsidRPr="00983EEB">
        <w:rPr>
          <w:rFonts w:ascii="Times New Roman" w:hAnsi="Times New Roman" w:cs="Times New Roman"/>
          <w:sz w:val="24"/>
          <w:szCs w:val="24"/>
        </w:rPr>
        <w:lastRenderedPageBreak/>
        <w:t>Reference List</w:t>
      </w:r>
      <w:bookmarkEnd w:id="11"/>
      <w:r w:rsidRPr="00983EEB">
        <w:rPr>
          <w:rFonts w:ascii="Times New Roman" w:hAnsi="Times New Roman" w:cs="Times New Roman"/>
          <w:sz w:val="24"/>
          <w:szCs w:val="24"/>
        </w:rPr>
        <w:t xml:space="preserve"> </w:t>
      </w:r>
    </w:p>
    <w:p w14:paraId="08D2C8A1"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Alananzeh, O.A., Masa’deh, R.E. and Bazazo, I.K. (2023) Ebb and Flow Theory in Tourism, Hospitality, and Event Management. In </w:t>
      </w:r>
      <w:r w:rsidRPr="00D23E65">
        <w:rPr>
          <w:rFonts w:ascii="Times New Roman" w:hAnsi="Times New Roman" w:cs="Times New Roman"/>
          <w:i/>
          <w:iCs/>
          <w:color w:val="222222"/>
          <w:sz w:val="24"/>
          <w:szCs w:val="24"/>
          <w:shd w:val="clear" w:color="auto" w:fill="FFFFFF"/>
        </w:rPr>
        <w:t>The Effect of Information Technology on Business and Marketing Intelligence Systems</w:t>
      </w:r>
      <w:r w:rsidRPr="00D23E65">
        <w:rPr>
          <w:rFonts w:ascii="Times New Roman" w:hAnsi="Times New Roman" w:cs="Times New Roman"/>
          <w:color w:val="222222"/>
          <w:sz w:val="24"/>
          <w:szCs w:val="24"/>
          <w:shd w:val="clear" w:color="auto" w:fill="FFFFFF"/>
        </w:rPr>
        <w:t> (pp. 2379-2389). Cham: Springer International Publishing. Available at:</w:t>
      </w:r>
      <w:r w:rsidRPr="00D23E65">
        <w:rPr>
          <w:rFonts w:ascii="Times New Roman" w:hAnsi="Times New Roman" w:cs="Times New Roman"/>
          <w:color w:val="333333"/>
          <w:sz w:val="24"/>
          <w:szCs w:val="24"/>
          <w:shd w:val="clear" w:color="auto" w:fill="FCFCFC"/>
        </w:rPr>
        <w:t xml:space="preserve"> https://doi.org/10.1007/978-3-031.</w:t>
      </w:r>
      <w:r w:rsidRPr="00D23E65">
        <w:rPr>
          <w:rFonts w:ascii="Times New Roman" w:hAnsi="Times New Roman" w:cs="Times New Roman"/>
          <w:color w:val="222222"/>
          <w:sz w:val="24"/>
          <w:szCs w:val="24"/>
          <w:shd w:val="clear" w:color="auto" w:fill="FFFFFF"/>
        </w:rPr>
        <w:t xml:space="preserve"> </w:t>
      </w:r>
    </w:p>
    <w:p w14:paraId="19677D8A" w14:textId="77777777" w:rsidR="00D23E65" w:rsidRPr="004A2E70" w:rsidRDefault="00D23E65" w:rsidP="00D23E65">
      <w:pPr>
        <w:spacing w:after="240" w:line="360" w:lineRule="auto"/>
        <w:jc w:val="both"/>
        <w:rPr>
          <w:rFonts w:ascii="Times New Roman" w:eastAsia="Times New Roman" w:hAnsi="Times New Roman" w:cs="Times New Roman"/>
          <w:color w:val="000000"/>
          <w:sz w:val="24"/>
          <w:szCs w:val="24"/>
          <w:lang w:eastAsia="en-GB"/>
        </w:rPr>
      </w:pPr>
      <w:r w:rsidRPr="004A2E70">
        <w:rPr>
          <w:rFonts w:ascii="Times New Roman" w:eastAsia="Times New Roman" w:hAnsi="Times New Roman" w:cs="Times New Roman"/>
          <w:color w:val="000000"/>
          <w:sz w:val="24"/>
          <w:szCs w:val="24"/>
          <w:lang w:eastAsia="en-GB"/>
        </w:rPr>
        <w:t>Aleksi Kaunisto (2021). </w:t>
      </w:r>
      <w:r w:rsidRPr="004A2E70">
        <w:rPr>
          <w:rFonts w:ascii="Times New Roman" w:eastAsia="Times New Roman" w:hAnsi="Times New Roman" w:cs="Times New Roman"/>
          <w:i/>
          <w:iCs/>
          <w:color w:val="000000"/>
          <w:sz w:val="24"/>
          <w:szCs w:val="24"/>
          <w:lang w:eastAsia="en-GB"/>
        </w:rPr>
        <w:t>Introducing the Event Cycle – The core of Event Success Management</w:t>
      </w:r>
      <w:r w:rsidRPr="004A2E70">
        <w:rPr>
          <w:rFonts w:ascii="Times New Roman" w:eastAsia="Times New Roman" w:hAnsi="Times New Roman" w:cs="Times New Roman"/>
          <w:color w:val="000000"/>
          <w:sz w:val="24"/>
          <w:szCs w:val="24"/>
          <w:lang w:eastAsia="en-GB"/>
        </w:rPr>
        <w:t>. [online] Lyyti.com. Available at: https://www.lyyti.com/en/blog/introducing-the-event-cycle-the-core-of-event-success-management [Accessed 29 May 2024].</w:t>
      </w:r>
    </w:p>
    <w:p w14:paraId="3247E1B0"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Barron, P. and Leask, A. (2020) Events management education. In </w:t>
      </w:r>
      <w:r w:rsidRPr="00D23E65">
        <w:rPr>
          <w:rFonts w:ascii="Times New Roman" w:hAnsi="Times New Roman" w:cs="Times New Roman"/>
          <w:i/>
          <w:iCs/>
          <w:color w:val="222222"/>
          <w:sz w:val="24"/>
          <w:szCs w:val="24"/>
          <w:shd w:val="clear" w:color="auto" w:fill="FFFFFF"/>
        </w:rPr>
        <w:t>The Routledge handbook of events</w:t>
      </w:r>
      <w:r w:rsidRPr="00D23E65">
        <w:rPr>
          <w:rFonts w:ascii="Times New Roman" w:hAnsi="Times New Roman" w:cs="Times New Roman"/>
          <w:color w:val="222222"/>
          <w:sz w:val="24"/>
          <w:szCs w:val="24"/>
          <w:shd w:val="clear" w:color="auto" w:fill="FFFFFF"/>
        </w:rPr>
        <w:t> (pp. 287-305). Routledge. Available at:</w:t>
      </w:r>
      <w:r w:rsidRPr="00D23E65">
        <w:rPr>
          <w:rFonts w:ascii="Times New Roman" w:hAnsi="Times New Roman" w:cs="Times New Roman"/>
          <w:sz w:val="24"/>
          <w:szCs w:val="24"/>
        </w:rPr>
        <w:t xml:space="preserve"> </w:t>
      </w:r>
      <w:hyperlink r:id="rId9" w:history="1">
        <w:r w:rsidRPr="00D23E65">
          <w:rPr>
            <w:rStyle w:val="Hyperlink"/>
            <w:rFonts w:ascii="Times New Roman" w:hAnsi="Times New Roman" w:cs="Times New Roman"/>
            <w:color w:val="006DB4"/>
            <w:sz w:val="24"/>
            <w:szCs w:val="24"/>
          </w:rPr>
          <w:t>https://doi.org/10.1080/19407963.2022.2128810</w:t>
        </w:r>
      </w:hyperlink>
      <w:r w:rsidRPr="00D23E65">
        <w:rPr>
          <w:rFonts w:ascii="Times New Roman" w:hAnsi="Times New Roman" w:cs="Times New Roman"/>
          <w:sz w:val="24"/>
          <w:szCs w:val="24"/>
        </w:rPr>
        <w:t>.</w:t>
      </w:r>
    </w:p>
    <w:p w14:paraId="0AA9EC84"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Bezvesilnaya, A.A., Shadskaja, I.G.E., Kozlova, N.A., Shelygov, A.V. and Alekseenko, E.V. (2020) Digital technology development in tourism and hospitality industry. </w:t>
      </w:r>
      <w:r w:rsidRPr="00D23E65">
        <w:rPr>
          <w:rFonts w:ascii="Times New Roman" w:hAnsi="Times New Roman" w:cs="Times New Roman"/>
          <w:i/>
          <w:iCs/>
          <w:color w:val="222222"/>
          <w:sz w:val="24"/>
          <w:szCs w:val="24"/>
          <w:shd w:val="clear" w:color="auto" w:fill="FFFFFF"/>
        </w:rPr>
        <w:t>Eurasian Journal of Biosciences</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14</w:t>
      </w:r>
      <w:r w:rsidRPr="00D23E65">
        <w:rPr>
          <w:rFonts w:ascii="Times New Roman" w:hAnsi="Times New Roman" w:cs="Times New Roman"/>
          <w:color w:val="222222"/>
          <w:sz w:val="24"/>
          <w:szCs w:val="24"/>
          <w:shd w:val="clear" w:color="auto" w:fill="FFFFFF"/>
        </w:rPr>
        <w:t xml:space="preserve">(2). </w:t>
      </w:r>
    </w:p>
    <w:p w14:paraId="33E333AF"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Buhalis, D., Efthymiou, L., Uzunboylu, N. and Thrassou, A. (2024) Charting the progress of technology adoption in tourism and hospitality in the era of industry 4.0. </w:t>
      </w:r>
      <w:r w:rsidRPr="00D23E65">
        <w:rPr>
          <w:rFonts w:ascii="Times New Roman" w:hAnsi="Times New Roman" w:cs="Times New Roman"/>
          <w:i/>
          <w:iCs/>
          <w:color w:val="222222"/>
          <w:sz w:val="24"/>
          <w:szCs w:val="24"/>
          <w:shd w:val="clear" w:color="auto" w:fill="FFFFFF"/>
        </w:rPr>
        <w:t>EuroMed Journal of Business</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19</w:t>
      </w:r>
      <w:r w:rsidRPr="00D23E65">
        <w:rPr>
          <w:rFonts w:ascii="Times New Roman" w:hAnsi="Times New Roman" w:cs="Times New Roman"/>
          <w:color w:val="222222"/>
          <w:sz w:val="24"/>
          <w:szCs w:val="24"/>
          <w:shd w:val="clear" w:color="auto" w:fill="FFFFFF"/>
        </w:rPr>
        <w:t>(1), pp.1-20. Available at:</w:t>
      </w:r>
      <w:r w:rsidRPr="00D23E65">
        <w:rPr>
          <w:rFonts w:ascii="Times New Roman" w:hAnsi="Times New Roman" w:cs="Times New Roman"/>
          <w:sz w:val="24"/>
          <w:szCs w:val="24"/>
        </w:rPr>
        <w:t xml:space="preserve"> </w:t>
      </w:r>
      <w:hyperlink r:id="rId10" w:tooltip="DOI: https://doi.org/10.1108/EMJB-11-2023-0310" w:history="1">
        <w:r w:rsidRPr="00D23E65">
          <w:rPr>
            <w:rStyle w:val="Hyperlink"/>
            <w:rFonts w:ascii="Times New Roman" w:hAnsi="Times New Roman" w:cs="Times New Roman"/>
            <w:color w:val="00292B"/>
            <w:sz w:val="24"/>
            <w:szCs w:val="24"/>
            <w:shd w:val="clear" w:color="auto" w:fill="FFFFFF"/>
          </w:rPr>
          <w:t>https://doi.org/10.1108/EMJB-11-2023-0310</w:t>
        </w:r>
      </w:hyperlink>
      <w:r w:rsidRPr="00D23E65">
        <w:rPr>
          <w:rFonts w:ascii="Times New Roman" w:hAnsi="Times New Roman" w:cs="Times New Roman"/>
          <w:sz w:val="24"/>
          <w:szCs w:val="24"/>
        </w:rPr>
        <w:t>.</w:t>
      </w:r>
    </w:p>
    <w:p w14:paraId="2E428F1A"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KULU, B.H. and BOLA, I.O. (2023) Event service quality and customer satisfaction in the hospitality industry in Bida, Nigeria. </w:t>
      </w:r>
      <w:r w:rsidRPr="00D23E65">
        <w:rPr>
          <w:rFonts w:ascii="Times New Roman" w:hAnsi="Times New Roman" w:cs="Times New Roman"/>
          <w:i/>
          <w:iCs/>
          <w:color w:val="222222"/>
          <w:sz w:val="24"/>
          <w:szCs w:val="24"/>
          <w:shd w:val="clear" w:color="auto" w:fill="FFFFFF"/>
        </w:rPr>
        <w:t>GPH-International Journal of Social Science and Humanities Research</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6</w:t>
      </w:r>
      <w:r w:rsidRPr="00D23E65">
        <w:rPr>
          <w:rFonts w:ascii="Times New Roman" w:hAnsi="Times New Roman" w:cs="Times New Roman"/>
          <w:color w:val="222222"/>
          <w:sz w:val="24"/>
          <w:szCs w:val="24"/>
          <w:shd w:val="clear" w:color="auto" w:fill="FFFFFF"/>
        </w:rPr>
        <w:t>(02), pp.35-48. Available at:</w:t>
      </w:r>
      <w:r w:rsidRPr="00D23E65">
        <w:rPr>
          <w:rFonts w:ascii="Times New Roman" w:hAnsi="Times New Roman" w:cs="Times New Roman"/>
          <w:sz w:val="24"/>
          <w:szCs w:val="24"/>
        </w:rPr>
        <w:t xml:space="preserve"> </w:t>
      </w:r>
      <w:hyperlink r:id="rId11" w:history="1">
        <w:r w:rsidRPr="00D23E65">
          <w:rPr>
            <w:rStyle w:val="Hyperlink"/>
            <w:rFonts w:ascii="Times New Roman" w:hAnsi="Times New Roman" w:cs="Times New Roman"/>
            <w:color w:val="4B7D92"/>
            <w:sz w:val="24"/>
            <w:szCs w:val="24"/>
            <w:shd w:val="clear" w:color="auto" w:fill="FFFFFF"/>
          </w:rPr>
          <w:t>https://doi.org/10.5281/zenodo.7791195</w:t>
        </w:r>
      </w:hyperlink>
      <w:r w:rsidRPr="00D23E65">
        <w:rPr>
          <w:rFonts w:ascii="Times New Roman" w:hAnsi="Times New Roman" w:cs="Times New Roman"/>
          <w:sz w:val="24"/>
          <w:szCs w:val="24"/>
        </w:rPr>
        <w:t>.</w:t>
      </w:r>
    </w:p>
    <w:p w14:paraId="4A7899B5"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Mehrotra, A. and Lobo, J., 2020, June. Technology Driving Event Management Industry to the Next Level. In </w:t>
      </w:r>
      <w:r w:rsidRPr="00D23E65">
        <w:rPr>
          <w:rFonts w:ascii="Times New Roman" w:hAnsi="Times New Roman" w:cs="Times New Roman"/>
          <w:i/>
          <w:iCs/>
          <w:color w:val="222222"/>
          <w:sz w:val="24"/>
          <w:szCs w:val="24"/>
          <w:shd w:val="clear" w:color="auto" w:fill="FFFFFF"/>
        </w:rPr>
        <w:t>2020 8th International Conference on Reliability, Infocom Technologies and Optimization (Trends and Future Directions)(ICRITO)</w:t>
      </w:r>
      <w:r w:rsidRPr="00D23E65">
        <w:rPr>
          <w:rFonts w:ascii="Times New Roman" w:hAnsi="Times New Roman" w:cs="Times New Roman"/>
          <w:color w:val="222222"/>
          <w:sz w:val="24"/>
          <w:szCs w:val="24"/>
          <w:shd w:val="clear" w:color="auto" w:fill="FFFFFF"/>
        </w:rPr>
        <w:t> (pp. 436-441). IEEE. Available at:</w:t>
      </w:r>
    </w:p>
    <w:p w14:paraId="0FAD969D"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Morrone, D., Raimo, N., Tarulli, A. and Vitolla, F. (2021) Digitalisation in the hospitality industry: Motivations, effects and role of Covid-19. </w:t>
      </w:r>
      <w:r w:rsidRPr="00D23E65">
        <w:rPr>
          <w:rFonts w:ascii="Times New Roman" w:hAnsi="Times New Roman" w:cs="Times New Roman"/>
          <w:i/>
          <w:iCs/>
          <w:color w:val="222222"/>
          <w:sz w:val="24"/>
          <w:szCs w:val="24"/>
          <w:shd w:val="clear" w:color="auto" w:fill="FFFFFF"/>
        </w:rPr>
        <w:t>International Journal of Digital Culture and Electronic Tourism</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3</w:t>
      </w:r>
      <w:r w:rsidRPr="00D23E65">
        <w:rPr>
          <w:rFonts w:ascii="Times New Roman" w:hAnsi="Times New Roman" w:cs="Times New Roman"/>
          <w:color w:val="222222"/>
          <w:sz w:val="24"/>
          <w:szCs w:val="24"/>
          <w:shd w:val="clear" w:color="auto" w:fill="FFFFFF"/>
        </w:rPr>
        <w:t xml:space="preserve">(3-4), pp.257-270. Available at: </w:t>
      </w:r>
      <w:hyperlink r:id="rId12" w:history="1">
        <w:r w:rsidRPr="00D23E65">
          <w:rPr>
            <w:rStyle w:val="Hyperlink"/>
            <w:rFonts w:ascii="Times New Roman" w:hAnsi="Times New Roman" w:cs="Times New Roman"/>
            <w:color w:val="333333"/>
            <w:sz w:val="24"/>
            <w:szCs w:val="24"/>
            <w:shd w:val="clear" w:color="auto" w:fill="FFFFFF"/>
          </w:rPr>
          <w:t>https://doi.org/10.1504/IJDCET.2021.116475</w:t>
        </w:r>
      </w:hyperlink>
      <w:r w:rsidRPr="00D23E65">
        <w:rPr>
          <w:rFonts w:ascii="Times New Roman" w:hAnsi="Times New Roman" w:cs="Times New Roman"/>
          <w:sz w:val="24"/>
          <w:szCs w:val="24"/>
        </w:rPr>
        <w:t>.</w:t>
      </w:r>
    </w:p>
    <w:p w14:paraId="1177C10E"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Motta, V. and Sharma, A. (2020) Lending technologies and access to finance for SMEs in the hospitality industry. </w:t>
      </w:r>
      <w:r w:rsidRPr="00D23E65">
        <w:rPr>
          <w:rFonts w:ascii="Times New Roman" w:hAnsi="Times New Roman" w:cs="Times New Roman"/>
          <w:i/>
          <w:iCs/>
          <w:color w:val="222222"/>
          <w:sz w:val="24"/>
          <w:szCs w:val="24"/>
          <w:shd w:val="clear" w:color="auto" w:fill="FFFFFF"/>
        </w:rPr>
        <w:t>International Journal of Hospitality Management</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86</w:t>
      </w:r>
      <w:r w:rsidRPr="00D23E65">
        <w:rPr>
          <w:rFonts w:ascii="Times New Roman" w:hAnsi="Times New Roman" w:cs="Times New Roman"/>
          <w:color w:val="222222"/>
          <w:sz w:val="24"/>
          <w:szCs w:val="24"/>
          <w:shd w:val="clear" w:color="auto" w:fill="FFFFFF"/>
        </w:rPr>
        <w:t>, p.102371. Available at:</w:t>
      </w:r>
      <w:r w:rsidRPr="00D23E65">
        <w:rPr>
          <w:rFonts w:ascii="Times New Roman" w:hAnsi="Times New Roman" w:cs="Times New Roman"/>
          <w:sz w:val="24"/>
          <w:szCs w:val="24"/>
        </w:rPr>
        <w:t xml:space="preserve"> </w:t>
      </w:r>
      <w:hyperlink r:id="rId13" w:tgtFrame="_blank" w:tooltip="Persistent link using digital object identifier" w:history="1">
        <w:r w:rsidRPr="00D23E65">
          <w:rPr>
            <w:rStyle w:val="anchor-text"/>
            <w:rFonts w:ascii="Times New Roman" w:hAnsi="Times New Roman" w:cs="Times New Roman"/>
            <w:color w:val="1F1F1F"/>
            <w:sz w:val="24"/>
            <w:szCs w:val="24"/>
          </w:rPr>
          <w:t>https://doi.org/10.1016/j.ijhm.2019.102371</w:t>
        </w:r>
      </w:hyperlink>
      <w:r w:rsidRPr="00D23E65">
        <w:rPr>
          <w:rFonts w:ascii="Times New Roman" w:hAnsi="Times New Roman" w:cs="Times New Roman"/>
          <w:sz w:val="24"/>
          <w:szCs w:val="24"/>
        </w:rPr>
        <w:t>.</w:t>
      </w:r>
    </w:p>
    <w:p w14:paraId="3A35FC85"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lastRenderedPageBreak/>
        <w:t>Mysyk, V. (2022) Improvement of event management positioning in enterprise management. </w:t>
      </w:r>
      <w:r w:rsidRPr="00D23E65">
        <w:rPr>
          <w:rFonts w:ascii="Times New Roman" w:hAnsi="Times New Roman" w:cs="Times New Roman"/>
          <w:i/>
          <w:iCs/>
          <w:color w:val="222222"/>
          <w:sz w:val="24"/>
          <w:szCs w:val="24"/>
          <w:shd w:val="clear" w:color="auto" w:fill="FFFFFF"/>
        </w:rPr>
        <w:t>Economics, Entrepreneurship, Management</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9</w:t>
      </w:r>
      <w:r w:rsidRPr="00D23E65">
        <w:rPr>
          <w:rFonts w:ascii="Times New Roman" w:hAnsi="Times New Roman" w:cs="Times New Roman"/>
          <w:color w:val="222222"/>
          <w:sz w:val="24"/>
          <w:szCs w:val="24"/>
          <w:shd w:val="clear" w:color="auto" w:fill="FFFFFF"/>
        </w:rPr>
        <w:t>(1), pp.34-43. Available at:</w:t>
      </w:r>
      <w:r w:rsidRPr="00D23E65">
        <w:rPr>
          <w:rFonts w:ascii="Times New Roman" w:hAnsi="Times New Roman" w:cs="Times New Roman"/>
          <w:sz w:val="24"/>
          <w:szCs w:val="24"/>
        </w:rPr>
        <w:t xml:space="preserve"> DOI: 10.23939/eem2022.01.034.</w:t>
      </w:r>
    </w:p>
    <w:p w14:paraId="44254A44"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Naaman, K., Hu, C., Howell, B. and Wang, W. (2019) Service-learning in a tourism, hospitality, and event management academic program. </w:t>
      </w:r>
      <w:r w:rsidRPr="00D23E65">
        <w:rPr>
          <w:rFonts w:ascii="Times New Roman" w:hAnsi="Times New Roman" w:cs="Times New Roman"/>
          <w:i/>
          <w:iCs/>
          <w:color w:val="222222"/>
          <w:sz w:val="24"/>
          <w:szCs w:val="24"/>
          <w:shd w:val="clear" w:color="auto" w:fill="FFFFFF"/>
        </w:rPr>
        <w:t>Events and Tourism Review</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2</w:t>
      </w:r>
      <w:r w:rsidRPr="00D23E65">
        <w:rPr>
          <w:rFonts w:ascii="Times New Roman" w:hAnsi="Times New Roman" w:cs="Times New Roman"/>
          <w:color w:val="222222"/>
          <w:sz w:val="24"/>
          <w:szCs w:val="24"/>
          <w:shd w:val="clear" w:color="auto" w:fill="FFFFFF"/>
        </w:rPr>
        <w:t xml:space="preserve">(2), pp.88-98. Available at: </w:t>
      </w:r>
      <w:hyperlink r:id="rId14" w:history="1">
        <w:r w:rsidRPr="00D23E65">
          <w:rPr>
            <w:rStyle w:val="Hyperlink"/>
            <w:rFonts w:ascii="Times New Roman" w:hAnsi="Times New Roman" w:cs="Times New Roman"/>
            <w:color w:val="008ACB"/>
            <w:sz w:val="24"/>
            <w:szCs w:val="24"/>
            <w:shd w:val="clear" w:color="auto" w:fill="FFFFFF"/>
          </w:rPr>
          <w:t>https://doi.org/10.18060/22909</w:t>
        </w:r>
      </w:hyperlink>
      <w:r w:rsidRPr="00D23E65">
        <w:rPr>
          <w:rFonts w:ascii="Times New Roman" w:hAnsi="Times New Roman" w:cs="Times New Roman"/>
          <w:sz w:val="24"/>
          <w:szCs w:val="24"/>
        </w:rPr>
        <w:t>.</w:t>
      </w:r>
    </w:p>
    <w:p w14:paraId="659EE546"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Nawarathna, D.B. and Arachchi, R.S.S.W. (2021) A study on sustainable event management practices; event managers’ perspective. </w:t>
      </w:r>
      <w:r w:rsidRPr="00D23E65">
        <w:rPr>
          <w:rFonts w:ascii="Times New Roman" w:hAnsi="Times New Roman" w:cs="Times New Roman"/>
          <w:i/>
          <w:iCs/>
          <w:color w:val="222222"/>
          <w:sz w:val="24"/>
          <w:szCs w:val="24"/>
          <w:shd w:val="clear" w:color="auto" w:fill="FFFFFF"/>
        </w:rPr>
        <w:t>Tourism and Sustainable Development Review</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2</w:t>
      </w:r>
      <w:r w:rsidRPr="00D23E65">
        <w:rPr>
          <w:rFonts w:ascii="Times New Roman" w:hAnsi="Times New Roman" w:cs="Times New Roman"/>
          <w:color w:val="222222"/>
          <w:sz w:val="24"/>
          <w:szCs w:val="24"/>
          <w:shd w:val="clear" w:color="auto" w:fill="FFFFFF"/>
        </w:rPr>
        <w:t>(1), pp.49-64. Available at: https://doi.org/10.7763/ijtef.2013.v4.311.</w:t>
      </w:r>
    </w:p>
    <w:p w14:paraId="1BCE8EB7"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Nikopoulou, M., Kourouthanassis, P., Chasapi, G., Pateli, A. and Mylonas, N. (2023) Determinants of digital transformation in the hospitality industry: Technological, organizational, and environmental drivers. </w:t>
      </w:r>
      <w:r w:rsidRPr="00D23E65">
        <w:rPr>
          <w:rFonts w:ascii="Times New Roman" w:hAnsi="Times New Roman" w:cs="Times New Roman"/>
          <w:i/>
          <w:iCs/>
          <w:color w:val="222222"/>
          <w:sz w:val="24"/>
          <w:szCs w:val="24"/>
          <w:shd w:val="clear" w:color="auto" w:fill="FFFFFF"/>
        </w:rPr>
        <w:t>Sustainability</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15</w:t>
      </w:r>
      <w:r w:rsidRPr="00D23E65">
        <w:rPr>
          <w:rFonts w:ascii="Times New Roman" w:hAnsi="Times New Roman" w:cs="Times New Roman"/>
          <w:color w:val="222222"/>
          <w:sz w:val="24"/>
          <w:szCs w:val="24"/>
          <w:shd w:val="clear" w:color="auto" w:fill="FFFFFF"/>
        </w:rPr>
        <w:t>(3), p.2736. Available at:  </w:t>
      </w:r>
      <w:hyperlink r:id="rId15" w:history="1">
        <w:r w:rsidRPr="00D23E65">
          <w:rPr>
            <w:rStyle w:val="Hyperlink"/>
            <w:rFonts w:ascii="Times New Roman" w:hAnsi="Times New Roman" w:cs="Times New Roman"/>
            <w:b/>
            <w:bCs/>
            <w:color w:val="4F5671"/>
            <w:sz w:val="24"/>
            <w:szCs w:val="24"/>
            <w:shd w:val="clear" w:color="auto" w:fill="FFFFFF"/>
          </w:rPr>
          <w:t>https://doi.org/10.3390/su15032736</w:t>
        </w:r>
      </w:hyperlink>
      <w:r w:rsidRPr="00D23E65">
        <w:rPr>
          <w:rFonts w:ascii="Times New Roman" w:hAnsi="Times New Roman" w:cs="Times New Roman"/>
          <w:sz w:val="24"/>
          <w:szCs w:val="24"/>
        </w:rPr>
        <w:t>.</w:t>
      </w:r>
    </w:p>
    <w:p w14:paraId="5E45C59D"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Richards, G., Censon, D., Gračan, D., Haressy, M., Kiráľová, A., Marulc, E., Rossetti, G., Barkiđija Sotošek, M. and Sterchele, D. (2022) Event management literature: exploring the missing body of knowledge. </w:t>
      </w:r>
      <w:r w:rsidRPr="00D23E65">
        <w:rPr>
          <w:rFonts w:ascii="Times New Roman" w:hAnsi="Times New Roman" w:cs="Times New Roman"/>
          <w:i/>
          <w:iCs/>
          <w:color w:val="222222"/>
          <w:sz w:val="24"/>
          <w:szCs w:val="24"/>
          <w:shd w:val="clear" w:color="auto" w:fill="FFFFFF"/>
        </w:rPr>
        <w:t>Journal of Policy Research in Tourism, Leisure and Events</w:t>
      </w:r>
      <w:r w:rsidRPr="00D23E65">
        <w:rPr>
          <w:rFonts w:ascii="Times New Roman" w:hAnsi="Times New Roman" w:cs="Times New Roman"/>
          <w:color w:val="222222"/>
          <w:sz w:val="24"/>
          <w:szCs w:val="24"/>
          <w:shd w:val="clear" w:color="auto" w:fill="FFFFFF"/>
        </w:rPr>
        <w:t>, pp.1-22. Available at:</w:t>
      </w:r>
      <w:r w:rsidRPr="00D23E65">
        <w:rPr>
          <w:rFonts w:ascii="Times New Roman" w:hAnsi="Times New Roman" w:cs="Times New Roman"/>
          <w:color w:val="000000"/>
          <w:sz w:val="24"/>
          <w:szCs w:val="24"/>
        </w:rPr>
        <w:t xml:space="preserve"> doi:https://doi.org/10.1109/icrito48877.2020.9198025.</w:t>
      </w:r>
    </w:p>
    <w:p w14:paraId="35BB0EA6" w14:textId="77A8BB82"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Sharma, V. and Bhat, D.A.R. (2022) Co-creation and technological innovation: The predictors of guest satisfaction and revisit intention in hospitality industry. </w:t>
      </w:r>
      <w:r w:rsidRPr="00D23E65">
        <w:rPr>
          <w:rFonts w:ascii="Times New Roman" w:hAnsi="Times New Roman" w:cs="Times New Roman"/>
          <w:i/>
          <w:iCs/>
          <w:color w:val="222222"/>
          <w:sz w:val="24"/>
          <w:szCs w:val="24"/>
          <w:shd w:val="clear" w:color="auto" w:fill="FFFFFF"/>
        </w:rPr>
        <w:t xml:space="preserve">International Journal of Hospitality </w:t>
      </w:r>
      <w:r w:rsidR="008F79BC">
        <w:rPr>
          <w:rFonts w:ascii="Times New Roman" w:hAnsi="Times New Roman" w:cs="Times New Roman"/>
          <w:i/>
          <w:iCs/>
          <w:color w:val="222222"/>
          <w:sz w:val="24"/>
          <w:szCs w:val="24"/>
          <w:shd w:val="clear" w:color="auto" w:fill="FFFFFF"/>
        </w:rPr>
        <w:t>and</w:t>
      </w:r>
      <w:r w:rsidRPr="00D23E65">
        <w:rPr>
          <w:rFonts w:ascii="Times New Roman" w:hAnsi="Times New Roman" w:cs="Times New Roman"/>
          <w:i/>
          <w:iCs/>
          <w:color w:val="222222"/>
          <w:sz w:val="24"/>
          <w:szCs w:val="24"/>
          <w:shd w:val="clear" w:color="auto" w:fill="FFFFFF"/>
        </w:rPr>
        <w:t xml:space="preserve"> Tourism Systems</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15</w:t>
      </w:r>
      <w:r w:rsidRPr="00D23E65">
        <w:rPr>
          <w:rFonts w:ascii="Times New Roman" w:hAnsi="Times New Roman" w:cs="Times New Roman"/>
          <w:color w:val="222222"/>
          <w:sz w:val="24"/>
          <w:szCs w:val="24"/>
          <w:shd w:val="clear" w:color="auto" w:fill="FFFFFF"/>
        </w:rPr>
        <w:t>(1). Available at:</w:t>
      </w:r>
      <w:r w:rsidRPr="00D23E65">
        <w:rPr>
          <w:rFonts w:ascii="Times New Roman" w:hAnsi="Times New Roman" w:cs="Times New Roman"/>
          <w:color w:val="333333"/>
          <w:sz w:val="24"/>
          <w:szCs w:val="24"/>
          <w:shd w:val="clear" w:color="auto" w:fill="FCFCFC"/>
        </w:rPr>
        <w:t xml:space="preserve"> https://doi.org/10.1007/978-981-16-2434-6_13.</w:t>
      </w:r>
    </w:p>
    <w:p w14:paraId="642DBE62"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Tian, J. (2024) Does technological innovation impact employment in the hospitality industry?. </w:t>
      </w:r>
      <w:r w:rsidRPr="00D23E65">
        <w:rPr>
          <w:rFonts w:ascii="Times New Roman" w:hAnsi="Times New Roman" w:cs="Times New Roman"/>
          <w:i/>
          <w:iCs/>
          <w:color w:val="222222"/>
          <w:sz w:val="24"/>
          <w:szCs w:val="24"/>
          <w:shd w:val="clear" w:color="auto" w:fill="FFFFFF"/>
        </w:rPr>
        <w:t>International Journal of Contemporary Hospitality Management</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36</w:t>
      </w:r>
      <w:r w:rsidRPr="00D23E65">
        <w:rPr>
          <w:rFonts w:ascii="Times New Roman" w:hAnsi="Times New Roman" w:cs="Times New Roman"/>
          <w:color w:val="222222"/>
          <w:sz w:val="24"/>
          <w:szCs w:val="24"/>
          <w:shd w:val="clear" w:color="auto" w:fill="FFFFFF"/>
        </w:rPr>
        <w:t>(4), pp.1025-1043. Available at:</w:t>
      </w:r>
      <w:r w:rsidRPr="00D23E65">
        <w:rPr>
          <w:rFonts w:ascii="Times New Roman" w:hAnsi="Times New Roman" w:cs="Times New Roman"/>
          <w:sz w:val="24"/>
          <w:szCs w:val="24"/>
        </w:rPr>
        <w:t xml:space="preserve"> </w:t>
      </w:r>
      <w:hyperlink r:id="rId16" w:tooltip="DOI: https://doi.org/10.1108/IJCHM-03-2022-0370" w:history="1">
        <w:r w:rsidRPr="00D23E65">
          <w:rPr>
            <w:rStyle w:val="Hyperlink"/>
            <w:rFonts w:ascii="Times New Roman" w:hAnsi="Times New Roman" w:cs="Times New Roman"/>
            <w:color w:val="00292B"/>
            <w:sz w:val="24"/>
            <w:szCs w:val="24"/>
            <w:shd w:val="clear" w:color="auto" w:fill="FFFFFF"/>
          </w:rPr>
          <w:t>https://doi.org/10.1108/IJCHM-03-2022-0370</w:t>
        </w:r>
      </w:hyperlink>
      <w:r w:rsidRPr="00D23E65">
        <w:rPr>
          <w:rFonts w:ascii="Times New Roman" w:hAnsi="Times New Roman" w:cs="Times New Roman"/>
          <w:sz w:val="24"/>
          <w:szCs w:val="24"/>
        </w:rPr>
        <w:t>.</w:t>
      </w:r>
    </w:p>
    <w:p w14:paraId="49EDABC3"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t>Tripura, K. and Avi, M.A.R. (2021) Application of Innovative Technologies in the Tourism and Hospitality Industry: Role Analysis of the Public and Private Institutions. </w:t>
      </w:r>
      <w:r w:rsidRPr="00D23E65">
        <w:rPr>
          <w:rFonts w:ascii="Times New Roman" w:hAnsi="Times New Roman" w:cs="Times New Roman"/>
          <w:i/>
          <w:iCs/>
          <w:color w:val="222222"/>
          <w:sz w:val="24"/>
          <w:szCs w:val="24"/>
          <w:shd w:val="clear" w:color="auto" w:fill="FFFFFF"/>
        </w:rPr>
        <w:t>Technology Application in the Tourism and Hospitality Industry</w:t>
      </w:r>
      <w:r w:rsidRPr="00D23E65">
        <w:rPr>
          <w:rFonts w:ascii="Times New Roman" w:hAnsi="Times New Roman" w:cs="Times New Roman"/>
          <w:color w:val="222222"/>
          <w:sz w:val="24"/>
          <w:szCs w:val="24"/>
          <w:shd w:val="clear" w:color="auto" w:fill="FFFFFF"/>
        </w:rPr>
        <w:t>, pp.215-226. Available at:</w:t>
      </w:r>
      <w:r w:rsidRPr="00D23E65">
        <w:rPr>
          <w:rFonts w:ascii="Times New Roman" w:hAnsi="Times New Roman" w:cs="Times New Roman"/>
          <w:color w:val="333333"/>
          <w:sz w:val="24"/>
          <w:szCs w:val="24"/>
          <w:shd w:val="clear" w:color="auto" w:fill="FCFCFC"/>
        </w:rPr>
        <w:t xml:space="preserve"> https://doi.org/10.1007/978-981-16-2434-6_13.</w:t>
      </w:r>
    </w:p>
    <w:p w14:paraId="3DE342D7" w14:textId="77777777" w:rsidR="00D23E65" w:rsidRPr="00D23E65" w:rsidRDefault="00D23E65" w:rsidP="00D23E65">
      <w:pPr>
        <w:spacing w:line="360" w:lineRule="auto"/>
        <w:jc w:val="both"/>
        <w:rPr>
          <w:rFonts w:ascii="Times New Roman" w:hAnsi="Times New Roman" w:cs="Times New Roman"/>
          <w:color w:val="222222"/>
          <w:sz w:val="24"/>
          <w:szCs w:val="24"/>
          <w:shd w:val="clear" w:color="auto" w:fill="FFFFFF"/>
        </w:rPr>
      </w:pPr>
      <w:r w:rsidRPr="00D23E65">
        <w:rPr>
          <w:rFonts w:ascii="Times New Roman" w:hAnsi="Times New Roman" w:cs="Times New Roman"/>
          <w:color w:val="222222"/>
          <w:sz w:val="24"/>
          <w:szCs w:val="24"/>
          <w:shd w:val="clear" w:color="auto" w:fill="FFFFFF"/>
        </w:rPr>
        <w:lastRenderedPageBreak/>
        <w:t>Venske, E. (2021) Quality education: industry contributions to embed sustainability in a meeting and event management curriculum. </w:t>
      </w:r>
      <w:r w:rsidRPr="00D23E65">
        <w:rPr>
          <w:rFonts w:ascii="Times New Roman" w:hAnsi="Times New Roman" w:cs="Times New Roman"/>
          <w:i/>
          <w:iCs/>
          <w:color w:val="222222"/>
          <w:sz w:val="24"/>
          <w:szCs w:val="24"/>
          <w:shd w:val="clear" w:color="auto" w:fill="FFFFFF"/>
        </w:rPr>
        <w:t>International Journal of Event and Festival Management</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12</w:t>
      </w:r>
      <w:r w:rsidRPr="00D23E65">
        <w:rPr>
          <w:rFonts w:ascii="Times New Roman" w:hAnsi="Times New Roman" w:cs="Times New Roman"/>
          <w:color w:val="222222"/>
          <w:sz w:val="24"/>
          <w:szCs w:val="24"/>
          <w:shd w:val="clear" w:color="auto" w:fill="FFFFFF"/>
        </w:rPr>
        <w:t>(3), pp.297-313. Available at:</w:t>
      </w:r>
      <w:r w:rsidRPr="00D23E65">
        <w:rPr>
          <w:rFonts w:ascii="Times New Roman" w:hAnsi="Times New Roman" w:cs="Times New Roman"/>
          <w:sz w:val="24"/>
          <w:szCs w:val="24"/>
        </w:rPr>
        <w:t xml:space="preserve"> </w:t>
      </w:r>
      <w:hyperlink r:id="rId17" w:tooltip="DOI: https://doi.org/10.1108/IJEFM-12-2020-0079" w:history="1">
        <w:r w:rsidRPr="00D23E65">
          <w:rPr>
            <w:rStyle w:val="Hyperlink"/>
            <w:rFonts w:ascii="Times New Roman" w:hAnsi="Times New Roman" w:cs="Times New Roman"/>
            <w:color w:val="00292B"/>
            <w:sz w:val="24"/>
            <w:szCs w:val="24"/>
            <w:shd w:val="clear" w:color="auto" w:fill="FFFFFF"/>
          </w:rPr>
          <w:t>https://doi.org/10.1108/IJEFM-12-2020-0079</w:t>
        </w:r>
      </w:hyperlink>
      <w:r w:rsidRPr="00D23E65">
        <w:rPr>
          <w:rFonts w:ascii="Times New Roman" w:hAnsi="Times New Roman" w:cs="Times New Roman"/>
          <w:sz w:val="24"/>
          <w:szCs w:val="24"/>
        </w:rPr>
        <w:t>.</w:t>
      </w:r>
    </w:p>
    <w:p w14:paraId="5287F444" w14:textId="77777777" w:rsidR="00D23E65" w:rsidRPr="00D23E65" w:rsidRDefault="00D23E65" w:rsidP="00D23E65">
      <w:pPr>
        <w:spacing w:line="360" w:lineRule="auto"/>
        <w:jc w:val="both"/>
        <w:rPr>
          <w:rFonts w:ascii="Times New Roman" w:hAnsi="Times New Roman" w:cs="Times New Roman"/>
          <w:sz w:val="24"/>
          <w:szCs w:val="24"/>
        </w:rPr>
      </w:pPr>
      <w:r w:rsidRPr="00D23E65">
        <w:rPr>
          <w:rFonts w:ascii="Times New Roman" w:hAnsi="Times New Roman" w:cs="Times New Roman"/>
          <w:color w:val="222222"/>
          <w:sz w:val="24"/>
          <w:szCs w:val="24"/>
          <w:shd w:val="clear" w:color="auto" w:fill="FFFFFF"/>
        </w:rPr>
        <w:t>Wickham, M., Donnelly, T. and French, L. (2021) Strategic sustainability management in the event sector. </w:t>
      </w:r>
      <w:r w:rsidRPr="00D23E65">
        <w:rPr>
          <w:rFonts w:ascii="Times New Roman" w:hAnsi="Times New Roman" w:cs="Times New Roman"/>
          <w:i/>
          <w:iCs/>
          <w:color w:val="222222"/>
          <w:sz w:val="24"/>
          <w:szCs w:val="24"/>
          <w:shd w:val="clear" w:color="auto" w:fill="FFFFFF"/>
        </w:rPr>
        <w:t>Event Management</w:t>
      </w:r>
      <w:r w:rsidRPr="00D23E65">
        <w:rPr>
          <w:rFonts w:ascii="Times New Roman" w:hAnsi="Times New Roman" w:cs="Times New Roman"/>
          <w:color w:val="222222"/>
          <w:sz w:val="24"/>
          <w:szCs w:val="24"/>
          <w:shd w:val="clear" w:color="auto" w:fill="FFFFFF"/>
        </w:rPr>
        <w:t>, </w:t>
      </w:r>
      <w:r w:rsidRPr="00D23E65">
        <w:rPr>
          <w:rFonts w:ascii="Times New Roman" w:hAnsi="Times New Roman" w:cs="Times New Roman"/>
          <w:i/>
          <w:iCs/>
          <w:color w:val="222222"/>
          <w:sz w:val="24"/>
          <w:szCs w:val="24"/>
          <w:shd w:val="clear" w:color="auto" w:fill="FFFFFF"/>
        </w:rPr>
        <w:t>25</w:t>
      </w:r>
      <w:r w:rsidRPr="00D23E65">
        <w:rPr>
          <w:rFonts w:ascii="Times New Roman" w:hAnsi="Times New Roman" w:cs="Times New Roman"/>
          <w:color w:val="222222"/>
          <w:sz w:val="24"/>
          <w:szCs w:val="24"/>
          <w:shd w:val="clear" w:color="auto" w:fill="FFFFFF"/>
        </w:rPr>
        <w:t>(3), pp.279-296. Available at:</w:t>
      </w:r>
      <w:r w:rsidRPr="00D23E65">
        <w:rPr>
          <w:rFonts w:ascii="Times New Roman" w:hAnsi="Times New Roman" w:cs="Times New Roman"/>
          <w:sz w:val="24"/>
          <w:szCs w:val="24"/>
        </w:rPr>
        <w:t xml:space="preserve"> </w:t>
      </w:r>
      <w:hyperlink r:id="rId18" w:history="1">
        <w:r w:rsidRPr="00D23E65">
          <w:rPr>
            <w:rStyle w:val="Hyperlink"/>
            <w:rFonts w:ascii="Times New Roman" w:hAnsi="Times New Roman" w:cs="Times New Roman"/>
            <w:sz w:val="24"/>
            <w:szCs w:val="24"/>
            <w:shd w:val="clear" w:color="auto" w:fill="FFFFFF"/>
          </w:rPr>
          <w:t>https://doi.org/10.3727/152599519X15506259856318</w:t>
        </w:r>
      </w:hyperlink>
      <w:r w:rsidRPr="00D23E65">
        <w:rPr>
          <w:rFonts w:ascii="Times New Roman" w:hAnsi="Times New Roman" w:cs="Times New Roman"/>
          <w:sz w:val="24"/>
          <w:szCs w:val="24"/>
        </w:rPr>
        <w:t>.</w:t>
      </w:r>
    </w:p>
    <w:p w14:paraId="44B2BD74" w14:textId="77777777" w:rsidR="00D23E65" w:rsidRPr="00D23E65" w:rsidRDefault="00D23E65" w:rsidP="00D23E65">
      <w:pPr>
        <w:spacing w:line="360" w:lineRule="auto"/>
        <w:jc w:val="both"/>
        <w:rPr>
          <w:rFonts w:ascii="Times New Roman" w:hAnsi="Times New Roman" w:cs="Times New Roman"/>
          <w:sz w:val="24"/>
          <w:szCs w:val="24"/>
        </w:rPr>
      </w:pPr>
      <w:r w:rsidRPr="004A2E70">
        <w:rPr>
          <w:rFonts w:ascii="Times New Roman" w:hAnsi="Times New Roman" w:cs="Times New Roman"/>
          <w:color w:val="222222"/>
          <w:sz w:val="24"/>
          <w:szCs w:val="24"/>
          <w:shd w:val="clear" w:color="auto" w:fill="FFFFFF"/>
        </w:rPr>
        <w:t>Ziakas, V. and Getz, D. (2020). Shaping the event portfolio management field: premises and integration. </w:t>
      </w:r>
      <w:r w:rsidRPr="004A2E70">
        <w:rPr>
          <w:rFonts w:ascii="Times New Roman" w:hAnsi="Times New Roman" w:cs="Times New Roman"/>
          <w:i/>
          <w:iCs/>
          <w:color w:val="222222"/>
          <w:sz w:val="24"/>
          <w:szCs w:val="24"/>
          <w:shd w:val="clear" w:color="auto" w:fill="FFFFFF"/>
        </w:rPr>
        <w:t>International Journal of Contemporary Hospitality Management</w:t>
      </w:r>
      <w:r w:rsidRPr="004A2E70">
        <w:rPr>
          <w:rFonts w:ascii="Times New Roman" w:hAnsi="Times New Roman" w:cs="Times New Roman"/>
          <w:color w:val="222222"/>
          <w:sz w:val="24"/>
          <w:szCs w:val="24"/>
          <w:shd w:val="clear" w:color="auto" w:fill="FFFFFF"/>
        </w:rPr>
        <w:t>, </w:t>
      </w:r>
      <w:r w:rsidRPr="004A2E70">
        <w:rPr>
          <w:rFonts w:ascii="Times New Roman" w:hAnsi="Times New Roman" w:cs="Times New Roman"/>
          <w:i/>
          <w:iCs/>
          <w:color w:val="222222"/>
          <w:sz w:val="24"/>
          <w:szCs w:val="24"/>
          <w:shd w:val="clear" w:color="auto" w:fill="FFFFFF"/>
        </w:rPr>
        <w:t>32</w:t>
      </w:r>
      <w:r w:rsidRPr="004A2E70">
        <w:rPr>
          <w:rFonts w:ascii="Times New Roman" w:hAnsi="Times New Roman" w:cs="Times New Roman"/>
          <w:color w:val="222222"/>
          <w:sz w:val="24"/>
          <w:szCs w:val="24"/>
          <w:shd w:val="clear" w:color="auto" w:fill="FFFFFF"/>
        </w:rPr>
        <w:t xml:space="preserve">(11), pp.3523-3544. Available at: </w:t>
      </w:r>
      <w:hyperlink r:id="rId19" w:tooltip="DOI: https://doi.org/10.1108/IJCHM-05-2020-0486" w:history="1">
        <w:r w:rsidRPr="004A2E70">
          <w:rPr>
            <w:rStyle w:val="Hyperlink"/>
            <w:rFonts w:ascii="Times New Roman" w:hAnsi="Times New Roman" w:cs="Times New Roman"/>
            <w:color w:val="00292B"/>
            <w:sz w:val="24"/>
            <w:szCs w:val="24"/>
            <w:shd w:val="clear" w:color="auto" w:fill="FFFFFF"/>
          </w:rPr>
          <w:t>https://doi.org/10.1108/IJCHM-05-2020-0486</w:t>
        </w:r>
      </w:hyperlink>
      <w:r w:rsidRPr="004A2E70">
        <w:rPr>
          <w:rFonts w:ascii="Times New Roman" w:hAnsi="Times New Roman" w:cs="Times New Roman"/>
          <w:sz w:val="24"/>
          <w:szCs w:val="24"/>
        </w:rPr>
        <w:t>.</w:t>
      </w:r>
    </w:p>
    <w:p w14:paraId="63D4E3AB" w14:textId="3E61334A" w:rsidR="00A5587C" w:rsidRPr="00A5587C" w:rsidRDefault="00A5587C" w:rsidP="00A05BC4">
      <w:pPr>
        <w:spacing w:line="360" w:lineRule="auto"/>
        <w:jc w:val="both"/>
        <w:rPr>
          <w:rFonts w:ascii="Times New Roman" w:hAnsi="Times New Roman" w:cs="Times New Roman"/>
          <w:sz w:val="24"/>
          <w:szCs w:val="24"/>
        </w:rPr>
      </w:pPr>
    </w:p>
    <w:p w14:paraId="44713441" w14:textId="77777777" w:rsidR="001A47C1" w:rsidRPr="00040FA2" w:rsidRDefault="001A47C1" w:rsidP="00040FA2">
      <w:pPr>
        <w:spacing w:line="360" w:lineRule="auto"/>
        <w:jc w:val="both"/>
        <w:rPr>
          <w:rFonts w:ascii="Times New Roman" w:hAnsi="Times New Roman" w:cs="Times New Roman"/>
          <w:sz w:val="24"/>
          <w:szCs w:val="24"/>
        </w:rPr>
      </w:pPr>
    </w:p>
    <w:sectPr w:rsidR="001A47C1" w:rsidRPr="00040FA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BBC549" w14:textId="77777777" w:rsidR="00AE3A09" w:rsidRDefault="00AE3A09" w:rsidP="00040FA2">
      <w:pPr>
        <w:spacing w:after="0" w:line="240" w:lineRule="auto"/>
      </w:pPr>
      <w:r>
        <w:separator/>
      </w:r>
    </w:p>
  </w:endnote>
  <w:endnote w:type="continuationSeparator" w:id="0">
    <w:p w14:paraId="5628330E" w14:textId="77777777" w:rsidR="00AE3A09" w:rsidRDefault="00AE3A09" w:rsidP="00040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3206321"/>
      <w:docPartObj>
        <w:docPartGallery w:val="Page Numbers (Bottom of Page)"/>
        <w:docPartUnique/>
      </w:docPartObj>
    </w:sdtPr>
    <w:sdtEndPr>
      <w:rPr>
        <w:noProof/>
      </w:rPr>
    </w:sdtEndPr>
    <w:sdtContent>
      <w:p w14:paraId="67B9B932" w14:textId="7165C0DC" w:rsidR="00255386" w:rsidRDefault="00255386">
        <w:pPr>
          <w:pStyle w:val="Footer"/>
          <w:jc w:val="center"/>
        </w:pPr>
        <w:r>
          <w:fldChar w:fldCharType="begin"/>
        </w:r>
        <w:r>
          <w:instrText xml:space="preserve"> PAGE   \* MERGEFORMAT </w:instrText>
        </w:r>
        <w:r>
          <w:fldChar w:fldCharType="separate"/>
        </w:r>
        <w:r w:rsidR="009759D2">
          <w:rPr>
            <w:noProof/>
          </w:rPr>
          <w:t>4</w:t>
        </w:r>
        <w:r>
          <w:rPr>
            <w:noProof/>
          </w:rPr>
          <w:fldChar w:fldCharType="end"/>
        </w:r>
      </w:p>
    </w:sdtContent>
  </w:sdt>
  <w:p w14:paraId="5B02B131" w14:textId="77777777" w:rsidR="00255386" w:rsidRDefault="00255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C7B7C5" w14:textId="77777777" w:rsidR="00AE3A09" w:rsidRDefault="00AE3A09" w:rsidP="00040FA2">
      <w:pPr>
        <w:spacing w:after="0" w:line="240" w:lineRule="auto"/>
      </w:pPr>
      <w:r>
        <w:separator/>
      </w:r>
    </w:p>
  </w:footnote>
  <w:footnote w:type="continuationSeparator" w:id="0">
    <w:p w14:paraId="3FF2000D" w14:textId="77777777" w:rsidR="00AE3A09" w:rsidRDefault="00AE3A09" w:rsidP="00040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556085"/>
    <w:multiLevelType w:val="hybridMultilevel"/>
    <w:tmpl w:val="2AB837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DA3BEF"/>
    <w:multiLevelType w:val="hybridMultilevel"/>
    <w:tmpl w:val="EDE02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161809">
    <w:abstractNumId w:val="1"/>
  </w:num>
  <w:num w:numId="2" w16cid:durableId="825899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9C0"/>
    <w:rsid w:val="00001070"/>
    <w:rsid w:val="000116BF"/>
    <w:rsid w:val="00020E7B"/>
    <w:rsid w:val="00040FA2"/>
    <w:rsid w:val="00047D2E"/>
    <w:rsid w:val="000F51EA"/>
    <w:rsid w:val="001147E7"/>
    <w:rsid w:val="00116EC2"/>
    <w:rsid w:val="0012300F"/>
    <w:rsid w:val="00187FC6"/>
    <w:rsid w:val="001943DB"/>
    <w:rsid w:val="001A47C1"/>
    <w:rsid w:val="001E65E0"/>
    <w:rsid w:val="001F3318"/>
    <w:rsid w:val="001F63B3"/>
    <w:rsid w:val="001F7450"/>
    <w:rsid w:val="00215B0B"/>
    <w:rsid w:val="00255386"/>
    <w:rsid w:val="002A7A21"/>
    <w:rsid w:val="002B2606"/>
    <w:rsid w:val="002E58D1"/>
    <w:rsid w:val="00300F89"/>
    <w:rsid w:val="00322A1B"/>
    <w:rsid w:val="00343B6E"/>
    <w:rsid w:val="0037057C"/>
    <w:rsid w:val="003B35B4"/>
    <w:rsid w:val="003B5A4F"/>
    <w:rsid w:val="003B7CE2"/>
    <w:rsid w:val="003F6461"/>
    <w:rsid w:val="00444EDB"/>
    <w:rsid w:val="004452FC"/>
    <w:rsid w:val="004A2E70"/>
    <w:rsid w:val="005433CA"/>
    <w:rsid w:val="00597FC1"/>
    <w:rsid w:val="005A609B"/>
    <w:rsid w:val="0064363A"/>
    <w:rsid w:val="006867A5"/>
    <w:rsid w:val="006A5F8D"/>
    <w:rsid w:val="006D21E7"/>
    <w:rsid w:val="00700A17"/>
    <w:rsid w:val="00756EB0"/>
    <w:rsid w:val="00765762"/>
    <w:rsid w:val="007672AE"/>
    <w:rsid w:val="007E6A89"/>
    <w:rsid w:val="00802C4F"/>
    <w:rsid w:val="00810769"/>
    <w:rsid w:val="008929FF"/>
    <w:rsid w:val="00895B4D"/>
    <w:rsid w:val="008B79DF"/>
    <w:rsid w:val="008F1CC1"/>
    <w:rsid w:val="008F79BC"/>
    <w:rsid w:val="0093037B"/>
    <w:rsid w:val="00965F34"/>
    <w:rsid w:val="009732BA"/>
    <w:rsid w:val="009759D2"/>
    <w:rsid w:val="00983EEB"/>
    <w:rsid w:val="00984922"/>
    <w:rsid w:val="00985BC4"/>
    <w:rsid w:val="009F506C"/>
    <w:rsid w:val="00A05BC4"/>
    <w:rsid w:val="00A130B3"/>
    <w:rsid w:val="00A5587C"/>
    <w:rsid w:val="00A9157B"/>
    <w:rsid w:val="00AA3C8A"/>
    <w:rsid w:val="00AA72C9"/>
    <w:rsid w:val="00AB6B52"/>
    <w:rsid w:val="00AE3A09"/>
    <w:rsid w:val="00B0120F"/>
    <w:rsid w:val="00B07A1A"/>
    <w:rsid w:val="00B104E1"/>
    <w:rsid w:val="00B35A71"/>
    <w:rsid w:val="00B47569"/>
    <w:rsid w:val="00B87427"/>
    <w:rsid w:val="00BD2522"/>
    <w:rsid w:val="00BE7721"/>
    <w:rsid w:val="00C5015D"/>
    <w:rsid w:val="00C70737"/>
    <w:rsid w:val="00C74F97"/>
    <w:rsid w:val="00C840E3"/>
    <w:rsid w:val="00CD44DC"/>
    <w:rsid w:val="00CE6862"/>
    <w:rsid w:val="00D23E65"/>
    <w:rsid w:val="00D25106"/>
    <w:rsid w:val="00D57C37"/>
    <w:rsid w:val="00D7619C"/>
    <w:rsid w:val="00DA7B08"/>
    <w:rsid w:val="00DD117E"/>
    <w:rsid w:val="00DF218A"/>
    <w:rsid w:val="00E249C0"/>
    <w:rsid w:val="00E32F14"/>
    <w:rsid w:val="00F048C8"/>
    <w:rsid w:val="00F07081"/>
    <w:rsid w:val="00F2098E"/>
    <w:rsid w:val="00F36A06"/>
    <w:rsid w:val="00F51D30"/>
    <w:rsid w:val="00F94B7B"/>
    <w:rsid w:val="00FD28F4"/>
    <w:rsid w:val="00FD29C0"/>
    <w:rsid w:val="00FE1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3B2AD1"/>
  <w15:chartTrackingRefBased/>
  <w15:docId w15:val="{247B81E1-0624-4C10-8272-81F9532FA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E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16EC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7C1"/>
    <w:rPr>
      <w:color w:val="0563C1" w:themeColor="hyperlink"/>
      <w:u w:val="single"/>
    </w:rPr>
  </w:style>
  <w:style w:type="character" w:customStyle="1" w:styleId="anchor-text">
    <w:name w:val="anchor-text"/>
    <w:basedOn w:val="DefaultParagraphFont"/>
    <w:rsid w:val="00116EC2"/>
  </w:style>
  <w:style w:type="character" w:customStyle="1" w:styleId="Heading1Char">
    <w:name w:val="Heading 1 Char"/>
    <w:basedOn w:val="DefaultParagraphFont"/>
    <w:link w:val="Heading1"/>
    <w:uiPriority w:val="9"/>
    <w:rsid w:val="00116EC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16EC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16EC2"/>
    <w:pPr>
      <w:outlineLvl w:val="9"/>
    </w:pPr>
    <w:rPr>
      <w:lang w:val="en-US"/>
    </w:rPr>
  </w:style>
  <w:style w:type="paragraph" w:styleId="TOC1">
    <w:name w:val="toc 1"/>
    <w:basedOn w:val="Normal"/>
    <w:next w:val="Normal"/>
    <w:autoRedefine/>
    <w:uiPriority w:val="39"/>
    <w:unhideWhenUsed/>
    <w:rsid w:val="00116EC2"/>
    <w:pPr>
      <w:spacing w:after="100"/>
    </w:pPr>
  </w:style>
  <w:style w:type="paragraph" w:styleId="TOC2">
    <w:name w:val="toc 2"/>
    <w:basedOn w:val="Normal"/>
    <w:next w:val="Normal"/>
    <w:autoRedefine/>
    <w:uiPriority w:val="39"/>
    <w:unhideWhenUsed/>
    <w:rsid w:val="00116EC2"/>
    <w:pPr>
      <w:spacing w:after="100"/>
      <w:ind w:left="220"/>
    </w:pPr>
  </w:style>
  <w:style w:type="paragraph" w:styleId="Title">
    <w:name w:val="Title"/>
    <w:basedOn w:val="Normal"/>
    <w:next w:val="Normal"/>
    <w:link w:val="TitleChar"/>
    <w:uiPriority w:val="10"/>
    <w:qFormat/>
    <w:rsid w:val="00040FA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FA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40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FA2"/>
  </w:style>
  <w:style w:type="paragraph" w:styleId="Footer">
    <w:name w:val="footer"/>
    <w:basedOn w:val="Normal"/>
    <w:link w:val="FooterChar"/>
    <w:uiPriority w:val="99"/>
    <w:unhideWhenUsed/>
    <w:rsid w:val="00040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FA2"/>
  </w:style>
  <w:style w:type="paragraph" w:styleId="NormalWeb">
    <w:name w:val="Normal (Web)"/>
    <w:basedOn w:val="Normal"/>
    <w:uiPriority w:val="99"/>
    <w:unhideWhenUsed/>
    <w:rsid w:val="00D761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7619C"/>
    <w:rPr>
      <w:b/>
      <w:bCs/>
    </w:rPr>
  </w:style>
  <w:style w:type="character" w:customStyle="1" w:styleId="text-with-replacments">
    <w:name w:val="text-with-replacments"/>
    <w:basedOn w:val="DefaultParagraphFont"/>
    <w:rsid w:val="00D7619C"/>
  </w:style>
  <w:style w:type="paragraph" w:styleId="Caption">
    <w:name w:val="caption"/>
    <w:basedOn w:val="Normal"/>
    <w:next w:val="Normal"/>
    <w:uiPriority w:val="35"/>
    <w:unhideWhenUsed/>
    <w:qFormat/>
    <w:rsid w:val="0064363A"/>
    <w:pPr>
      <w:spacing w:after="200" w:line="240" w:lineRule="auto"/>
    </w:pPr>
    <w:rPr>
      <w:i/>
      <w:iCs/>
      <w:color w:val="44546A" w:themeColor="text2"/>
      <w:sz w:val="18"/>
      <w:szCs w:val="18"/>
    </w:rPr>
  </w:style>
  <w:style w:type="paragraph" w:styleId="ListParagraph">
    <w:name w:val="List Paragraph"/>
    <w:basedOn w:val="Normal"/>
    <w:uiPriority w:val="34"/>
    <w:qFormat/>
    <w:rsid w:val="00A05BC4"/>
    <w:pPr>
      <w:ind w:left="720"/>
      <w:contextualSpacing/>
    </w:pPr>
  </w:style>
  <w:style w:type="paragraph" w:styleId="TableofFigures">
    <w:name w:val="table of figures"/>
    <w:basedOn w:val="Normal"/>
    <w:next w:val="Normal"/>
    <w:uiPriority w:val="99"/>
    <w:unhideWhenUsed/>
    <w:rsid w:val="00D23E6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46037">
      <w:bodyDiv w:val="1"/>
      <w:marLeft w:val="0"/>
      <w:marRight w:val="0"/>
      <w:marTop w:val="0"/>
      <w:marBottom w:val="0"/>
      <w:divBdr>
        <w:top w:val="none" w:sz="0" w:space="0" w:color="auto"/>
        <w:left w:val="none" w:sz="0" w:space="0" w:color="auto"/>
        <w:bottom w:val="none" w:sz="0" w:space="0" w:color="auto"/>
        <w:right w:val="none" w:sz="0" w:space="0" w:color="auto"/>
      </w:divBdr>
    </w:div>
    <w:div w:id="30031634">
      <w:bodyDiv w:val="1"/>
      <w:marLeft w:val="0"/>
      <w:marRight w:val="0"/>
      <w:marTop w:val="0"/>
      <w:marBottom w:val="0"/>
      <w:divBdr>
        <w:top w:val="none" w:sz="0" w:space="0" w:color="auto"/>
        <w:left w:val="none" w:sz="0" w:space="0" w:color="auto"/>
        <w:bottom w:val="none" w:sz="0" w:space="0" w:color="auto"/>
        <w:right w:val="none" w:sz="0" w:space="0" w:color="auto"/>
      </w:divBdr>
    </w:div>
    <w:div w:id="266239034">
      <w:bodyDiv w:val="1"/>
      <w:marLeft w:val="0"/>
      <w:marRight w:val="0"/>
      <w:marTop w:val="0"/>
      <w:marBottom w:val="0"/>
      <w:divBdr>
        <w:top w:val="none" w:sz="0" w:space="0" w:color="auto"/>
        <w:left w:val="none" w:sz="0" w:space="0" w:color="auto"/>
        <w:bottom w:val="none" w:sz="0" w:space="0" w:color="auto"/>
        <w:right w:val="none" w:sz="0" w:space="0" w:color="auto"/>
      </w:divBdr>
      <w:divsChild>
        <w:div w:id="855457499">
          <w:marLeft w:val="0"/>
          <w:marRight w:val="0"/>
          <w:marTop w:val="0"/>
          <w:marBottom w:val="0"/>
          <w:divBdr>
            <w:top w:val="single" w:sz="6" w:space="0" w:color="auto"/>
            <w:left w:val="single" w:sz="6" w:space="0" w:color="auto"/>
            <w:bottom w:val="single" w:sz="6" w:space="0" w:color="auto"/>
            <w:right w:val="single" w:sz="6" w:space="0" w:color="auto"/>
          </w:divBdr>
        </w:div>
      </w:divsChild>
    </w:div>
    <w:div w:id="275068016">
      <w:bodyDiv w:val="1"/>
      <w:marLeft w:val="0"/>
      <w:marRight w:val="0"/>
      <w:marTop w:val="0"/>
      <w:marBottom w:val="0"/>
      <w:divBdr>
        <w:top w:val="none" w:sz="0" w:space="0" w:color="auto"/>
        <w:left w:val="none" w:sz="0" w:space="0" w:color="auto"/>
        <w:bottom w:val="none" w:sz="0" w:space="0" w:color="auto"/>
        <w:right w:val="none" w:sz="0" w:space="0" w:color="auto"/>
      </w:divBdr>
      <w:divsChild>
        <w:div w:id="224492968">
          <w:marLeft w:val="0"/>
          <w:marRight w:val="0"/>
          <w:marTop w:val="0"/>
          <w:marBottom w:val="0"/>
          <w:divBdr>
            <w:top w:val="single" w:sz="6" w:space="0" w:color="auto"/>
            <w:left w:val="single" w:sz="6" w:space="0" w:color="auto"/>
            <w:bottom w:val="single" w:sz="6" w:space="0" w:color="auto"/>
            <w:right w:val="single" w:sz="6" w:space="0" w:color="auto"/>
          </w:divBdr>
        </w:div>
      </w:divsChild>
    </w:div>
    <w:div w:id="421799947">
      <w:bodyDiv w:val="1"/>
      <w:marLeft w:val="0"/>
      <w:marRight w:val="0"/>
      <w:marTop w:val="0"/>
      <w:marBottom w:val="0"/>
      <w:divBdr>
        <w:top w:val="none" w:sz="0" w:space="0" w:color="auto"/>
        <w:left w:val="none" w:sz="0" w:space="0" w:color="auto"/>
        <w:bottom w:val="none" w:sz="0" w:space="0" w:color="auto"/>
        <w:right w:val="none" w:sz="0" w:space="0" w:color="auto"/>
      </w:divBdr>
    </w:div>
    <w:div w:id="475487016">
      <w:bodyDiv w:val="1"/>
      <w:marLeft w:val="0"/>
      <w:marRight w:val="0"/>
      <w:marTop w:val="0"/>
      <w:marBottom w:val="0"/>
      <w:divBdr>
        <w:top w:val="none" w:sz="0" w:space="0" w:color="auto"/>
        <w:left w:val="none" w:sz="0" w:space="0" w:color="auto"/>
        <w:bottom w:val="none" w:sz="0" w:space="0" w:color="auto"/>
        <w:right w:val="none" w:sz="0" w:space="0" w:color="auto"/>
      </w:divBdr>
    </w:div>
    <w:div w:id="793673341">
      <w:bodyDiv w:val="1"/>
      <w:marLeft w:val="0"/>
      <w:marRight w:val="0"/>
      <w:marTop w:val="0"/>
      <w:marBottom w:val="0"/>
      <w:divBdr>
        <w:top w:val="none" w:sz="0" w:space="0" w:color="auto"/>
        <w:left w:val="none" w:sz="0" w:space="0" w:color="auto"/>
        <w:bottom w:val="none" w:sz="0" w:space="0" w:color="auto"/>
        <w:right w:val="none" w:sz="0" w:space="0" w:color="auto"/>
      </w:divBdr>
      <w:divsChild>
        <w:div w:id="806119772">
          <w:marLeft w:val="0"/>
          <w:marRight w:val="0"/>
          <w:marTop w:val="0"/>
          <w:marBottom w:val="0"/>
          <w:divBdr>
            <w:top w:val="single" w:sz="6" w:space="0" w:color="auto"/>
            <w:left w:val="single" w:sz="6" w:space="0" w:color="auto"/>
            <w:bottom w:val="single" w:sz="6" w:space="0" w:color="auto"/>
            <w:right w:val="single" w:sz="6" w:space="0" w:color="auto"/>
          </w:divBdr>
        </w:div>
      </w:divsChild>
    </w:div>
    <w:div w:id="825173545">
      <w:bodyDiv w:val="1"/>
      <w:marLeft w:val="0"/>
      <w:marRight w:val="0"/>
      <w:marTop w:val="0"/>
      <w:marBottom w:val="0"/>
      <w:divBdr>
        <w:top w:val="none" w:sz="0" w:space="0" w:color="auto"/>
        <w:left w:val="none" w:sz="0" w:space="0" w:color="auto"/>
        <w:bottom w:val="none" w:sz="0" w:space="0" w:color="auto"/>
        <w:right w:val="none" w:sz="0" w:space="0" w:color="auto"/>
      </w:divBdr>
    </w:div>
    <w:div w:id="826551424">
      <w:bodyDiv w:val="1"/>
      <w:marLeft w:val="0"/>
      <w:marRight w:val="0"/>
      <w:marTop w:val="0"/>
      <w:marBottom w:val="0"/>
      <w:divBdr>
        <w:top w:val="none" w:sz="0" w:space="0" w:color="auto"/>
        <w:left w:val="none" w:sz="0" w:space="0" w:color="auto"/>
        <w:bottom w:val="none" w:sz="0" w:space="0" w:color="auto"/>
        <w:right w:val="none" w:sz="0" w:space="0" w:color="auto"/>
      </w:divBdr>
    </w:div>
    <w:div w:id="859272002">
      <w:bodyDiv w:val="1"/>
      <w:marLeft w:val="0"/>
      <w:marRight w:val="0"/>
      <w:marTop w:val="0"/>
      <w:marBottom w:val="0"/>
      <w:divBdr>
        <w:top w:val="none" w:sz="0" w:space="0" w:color="auto"/>
        <w:left w:val="none" w:sz="0" w:space="0" w:color="auto"/>
        <w:bottom w:val="none" w:sz="0" w:space="0" w:color="auto"/>
        <w:right w:val="none" w:sz="0" w:space="0" w:color="auto"/>
      </w:divBdr>
      <w:divsChild>
        <w:div w:id="2143502372">
          <w:marLeft w:val="0"/>
          <w:marRight w:val="0"/>
          <w:marTop w:val="0"/>
          <w:marBottom w:val="0"/>
          <w:divBdr>
            <w:top w:val="single" w:sz="6" w:space="0" w:color="auto"/>
            <w:left w:val="single" w:sz="6" w:space="0" w:color="auto"/>
            <w:bottom w:val="single" w:sz="6" w:space="0" w:color="auto"/>
            <w:right w:val="single" w:sz="6" w:space="0" w:color="auto"/>
          </w:divBdr>
        </w:div>
      </w:divsChild>
    </w:div>
    <w:div w:id="894313019">
      <w:bodyDiv w:val="1"/>
      <w:marLeft w:val="0"/>
      <w:marRight w:val="0"/>
      <w:marTop w:val="0"/>
      <w:marBottom w:val="0"/>
      <w:divBdr>
        <w:top w:val="none" w:sz="0" w:space="0" w:color="auto"/>
        <w:left w:val="none" w:sz="0" w:space="0" w:color="auto"/>
        <w:bottom w:val="none" w:sz="0" w:space="0" w:color="auto"/>
        <w:right w:val="none" w:sz="0" w:space="0" w:color="auto"/>
      </w:divBdr>
    </w:div>
    <w:div w:id="986742158">
      <w:bodyDiv w:val="1"/>
      <w:marLeft w:val="0"/>
      <w:marRight w:val="0"/>
      <w:marTop w:val="0"/>
      <w:marBottom w:val="0"/>
      <w:divBdr>
        <w:top w:val="none" w:sz="0" w:space="0" w:color="auto"/>
        <w:left w:val="none" w:sz="0" w:space="0" w:color="auto"/>
        <w:bottom w:val="none" w:sz="0" w:space="0" w:color="auto"/>
        <w:right w:val="none" w:sz="0" w:space="0" w:color="auto"/>
      </w:divBdr>
    </w:div>
    <w:div w:id="1058434279">
      <w:bodyDiv w:val="1"/>
      <w:marLeft w:val="0"/>
      <w:marRight w:val="0"/>
      <w:marTop w:val="0"/>
      <w:marBottom w:val="0"/>
      <w:divBdr>
        <w:top w:val="none" w:sz="0" w:space="0" w:color="auto"/>
        <w:left w:val="none" w:sz="0" w:space="0" w:color="auto"/>
        <w:bottom w:val="none" w:sz="0" w:space="0" w:color="auto"/>
        <w:right w:val="none" w:sz="0" w:space="0" w:color="auto"/>
      </w:divBdr>
    </w:div>
    <w:div w:id="1099570975">
      <w:bodyDiv w:val="1"/>
      <w:marLeft w:val="0"/>
      <w:marRight w:val="0"/>
      <w:marTop w:val="0"/>
      <w:marBottom w:val="0"/>
      <w:divBdr>
        <w:top w:val="none" w:sz="0" w:space="0" w:color="auto"/>
        <w:left w:val="none" w:sz="0" w:space="0" w:color="auto"/>
        <w:bottom w:val="none" w:sz="0" w:space="0" w:color="auto"/>
        <w:right w:val="none" w:sz="0" w:space="0" w:color="auto"/>
      </w:divBdr>
    </w:div>
    <w:div w:id="1103261193">
      <w:bodyDiv w:val="1"/>
      <w:marLeft w:val="0"/>
      <w:marRight w:val="0"/>
      <w:marTop w:val="0"/>
      <w:marBottom w:val="0"/>
      <w:divBdr>
        <w:top w:val="none" w:sz="0" w:space="0" w:color="auto"/>
        <w:left w:val="none" w:sz="0" w:space="0" w:color="auto"/>
        <w:bottom w:val="none" w:sz="0" w:space="0" w:color="auto"/>
        <w:right w:val="none" w:sz="0" w:space="0" w:color="auto"/>
      </w:divBdr>
    </w:div>
    <w:div w:id="1150516204">
      <w:bodyDiv w:val="1"/>
      <w:marLeft w:val="0"/>
      <w:marRight w:val="0"/>
      <w:marTop w:val="0"/>
      <w:marBottom w:val="0"/>
      <w:divBdr>
        <w:top w:val="none" w:sz="0" w:space="0" w:color="auto"/>
        <w:left w:val="none" w:sz="0" w:space="0" w:color="auto"/>
        <w:bottom w:val="none" w:sz="0" w:space="0" w:color="auto"/>
        <w:right w:val="none" w:sz="0" w:space="0" w:color="auto"/>
      </w:divBdr>
    </w:div>
    <w:div w:id="1260261585">
      <w:bodyDiv w:val="1"/>
      <w:marLeft w:val="0"/>
      <w:marRight w:val="0"/>
      <w:marTop w:val="0"/>
      <w:marBottom w:val="0"/>
      <w:divBdr>
        <w:top w:val="none" w:sz="0" w:space="0" w:color="auto"/>
        <w:left w:val="none" w:sz="0" w:space="0" w:color="auto"/>
        <w:bottom w:val="none" w:sz="0" w:space="0" w:color="auto"/>
        <w:right w:val="none" w:sz="0" w:space="0" w:color="auto"/>
      </w:divBdr>
    </w:div>
    <w:div w:id="1270165345">
      <w:bodyDiv w:val="1"/>
      <w:marLeft w:val="0"/>
      <w:marRight w:val="0"/>
      <w:marTop w:val="0"/>
      <w:marBottom w:val="0"/>
      <w:divBdr>
        <w:top w:val="none" w:sz="0" w:space="0" w:color="auto"/>
        <w:left w:val="none" w:sz="0" w:space="0" w:color="auto"/>
        <w:bottom w:val="none" w:sz="0" w:space="0" w:color="auto"/>
        <w:right w:val="none" w:sz="0" w:space="0" w:color="auto"/>
      </w:divBdr>
    </w:div>
    <w:div w:id="1271202776">
      <w:bodyDiv w:val="1"/>
      <w:marLeft w:val="0"/>
      <w:marRight w:val="0"/>
      <w:marTop w:val="0"/>
      <w:marBottom w:val="0"/>
      <w:divBdr>
        <w:top w:val="none" w:sz="0" w:space="0" w:color="auto"/>
        <w:left w:val="none" w:sz="0" w:space="0" w:color="auto"/>
        <w:bottom w:val="none" w:sz="0" w:space="0" w:color="auto"/>
        <w:right w:val="none" w:sz="0" w:space="0" w:color="auto"/>
      </w:divBdr>
    </w:div>
    <w:div w:id="1336541972">
      <w:bodyDiv w:val="1"/>
      <w:marLeft w:val="0"/>
      <w:marRight w:val="0"/>
      <w:marTop w:val="0"/>
      <w:marBottom w:val="0"/>
      <w:divBdr>
        <w:top w:val="none" w:sz="0" w:space="0" w:color="auto"/>
        <w:left w:val="none" w:sz="0" w:space="0" w:color="auto"/>
        <w:bottom w:val="none" w:sz="0" w:space="0" w:color="auto"/>
        <w:right w:val="none" w:sz="0" w:space="0" w:color="auto"/>
      </w:divBdr>
    </w:div>
    <w:div w:id="1660839529">
      <w:bodyDiv w:val="1"/>
      <w:marLeft w:val="0"/>
      <w:marRight w:val="0"/>
      <w:marTop w:val="0"/>
      <w:marBottom w:val="0"/>
      <w:divBdr>
        <w:top w:val="none" w:sz="0" w:space="0" w:color="auto"/>
        <w:left w:val="none" w:sz="0" w:space="0" w:color="auto"/>
        <w:bottom w:val="none" w:sz="0" w:space="0" w:color="auto"/>
        <w:right w:val="none" w:sz="0" w:space="0" w:color="auto"/>
      </w:divBdr>
    </w:div>
    <w:div w:id="1683975770">
      <w:bodyDiv w:val="1"/>
      <w:marLeft w:val="0"/>
      <w:marRight w:val="0"/>
      <w:marTop w:val="0"/>
      <w:marBottom w:val="0"/>
      <w:divBdr>
        <w:top w:val="none" w:sz="0" w:space="0" w:color="auto"/>
        <w:left w:val="none" w:sz="0" w:space="0" w:color="auto"/>
        <w:bottom w:val="none" w:sz="0" w:space="0" w:color="auto"/>
        <w:right w:val="none" w:sz="0" w:space="0" w:color="auto"/>
      </w:divBdr>
    </w:div>
    <w:div w:id="1740130452">
      <w:bodyDiv w:val="1"/>
      <w:marLeft w:val="0"/>
      <w:marRight w:val="0"/>
      <w:marTop w:val="0"/>
      <w:marBottom w:val="0"/>
      <w:divBdr>
        <w:top w:val="none" w:sz="0" w:space="0" w:color="auto"/>
        <w:left w:val="none" w:sz="0" w:space="0" w:color="auto"/>
        <w:bottom w:val="none" w:sz="0" w:space="0" w:color="auto"/>
        <w:right w:val="none" w:sz="0" w:space="0" w:color="auto"/>
      </w:divBdr>
    </w:div>
    <w:div w:id="1772778723">
      <w:bodyDiv w:val="1"/>
      <w:marLeft w:val="0"/>
      <w:marRight w:val="0"/>
      <w:marTop w:val="0"/>
      <w:marBottom w:val="0"/>
      <w:divBdr>
        <w:top w:val="none" w:sz="0" w:space="0" w:color="auto"/>
        <w:left w:val="none" w:sz="0" w:space="0" w:color="auto"/>
        <w:bottom w:val="none" w:sz="0" w:space="0" w:color="auto"/>
        <w:right w:val="none" w:sz="0" w:space="0" w:color="auto"/>
      </w:divBdr>
    </w:div>
    <w:div w:id="1932002975">
      <w:bodyDiv w:val="1"/>
      <w:marLeft w:val="0"/>
      <w:marRight w:val="0"/>
      <w:marTop w:val="0"/>
      <w:marBottom w:val="0"/>
      <w:divBdr>
        <w:top w:val="none" w:sz="0" w:space="0" w:color="auto"/>
        <w:left w:val="none" w:sz="0" w:space="0" w:color="auto"/>
        <w:bottom w:val="none" w:sz="0" w:space="0" w:color="auto"/>
        <w:right w:val="none" w:sz="0" w:space="0" w:color="auto"/>
      </w:divBdr>
    </w:div>
    <w:div w:id="1962762630">
      <w:bodyDiv w:val="1"/>
      <w:marLeft w:val="0"/>
      <w:marRight w:val="0"/>
      <w:marTop w:val="0"/>
      <w:marBottom w:val="0"/>
      <w:divBdr>
        <w:top w:val="none" w:sz="0" w:space="0" w:color="auto"/>
        <w:left w:val="none" w:sz="0" w:space="0" w:color="auto"/>
        <w:bottom w:val="none" w:sz="0" w:space="0" w:color="auto"/>
        <w:right w:val="none" w:sz="0" w:space="0" w:color="auto"/>
      </w:divBdr>
    </w:div>
    <w:div w:id="2038040058">
      <w:bodyDiv w:val="1"/>
      <w:marLeft w:val="0"/>
      <w:marRight w:val="0"/>
      <w:marTop w:val="0"/>
      <w:marBottom w:val="0"/>
      <w:divBdr>
        <w:top w:val="none" w:sz="0" w:space="0" w:color="auto"/>
        <w:left w:val="none" w:sz="0" w:space="0" w:color="auto"/>
        <w:bottom w:val="none" w:sz="0" w:space="0" w:color="auto"/>
        <w:right w:val="none" w:sz="0" w:space="0" w:color="auto"/>
      </w:divBdr>
      <w:divsChild>
        <w:div w:id="494036592">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hm.2019.102371" TargetMode="External"/><Relationship Id="rId18" Type="http://schemas.openxmlformats.org/officeDocument/2006/relationships/hyperlink" Target="https://doi.org/10.3727/152599519X15506259856318"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504/IJDCET.2021.116475" TargetMode="External"/><Relationship Id="rId17" Type="http://schemas.openxmlformats.org/officeDocument/2006/relationships/hyperlink" Target="https://doi.org/10.1108/IJEFM-12-2020-0079" TargetMode="External"/><Relationship Id="rId2" Type="http://schemas.openxmlformats.org/officeDocument/2006/relationships/numbering" Target="numbering.xml"/><Relationship Id="rId16" Type="http://schemas.openxmlformats.org/officeDocument/2006/relationships/hyperlink" Target="https://doi.org/10.1108/IJCHM-03-2022-037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281/zenodo.7791195" TargetMode="External"/><Relationship Id="rId5" Type="http://schemas.openxmlformats.org/officeDocument/2006/relationships/webSettings" Target="webSettings.xml"/><Relationship Id="rId15" Type="http://schemas.openxmlformats.org/officeDocument/2006/relationships/hyperlink" Target="https://doi.org/10.3390/su15032736" TargetMode="External"/><Relationship Id="rId10" Type="http://schemas.openxmlformats.org/officeDocument/2006/relationships/hyperlink" Target="https://doi.org/10.1108/EMJB-11-2023-0310" TargetMode="External"/><Relationship Id="rId19" Type="http://schemas.openxmlformats.org/officeDocument/2006/relationships/hyperlink" Target="https://doi.org/10.1108/IJCHM-05-2020-0486" TargetMode="External"/><Relationship Id="rId4" Type="http://schemas.openxmlformats.org/officeDocument/2006/relationships/settings" Target="settings.xml"/><Relationship Id="rId9" Type="http://schemas.openxmlformats.org/officeDocument/2006/relationships/hyperlink" Target="https://doi.org/10.1080/19407963.2022.2128810" TargetMode="External"/><Relationship Id="rId14" Type="http://schemas.openxmlformats.org/officeDocument/2006/relationships/hyperlink" Target="https://doi.org/10.18060/2290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07B71-E315-497C-B2CF-785AB9742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4592</Words>
  <Characters>26178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Lavinia-Mariana Apostol (2131344)</cp:lastModifiedBy>
  <cp:revision>2</cp:revision>
  <dcterms:created xsi:type="dcterms:W3CDTF">2024-05-30T07:31:00Z</dcterms:created>
  <dcterms:modified xsi:type="dcterms:W3CDTF">2024-05-30T07:31:00Z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bdd183f8-b36e-4212-80f9-c4b2d3eb4746</vt:lpwstr>
  </property>
</Properties>
</file>