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D0BAA" w14:textId="565A563D" w:rsidR="00487B27" w:rsidRDefault="00D555A6" w:rsidP="00D555A6">
      <w:pPr>
        <w:jc w:val="center"/>
        <w:rPr>
          <w:rFonts w:ascii="Aparajita" w:hAnsi="Aparajita" w:cs="Aparajita"/>
          <w:b/>
          <w:bCs/>
          <w:sz w:val="40"/>
          <w:szCs w:val="40"/>
          <w:u w:val="single"/>
        </w:rPr>
      </w:pPr>
      <w:r w:rsidRPr="00D555A6">
        <w:rPr>
          <w:rFonts w:ascii="Aparajita" w:hAnsi="Aparajita" w:cs="Aparajita"/>
          <w:b/>
          <w:bCs/>
          <w:sz w:val="40"/>
          <w:szCs w:val="40"/>
          <w:u w:val="single"/>
        </w:rPr>
        <w:t>Bracketing in IPA</w:t>
      </w:r>
    </w:p>
    <w:p w14:paraId="24E0E305" w14:textId="77777777" w:rsidR="00D555A6" w:rsidRDefault="00D555A6">
      <w:pPr>
        <w:rPr>
          <w:rFonts w:ascii="Arial" w:hAnsi="Arial" w:cs="Arial"/>
          <w:sz w:val="24"/>
          <w:szCs w:val="24"/>
        </w:rPr>
      </w:pPr>
      <w:r w:rsidRPr="00D555A6">
        <w:rPr>
          <w:rFonts w:ascii="Arial" w:hAnsi="Arial" w:cs="Arial"/>
          <w:sz w:val="24"/>
          <w:szCs w:val="24"/>
        </w:rPr>
        <w:t>This is how I explained the process of bracketing and moving around the hermeneutic circle, through the words of Jonathan Smith</w:t>
      </w:r>
      <w:r>
        <w:rPr>
          <w:rFonts w:ascii="Arial" w:hAnsi="Arial" w:cs="Arial"/>
          <w:sz w:val="24"/>
          <w:szCs w:val="24"/>
        </w:rPr>
        <w:t>.</w:t>
      </w:r>
    </w:p>
    <w:p w14:paraId="4821C650" w14:textId="77777777" w:rsidR="00D555A6" w:rsidRDefault="00D555A6">
      <w:pPr>
        <w:rPr>
          <w:rFonts w:ascii="Arial" w:hAnsi="Arial" w:cs="Arial"/>
          <w:sz w:val="24"/>
          <w:szCs w:val="24"/>
        </w:rPr>
      </w:pPr>
    </w:p>
    <w:p w14:paraId="2CAB91DD" w14:textId="1BD503B5" w:rsidR="00D555A6" w:rsidRDefault="00D555A6">
      <w:pPr>
        <w:rPr>
          <w:rFonts w:ascii="Arial" w:hAnsi="Arial" w:cs="Arial"/>
          <w:sz w:val="24"/>
          <w:szCs w:val="24"/>
        </w:rPr>
      </w:pPr>
      <w:r>
        <w:rPr>
          <w:rFonts w:ascii="Arial" w:hAnsi="Arial" w:cs="Arial"/>
          <w:sz w:val="24"/>
          <w:szCs w:val="24"/>
        </w:rPr>
        <w:t>We can discuss this at our lesson on Tuesday</w:t>
      </w:r>
      <w:r w:rsidRPr="00D555A6">
        <w:rPr>
          <w:rFonts w:ascii="Arial" w:hAnsi="Arial" w:cs="Arial"/>
          <w:sz w:val="24"/>
          <w:szCs w:val="24"/>
        </w:rPr>
        <w:t>:</w:t>
      </w:r>
    </w:p>
    <w:p w14:paraId="55FBE7D5" w14:textId="77777777" w:rsidR="00D555A6" w:rsidRPr="00D555A6" w:rsidRDefault="00D555A6">
      <w:pPr>
        <w:rPr>
          <w:rFonts w:ascii="Arial" w:hAnsi="Arial" w:cs="Arial"/>
          <w:sz w:val="24"/>
          <w:szCs w:val="24"/>
        </w:rPr>
      </w:pPr>
    </w:p>
    <w:p w14:paraId="5BCEF41E" w14:textId="77777777" w:rsidR="00D555A6" w:rsidRPr="00A4479B" w:rsidRDefault="00D555A6" w:rsidP="00D555A6">
      <w:pPr>
        <w:spacing w:after="0" w:line="360" w:lineRule="auto"/>
        <w:ind w:left="567" w:right="-613"/>
        <w:rPr>
          <w:rFonts w:ascii="Times New Roman" w:hAnsi="Times New Roman"/>
          <w:sz w:val="24"/>
          <w:szCs w:val="24"/>
        </w:rPr>
      </w:pPr>
      <w:r w:rsidRPr="00A4479B">
        <w:rPr>
          <w:rFonts w:ascii="Times New Roman" w:hAnsi="Times New Roman"/>
          <w:sz w:val="24"/>
          <w:szCs w:val="24"/>
          <w:lang w:eastAsia="en-GB"/>
        </w:rPr>
        <w:t>I found parity with words from Smith (2007, p.6) who</w:t>
      </w:r>
      <w:r w:rsidRPr="00A4479B">
        <w:rPr>
          <w:rFonts w:ascii="Times New Roman" w:hAnsi="Times New Roman"/>
          <w:sz w:val="24"/>
          <w:szCs w:val="24"/>
        </w:rPr>
        <w:t xml:space="preserve"> summed up well my processing as I embarked upon this phase of research, with my journal recording how I was starting the pre-research period confident in my knowledge and expertise, or, as Smith eloquently describes:</w:t>
      </w:r>
    </w:p>
    <w:p w14:paraId="2D780056" w14:textId="77777777" w:rsidR="00D555A6" w:rsidRPr="00A4479B" w:rsidRDefault="00D555A6" w:rsidP="00D555A6">
      <w:pPr>
        <w:spacing w:after="0" w:line="360" w:lineRule="auto"/>
        <w:ind w:left="426" w:right="-22"/>
        <w:rPr>
          <w:rFonts w:ascii="Times New Roman" w:hAnsi="Times New Roman"/>
          <w:sz w:val="24"/>
          <w:szCs w:val="24"/>
        </w:rPr>
      </w:pPr>
    </w:p>
    <w:p w14:paraId="6FB1AA1F" w14:textId="77777777" w:rsidR="00D555A6" w:rsidRPr="00A4479B" w:rsidRDefault="00D555A6" w:rsidP="00D555A6">
      <w:pPr>
        <w:spacing w:after="200" w:line="240" w:lineRule="auto"/>
        <w:ind w:left="851" w:right="1088"/>
        <w:rPr>
          <w:rFonts w:ascii="Times New Roman" w:hAnsi="Times New Roman"/>
          <w:sz w:val="24"/>
          <w:szCs w:val="24"/>
        </w:rPr>
      </w:pPr>
      <w:r w:rsidRPr="00A4479B">
        <w:rPr>
          <w:rFonts w:ascii="Times New Roman" w:hAnsi="Times New Roman"/>
          <w:sz w:val="24"/>
          <w:szCs w:val="24"/>
        </w:rPr>
        <w:t>“</w:t>
      </w:r>
      <w:proofErr w:type="gramStart"/>
      <w:r w:rsidRPr="00A4479B">
        <w:rPr>
          <w:rFonts w:ascii="Times New Roman" w:hAnsi="Times New Roman"/>
          <w:sz w:val="24"/>
          <w:szCs w:val="24"/>
        </w:rPr>
        <w:t>....I</w:t>
      </w:r>
      <w:proofErr w:type="gramEnd"/>
      <w:r w:rsidRPr="00A4479B">
        <w:rPr>
          <w:rFonts w:ascii="Times New Roman" w:hAnsi="Times New Roman"/>
          <w:sz w:val="24"/>
          <w:szCs w:val="24"/>
        </w:rPr>
        <w:t xml:space="preserve"> start where I am at one point on the circle, caught up in my concerns, influenced by my pre-conceptions, shaped by my experience and expertise....”</w:t>
      </w:r>
    </w:p>
    <w:p w14:paraId="0DD86106" w14:textId="77777777" w:rsidR="00D555A6" w:rsidRPr="00A4479B" w:rsidRDefault="00D555A6" w:rsidP="00D555A6">
      <w:pPr>
        <w:spacing w:after="200" w:line="360" w:lineRule="auto"/>
        <w:ind w:left="567" w:right="-613"/>
        <w:rPr>
          <w:rFonts w:ascii="Times New Roman" w:hAnsi="Times New Roman"/>
          <w:sz w:val="24"/>
          <w:szCs w:val="24"/>
        </w:rPr>
      </w:pPr>
      <w:r w:rsidRPr="00A4479B">
        <w:rPr>
          <w:rFonts w:ascii="Times New Roman" w:hAnsi="Times New Roman"/>
          <w:sz w:val="24"/>
          <w:szCs w:val="24"/>
        </w:rPr>
        <w:t xml:space="preserve">As I started my reflective journal, entries show how I was acknowledging, understanding, and both questioning and positioning my predispositions, as:   </w:t>
      </w:r>
    </w:p>
    <w:p w14:paraId="410EDD19" w14:textId="77777777" w:rsidR="00D555A6" w:rsidRPr="00A4479B" w:rsidRDefault="00D555A6" w:rsidP="00D555A6">
      <w:pPr>
        <w:spacing w:after="200" w:line="240" w:lineRule="auto"/>
        <w:ind w:left="851" w:right="1371"/>
        <w:rPr>
          <w:rFonts w:ascii="Times New Roman" w:hAnsi="Times New Roman"/>
          <w:sz w:val="24"/>
          <w:szCs w:val="24"/>
        </w:rPr>
      </w:pPr>
      <w:r w:rsidRPr="00A4479B">
        <w:rPr>
          <w:rFonts w:ascii="Times New Roman" w:hAnsi="Times New Roman"/>
          <w:sz w:val="24"/>
          <w:szCs w:val="24"/>
        </w:rPr>
        <w:t>“</w:t>
      </w:r>
      <w:proofErr w:type="gramStart"/>
      <w:r w:rsidRPr="00A4479B">
        <w:rPr>
          <w:rFonts w:ascii="Times New Roman" w:hAnsi="Times New Roman"/>
          <w:sz w:val="24"/>
          <w:szCs w:val="24"/>
        </w:rPr>
        <w:t>....In</w:t>
      </w:r>
      <w:proofErr w:type="gramEnd"/>
      <w:r w:rsidRPr="00A4479B">
        <w:rPr>
          <w:rFonts w:ascii="Times New Roman" w:hAnsi="Times New Roman"/>
          <w:sz w:val="24"/>
          <w:szCs w:val="24"/>
        </w:rPr>
        <w:t xml:space="preserve"> moving from this position, I attempt to either break, or at least acknowledge my preconceptions, before I go round to an encounter with a research participant at the other side of the circle....”  </w:t>
      </w:r>
    </w:p>
    <w:p w14:paraId="7244F194" w14:textId="77777777" w:rsidR="00D555A6" w:rsidRPr="00A4479B" w:rsidRDefault="00D555A6" w:rsidP="00D555A6">
      <w:pPr>
        <w:spacing w:after="200" w:line="360" w:lineRule="auto"/>
        <w:ind w:left="567" w:right="-613"/>
        <w:rPr>
          <w:rFonts w:ascii="Times New Roman" w:hAnsi="Times New Roman"/>
          <w:sz w:val="24"/>
          <w:szCs w:val="24"/>
        </w:rPr>
      </w:pPr>
      <w:r w:rsidRPr="00A4479B">
        <w:rPr>
          <w:rFonts w:ascii="Times New Roman" w:hAnsi="Times New Roman"/>
          <w:sz w:val="24"/>
          <w:szCs w:val="24"/>
        </w:rPr>
        <w:t>As the active part of research began:</w:t>
      </w:r>
    </w:p>
    <w:p w14:paraId="59F4B160" w14:textId="77777777" w:rsidR="00D555A6" w:rsidRPr="00A4479B" w:rsidRDefault="00D555A6" w:rsidP="00D555A6">
      <w:pPr>
        <w:spacing w:after="200" w:line="240" w:lineRule="auto"/>
        <w:ind w:left="851" w:right="1371"/>
        <w:rPr>
          <w:rFonts w:ascii="Times New Roman" w:hAnsi="Times New Roman"/>
          <w:sz w:val="24"/>
          <w:szCs w:val="24"/>
        </w:rPr>
      </w:pPr>
      <w:r w:rsidRPr="00A4479B">
        <w:rPr>
          <w:rFonts w:ascii="Times New Roman" w:hAnsi="Times New Roman"/>
          <w:sz w:val="24"/>
          <w:szCs w:val="24"/>
        </w:rPr>
        <w:t xml:space="preserve">“....Whatever my previous concerns or position, I [will] have moved from a point where </w:t>
      </w:r>
      <w:r w:rsidRPr="00A4479B">
        <w:rPr>
          <w:rFonts w:ascii="Times New Roman" w:hAnsi="Times New Roman"/>
          <w:i/>
          <w:sz w:val="24"/>
          <w:szCs w:val="24"/>
        </w:rPr>
        <w:t>I</w:t>
      </w:r>
      <w:r w:rsidRPr="00A4479B">
        <w:rPr>
          <w:rFonts w:ascii="Times New Roman" w:hAnsi="Times New Roman"/>
          <w:sz w:val="24"/>
          <w:szCs w:val="24"/>
        </w:rPr>
        <w:t xml:space="preserve"> am the focus to one where the </w:t>
      </w:r>
      <w:r w:rsidRPr="00A4479B">
        <w:rPr>
          <w:rFonts w:ascii="Times New Roman" w:hAnsi="Times New Roman"/>
          <w:i/>
          <w:sz w:val="24"/>
          <w:szCs w:val="24"/>
        </w:rPr>
        <w:t>participant</w:t>
      </w:r>
      <w:r w:rsidRPr="00A4479B">
        <w:rPr>
          <w:rFonts w:ascii="Times New Roman" w:hAnsi="Times New Roman"/>
          <w:sz w:val="24"/>
          <w:szCs w:val="24"/>
        </w:rPr>
        <w:t xml:space="preserve"> is the focus as I attend closely to the participant’s story.....”</w:t>
      </w:r>
    </w:p>
    <w:p w14:paraId="1B459E66" w14:textId="77777777" w:rsidR="00D555A6" w:rsidRPr="00A4479B" w:rsidRDefault="00D555A6" w:rsidP="00D555A6">
      <w:pPr>
        <w:spacing w:after="200" w:line="360" w:lineRule="auto"/>
        <w:ind w:left="567" w:right="-613"/>
        <w:rPr>
          <w:rFonts w:ascii="Times New Roman" w:hAnsi="Times New Roman"/>
          <w:sz w:val="24"/>
          <w:szCs w:val="24"/>
        </w:rPr>
      </w:pPr>
      <w:r w:rsidRPr="00A4479B">
        <w:rPr>
          <w:rFonts w:ascii="Times New Roman" w:hAnsi="Times New Roman"/>
          <w:sz w:val="24"/>
          <w:szCs w:val="24"/>
        </w:rPr>
        <w:t>Following the active part of research, another segment of the circle was completed as:</w:t>
      </w:r>
    </w:p>
    <w:p w14:paraId="58DA5F75" w14:textId="77777777" w:rsidR="00D555A6" w:rsidRPr="00A4479B" w:rsidRDefault="00D555A6" w:rsidP="00D555A6">
      <w:pPr>
        <w:spacing w:after="200" w:line="240" w:lineRule="auto"/>
        <w:ind w:left="851" w:right="1229"/>
        <w:rPr>
          <w:rFonts w:ascii="Times New Roman" w:hAnsi="Times New Roman"/>
          <w:sz w:val="24"/>
          <w:szCs w:val="24"/>
        </w:rPr>
      </w:pPr>
      <w:r w:rsidRPr="00A4479B">
        <w:rPr>
          <w:rFonts w:ascii="Times New Roman" w:hAnsi="Times New Roman"/>
          <w:sz w:val="24"/>
          <w:szCs w:val="24"/>
        </w:rPr>
        <w:t>“....Having concluded the conversation I [will] continue the journey round the circle, back to where I started....I .....[will] analyse collected material from the perspective I started from, influenced by my prior conceptions and experience”</w:t>
      </w:r>
    </w:p>
    <w:p w14:paraId="4C8CF261" w14:textId="77777777" w:rsidR="00D555A6" w:rsidRPr="00A4479B" w:rsidRDefault="00D555A6" w:rsidP="00D555A6">
      <w:pPr>
        <w:overflowPunct w:val="0"/>
        <w:autoSpaceDE w:val="0"/>
        <w:autoSpaceDN w:val="0"/>
        <w:adjustRightInd w:val="0"/>
        <w:spacing w:after="200" w:line="360" w:lineRule="auto"/>
        <w:ind w:left="567" w:right="-613"/>
        <w:jc w:val="both"/>
        <w:rPr>
          <w:rFonts w:ascii="Times New Roman" w:hAnsi="Times New Roman"/>
          <w:sz w:val="24"/>
          <w:szCs w:val="24"/>
          <w:lang w:eastAsia="en-GB"/>
        </w:rPr>
      </w:pPr>
      <w:r w:rsidRPr="00A4479B">
        <w:rPr>
          <w:rFonts w:ascii="Times New Roman" w:hAnsi="Times New Roman"/>
          <w:sz w:val="24"/>
          <w:szCs w:val="24"/>
        </w:rPr>
        <w:t xml:space="preserve"> </w:t>
      </w:r>
      <w:r w:rsidRPr="00A4479B">
        <w:rPr>
          <w:rFonts w:ascii="Times New Roman" w:hAnsi="Times New Roman"/>
          <w:sz w:val="24"/>
          <w:szCs w:val="24"/>
          <w:lang w:eastAsia="en-GB"/>
        </w:rPr>
        <w:t>I will re-engage with my perceptions and knowledge to analyse the data.  I will, however, be:</w:t>
      </w:r>
    </w:p>
    <w:p w14:paraId="563B5C23" w14:textId="77777777" w:rsidR="00D555A6" w:rsidRPr="00A4479B" w:rsidRDefault="00D555A6" w:rsidP="00D555A6">
      <w:pPr>
        <w:overflowPunct w:val="0"/>
        <w:autoSpaceDE w:val="0"/>
        <w:autoSpaceDN w:val="0"/>
        <w:adjustRightInd w:val="0"/>
        <w:spacing w:after="0" w:line="240" w:lineRule="auto"/>
        <w:ind w:left="851" w:right="1962"/>
        <w:rPr>
          <w:rFonts w:ascii="Times New Roman" w:hAnsi="Times New Roman"/>
          <w:sz w:val="24"/>
          <w:szCs w:val="24"/>
          <w:lang w:eastAsia="en-GB"/>
        </w:rPr>
      </w:pPr>
      <w:r w:rsidRPr="00A4479B">
        <w:rPr>
          <w:rFonts w:ascii="Times New Roman" w:hAnsi="Times New Roman"/>
          <w:sz w:val="24"/>
          <w:szCs w:val="24"/>
          <w:lang w:eastAsia="en-GB"/>
        </w:rPr>
        <w:t>“</w:t>
      </w:r>
      <w:proofErr w:type="gramStart"/>
      <w:r w:rsidRPr="00A4479B">
        <w:rPr>
          <w:rFonts w:ascii="Times New Roman" w:hAnsi="Times New Roman"/>
          <w:sz w:val="24"/>
          <w:szCs w:val="24"/>
          <w:lang w:eastAsia="en-GB"/>
        </w:rPr>
        <w:t>.....</w:t>
      </w:r>
      <w:proofErr w:type="gramEnd"/>
      <w:r w:rsidRPr="00A4479B">
        <w:rPr>
          <w:rFonts w:ascii="Times New Roman" w:hAnsi="Times New Roman"/>
          <w:sz w:val="24"/>
          <w:szCs w:val="24"/>
          <w:lang w:eastAsia="en-GB"/>
        </w:rPr>
        <w:t>irretrievably changed because of the encounter with the new, my participant and her/his account”.</w:t>
      </w:r>
    </w:p>
    <w:p w14:paraId="3E4A8FF2" w14:textId="77777777" w:rsidR="00D555A6" w:rsidRPr="00A4479B" w:rsidRDefault="00D555A6" w:rsidP="00D555A6">
      <w:pPr>
        <w:spacing w:after="200" w:line="240" w:lineRule="auto"/>
        <w:ind w:left="851" w:right="-613"/>
        <w:rPr>
          <w:rFonts w:ascii="Times New Roman" w:hAnsi="Times New Roman"/>
          <w:sz w:val="24"/>
          <w:szCs w:val="24"/>
        </w:rPr>
      </w:pPr>
    </w:p>
    <w:p w14:paraId="4D80F99A" w14:textId="77777777" w:rsidR="00D555A6" w:rsidRDefault="00D555A6" w:rsidP="00D555A6">
      <w:pPr>
        <w:overflowPunct w:val="0"/>
        <w:autoSpaceDE w:val="0"/>
        <w:autoSpaceDN w:val="0"/>
        <w:adjustRightInd w:val="0"/>
        <w:spacing w:after="0" w:line="360" w:lineRule="auto"/>
        <w:ind w:left="567" w:right="-755"/>
        <w:rPr>
          <w:rFonts w:ascii="Times New Roman" w:hAnsi="Times New Roman"/>
          <w:sz w:val="24"/>
          <w:szCs w:val="24"/>
          <w:lang w:eastAsia="en-GB"/>
        </w:rPr>
      </w:pPr>
      <w:r w:rsidRPr="00A4479B">
        <w:rPr>
          <w:rFonts w:ascii="Times New Roman" w:hAnsi="Times New Roman"/>
          <w:sz w:val="24"/>
          <w:szCs w:val="24"/>
          <w:lang w:eastAsia="en-GB"/>
        </w:rPr>
        <w:t xml:space="preserve">Smith’s observations resonated particularly strongly with me during the interview stage of this research as I started my journey around the hermeneutic circle and began to interview stakeholders about their perceptions of the counsellor placement, as I was alert to how these </w:t>
      </w:r>
      <w:r w:rsidRPr="00A4479B">
        <w:rPr>
          <w:rFonts w:ascii="Times New Roman" w:hAnsi="Times New Roman"/>
          <w:sz w:val="24"/>
          <w:szCs w:val="24"/>
          <w:lang w:eastAsia="en-GB"/>
        </w:rPr>
        <w:lastRenderedPageBreak/>
        <w:t>aspects came together and aware of the need to heed the warning that research totally removed from my personal experience could become “dry and lacking in motivation and sparkle” (McLeod, 2003, p.25).  Throughout this research, I therefore engaged in a Gadamerian dialogue (Smith, Flowers and Larkin, 2009) between my own preconceptions and my fresh understandings of my participants’ lifeworld.</w:t>
      </w:r>
    </w:p>
    <w:p w14:paraId="67F455BF" w14:textId="77777777" w:rsidR="00D555A6" w:rsidRDefault="00D555A6" w:rsidP="00D555A6">
      <w:pPr>
        <w:overflowPunct w:val="0"/>
        <w:autoSpaceDE w:val="0"/>
        <w:autoSpaceDN w:val="0"/>
        <w:adjustRightInd w:val="0"/>
        <w:spacing w:after="0" w:line="360" w:lineRule="auto"/>
        <w:ind w:left="567" w:right="-755"/>
        <w:rPr>
          <w:rFonts w:ascii="Times New Roman" w:hAnsi="Times New Roman"/>
          <w:sz w:val="24"/>
          <w:szCs w:val="24"/>
          <w:lang w:eastAsia="en-GB"/>
        </w:rPr>
      </w:pPr>
    </w:p>
    <w:p w14:paraId="238A6132" w14:textId="77777777" w:rsidR="00D555A6" w:rsidRDefault="00D555A6" w:rsidP="00D555A6">
      <w:pPr>
        <w:overflowPunct w:val="0"/>
        <w:autoSpaceDE w:val="0"/>
        <w:autoSpaceDN w:val="0"/>
        <w:adjustRightInd w:val="0"/>
        <w:spacing w:after="0" w:line="360" w:lineRule="auto"/>
        <w:ind w:left="567" w:right="-755"/>
        <w:rPr>
          <w:rFonts w:ascii="Times New Roman" w:hAnsi="Times New Roman"/>
          <w:sz w:val="24"/>
          <w:szCs w:val="24"/>
          <w:lang w:eastAsia="en-GB"/>
        </w:rPr>
      </w:pPr>
    </w:p>
    <w:p w14:paraId="0EBF88B8" w14:textId="77777777" w:rsidR="00D555A6" w:rsidRDefault="00D555A6" w:rsidP="00D555A6">
      <w:pPr>
        <w:overflowPunct w:val="0"/>
        <w:autoSpaceDE w:val="0"/>
        <w:autoSpaceDN w:val="0"/>
        <w:adjustRightInd w:val="0"/>
        <w:spacing w:after="0" w:line="360" w:lineRule="auto"/>
        <w:ind w:left="567" w:right="-755"/>
        <w:rPr>
          <w:rFonts w:ascii="Times New Roman" w:hAnsi="Times New Roman"/>
          <w:sz w:val="24"/>
          <w:szCs w:val="24"/>
          <w:lang w:eastAsia="en-GB"/>
        </w:rPr>
      </w:pPr>
    </w:p>
    <w:p w14:paraId="64ECAE3E" w14:textId="77777777" w:rsidR="00D555A6" w:rsidRDefault="00D555A6" w:rsidP="00D555A6">
      <w:pPr>
        <w:overflowPunct w:val="0"/>
        <w:autoSpaceDE w:val="0"/>
        <w:autoSpaceDN w:val="0"/>
        <w:adjustRightInd w:val="0"/>
        <w:spacing w:after="0" w:line="360" w:lineRule="auto"/>
        <w:ind w:left="567" w:right="-755"/>
        <w:rPr>
          <w:rFonts w:ascii="Times New Roman" w:hAnsi="Times New Roman"/>
          <w:sz w:val="24"/>
          <w:szCs w:val="24"/>
          <w:lang w:eastAsia="en-GB"/>
        </w:rPr>
      </w:pPr>
    </w:p>
    <w:p w14:paraId="34D0226B" w14:textId="77777777" w:rsidR="00D555A6" w:rsidRDefault="00D555A6"/>
    <w:sectPr w:rsidR="00D555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arajita">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5A6"/>
    <w:rsid w:val="00074511"/>
    <w:rsid w:val="000A19D7"/>
    <w:rsid w:val="000B253C"/>
    <w:rsid w:val="000E76B0"/>
    <w:rsid w:val="00131806"/>
    <w:rsid w:val="00192658"/>
    <w:rsid w:val="001A5A7C"/>
    <w:rsid w:val="001B0A33"/>
    <w:rsid w:val="001E3443"/>
    <w:rsid w:val="001F215B"/>
    <w:rsid w:val="002B0D5A"/>
    <w:rsid w:val="002B72CF"/>
    <w:rsid w:val="002C55D8"/>
    <w:rsid w:val="002D056B"/>
    <w:rsid w:val="002E5473"/>
    <w:rsid w:val="00300935"/>
    <w:rsid w:val="003E7272"/>
    <w:rsid w:val="004113AB"/>
    <w:rsid w:val="004862C1"/>
    <w:rsid w:val="00487B27"/>
    <w:rsid w:val="005D053A"/>
    <w:rsid w:val="0060040C"/>
    <w:rsid w:val="006020CB"/>
    <w:rsid w:val="00603FD7"/>
    <w:rsid w:val="0068282D"/>
    <w:rsid w:val="00692BA5"/>
    <w:rsid w:val="006D5F12"/>
    <w:rsid w:val="0075285A"/>
    <w:rsid w:val="00762918"/>
    <w:rsid w:val="00771EB1"/>
    <w:rsid w:val="007B6DDE"/>
    <w:rsid w:val="00815E88"/>
    <w:rsid w:val="00841C93"/>
    <w:rsid w:val="00843B83"/>
    <w:rsid w:val="0090127A"/>
    <w:rsid w:val="009333EC"/>
    <w:rsid w:val="009516D5"/>
    <w:rsid w:val="009B361C"/>
    <w:rsid w:val="009F3359"/>
    <w:rsid w:val="00A50EC9"/>
    <w:rsid w:val="00A710A9"/>
    <w:rsid w:val="00AE6B5E"/>
    <w:rsid w:val="00AF2C98"/>
    <w:rsid w:val="00B27086"/>
    <w:rsid w:val="00B305A1"/>
    <w:rsid w:val="00B40307"/>
    <w:rsid w:val="00B40DDB"/>
    <w:rsid w:val="00B77721"/>
    <w:rsid w:val="00C05D85"/>
    <w:rsid w:val="00C14E83"/>
    <w:rsid w:val="00C57E1B"/>
    <w:rsid w:val="00C8238A"/>
    <w:rsid w:val="00C97CEF"/>
    <w:rsid w:val="00D11FDB"/>
    <w:rsid w:val="00D2622E"/>
    <w:rsid w:val="00D26D50"/>
    <w:rsid w:val="00D555A6"/>
    <w:rsid w:val="00D97527"/>
    <w:rsid w:val="00DA59C6"/>
    <w:rsid w:val="00E23E3E"/>
    <w:rsid w:val="00F15F5D"/>
    <w:rsid w:val="00F41A75"/>
    <w:rsid w:val="00F47136"/>
    <w:rsid w:val="00FA2112"/>
    <w:rsid w:val="00FA41AA"/>
    <w:rsid w:val="00FB2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80AFF"/>
  <w15:chartTrackingRefBased/>
  <w15:docId w15:val="{AFECFD52-1BE2-4F20-987C-D9C090A2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361</Words>
  <Characters>2061</Characters>
  <Application>Microsoft Office Word</Application>
  <DocSecurity>0</DocSecurity>
  <Lines>17</Lines>
  <Paragraphs>4</Paragraphs>
  <ScaleCrop>false</ScaleCrop>
  <Company/>
  <LinksUpToDate>false</LinksUpToDate>
  <CharactersWithSpaces>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1</cp:revision>
  <dcterms:created xsi:type="dcterms:W3CDTF">2020-12-04T12:10:00Z</dcterms:created>
  <dcterms:modified xsi:type="dcterms:W3CDTF">2020-12-04T12:13:00Z</dcterms:modified>
</cp:coreProperties>
</file>