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5F83C" w14:textId="77777777" w:rsidR="00C67B61" w:rsidRPr="00C67B61" w:rsidRDefault="00C67B61" w:rsidP="00C67B61">
      <w:pPr>
        <w:shd w:val="clear" w:color="auto" w:fill="FFFFFF"/>
        <w:spacing w:line="420" w:lineRule="atLeast"/>
        <w:rPr>
          <w:rFonts w:ascii="Arial" w:eastAsia="Times New Roman" w:hAnsi="Arial" w:cs="Arial"/>
          <w:b/>
          <w:bCs/>
          <w:sz w:val="30"/>
          <w:szCs w:val="30"/>
        </w:rPr>
      </w:pPr>
      <w:r w:rsidRPr="00C67B61">
        <w:rPr>
          <w:rFonts w:ascii="Arial" w:eastAsia="Times New Roman" w:hAnsi="Arial" w:cs="Arial"/>
          <w:b/>
          <w:bCs/>
          <w:sz w:val="30"/>
          <w:szCs w:val="30"/>
        </w:rPr>
        <w:t>I. Regulatory Frameworks</w:t>
      </w:r>
    </w:p>
    <w:p w14:paraId="1F7105D1" w14:textId="77777777" w:rsidR="00C67B61" w:rsidRPr="00C67B61" w:rsidRDefault="00C67B61" w:rsidP="00C67B61">
      <w:pPr>
        <w:shd w:val="clear" w:color="auto" w:fill="FFFFFF"/>
        <w:spacing w:line="360" w:lineRule="atLeast"/>
        <w:rPr>
          <w:rFonts w:ascii="Arial" w:eastAsia="Times New Roman" w:hAnsi="Arial" w:cs="Arial"/>
          <w:color w:val="0A0A0A"/>
        </w:rPr>
      </w:pPr>
      <w:r w:rsidRPr="00C67B61">
        <w:rPr>
          <w:rFonts w:ascii="Arial" w:eastAsia="Times New Roman" w:hAnsi="Arial" w:cs="Arial"/>
          <w:color w:val="0A0A0A"/>
        </w:rPr>
        <w:t>These establish the essential rules and standards, often referred to as "command-and-control" measures. </w:t>
      </w:r>
    </w:p>
    <w:p w14:paraId="4DF8EB9B" w14:textId="77777777" w:rsidR="00C67B61" w:rsidRPr="00C67B61" w:rsidRDefault="00C67B61" w:rsidP="00C67B61">
      <w:pPr>
        <w:numPr>
          <w:ilvl w:val="0"/>
          <w:numId w:val="1"/>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Environmental Protection Laws</w:t>
      </w:r>
      <w:r w:rsidRPr="00C67B61">
        <w:rPr>
          <w:rFonts w:ascii="Arial" w:eastAsia="Times New Roman" w:hAnsi="Arial" w:cs="Arial"/>
          <w:color w:val="0A0A0A"/>
        </w:rPr>
        <w:t>: Legislation can set strict limits on pollution, mandate waste management practices (prioritizing prevention, reuse, and recycling), and protect sensitive ecosystems and biodiversity.</w:t>
      </w:r>
    </w:p>
    <w:p w14:paraId="61737A7D" w14:textId="77777777" w:rsidR="00C67B61" w:rsidRPr="00C67B61" w:rsidRDefault="00C67B61" w:rsidP="00C67B61">
      <w:pPr>
        <w:numPr>
          <w:ilvl w:val="0"/>
          <w:numId w:val="1"/>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Performance Standards &amp; Certific</w:t>
      </w:r>
      <w:bookmarkStart w:id="0" w:name="_GoBack"/>
      <w:bookmarkEnd w:id="0"/>
      <w:r w:rsidRPr="00C67B61">
        <w:rPr>
          <w:rFonts w:ascii="Arial" w:eastAsia="Times New Roman" w:hAnsi="Arial" w:cs="Arial"/>
          <w:b/>
          <w:bCs/>
          <w:color w:val="0A0A0A"/>
        </w:rPr>
        <w:t>ation</w:t>
      </w:r>
      <w:r w:rsidRPr="00C67B61">
        <w:rPr>
          <w:rFonts w:ascii="Arial" w:eastAsia="Times New Roman" w:hAnsi="Arial" w:cs="Arial"/>
          <w:color w:val="0A0A0A"/>
        </w:rPr>
        <w:t>: Governments can mandate specific standards for energy performance in buildings, emissions from vehicles, or pollutants from industrial processes. Certifications like BREEAM or the UK Green Building Council (UKGBC) standards can be integrated into national policy.</w:t>
      </w:r>
    </w:p>
    <w:p w14:paraId="262EFDCE" w14:textId="77777777" w:rsidR="00C67B61" w:rsidRPr="00C67B61" w:rsidRDefault="00C67B61" w:rsidP="00C67B61">
      <w:pPr>
        <w:numPr>
          <w:ilvl w:val="0"/>
          <w:numId w:val="1"/>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Mandatory Reporting</w:t>
      </w:r>
      <w:r w:rsidRPr="00C67B61">
        <w:rPr>
          <w:rFonts w:ascii="Arial" w:eastAsia="Times New Roman" w:hAnsi="Arial" w:cs="Arial"/>
          <w:color w:val="0A0A0A"/>
        </w:rPr>
        <w:t>: Requiring businesses and public sector entities to report their carbon emissions and climate-related risks and opportunities increases transparency and accountability. The UK has moved towards mandating such disclosures in law.</w:t>
      </w:r>
    </w:p>
    <w:p w14:paraId="73CB8CFE" w14:textId="77777777" w:rsidR="00C67B61" w:rsidRPr="00C67B61" w:rsidRDefault="00C67B61" w:rsidP="00C67B61">
      <w:pPr>
        <w:numPr>
          <w:ilvl w:val="0"/>
          <w:numId w:val="1"/>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Planning Policies</w:t>
      </w:r>
      <w:r w:rsidRPr="00C67B61">
        <w:rPr>
          <w:rFonts w:ascii="Arial" w:eastAsia="Times New Roman" w:hAnsi="Arial" w:cs="Arial"/>
          <w:color w:val="0A0A0A"/>
        </w:rPr>
        <w:t>: National and local planning frameworks, such as the UK's National Planning Policy Framework, can ensure that new development is inherently sustainable, for example, by prioritizing effective land use and aligning growth with green infrastructure.</w:t>
      </w:r>
    </w:p>
    <w:p w14:paraId="62ECDF36" w14:textId="77777777" w:rsidR="00C67B61" w:rsidRPr="00C67B61" w:rsidRDefault="00C67B61" w:rsidP="00C67B61">
      <w:pPr>
        <w:numPr>
          <w:ilvl w:val="0"/>
          <w:numId w:val="1"/>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Product Bans</w:t>
      </w:r>
      <w:r w:rsidRPr="00C67B61">
        <w:rPr>
          <w:rFonts w:ascii="Arial" w:eastAsia="Times New Roman" w:hAnsi="Arial" w:cs="Arial"/>
          <w:color w:val="0A0A0A"/>
        </w:rPr>
        <w:t>: Outright bans on harmful products, such as single-use plastics, can be effective in promoting a circular economy. </w:t>
      </w:r>
    </w:p>
    <w:p w14:paraId="343C0D09" w14:textId="77777777" w:rsidR="00C67B61" w:rsidRPr="00C67B61" w:rsidRDefault="00C67B61" w:rsidP="00C67B61">
      <w:pPr>
        <w:shd w:val="clear" w:color="auto" w:fill="FFFFFF"/>
        <w:spacing w:line="420" w:lineRule="atLeast"/>
        <w:rPr>
          <w:rFonts w:ascii="Arial" w:eastAsia="Times New Roman" w:hAnsi="Arial" w:cs="Arial"/>
          <w:b/>
          <w:bCs/>
          <w:sz w:val="30"/>
          <w:szCs w:val="30"/>
        </w:rPr>
      </w:pPr>
      <w:r w:rsidRPr="00C67B61">
        <w:rPr>
          <w:rFonts w:ascii="Arial" w:eastAsia="Times New Roman" w:hAnsi="Arial" w:cs="Arial"/>
          <w:b/>
          <w:bCs/>
          <w:sz w:val="30"/>
          <w:szCs w:val="30"/>
        </w:rPr>
        <w:t>II. Economic Instruments</w:t>
      </w:r>
    </w:p>
    <w:p w14:paraId="7ECCD3C1" w14:textId="77777777" w:rsidR="00C67B61" w:rsidRPr="00C67B61" w:rsidRDefault="00C67B61" w:rsidP="00C67B61">
      <w:pPr>
        <w:shd w:val="clear" w:color="auto" w:fill="FFFFFF"/>
        <w:spacing w:line="360" w:lineRule="atLeast"/>
        <w:rPr>
          <w:rFonts w:ascii="Arial" w:eastAsia="Times New Roman" w:hAnsi="Arial" w:cs="Arial"/>
          <w:color w:val="0A0A0A"/>
        </w:rPr>
      </w:pPr>
      <w:r w:rsidRPr="00C67B61">
        <w:rPr>
          <w:rFonts w:ascii="Arial" w:eastAsia="Times New Roman" w:hAnsi="Arial" w:cs="Arial"/>
          <w:color w:val="0A0A0A"/>
        </w:rPr>
        <w:t xml:space="preserve">These use market signals to encourage desirable </w:t>
      </w:r>
      <w:proofErr w:type="spellStart"/>
      <w:r w:rsidRPr="00C67B61">
        <w:rPr>
          <w:rFonts w:ascii="Arial" w:eastAsia="Times New Roman" w:hAnsi="Arial" w:cs="Arial"/>
          <w:color w:val="0A0A0A"/>
        </w:rPr>
        <w:t>behavior</w:t>
      </w:r>
      <w:proofErr w:type="spellEnd"/>
      <w:r w:rsidRPr="00C67B61">
        <w:rPr>
          <w:rFonts w:ascii="Arial" w:eastAsia="Times New Roman" w:hAnsi="Arial" w:cs="Arial"/>
          <w:color w:val="0A0A0A"/>
        </w:rPr>
        <w:t>, often employing a "carrot and stick" approach. </w:t>
      </w:r>
    </w:p>
    <w:p w14:paraId="12E489E1" w14:textId="77777777" w:rsidR="00C67B61" w:rsidRPr="00C67B61" w:rsidRDefault="00C67B61" w:rsidP="00C67B61">
      <w:pPr>
        <w:numPr>
          <w:ilvl w:val="0"/>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Taxes and Charges</w:t>
      </w:r>
      <w:r w:rsidRPr="00C67B61">
        <w:rPr>
          <w:rFonts w:ascii="Arial" w:eastAsia="Times New Roman" w:hAnsi="Arial" w:cs="Arial"/>
          <w:color w:val="0A0A0A"/>
        </w:rPr>
        <w:t>:</w:t>
      </w:r>
    </w:p>
    <w:p w14:paraId="648A2C77" w14:textId="77777777" w:rsidR="00C67B61" w:rsidRPr="00C67B61" w:rsidRDefault="00C67B61" w:rsidP="00C67B61">
      <w:pPr>
        <w:numPr>
          <w:ilvl w:val="1"/>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Carbon Pricing</w:t>
      </w:r>
      <w:r w:rsidRPr="00C67B61">
        <w:rPr>
          <w:rFonts w:ascii="Arial" w:eastAsia="Times New Roman" w:hAnsi="Arial" w:cs="Arial"/>
          <w:color w:val="0A0A0A"/>
        </w:rPr>
        <w:t>: Implementing a carbon tax or an emissions trading scheme (ETS) ensures the price of goods and services reflects their environmental impact, making carbon-intensive activities less competitive.</w:t>
      </w:r>
    </w:p>
    <w:p w14:paraId="23D8C61F" w14:textId="77777777" w:rsidR="00C67B61" w:rsidRPr="00C67B61" w:rsidRDefault="00C67B61" w:rsidP="00C67B61">
      <w:pPr>
        <w:numPr>
          <w:ilvl w:val="1"/>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Waste &amp; Resource Taxes</w:t>
      </w:r>
      <w:r w:rsidRPr="00C67B61">
        <w:rPr>
          <w:rFonts w:ascii="Arial" w:eastAsia="Times New Roman" w:hAnsi="Arial" w:cs="Arial"/>
          <w:color w:val="0A0A0A"/>
        </w:rPr>
        <w:t>: Taxes on waste generation or the extraction of virgin raw materials incentivize waste minimization, recycling, and the use of secondary materials.</w:t>
      </w:r>
    </w:p>
    <w:p w14:paraId="4E355486" w14:textId="77777777" w:rsidR="00C67B61" w:rsidRPr="00C67B61" w:rsidRDefault="00C67B61" w:rsidP="00C67B61">
      <w:pPr>
        <w:numPr>
          <w:ilvl w:val="0"/>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Subsidies and Grants</w:t>
      </w:r>
      <w:r w:rsidRPr="00C67B61">
        <w:rPr>
          <w:rFonts w:ascii="Arial" w:eastAsia="Times New Roman" w:hAnsi="Arial" w:cs="Arial"/>
          <w:color w:val="0A0A0A"/>
        </w:rPr>
        <w:t>: Financial incentives can boost demand and investment in green technologies and practices.</w:t>
      </w:r>
    </w:p>
    <w:p w14:paraId="6EF87A89" w14:textId="77777777" w:rsidR="00C67B61" w:rsidRPr="00C67B61" w:rsidRDefault="00C67B61" w:rsidP="00C67B61">
      <w:pPr>
        <w:numPr>
          <w:ilvl w:val="1"/>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color w:val="0A0A0A"/>
        </w:rPr>
        <w:t>Grants for R&amp;D in renewable energy and carbon capture technologies.</w:t>
      </w:r>
    </w:p>
    <w:p w14:paraId="4D81BC26" w14:textId="77777777" w:rsidR="00C67B61" w:rsidRPr="00C67B61" w:rsidRDefault="00C67B61" w:rsidP="00C67B61">
      <w:pPr>
        <w:numPr>
          <w:ilvl w:val="1"/>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color w:val="0A0A0A"/>
        </w:rPr>
        <w:lastRenderedPageBreak/>
        <w:t>Subsidies and tax rebates for consumers purchasing electric vehicles (EVs) or installing solar panels.</w:t>
      </w:r>
    </w:p>
    <w:p w14:paraId="051BEAAE" w14:textId="77777777" w:rsidR="00C67B61" w:rsidRPr="00C67B61" w:rsidRDefault="00C67B61" w:rsidP="00C67B61">
      <w:pPr>
        <w:numPr>
          <w:ilvl w:val="1"/>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color w:val="0A0A0A"/>
        </w:rPr>
        <w:t>Feed-in tariffs or contracts for difference (</w:t>
      </w:r>
      <w:proofErr w:type="spellStart"/>
      <w:r w:rsidRPr="00C67B61">
        <w:rPr>
          <w:rFonts w:ascii="Arial" w:eastAsia="Times New Roman" w:hAnsi="Arial" w:cs="Arial"/>
          <w:color w:val="0A0A0A"/>
        </w:rPr>
        <w:t>CfD</w:t>
      </w:r>
      <w:proofErr w:type="spellEnd"/>
      <w:r w:rsidRPr="00C67B61">
        <w:rPr>
          <w:rFonts w:ascii="Arial" w:eastAsia="Times New Roman" w:hAnsi="Arial" w:cs="Arial"/>
          <w:color w:val="0A0A0A"/>
        </w:rPr>
        <w:t>) to provide stable revenue streams for renewable energy generators.</w:t>
      </w:r>
    </w:p>
    <w:p w14:paraId="1B06C5C4" w14:textId="77777777" w:rsidR="00C67B61" w:rsidRPr="00C67B61" w:rsidRDefault="00C67B61" w:rsidP="00C67B61">
      <w:pPr>
        <w:numPr>
          <w:ilvl w:val="0"/>
          <w:numId w:val="2"/>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Sustainable Finance</w:t>
      </w:r>
      <w:r w:rsidRPr="00C67B61">
        <w:rPr>
          <w:rFonts w:ascii="Arial" w:eastAsia="Times New Roman" w:hAnsi="Arial" w:cs="Arial"/>
          <w:color w:val="0A0A0A"/>
        </w:rPr>
        <w:t>: Governments can foster a supportive environment for green investment through mechanisms like publicly capitalized green investment banks, green bonds, and climate finance taxonomies (e.g., the EU Taxonomy) that clarify which activities are sustainable. </w:t>
      </w:r>
    </w:p>
    <w:p w14:paraId="6DDDBEA7" w14:textId="77777777" w:rsidR="00C67B61" w:rsidRPr="00C67B61" w:rsidRDefault="00C67B61" w:rsidP="00C67B61">
      <w:pPr>
        <w:shd w:val="clear" w:color="auto" w:fill="FFFFFF"/>
        <w:spacing w:line="420" w:lineRule="atLeast"/>
        <w:rPr>
          <w:rFonts w:ascii="Arial" w:eastAsia="Times New Roman" w:hAnsi="Arial" w:cs="Arial"/>
          <w:b/>
          <w:bCs/>
          <w:sz w:val="30"/>
          <w:szCs w:val="30"/>
        </w:rPr>
      </w:pPr>
      <w:r w:rsidRPr="00C67B61">
        <w:rPr>
          <w:rFonts w:ascii="Arial" w:eastAsia="Times New Roman" w:hAnsi="Arial" w:cs="Arial"/>
          <w:b/>
          <w:bCs/>
          <w:sz w:val="30"/>
          <w:szCs w:val="30"/>
        </w:rPr>
        <w:t>III. Direct Government Action &amp; Collaboration</w:t>
      </w:r>
    </w:p>
    <w:p w14:paraId="6EE7ED53" w14:textId="77777777" w:rsidR="00C67B61" w:rsidRPr="00C67B61" w:rsidRDefault="00C67B61" w:rsidP="00C67B61">
      <w:pPr>
        <w:shd w:val="clear" w:color="auto" w:fill="FFFFFF"/>
        <w:spacing w:line="360" w:lineRule="atLeast"/>
        <w:rPr>
          <w:rFonts w:ascii="Arial" w:eastAsia="Times New Roman" w:hAnsi="Arial" w:cs="Arial"/>
          <w:color w:val="0A0A0A"/>
        </w:rPr>
      </w:pPr>
      <w:r w:rsidRPr="00C67B61">
        <w:rPr>
          <w:rFonts w:ascii="Arial" w:eastAsia="Times New Roman" w:hAnsi="Arial" w:cs="Arial"/>
          <w:color w:val="0A0A0A"/>
        </w:rPr>
        <w:t>Governments can lead by example and foster collaboration across society. </w:t>
      </w:r>
    </w:p>
    <w:p w14:paraId="52886F47" w14:textId="77777777" w:rsidR="00C67B61" w:rsidRPr="00C67B61" w:rsidRDefault="00C67B61" w:rsidP="00C67B61">
      <w:pPr>
        <w:numPr>
          <w:ilvl w:val="0"/>
          <w:numId w:val="3"/>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Sustainable Public Procurement</w:t>
      </w:r>
      <w:r w:rsidRPr="00C67B61">
        <w:rPr>
          <w:rFonts w:ascii="Arial" w:eastAsia="Times New Roman" w:hAnsi="Arial" w:cs="Arial"/>
          <w:color w:val="0A0A0A"/>
        </w:rPr>
        <w:t>: By setting strict green criteria for government contracts, the public sector can use its significant purchasing power to drive demand for sustainable products and services and encourage suppliers to adopt greener practices.</w:t>
      </w:r>
    </w:p>
    <w:p w14:paraId="5721E6CF" w14:textId="77777777" w:rsidR="00C67B61" w:rsidRPr="00C67B61" w:rsidRDefault="00C67B61" w:rsidP="00C67B61">
      <w:pPr>
        <w:numPr>
          <w:ilvl w:val="0"/>
          <w:numId w:val="3"/>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Investing in Skills and Innovation</w:t>
      </w:r>
      <w:r w:rsidRPr="00C67B61">
        <w:rPr>
          <w:rFonts w:ascii="Arial" w:eastAsia="Times New Roman" w:hAnsi="Arial" w:cs="Arial"/>
          <w:color w:val="0A0A0A"/>
        </w:rPr>
        <w:t>: Creating national "green skills" plans and investing in training programs helps ensure a workforce capable of delivering the green transition.</w:t>
      </w:r>
    </w:p>
    <w:p w14:paraId="4AA0823E" w14:textId="77777777" w:rsidR="00C67B61" w:rsidRPr="00C67B61" w:rsidRDefault="00C67B61" w:rsidP="00C67B61">
      <w:pPr>
        <w:numPr>
          <w:ilvl w:val="0"/>
          <w:numId w:val="3"/>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Public Awareness Campaigns</w:t>
      </w:r>
      <w:r w:rsidRPr="00C67B61">
        <w:rPr>
          <w:rFonts w:ascii="Arial" w:eastAsia="Times New Roman" w:hAnsi="Arial" w:cs="Arial"/>
          <w:color w:val="0A0A0A"/>
        </w:rPr>
        <w:t xml:space="preserve">: Engaging the public through education and "nudges" can help shift consumer </w:t>
      </w:r>
      <w:proofErr w:type="spellStart"/>
      <w:r w:rsidRPr="00C67B61">
        <w:rPr>
          <w:rFonts w:ascii="Arial" w:eastAsia="Times New Roman" w:hAnsi="Arial" w:cs="Arial"/>
          <w:color w:val="0A0A0A"/>
        </w:rPr>
        <w:t>behaviors</w:t>
      </w:r>
      <w:proofErr w:type="spellEnd"/>
      <w:r w:rsidRPr="00C67B61">
        <w:rPr>
          <w:rFonts w:ascii="Arial" w:eastAsia="Times New Roman" w:hAnsi="Arial" w:cs="Arial"/>
          <w:color w:val="0A0A0A"/>
        </w:rPr>
        <w:t xml:space="preserve"> and choices towards more sustainable options.</w:t>
      </w:r>
    </w:p>
    <w:p w14:paraId="0AB165B6" w14:textId="77777777" w:rsidR="00C67B61" w:rsidRPr="00C67B61" w:rsidRDefault="00C67B61" w:rsidP="00C67B61">
      <w:pPr>
        <w:numPr>
          <w:ilvl w:val="0"/>
          <w:numId w:val="3"/>
        </w:numPr>
        <w:shd w:val="clear" w:color="auto" w:fill="FFFFFF"/>
        <w:spacing w:after="180" w:line="360" w:lineRule="atLeast"/>
        <w:ind w:left="0"/>
        <w:rPr>
          <w:rFonts w:ascii="Arial" w:eastAsia="Times New Roman" w:hAnsi="Arial" w:cs="Arial"/>
          <w:color w:val="0A0A0A"/>
        </w:rPr>
      </w:pPr>
      <w:r w:rsidRPr="00C67B61">
        <w:rPr>
          <w:rFonts w:ascii="Arial" w:eastAsia="Times New Roman" w:hAnsi="Arial" w:cs="Arial"/>
          <w:b/>
          <w:bCs/>
          <w:color w:val="0A0A0A"/>
        </w:rPr>
        <w:t>Collaborative Planning</w:t>
      </w:r>
      <w:r w:rsidRPr="00C67B61">
        <w:rPr>
          <w:rFonts w:ascii="Arial" w:eastAsia="Times New Roman" w:hAnsi="Arial" w:cs="Arial"/>
          <w:color w:val="0A0A0A"/>
        </w:rPr>
        <w:t>: Bringing together government, industry, academia, and civil society (a "whole-of-society" approach) helps align targets and ensures a coordinated response to complex challenges. </w:t>
      </w:r>
    </w:p>
    <w:p w14:paraId="07675682" w14:textId="77777777" w:rsidR="00B72516" w:rsidRDefault="001C4389"/>
    <w:sectPr w:rsidR="00B72516" w:rsidSect="00093E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E0339"/>
    <w:multiLevelType w:val="multilevel"/>
    <w:tmpl w:val="BCAED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0B0508"/>
    <w:multiLevelType w:val="multilevel"/>
    <w:tmpl w:val="8160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A5F1E"/>
    <w:multiLevelType w:val="multilevel"/>
    <w:tmpl w:val="B49A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61"/>
    <w:rsid w:val="00093E71"/>
    <w:rsid w:val="001B7C71"/>
    <w:rsid w:val="001C4389"/>
    <w:rsid w:val="001E3E1E"/>
    <w:rsid w:val="004E1A7A"/>
    <w:rsid w:val="00506683"/>
    <w:rsid w:val="00514044"/>
    <w:rsid w:val="005E6E3E"/>
    <w:rsid w:val="00604FA4"/>
    <w:rsid w:val="006140EF"/>
    <w:rsid w:val="00801141"/>
    <w:rsid w:val="00827404"/>
    <w:rsid w:val="009B02AC"/>
    <w:rsid w:val="009D06E5"/>
    <w:rsid w:val="00C67B61"/>
    <w:rsid w:val="00F20BE0"/>
    <w:rsid w:val="00FA3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67116A"/>
  <w15:chartTrackingRefBased/>
  <w15:docId w15:val="{65FA173B-3096-2643-98FA-C345A1E2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eastAsia="Times New Roman" w:hAnsi="Arial" w:cs="Arial"/>
    </w:rPr>
  </w:style>
  <w:style w:type="character" w:customStyle="1" w:styleId="vkekvd">
    <w:name w:val="vkekvd"/>
    <w:basedOn w:val="DefaultParagraphFont"/>
    <w:rsid w:val="00C67B61"/>
  </w:style>
  <w:style w:type="character" w:customStyle="1" w:styleId="t286pc">
    <w:name w:val="t286pc"/>
    <w:basedOn w:val="DefaultParagraphFont"/>
    <w:rsid w:val="00C67B61"/>
  </w:style>
  <w:style w:type="character" w:styleId="Strong">
    <w:name w:val="Strong"/>
    <w:basedOn w:val="DefaultParagraphFont"/>
    <w:uiPriority w:val="22"/>
    <w:qFormat/>
    <w:rsid w:val="00C67B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854971">
      <w:bodyDiv w:val="1"/>
      <w:marLeft w:val="0"/>
      <w:marRight w:val="0"/>
      <w:marTop w:val="0"/>
      <w:marBottom w:val="0"/>
      <w:divBdr>
        <w:top w:val="none" w:sz="0" w:space="0" w:color="auto"/>
        <w:left w:val="none" w:sz="0" w:space="0" w:color="auto"/>
        <w:bottom w:val="none" w:sz="0" w:space="0" w:color="auto"/>
        <w:right w:val="none" w:sz="0" w:space="0" w:color="auto"/>
      </w:divBdr>
      <w:divsChild>
        <w:div w:id="1526364444">
          <w:marLeft w:val="0"/>
          <w:marRight w:val="0"/>
          <w:marTop w:val="300"/>
          <w:marBottom w:val="150"/>
          <w:divBdr>
            <w:top w:val="none" w:sz="0" w:space="0" w:color="auto"/>
            <w:left w:val="none" w:sz="0" w:space="0" w:color="auto"/>
            <w:bottom w:val="none" w:sz="0" w:space="0" w:color="auto"/>
            <w:right w:val="none" w:sz="0" w:space="0" w:color="auto"/>
          </w:divBdr>
        </w:div>
        <w:div w:id="1632707018">
          <w:marLeft w:val="0"/>
          <w:marRight w:val="0"/>
          <w:marTop w:val="150"/>
          <w:marBottom w:val="300"/>
          <w:divBdr>
            <w:top w:val="none" w:sz="0" w:space="0" w:color="auto"/>
            <w:left w:val="none" w:sz="0" w:space="0" w:color="auto"/>
            <w:bottom w:val="none" w:sz="0" w:space="0" w:color="auto"/>
            <w:right w:val="none" w:sz="0" w:space="0" w:color="auto"/>
          </w:divBdr>
        </w:div>
        <w:div w:id="1173303533">
          <w:marLeft w:val="0"/>
          <w:marRight w:val="0"/>
          <w:marTop w:val="300"/>
          <w:marBottom w:val="150"/>
          <w:divBdr>
            <w:top w:val="none" w:sz="0" w:space="0" w:color="auto"/>
            <w:left w:val="none" w:sz="0" w:space="0" w:color="auto"/>
            <w:bottom w:val="none" w:sz="0" w:space="0" w:color="auto"/>
            <w:right w:val="none" w:sz="0" w:space="0" w:color="auto"/>
          </w:divBdr>
        </w:div>
        <w:div w:id="2017489118">
          <w:marLeft w:val="0"/>
          <w:marRight w:val="0"/>
          <w:marTop w:val="150"/>
          <w:marBottom w:val="300"/>
          <w:divBdr>
            <w:top w:val="none" w:sz="0" w:space="0" w:color="auto"/>
            <w:left w:val="none" w:sz="0" w:space="0" w:color="auto"/>
            <w:bottom w:val="none" w:sz="0" w:space="0" w:color="auto"/>
            <w:right w:val="none" w:sz="0" w:space="0" w:color="auto"/>
          </w:divBdr>
        </w:div>
        <w:div w:id="962082687">
          <w:marLeft w:val="0"/>
          <w:marRight w:val="0"/>
          <w:marTop w:val="300"/>
          <w:marBottom w:val="150"/>
          <w:divBdr>
            <w:top w:val="none" w:sz="0" w:space="0" w:color="auto"/>
            <w:left w:val="none" w:sz="0" w:space="0" w:color="auto"/>
            <w:bottom w:val="none" w:sz="0" w:space="0" w:color="auto"/>
            <w:right w:val="none" w:sz="0" w:space="0" w:color="auto"/>
          </w:divBdr>
        </w:div>
        <w:div w:id="617873826">
          <w:marLeft w:val="0"/>
          <w:marRight w:val="0"/>
          <w:marTop w:val="15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James (2114452)</dc:creator>
  <cp:keywords/>
  <dc:description/>
  <cp:lastModifiedBy>Joy James (2114452)</cp:lastModifiedBy>
  <cp:revision>1</cp:revision>
  <cp:lastPrinted>2026-01-04T13:40:00Z</cp:lastPrinted>
  <dcterms:created xsi:type="dcterms:W3CDTF">2026-01-04T13:32:00Z</dcterms:created>
  <dcterms:modified xsi:type="dcterms:W3CDTF">2026-01-04T23:59:00Z</dcterms:modified>
</cp:coreProperties>
</file>