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EE5E80" w14:textId="77777777" w:rsidR="00353741" w:rsidRPr="000F6FC1" w:rsidRDefault="00353741" w:rsidP="000F6FC1">
      <w:pPr>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During the medieval period there was great significance and symbolism associated with death and within a funeral service, and every ritual in surrounding these events. From the last rites and embalming of a dead body to the lengthy funeral procession and service, followed by the burial or entombment. This then often transferred to the elaborate tombs in which they were placed, as well as the effigies atop these tombs, and the increasing number of reliquaries which contained physical reminders of saints, providing a physical connection to the divine.  Whilst the definition of a funeral has changed little over the succeeding centuries (“the ceremonial burial of the dead…with the attendant observances”),</w:t>
      </w:r>
      <w:r w:rsidRPr="000F6FC1">
        <w:rPr>
          <w:rStyle w:val="FootnoteReference"/>
          <w:rFonts w:ascii="Times New Roman" w:hAnsi="Times New Roman" w:cs="Times New Roman"/>
          <w:color w:val="000000" w:themeColor="text1"/>
          <w:sz w:val="24"/>
          <w:szCs w:val="24"/>
        </w:rPr>
        <w:footnoteReference w:id="1"/>
      </w:r>
      <w:r w:rsidRPr="000F6FC1">
        <w:rPr>
          <w:rFonts w:ascii="Times New Roman" w:hAnsi="Times New Roman" w:cs="Times New Roman"/>
          <w:color w:val="000000" w:themeColor="text1"/>
          <w:sz w:val="24"/>
          <w:szCs w:val="24"/>
        </w:rPr>
        <w:t xml:space="preserve"> the elements and appropriate recognition of a death has, in conjunction with the changes within society. Another thing that has changed little is the expense of a funeral, with a lengthy funerary procession, and personal reminders of the deceased still being common. What has changed, however, is the way in which individuals were represented at funerals. Now, photographs are used. In the medieval period: a funerary effigy represented important figures at their funerals, even preceding the coffin. This lavishness was not only reserved for funerals, with it also having a role in the shaping of tombs, which often had effigies atop them. For religious figures who were deemed extremely important or divine, such as Christ, the Virgin, apostles and saints, their lives and items associated with them often became relics. These relics varied from items connected with the individual to parts of their body, such as finger bones or a skull. Reliquaries were also commonly shaped to reflect what was contained within them. This means that reliquaries are often shaped as an extension of the relic, leading to them being in the shape of a body part, such as a head or foot, giving it durability and the saint a physical presence. Despite this, each of these examples was costly, and therefore reserved for the wealthy, or the Church itself. </w:t>
      </w:r>
    </w:p>
    <w:p w14:paraId="6D3E8F92" w14:textId="7FFE4BF0" w:rsidR="002D4EF0" w:rsidRPr="000F6FC1" w:rsidRDefault="002D4EF0" w:rsidP="000F6FC1">
      <w:pPr>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lastRenderedPageBreak/>
        <w:t xml:space="preserve">The importance of a body or body parts can be clearly seen in the </w:t>
      </w:r>
      <w:r w:rsidR="00500A72" w:rsidRPr="000F6FC1">
        <w:rPr>
          <w:rFonts w:ascii="Times New Roman" w:hAnsi="Times New Roman" w:cs="Times New Roman"/>
          <w:color w:val="000000" w:themeColor="text1"/>
          <w:sz w:val="24"/>
          <w:szCs w:val="24"/>
        </w:rPr>
        <w:t>cost</w:t>
      </w:r>
      <w:r w:rsidRPr="000F6FC1">
        <w:rPr>
          <w:rFonts w:ascii="Times New Roman" w:hAnsi="Times New Roman" w:cs="Times New Roman"/>
          <w:color w:val="000000" w:themeColor="text1"/>
          <w:sz w:val="24"/>
          <w:szCs w:val="24"/>
        </w:rPr>
        <w:t>, detail and lavishness of tomb effigies</w:t>
      </w:r>
      <w:r w:rsidR="00500A72" w:rsidRPr="000F6FC1">
        <w:rPr>
          <w:rFonts w:ascii="Times New Roman" w:hAnsi="Times New Roman" w:cs="Times New Roman"/>
          <w:color w:val="000000" w:themeColor="text1"/>
          <w:sz w:val="24"/>
          <w:szCs w:val="24"/>
        </w:rPr>
        <w:t xml:space="preserve"> and their surrounds, as well as in the </w:t>
      </w:r>
      <w:r w:rsidRPr="000F6FC1">
        <w:rPr>
          <w:rFonts w:ascii="Times New Roman" w:hAnsi="Times New Roman" w:cs="Times New Roman"/>
          <w:color w:val="000000" w:themeColor="text1"/>
          <w:sz w:val="24"/>
          <w:szCs w:val="24"/>
        </w:rPr>
        <w:t xml:space="preserve">other </w:t>
      </w:r>
      <w:r w:rsidR="00500A72" w:rsidRPr="000F6FC1">
        <w:rPr>
          <w:rFonts w:ascii="Times New Roman" w:hAnsi="Times New Roman" w:cs="Times New Roman"/>
          <w:color w:val="000000" w:themeColor="text1"/>
          <w:sz w:val="24"/>
          <w:szCs w:val="24"/>
        </w:rPr>
        <w:t xml:space="preserve">popular </w:t>
      </w:r>
      <w:r w:rsidRPr="000F6FC1">
        <w:rPr>
          <w:rFonts w:ascii="Times New Roman" w:hAnsi="Times New Roman" w:cs="Times New Roman"/>
          <w:color w:val="000000" w:themeColor="text1"/>
          <w:sz w:val="24"/>
          <w:szCs w:val="24"/>
        </w:rPr>
        <w:t>methods of d</w:t>
      </w:r>
      <w:r w:rsidR="00DE4818" w:rsidRPr="000F6FC1">
        <w:rPr>
          <w:rFonts w:ascii="Times New Roman" w:hAnsi="Times New Roman" w:cs="Times New Roman"/>
          <w:color w:val="000000" w:themeColor="text1"/>
          <w:sz w:val="24"/>
          <w:szCs w:val="24"/>
        </w:rPr>
        <w:t>i</w:t>
      </w:r>
      <w:r w:rsidRPr="000F6FC1">
        <w:rPr>
          <w:rFonts w:ascii="Times New Roman" w:hAnsi="Times New Roman" w:cs="Times New Roman"/>
          <w:color w:val="000000" w:themeColor="text1"/>
          <w:sz w:val="24"/>
          <w:szCs w:val="24"/>
        </w:rPr>
        <w:t>splaying the individual on the top of</w:t>
      </w:r>
      <w:r w:rsidR="00500A72" w:rsidRPr="000F6FC1">
        <w:rPr>
          <w:rFonts w:ascii="Times New Roman" w:hAnsi="Times New Roman" w:cs="Times New Roman"/>
          <w:color w:val="000000" w:themeColor="text1"/>
          <w:sz w:val="24"/>
          <w:szCs w:val="24"/>
        </w:rPr>
        <w:t>, or surrounding,</w:t>
      </w:r>
      <w:r w:rsidRPr="000F6FC1">
        <w:rPr>
          <w:rFonts w:ascii="Times New Roman" w:hAnsi="Times New Roman" w:cs="Times New Roman"/>
          <w:color w:val="000000" w:themeColor="text1"/>
          <w:sz w:val="24"/>
          <w:szCs w:val="24"/>
        </w:rPr>
        <w:t xml:space="preserve"> their tomb</w:t>
      </w:r>
      <w:r w:rsidR="00500A72" w:rsidRPr="000F6FC1">
        <w:rPr>
          <w:rFonts w:ascii="Times New Roman" w:hAnsi="Times New Roman" w:cs="Times New Roman"/>
          <w:color w:val="000000" w:themeColor="text1"/>
          <w:sz w:val="24"/>
          <w:szCs w:val="24"/>
        </w:rPr>
        <w:t xml:space="preserve"> -</w:t>
      </w:r>
      <w:r w:rsidRPr="000F6FC1">
        <w:rPr>
          <w:rFonts w:ascii="Times New Roman" w:hAnsi="Times New Roman" w:cs="Times New Roman"/>
          <w:color w:val="000000" w:themeColor="text1"/>
          <w:sz w:val="24"/>
          <w:szCs w:val="24"/>
        </w:rPr>
        <w:t xml:space="preserve"> such as cadaver tombs. With the body immortalised in stone atop the tomb, the importance of the body</w:t>
      </w:r>
      <w:r w:rsidR="00DE4818" w:rsidRPr="000F6FC1">
        <w:rPr>
          <w:rFonts w:ascii="Times New Roman" w:hAnsi="Times New Roman" w:cs="Times New Roman"/>
          <w:color w:val="000000" w:themeColor="text1"/>
          <w:sz w:val="24"/>
          <w:szCs w:val="24"/>
        </w:rPr>
        <w:t xml:space="preserve"> and its relation to the purpose of the tomb</w:t>
      </w:r>
      <w:r w:rsidRPr="000F6FC1">
        <w:rPr>
          <w:rFonts w:ascii="Times New Roman" w:hAnsi="Times New Roman" w:cs="Times New Roman"/>
          <w:color w:val="000000" w:themeColor="text1"/>
          <w:sz w:val="24"/>
          <w:szCs w:val="24"/>
        </w:rPr>
        <w:t xml:space="preserve"> is clearly demonstrated. The stone effigy and the cadaver tomb differ in their approach towards this, with the effigy tomb often portraying the deceased favourably, sometimes having been carved years in advance, whereas the cadaver tomb often displays the individual as asleep on the uppermost tier, and the decaying corpse directly on top of the tomb, ‘which represent the processes of death and decomposition on the human body’.</w:t>
      </w:r>
      <w:r w:rsidRPr="000F6FC1">
        <w:rPr>
          <w:rStyle w:val="FootnoteReference"/>
          <w:rFonts w:ascii="Times New Roman" w:hAnsi="Times New Roman" w:cs="Times New Roman"/>
          <w:color w:val="000000" w:themeColor="text1"/>
          <w:sz w:val="24"/>
          <w:szCs w:val="24"/>
        </w:rPr>
        <w:footnoteReference w:id="2"/>
      </w:r>
      <w:r w:rsidRPr="000F6FC1">
        <w:rPr>
          <w:rFonts w:ascii="Times New Roman" w:hAnsi="Times New Roman" w:cs="Times New Roman"/>
          <w:color w:val="000000" w:themeColor="text1"/>
          <w:sz w:val="24"/>
          <w:szCs w:val="24"/>
        </w:rPr>
        <w:t xml:space="preserve"> The popularity of the Cadaver tomb not only demonstrates the high exposure the average medieval person had to death and decay, as well as its acceptance as inevitable,</w:t>
      </w:r>
      <w:r w:rsidRPr="000F6FC1">
        <w:rPr>
          <w:rStyle w:val="FootnoteReference"/>
          <w:rFonts w:ascii="Times New Roman" w:hAnsi="Times New Roman" w:cs="Times New Roman"/>
          <w:color w:val="000000" w:themeColor="text1"/>
          <w:sz w:val="24"/>
          <w:szCs w:val="24"/>
        </w:rPr>
        <w:footnoteReference w:id="3"/>
      </w:r>
      <w:r w:rsidRPr="000F6FC1">
        <w:rPr>
          <w:rFonts w:ascii="Times New Roman" w:hAnsi="Times New Roman" w:cs="Times New Roman"/>
          <w:color w:val="000000" w:themeColor="text1"/>
          <w:sz w:val="24"/>
          <w:szCs w:val="24"/>
        </w:rPr>
        <w:t xml:space="preserve"> but also the importance of the body and its composite parts. This is clearly seen because even the internal organs are displayed, whether as a healthy part, or decaying.</w:t>
      </w:r>
    </w:p>
    <w:p w14:paraId="1416D585" w14:textId="77777777" w:rsidR="002D4EF0" w:rsidRPr="000F6FC1" w:rsidRDefault="002D4EF0" w:rsidP="000F6FC1">
      <w:pPr>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 With the body being represented in two different forms, the importance of the body to the function of the medieval tomb is also illustrated as it is portrayed in two different forms, not including the actual body contained within the tomb. This dual-portrayal can be seen to illustrate the function of the tomb as a temporary vessel for the body, in which it awaits the second coming of Christ, as described in 1 Thessalonians 4:16, which states ‘the dead in Christ shall rise first’.</w:t>
      </w:r>
      <w:r w:rsidRPr="000F6FC1">
        <w:rPr>
          <w:rStyle w:val="FootnoteReference"/>
          <w:rFonts w:ascii="Times New Roman" w:hAnsi="Times New Roman" w:cs="Times New Roman"/>
          <w:color w:val="000000" w:themeColor="text1"/>
          <w:sz w:val="24"/>
          <w:szCs w:val="24"/>
        </w:rPr>
        <w:footnoteReference w:id="4"/>
      </w:r>
      <w:r w:rsidRPr="000F6FC1">
        <w:rPr>
          <w:rFonts w:ascii="Times New Roman" w:hAnsi="Times New Roman" w:cs="Times New Roman"/>
          <w:color w:val="000000" w:themeColor="text1"/>
          <w:sz w:val="24"/>
          <w:szCs w:val="24"/>
        </w:rPr>
        <w:t xml:space="preserve"> This interpretation of a cadaver tomb can be gained as the body is shown as alive and as dead, as stated in this Bible Passage, as well as meaning that it can be identified, </w:t>
      </w:r>
      <w:r w:rsidRPr="000F6FC1">
        <w:rPr>
          <w:rFonts w:ascii="Times New Roman" w:hAnsi="Times New Roman" w:cs="Times New Roman"/>
          <w:color w:val="000000" w:themeColor="text1"/>
          <w:sz w:val="24"/>
          <w:szCs w:val="24"/>
        </w:rPr>
        <w:lastRenderedPageBreak/>
        <w:t xml:space="preserve">regardless of the length of time that passed between the death of the individual, and the Second Coming. This therefore demonstrates the importance of the body as a method of identification for the Second Coming, which was of great import to the medieval person. Regardless of whether an important or wealthy individual chose to be represented through a tomb effigy or a cadaver tomb is unimportant in relation to how they highlight the importance of a body to the function of a tomb. This is because they both show it in the same way – a way of identifying the individual at the time of the second coming, as well as to a highly illiterate audience, whilst also demonstrating the wealth of the deceased. </w:t>
      </w:r>
    </w:p>
    <w:p w14:paraId="33F83AB1" w14:textId="77777777" w:rsidR="00500A72" w:rsidRPr="000F6FC1" w:rsidRDefault="00500A72" w:rsidP="000F6FC1">
      <w:pPr>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A secondary demonstration of this use of effigies is the use of funerary effigies. Through the act of creating a portable representation of what the individual looked like in life, the effigy was a reminder for a funeral congregation of who the dead person had been in life – what they looked like, their status, their wealth, and their importance. Originally made from wood or wax,</w:t>
      </w:r>
      <w:r w:rsidRPr="000F6FC1">
        <w:rPr>
          <w:rStyle w:val="FootnoteReference"/>
          <w:rFonts w:ascii="Times New Roman" w:hAnsi="Times New Roman" w:cs="Times New Roman"/>
          <w:color w:val="000000" w:themeColor="text1"/>
          <w:sz w:val="24"/>
          <w:szCs w:val="24"/>
        </w:rPr>
        <w:footnoteReference w:id="5"/>
      </w:r>
      <w:r w:rsidRPr="000F6FC1">
        <w:rPr>
          <w:rFonts w:ascii="Times New Roman" w:hAnsi="Times New Roman" w:cs="Times New Roman"/>
          <w:color w:val="000000" w:themeColor="text1"/>
          <w:sz w:val="24"/>
          <w:szCs w:val="24"/>
        </w:rPr>
        <w:t xml:space="preserve"> these funerary effigies were created to represent the deceased, both figuratively and physically. As the tomb effigies were designed to be everlasting, it was not unusual for them to require time to be created, or time to be transported from their place of creation to the site of burial, especially if there was a great distance between the two. This provides another use for funerary effigies, as it means they were used in place of a tomb effigy from the time of burial until the arrival of the stone tomb effigy. The use of a funerary effigy once more highlights the importance of bodies and body parts in relation to tombs. Whilst the use and intended purpose of funerary effigies differs from the purpose of stone tomb effigies as they </w:t>
      </w:r>
      <w:r w:rsidRPr="000F6FC1">
        <w:rPr>
          <w:rFonts w:ascii="Times New Roman" w:hAnsi="Times New Roman" w:cs="Times New Roman"/>
          <w:color w:val="000000" w:themeColor="text1"/>
          <w:sz w:val="24"/>
          <w:szCs w:val="24"/>
        </w:rPr>
        <w:lastRenderedPageBreak/>
        <w:t>were not supposed to be a lasting depiction of the deceased,</w:t>
      </w:r>
      <w:r w:rsidRPr="000F6FC1">
        <w:rPr>
          <w:rStyle w:val="FootnoteReference"/>
          <w:rFonts w:ascii="Times New Roman" w:hAnsi="Times New Roman" w:cs="Times New Roman"/>
          <w:color w:val="000000" w:themeColor="text1"/>
          <w:sz w:val="24"/>
          <w:szCs w:val="24"/>
        </w:rPr>
        <w:footnoteReference w:id="6"/>
      </w:r>
      <w:r w:rsidRPr="000F6FC1">
        <w:rPr>
          <w:rFonts w:ascii="Times New Roman" w:hAnsi="Times New Roman" w:cs="Times New Roman"/>
          <w:color w:val="000000" w:themeColor="text1"/>
          <w:sz w:val="24"/>
          <w:szCs w:val="24"/>
        </w:rPr>
        <w:t xml:space="preserve"> they are arguably as important as tomb effigies as they also provide a visual reminder of the individual being buried, even though the body was not being placed under ground. As the funerary effigy was a physical representative of the deceased, to a medieval congregation that was highly illiterate, regardless of the status of those in attendance, arguably the presence of a funerary effigy that can be seen by all, and was carried before the coffin into the Church or Cathedral was as important as the presence of the actual body because it provided a focal point for the congregation,</w:t>
      </w:r>
      <w:r w:rsidRPr="000F6FC1">
        <w:rPr>
          <w:rStyle w:val="FootnoteReference"/>
          <w:rFonts w:ascii="Times New Roman" w:hAnsi="Times New Roman" w:cs="Times New Roman"/>
          <w:color w:val="000000" w:themeColor="text1"/>
          <w:sz w:val="24"/>
          <w:szCs w:val="24"/>
        </w:rPr>
        <w:footnoteReference w:id="7"/>
      </w:r>
      <w:r w:rsidRPr="000F6FC1">
        <w:rPr>
          <w:rFonts w:ascii="Times New Roman" w:hAnsi="Times New Roman" w:cs="Times New Roman"/>
          <w:color w:val="000000" w:themeColor="text1"/>
          <w:sz w:val="24"/>
          <w:szCs w:val="24"/>
        </w:rPr>
        <w:t xml:space="preserve"> something they were unlikely to get from the greatly detailed tomb effigies that succeeded the funerary effigies.   </w:t>
      </w:r>
    </w:p>
    <w:p w14:paraId="01C8F180" w14:textId="77777777" w:rsidR="002E7808" w:rsidRPr="000F6FC1" w:rsidRDefault="002E7808" w:rsidP="000F6FC1">
      <w:pPr>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Another clear demonstration of how important a body or body parts were to the medieval mindset can be seen in the shaping of reliquaries.</w:t>
      </w:r>
      <w:r w:rsidRPr="000F6FC1">
        <w:rPr>
          <w:rStyle w:val="FootnoteReference"/>
          <w:rFonts w:ascii="Times New Roman" w:hAnsi="Times New Roman" w:cs="Times New Roman"/>
          <w:color w:val="000000" w:themeColor="text1"/>
          <w:sz w:val="24"/>
          <w:szCs w:val="24"/>
        </w:rPr>
        <w:footnoteReference w:id="8"/>
      </w:r>
      <w:r w:rsidRPr="000F6FC1">
        <w:rPr>
          <w:rFonts w:ascii="Times New Roman" w:hAnsi="Times New Roman" w:cs="Times New Roman"/>
          <w:color w:val="000000" w:themeColor="text1"/>
          <w:sz w:val="24"/>
          <w:szCs w:val="24"/>
        </w:rPr>
        <w:t xml:space="preserve"> Given that the shape of the reliquary often reflected what was contained, often in an idealised or completed form,</w:t>
      </w:r>
      <w:r w:rsidRPr="000F6FC1">
        <w:rPr>
          <w:rStyle w:val="FootnoteReference"/>
          <w:rFonts w:ascii="Times New Roman" w:hAnsi="Times New Roman" w:cs="Times New Roman"/>
          <w:color w:val="000000" w:themeColor="text1"/>
          <w:sz w:val="24"/>
          <w:szCs w:val="24"/>
        </w:rPr>
        <w:footnoteReference w:id="9"/>
      </w:r>
      <w:r w:rsidRPr="000F6FC1">
        <w:rPr>
          <w:rFonts w:ascii="Times New Roman" w:hAnsi="Times New Roman" w:cs="Times New Roman"/>
          <w:color w:val="000000" w:themeColor="text1"/>
          <w:sz w:val="24"/>
          <w:szCs w:val="24"/>
        </w:rPr>
        <w:t xml:space="preserve"> it is clear to see that body parts had an impact on the relationship the medieval audience had with these relics. Whilst a reliquary appears to be an object that sits on display, in keeping with modern views of churches, museums and historical artefacts as items to be viewed and never handled, this differs from the medieval view and use of a reliquary. To the medieval mindset, however, relics were a form of access to the saints or other holy figures they were connected to,</w:t>
      </w:r>
      <w:r w:rsidRPr="000F6FC1">
        <w:rPr>
          <w:rStyle w:val="FootnoteReference"/>
          <w:rFonts w:ascii="Times New Roman" w:hAnsi="Times New Roman" w:cs="Times New Roman"/>
          <w:color w:val="000000" w:themeColor="text1"/>
          <w:sz w:val="24"/>
          <w:szCs w:val="24"/>
        </w:rPr>
        <w:footnoteReference w:id="10"/>
      </w:r>
      <w:r w:rsidRPr="000F6FC1">
        <w:rPr>
          <w:rFonts w:ascii="Times New Roman" w:hAnsi="Times New Roman" w:cs="Times New Roman"/>
          <w:color w:val="000000" w:themeColor="text1"/>
          <w:sz w:val="24"/>
          <w:szCs w:val="24"/>
        </w:rPr>
        <w:t xml:space="preserve"> and as such were </w:t>
      </w:r>
      <w:r w:rsidRPr="000F6FC1">
        <w:rPr>
          <w:rFonts w:ascii="Times New Roman" w:hAnsi="Times New Roman" w:cs="Times New Roman"/>
          <w:color w:val="000000" w:themeColor="text1"/>
          <w:sz w:val="24"/>
          <w:szCs w:val="24"/>
        </w:rPr>
        <w:lastRenderedPageBreak/>
        <w:t>believed to provide access to the saintly power of that particular saint, often healing,</w:t>
      </w:r>
      <w:r w:rsidRPr="000F6FC1">
        <w:rPr>
          <w:rStyle w:val="FootnoteReference"/>
          <w:rFonts w:ascii="Times New Roman" w:hAnsi="Times New Roman" w:cs="Times New Roman"/>
          <w:color w:val="000000" w:themeColor="text1"/>
          <w:sz w:val="24"/>
          <w:szCs w:val="24"/>
        </w:rPr>
        <w:footnoteReference w:id="11"/>
      </w:r>
      <w:r w:rsidRPr="000F6FC1">
        <w:rPr>
          <w:rFonts w:ascii="Times New Roman" w:hAnsi="Times New Roman" w:cs="Times New Roman"/>
          <w:color w:val="000000" w:themeColor="text1"/>
          <w:sz w:val="24"/>
          <w:szCs w:val="24"/>
        </w:rPr>
        <w:t xml:space="preserve"> as was referenced in the New Testament about objects touched by Jesus or the apostles.</w:t>
      </w:r>
      <w:r w:rsidRPr="000F6FC1">
        <w:rPr>
          <w:rStyle w:val="FootnoteReference"/>
          <w:rFonts w:ascii="Times New Roman" w:hAnsi="Times New Roman" w:cs="Times New Roman"/>
          <w:color w:val="000000" w:themeColor="text1"/>
          <w:sz w:val="24"/>
          <w:szCs w:val="24"/>
        </w:rPr>
        <w:footnoteReference w:id="12"/>
      </w:r>
      <w:r w:rsidRPr="000F6FC1">
        <w:rPr>
          <w:rFonts w:ascii="Times New Roman" w:hAnsi="Times New Roman" w:cs="Times New Roman"/>
          <w:color w:val="000000" w:themeColor="text1"/>
          <w:sz w:val="24"/>
          <w:szCs w:val="24"/>
        </w:rPr>
        <w:t xml:space="preserve"> Popular examples of reliquaries shaped like body parts include hands, arms, feet, and heads such as the St Eustace Head Reliquary, or the Foot Reliquary of St Blaise.</w:t>
      </w:r>
      <w:r w:rsidRPr="000F6FC1">
        <w:rPr>
          <w:rStyle w:val="FootnoteReference"/>
          <w:rFonts w:ascii="Times New Roman" w:hAnsi="Times New Roman" w:cs="Times New Roman"/>
          <w:color w:val="000000" w:themeColor="text1"/>
          <w:sz w:val="24"/>
          <w:szCs w:val="24"/>
        </w:rPr>
        <w:t xml:space="preserve"> </w:t>
      </w:r>
      <w:r w:rsidRPr="000F6FC1">
        <w:rPr>
          <w:rStyle w:val="FootnoteReference"/>
          <w:rFonts w:ascii="Times New Roman" w:hAnsi="Times New Roman" w:cs="Times New Roman"/>
          <w:color w:val="000000" w:themeColor="text1"/>
          <w:sz w:val="24"/>
          <w:szCs w:val="24"/>
        </w:rPr>
        <w:footnoteReference w:id="13"/>
      </w:r>
      <w:r w:rsidRPr="000F6FC1">
        <w:rPr>
          <w:rFonts w:ascii="Times New Roman" w:hAnsi="Times New Roman" w:cs="Times New Roman"/>
          <w:color w:val="000000" w:themeColor="text1"/>
          <w:sz w:val="24"/>
          <w:szCs w:val="24"/>
        </w:rPr>
        <w:t xml:space="preserve">  Because of this great volume of people who accessed the relics and handled the reliquaries, the reliquaries were often extremely lavish, reflecting the importance of what was contained within, thus showing the importance of body parts to reliquaries. </w:t>
      </w:r>
    </w:p>
    <w:p w14:paraId="46206748" w14:textId="63451130" w:rsidR="004615C1" w:rsidRPr="000F6FC1" w:rsidRDefault="004615C1" w:rsidP="000F6FC1">
      <w:pPr>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Another sign of the importance of body parts to reliquaries is that the reliquaries create a barrier between the individual seeking healing and the relic itself. Through the creation of a lavish container two things are achieved. First, the relic is contained in a suitably extravagant vessel, regardless of shape, providing it with a suitable display method, and an increase in material wealth that it previously lacked. The second use for a reliquary was to protect the relic it held. Due to the small and often fragile nature of relics, frequently being bones or bone fragments, it was essential that they were handled by as few people as possible.</w:t>
      </w:r>
      <w:r w:rsidR="006C497A" w:rsidRPr="000F6FC1">
        <w:rPr>
          <w:rStyle w:val="FootnoteReference"/>
          <w:rFonts w:ascii="Times New Roman" w:hAnsi="Times New Roman" w:cs="Times New Roman"/>
          <w:color w:val="000000" w:themeColor="text1"/>
          <w:sz w:val="24"/>
          <w:szCs w:val="24"/>
        </w:rPr>
        <w:footnoteReference w:id="14"/>
      </w:r>
      <w:r w:rsidRPr="000F6FC1">
        <w:rPr>
          <w:rFonts w:ascii="Times New Roman" w:hAnsi="Times New Roman" w:cs="Times New Roman"/>
          <w:color w:val="000000" w:themeColor="text1"/>
          <w:sz w:val="24"/>
          <w:szCs w:val="24"/>
        </w:rPr>
        <w:t xml:space="preserve"> Both of these highlight the important nature of body parts to the medieval mindset and their handling of reliquaries, </w:t>
      </w:r>
      <w:r w:rsidRPr="000F6FC1">
        <w:rPr>
          <w:rFonts w:ascii="Times New Roman" w:hAnsi="Times New Roman" w:cs="Times New Roman"/>
          <w:color w:val="000000" w:themeColor="text1"/>
          <w:sz w:val="24"/>
          <w:szCs w:val="24"/>
        </w:rPr>
        <w:lastRenderedPageBreak/>
        <w:t xml:space="preserve">reflected in the cost of reliquaries and the high level of protection they provide to the relics they held. </w:t>
      </w:r>
    </w:p>
    <w:p w14:paraId="6BF0A654" w14:textId="77777777" w:rsidR="00993E12" w:rsidRPr="000F6FC1" w:rsidRDefault="00993E12" w:rsidP="000F6FC1">
      <w:pPr>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Despite this importance placed on reliquaries containing body parts such as bones, and the sheer volume of this type of relics, arguably the most popular and high-status relics (those connected to Jesus), were not remnants of his body, but rather items that he came into contact with, such as the Turin Shroud,</w:t>
      </w:r>
      <w:r w:rsidRPr="000F6FC1">
        <w:rPr>
          <w:rStyle w:val="FootnoteReference"/>
          <w:rFonts w:ascii="Times New Roman" w:hAnsi="Times New Roman" w:cs="Times New Roman"/>
          <w:color w:val="000000" w:themeColor="text1"/>
          <w:sz w:val="24"/>
          <w:szCs w:val="24"/>
        </w:rPr>
        <w:footnoteReference w:id="15"/>
      </w:r>
      <w:r w:rsidRPr="000F6FC1">
        <w:rPr>
          <w:rFonts w:ascii="Times New Roman" w:hAnsi="Times New Roman" w:cs="Times New Roman"/>
          <w:color w:val="000000" w:themeColor="text1"/>
          <w:sz w:val="24"/>
          <w:szCs w:val="24"/>
        </w:rPr>
        <w:t xml:space="preserve"> or the many shards of the True Cross.</w:t>
      </w:r>
      <w:r w:rsidRPr="000F6FC1">
        <w:rPr>
          <w:rStyle w:val="FootnoteReference"/>
          <w:rFonts w:ascii="Times New Roman" w:hAnsi="Times New Roman" w:cs="Times New Roman"/>
          <w:color w:val="000000" w:themeColor="text1"/>
          <w:sz w:val="24"/>
          <w:szCs w:val="24"/>
        </w:rPr>
        <w:footnoteReference w:id="16"/>
      </w:r>
      <w:r w:rsidRPr="000F6FC1">
        <w:rPr>
          <w:rFonts w:ascii="Times New Roman" w:hAnsi="Times New Roman" w:cs="Times New Roman"/>
          <w:color w:val="000000" w:themeColor="text1"/>
          <w:sz w:val="24"/>
          <w:szCs w:val="24"/>
        </w:rPr>
        <w:t xml:space="preserve"> This therefore suggests that the importance of the reliquary comes, not from its shape or what it held, but rather its supposed divinity, or its contact with a divine individual, such as Jesus, an apostle, or a saint. </w:t>
      </w:r>
    </w:p>
    <w:p w14:paraId="0A29C4E1" w14:textId="77777777" w:rsidR="00993E12" w:rsidRPr="000F6FC1" w:rsidRDefault="00993E12" w:rsidP="000F6FC1">
      <w:pPr>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In contrast to this, the costliness of the reliquary does not clearly correlate with the supposed divinity of a relic, nor with the amount of contact a relic had with the divine. This can evidently be seen when studying the Turin Shroud, as it did not have an expensive reliquary during the medieval period.</w:t>
      </w:r>
      <w:r w:rsidRPr="000F6FC1">
        <w:rPr>
          <w:rStyle w:val="FootnoteReference"/>
          <w:rFonts w:ascii="Times New Roman" w:hAnsi="Times New Roman" w:cs="Times New Roman"/>
          <w:color w:val="000000" w:themeColor="text1"/>
          <w:sz w:val="24"/>
          <w:szCs w:val="24"/>
        </w:rPr>
        <w:t xml:space="preserve"> </w:t>
      </w:r>
      <w:r w:rsidRPr="000F6FC1">
        <w:rPr>
          <w:rStyle w:val="FootnoteReference"/>
          <w:rFonts w:ascii="Times New Roman" w:hAnsi="Times New Roman" w:cs="Times New Roman"/>
          <w:color w:val="000000" w:themeColor="text1"/>
          <w:sz w:val="24"/>
          <w:szCs w:val="24"/>
        </w:rPr>
        <w:footnoteReference w:id="17"/>
      </w:r>
      <w:r w:rsidRPr="000F6FC1">
        <w:rPr>
          <w:rStyle w:val="FootnoteReference"/>
          <w:rFonts w:ascii="Times New Roman" w:hAnsi="Times New Roman" w:cs="Times New Roman"/>
          <w:color w:val="000000" w:themeColor="text1"/>
          <w:sz w:val="24"/>
          <w:szCs w:val="24"/>
        </w:rPr>
        <w:t xml:space="preserve"> </w:t>
      </w:r>
      <w:r w:rsidRPr="000F6FC1">
        <w:rPr>
          <w:rFonts w:ascii="Times New Roman" w:hAnsi="Times New Roman" w:cs="Times New Roman"/>
          <w:color w:val="000000" w:themeColor="text1"/>
          <w:sz w:val="24"/>
          <w:szCs w:val="24"/>
        </w:rPr>
        <w:t xml:space="preserve"> The same can be said for many of the shards of the True Cross, with the vast number of cross fragments having reliquaries that vary greatly in cost, each reflecting its owner and their social standing. This could, however, be partially due to the fact that many, if not all of these relics, are medieval forgeries.</w:t>
      </w:r>
      <w:r w:rsidRPr="000F6FC1">
        <w:rPr>
          <w:rStyle w:val="FootnoteReference"/>
          <w:rFonts w:ascii="Times New Roman" w:hAnsi="Times New Roman" w:cs="Times New Roman"/>
          <w:color w:val="000000" w:themeColor="text1"/>
          <w:sz w:val="24"/>
          <w:szCs w:val="24"/>
        </w:rPr>
        <w:footnoteReference w:id="18"/>
      </w:r>
      <w:r w:rsidRPr="000F6FC1">
        <w:rPr>
          <w:rFonts w:ascii="Times New Roman" w:hAnsi="Times New Roman" w:cs="Times New Roman"/>
          <w:color w:val="000000" w:themeColor="text1"/>
          <w:sz w:val="24"/>
          <w:szCs w:val="24"/>
        </w:rPr>
        <w:t xml:space="preserve"> </w:t>
      </w:r>
    </w:p>
    <w:p w14:paraId="7F728FA0" w14:textId="286B3917" w:rsidR="00993E12" w:rsidRPr="000F6FC1" w:rsidRDefault="00993E12" w:rsidP="000F6FC1">
      <w:pPr>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lastRenderedPageBreak/>
        <w:t xml:space="preserve">The same cannot necessarily be said for many of the reliquaries that house divinely blessed body parts, as many of them are greatly expensive, being embedded with jewels and miniature paintings of saints, saint like acts, or what they contain. This may be because it was easier to decoratively portray the relics that have a connection to a body part, rather than the shroud that covered Jesus’ dead body. It could also be because they were often smaller relics, apart from in the case of skull relics, and were easier to house, although this idea is disproved by the varying decoration on the reliquaries of the True Cross. This variation in decoration could be explained once again by the sombre nature of how an item came to be divine and because the True Cross gained its divinity during the Crucifixion it was deemed to sombre to case it in jewels and other rich items. There are, however, several richly decorated cross reliquaries. Therefore, it is apparent that it is not the sombre nature or size of a relic, nor whether it is a body part or not that impacts on its reliquary, but rather the wealth and means of the individual creating the reliquary, thus meaning that the presence of body parts had little impact on its function as a relic or reliquary. </w:t>
      </w:r>
    </w:p>
    <w:p w14:paraId="0DD8BA0B" w14:textId="77777777" w:rsidR="00F82957" w:rsidRPr="000F6FC1" w:rsidRDefault="00F82957" w:rsidP="000F6FC1">
      <w:pPr>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Further proof that the presence of a body mattered little to the function of a tomb is that only the wealthy could afford to have a tomb or effigy created for their funeral and as a resting place. This is because there were several costs incurred when having a tomb created, whether one on display, or set into the church floor. On top of the purchase of the stone and payment of masons to create the tomb, an individual would have to purchase space for their tomb in a church, with the more holy spaces within an ecclesiastical building costing more. Being buried outside the choir in St Katherine’s Chapel in London, for example, cost ten shillings, whereas being buried </w:t>
      </w:r>
      <w:r w:rsidRPr="000F6FC1">
        <w:rPr>
          <w:rFonts w:ascii="Times New Roman" w:hAnsi="Times New Roman" w:cs="Times New Roman"/>
          <w:color w:val="000000" w:themeColor="text1"/>
          <w:sz w:val="24"/>
          <w:szCs w:val="24"/>
        </w:rPr>
        <w:lastRenderedPageBreak/>
        <w:t>in the Nave cost considerably less at 6 shillings, 8 pence.</w:t>
      </w:r>
      <w:r w:rsidRPr="000F6FC1">
        <w:rPr>
          <w:rStyle w:val="FootnoteReference"/>
          <w:rFonts w:ascii="Times New Roman" w:hAnsi="Times New Roman" w:cs="Times New Roman"/>
          <w:color w:val="000000" w:themeColor="text1"/>
          <w:sz w:val="24"/>
          <w:szCs w:val="24"/>
        </w:rPr>
        <w:footnoteReference w:id="19"/>
      </w:r>
      <w:r w:rsidRPr="000F6FC1">
        <w:rPr>
          <w:rFonts w:ascii="Times New Roman" w:hAnsi="Times New Roman" w:cs="Times New Roman"/>
          <w:color w:val="000000" w:themeColor="text1"/>
          <w:sz w:val="24"/>
          <w:szCs w:val="24"/>
        </w:rPr>
        <w:t xml:space="preserve"> This clearly shows that what was important to a medieval mind in terms of what affected the functionality of a tomb was the holiness of the location for the tomb, or a show of the wealth controlled by the deceased or their family, rather than the body being buried there. </w:t>
      </w:r>
    </w:p>
    <w:p w14:paraId="4E660386" w14:textId="77777777" w:rsidR="00F82957" w:rsidRPr="000F6FC1" w:rsidRDefault="00F82957" w:rsidP="000F6FC1">
      <w:pPr>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On the other hand, the wealth of a deceased individual and the display of their body at their funeral may be closely connected. If this is the case, it would mean that a body would have an exceedingly important connection to the functionality of a tomb and its display.  This is because the public death, funeral and grand memorialisation of an individual proved their death for all to see. To the wealthy or people of importance, such as the nobility or royal families, dying was a very public event, attended by a variety of important figures. This was extended by having a large and lavish funeral. By doing so, the death of an individual was proven, preventing claims that they were still alive or that there were rival claimants to a title. One example of where this would have prevented future issues was with Richard, Duke of York who disappeared from the Tower of London in 1483, leading to people claiming to be him to cause issues for Henry VII over the legitimate ruler of England.</w:t>
      </w:r>
      <w:r w:rsidRPr="000F6FC1">
        <w:rPr>
          <w:rStyle w:val="FootnoteReference"/>
          <w:rFonts w:ascii="Times New Roman" w:hAnsi="Times New Roman" w:cs="Times New Roman"/>
          <w:color w:val="000000" w:themeColor="text1"/>
          <w:sz w:val="24"/>
          <w:szCs w:val="24"/>
        </w:rPr>
        <w:footnoteReference w:id="20"/>
      </w:r>
      <w:r w:rsidRPr="000F6FC1">
        <w:rPr>
          <w:rFonts w:ascii="Times New Roman" w:hAnsi="Times New Roman" w:cs="Times New Roman"/>
          <w:color w:val="000000" w:themeColor="text1"/>
          <w:sz w:val="24"/>
          <w:szCs w:val="24"/>
        </w:rPr>
        <w:t xml:space="preserve"> Whilst this may not appear to have any impact on the need for bodies or body parts to be interred on consecrated ground, it caused many problems for the future rulers of England, which could, arguably, have been prevented if Richard of York had been buried in a tomb.</w:t>
      </w:r>
      <w:r w:rsidRPr="000F6FC1">
        <w:rPr>
          <w:rStyle w:val="FootnoteReference"/>
          <w:rFonts w:ascii="Times New Roman" w:hAnsi="Times New Roman" w:cs="Times New Roman"/>
          <w:color w:val="000000" w:themeColor="text1"/>
          <w:sz w:val="24"/>
          <w:szCs w:val="24"/>
        </w:rPr>
        <w:footnoteReference w:id="21"/>
      </w:r>
      <w:r w:rsidRPr="000F6FC1">
        <w:rPr>
          <w:rFonts w:ascii="Times New Roman" w:hAnsi="Times New Roman" w:cs="Times New Roman"/>
          <w:color w:val="000000" w:themeColor="text1"/>
          <w:sz w:val="24"/>
          <w:szCs w:val="24"/>
        </w:rPr>
        <w:t xml:space="preserve"> </w:t>
      </w:r>
    </w:p>
    <w:p w14:paraId="6B44BEC9" w14:textId="77777777" w:rsidR="00AD39BC" w:rsidRPr="000F6FC1" w:rsidRDefault="00AD39BC" w:rsidP="000F6FC1">
      <w:pPr>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Regardless of whether or not tombs were a display of wealth, a way of being buried in a holier part of the church, or simply a form of being buried in a more extravagant manner to reflect </w:t>
      </w:r>
      <w:r w:rsidRPr="000F6FC1">
        <w:rPr>
          <w:rFonts w:ascii="Times New Roman" w:hAnsi="Times New Roman" w:cs="Times New Roman"/>
          <w:color w:val="000000" w:themeColor="text1"/>
          <w:sz w:val="24"/>
          <w:szCs w:val="24"/>
        </w:rPr>
        <w:lastRenderedPageBreak/>
        <w:t>their status in life, tombs and burial, the burial of a body was only ever viewed as temporary. This is due to the ideas that surrounded the Last Judgement and the second coming of Christ in the Bible. Both the book of the Thessalonians and the book of Revelations make references to the end of the World,</w:t>
      </w:r>
      <w:r w:rsidRPr="000F6FC1">
        <w:rPr>
          <w:rStyle w:val="FootnoteReference"/>
          <w:rFonts w:ascii="Times New Roman" w:hAnsi="Times New Roman" w:cs="Times New Roman"/>
          <w:color w:val="000000" w:themeColor="text1"/>
          <w:sz w:val="24"/>
          <w:szCs w:val="24"/>
        </w:rPr>
        <w:footnoteReference w:id="22"/>
      </w:r>
      <w:r w:rsidRPr="000F6FC1">
        <w:rPr>
          <w:rFonts w:ascii="Times New Roman" w:hAnsi="Times New Roman" w:cs="Times New Roman"/>
          <w:color w:val="000000" w:themeColor="text1"/>
          <w:sz w:val="24"/>
          <w:szCs w:val="24"/>
        </w:rPr>
        <w:t xml:space="preserve"> and the continued afterlife: either in Heaven or in Hell. These biblical ideas spawned all kinds of practices, the most popular and long lasting of which is the need for a body to have a marked resting place in consecrated ground. Because of these biblical passages, the need for being buried in a marked grave or tomb became even more important, with artists portraying these scenes as people rising from their graves.</w:t>
      </w:r>
      <w:r w:rsidRPr="000F6FC1">
        <w:rPr>
          <w:rStyle w:val="FootnoteReference"/>
          <w:rFonts w:ascii="Times New Roman" w:hAnsi="Times New Roman" w:cs="Times New Roman"/>
          <w:color w:val="000000" w:themeColor="text1"/>
          <w:sz w:val="24"/>
          <w:szCs w:val="24"/>
        </w:rPr>
        <w:footnoteReference w:id="23"/>
      </w:r>
      <w:r w:rsidRPr="000F6FC1">
        <w:rPr>
          <w:rFonts w:ascii="Times New Roman" w:hAnsi="Times New Roman" w:cs="Times New Roman"/>
          <w:color w:val="000000" w:themeColor="text1"/>
          <w:sz w:val="24"/>
          <w:szCs w:val="24"/>
        </w:rPr>
        <w:t xml:space="preserve"> This therefore implies that a body was key to the functionality of a tomb, because without a body, the tomb has no purpose. </w:t>
      </w:r>
    </w:p>
    <w:p w14:paraId="47581988" w14:textId="77777777" w:rsidR="00AD39BC" w:rsidRPr="000F6FC1" w:rsidRDefault="00AD39BC" w:rsidP="000F6FC1">
      <w:pPr>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This idea can also be transferred to reliquaries for body parts, and how important the body parts are to these. This is because the average medieval person believed that, come the apocalypse, the body would be made whole once more – although ideas on this differed.</w:t>
      </w:r>
      <w:r w:rsidRPr="000F6FC1">
        <w:rPr>
          <w:rStyle w:val="FootnoteReference"/>
          <w:rFonts w:ascii="Times New Roman" w:hAnsi="Times New Roman" w:cs="Times New Roman"/>
          <w:color w:val="000000" w:themeColor="text1"/>
          <w:sz w:val="24"/>
          <w:szCs w:val="24"/>
        </w:rPr>
        <w:footnoteReference w:id="24"/>
      </w:r>
      <w:r w:rsidRPr="000F6FC1">
        <w:rPr>
          <w:rFonts w:ascii="Times New Roman" w:hAnsi="Times New Roman" w:cs="Times New Roman"/>
          <w:color w:val="000000" w:themeColor="text1"/>
          <w:sz w:val="24"/>
          <w:szCs w:val="24"/>
        </w:rPr>
        <w:t xml:space="preserve"> Whether it meant the reunification of the body and soul as one being, or the reunification of a body with its lost limbs was not clear, and both of these ideas were believed by different people and they were both popular during the medieval period. Because of this, it was essential that the body parts of holy individuals could be identified and joined back with the rest of their body, allowing them to enter Heaven and be reunited with their souls. </w:t>
      </w:r>
    </w:p>
    <w:p w14:paraId="5E2AAF9F" w14:textId="77777777" w:rsidR="00A3240E" w:rsidRPr="000F6FC1" w:rsidRDefault="00A3240E" w:rsidP="000F6FC1">
      <w:pPr>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Each of these aforementioned ideas highlight the great importance of tombs and reliquaries in the medieval period. What they do not clearly show, however, is whether the body or body part </w:t>
      </w:r>
      <w:r w:rsidRPr="000F6FC1">
        <w:rPr>
          <w:rFonts w:ascii="Times New Roman" w:hAnsi="Times New Roman" w:cs="Times New Roman"/>
          <w:color w:val="000000" w:themeColor="text1"/>
          <w:sz w:val="24"/>
          <w:szCs w:val="24"/>
        </w:rPr>
        <w:lastRenderedPageBreak/>
        <w:t xml:space="preserve">had an impact of this, especially as there are a myriad of other reasons for the importance that was associated with it. It could be that tombs were a reflection of the wealth held in life, individual or societal piety, or a continuation of the respect expected to be directed at elders and/or social superiors. </w:t>
      </w:r>
    </w:p>
    <w:p w14:paraId="0F9B3902" w14:textId="4324FA7D" w:rsidR="00CC3176" w:rsidRPr="000F6FC1" w:rsidRDefault="00CC3176" w:rsidP="000F6FC1">
      <w:pPr>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In conclusion, there were many different reasons that affected the functionality of tombs and reliquaries. Many of these were connected to Christianity and ideas gained from the Bible and various interpretations of this, many of which depended on the wealth of those interpreting it. Regardless of this, bodies and body parts clearly had a great impact on the functionality of tombs and reliquaries, even if this impact was reduced by the impact of wealth, piety and the sobriety associated with a death or relic. This is due to the importance of death requiring a visual representation for a highly ill</w:t>
      </w:r>
      <w:r w:rsidR="00CC1641" w:rsidRPr="000F6FC1">
        <w:rPr>
          <w:rFonts w:ascii="Times New Roman" w:hAnsi="Times New Roman" w:cs="Times New Roman"/>
          <w:color w:val="000000" w:themeColor="text1"/>
          <w:sz w:val="24"/>
          <w:szCs w:val="24"/>
        </w:rPr>
        <w:t xml:space="preserve">iterate audience, meaning that </w:t>
      </w:r>
      <w:r w:rsidRPr="000F6FC1">
        <w:rPr>
          <w:rFonts w:ascii="Times New Roman" w:hAnsi="Times New Roman" w:cs="Times New Roman"/>
          <w:color w:val="000000" w:themeColor="text1"/>
          <w:sz w:val="24"/>
          <w:szCs w:val="24"/>
        </w:rPr>
        <w:t xml:space="preserve">whether these were actual bodies, created from stone for the tops of tombs as effigies or cadaver tombs, or carved from wood and wax as funerary effigies was mostly unimportant. </w:t>
      </w:r>
    </w:p>
    <w:p w14:paraId="462ADF4A" w14:textId="7D9A8B51" w:rsidR="000F6FC1" w:rsidRPr="000F6FC1" w:rsidRDefault="000F6FC1" w:rsidP="000F6FC1">
      <w:pPr>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br w:type="page"/>
      </w:r>
    </w:p>
    <w:p w14:paraId="627FDAD8" w14:textId="77777777" w:rsidR="000F6FC1" w:rsidRPr="000F6FC1" w:rsidRDefault="000F6FC1" w:rsidP="000F6FC1">
      <w:pPr>
        <w:spacing w:line="480" w:lineRule="auto"/>
        <w:jc w:val="both"/>
        <w:rPr>
          <w:rFonts w:ascii="Times New Roman" w:hAnsi="Times New Roman" w:cs="Times New Roman"/>
          <w:color w:val="000000" w:themeColor="text1"/>
          <w:sz w:val="24"/>
          <w:szCs w:val="24"/>
          <w:u w:val="single"/>
        </w:rPr>
      </w:pPr>
      <w:r w:rsidRPr="000F6FC1">
        <w:rPr>
          <w:rFonts w:ascii="Times New Roman" w:hAnsi="Times New Roman" w:cs="Times New Roman"/>
          <w:color w:val="000000" w:themeColor="text1"/>
          <w:sz w:val="24"/>
          <w:szCs w:val="24"/>
          <w:u w:val="single"/>
        </w:rPr>
        <w:lastRenderedPageBreak/>
        <w:t>Bibliography</w:t>
      </w:r>
    </w:p>
    <w:p w14:paraId="5DFB7BB1" w14:textId="77777777" w:rsidR="000F6FC1" w:rsidRPr="000F6FC1" w:rsidRDefault="000F6FC1" w:rsidP="000F6FC1">
      <w:pPr>
        <w:spacing w:line="480" w:lineRule="auto"/>
        <w:jc w:val="both"/>
        <w:rPr>
          <w:rFonts w:ascii="Times New Roman" w:hAnsi="Times New Roman" w:cs="Times New Roman"/>
          <w:color w:val="000000" w:themeColor="text1"/>
          <w:sz w:val="24"/>
          <w:szCs w:val="24"/>
          <w:u w:val="single"/>
        </w:rPr>
      </w:pPr>
      <w:r w:rsidRPr="000F6FC1">
        <w:rPr>
          <w:rFonts w:ascii="Times New Roman" w:hAnsi="Times New Roman" w:cs="Times New Roman"/>
          <w:color w:val="000000" w:themeColor="text1"/>
          <w:sz w:val="24"/>
          <w:szCs w:val="24"/>
          <w:u w:val="single"/>
        </w:rPr>
        <w:t>Primary Sources</w:t>
      </w:r>
    </w:p>
    <w:p w14:paraId="13C50C5F" w14:textId="77777777" w:rsidR="000F6FC1" w:rsidRPr="000F6FC1" w:rsidRDefault="000F6FC1" w:rsidP="000F6FC1">
      <w:pPr>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The King James Bible, Revelations 20:5-6.</w:t>
      </w:r>
    </w:p>
    <w:p w14:paraId="09784E8A" w14:textId="77777777" w:rsidR="000F6FC1" w:rsidRPr="000F6FC1" w:rsidRDefault="000F6FC1" w:rsidP="000F6FC1">
      <w:pPr>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The King James Bible, 1 Thessalonians 4:16.</w:t>
      </w:r>
    </w:p>
    <w:p w14:paraId="6769B62F" w14:textId="77777777" w:rsidR="000F6FC1" w:rsidRPr="000F6FC1" w:rsidRDefault="000F6FC1" w:rsidP="000F6FC1">
      <w:pPr>
        <w:spacing w:line="480" w:lineRule="auto"/>
        <w:jc w:val="both"/>
        <w:rPr>
          <w:rFonts w:ascii="Times New Roman" w:hAnsi="Times New Roman" w:cs="Times New Roman"/>
          <w:color w:val="000000" w:themeColor="text1"/>
          <w:sz w:val="24"/>
          <w:szCs w:val="24"/>
          <w:u w:val="single"/>
        </w:rPr>
      </w:pPr>
      <w:r w:rsidRPr="000F6FC1">
        <w:rPr>
          <w:rFonts w:ascii="Times New Roman" w:hAnsi="Times New Roman" w:cs="Times New Roman"/>
          <w:color w:val="000000" w:themeColor="text1"/>
          <w:sz w:val="24"/>
          <w:szCs w:val="24"/>
          <w:u w:val="single"/>
        </w:rPr>
        <w:t>Secondary Sources</w:t>
      </w:r>
    </w:p>
    <w:p w14:paraId="5D7F0FCD" w14:textId="77777777" w:rsidR="000F6FC1" w:rsidRPr="000F6FC1" w:rsidRDefault="000F6FC1" w:rsidP="000F6FC1">
      <w:pPr>
        <w:spacing w:line="480" w:lineRule="auto"/>
        <w:jc w:val="both"/>
        <w:rPr>
          <w:rFonts w:ascii="Times New Roman" w:hAnsi="Times New Roman" w:cs="Times New Roman"/>
          <w:color w:val="000000" w:themeColor="text1"/>
          <w:sz w:val="24"/>
          <w:szCs w:val="24"/>
          <w:u w:val="single"/>
        </w:rPr>
      </w:pPr>
      <w:r w:rsidRPr="000F6FC1">
        <w:rPr>
          <w:rFonts w:ascii="Times New Roman" w:hAnsi="Times New Roman" w:cs="Times New Roman"/>
          <w:color w:val="000000" w:themeColor="text1"/>
          <w:sz w:val="24"/>
          <w:szCs w:val="24"/>
          <w:u w:val="single"/>
        </w:rPr>
        <w:t>Journal Articles</w:t>
      </w:r>
    </w:p>
    <w:p w14:paraId="6E8E066F" w14:textId="77777777" w:rsidR="000F6FC1" w:rsidRPr="000F6FC1" w:rsidRDefault="000F6FC1" w:rsidP="000F6FC1">
      <w:pPr>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Leone, M. ‘Wrapping Transcendence: The Semiotics of Reliquaries’, </w:t>
      </w:r>
      <w:r w:rsidRPr="000F6FC1">
        <w:rPr>
          <w:rFonts w:ascii="Times New Roman" w:hAnsi="Times New Roman" w:cs="Times New Roman"/>
          <w:i/>
          <w:color w:val="000000" w:themeColor="text1"/>
          <w:sz w:val="24"/>
          <w:szCs w:val="24"/>
        </w:rPr>
        <w:t>Signs and Society,</w:t>
      </w:r>
      <w:r w:rsidRPr="000F6FC1">
        <w:rPr>
          <w:rFonts w:ascii="Times New Roman" w:hAnsi="Times New Roman" w:cs="Times New Roman"/>
          <w:color w:val="000000" w:themeColor="text1"/>
          <w:sz w:val="24"/>
          <w:szCs w:val="24"/>
        </w:rPr>
        <w:t xml:space="preserve"> vol. 2: (2014), pp. 49-83.</w:t>
      </w:r>
    </w:p>
    <w:p w14:paraId="5999BDCB" w14:textId="77777777" w:rsidR="000F6FC1" w:rsidRPr="000F6FC1" w:rsidRDefault="000F6FC1" w:rsidP="000F6FC1">
      <w:pPr>
        <w:spacing w:line="480" w:lineRule="auto"/>
        <w:jc w:val="both"/>
        <w:rPr>
          <w:rFonts w:ascii="Times New Roman" w:hAnsi="Times New Roman" w:cs="Times New Roman"/>
          <w:color w:val="000000" w:themeColor="text1"/>
          <w:sz w:val="24"/>
          <w:szCs w:val="24"/>
          <w:u w:val="single"/>
        </w:rPr>
      </w:pPr>
      <w:r w:rsidRPr="000F6FC1">
        <w:rPr>
          <w:rFonts w:ascii="Times New Roman" w:hAnsi="Times New Roman" w:cs="Times New Roman"/>
          <w:color w:val="000000" w:themeColor="text1"/>
          <w:sz w:val="24"/>
          <w:szCs w:val="24"/>
          <w:u w:val="single"/>
        </w:rPr>
        <w:t>Secondary Source Texts</w:t>
      </w:r>
    </w:p>
    <w:p w14:paraId="7A12FD1E" w14:textId="61030A7A" w:rsidR="000F6FC1" w:rsidRPr="000F6FC1" w:rsidRDefault="000F6FC1" w:rsidP="000F6FC1">
      <w:pPr>
        <w:pStyle w:val="FootnoteText"/>
        <w:spacing w:line="480" w:lineRule="auto"/>
        <w:jc w:val="both"/>
        <w:rPr>
          <w:rFonts w:ascii="Times New Roman" w:hAnsi="Times New Roman" w:cs="Times New Roman"/>
          <w:i/>
          <w:color w:val="000000" w:themeColor="text1"/>
          <w:sz w:val="24"/>
          <w:szCs w:val="24"/>
        </w:rPr>
      </w:pPr>
      <w:r w:rsidRPr="000F6FC1">
        <w:rPr>
          <w:rFonts w:ascii="Times New Roman" w:hAnsi="Times New Roman" w:cs="Times New Roman"/>
          <w:color w:val="000000" w:themeColor="text1"/>
          <w:sz w:val="24"/>
          <w:szCs w:val="24"/>
        </w:rPr>
        <w:t xml:space="preserve">Aberth, J. </w:t>
      </w:r>
      <w:r w:rsidRPr="000F6FC1">
        <w:rPr>
          <w:rFonts w:ascii="Times New Roman" w:hAnsi="Times New Roman" w:cs="Times New Roman"/>
          <w:i/>
          <w:color w:val="000000" w:themeColor="text1"/>
          <w:sz w:val="24"/>
          <w:szCs w:val="24"/>
        </w:rPr>
        <w:t xml:space="preserve">From the Brink of Apocalypse: Confronting Famine, War, Plague and Death in the Later Middle Ages </w:t>
      </w:r>
      <w:r w:rsidRPr="000F6FC1">
        <w:rPr>
          <w:rFonts w:ascii="Times New Roman" w:hAnsi="Times New Roman" w:cs="Times New Roman"/>
          <w:color w:val="000000" w:themeColor="text1"/>
          <w:sz w:val="24"/>
          <w:szCs w:val="24"/>
        </w:rPr>
        <w:t xml:space="preserve">(London: </w:t>
      </w:r>
      <w:r w:rsidR="005A3A1B" w:rsidRPr="000F6FC1">
        <w:rPr>
          <w:rFonts w:ascii="Times New Roman" w:hAnsi="Times New Roman" w:cs="Times New Roman"/>
          <w:color w:val="000000" w:themeColor="text1"/>
          <w:sz w:val="24"/>
          <w:szCs w:val="24"/>
        </w:rPr>
        <w:t>Routledge</w:t>
      </w:r>
      <w:r w:rsidRPr="000F6FC1">
        <w:rPr>
          <w:rFonts w:ascii="Times New Roman" w:hAnsi="Times New Roman" w:cs="Times New Roman"/>
          <w:color w:val="000000" w:themeColor="text1"/>
          <w:sz w:val="24"/>
          <w:szCs w:val="24"/>
        </w:rPr>
        <w:t xml:space="preserve">, 2001). </w:t>
      </w:r>
      <w:r w:rsidRPr="000F6FC1">
        <w:rPr>
          <w:rFonts w:ascii="Times New Roman" w:hAnsi="Times New Roman" w:cs="Times New Roman"/>
          <w:i/>
          <w:color w:val="000000" w:themeColor="text1"/>
          <w:sz w:val="24"/>
          <w:szCs w:val="24"/>
        </w:rPr>
        <w:t xml:space="preserve"> </w:t>
      </w:r>
    </w:p>
    <w:p w14:paraId="45856913"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Anon., </w:t>
      </w:r>
      <w:r w:rsidRPr="000F6FC1">
        <w:rPr>
          <w:rFonts w:ascii="Times New Roman" w:hAnsi="Times New Roman" w:cs="Times New Roman"/>
          <w:i/>
          <w:color w:val="000000" w:themeColor="text1"/>
          <w:sz w:val="24"/>
          <w:szCs w:val="24"/>
        </w:rPr>
        <w:t>A Dictionary of World History (2</w:t>
      </w:r>
      <w:r w:rsidRPr="000F6FC1">
        <w:rPr>
          <w:rFonts w:ascii="Times New Roman" w:hAnsi="Times New Roman" w:cs="Times New Roman"/>
          <w:i/>
          <w:color w:val="000000" w:themeColor="text1"/>
          <w:sz w:val="24"/>
          <w:szCs w:val="24"/>
          <w:vertAlign w:val="superscript"/>
        </w:rPr>
        <w:t>nd</w:t>
      </w:r>
      <w:r w:rsidRPr="000F6FC1">
        <w:rPr>
          <w:rFonts w:ascii="Times New Roman" w:hAnsi="Times New Roman" w:cs="Times New Roman"/>
          <w:i/>
          <w:color w:val="000000" w:themeColor="text1"/>
          <w:sz w:val="24"/>
          <w:szCs w:val="24"/>
        </w:rPr>
        <w:t xml:space="preserve"> ed.) </w:t>
      </w:r>
      <w:r w:rsidRPr="000F6FC1">
        <w:rPr>
          <w:rFonts w:ascii="Times New Roman" w:hAnsi="Times New Roman" w:cs="Times New Roman"/>
          <w:color w:val="000000" w:themeColor="text1"/>
          <w:sz w:val="24"/>
          <w:szCs w:val="24"/>
        </w:rPr>
        <w:t xml:space="preserve">ed. E. Wright (Oxford: Oxford University Press, 2006), Accessed online. Available on: </w:t>
      </w:r>
    </w:p>
    <w:p w14:paraId="2A1CDD70"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hyperlink r:id="rId8" w:history="1">
        <w:r w:rsidRPr="000F6FC1">
          <w:rPr>
            <w:rStyle w:val="Hyperlink"/>
            <w:rFonts w:ascii="Times New Roman" w:hAnsi="Times New Roman" w:cs="Times New Roman"/>
            <w:color w:val="000000" w:themeColor="text1"/>
            <w:sz w:val="24"/>
            <w:szCs w:val="24"/>
          </w:rPr>
          <w:t>http://www.oxfordreference.com.ezproxy.uwtsd.ac.uk/view/10.1093/acref/9780192807007.001.0001/acref-9780192807007-e-3730?rskey=gOXpg2&amp;result=3762</w:t>
        </w:r>
      </w:hyperlink>
      <w:r w:rsidRPr="000F6FC1">
        <w:rPr>
          <w:rFonts w:ascii="Times New Roman" w:hAnsi="Times New Roman" w:cs="Times New Roman"/>
          <w:color w:val="000000" w:themeColor="text1"/>
          <w:sz w:val="24"/>
          <w:szCs w:val="24"/>
        </w:rPr>
        <w:t xml:space="preserve"> </w:t>
      </w:r>
    </w:p>
    <w:p w14:paraId="3067DBDE"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Accessed on [09/01/2018]. </w:t>
      </w:r>
    </w:p>
    <w:p w14:paraId="1B6AA6BF"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Anon, </w:t>
      </w:r>
      <w:r w:rsidRPr="000F6FC1">
        <w:rPr>
          <w:rFonts w:ascii="Times New Roman" w:hAnsi="Times New Roman" w:cs="Times New Roman"/>
          <w:i/>
          <w:color w:val="000000" w:themeColor="text1"/>
          <w:sz w:val="24"/>
          <w:szCs w:val="24"/>
        </w:rPr>
        <w:t xml:space="preserve">The Oxford Dictionary of Byzantium </w:t>
      </w:r>
      <w:r w:rsidRPr="000F6FC1">
        <w:rPr>
          <w:rFonts w:ascii="Times New Roman" w:hAnsi="Times New Roman" w:cs="Times New Roman"/>
          <w:color w:val="000000" w:themeColor="text1"/>
          <w:sz w:val="24"/>
          <w:szCs w:val="24"/>
        </w:rPr>
        <w:t>ed. A. P. Kazhdan (Oxford: Oxford University Press, 2005), Accessed online. Available on:</w:t>
      </w:r>
    </w:p>
    <w:p w14:paraId="658BB1B8"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 </w:t>
      </w:r>
      <w:hyperlink r:id="rId9" w:history="1">
        <w:r w:rsidRPr="000F6FC1">
          <w:rPr>
            <w:rStyle w:val="Hyperlink"/>
            <w:rFonts w:ascii="Times New Roman" w:hAnsi="Times New Roman" w:cs="Times New Roman"/>
            <w:color w:val="000000" w:themeColor="text1"/>
            <w:sz w:val="24"/>
            <w:szCs w:val="24"/>
          </w:rPr>
          <w:t>http://www.oxfordreference.com.ezproxy.uwtsd.ac.uk/view/10.1093/acref/9780195046526.001.0001/acref-9780195046526-e-5612</w:t>
        </w:r>
      </w:hyperlink>
      <w:r w:rsidRPr="000F6FC1">
        <w:rPr>
          <w:rFonts w:ascii="Times New Roman" w:hAnsi="Times New Roman" w:cs="Times New Roman"/>
          <w:color w:val="000000" w:themeColor="text1"/>
          <w:sz w:val="24"/>
          <w:szCs w:val="24"/>
        </w:rPr>
        <w:t xml:space="preserve">  Accessed on [09/01/2018]. </w:t>
      </w:r>
    </w:p>
    <w:p w14:paraId="3B2DD2DC"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lastRenderedPageBreak/>
        <w:t xml:space="preserve">Anon., </w:t>
      </w:r>
      <w:r w:rsidRPr="000F6FC1">
        <w:rPr>
          <w:rFonts w:ascii="Times New Roman" w:hAnsi="Times New Roman" w:cs="Times New Roman"/>
          <w:i/>
          <w:color w:val="000000" w:themeColor="text1"/>
          <w:sz w:val="24"/>
          <w:szCs w:val="24"/>
        </w:rPr>
        <w:t xml:space="preserve">Encyclopedia of Death and the Human Experience: Volume 2, </w:t>
      </w:r>
      <w:r w:rsidRPr="000F6FC1">
        <w:rPr>
          <w:rFonts w:ascii="Times New Roman" w:hAnsi="Times New Roman" w:cs="Times New Roman"/>
          <w:color w:val="000000" w:themeColor="text1"/>
          <w:sz w:val="24"/>
          <w:szCs w:val="24"/>
        </w:rPr>
        <w:t>ed.</w:t>
      </w:r>
      <w:r w:rsidRPr="000F6FC1">
        <w:rPr>
          <w:rFonts w:ascii="Times New Roman" w:hAnsi="Times New Roman" w:cs="Times New Roman"/>
          <w:i/>
          <w:color w:val="000000" w:themeColor="text1"/>
          <w:sz w:val="24"/>
          <w:szCs w:val="24"/>
        </w:rPr>
        <w:t xml:space="preserve"> </w:t>
      </w:r>
      <w:r w:rsidRPr="000F6FC1">
        <w:rPr>
          <w:rFonts w:ascii="Times New Roman" w:hAnsi="Times New Roman" w:cs="Times New Roman"/>
          <w:color w:val="000000" w:themeColor="text1"/>
          <w:sz w:val="24"/>
          <w:szCs w:val="24"/>
        </w:rPr>
        <w:t>Bryant, C.D. and Peck, D. L. (London: Sage Publications Inc., 2009).</w:t>
      </w:r>
    </w:p>
    <w:p w14:paraId="67FF14CA" w14:textId="0E0F83E6"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Daniell, C. </w:t>
      </w:r>
      <w:r w:rsidRPr="000F6FC1">
        <w:rPr>
          <w:rFonts w:ascii="Times New Roman" w:hAnsi="Times New Roman" w:cs="Times New Roman"/>
          <w:i/>
          <w:color w:val="000000" w:themeColor="text1"/>
          <w:sz w:val="24"/>
          <w:szCs w:val="24"/>
        </w:rPr>
        <w:t>Death and Burial in Medieval England 1066-1550,</w:t>
      </w:r>
      <w:r w:rsidRPr="000F6FC1">
        <w:rPr>
          <w:rFonts w:ascii="Times New Roman" w:hAnsi="Times New Roman" w:cs="Times New Roman"/>
          <w:color w:val="000000" w:themeColor="text1"/>
          <w:sz w:val="24"/>
          <w:szCs w:val="24"/>
        </w:rPr>
        <w:t xml:space="preserve"> (London: </w:t>
      </w:r>
      <w:r w:rsidR="005A3A1B" w:rsidRPr="000F6FC1">
        <w:rPr>
          <w:rFonts w:ascii="Times New Roman" w:hAnsi="Times New Roman" w:cs="Times New Roman"/>
          <w:color w:val="000000" w:themeColor="text1"/>
          <w:sz w:val="24"/>
          <w:szCs w:val="24"/>
        </w:rPr>
        <w:t>Routledge</w:t>
      </w:r>
      <w:r w:rsidRPr="000F6FC1">
        <w:rPr>
          <w:rFonts w:ascii="Times New Roman" w:hAnsi="Times New Roman" w:cs="Times New Roman"/>
          <w:color w:val="000000" w:themeColor="text1"/>
          <w:sz w:val="24"/>
          <w:szCs w:val="24"/>
        </w:rPr>
        <w:t xml:space="preserve">, 1997). </w:t>
      </w:r>
    </w:p>
    <w:p w14:paraId="3FCD858A"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Gregory, P. </w:t>
      </w:r>
      <w:r w:rsidRPr="000F6FC1">
        <w:rPr>
          <w:rFonts w:ascii="Times New Roman" w:hAnsi="Times New Roman" w:cs="Times New Roman"/>
          <w:i/>
          <w:color w:val="000000" w:themeColor="text1"/>
          <w:sz w:val="24"/>
          <w:szCs w:val="24"/>
        </w:rPr>
        <w:t xml:space="preserve">The Women of the Cousins’ War: The Duchess, The Queen, and the King’s </w:t>
      </w:r>
      <w:r w:rsidRPr="000F6FC1">
        <w:rPr>
          <w:rFonts w:ascii="Times New Roman" w:hAnsi="Times New Roman" w:cs="Times New Roman"/>
          <w:color w:val="000000" w:themeColor="text1"/>
          <w:sz w:val="24"/>
          <w:szCs w:val="24"/>
        </w:rPr>
        <w:t xml:space="preserve">Mother (London: Simon and Schuster, 2011). </w:t>
      </w:r>
    </w:p>
    <w:p w14:paraId="4A88D826" w14:textId="76D73ECA"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Hills, H. ‘Through a Glass Darkly: Material Holiness and the Treasury Chapel of San Gennaro in Naples’, </w:t>
      </w:r>
      <w:r w:rsidRPr="000F6FC1">
        <w:rPr>
          <w:rFonts w:ascii="Times New Roman" w:hAnsi="Times New Roman" w:cs="Times New Roman"/>
          <w:i/>
          <w:color w:val="000000" w:themeColor="text1"/>
          <w:sz w:val="24"/>
          <w:szCs w:val="24"/>
        </w:rPr>
        <w:t>New Approaches to Naples c.1500-c.1800: The Power of Place,</w:t>
      </w:r>
      <w:r w:rsidRPr="000F6FC1">
        <w:rPr>
          <w:rFonts w:ascii="Times New Roman" w:hAnsi="Times New Roman" w:cs="Times New Roman"/>
          <w:color w:val="000000" w:themeColor="text1"/>
          <w:sz w:val="24"/>
          <w:szCs w:val="24"/>
        </w:rPr>
        <w:t xml:space="preserve"> ed. Calaresu, M. and Hills, H. (Abingdon: </w:t>
      </w:r>
      <w:r w:rsidR="005A3A1B" w:rsidRPr="000F6FC1">
        <w:rPr>
          <w:rFonts w:ascii="Times New Roman" w:hAnsi="Times New Roman" w:cs="Times New Roman"/>
          <w:color w:val="000000" w:themeColor="text1"/>
          <w:sz w:val="24"/>
          <w:szCs w:val="24"/>
        </w:rPr>
        <w:t>Routledge</w:t>
      </w:r>
      <w:r w:rsidRPr="000F6FC1">
        <w:rPr>
          <w:rFonts w:ascii="Times New Roman" w:hAnsi="Times New Roman" w:cs="Times New Roman"/>
          <w:color w:val="000000" w:themeColor="text1"/>
          <w:sz w:val="24"/>
          <w:szCs w:val="24"/>
        </w:rPr>
        <w:t>, 2016).</w:t>
      </w:r>
    </w:p>
    <w:p w14:paraId="7ED8FB8C"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Linton, A. </w:t>
      </w:r>
      <w:r w:rsidRPr="000F6FC1">
        <w:rPr>
          <w:rFonts w:ascii="Times New Roman" w:hAnsi="Times New Roman" w:cs="Times New Roman"/>
          <w:i/>
          <w:color w:val="000000" w:themeColor="text1"/>
          <w:sz w:val="24"/>
          <w:szCs w:val="24"/>
        </w:rPr>
        <w:t xml:space="preserve">Poetry and Parental Bereavement in Early Modern Lutheran Germany </w:t>
      </w:r>
      <w:r w:rsidRPr="000F6FC1">
        <w:rPr>
          <w:rFonts w:ascii="Times New Roman" w:hAnsi="Times New Roman" w:cs="Times New Roman"/>
          <w:color w:val="000000" w:themeColor="text1"/>
          <w:sz w:val="24"/>
          <w:szCs w:val="24"/>
        </w:rPr>
        <w:t>(Oxford: Oxford University Press, 2008).</w:t>
      </w:r>
    </w:p>
    <w:p w14:paraId="65373094"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Little, W. </w:t>
      </w:r>
      <w:r w:rsidRPr="000F6FC1">
        <w:rPr>
          <w:rFonts w:ascii="Times New Roman" w:hAnsi="Times New Roman" w:cs="Times New Roman"/>
          <w:i/>
          <w:color w:val="000000" w:themeColor="text1"/>
          <w:sz w:val="24"/>
          <w:szCs w:val="24"/>
        </w:rPr>
        <w:t>The Shorter Oxford English Dictionary on Historical Principles, Third Edition with Addenda, Volume 1 A-M</w:t>
      </w:r>
      <w:r w:rsidRPr="000F6FC1">
        <w:rPr>
          <w:rFonts w:ascii="Times New Roman" w:hAnsi="Times New Roman" w:cs="Times New Roman"/>
          <w:color w:val="000000" w:themeColor="text1"/>
          <w:sz w:val="24"/>
          <w:szCs w:val="24"/>
        </w:rPr>
        <w:t xml:space="preserve">, rev. and ed. Onions, C.T. (Oxford: Oxford University Press, 1965). </w:t>
      </w:r>
    </w:p>
    <w:p w14:paraId="114F8E63"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Wilcox, R. </w:t>
      </w:r>
      <w:r w:rsidRPr="000F6FC1">
        <w:rPr>
          <w:rFonts w:ascii="Times New Roman" w:hAnsi="Times New Roman" w:cs="Times New Roman"/>
          <w:i/>
          <w:color w:val="000000" w:themeColor="text1"/>
          <w:sz w:val="24"/>
          <w:szCs w:val="24"/>
        </w:rPr>
        <w:t xml:space="preserve">The Truth about the Shroud of Turin: Solving the Mystery </w:t>
      </w:r>
      <w:r w:rsidRPr="000F6FC1">
        <w:rPr>
          <w:rFonts w:ascii="Times New Roman" w:hAnsi="Times New Roman" w:cs="Times New Roman"/>
          <w:color w:val="000000" w:themeColor="text1"/>
          <w:sz w:val="24"/>
          <w:szCs w:val="24"/>
        </w:rPr>
        <w:t>(Washington D.C: Regnery Publishing Inc., 2010).</w:t>
      </w:r>
    </w:p>
    <w:p w14:paraId="34161FAB"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p>
    <w:p w14:paraId="4FC9A356" w14:textId="77777777" w:rsidR="000F6FC1" w:rsidRPr="000F6FC1" w:rsidRDefault="000F6FC1" w:rsidP="000F6FC1">
      <w:pPr>
        <w:spacing w:line="480" w:lineRule="auto"/>
        <w:jc w:val="both"/>
        <w:rPr>
          <w:rFonts w:ascii="Times New Roman" w:hAnsi="Times New Roman" w:cs="Times New Roman"/>
          <w:color w:val="000000" w:themeColor="text1"/>
          <w:sz w:val="24"/>
          <w:szCs w:val="24"/>
          <w:u w:val="single"/>
        </w:rPr>
      </w:pPr>
      <w:r w:rsidRPr="000F6FC1">
        <w:rPr>
          <w:rFonts w:ascii="Times New Roman" w:hAnsi="Times New Roman" w:cs="Times New Roman"/>
          <w:color w:val="000000" w:themeColor="text1"/>
          <w:sz w:val="24"/>
          <w:szCs w:val="24"/>
          <w:u w:val="single"/>
        </w:rPr>
        <w:t>Web Sources</w:t>
      </w:r>
    </w:p>
    <w:p w14:paraId="058BE746"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Bucks County Community College, Romanesque Architecture and Sculpture, Available on: </w:t>
      </w:r>
    </w:p>
    <w:p w14:paraId="6334116A"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hyperlink r:id="rId10" w:history="1">
        <w:r w:rsidRPr="000F6FC1">
          <w:rPr>
            <w:rStyle w:val="Hyperlink"/>
            <w:rFonts w:ascii="Times New Roman" w:hAnsi="Times New Roman" w:cs="Times New Roman"/>
            <w:color w:val="000000" w:themeColor="text1"/>
            <w:sz w:val="24"/>
            <w:szCs w:val="24"/>
          </w:rPr>
          <w:t>https://bucks.instructure.com/courses/200544/files/2585694?module_item_id=1474411</w:t>
        </w:r>
      </w:hyperlink>
      <w:r w:rsidRPr="000F6FC1">
        <w:rPr>
          <w:rFonts w:ascii="Times New Roman" w:hAnsi="Times New Roman" w:cs="Times New Roman"/>
          <w:color w:val="000000" w:themeColor="text1"/>
          <w:sz w:val="24"/>
          <w:szCs w:val="24"/>
        </w:rPr>
        <w:t xml:space="preserve"> Accessed on [09/01/2018]. </w:t>
      </w:r>
    </w:p>
    <w:p w14:paraId="5F8CF70F" w14:textId="77777777" w:rsidR="000F6FC1" w:rsidRPr="000F6FC1" w:rsidRDefault="000F6FC1" w:rsidP="000F6FC1">
      <w:pPr>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The British Museum, The St Eustace Head Reliquary, Available on: </w:t>
      </w:r>
    </w:p>
    <w:p w14:paraId="3DEED556" w14:textId="77777777" w:rsidR="000F6FC1" w:rsidRPr="000F6FC1" w:rsidRDefault="000F6FC1" w:rsidP="000F6FC1">
      <w:pPr>
        <w:spacing w:line="480" w:lineRule="auto"/>
        <w:jc w:val="both"/>
        <w:rPr>
          <w:rFonts w:ascii="Times New Roman" w:hAnsi="Times New Roman" w:cs="Times New Roman"/>
          <w:color w:val="000000" w:themeColor="text1"/>
          <w:sz w:val="24"/>
          <w:szCs w:val="24"/>
        </w:rPr>
      </w:pPr>
      <w:hyperlink r:id="rId11" w:history="1">
        <w:r w:rsidRPr="000F6FC1">
          <w:rPr>
            <w:rStyle w:val="Hyperlink"/>
            <w:rFonts w:ascii="Times New Roman" w:hAnsi="Times New Roman" w:cs="Times New Roman"/>
            <w:color w:val="000000" w:themeColor="text1"/>
            <w:sz w:val="24"/>
            <w:szCs w:val="24"/>
          </w:rPr>
          <w:t>http://www.britishmuseum.org/research/collection_online/collection_object_details.aspx?objectId=47715&amp;partId=1</w:t>
        </w:r>
      </w:hyperlink>
      <w:r w:rsidRPr="000F6FC1">
        <w:rPr>
          <w:rFonts w:ascii="Times New Roman" w:hAnsi="Times New Roman" w:cs="Times New Roman"/>
          <w:color w:val="000000" w:themeColor="text1"/>
          <w:sz w:val="24"/>
          <w:szCs w:val="24"/>
        </w:rPr>
        <w:t xml:space="preserve"> Accessed on [09/01/2018]. </w:t>
      </w:r>
    </w:p>
    <w:p w14:paraId="0E7B2ABF"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The Louvre Museum, Reliquary of the hand of St Martha, Available on: </w:t>
      </w:r>
    </w:p>
    <w:p w14:paraId="2623A772"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hyperlink r:id="rId12" w:history="1">
        <w:r w:rsidRPr="000F6FC1">
          <w:rPr>
            <w:rStyle w:val="Hyperlink"/>
            <w:rFonts w:ascii="Times New Roman" w:hAnsi="Times New Roman" w:cs="Times New Roman"/>
            <w:color w:val="000000" w:themeColor="text1"/>
            <w:sz w:val="24"/>
            <w:szCs w:val="24"/>
          </w:rPr>
          <w:t>https://www.louvre.fr/en/oeuvre-notices/reliquary-hand-st-martha</w:t>
        </w:r>
      </w:hyperlink>
      <w:r w:rsidRPr="000F6FC1">
        <w:rPr>
          <w:rFonts w:ascii="Times New Roman" w:hAnsi="Times New Roman" w:cs="Times New Roman"/>
          <w:color w:val="000000" w:themeColor="text1"/>
          <w:sz w:val="24"/>
          <w:szCs w:val="24"/>
        </w:rPr>
        <w:t xml:space="preserve"> Accessed on [09/01/2018]. </w:t>
      </w:r>
    </w:p>
    <w:p w14:paraId="40DB93E2"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The Met Museum, Relics and Reliquaries in Medieval Christianity, Available on: </w:t>
      </w:r>
    </w:p>
    <w:p w14:paraId="42C52C47"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hyperlink r:id="rId13" w:history="1">
        <w:r w:rsidRPr="000F6FC1">
          <w:rPr>
            <w:rStyle w:val="Hyperlink"/>
            <w:rFonts w:ascii="Times New Roman" w:hAnsi="Times New Roman" w:cs="Times New Roman"/>
            <w:color w:val="000000" w:themeColor="text1"/>
            <w:sz w:val="24"/>
            <w:szCs w:val="24"/>
          </w:rPr>
          <w:t>https://www.metmuseum.org/toah/hd/relc/hd_relc.htm</w:t>
        </w:r>
      </w:hyperlink>
      <w:r w:rsidRPr="000F6FC1">
        <w:rPr>
          <w:rFonts w:ascii="Times New Roman" w:hAnsi="Times New Roman" w:cs="Times New Roman"/>
          <w:color w:val="000000" w:themeColor="text1"/>
          <w:sz w:val="24"/>
          <w:szCs w:val="24"/>
        </w:rPr>
        <w:t xml:space="preserve"> Accessed on [09/01/2018]. </w:t>
      </w:r>
    </w:p>
    <w:p w14:paraId="21407E34"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The Treasure of Oignies, Foot Reliquary of St Blaise, Available on: </w:t>
      </w:r>
    </w:p>
    <w:p w14:paraId="423665A2"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hyperlink r:id="rId14" w:history="1">
        <w:r w:rsidRPr="000F6FC1">
          <w:rPr>
            <w:rStyle w:val="Hyperlink"/>
            <w:rFonts w:ascii="Times New Roman" w:hAnsi="Times New Roman" w:cs="Times New Roman"/>
            <w:color w:val="000000" w:themeColor="text1"/>
            <w:sz w:val="24"/>
            <w:szCs w:val="24"/>
          </w:rPr>
          <w:t>https://www.wga.hu/html_m/zzdeco/1gold/15c/06g_1451.html</w:t>
        </w:r>
      </w:hyperlink>
      <w:r w:rsidRPr="000F6FC1">
        <w:rPr>
          <w:rFonts w:ascii="Times New Roman" w:hAnsi="Times New Roman" w:cs="Times New Roman"/>
          <w:color w:val="000000" w:themeColor="text1"/>
          <w:sz w:val="24"/>
          <w:szCs w:val="24"/>
        </w:rPr>
        <w:t xml:space="preserve"> Accessed on [09/01/2018].  </w:t>
      </w:r>
    </w:p>
    <w:p w14:paraId="3BE5E266"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The Web Gallery of Art, Last Judgement Triptych (open), Available on: </w:t>
      </w:r>
    </w:p>
    <w:p w14:paraId="7D2B4821"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hyperlink r:id="rId15" w:history="1">
        <w:r w:rsidRPr="000F6FC1">
          <w:rPr>
            <w:rStyle w:val="Hyperlink"/>
            <w:rFonts w:ascii="Times New Roman" w:hAnsi="Times New Roman" w:cs="Times New Roman"/>
            <w:color w:val="000000" w:themeColor="text1"/>
            <w:sz w:val="24"/>
            <w:szCs w:val="24"/>
          </w:rPr>
          <w:t>https://www.wga.hu/html_m/m/memling/1early3/02last.html</w:t>
        </w:r>
      </w:hyperlink>
      <w:r w:rsidRPr="000F6FC1">
        <w:rPr>
          <w:rFonts w:ascii="Times New Roman" w:hAnsi="Times New Roman" w:cs="Times New Roman"/>
          <w:color w:val="000000" w:themeColor="text1"/>
          <w:sz w:val="24"/>
          <w:szCs w:val="24"/>
        </w:rPr>
        <w:t xml:space="preserve"> Accessed on [10/01/2018]. </w:t>
      </w:r>
    </w:p>
    <w:p w14:paraId="007B1B78"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The Victoria and Albert Museum, Reliquary, Available on: </w:t>
      </w:r>
    </w:p>
    <w:p w14:paraId="0DD97947"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hyperlink r:id="rId16" w:history="1">
        <w:r w:rsidRPr="000F6FC1">
          <w:rPr>
            <w:rStyle w:val="Hyperlink"/>
            <w:rFonts w:ascii="Times New Roman" w:hAnsi="Times New Roman" w:cs="Times New Roman"/>
            <w:color w:val="000000" w:themeColor="text1"/>
            <w:sz w:val="24"/>
            <w:szCs w:val="24"/>
          </w:rPr>
          <w:t>http://collections.vam.ac.uk/item/O69108/reliquary-unknown/</w:t>
        </w:r>
      </w:hyperlink>
      <w:r w:rsidRPr="000F6FC1">
        <w:rPr>
          <w:rFonts w:ascii="Times New Roman" w:hAnsi="Times New Roman" w:cs="Times New Roman"/>
          <w:color w:val="000000" w:themeColor="text1"/>
          <w:sz w:val="24"/>
          <w:szCs w:val="24"/>
        </w:rPr>
        <w:t xml:space="preserve"> Accessed on [09/01/2018]. </w:t>
      </w:r>
    </w:p>
    <w:p w14:paraId="6B0E527D"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Tia Ghose, Richard Dawkins Foundation for Reason and Science, Is it a Fake? DNA Testing Deepens Mystery of Shroud of Turin, Available on: </w:t>
      </w:r>
    </w:p>
    <w:p w14:paraId="1F7F6582"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hyperlink r:id="rId17" w:history="1">
        <w:r w:rsidRPr="000F6FC1">
          <w:rPr>
            <w:rStyle w:val="Hyperlink"/>
            <w:rFonts w:ascii="Times New Roman" w:hAnsi="Times New Roman" w:cs="Times New Roman"/>
            <w:color w:val="000000" w:themeColor="text1"/>
            <w:sz w:val="24"/>
            <w:szCs w:val="24"/>
          </w:rPr>
          <w:t>https://www.richarddawkins.net/2015/10/is-it-a-fake-dna-testing-deepens-mystery-of-shroud-of-turin/</w:t>
        </w:r>
      </w:hyperlink>
      <w:r w:rsidRPr="000F6FC1">
        <w:rPr>
          <w:rFonts w:ascii="Times New Roman" w:hAnsi="Times New Roman" w:cs="Times New Roman"/>
          <w:color w:val="000000" w:themeColor="text1"/>
          <w:sz w:val="24"/>
          <w:szCs w:val="24"/>
        </w:rPr>
        <w:t xml:space="preserve"> Accessed on [09/01/2018]. </w:t>
      </w:r>
    </w:p>
    <w:p w14:paraId="7565F13C"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Treasures of Heaven: Saints, Relics, and Devotion in Medieval Europe, Relics and Reliquaries: Reliquary of the True Cross, Available on: </w:t>
      </w:r>
    </w:p>
    <w:p w14:paraId="62E46FCC"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hyperlink r:id="rId18" w:history="1">
        <w:r w:rsidRPr="000F6FC1">
          <w:rPr>
            <w:rStyle w:val="Hyperlink"/>
            <w:rFonts w:ascii="Times New Roman" w:hAnsi="Times New Roman" w:cs="Times New Roman"/>
            <w:color w:val="000000" w:themeColor="text1"/>
            <w:sz w:val="24"/>
            <w:szCs w:val="24"/>
          </w:rPr>
          <w:t>http://www.learn.columbia.edu/treasuresofheaven/relics/Reliquary-of-the-True-Cross-85.php</w:t>
        </w:r>
      </w:hyperlink>
      <w:r w:rsidRPr="000F6FC1">
        <w:rPr>
          <w:rFonts w:ascii="Times New Roman" w:hAnsi="Times New Roman" w:cs="Times New Roman"/>
          <w:color w:val="000000" w:themeColor="text1"/>
          <w:sz w:val="24"/>
          <w:szCs w:val="24"/>
        </w:rPr>
        <w:t xml:space="preserve"> Accessed on [09/01/2018]. </w:t>
      </w:r>
    </w:p>
    <w:p w14:paraId="70A1DF9D"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Westminster Abbey, Edward V and Richard, Duke of York, Available on: </w:t>
      </w:r>
    </w:p>
    <w:p w14:paraId="0D0C8991"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hyperlink r:id="rId19" w:history="1">
        <w:r w:rsidRPr="000F6FC1">
          <w:rPr>
            <w:rStyle w:val="Hyperlink"/>
            <w:rFonts w:ascii="Times New Roman" w:hAnsi="Times New Roman" w:cs="Times New Roman"/>
            <w:color w:val="000000" w:themeColor="text1"/>
            <w:sz w:val="24"/>
            <w:szCs w:val="24"/>
          </w:rPr>
          <w:t>http://www.westminster-abbey.org/our-history/royals/edward-v</w:t>
        </w:r>
      </w:hyperlink>
      <w:r w:rsidRPr="000F6FC1">
        <w:rPr>
          <w:rFonts w:ascii="Times New Roman" w:hAnsi="Times New Roman" w:cs="Times New Roman"/>
          <w:color w:val="000000" w:themeColor="text1"/>
          <w:sz w:val="24"/>
          <w:szCs w:val="24"/>
        </w:rPr>
        <w:t xml:space="preserve"> Accessed on [10/01/2018]. </w:t>
      </w:r>
    </w:p>
    <w:p w14:paraId="35063926"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Westminster Abbey, Henry III, Available on: </w:t>
      </w:r>
    </w:p>
    <w:p w14:paraId="4ACB267E"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hyperlink r:id="rId20" w:history="1">
        <w:r w:rsidRPr="000F6FC1">
          <w:rPr>
            <w:rStyle w:val="Hyperlink"/>
            <w:rFonts w:ascii="Times New Roman" w:hAnsi="Times New Roman" w:cs="Times New Roman"/>
            <w:color w:val="000000" w:themeColor="text1"/>
            <w:sz w:val="24"/>
            <w:szCs w:val="24"/>
          </w:rPr>
          <w:t>http://www.westminster-abbey.org/our-history/royals/henry-iii</w:t>
        </w:r>
      </w:hyperlink>
      <w:r w:rsidRPr="000F6FC1">
        <w:rPr>
          <w:rFonts w:ascii="Times New Roman" w:hAnsi="Times New Roman" w:cs="Times New Roman"/>
          <w:color w:val="000000" w:themeColor="text1"/>
          <w:sz w:val="24"/>
          <w:szCs w:val="24"/>
        </w:rPr>
        <w:t xml:space="preserve"> Accessed on [08/01/2018].</w:t>
      </w:r>
    </w:p>
    <w:p w14:paraId="6E9098BF"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Westminster Abbey, Mary I, Available on:</w:t>
      </w:r>
    </w:p>
    <w:p w14:paraId="3C40C395"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t xml:space="preserve"> </w:t>
      </w:r>
      <w:hyperlink r:id="rId21" w:history="1">
        <w:r w:rsidRPr="000F6FC1">
          <w:rPr>
            <w:rStyle w:val="Hyperlink"/>
            <w:rFonts w:ascii="Times New Roman" w:hAnsi="Times New Roman" w:cs="Times New Roman"/>
            <w:color w:val="000000" w:themeColor="text1"/>
            <w:sz w:val="24"/>
            <w:szCs w:val="24"/>
          </w:rPr>
          <w:t>http://westminster-abbey.org/our-history/royals/mary-i</w:t>
        </w:r>
      </w:hyperlink>
      <w:r w:rsidRPr="000F6FC1">
        <w:rPr>
          <w:rFonts w:ascii="Times New Roman" w:hAnsi="Times New Roman" w:cs="Times New Roman"/>
          <w:color w:val="000000" w:themeColor="text1"/>
          <w:sz w:val="24"/>
          <w:szCs w:val="24"/>
        </w:rPr>
        <w:t xml:space="preserve"> Accessed on [08/01/2018]. </w:t>
      </w:r>
    </w:p>
    <w:p w14:paraId="1B9C100F"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r w:rsidRPr="000F6FC1">
        <w:rPr>
          <w:rFonts w:ascii="Times New Roman" w:hAnsi="Times New Roman" w:cs="Times New Roman"/>
          <w:color w:val="000000" w:themeColor="text1"/>
          <w:sz w:val="24"/>
          <w:szCs w:val="24"/>
        </w:rPr>
        <w:lastRenderedPageBreak/>
        <w:t xml:space="preserve">Westminster Abbey, The Secrets of Mary II’s Petticoat, Available on: </w:t>
      </w:r>
      <w:hyperlink r:id="rId22" w:history="1">
        <w:r w:rsidRPr="000F6FC1">
          <w:rPr>
            <w:rStyle w:val="Hyperlink"/>
            <w:rFonts w:ascii="Times New Roman" w:hAnsi="Times New Roman" w:cs="Times New Roman"/>
            <w:color w:val="000000" w:themeColor="text1"/>
            <w:sz w:val="24"/>
            <w:szCs w:val="24"/>
          </w:rPr>
          <w:t>http://www.westminster-abbey.org/visit-us/galleries/the-secrets-of-mary-iis-petticoat</w:t>
        </w:r>
      </w:hyperlink>
      <w:r w:rsidRPr="000F6FC1">
        <w:rPr>
          <w:rFonts w:ascii="Times New Roman" w:hAnsi="Times New Roman" w:cs="Times New Roman"/>
          <w:color w:val="000000" w:themeColor="text1"/>
          <w:sz w:val="24"/>
          <w:szCs w:val="24"/>
        </w:rPr>
        <w:t xml:space="preserve"> Accessed on [08/01/2018]. </w:t>
      </w:r>
    </w:p>
    <w:p w14:paraId="4D20DCA0"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p>
    <w:p w14:paraId="00BCC36A" w14:textId="77777777" w:rsidR="000F6FC1" w:rsidRPr="000F6FC1" w:rsidRDefault="000F6FC1" w:rsidP="000F6FC1">
      <w:pPr>
        <w:pStyle w:val="FootnoteText"/>
        <w:spacing w:line="480" w:lineRule="auto"/>
        <w:jc w:val="both"/>
        <w:rPr>
          <w:rFonts w:ascii="Times New Roman" w:hAnsi="Times New Roman" w:cs="Times New Roman"/>
          <w:color w:val="000000" w:themeColor="text1"/>
          <w:sz w:val="24"/>
          <w:szCs w:val="24"/>
        </w:rPr>
      </w:pPr>
    </w:p>
    <w:p w14:paraId="64A17274" w14:textId="77777777" w:rsidR="000F6FC1" w:rsidRPr="000F6FC1" w:rsidRDefault="000F6FC1" w:rsidP="000F6FC1">
      <w:pPr>
        <w:spacing w:line="480" w:lineRule="auto"/>
        <w:jc w:val="both"/>
        <w:rPr>
          <w:rFonts w:ascii="Times New Roman" w:hAnsi="Times New Roman" w:cs="Times New Roman"/>
          <w:color w:val="000000" w:themeColor="text1"/>
          <w:sz w:val="24"/>
          <w:szCs w:val="24"/>
          <w:u w:val="single"/>
        </w:rPr>
      </w:pPr>
    </w:p>
    <w:p w14:paraId="2CDF99DD" w14:textId="77777777" w:rsidR="00C62292" w:rsidRPr="000F6FC1" w:rsidRDefault="00C62292" w:rsidP="000F6FC1">
      <w:pPr>
        <w:spacing w:line="480" w:lineRule="auto"/>
        <w:jc w:val="both"/>
        <w:rPr>
          <w:rFonts w:ascii="Times New Roman" w:hAnsi="Times New Roman" w:cs="Times New Roman"/>
          <w:color w:val="000000" w:themeColor="text1"/>
          <w:sz w:val="24"/>
          <w:szCs w:val="24"/>
        </w:rPr>
      </w:pPr>
    </w:p>
    <w:sectPr w:rsidR="00C62292" w:rsidRPr="000F6FC1">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783FD8" w14:textId="77777777" w:rsidR="004D1DF9" w:rsidRDefault="004D1DF9" w:rsidP="007E3534">
      <w:pPr>
        <w:spacing w:after="0" w:line="240" w:lineRule="auto"/>
      </w:pPr>
      <w:r>
        <w:separator/>
      </w:r>
    </w:p>
  </w:endnote>
  <w:endnote w:type="continuationSeparator" w:id="0">
    <w:p w14:paraId="5D7DA5FC" w14:textId="77777777" w:rsidR="004D1DF9" w:rsidRDefault="004D1DF9" w:rsidP="007E35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269277"/>
      <w:docPartObj>
        <w:docPartGallery w:val="Page Numbers (Bottom of Page)"/>
        <w:docPartUnique/>
      </w:docPartObj>
    </w:sdtPr>
    <w:sdtEndPr>
      <w:rPr>
        <w:noProof/>
      </w:rPr>
    </w:sdtEndPr>
    <w:sdtContent>
      <w:p w14:paraId="3028760E" w14:textId="4E3166B7" w:rsidR="00A576C4" w:rsidRDefault="00A576C4">
        <w:pPr>
          <w:pStyle w:val="Footer"/>
        </w:pPr>
        <w:r>
          <w:fldChar w:fldCharType="begin"/>
        </w:r>
        <w:r>
          <w:instrText xml:space="preserve"> PAGE   \* MERGEFORMAT </w:instrText>
        </w:r>
        <w:r>
          <w:fldChar w:fldCharType="separate"/>
        </w:r>
        <w:r w:rsidR="005A3A1B">
          <w:rPr>
            <w:noProof/>
          </w:rPr>
          <w:t>1</w:t>
        </w:r>
        <w:r>
          <w:rPr>
            <w:noProof/>
          </w:rPr>
          <w:fldChar w:fldCharType="end"/>
        </w:r>
      </w:p>
    </w:sdtContent>
  </w:sdt>
  <w:p w14:paraId="736A632B" w14:textId="1CA3CCB3" w:rsidR="008404E3" w:rsidRDefault="008404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C15481" w14:textId="77777777" w:rsidR="004D1DF9" w:rsidRDefault="004D1DF9" w:rsidP="007E3534">
      <w:pPr>
        <w:spacing w:after="0" w:line="240" w:lineRule="auto"/>
      </w:pPr>
      <w:r>
        <w:separator/>
      </w:r>
    </w:p>
  </w:footnote>
  <w:footnote w:type="continuationSeparator" w:id="0">
    <w:p w14:paraId="0DE16C9F" w14:textId="77777777" w:rsidR="004D1DF9" w:rsidRDefault="004D1DF9" w:rsidP="007E3534">
      <w:pPr>
        <w:spacing w:after="0" w:line="240" w:lineRule="auto"/>
      </w:pPr>
      <w:r>
        <w:continuationSeparator/>
      </w:r>
    </w:p>
  </w:footnote>
  <w:footnote w:id="1">
    <w:p w14:paraId="66AC26C5" w14:textId="77777777" w:rsidR="00353741" w:rsidRPr="000F6FC1" w:rsidRDefault="00353741" w:rsidP="000F6FC1">
      <w:pPr>
        <w:pStyle w:val="FootnoteText"/>
        <w:jc w:val="both"/>
        <w:rPr>
          <w:rFonts w:ascii="Times New Roman" w:hAnsi="Times New Roman" w:cs="Times New Roman"/>
          <w:color w:val="000000" w:themeColor="text1"/>
        </w:rPr>
      </w:pPr>
      <w:r w:rsidRPr="000F6FC1">
        <w:rPr>
          <w:rStyle w:val="FootnoteReference"/>
          <w:rFonts w:ascii="Times New Roman" w:hAnsi="Times New Roman" w:cs="Times New Roman"/>
          <w:color w:val="000000" w:themeColor="text1"/>
        </w:rPr>
        <w:footnoteRef/>
      </w:r>
      <w:r w:rsidRPr="000F6FC1">
        <w:rPr>
          <w:rFonts w:ascii="Times New Roman" w:hAnsi="Times New Roman" w:cs="Times New Roman"/>
          <w:color w:val="000000" w:themeColor="text1"/>
        </w:rPr>
        <w:t xml:space="preserve"> W. Little, </w:t>
      </w:r>
      <w:r w:rsidRPr="000F6FC1">
        <w:rPr>
          <w:rFonts w:ascii="Times New Roman" w:hAnsi="Times New Roman" w:cs="Times New Roman"/>
          <w:i/>
          <w:color w:val="000000" w:themeColor="text1"/>
        </w:rPr>
        <w:t>The Shorter Oxford English Dictionary on Historical Principles, Third Edition with Addenda, Volume 1 A-M</w:t>
      </w:r>
      <w:r w:rsidRPr="000F6FC1">
        <w:rPr>
          <w:rFonts w:ascii="Times New Roman" w:hAnsi="Times New Roman" w:cs="Times New Roman"/>
          <w:color w:val="000000" w:themeColor="text1"/>
        </w:rPr>
        <w:t xml:space="preserve">, rev. and ed. C.T. Onions (Oxford: Oxford University Press, 1965), p. 762. </w:t>
      </w:r>
    </w:p>
  </w:footnote>
  <w:footnote w:id="2">
    <w:p w14:paraId="4B09FDFF" w14:textId="77777777" w:rsidR="002D4EF0" w:rsidRPr="000F6FC1" w:rsidRDefault="002D4EF0" w:rsidP="000F6FC1">
      <w:pPr>
        <w:pStyle w:val="FootnoteText"/>
        <w:jc w:val="both"/>
        <w:rPr>
          <w:rFonts w:ascii="Times New Roman" w:hAnsi="Times New Roman" w:cs="Times New Roman"/>
          <w:color w:val="000000" w:themeColor="text1"/>
        </w:rPr>
      </w:pPr>
      <w:r w:rsidRPr="000F6FC1">
        <w:rPr>
          <w:rStyle w:val="FootnoteReference"/>
          <w:rFonts w:ascii="Times New Roman" w:hAnsi="Times New Roman" w:cs="Times New Roman"/>
          <w:color w:val="000000" w:themeColor="text1"/>
        </w:rPr>
        <w:footnoteRef/>
      </w:r>
      <w:r w:rsidRPr="000F6FC1">
        <w:rPr>
          <w:rFonts w:ascii="Times New Roman" w:hAnsi="Times New Roman" w:cs="Times New Roman"/>
          <w:color w:val="000000" w:themeColor="text1"/>
        </w:rPr>
        <w:t xml:space="preserve"> A. Linton, </w:t>
      </w:r>
      <w:r w:rsidRPr="000F6FC1">
        <w:rPr>
          <w:rFonts w:ascii="Times New Roman" w:hAnsi="Times New Roman" w:cs="Times New Roman"/>
          <w:i/>
          <w:color w:val="000000" w:themeColor="text1"/>
        </w:rPr>
        <w:t xml:space="preserve">Poetry and Parental Bereavement in Early Modern Lutheran Germany </w:t>
      </w:r>
      <w:r w:rsidRPr="000F6FC1">
        <w:rPr>
          <w:rFonts w:ascii="Times New Roman" w:hAnsi="Times New Roman" w:cs="Times New Roman"/>
          <w:color w:val="000000" w:themeColor="text1"/>
        </w:rPr>
        <w:t>(Oxford: Oxford University Press, 2008), p. 109.</w:t>
      </w:r>
    </w:p>
  </w:footnote>
  <w:footnote w:id="3">
    <w:p w14:paraId="5961FFB2" w14:textId="77777777" w:rsidR="002D4EF0" w:rsidRPr="000F6FC1" w:rsidRDefault="002D4EF0" w:rsidP="000F6FC1">
      <w:pPr>
        <w:pStyle w:val="FootnoteText"/>
        <w:jc w:val="both"/>
        <w:rPr>
          <w:rFonts w:ascii="Times New Roman" w:hAnsi="Times New Roman" w:cs="Times New Roman"/>
          <w:color w:val="000000" w:themeColor="text1"/>
        </w:rPr>
      </w:pPr>
      <w:r w:rsidRPr="000F6FC1">
        <w:rPr>
          <w:rStyle w:val="FootnoteReference"/>
          <w:rFonts w:ascii="Times New Roman" w:hAnsi="Times New Roman" w:cs="Times New Roman"/>
          <w:color w:val="000000" w:themeColor="text1"/>
        </w:rPr>
        <w:footnoteRef/>
      </w:r>
      <w:r w:rsidRPr="000F6FC1">
        <w:rPr>
          <w:rFonts w:ascii="Times New Roman" w:hAnsi="Times New Roman" w:cs="Times New Roman"/>
          <w:color w:val="000000" w:themeColor="text1"/>
        </w:rPr>
        <w:t xml:space="preserve"> Anon., </w:t>
      </w:r>
      <w:r w:rsidRPr="000F6FC1">
        <w:rPr>
          <w:rFonts w:ascii="Times New Roman" w:hAnsi="Times New Roman" w:cs="Times New Roman"/>
          <w:i/>
          <w:color w:val="000000" w:themeColor="text1"/>
        </w:rPr>
        <w:t xml:space="preserve">Encyclopedia of Death and the Human Experience: Volume 2, </w:t>
      </w:r>
      <w:r w:rsidRPr="000F6FC1">
        <w:rPr>
          <w:rFonts w:ascii="Times New Roman" w:hAnsi="Times New Roman" w:cs="Times New Roman"/>
          <w:color w:val="000000" w:themeColor="text1"/>
        </w:rPr>
        <w:t>ed.</w:t>
      </w:r>
      <w:r w:rsidRPr="000F6FC1">
        <w:rPr>
          <w:rFonts w:ascii="Times New Roman" w:hAnsi="Times New Roman" w:cs="Times New Roman"/>
          <w:i/>
          <w:color w:val="000000" w:themeColor="text1"/>
        </w:rPr>
        <w:t xml:space="preserve"> </w:t>
      </w:r>
      <w:r w:rsidRPr="000F6FC1">
        <w:rPr>
          <w:rFonts w:ascii="Times New Roman" w:hAnsi="Times New Roman" w:cs="Times New Roman"/>
          <w:color w:val="000000" w:themeColor="text1"/>
        </w:rPr>
        <w:t>C.D. Bryant and D. L. Peck (London: Sage Publications Inc., 2009), p. 357.</w:t>
      </w:r>
    </w:p>
  </w:footnote>
  <w:footnote w:id="4">
    <w:p w14:paraId="1F9B2443" w14:textId="77777777" w:rsidR="002D4EF0" w:rsidRPr="000F6FC1" w:rsidRDefault="002D4EF0" w:rsidP="000F6FC1">
      <w:pPr>
        <w:pStyle w:val="FootnoteText"/>
        <w:jc w:val="both"/>
        <w:rPr>
          <w:rFonts w:ascii="Times New Roman" w:hAnsi="Times New Roman" w:cs="Times New Roman"/>
          <w:color w:val="000000" w:themeColor="text1"/>
        </w:rPr>
      </w:pPr>
      <w:r w:rsidRPr="000F6FC1">
        <w:rPr>
          <w:rStyle w:val="FootnoteReference"/>
          <w:rFonts w:ascii="Times New Roman" w:hAnsi="Times New Roman" w:cs="Times New Roman"/>
          <w:color w:val="000000" w:themeColor="text1"/>
        </w:rPr>
        <w:footnoteRef/>
      </w:r>
      <w:r w:rsidRPr="000F6FC1">
        <w:rPr>
          <w:rFonts w:ascii="Times New Roman" w:hAnsi="Times New Roman" w:cs="Times New Roman"/>
          <w:color w:val="000000" w:themeColor="text1"/>
        </w:rPr>
        <w:t xml:space="preserve"> The King James Bible, 1 Thessalonians 4:16.</w:t>
      </w:r>
    </w:p>
  </w:footnote>
  <w:footnote w:id="5">
    <w:p w14:paraId="54F055D1" w14:textId="77777777" w:rsidR="00500A72" w:rsidRPr="000F6FC1" w:rsidRDefault="00500A72" w:rsidP="000F6FC1">
      <w:pPr>
        <w:pStyle w:val="FootnoteText"/>
        <w:jc w:val="both"/>
        <w:rPr>
          <w:rFonts w:ascii="Times New Roman" w:hAnsi="Times New Roman" w:cs="Times New Roman"/>
          <w:color w:val="000000" w:themeColor="text1"/>
        </w:rPr>
      </w:pPr>
      <w:r w:rsidRPr="000F6FC1">
        <w:rPr>
          <w:rStyle w:val="FootnoteReference"/>
          <w:rFonts w:ascii="Times New Roman" w:hAnsi="Times New Roman" w:cs="Times New Roman"/>
          <w:color w:val="000000" w:themeColor="text1"/>
        </w:rPr>
        <w:footnoteRef/>
      </w:r>
      <w:r w:rsidRPr="000F6FC1">
        <w:rPr>
          <w:rFonts w:ascii="Times New Roman" w:hAnsi="Times New Roman" w:cs="Times New Roman"/>
          <w:color w:val="000000" w:themeColor="text1"/>
        </w:rPr>
        <w:t xml:space="preserve"> Westminster Abbey, Mary I, Available on: </w:t>
      </w:r>
      <w:hyperlink r:id="rId1" w:history="1">
        <w:r w:rsidRPr="000F6FC1">
          <w:rPr>
            <w:rStyle w:val="Hyperlink"/>
            <w:rFonts w:ascii="Times New Roman" w:hAnsi="Times New Roman" w:cs="Times New Roman"/>
            <w:color w:val="000000" w:themeColor="text1"/>
          </w:rPr>
          <w:t>http://westminster-abbey.org/our-history/royals/mary-i</w:t>
        </w:r>
      </w:hyperlink>
      <w:r w:rsidRPr="000F6FC1">
        <w:rPr>
          <w:rFonts w:ascii="Times New Roman" w:hAnsi="Times New Roman" w:cs="Times New Roman"/>
          <w:color w:val="000000" w:themeColor="text1"/>
        </w:rPr>
        <w:t xml:space="preserve"> Accessed on [08/01/2018]. </w:t>
      </w:r>
    </w:p>
    <w:p w14:paraId="231911A3" w14:textId="77777777" w:rsidR="00500A72" w:rsidRPr="000F6FC1" w:rsidRDefault="00500A72" w:rsidP="000F6FC1">
      <w:pPr>
        <w:pStyle w:val="FootnoteText"/>
        <w:jc w:val="both"/>
        <w:rPr>
          <w:rFonts w:ascii="Times New Roman" w:hAnsi="Times New Roman" w:cs="Times New Roman"/>
          <w:color w:val="000000" w:themeColor="text1"/>
        </w:rPr>
      </w:pPr>
      <w:r w:rsidRPr="000F6FC1">
        <w:rPr>
          <w:rFonts w:ascii="Times New Roman" w:hAnsi="Times New Roman" w:cs="Times New Roman"/>
          <w:color w:val="000000" w:themeColor="text1"/>
        </w:rPr>
        <w:t xml:space="preserve">Westminster Abbey, Henry III, Available on: </w:t>
      </w:r>
      <w:hyperlink r:id="rId2" w:history="1">
        <w:r w:rsidRPr="000F6FC1">
          <w:rPr>
            <w:rStyle w:val="Hyperlink"/>
            <w:rFonts w:ascii="Times New Roman" w:hAnsi="Times New Roman" w:cs="Times New Roman"/>
            <w:color w:val="000000" w:themeColor="text1"/>
          </w:rPr>
          <w:t>http://www.westminster-abbey.org/our-history/royals/henry-iii</w:t>
        </w:r>
      </w:hyperlink>
      <w:r w:rsidRPr="000F6FC1">
        <w:rPr>
          <w:rFonts w:ascii="Times New Roman" w:hAnsi="Times New Roman" w:cs="Times New Roman"/>
          <w:color w:val="000000" w:themeColor="text1"/>
        </w:rPr>
        <w:t xml:space="preserve"> Accessed on [08/01/2018].</w:t>
      </w:r>
    </w:p>
  </w:footnote>
  <w:footnote w:id="6">
    <w:p w14:paraId="13C66479" w14:textId="77777777" w:rsidR="00500A72" w:rsidRPr="000F6FC1" w:rsidRDefault="00500A72" w:rsidP="000F6FC1">
      <w:pPr>
        <w:pStyle w:val="FootnoteText"/>
        <w:jc w:val="both"/>
        <w:rPr>
          <w:rFonts w:ascii="Times New Roman" w:hAnsi="Times New Roman" w:cs="Times New Roman"/>
          <w:color w:val="000000" w:themeColor="text1"/>
        </w:rPr>
      </w:pPr>
      <w:r w:rsidRPr="000F6FC1">
        <w:rPr>
          <w:rStyle w:val="FootnoteReference"/>
          <w:rFonts w:ascii="Times New Roman" w:hAnsi="Times New Roman" w:cs="Times New Roman"/>
          <w:color w:val="000000" w:themeColor="text1"/>
        </w:rPr>
        <w:footnoteRef/>
      </w:r>
      <w:r w:rsidRPr="000F6FC1">
        <w:rPr>
          <w:rFonts w:ascii="Times New Roman" w:hAnsi="Times New Roman" w:cs="Times New Roman"/>
          <w:color w:val="000000" w:themeColor="text1"/>
        </w:rPr>
        <w:t xml:space="preserve"> Westminster Abbey, The Secrets of Mary II’s Petticoat, Available on: </w:t>
      </w:r>
      <w:hyperlink r:id="rId3" w:history="1">
        <w:r w:rsidRPr="000F6FC1">
          <w:rPr>
            <w:rStyle w:val="Hyperlink"/>
            <w:rFonts w:ascii="Times New Roman" w:hAnsi="Times New Roman" w:cs="Times New Roman"/>
            <w:color w:val="000000" w:themeColor="text1"/>
          </w:rPr>
          <w:t>http://www.westminster-abbey.org/visit-us/galleries/the-secrets-of-mary-iis-petticoat</w:t>
        </w:r>
      </w:hyperlink>
      <w:r w:rsidRPr="000F6FC1">
        <w:rPr>
          <w:rFonts w:ascii="Times New Roman" w:hAnsi="Times New Roman" w:cs="Times New Roman"/>
          <w:color w:val="000000" w:themeColor="text1"/>
        </w:rPr>
        <w:t xml:space="preserve"> Accessed on [08/01/2018].</w:t>
      </w:r>
    </w:p>
  </w:footnote>
  <w:footnote w:id="7">
    <w:p w14:paraId="3D0929A8" w14:textId="77777777" w:rsidR="00500A72" w:rsidRPr="000F6FC1" w:rsidRDefault="00500A72" w:rsidP="000F6FC1">
      <w:pPr>
        <w:pStyle w:val="FootnoteText"/>
        <w:jc w:val="both"/>
        <w:rPr>
          <w:rFonts w:ascii="Times New Roman" w:hAnsi="Times New Roman" w:cs="Times New Roman"/>
          <w:color w:val="000000" w:themeColor="text1"/>
        </w:rPr>
      </w:pPr>
      <w:r w:rsidRPr="000F6FC1">
        <w:rPr>
          <w:rStyle w:val="FootnoteReference"/>
          <w:rFonts w:ascii="Times New Roman" w:hAnsi="Times New Roman" w:cs="Times New Roman"/>
          <w:color w:val="000000" w:themeColor="text1"/>
        </w:rPr>
        <w:footnoteRef/>
      </w:r>
      <w:r w:rsidRPr="000F6FC1">
        <w:rPr>
          <w:rFonts w:ascii="Times New Roman" w:hAnsi="Times New Roman" w:cs="Times New Roman"/>
          <w:color w:val="000000" w:themeColor="text1"/>
        </w:rPr>
        <w:t xml:space="preserve"> </w:t>
      </w:r>
      <w:r w:rsidRPr="000F6FC1">
        <w:rPr>
          <w:rFonts w:ascii="Times New Roman" w:hAnsi="Times New Roman" w:cs="Times New Roman"/>
          <w:i/>
          <w:color w:val="000000" w:themeColor="text1"/>
        </w:rPr>
        <w:t xml:space="preserve">Ibid. </w:t>
      </w:r>
    </w:p>
  </w:footnote>
  <w:footnote w:id="8">
    <w:p w14:paraId="7332C704" w14:textId="77777777" w:rsidR="000F6FC1" w:rsidRDefault="002E7808" w:rsidP="000F6FC1">
      <w:pPr>
        <w:pStyle w:val="FootnoteText"/>
        <w:jc w:val="both"/>
        <w:rPr>
          <w:rFonts w:ascii="Times New Roman" w:hAnsi="Times New Roman" w:cs="Times New Roman"/>
          <w:color w:val="000000" w:themeColor="text1"/>
        </w:rPr>
      </w:pPr>
      <w:r w:rsidRPr="000F6FC1">
        <w:rPr>
          <w:rStyle w:val="FootnoteReference"/>
          <w:rFonts w:ascii="Times New Roman" w:hAnsi="Times New Roman" w:cs="Times New Roman"/>
          <w:color w:val="000000" w:themeColor="text1"/>
        </w:rPr>
        <w:footnoteRef/>
      </w:r>
      <w:r w:rsidRPr="000F6FC1">
        <w:rPr>
          <w:rFonts w:ascii="Times New Roman" w:hAnsi="Times New Roman" w:cs="Times New Roman"/>
          <w:color w:val="000000" w:themeColor="text1"/>
        </w:rPr>
        <w:t xml:space="preserve"> The British Museum, The St Eustace Head Reliquary, Available on:</w:t>
      </w:r>
    </w:p>
    <w:p w14:paraId="14E55FD8" w14:textId="2FC10FDD" w:rsidR="002E7808" w:rsidRPr="000F6FC1" w:rsidRDefault="004D1DF9" w:rsidP="000F6FC1">
      <w:pPr>
        <w:pStyle w:val="FootnoteText"/>
        <w:jc w:val="both"/>
        <w:rPr>
          <w:rFonts w:ascii="Times New Roman" w:hAnsi="Times New Roman" w:cs="Times New Roman"/>
          <w:color w:val="000000" w:themeColor="text1"/>
        </w:rPr>
      </w:pPr>
      <w:hyperlink r:id="rId4" w:history="1">
        <w:r w:rsidR="002E7808" w:rsidRPr="000F6FC1">
          <w:rPr>
            <w:rStyle w:val="Hyperlink"/>
            <w:rFonts w:ascii="Times New Roman" w:hAnsi="Times New Roman" w:cs="Times New Roman"/>
            <w:color w:val="000000" w:themeColor="text1"/>
          </w:rPr>
          <w:t>http://www.britishmuseum.org/research/collection_online/collection_object_details.aspx?objectId=47715&amp;partId=1</w:t>
        </w:r>
      </w:hyperlink>
      <w:r w:rsidR="002E7808" w:rsidRPr="000F6FC1">
        <w:rPr>
          <w:rFonts w:ascii="Times New Roman" w:hAnsi="Times New Roman" w:cs="Times New Roman"/>
          <w:color w:val="000000" w:themeColor="text1"/>
        </w:rPr>
        <w:t xml:space="preserve"> Accessed on [09/01/2018]. </w:t>
      </w:r>
    </w:p>
  </w:footnote>
  <w:footnote w:id="9">
    <w:p w14:paraId="7B0846F3" w14:textId="77777777" w:rsidR="000F6FC1" w:rsidRDefault="002E7808" w:rsidP="000F6FC1">
      <w:pPr>
        <w:pStyle w:val="FootnoteText"/>
        <w:jc w:val="both"/>
        <w:rPr>
          <w:rFonts w:ascii="Times New Roman" w:hAnsi="Times New Roman" w:cs="Times New Roman"/>
          <w:color w:val="000000" w:themeColor="text1"/>
        </w:rPr>
      </w:pPr>
      <w:r w:rsidRPr="000F6FC1">
        <w:rPr>
          <w:rStyle w:val="FootnoteReference"/>
          <w:rFonts w:ascii="Times New Roman" w:hAnsi="Times New Roman" w:cs="Times New Roman"/>
          <w:color w:val="000000" w:themeColor="text1"/>
        </w:rPr>
        <w:footnoteRef/>
      </w:r>
      <w:r w:rsidRPr="000F6FC1">
        <w:rPr>
          <w:rFonts w:ascii="Times New Roman" w:hAnsi="Times New Roman" w:cs="Times New Roman"/>
          <w:color w:val="000000" w:themeColor="text1"/>
        </w:rPr>
        <w:t xml:space="preserve"> Bucks County Community College, Romanesque Architecture and Sculpture, Available on: </w:t>
      </w:r>
    </w:p>
    <w:p w14:paraId="497CB89D" w14:textId="7879FDBD" w:rsidR="000F6FC1" w:rsidRDefault="004D1DF9" w:rsidP="000F6FC1">
      <w:pPr>
        <w:pStyle w:val="FootnoteText"/>
        <w:jc w:val="both"/>
        <w:rPr>
          <w:rFonts w:ascii="Times New Roman" w:hAnsi="Times New Roman" w:cs="Times New Roman"/>
          <w:color w:val="000000" w:themeColor="text1"/>
        </w:rPr>
      </w:pPr>
      <w:hyperlink r:id="rId5" w:history="1">
        <w:r w:rsidR="002E7808" w:rsidRPr="000F6FC1">
          <w:rPr>
            <w:rStyle w:val="Hyperlink"/>
            <w:rFonts w:ascii="Times New Roman" w:hAnsi="Times New Roman" w:cs="Times New Roman"/>
            <w:color w:val="000000" w:themeColor="text1"/>
          </w:rPr>
          <w:t>https://bucks.instructure.com/courses/200544/files/2585694?module_item_id=1474411</w:t>
        </w:r>
      </w:hyperlink>
      <w:r w:rsidR="002E7808" w:rsidRPr="000F6FC1">
        <w:rPr>
          <w:rFonts w:ascii="Times New Roman" w:hAnsi="Times New Roman" w:cs="Times New Roman"/>
          <w:color w:val="000000" w:themeColor="text1"/>
        </w:rPr>
        <w:t xml:space="preserve"> </w:t>
      </w:r>
    </w:p>
    <w:p w14:paraId="3E9A989E" w14:textId="33651FAB" w:rsidR="002E7808" w:rsidRPr="000F6FC1" w:rsidRDefault="002E7808" w:rsidP="000F6FC1">
      <w:pPr>
        <w:pStyle w:val="FootnoteText"/>
        <w:jc w:val="both"/>
        <w:rPr>
          <w:rFonts w:ascii="Times New Roman" w:hAnsi="Times New Roman" w:cs="Times New Roman"/>
          <w:color w:val="000000" w:themeColor="text1"/>
        </w:rPr>
      </w:pPr>
      <w:r w:rsidRPr="000F6FC1">
        <w:rPr>
          <w:rFonts w:ascii="Times New Roman" w:hAnsi="Times New Roman" w:cs="Times New Roman"/>
          <w:color w:val="000000" w:themeColor="text1"/>
        </w:rPr>
        <w:t xml:space="preserve">Accessed on [09/01/2018]. </w:t>
      </w:r>
    </w:p>
  </w:footnote>
  <w:footnote w:id="10">
    <w:p w14:paraId="4BDDCA40" w14:textId="5E55FEEC" w:rsidR="002E7808" w:rsidRPr="000F6FC1" w:rsidRDefault="002E7808" w:rsidP="000F6FC1">
      <w:pPr>
        <w:pStyle w:val="FootnoteText"/>
        <w:jc w:val="both"/>
        <w:rPr>
          <w:rFonts w:ascii="Times New Roman" w:hAnsi="Times New Roman" w:cs="Times New Roman"/>
          <w:color w:val="000000" w:themeColor="text1"/>
        </w:rPr>
      </w:pPr>
      <w:r w:rsidRPr="000F6FC1">
        <w:rPr>
          <w:rStyle w:val="FootnoteReference"/>
          <w:rFonts w:ascii="Times New Roman" w:hAnsi="Times New Roman" w:cs="Times New Roman"/>
          <w:color w:val="000000" w:themeColor="text1"/>
        </w:rPr>
        <w:footnoteRef/>
      </w:r>
      <w:r w:rsidRPr="000F6FC1">
        <w:rPr>
          <w:rFonts w:ascii="Times New Roman" w:hAnsi="Times New Roman" w:cs="Times New Roman"/>
          <w:color w:val="000000" w:themeColor="text1"/>
        </w:rPr>
        <w:t xml:space="preserve"> H. Hills, ‘Through a Glass Darkly: Material Holiness and the Treasury Chapel of San Gennaro in Naples’, </w:t>
      </w:r>
      <w:r w:rsidRPr="000F6FC1">
        <w:rPr>
          <w:rFonts w:ascii="Times New Roman" w:hAnsi="Times New Roman" w:cs="Times New Roman"/>
          <w:i/>
          <w:color w:val="000000" w:themeColor="text1"/>
        </w:rPr>
        <w:t>New Approaches to Naples c.1500-c.1800: The Power of Place,</w:t>
      </w:r>
      <w:r w:rsidRPr="000F6FC1">
        <w:rPr>
          <w:rFonts w:ascii="Times New Roman" w:hAnsi="Times New Roman" w:cs="Times New Roman"/>
          <w:color w:val="000000" w:themeColor="text1"/>
        </w:rPr>
        <w:t xml:space="preserve"> ed. M. Calaresu and H. Hills (Abingdon: </w:t>
      </w:r>
      <w:r w:rsidR="005A3A1B" w:rsidRPr="000F6FC1">
        <w:rPr>
          <w:rFonts w:ascii="Times New Roman" w:hAnsi="Times New Roman" w:cs="Times New Roman"/>
          <w:color w:val="000000" w:themeColor="text1"/>
        </w:rPr>
        <w:t>Routledge</w:t>
      </w:r>
      <w:r w:rsidRPr="000F6FC1">
        <w:rPr>
          <w:rFonts w:ascii="Times New Roman" w:hAnsi="Times New Roman" w:cs="Times New Roman"/>
          <w:color w:val="000000" w:themeColor="text1"/>
        </w:rPr>
        <w:t>, 2016), p. 59.</w:t>
      </w:r>
    </w:p>
  </w:footnote>
  <w:footnote w:id="11">
    <w:p w14:paraId="11DEE19D" w14:textId="77777777" w:rsidR="000F6FC1" w:rsidRDefault="002E7808" w:rsidP="000F6FC1">
      <w:pPr>
        <w:pStyle w:val="FootnoteText"/>
        <w:jc w:val="both"/>
        <w:rPr>
          <w:rFonts w:ascii="Times New Roman" w:hAnsi="Times New Roman" w:cs="Times New Roman"/>
          <w:color w:val="000000" w:themeColor="text1"/>
        </w:rPr>
      </w:pPr>
      <w:r w:rsidRPr="000F6FC1">
        <w:rPr>
          <w:rStyle w:val="FootnoteReference"/>
          <w:rFonts w:ascii="Times New Roman" w:hAnsi="Times New Roman" w:cs="Times New Roman"/>
          <w:color w:val="000000" w:themeColor="text1"/>
        </w:rPr>
        <w:footnoteRef/>
      </w:r>
      <w:r w:rsidRPr="000F6FC1">
        <w:rPr>
          <w:rFonts w:ascii="Times New Roman" w:hAnsi="Times New Roman" w:cs="Times New Roman"/>
          <w:color w:val="000000" w:themeColor="text1"/>
        </w:rPr>
        <w:t xml:space="preserve"> The Met Museum, Relics and Reliquaries in Medieval Christianity, Available on: </w:t>
      </w:r>
    </w:p>
    <w:p w14:paraId="16A4E5D3" w14:textId="0FDFA58E" w:rsidR="002E7808" w:rsidRPr="000F6FC1" w:rsidRDefault="004D1DF9" w:rsidP="000F6FC1">
      <w:pPr>
        <w:pStyle w:val="FootnoteText"/>
        <w:jc w:val="both"/>
        <w:rPr>
          <w:rFonts w:ascii="Times New Roman" w:hAnsi="Times New Roman" w:cs="Times New Roman"/>
          <w:color w:val="000000" w:themeColor="text1"/>
        </w:rPr>
      </w:pPr>
      <w:hyperlink r:id="rId6" w:history="1">
        <w:r w:rsidR="002E7808" w:rsidRPr="000F6FC1">
          <w:rPr>
            <w:rStyle w:val="Hyperlink"/>
            <w:rFonts w:ascii="Times New Roman" w:hAnsi="Times New Roman" w:cs="Times New Roman"/>
            <w:color w:val="000000" w:themeColor="text1"/>
          </w:rPr>
          <w:t>https://www.metmuseum.org/toah/hd/relc/hd_relc.htm</w:t>
        </w:r>
      </w:hyperlink>
      <w:r w:rsidR="002E7808" w:rsidRPr="000F6FC1">
        <w:rPr>
          <w:rFonts w:ascii="Times New Roman" w:hAnsi="Times New Roman" w:cs="Times New Roman"/>
          <w:color w:val="000000" w:themeColor="text1"/>
        </w:rPr>
        <w:t xml:space="preserve"> Accessed on [09/01/2018]. </w:t>
      </w:r>
    </w:p>
  </w:footnote>
  <w:footnote w:id="12">
    <w:p w14:paraId="4F118AB2" w14:textId="77777777" w:rsidR="002E7808" w:rsidRPr="000F6FC1" w:rsidRDefault="002E7808" w:rsidP="000F6FC1">
      <w:pPr>
        <w:pStyle w:val="FootnoteText"/>
        <w:jc w:val="both"/>
        <w:rPr>
          <w:rFonts w:ascii="Times New Roman" w:hAnsi="Times New Roman" w:cs="Times New Roman"/>
          <w:color w:val="000000" w:themeColor="text1"/>
        </w:rPr>
      </w:pPr>
      <w:r w:rsidRPr="000F6FC1">
        <w:rPr>
          <w:rStyle w:val="FootnoteReference"/>
          <w:rFonts w:ascii="Times New Roman" w:hAnsi="Times New Roman" w:cs="Times New Roman"/>
          <w:color w:val="000000" w:themeColor="text1"/>
        </w:rPr>
        <w:footnoteRef/>
      </w:r>
      <w:r w:rsidRPr="000F6FC1">
        <w:rPr>
          <w:rFonts w:ascii="Times New Roman" w:hAnsi="Times New Roman" w:cs="Times New Roman"/>
          <w:color w:val="000000" w:themeColor="text1"/>
        </w:rPr>
        <w:t xml:space="preserve"> </w:t>
      </w:r>
      <w:r w:rsidRPr="000F6FC1">
        <w:rPr>
          <w:rFonts w:ascii="Times New Roman" w:hAnsi="Times New Roman" w:cs="Times New Roman"/>
          <w:i/>
          <w:color w:val="000000" w:themeColor="text1"/>
        </w:rPr>
        <w:t xml:space="preserve">Ibid. </w:t>
      </w:r>
    </w:p>
  </w:footnote>
  <w:footnote w:id="13">
    <w:p w14:paraId="4974A240" w14:textId="77777777" w:rsidR="000F6FC1" w:rsidRDefault="002E7808" w:rsidP="000F6FC1">
      <w:pPr>
        <w:pStyle w:val="FootnoteText"/>
        <w:jc w:val="both"/>
        <w:rPr>
          <w:rFonts w:ascii="Times New Roman" w:hAnsi="Times New Roman" w:cs="Times New Roman"/>
          <w:color w:val="000000" w:themeColor="text1"/>
        </w:rPr>
      </w:pPr>
      <w:r w:rsidRPr="000F6FC1">
        <w:rPr>
          <w:rStyle w:val="FootnoteReference"/>
          <w:rFonts w:ascii="Times New Roman" w:hAnsi="Times New Roman" w:cs="Times New Roman"/>
          <w:color w:val="000000" w:themeColor="text1"/>
        </w:rPr>
        <w:footnoteRef/>
      </w:r>
      <w:r w:rsidRPr="000F6FC1">
        <w:rPr>
          <w:rFonts w:ascii="Times New Roman" w:hAnsi="Times New Roman" w:cs="Times New Roman"/>
          <w:color w:val="000000" w:themeColor="text1"/>
        </w:rPr>
        <w:t xml:space="preserve"> The Victoria and Albert Museum, Reliquary, Available on: </w:t>
      </w:r>
    </w:p>
    <w:p w14:paraId="6F02AD98" w14:textId="04DDBBA7" w:rsidR="002E7808" w:rsidRPr="000F6FC1" w:rsidRDefault="004D1DF9" w:rsidP="000F6FC1">
      <w:pPr>
        <w:pStyle w:val="FootnoteText"/>
        <w:jc w:val="both"/>
        <w:rPr>
          <w:rFonts w:ascii="Times New Roman" w:hAnsi="Times New Roman" w:cs="Times New Roman"/>
          <w:color w:val="000000" w:themeColor="text1"/>
        </w:rPr>
      </w:pPr>
      <w:hyperlink r:id="rId7" w:history="1">
        <w:r w:rsidR="002E7808" w:rsidRPr="000F6FC1">
          <w:rPr>
            <w:rStyle w:val="Hyperlink"/>
            <w:rFonts w:ascii="Times New Roman" w:hAnsi="Times New Roman" w:cs="Times New Roman"/>
            <w:color w:val="000000" w:themeColor="text1"/>
          </w:rPr>
          <w:t>http://collections.vam.ac.uk/item/O69108/reliquary-unknown/</w:t>
        </w:r>
      </w:hyperlink>
      <w:r w:rsidR="002E7808" w:rsidRPr="000F6FC1">
        <w:rPr>
          <w:rFonts w:ascii="Times New Roman" w:hAnsi="Times New Roman" w:cs="Times New Roman"/>
          <w:color w:val="000000" w:themeColor="text1"/>
        </w:rPr>
        <w:t xml:space="preserve"> Accessed on [09/01/2018]. </w:t>
      </w:r>
    </w:p>
    <w:p w14:paraId="513BC505" w14:textId="77777777" w:rsidR="000F6FC1" w:rsidRDefault="002E7808" w:rsidP="000F6FC1">
      <w:pPr>
        <w:pStyle w:val="FootnoteText"/>
        <w:jc w:val="both"/>
        <w:rPr>
          <w:rFonts w:ascii="Times New Roman" w:hAnsi="Times New Roman" w:cs="Times New Roman"/>
          <w:color w:val="000000" w:themeColor="text1"/>
        </w:rPr>
      </w:pPr>
      <w:r w:rsidRPr="000F6FC1">
        <w:rPr>
          <w:rFonts w:ascii="Times New Roman" w:hAnsi="Times New Roman" w:cs="Times New Roman"/>
          <w:color w:val="000000" w:themeColor="text1"/>
        </w:rPr>
        <w:t>The British Museum, The St Eustace Head Reliquary, Available on:</w:t>
      </w:r>
    </w:p>
    <w:p w14:paraId="54CAA5BD" w14:textId="51B4F429" w:rsidR="002E7808" w:rsidRPr="000F6FC1" w:rsidRDefault="004D1DF9" w:rsidP="000F6FC1">
      <w:pPr>
        <w:pStyle w:val="FootnoteText"/>
        <w:jc w:val="both"/>
        <w:rPr>
          <w:rFonts w:ascii="Times New Roman" w:hAnsi="Times New Roman" w:cs="Times New Roman"/>
          <w:color w:val="000000" w:themeColor="text1"/>
        </w:rPr>
      </w:pPr>
      <w:hyperlink r:id="rId8" w:history="1">
        <w:r w:rsidR="002E7808" w:rsidRPr="000F6FC1">
          <w:rPr>
            <w:rStyle w:val="Hyperlink"/>
            <w:rFonts w:ascii="Times New Roman" w:hAnsi="Times New Roman" w:cs="Times New Roman"/>
            <w:color w:val="000000" w:themeColor="text1"/>
          </w:rPr>
          <w:t>http://www.britishmuseum.org/research/collection_online/collection_object_details.aspx?objectId=47715&amp;partId=1</w:t>
        </w:r>
      </w:hyperlink>
      <w:r w:rsidR="002E7808" w:rsidRPr="000F6FC1">
        <w:rPr>
          <w:rFonts w:ascii="Times New Roman" w:hAnsi="Times New Roman" w:cs="Times New Roman"/>
          <w:color w:val="000000" w:themeColor="text1"/>
        </w:rPr>
        <w:t xml:space="preserve"> Accessed on [09/01/2018]. </w:t>
      </w:r>
    </w:p>
    <w:p w14:paraId="7D4537DF" w14:textId="77777777" w:rsidR="002E7808" w:rsidRPr="000F6FC1" w:rsidRDefault="002E7808" w:rsidP="000F6FC1">
      <w:pPr>
        <w:pStyle w:val="FootnoteText"/>
        <w:jc w:val="both"/>
        <w:rPr>
          <w:rFonts w:ascii="Times New Roman" w:hAnsi="Times New Roman" w:cs="Times New Roman"/>
          <w:color w:val="000000" w:themeColor="text1"/>
        </w:rPr>
      </w:pPr>
      <w:r w:rsidRPr="000F6FC1">
        <w:rPr>
          <w:rFonts w:ascii="Times New Roman" w:hAnsi="Times New Roman" w:cs="Times New Roman"/>
          <w:color w:val="000000" w:themeColor="text1"/>
        </w:rPr>
        <w:t xml:space="preserve">The Louvre Museum, Reliquary of the hand of St Martha, Available on: </w:t>
      </w:r>
      <w:hyperlink r:id="rId9" w:history="1">
        <w:r w:rsidRPr="000F6FC1">
          <w:rPr>
            <w:rStyle w:val="Hyperlink"/>
            <w:rFonts w:ascii="Times New Roman" w:hAnsi="Times New Roman" w:cs="Times New Roman"/>
            <w:color w:val="000000" w:themeColor="text1"/>
          </w:rPr>
          <w:t>https://www.louvre.fr/en/oeuvre-notices/reliquary-hand-st-martha</w:t>
        </w:r>
      </w:hyperlink>
      <w:r w:rsidRPr="000F6FC1">
        <w:rPr>
          <w:rFonts w:ascii="Times New Roman" w:hAnsi="Times New Roman" w:cs="Times New Roman"/>
          <w:color w:val="000000" w:themeColor="text1"/>
        </w:rPr>
        <w:t xml:space="preserve"> Accessed on [09/01/2018]. </w:t>
      </w:r>
    </w:p>
    <w:p w14:paraId="22EB7B0A" w14:textId="77777777" w:rsidR="000F6FC1" w:rsidRDefault="002E7808" w:rsidP="000F6FC1">
      <w:pPr>
        <w:pStyle w:val="FootnoteText"/>
        <w:jc w:val="both"/>
        <w:rPr>
          <w:rFonts w:ascii="Times New Roman" w:hAnsi="Times New Roman" w:cs="Times New Roman"/>
          <w:color w:val="000000" w:themeColor="text1"/>
        </w:rPr>
      </w:pPr>
      <w:r w:rsidRPr="000F6FC1">
        <w:rPr>
          <w:rFonts w:ascii="Times New Roman" w:hAnsi="Times New Roman" w:cs="Times New Roman"/>
          <w:color w:val="000000" w:themeColor="text1"/>
        </w:rPr>
        <w:t xml:space="preserve">The Treasure of Oignies, Foot Reliquary of St Blaise, Available on: </w:t>
      </w:r>
    </w:p>
    <w:p w14:paraId="637D5BA6" w14:textId="52C32190" w:rsidR="002E7808" w:rsidRPr="000F6FC1" w:rsidRDefault="004D1DF9" w:rsidP="000F6FC1">
      <w:pPr>
        <w:pStyle w:val="FootnoteText"/>
        <w:jc w:val="both"/>
        <w:rPr>
          <w:rFonts w:ascii="Times New Roman" w:hAnsi="Times New Roman" w:cs="Times New Roman"/>
          <w:color w:val="000000" w:themeColor="text1"/>
        </w:rPr>
      </w:pPr>
      <w:hyperlink r:id="rId10" w:history="1">
        <w:r w:rsidR="002E7808" w:rsidRPr="000F6FC1">
          <w:rPr>
            <w:rStyle w:val="Hyperlink"/>
            <w:rFonts w:ascii="Times New Roman" w:hAnsi="Times New Roman" w:cs="Times New Roman"/>
            <w:color w:val="000000" w:themeColor="text1"/>
          </w:rPr>
          <w:t>https://www.wga.hu/html_m/zzdeco/1gold/15c/06g_1451.html</w:t>
        </w:r>
      </w:hyperlink>
      <w:r w:rsidR="002E7808" w:rsidRPr="000F6FC1">
        <w:rPr>
          <w:rFonts w:ascii="Times New Roman" w:hAnsi="Times New Roman" w:cs="Times New Roman"/>
          <w:color w:val="000000" w:themeColor="text1"/>
        </w:rPr>
        <w:t xml:space="preserve"> Accessed on [09/01/2018].  </w:t>
      </w:r>
    </w:p>
  </w:footnote>
  <w:footnote w:id="14">
    <w:p w14:paraId="6BB14A8F" w14:textId="720AA15A" w:rsidR="006C497A" w:rsidRPr="000F6FC1" w:rsidRDefault="006C497A" w:rsidP="000F6FC1">
      <w:pPr>
        <w:pStyle w:val="FootnoteText"/>
        <w:jc w:val="both"/>
        <w:rPr>
          <w:rFonts w:ascii="Times New Roman" w:hAnsi="Times New Roman" w:cs="Times New Roman"/>
          <w:color w:val="000000" w:themeColor="text1"/>
        </w:rPr>
      </w:pPr>
      <w:r w:rsidRPr="000F6FC1">
        <w:rPr>
          <w:rStyle w:val="FootnoteReference"/>
          <w:rFonts w:ascii="Times New Roman" w:hAnsi="Times New Roman" w:cs="Times New Roman"/>
          <w:color w:val="000000" w:themeColor="text1"/>
        </w:rPr>
        <w:footnoteRef/>
      </w:r>
      <w:r w:rsidRPr="000F6FC1">
        <w:rPr>
          <w:rFonts w:ascii="Times New Roman" w:hAnsi="Times New Roman" w:cs="Times New Roman"/>
          <w:color w:val="000000" w:themeColor="text1"/>
        </w:rPr>
        <w:t xml:space="preserve"> M. Leone, ‘Wrapping Transcendence: The Semiotics of Reliquaries’, </w:t>
      </w:r>
      <w:r w:rsidR="005F740E" w:rsidRPr="000F6FC1">
        <w:rPr>
          <w:rFonts w:ascii="Times New Roman" w:hAnsi="Times New Roman" w:cs="Times New Roman"/>
          <w:i/>
          <w:color w:val="000000" w:themeColor="text1"/>
        </w:rPr>
        <w:t>Signs and Society,</w:t>
      </w:r>
      <w:r w:rsidR="005F740E" w:rsidRPr="000F6FC1">
        <w:rPr>
          <w:rFonts w:ascii="Times New Roman" w:hAnsi="Times New Roman" w:cs="Times New Roman"/>
          <w:color w:val="000000" w:themeColor="text1"/>
        </w:rPr>
        <w:t xml:space="preserve"> vol. 2: (2014), pp. 49-83, p. 49.</w:t>
      </w:r>
    </w:p>
  </w:footnote>
  <w:footnote w:id="15">
    <w:p w14:paraId="7B389E6D" w14:textId="77777777" w:rsidR="000F6FC1" w:rsidRDefault="00993E12" w:rsidP="000F6FC1">
      <w:pPr>
        <w:pStyle w:val="FootnoteText"/>
        <w:jc w:val="both"/>
        <w:rPr>
          <w:rFonts w:ascii="Times New Roman" w:hAnsi="Times New Roman" w:cs="Times New Roman"/>
          <w:color w:val="000000" w:themeColor="text1"/>
        </w:rPr>
      </w:pPr>
      <w:r w:rsidRPr="000F6FC1">
        <w:rPr>
          <w:rStyle w:val="FootnoteReference"/>
          <w:rFonts w:ascii="Times New Roman" w:hAnsi="Times New Roman" w:cs="Times New Roman"/>
          <w:color w:val="000000" w:themeColor="text1"/>
        </w:rPr>
        <w:footnoteRef/>
      </w:r>
      <w:r w:rsidRPr="000F6FC1">
        <w:rPr>
          <w:rFonts w:ascii="Times New Roman" w:hAnsi="Times New Roman" w:cs="Times New Roman"/>
          <w:color w:val="000000" w:themeColor="text1"/>
        </w:rPr>
        <w:t xml:space="preserve"> Anon., </w:t>
      </w:r>
      <w:r w:rsidRPr="000F6FC1">
        <w:rPr>
          <w:rFonts w:ascii="Times New Roman" w:hAnsi="Times New Roman" w:cs="Times New Roman"/>
          <w:i/>
          <w:color w:val="000000" w:themeColor="text1"/>
        </w:rPr>
        <w:t>A Dictionary of World History (2</w:t>
      </w:r>
      <w:r w:rsidRPr="000F6FC1">
        <w:rPr>
          <w:rFonts w:ascii="Times New Roman" w:hAnsi="Times New Roman" w:cs="Times New Roman"/>
          <w:i/>
          <w:color w:val="000000" w:themeColor="text1"/>
          <w:vertAlign w:val="superscript"/>
        </w:rPr>
        <w:t>nd</w:t>
      </w:r>
      <w:r w:rsidRPr="000F6FC1">
        <w:rPr>
          <w:rFonts w:ascii="Times New Roman" w:hAnsi="Times New Roman" w:cs="Times New Roman"/>
          <w:i/>
          <w:color w:val="000000" w:themeColor="text1"/>
        </w:rPr>
        <w:t xml:space="preserve"> ed.) </w:t>
      </w:r>
      <w:r w:rsidRPr="000F6FC1">
        <w:rPr>
          <w:rFonts w:ascii="Times New Roman" w:hAnsi="Times New Roman" w:cs="Times New Roman"/>
          <w:color w:val="000000" w:themeColor="text1"/>
        </w:rPr>
        <w:t>ed. E. Wright (Oxford: Oxford University Press, 2006), Accessed online. Available on:</w:t>
      </w:r>
    </w:p>
    <w:p w14:paraId="68FCED8D" w14:textId="53D7071C" w:rsidR="00993E12" w:rsidRPr="000F6FC1" w:rsidRDefault="00993E12" w:rsidP="000F6FC1">
      <w:pPr>
        <w:pStyle w:val="FootnoteText"/>
        <w:jc w:val="both"/>
        <w:rPr>
          <w:rFonts w:ascii="Times New Roman" w:hAnsi="Times New Roman" w:cs="Times New Roman"/>
          <w:color w:val="000000" w:themeColor="text1"/>
        </w:rPr>
      </w:pPr>
      <w:r w:rsidRPr="000F6FC1">
        <w:rPr>
          <w:rFonts w:ascii="Times New Roman" w:hAnsi="Times New Roman" w:cs="Times New Roman"/>
          <w:color w:val="000000" w:themeColor="text1"/>
        </w:rPr>
        <w:t xml:space="preserve"> </w:t>
      </w:r>
      <w:hyperlink r:id="rId11" w:history="1">
        <w:r w:rsidRPr="000F6FC1">
          <w:rPr>
            <w:rStyle w:val="Hyperlink"/>
            <w:rFonts w:ascii="Times New Roman" w:hAnsi="Times New Roman" w:cs="Times New Roman"/>
            <w:color w:val="000000" w:themeColor="text1"/>
          </w:rPr>
          <w:t>http://www.oxfordreference.com.ezproxy.uwtsd.ac.uk/view/10.1093/acref/9780192807007.001.0001/acref-9780192807007-e-3730?rskey=gOXpg2&amp;result=3762</w:t>
        </w:r>
      </w:hyperlink>
      <w:r w:rsidR="00726B0F" w:rsidRPr="000F6FC1">
        <w:rPr>
          <w:rFonts w:ascii="Times New Roman" w:hAnsi="Times New Roman" w:cs="Times New Roman"/>
          <w:color w:val="000000" w:themeColor="text1"/>
        </w:rPr>
        <w:t xml:space="preserve"> Accessed on [09/01/2018]. </w:t>
      </w:r>
    </w:p>
  </w:footnote>
  <w:footnote w:id="16">
    <w:p w14:paraId="7F6F1C09" w14:textId="77777777" w:rsidR="000F6FC1" w:rsidRDefault="00993E12" w:rsidP="000F6FC1">
      <w:pPr>
        <w:pStyle w:val="FootnoteText"/>
        <w:jc w:val="both"/>
        <w:rPr>
          <w:rFonts w:ascii="Times New Roman" w:hAnsi="Times New Roman" w:cs="Times New Roman"/>
          <w:color w:val="000000" w:themeColor="text1"/>
        </w:rPr>
      </w:pPr>
      <w:r w:rsidRPr="000F6FC1">
        <w:rPr>
          <w:rStyle w:val="FootnoteReference"/>
          <w:rFonts w:ascii="Times New Roman" w:hAnsi="Times New Roman" w:cs="Times New Roman"/>
          <w:color w:val="000000" w:themeColor="text1"/>
        </w:rPr>
        <w:footnoteRef/>
      </w:r>
      <w:r w:rsidRPr="000F6FC1">
        <w:rPr>
          <w:rFonts w:ascii="Times New Roman" w:hAnsi="Times New Roman" w:cs="Times New Roman"/>
          <w:color w:val="000000" w:themeColor="text1"/>
        </w:rPr>
        <w:t xml:space="preserve"> Anon, </w:t>
      </w:r>
      <w:r w:rsidRPr="000F6FC1">
        <w:rPr>
          <w:rFonts w:ascii="Times New Roman" w:hAnsi="Times New Roman" w:cs="Times New Roman"/>
          <w:i/>
          <w:color w:val="000000" w:themeColor="text1"/>
        </w:rPr>
        <w:t xml:space="preserve">The Oxford Dictionary of Byzantium </w:t>
      </w:r>
      <w:r w:rsidRPr="000F6FC1">
        <w:rPr>
          <w:rFonts w:ascii="Times New Roman" w:hAnsi="Times New Roman" w:cs="Times New Roman"/>
          <w:color w:val="000000" w:themeColor="text1"/>
        </w:rPr>
        <w:t>ed. A. P. Kazhdan (Oxford: Oxford University Press, 2005), Accessed online. Available on:</w:t>
      </w:r>
    </w:p>
    <w:p w14:paraId="4A3220F3" w14:textId="2C316EA9" w:rsidR="00993E12" w:rsidRPr="000F6FC1" w:rsidRDefault="00993E12" w:rsidP="000F6FC1">
      <w:pPr>
        <w:pStyle w:val="FootnoteText"/>
        <w:jc w:val="both"/>
        <w:rPr>
          <w:rFonts w:ascii="Times New Roman" w:hAnsi="Times New Roman" w:cs="Times New Roman"/>
          <w:color w:val="000000" w:themeColor="text1"/>
        </w:rPr>
      </w:pPr>
      <w:r w:rsidRPr="000F6FC1">
        <w:rPr>
          <w:rFonts w:ascii="Times New Roman" w:hAnsi="Times New Roman" w:cs="Times New Roman"/>
          <w:color w:val="000000" w:themeColor="text1"/>
        </w:rPr>
        <w:t xml:space="preserve"> </w:t>
      </w:r>
      <w:hyperlink r:id="rId12" w:history="1">
        <w:r w:rsidRPr="000F6FC1">
          <w:rPr>
            <w:rStyle w:val="Hyperlink"/>
            <w:rFonts w:ascii="Times New Roman" w:hAnsi="Times New Roman" w:cs="Times New Roman"/>
            <w:color w:val="000000" w:themeColor="text1"/>
          </w:rPr>
          <w:t>http://www.oxfordreference.com.ezproxy.uwtsd.ac.uk/view/10.1093/acref/9780195046526.001.0001/acref-9780195046526-e-5612</w:t>
        </w:r>
      </w:hyperlink>
      <w:r w:rsidRPr="000F6FC1">
        <w:rPr>
          <w:rFonts w:ascii="Times New Roman" w:hAnsi="Times New Roman" w:cs="Times New Roman"/>
          <w:color w:val="000000" w:themeColor="text1"/>
        </w:rPr>
        <w:t xml:space="preserve"> Accessed on [09/01/2018]. </w:t>
      </w:r>
    </w:p>
  </w:footnote>
  <w:footnote w:id="17">
    <w:p w14:paraId="0026E53F" w14:textId="77777777" w:rsidR="00993E12" w:rsidRPr="000F6FC1" w:rsidRDefault="00993E12" w:rsidP="000F6FC1">
      <w:pPr>
        <w:pStyle w:val="FootnoteText"/>
        <w:jc w:val="both"/>
        <w:rPr>
          <w:rFonts w:ascii="Times New Roman" w:hAnsi="Times New Roman" w:cs="Times New Roman"/>
          <w:color w:val="000000" w:themeColor="text1"/>
        </w:rPr>
      </w:pPr>
      <w:r w:rsidRPr="000F6FC1">
        <w:rPr>
          <w:rStyle w:val="FootnoteReference"/>
          <w:rFonts w:ascii="Times New Roman" w:hAnsi="Times New Roman" w:cs="Times New Roman"/>
          <w:color w:val="000000" w:themeColor="text1"/>
        </w:rPr>
        <w:footnoteRef/>
      </w:r>
      <w:r w:rsidRPr="000F6FC1">
        <w:rPr>
          <w:rFonts w:ascii="Times New Roman" w:hAnsi="Times New Roman" w:cs="Times New Roman"/>
          <w:color w:val="000000" w:themeColor="text1"/>
        </w:rPr>
        <w:t xml:space="preserve"> R. Wilcox, </w:t>
      </w:r>
      <w:r w:rsidRPr="000F6FC1">
        <w:rPr>
          <w:rFonts w:ascii="Times New Roman" w:hAnsi="Times New Roman" w:cs="Times New Roman"/>
          <w:i/>
          <w:color w:val="000000" w:themeColor="text1"/>
        </w:rPr>
        <w:t xml:space="preserve">The Truth about the Shroud of Turin: Solving the Mystery </w:t>
      </w:r>
      <w:r w:rsidRPr="000F6FC1">
        <w:rPr>
          <w:rFonts w:ascii="Times New Roman" w:hAnsi="Times New Roman" w:cs="Times New Roman"/>
          <w:color w:val="000000" w:themeColor="text1"/>
        </w:rPr>
        <w:t>(Washington D.C: Regnery Publishing Inc., 2010), P. 63.</w:t>
      </w:r>
    </w:p>
  </w:footnote>
  <w:footnote w:id="18">
    <w:p w14:paraId="6F3542A1" w14:textId="77777777" w:rsidR="00993E12" w:rsidRPr="000F6FC1" w:rsidRDefault="00993E12" w:rsidP="000F6FC1">
      <w:pPr>
        <w:pStyle w:val="FootnoteText"/>
        <w:jc w:val="both"/>
        <w:rPr>
          <w:rFonts w:ascii="Times New Roman" w:hAnsi="Times New Roman" w:cs="Times New Roman"/>
          <w:color w:val="000000" w:themeColor="text1"/>
        </w:rPr>
      </w:pPr>
      <w:r w:rsidRPr="000F6FC1">
        <w:rPr>
          <w:rStyle w:val="FootnoteReference"/>
          <w:rFonts w:ascii="Times New Roman" w:hAnsi="Times New Roman" w:cs="Times New Roman"/>
          <w:color w:val="000000" w:themeColor="text1"/>
        </w:rPr>
        <w:footnoteRef/>
      </w:r>
      <w:r w:rsidRPr="000F6FC1">
        <w:rPr>
          <w:rFonts w:ascii="Times New Roman" w:hAnsi="Times New Roman" w:cs="Times New Roman"/>
          <w:color w:val="000000" w:themeColor="text1"/>
        </w:rPr>
        <w:t xml:space="preserve"> Treasures of Heaven: Saints, Relics, and Devotion in Medieval Europe, Relics and Reliquaries: Reliquary of the True Cross, Available on: </w:t>
      </w:r>
      <w:hyperlink r:id="rId13" w:history="1">
        <w:r w:rsidRPr="000F6FC1">
          <w:rPr>
            <w:rStyle w:val="Hyperlink"/>
            <w:rFonts w:ascii="Times New Roman" w:hAnsi="Times New Roman" w:cs="Times New Roman"/>
            <w:color w:val="000000" w:themeColor="text1"/>
          </w:rPr>
          <w:t>http://www.learn.columbia.edu/treasuresofheaven/relics/Reliquary-of-the-True-Cross-85.php</w:t>
        </w:r>
      </w:hyperlink>
      <w:r w:rsidRPr="000F6FC1">
        <w:rPr>
          <w:rFonts w:ascii="Times New Roman" w:hAnsi="Times New Roman" w:cs="Times New Roman"/>
          <w:color w:val="000000" w:themeColor="text1"/>
        </w:rPr>
        <w:t xml:space="preserve"> Accessed on [09/01/2018]. </w:t>
      </w:r>
    </w:p>
    <w:p w14:paraId="7BFD64D2" w14:textId="77777777" w:rsidR="000F6FC1" w:rsidRDefault="00993E12" w:rsidP="000F6FC1">
      <w:pPr>
        <w:pStyle w:val="FootnoteText"/>
        <w:jc w:val="both"/>
        <w:rPr>
          <w:rFonts w:ascii="Times New Roman" w:hAnsi="Times New Roman" w:cs="Times New Roman"/>
          <w:color w:val="000000" w:themeColor="text1"/>
        </w:rPr>
      </w:pPr>
      <w:r w:rsidRPr="000F6FC1">
        <w:rPr>
          <w:rFonts w:ascii="Times New Roman" w:hAnsi="Times New Roman" w:cs="Times New Roman"/>
          <w:color w:val="000000" w:themeColor="text1"/>
        </w:rPr>
        <w:t>Tia Ghose, Richard Dawkins Foundation for Reason and Science, Is it a Fake? DNA Testing Deepens Mystery of Shroud of Turin, Available on:</w:t>
      </w:r>
    </w:p>
    <w:p w14:paraId="694A02CA" w14:textId="483A3483" w:rsidR="00993E12" w:rsidRPr="000F6FC1" w:rsidRDefault="00993E12" w:rsidP="000F6FC1">
      <w:pPr>
        <w:pStyle w:val="FootnoteText"/>
        <w:jc w:val="both"/>
        <w:rPr>
          <w:rFonts w:ascii="Times New Roman" w:hAnsi="Times New Roman" w:cs="Times New Roman"/>
          <w:color w:val="000000" w:themeColor="text1"/>
        </w:rPr>
      </w:pPr>
      <w:r w:rsidRPr="000F6FC1">
        <w:rPr>
          <w:rFonts w:ascii="Times New Roman" w:hAnsi="Times New Roman" w:cs="Times New Roman"/>
          <w:color w:val="000000" w:themeColor="text1"/>
        </w:rPr>
        <w:t xml:space="preserve"> </w:t>
      </w:r>
      <w:hyperlink r:id="rId14" w:history="1">
        <w:r w:rsidRPr="000F6FC1">
          <w:rPr>
            <w:rStyle w:val="Hyperlink"/>
            <w:rFonts w:ascii="Times New Roman" w:hAnsi="Times New Roman" w:cs="Times New Roman"/>
            <w:color w:val="000000" w:themeColor="text1"/>
          </w:rPr>
          <w:t>https://www.richarddawkins.net/2015/10/is-it-a-fake-dna-testing-deepens-mystery-of-shroud-of-turin/</w:t>
        </w:r>
      </w:hyperlink>
      <w:r w:rsidRPr="000F6FC1">
        <w:rPr>
          <w:rFonts w:ascii="Times New Roman" w:hAnsi="Times New Roman" w:cs="Times New Roman"/>
          <w:color w:val="000000" w:themeColor="text1"/>
        </w:rPr>
        <w:t xml:space="preserve"> Accessed on [09/01/2018]. </w:t>
      </w:r>
    </w:p>
  </w:footnote>
  <w:footnote w:id="19">
    <w:p w14:paraId="3AA2091E" w14:textId="7B727769" w:rsidR="00F82957" w:rsidRPr="000F6FC1" w:rsidRDefault="00F82957" w:rsidP="000F6FC1">
      <w:pPr>
        <w:pStyle w:val="FootnoteText"/>
        <w:jc w:val="both"/>
        <w:rPr>
          <w:rFonts w:ascii="Times New Roman" w:hAnsi="Times New Roman" w:cs="Times New Roman"/>
          <w:color w:val="000000" w:themeColor="text1"/>
        </w:rPr>
      </w:pPr>
      <w:r w:rsidRPr="000F6FC1">
        <w:rPr>
          <w:rStyle w:val="FootnoteReference"/>
          <w:rFonts w:ascii="Times New Roman" w:hAnsi="Times New Roman" w:cs="Times New Roman"/>
          <w:color w:val="000000" w:themeColor="text1"/>
        </w:rPr>
        <w:footnoteRef/>
      </w:r>
      <w:r w:rsidRPr="000F6FC1">
        <w:rPr>
          <w:rFonts w:ascii="Times New Roman" w:hAnsi="Times New Roman" w:cs="Times New Roman"/>
          <w:color w:val="000000" w:themeColor="text1"/>
        </w:rPr>
        <w:t xml:space="preserve"> C. Daniell, </w:t>
      </w:r>
      <w:r w:rsidRPr="000F6FC1">
        <w:rPr>
          <w:rFonts w:ascii="Times New Roman" w:hAnsi="Times New Roman" w:cs="Times New Roman"/>
          <w:i/>
          <w:color w:val="000000" w:themeColor="text1"/>
        </w:rPr>
        <w:t>Death and Burial in Medieval England 1066-1550,</w:t>
      </w:r>
      <w:r w:rsidR="005A3A1B">
        <w:rPr>
          <w:rFonts w:ascii="Times New Roman" w:hAnsi="Times New Roman" w:cs="Times New Roman"/>
          <w:color w:val="000000" w:themeColor="text1"/>
        </w:rPr>
        <w:t xml:space="preserve"> (London: Rout</w:t>
      </w:r>
      <w:r w:rsidRPr="000F6FC1">
        <w:rPr>
          <w:rFonts w:ascii="Times New Roman" w:hAnsi="Times New Roman" w:cs="Times New Roman"/>
          <w:color w:val="000000" w:themeColor="text1"/>
        </w:rPr>
        <w:t xml:space="preserve">ledge, 1997), p. 59. </w:t>
      </w:r>
    </w:p>
  </w:footnote>
  <w:footnote w:id="20">
    <w:p w14:paraId="75448AC7" w14:textId="77777777" w:rsidR="00F82957" w:rsidRPr="000F6FC1" w:rsidRDefault="00F82957" w:rsidP="000F6FC1">
      <w:pPr>
        <w:pStyle w:val="FootnoteText"/>
        <w:jc w:val="both"/>
        <w:rPr>
          <w:rFonts w:ascii="Times New Roman" w:hAnsi="Times New Roman" w:cs="Times New Roman"/>
          <w:color w:val="000000" w:themeColor="text1"/>
        </w:rPr>
      </w:pPr>
      <w:r w:rsidRPr="000F6FC1">
        <w:rPr>
          <w:rStyle w:val="FootnoteReference"/>
          <w:rFonts w:ascii="Times New Roman" w:hAnsi="Times New Roman" w:cs="Times New Roman"/>
          <w:color w:val="000000" w:themeColor="text1"/>
        </w:rPr>
        <w:footnoteRef/>
      </w:r>
      <w:r w:rsidRPr="000F6FC1">
        <w:rPr>
          <w:rFonts w:ascii="Times New Roman" w:hAnsi="Times New Roman" w:cs="Times New Roman"/>
          <w:color w:val="000000" w:themeColor="text1"/>
        </w:rPr>
        <w:t xml:space="preserve"> P. Gregory, </w:t>
      </w:r>
      <w:r w:rsidRPr="000F6FC1">
        <w:rPr>
          <w:rFonts w:ascii="Times New Roman" w:hAnsi="Times New Roman" w:cs="Times New Roman"/>
          <w:i/>
          <w:color w:val="000000" w:themeColor="text1"/>
        </w:rPr>
        <w:t xml:space="preserve">The Women of the Cousins’ War: The Duchess, The Queen, and the King’s </w:t>
      </w:r>
      <w:r w:rsidRPr="000F6FC1">
        <w:rPr>
          <w:rFonts w:ascii="Times New Roman" w:hAnsi="Times New Roman" w:cs="Times New Roman"/>
          <w:color w:val="000000" w:themeColor="text1"/>
        </w:rPr>
        <w:t xml:space="preserve">Mother (London: Simon and Schuster, 2011), p. 210. </w:t>
      </w:r>
    </w:p>
  </w:footnote>
  <w:footnote w:id="21">
    <w:p w14:paraId="618CEE0D" w14:textId="5A399725" w:rsidR="00F82957" w:rsidRPr="000F6FC1" w:rsidRDefault="00F82957" w:rsidP="000F6FC1">
      <w:pPr>
        <w:pStyle w:val="FootnoteText"/>
        <w:jc w:val="both"/>
        <w:rPr>
          <w:rFonts w:ascii="Times New Roman" w:hAnsi="Times New Roman" w:cs="Times New Roman"/>
          <w:color w:val="000000" w:themeColor="text1"/>
        </w:rPr>
      </w:pPr>
      <w:r w:rsidRPr="000F6FC1">
        <w:rPr>
          <w:rStyle w:val="FootnoteReference"/>
          <w:rFonts w:ascii="Times New Roman" w:hAnsi="Times New Roman" w:cs="Times New Roman"/>
          <w:color w:val="000000" w:themeColor="text1"/>
        </w:rPr>
        <w:footnoteRef/>
      </w:r>
      <w:r w:rsidRPr="000F6FC1">
        <w:rPr>
          <w:rFonts w:ascii="Times New Roman" w:hAnsi="Times New Roman" w:cs="Times New Roman"/>
          <w:color w:val="000000" w:themeColor="text1"/>
        </w:rPr>
        <w:t xml:space="preserve">Westminster Abbey, Edward V and Richard, Duke of York, Available on: </w:t>
      </w:r>
      <w:hyperlink r:id="rId15" w:history="1">
        <w:r w:rsidRPr="000F6FC1">
          <w:rPr>
            <w:rStyle w:val="Hyperlink"/>
            <w:rFonts w:ascii="Times New Roman" w:hAnsi="Times New Roman" w:cs="Times New Roman"/>
            <w:color w:val="000000" w:themeColor="text1"/>
          </w:rPr>
          <w:t>http:</w:t>
        </w:r>
        <w:bookmarkStart w:id="0" w:name="_GoBack"/>
        <w:bookmarkEnd w:id="0"/>
        <w:r w:rsidRPr="000F6FC1">
          <w:rPr>
            <w:rStyle w:val="Hyperlink"/>
            <w:rFonts w:ascii="Times New Roman" w:hAnsi="Times New Roman" w:cs="Times New Roman"/>
            <w:color w:val="000000" w:themeColor="text1"/>
          </w:rPr>
          <w:t>//www.westminster-abbey.org/our-history/royals/edward-v</w:t>
        </w:r>
      </w:hyperlink>
      <w:r w:rsidRPr="000F6FC1">
        <w:rPr>
          <w:rFonts w:ascii="Times New Roman" w:hAnsi="Times New Roman" w:cs="Times New Roman"/>
          <w:color w:val="000000" w:themeColor="text1"/>
        </w:rPr>
        <w:t xml:space="preserve"> Accessed on [10/01/2018]. </w:t>
      </w:r>
    </w:p>
  </w:footnote>
  <w:footnote w:id="22">
    <w:p w14:paraId="19D861A2" w14:textId="77777777" w:rsidR="00AD39BC" w:rsidRPr="000F6FC1" w:rsidRDefault="00AD39BC" w:rsidP="000F6FC1">
      <w:pPr>
        <w:pStyle w:val="FootnoteText"/>
        <w:jc w:val="both"/>
        <w:rPr>
          <w:rFonts w:ascii="Times New Roman" w:hAnsi="Times New Roman" w:cs="Times New Roman"/>
          <w:color w:val="000000" w:themeColor="text1"/>
        </w:rPr>
      </w:pPr>
      <w:r w:rsidRPr="000F6FC1">
        <w:rPr>
          <w:rStyle w:val="FootnoteReference"/>
          <w:rFonts w:ascii="Times New Roman" w:hAnsi="Times New Roman" w:cs="Times New Roman"/>
          <w:color w:val="000000" w:themeColor="text1"/>
        </w:rPr>
        <w:footnoteRef/>
      </w:r>
      <w:r w:rsidRPr="000F6FC1">
        <w:rPr>
          <w:rFonts w:ascii="Times New Roman" w:hAnsi="Times New Roman" w:cs="Times New Roman"/>
          <w:color w:val="000000" w:themeColor="text1"/>
        </w:rPr>
        <w:t xml:space="preserve"> The King James Bible, Revelations 20:5-6.</w:t>
      </w:r>
    </w:p>
    <w:p w14:paraId="1D26348F" w14:textId="77777777" w:rsidR="00AD39BC" w:rsidRPr="000F6FC1" w:rsidRDefault="00AD39BC" w:rsidP="000F6FC1">
      <w:pPr>
        <w:pStyle w:val="FootnoteText"/>
        <w:jc w:val="both"/>
        <w:rPr>
          <w:rFonts w:ascii="Times New Roman" w:hAnsi="Times New Roman" w:cs="Times New Roman"/>
          <w:color w:val="000000" w:themeColor="text1"/>
        </w:rPr>
      </w:pPr>
      <w:r w:rsidRPr="000F6FC1">
        <w:rPr>
          <w:rFonts w:ascii="Times New Roman" w:hAnsi="Times New Roman" w:cs="Times New Roman"/>
          <w:color w:val="000000" w:themeColor="text1"/>
        </w:rPr>
        <w:t>The King James Bible, 1 Thessalonians 4:16.</w:t>
      </w:r>
    </w:p>
  </w:footnote>
  <w:footnote w:id="23">
    <w:p w14:paraId="48D52CBE" w14:textId="77777777" w:rsidR="000F6FC1" w:rsidRDefault="00AD39BC" w:rsidP="000F6FC1">
      <w:pPr>
        <w:pStyle w:val="FootnoteText"/>
        <w:jc w:val="both"/>
        <w:rPr>
          <w:rFonts w:ascii="Times New Roman" w:hAnsi="Times New Roman" w:cs="Times New Roman"/>
          <w:color w:val="000000" w:themeColor="text1"/>
        </w:rPr>
      </w:pPr>
      <w:r w:rsidRPr="000F6FC1">
        <w:rPr>
          <w:rStyle w:val="FootnoteReference"/>
          <w:rFonts w:ascii="Times New Roman" w:hAnsi="Times New Roman" w:cs="Times New Roman"/>
          <w:color w:val="000000" w:themeColor="text1"/>
        </w:rPr>
        <w:footnoteRef/>
      </w:r>
      <w:r w:rsidRPr="000F6FC1">
        <w:rPr>
          <w:rFonts w:ascii="Times New Roman" w:hAnsi="Times New Roman" w:cs="Times New Roman"/>
          <w:color w:val="000000" w:themeColor="text1"/>
        </w:rPr>
        <w:t xml:space="preserve"> The Web Gallery of Art, Last Judgement Triptych (open), Available on: </w:t>
      </w:r>
    </w:p>
    <w:p w14:paraId="5DBB07F9" w14:textId="61AD1A41" w:rsidR="00AD39BC" w:rsidRPr="000F6FC1" w:rsidRDefault="00AD39BC" w:rsidP="000F6FC1">
      <w:pPr>
        <w:pStyle w:val="FootnoteText"/>
        <w:jc w:val="both"/>
        <w:rPr>
          <w:rFonts w:ascii="Times New Roman" w:hAnsi="Times New Roman" w:cs="Times New Roman"/>
          <w:color w:val="000000" w:themeColor="text1"/>
        </w:rPr>
      </w:pPr>
      <w:hyperlink r:id="rId16" w:history="1">
        <w:r w:rsidRPr="000F6FC1">
          <w:rPr>
            <w:rStyle w:val="Hyperlink"/>
            <w:rFonts w:ascii="Times New Roman" w:hAnsi="Times New Roman" w:cs="Times New Roman"/>
            <w:color w:val="000000" w:themeColor="text1"/>
          </w:rPr>
          <w:t>https://www.wga.hu/html_m/m/memling/1early3/02last.html</w:t>
        </w:r>
      </w:hyperlink>
      <w:r w:rsidRPr="000F6FC1">
        <w:rPr>
          <w:rFonts w:ascii="Times New Roman" w:hAnsi="Times New Roman" w:cs="Times New Roman"/>
          <w:color w:val="000000" w:themeColor="text1"/>
        </w:rPr>
        <w:t xml:space="preserve"> Accessed on [10/01/2018]. </w:t>
      </w:r>
    </w:p>
  </w:footnote>
  <w:footnote w:id="24">
    <w:p w14:paraId="6B2DB3DF" w14:textId="39B5EA9C" w:rsidR="00AD39BC" w:rsidRPr="000F6FC1" w:rsidRDefault="00AD39BC" w:rsidP="000F6FC1">
      <w:pPr>
        <w:pStyle w:val="FootnoteText"/>
        <w:jc w:val="both"/>
        <w:rPr>
          <w:rFonts w:ascii="Times New Roman" w:hAnsi="Times New Roman" w:cs="Times New Roman"/>
          <w:i/>
          <w:color w:val="000000" w:themeColor="text1"/>
        </w:rPr>
      </w:pPr>
      <w:r w:rsidRPr="000F6FC1">
        <w:rPr>
          <w:rStyle w:val="FootnoteReference"/>
          <w:rFonts w:ascii="Times New Roman" w:hAnsi="Times New Roman" w:cs="Times New Roman"/>
          <w:color w:val="000000" w:themeColor="text1"/>
        </w:rPr>
        <w:footnoteRef/>
      </w:r>
      <w:r w:rsidRPr="000F6FC1">
        <w:rPr>
          <w:rFonts w:ascii="Times New Roman" w:hAnsi="Times New Roman" w:cs="Times New Roman"/>
          <w:color w:val="000000" w:themeColor="text1"/>
        </w:rPr>
        <w:t xml:space="preserve"> J. Aberth, </w:t>
      </w:r>
      <w:r w:rsidRPr="000F6FC1">
        <w:rPr>
          <w:rFonts w:ascii="Times New Roman" w:hAnsi="Times New Roman" w:cs="Times New Roman"/>
          <w:i/>
          <w:color w:val="000000" w:themeColor="text1"/>
        </w:rPr>
        <w:t xml:space="preserve">From the Brink of Apocalypse: Confronting Famine, War, Plague and Death in the Later Middle Ages </w:t>
      </w:r>
      <w:r w:rsidRPr="000F6FC1">
        <w:rPr>
          <w:rFonts w:ascii="Times New Roman" w:hAnsi="Times New Roman" w:cs="Times New Roman"/>
          <w:color w:val="000000" w:themeColor="text1"/>
        </w:rPr>
        <w:t xml:space="preserve">(London: </w:t>
      </w:r>
      <w:r w:rsidR="005A3A1B" w:rsidRPr="000F6FC1">
        <w:rPr>
          <w:rFonts w:ascii="Times New Roman" w:hAnsi="Times New Roman" w:cs="Times New Roman"/>
          <w:color w:val="000000" w:themeColor="text1"/>
        </w:rPr>
        <w:t>Routledge</w:t>
      </w:r>
      <w:r w:rsidRPr="000F6FC1">
        <w:rPr>
          <w:rFonts w:ascii="Times New Roman" w:hAnsi="Times New Roman" w:cs="Times New Roman"/>
          <w:color w:val="000000" w:themeColor="text1"/>
        </w:rPr>
        <w:t xml:space="preserve">, 2001), p. 262. </w:t>
      </w:r>
      <w:r w:rsidRPr="000F6FC1">
        <w:rPr>
          <w:rFonts w:ascii="Times New Roman" w:hAnsi="Times New Roman" w:cs="Times New Roman"/>
          <w:i/>
          <w:color w:val="000000" w:themeColor="text1"/>
        </w:rP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7A0C88" w14:textId="3744F0EE" w:rsidR="00AE33CA" w:rsidRDefault="00AE33CA" w:rsidP="00AE33CA">
    <w:pPr>
      <w:jc w:val="right"/>
      <w:rPr>
        <w:u w:val="single"/>
      </w:rPr>
    </w:pPr>
    <w:bookmarkStart w:id="1" w:name="_Hlk503213753"/>
    <w:r>
      <w:rPr>
        <w:u w:val="single"/>
      </w:rPr>
      <w:t xml:space="preserve">How Important was the presence of a body or body parts for the function of medieval tombs and reliquaries? </w:t>
    </w:r>
  </w:p>
  <w:bookmarkEnd w:id="1"/>
  <w:p w14:paraId="6ADBB02D" w14:textId="52CEE005" w:rsidR="00AE33CA" w:rsidRDefault="00AE33CA" w:rsidP="00AE33CA">
    <w:pPr>
      <w:jc w:val="right"/>
    </w:pPr>
    <w:r>
      <w:t>Due Friday 12</w:t>
    </w:r>
    <w:r w:rsidRPr="00AE33CA">
      <w:rPr>
        <w:vertAlign w:val="superscript"/>
      </w:rPr>
      <w:t>th</w:t>
    </w:r>
    <w:r>
      <w:t xml:space="preserve"> January 2018, 23.59</w:t>
    </w:r>
  </w:p>
  <w:p w14:paraId="11F192ED" w14:textId="019DC927" w:rsidR="007E3534" w:rsidRPr="00726B0F" w:rsidRDefault="00AE33CA" w:rsidP="00726B0F">
    <w:pPr>
      <w:jc w:val="right"/>
    </w:pPr>
    <w:r>
      <w:t xml:space="preserve">Thomas J. Dobson (1500215)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B04FEF"/>
    <w:multiLevelType w:val="hybridMultilevel"/>
    <w:tmpl w:val="1E3E922E"/>
    <w:lvl w:ilvl="0" w:tplc="4BD0C0C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0AAF"/>
    <w:rsid w:val="000A57B1"/>
    <w:rsid w:val="000D02E0"/>
    <w:rsid w:val="000F6FC1"/>
    <w:rsid w:val="001C0AAF"/>
    <w:rsid w:val="002632E8"/>
    <w:rsid w:val="002A2029"/>
    <w:rsid w:val="002B1A12"/>
    <w:rsid w:val="002B3113"/>
    <w:rsid w:val="002D4EF0"/>
    <w:rsid w:val="002E7808"/>
    <w:rsid w:val="003437BB"/>
    <w:rsid w:val="00353741"/>
    <w:rsid w:val="00364AAE"/>
    <w:rsid w:val="00373A04"/>
    <w:rsid w:val="004019CE"/>
    <w:rsid w:val="004615C1"/>
    <w:rsid w:val="00466892"/>
    <w:rsid w:val="004D1DF9"/>
    <w:rsid w:val="00500A72"/>
    <w:rsid w:val="00513BF5"/>
    <w:rsid w:val="00547B4E"/>
    <w:rsid w:val="005A3A1B"/>
    <w:rsid w:val="005B794D"/>
    <w:rsid w:val="005F740E"/>
    <w:rsid w:val="006606F3"/>
    <w:rsid w:val="006861F1"/>
    <w:rsid w:val="006B2D35"/>
    <w:rsid w:val="006C497A"/>
    <w:rsid w:val="006C7388"/>
    <w:rsid w:val="00726B0F"/>
    <w:rsid w:val="007431EF"/>
    <w:rsid w:val="007D5DC9"/>
    <w:rsid w:val="007E3534"/>
    <w:rsid w:val="008167A7"/>
    <w:rsid w:val="008404E3"/>
    <w:rsid w:val="00886490"/>
    <w:rsid w:val="008D058F"/>
    <w:rsid w:val="009222D4"/>
    <w:rsid w:val="00955B3A"/>
    <w:rsid w:val="00990943"/>
    <w:rsid w:val="00993E12"/>
    <w:rsid w:val="00A3240E"/>
    <w:rsid w:val="00A37C76"/>
    <w:rsid w:val="00A576C4"/>
    <w:rsid w:val="00AD39BC"/>
    <w:rsid w:val="00AE33CA"/>
    <w:rsid w:val="00B917E4"/>
    <w:rsid w:val="00BA30E9"/>
    <w:rsid w:val="00BC6B29"/>
    <w:rsid w:val="00C62292"/>
    <w:rsid w:val="00CA71B5"/>
    <w:rsid w:val="00CC1641"/>
    <w:rsid w:val="00CC3176"/>
    <w:rsid w:val="00CD6450"/>
    <w:rsid w:val="00D104B0"/>
    <w:rsid w:val="00DE4818"/>
    <w:rsid w:val="00E04BC8"/>
    <w:rsid w:val="00E723C0"/>
    <w:rsid w:val="00F26B36"/>
    <w:rsid w:val="00F27D73"/>
    <w:rsid w:val="00F3701A"/>
    <w:rsid w:val="00F82957"/>
    <w:rsid w:val="00FA4C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E0A087E"/>
  <w15:chartTrackingRefBased/>
  <w15:docId w15:val="{954744C9-B2A0-A74C-A337-54456F46C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35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3534"/>
  </w:style>
  <w:style w:type="paragraph" w:styleId="Footer">
    <w:name w:val="footer"/>
    <w:basedOn w:val="Normal"/>
    <w:link w:val="FooterChar"/>
    <w:uiPriority w:val="99"/>
    <w:unhideWhenUsed/>
    <w:rsid w:val="007E35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3534"/>
  </w:style>
  <w:style w:type="paragraph" w:styleId="FootnoteText">
    <w:name w:val="footnote text"/>
    <w:basedOn w:val="Normal"/>
    <w:link w:val="FootnoteTextChar"/>
    <w:uiPriority w:val="99"/>
    <w:semiHidden/>
    <w:unhideWhenUsed/>
    <w:rsid w:val="00B917E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917E4"/>
    <w:rPr>
      <w:sz w:val="20"/>
      <w:szCs w:val="20"/>
    </w:rPr>
  </w:style>
  <w:style w:type="character" w:styleId="FootnoteReference">
    <w:name w:val="footnote reference"/>
    <w:basedOn w:val="DefaultParagraphFont"/>
    <w:uiPriority w:val="99"/>
    <w:semiHidden/>
    <w:unhideWhenUsed/>
    <w:rsid w:val="00B917E4"/>
    <w:rPr>
      <w:vertAlign w:val="superscript"/>
    </w:rPr>
  </w:style>
  <w:style w:type="paragraph" w:styleId="ListParagraph">
    <w:name w:val="List Paragraph"/>
    <w:basedOn w:val="Normal"/>
    <w:uiPriority w:val="34"/>
    <w:qFormat/>
    <w:rsid w:val="006861F1"/>
    <w:pPr>
      <w:ind w:left="720"/>
      <w:contextualSpacing/>
    </w:pPr>
  </w:style>
  <w:style w:type="character" w:styleId="Hyperlink">
    <w:name w:val="Hyperlink"/>
    <w:basedOn w:val="DefaultParagraphFont"/>
    <w:uiPriority w:val="99"/>
    <w:unhideWhenUsed/>
    <w:rsid w:val="00500A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0378431">
      <w:bodyDiv w:val="1"/>
      <w:marLeft w:val="0"/>
      <w:marRight w:val="0"/>
      <w:marTop w:val="0"/>
      <w:marBottom w:val="0"/>
      <w:divBdr>
        <w:top w:val="none" w:sz="0" w:space="0" w:color="auto"/>
        <w:left w:val="none" w:sz="0" w:space="0" w:color="auto"/>
        <w:bottom w:val="none" w:sz="0" w:space="0" w:color="auto"/>
        <w:right w:val="none" w:sz="0" w:space="0" w:color="auto"/>
      </w:divBdr>
    </w:div>
    <w:div w:id="781338190">
      <w:bodyDiv w:val="1"/>
      <w:marLeft w:val="0"/>
      <w:marRight w:val="0"/>
      <w:marTop w:val="0"/>
      <w:marBottom w:val="0"/>
      <w:divBdr>
        <w:top w:val="none" w:sz="0" w:space="0" w:color="auto"/>
        <w:left w:val="none" w:sz="0" w:space="0" w:color="auto"/>
        <w:bottom w:val="none" w:sz="0" w:space="0" w:color="auto"/>
        <w:right w:val="none" w:sz="0" w:space="0" w:color="auto"/>
      </w:divBdr>
    </w:div>
    <w:div w:id="938491467">
      <w:bodyDiv w:val="1"/>
      <w:marLeft w:val="0"/>
      <w:marRight w:val="0"/>
      <w:marTop w:val="0"/>
      <w:marBottom w:val="0"/>
      <w:divBdr>
        <w:top w:val="none" w:sz="0" w:space="0" w:color="auto"/>
        <w:left w:val="none" w:sz="0" w:space="0" w:color="auto"/>
        <w:bottom w:val="none" w:sz="0" w:space="0" w:color="auto"/>
        <w:right w:val="none" w:sz="0" w:space="0" w:color="auto"/>
      </w:divBdr>
    </w:div>
    <w:div w:id="1200167024">
      <w:bodyDiv w:val="1"/>
      <w:marLeft w:val="0"/>
      <w:marRight w:val="0"/>
      <w:marTop w:val="0"/>
      <w:marBottom w:val="0"/>
      <w:divBdr>
        <w:top w:val="none" w:sz="0" w:space="0" w:color="auto"/>
        <w:left w:val="none" w:sz="0" w:space="0" w:color="auto"/>
        <w:bottom w:val="none" w:sz="0" w:space="0" w:color="auto"/>
        <w:right w:val="none" w:sz="0" w:space="0" w:color="auto"/>
      </w:divBdr>
    </w:div>
    <w:div w:id="1914971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xfordreference.com.ezproxy.uwtsd.ac.uk/view/10.1093/acref/9780192807007.001.0001/acref-9780192807007-e-3730?rskey=gOXpg2&amp;result=3762" TargetMode="External"/><Relationship Id="rId13" Type="http://schemas.openxmlformats.org/officeDocument/2006/relationships/hyperlink" Target="https://www.metmuseum.org/toah/hd/relc/hd_relc.htm" TargetMode="External"/><Relationship Id="rId18" Type="http://schemas.openxmlformats.org/officeDocument/2006/relationships/hyperlink" Target="http://www.learn.columbia.edu/treasuresofheaven/relics/Reliquary-of-the-True-Cross-85.php"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estminster-abbey.org/our-history/royals/mary-i" TargetMode="External"/><Relationship Id="rId7" Type="http://schemas.openxmlformats.org/officeDocument/2006/relationships/endnotes" Target="endnotes.xml"/><Relationship Id="rId12" Type="http://schemas.openxmlformats.org/officeDocument/2006/relationships/hyperlink" Target="https://www.louvre.fr/en/oeuvre-notices/reliquary-hand-st-martha" TargetMode="External"/><Relationship Id="rId17" Type="http://schemas.openxmlformats.org/officeDocument/2006/relationships/hyperlink" Target="https://www.richarddawkins.net/2015/10/is-it-a-fake-dna-testing-deepens-mystery-of-shroud-of-turin/"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collections.vam.ac.uk/item/O69108/reliquary-unknown/" TargetMode="External"/><Relationship Id="rId20" Type="http://schemas.openxmlformats.org/officeDocument/2006/relationships/hyperlink" Target="http://www.westminster-abbey.org/our-history/royals/henry-ii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ritishmuseum.org/research/collection_online/collection_object_details.aspx?objectId=47715&amp;partId=1"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wga.hu/html_m/m/memling/1early3/02last.html" TargetMode="External"/><Relationship Id="rId23" Type="http://schemas.openxmlformats.org/officeDocument/2006/relationships/header" Target="header1.xml"/><Relationship Id="rId10" Type="http://schemas.openxmlformats.org/officeDocument/2006/relationships/hyperlink" Target="https://bucks.instructure.com/courses/200544/files/2585694?module_item_id=1474411" TargetMode="External"/><Relationship Id="rId19" Type="http://schemas.openxmlformats.org/officeDocument/2006/relationships/hyperlink" Target="http://www.westminster-abbey.org/our-history/royals/edward-v" TargetMode="External"/><Relationship Id="rId4" Type="http://schemas.openxmlformats.org/officeDocument/2006/relationships/settings" Target="settings.xml"/><Relationship Id="rId9" Type="http://schemas.openxmlformats.org/officeDocument/2006/relationships/hyperlink" Target="http://www.oxfordreference.com.ezproxy.uwtsd.ac.uk/view/10.1093/acref/9780195046526.001.0001/acref-9780195046526-e-5612" TargetMode="External"/><Relationship Id="rId14" Type="http://schemas.openxmlformats.org/officeDocument/2006/relationships/hyperlink" Target="https://www.wga.hu/html_m/zzdeco/1gold/15c/06g_1451.html" TargetMode="External"/><Relationship Id="rId22" Type="http://schemas.openxmlformats.org/officeDocument/2006/relationships/hyperlink" Target="http://www.westminster-abbey.org/visit-us/galleries/the-secrets-of-mary-iis-petticoat"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britishmuseum.org/research/collection_online/collection_object_details.aspx?objectId=47715&amp;partId=1" TargetMode="External"/><Relationship Id="rId13" Type="http://schemas.openxmlformats.org/officeDocument/2006/relationships/hyperlink" Target="http://www.learn.columbia.edu/treasuresofheaven/relics/Reliquary-of-the-True-Cross-85.php" TargetMode="External"/><Relationship Id="rId3" Type="http://schemas.openxmlformats.org/officeDocument/2006/relationships/hyperlink" Target="http://www.westminster-abbey.org/visit-us/galleries/the-secrets-of-mary-iis-petticoat" TargetMode="External"/><Relationship Id="rId7" Type="http://schemas.openxmlformats.org/officeDocument/2006/relationships/hyperlink" Target="http://collections.vam.ac.uk/item/O69108/reliquary-unknown/" TargetMode="External"/><Relationship Id="rId12" Type="http://schemas.openxmlformats.org/officeDocument/2006/relationships/hyperlink" Target="http://www.oxfordreference.com.ezproxy.uwtsd.ac.uk/view/10.1093/acref/9780195046526.001.0001/acref-9780195046526-e-5612" TargetMode="External"/><Relationship Id="rId2" Type="http://schemas.openxmlformats.org/officeDocument/2006/relationships/hyperlink" Target="http://www.westminster-abbey.org/our-history/royals/henry-iii" TargetMode="External"/><Relationship Id="rId16" Type="http://schemas.openxmlformats.org/officeDocument/2006/relationships/hyperlink" Target="https://www.wga.hu/html_m/m/memling/1early3/02last.html" TargetMode="External"/><Relationship Id="rId1" Type="http://schemas.openxmlformats.org/officeDocument/2006/relationships/hyperlink" Target="http://westminster-abbey.org/our-history/royals/mary-i" TargetMode="External"/><Relationship Id="rId6" Type="http://schemas.openxmlformats.org/officeDocument/2006/relationships/hyperlink" Target="https://www.metmuseum.org/toah/hd/relc/hd_relc.htm" TargetMode="External"/><Relationship Id="rId11" Type="http://schemas.openxmlformats.org/officeDocument/2006/relationships/hyperlink" Target="http://www.oxfordreference.com.ezproxy.uwtsd.ac.uk/view/10.1093/acref/9780192807007.001.0001/acref-9780192807007-e-3730?rskey=gOXpg2&amp;result=3762" TargetMode="External"/><Relationship Id="rId5" Type="http://schemas.openxmlformats.org/officeDocument/2006/relationships/hyperlink" Target="https://bucks.instructure.com/courses/200544/files/2585694?module_item_id=1474411" TargetMode="External"/><Relationship Id="rId15" Type="http://schemas.openxmlformats.org/officeDocument/2006/relationships/hyperlink" Target="http://www.westminster-abbey.org/our-history/royals/edward-v" TargetMode="External"/><Relationship Id="rId10" Type="http://schemas.openxmlformats.org/officeDocument/2006/relationships/hyperlink" Target="https://www.wga.hu/html_m/zzdeco/1gold/15c/06g_1451.html" TargetMode="External"/><Relationship Id="rId4" Type="http://schemas.openxmlformats.org/officeDocument/2006/relationships/hyperlink" Target="http://www.britishmuseum.org/research/collection_online/collection_object_details.aspx?objectId=47715&amp;partId=1" TargetMode="External"/><Relationship Id="rId9" Type="http://schemas.openxmlformats.org/officeDocument/2006/relationships/hyperlink" Target="https://www.louvre.fr/en/oeuvre-notices/reliquary-hand-st-martha" TargetMode="External"/><Relationship Id="rId14" Type="http://schemas.openxmlformats.org/officeDocument/2006/relationships/hyperlink" Target="https://www.richarddawkins.net/2015/10/is-it-a-fake-dna-testing-deepens-mystery-of-shroud-of-tur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FE2261-0B1B-4E38-B7C4-2DE163BC5F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3540</Words>
  <Characters>18728</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 Dobson</dc:creator>
  <cp:keywords/>
  <dc:description/>
  <cp:lastModifiedBy>Thomas John Dobson</cp:lastModifiedBy>
  <cp:revision>3</cp:revision>
  <dcterms:created xsi:type="dcterms:W3CDTF">2018-01-10T18:28:00Z</dcterms:created>
  <dcterms:modified xsi:type="dcterms:W3CDTF">2018-01-10T18:35:00Z</dcterms:modified>
</cp:coreProperties>
</file>