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B6B69A" w14:textId="77777777" w:rsidR="009F0B1F" w:rsidRDefault="009F0B1F" w:rsidP="009F0B1F">
      <w:pPr>
        <w:rPr>
          <w:noProof/>
        </w:rPr>
      </w:pPr>
      <w:r>
        <w:rPr>
          <w:noProof/>
        </w:rPr>
        <w:drawing>
          <wp:inline distT="0" distB="0" distL="0" distR="0" wp14:anchorId="6AD0D34B" wp14:editId="6846DE74">
            <wp:extent cx="5695950" cy="1816100"/>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95950" cy="1816100"/>
                    </a:xfrm>
                    <a:prstGeom prst="rect">
                      <a:avLst/>
                    </a:prstGeom>
                    <a:noFill/>
                    <a:ln>
                      <a:noFill/>
                    </a:ln>
                  </pic:spPr>
                </pic:pic>
              </a:graphicData>
            </a:graphic>
          </wp:inline>
        </w:drawing>
      </w:r>
    </w:p>
    <w:p w14:paraId="4187E1F9" w14:textId="77777777" w:rsidR="009F0B1F" w:rsidRPr="00FC63E2" w:rsidRDefault="009F0B1F" w:rsidP="009F0B1F">
      <w:pPr>
        <w:rPr>
          <w:rFonts w:ascii="Open Sans" w:hAnsi="Open Sans" w:cs="Open Sans"/>
          <w:b/>
          <w:bCs/>
          <w:color w:val="000000" w:themeColor="text1"/>
          <w:shd w:val="clear" w:color="auto" w:fill="FFFFFF"/>
        </w:rPr>
      </w:pPr>
      <w:r w:rsidRPr="00FC63E2">
        <w:rPr>
          <w:rFonts w:ascii="Open Sans" w:hAnsi="Open Sans" w:cs="Open Sans"/>
          <w:b/>
          <w:bCs/>
          <w:color w:val="000000" w:themeColor="text1"/>
          <w:shd w:val="clear" w:color="auto" w:fill="FFFFFF"/>
        </w:rPr>
        <w:t>Children and Young People's Health, Wellbeing and Community Engagement (BMHP5018)</w:t>
      </w:r>
    </w:p>
    <w:p w14:paraId="14F4F7DC" w14:textId="77777777" w:rsidR="009F0B1F" w:rsidRPr="00FC63E2" w:rsidRDefault="009F0B1F" w:rsidP="009F0B1F">
      <w:pPr>
        <w:rPr>
          <w:rFonts w:ascii="Open Sans" w:hAnsi="Open Sans" w:cs="Open Sans"/>
          <w:b/>
          <w:bCs/>
          <w:color w:val="000000" w:themeColor="text1"/>
          <w:shd w:val="clear" w:color="auto" w:fill="FFFFFF"/>
        </w:rPr>
      </w:pPr>
      <w:r w:rsidRPr="00FC63E2">
        <w:rPr>
          <w:rFonts w:ascii="Open Sans" w:hAnsi="Open Sans" w:cs="Open Sans"/>
          <w:b/>
          <w:bCs/>
          <w:color w:val="000000" w:themeColor="text1"/>
          <w:shd w:val="clear" w:color="auto" w:fill="FFFFFF"/>
        </w:rPr>
        <w:t xml:space="preserve">ANNA KLEPCZAREK </w:t>
      </w:r>
    </w:p>
    <w:p w14:paraId="14D563B4" w14:textId="77777777" w:rsidR="009F0B1F" w:rsidRPr="00FC63E2" w:rsidRDefault="009F0B1F" w:rsidP="009F0B1F">
      <w:pPr>
        <w:rPr>
          <w:rFonts w:ascii="Open Sans" w:hAnsi="Open Sans" w:cs="Open Sans"/>
          <w:b/>
          <w:bCs/>
          <w:color w:val="000000" w:themeColor="text1"/>
          <w:shd w:val="clear" w:color="auto" w:fill="FFFFFF"/>
        </w:rPr>
      </w:pPr>
      <w:r w:rsidRPr="00FC63E2">
        <w:rPr>
          <w:rFonts w:ascii="Open Sans" w:hAnsi="Open Sans" w:cs="Open Sans"/>
          <w:b/>
          <w:bCs/>
          <w:color w:val="000000" w:themeColor="text1"/>
          <w:shd w:val="clear" w:color="auto" w:fill="FFFFFF"/>
        </w:rPr>
        <w:t>STUDENT NUMBER: 2217529</w:t>
      </w:r>
    </w:p>
    <w:p w14:paraId="595EAD62" w14:textId="77777777" w:rsidR="009F0B1F" w:rsidRPr="00F03C72" w:rsidRDefault="009F0B1F" w:rsidP="009F0B1F">
      <w:pPr>
        <w:rPr>
          <w:b/>
          <w:bCs/>
          <w:noProof/>
        </w:rPr>
      </w:pPr>
      <w:r>
        <w:rPr>
          <w:rFonts w:ascii="Open Sans" w:hAnsi="Open Sans" w:cs="Open Sans"/>
          <w:b/>
          <w:bCs/>
          <w:color w:val="172B4D"/>
          <w:shd w:val="clear" w:color="auto" w:fill="FFFFFF"/>
        </w:rPr>
        <w:tab/>
      </w:r>
    </w:p>
    <w:p w14:paraId="202E5CE6" w14:textId="77777777" w:rsidR="009F0B1F" w:rsidRDefault="009F0B1F" w:rsidP="009F0B1F"/>
    <w:p w14:paraId="2DAEA44B" w14:textId="77777777" w:rsidR="009F0B1F" w:rsidRDefault="009F0B1F" w:rsidP="009F0B1F"/>
    <w:p w14:paraId="1FE1A8B1" w14:textId="77777777" w:rsidR="009F0B1F" w:rsidRDefault="009F0B1F" w:rsidP="009F0B1F"/>
    <w:p w14:paraId="2F1140CE" w14:textId="77777777" w:rsidR="009F0B1F" w:rsidRDefault="009F0B1F" w:rsidP="009F0B1F"/>
    <w:p w14:paraId="43EFE2A5" w14:textId="77777777" w:rsidR="009F0B1F" w:rsidRDefault="009F0B1F" w:rsidP="009F0B1F"/>
    <w:p w14:paraId="64D6BC8A" w14:textId="77777777" w:rsidR="009F0B1F" w:rsidRDefault="009F0B1F" w:rsidP="009F0B1F"/>
    <w:p w14:paraId="1D0BE9DA" w14:textId="77777777" w:rsidR="009F0B1F" w:rsidRDefault="009F0B1F" w:rsidP="009F0B1F"/>
    <w:p w14:paraId="6D17235D" w14:textId="77777777" w:rsidR="009F0B1F" w:rsidRPr="00FC63E2" w:rsidRDefault="009F0B1F" w:rsidP="009F0B1F">
      <w:pPr>
        <w:rPr>
          <w:b/>
          <w:bCs/>
          <w:color w:val="000000" w:themeColor="text1"/>
        </w:rPr>
      </w:pPr>
      <w:r w:rsidRPr="00FC63E2">
        <w:rPr>
          <w:b/>
          <w:bCs/>
          <w:noProof/>
          <w:color w:val="000000" w:themeColor="text1"/>
        </w:rPr>
        <w:drawing>
          <wp:anchor distT="0" distB="0" distL="114300" distR="114300" simplePos="0" relativeHeight="251659264" behindDoc="0" locked="0" layoutInCell="1" allowOverlap="1" wp14:anchorId="01D0EBE0" wp14:editId="46F59AC9">
            <wp:simplePos x="914400" y="4445000"/>
            <wp:positionH relativeFrom="margin">
              <wp:align>center</wp:align>
            </wp:positionH>
            <wp:positionV relativeFrom="margin">
              <wp:align>center</wp:align>
            </wp:positionV>
            <wp:extent cx="2317750" cy="1714500"/>
            <wp:effectExtent l="0" t="0" r="6350"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17750" cy="1714500"/>
                    </a:xfrm>
                    <a:prstGeom prst="rect">
                      <a:avLst/>
                    </a:prstGeom>
                    <a:noFill/>
                    <a:ln>
                      <a:noFill/>
                    </a:ln>
                  </pic:spPr>
                </pic:pic>
              </a:graphicData>
            </a:graphic>
          </wp:anchor>
        </w:drawing>
      </w:r>
      <w:r w:rsidRPr="00FC63E2">
        <w:rPr>
          <w:b/>
          <w:bCs/>
          <w:color w:val="000000" w:themeColor="text1"/>
        </w:rPr>
        <w:t>CONTENT PAGES:</w:t>
      </w:r>
    </w:p>
    <w:p w14:paraId="2BB49874" w14:textId="77777777" w:rsidR="009F0B1F" w:rsidRPr="00FC63E2" w:rsidRDefault="009F0B1F" w:rsidP="009F0B1F">
      <w:pPr>
        <w:pStyle w:val="ListParagraph"/>
        <w:numPr>
          <w:ilvl w:val="0"/>
          <w:numId w:val="1"/>
        </w:numPr>
        <w:rPr>
          <w:b/>
          <w:bCs/>
          <w:color w:val="000000" w:themeColor="text1"/>
        </w:rPr>
      </w:pPr>
      <w:r w:rsidRPr="00FC63E2">
        <w:rPr>
          <w:b/>
          <w:bCs/>
          <w:color w:val="000000" w:themeColor="text1"/>
        </w:rPr>
        <w:t>VIDEO LINK CRITIQUE</w:t>
      </w:r>
    </w:p>
    <w:p w14:paraId="4A4962BF" w14:textId="77777777" w:rsidR="009F0B1F" w:rsidRPr="00FC63E2" w:rsidRDefault="009F0B1F" w:rsidP="009F0B1F">
      <w:pPr>
        <w:pStyle w:val="ListParagraph"/>
        <w:numPr>
          <w:ilvl w:val="0"/>
          <w:numId w:val="1"/>
        </w:numPr>
        <w:rPr>
          <w:b/>
          <w:bCs/>
          <w:color w:val="000000" w:themeColor="text1"/>
        </w:rPr>
      </w:pPr>
      <w:r w:rsidRPr="00FC63E2">
        <w:rPr>
          <w:b/>
          <w:bCs/>
          <w:color w:val="000000" w:themeColor="text1"/>
        </w:rPr>
        <w:t>POSTER</w:t>
      </w:r>
    </w:p>
    <w:p w14:paraId="7C5E1399" w14:textId="77777777" w:rsidR="009F0B1F" w:rsidRPr="00FC63E2" w:rsidRDefault="009F0B1F" w:rsidP="009F0B1F">
      <w:pPr>
        <w:pStyle w:val="ListParagraph"/>
        <w:numPr>
          <w:ilvl w:val="0"/>
          <w:numId w:val="1"/>
        </w:numPr>
        <w:rPr>
          <w:b/>
          <w:bCs/>
          <w:color w:val="000000" w:themeColor="text1"/>
        </w:rPr>
      </w:pPr>
      <w:r w:rsidRPr="00FC63E2">
        <w:rPr>
          <w:b/>
          <w:bCs/>
          <w:color w:val="000000" w:themeColor="text1"/>
        </w:rPr>
        <w:t>BLOGS</w:t>
      </w:r>
    </w:p>
    <w:p w14:paraId="4022C919" w14:textId="77777777" w:rsidR="009F0B1F" w:rsidRPr="00FC63E2" w:rsidRDefault="009F0B1F" w:rsidP="009F0B1F">
      <w:pPr>
        <w:pStyle w:val="ListParagraph"/>
        <w:numPr>
          <w:ilvl w:val="0"/>
          <w:numId w:val="1"/>
        </w:numPr>
        <w:rPr>
          <w:b/>
          <w:bCs/>
          <w:color w:val="000000" w:themeColor="text1"/>
        </w:rPr>
      </w:pPr>
      <w:r w:rsidRPr="00FC63E2">
        <w:rPr>
          <w:b/>
          <w:bCs/>
          <w:color w:val="000000" w:themeColor="text1"/>
        </w:rPr>
        <w:t>LEGISLATION TIMELINE</w:t>
      </w:r>
    </w:p>
    <w:p w14:paraId="118988F2" w14:textId="77777777" w:rsidR="009F0B1F" w:rsidRPr="00FC63E2" w:rsidRDefault="009F0B1F" w:rsidP="009F0B1F">
      <w:pPr>
        <w:pStyle w:val="ListParagraph"/>
        <w:rPr>
          <w:b/>
          <w:bCs/>
        </w:rPr>
      </w:pPr>
    </w:p>
    <w:p w14:paraId="64575C9E" w14:textId="77777777" w:rsidR="009F0B1F" w:rsidRDefault="009F0B1F" w:rsidP="009F0B1F">
      <w:pPr>
        <w:pStyle w:val="ListParagraph"/>
      </w:pPr>
    </w:p>
    <w:p w14:paraId="0688F5CA" w14:textId="77777777" w:rsidR="009F0B1F" w:rsidRDefault="009F0B1F" w:rsidP="009F0B1F">
      <w:pPr>
        <w:pStyle w:val="ListParagraph"/>
      </w:pPr>
    </w:p>
    <w:p w14:paraId="4F49F86F" w14:textId="77777777" w:rsidR="009F0B1F" w:rsidRDefault="009F0B1F" w:rsidP="009F0B1F">
      <w:pPr>
        <w:pStyle w:val="ListParagraph"/>
      </w:pPr>
    </w:p>
    <w:p w14:paraId="63CCA10D" w14:textId="77777777" w:rsidR="009F0B1F" w:rsidRDefault="009F0B1F" w:rsidP="009F0B1F">
      <w:pPr>
        <w:pStyle w:val="ListParagraph"/>
      </w:pPr>
    </w:p>
    <w:p w14:paraId="3C4B4AB0" w14:textId="77777777" w:rsidR="009F0B1F" w:rsidRDefault="009F0B1F" w:rsidP="009F0B1F">
      <w:pPr>
        <w:pStyle w:val="ListParagraph"/>
      </w:pPr>
    </w:p>
    <w:p w14:paraId="2F7D090C" w14:textId="77777777" w:rsidR="009F0B1F" w:rsidRDefault="009F0B1F" w:rsidP="009F0B1F">
      <w:pPr>
        <w:pStyle w:val="ListParagraph"/>
      </w:pPr>
    </w:p>
    <w:p w14:paraId="707CB9FF" w14:textId="77777777" w:rsidR="009F0B1F" w:rsidRDefault="009F0B1F" w:rsidP="00C4485F">
      <w:pPr>
        <w:spacing w:before="100" w:beforeAutospacing="1" w:after="100" w:afterAutospacing="1" w:line="240" w:lineRule="auto"/>
        <w:rPr>
          <w:rFonts w:ascii="Times New Roman" w:eastAsia="Times New Roman" w:hAnsi="Times New Roman" w:cs="Times New Roman"/>
          <w:b/>
          <w:bCs/>
          <w:kern w:val="0"/>
          <w:lang w:eastAsia="en-GB"/>
          <w14:ligatures w14:val="none"/>
        </w:rPr>
      </w:pPr>
    </w:p>
    <w:p w14:paraId="0727D6D2" w14:textId="39E8E814" w:rsidR="00C4485F" w:rsidRPr="00FC63E2" w:rsidRDefault="00C4485F" w:rsidP="00652FAF">
      <w:pPr>
        <w:pStyle w:val="ListParagraph"/>
        <w:numPr>
          <w:ilvl w:val="0"/>
          <w:numId w:val="2"/>
        </w:numPr>
        <w:spacing w:before="100" w:beforeAutospacing="1" w:after="100" w:afterAutospacing="1" w:line="240" w:lineRule="auto"/>
        <w:rPr>
          <w:rFonts w:eastAsia="Times New Roman" w:cstheme="minorHAnsi"/>
          <w:kern w:val="0"/>
          <w:sz w:val="28"/>
          <w:szCs w:val="28"/>
          <w:lang w:eastAsia="en-GB"/>
          <w14:ligatures w14:val="none"/>
        </w:rPr>
      </w:pPr>
      <w:r w:rsidRPr="00FC63E2">
        <w:rPr>
          <w:rFonts w:eastAsia="Times New Roman" w:cstheme="minorHAnsi"/>
          <w:b/>
          <w:bCs/>
          <w:kern w:val="0"/>
          <w:sz w:val="28"/>
          <w:szCs w:val="28"/>
          <w:lang w:eastAsia="en-GB"/>
          <w14:ligatures w14:val="none"/>
        </w:rPr>
        <w:lastRenderedPageBreak/>
        <w:t>C</w:t>
      </w:r>
      <w:r w:rsidR="00FC63E2">
        <w:rPr>
          <w:rFonts w:eastAsia="Times New Roman" w:cstheme="minorHAnsi"/>
          <w:b/>
          <w:bCs/>
          <w:kern w:val="0"/>
          <w:sz w:val="28"/>
          <w:szCs w:val="28"/>
          <w:lang w:eastAsia="en-GB"/>
          <w14:ligatures w14:val="none"/>
        </w:rPr>
        <w:t>RITIQUE OF THE</w:t>
      </w:r>
      <w:r w:rsidRPr="00FC63E2">
        <w:rPr>
          <w:rFonts w:eastAsia="Times New Roman" w:cstheme="minorHAnsi"/>
          <w:b/>
          <w:bCs/>
          <w:kern w:val="0"/>
          <w:sz w:val="28"/>
          <w:szCs w:val="28"/>
          <w:lang w:eastAsia="en-GB"/>
          <w14:ligatures w14:val="none"/>
        </w:rPr>
        <w:t xml:space="preserve"> CAMHS V</w:t>
      </w:r>
      <w:r w:rsidR="00FC63E2">
        <w:rPr>
          <w:rFonts w:eastAsia="Times New Roman" w:cstheme="minorHAnsi"/>
          <w:b/>
          <w:bCs/>
          <w:kern w:val="0"/>
          <w:sz w:val="28"/>
          <w:szCs w:val="28"/>
          <w:lang w:eastAsia="en-GB"/>
          <w14:ligatures w14:val="none"/>
        </w:rPr>
        <w:t>IDEO</w:t>
      </w:r>
    </w:p>
    <w:p w14:paraId="1E68FDD9" w14:textId="2887AF93" w:rsidR="00C4485F" w:rsidRPr="00FC63E2" w:rsidRDefault="00C4485F" w:rsidP="00C4485F">
      <w:pPr>
        <w:rPr>
          <w:rFonts w:eastAsia="Times New Roman" w:cstheme="minorHAnsi"/>
          <w:kern w:val="0"/>
          <w:sz w:val="28"/>
          <w:szCs w:val="28"/>
          <w:lang w:eastAsia="en-GB"/>
          <w14:ligatures w14:val="none"/>
        </w:rPr>
      </w:pPr>
      <w:r w:rsidRPr="00FC63E2">
        <w:rPr>
          <w:rFonts w:eastAsia="Times New Roman" w:cstheme="minorHAnsi"/>
          <w:kern w:val="0"/>
          <w:sz w:val="28"/>
          <w:szCs w:val="28"/>
          <w:lang w:eastAsia="en-GB"/>
          <w14:ligatures w14:val="none"/>
        </w:rPr>
        <w:t>Child and Adolescent Mental Health Services (CAMHS) provide vital support to young people experiencing a range of psychological challenges, including anxiety, depression, trauma, eating disorders, and behavioural difficulties (</w:t>
      </w:r>
      <w:proofErr w:type="spellStart"/>
      <w:r w:rsidRPr="00FC63E2">
        <w:rPr>
          <w:rFonts w:eastAsia="Times New Roman" w:cstheme="minorHAnsi"/>
          <w:kern w:val="0"/>
          <w:sz w:val="28"/>
          <w:szCs w:val="28"/>
          <w:lang w:eastAsia="en-GB"/>
          <w14:ligatures w14:val="none"/>
        </w:rPr>
        <w:t>YoungMinds</w:t>
      </w:r>
      <w:proofErr w:type="spellEnd"/>
      <w:r w:rsidRPr="00FC63E2">
        <w:rPr>
          <w:rFonts w:eastAsia="Times New Roman" w:cstheme="minorHAnsi"/>
          <w:kern w:val="0"/>
          <w:sz w:val="28"/>
          <w:szCs w:val="28"/>
          <w:lang w:eastAsia="en-GB"/>
          <w14:ligatures w14:val="none"/>
        </w:rPr>
        <w:t>, 2025). The CAMHS video, titled “The Child and Adolescent Mental Health Service (CAMHS)” (National Health Service [NHS], 2021), introduces viewers to the therapeutic processes, assessment stages, and clinical ethos guiding service delivery.  A more comprehensive analysis identifies service gaps in accessibility, whilst the video shows a great picture of professionalism and compassion among the workers, youth involvement, diversity, and long-term care</w:t>
      </w:r>
      <w:r w:rsidR="009F0B1F" w:rsidRPr="00FC63E2">
        <w:rPr>
          <w:rFonts w:eastAsia="Times New Roman" w:cstheme="minorHAnsi"/>
          <w:kern w:val="0"/>
          <w:sz w:val="28"/>
          <w:szCs w:val="28"/>
          <w:lang w:eastAsia="en-GB"/>
          <w14:ligatures w14:val="none"/>
        </w:rPr>
        <w:t xml:space="preserve"> (</w:t>
      </w:r>
      <w:proofErr w:type="spellStart"/>
      <w:r w:rsidR="009F0B1F" w:rsidRPr="00FC63E2">
        <w:rPr>
          <w:rFonts w:eastAsia="Times New Roman" w:cstheme="minorHAnsi"/>
          <w:kern w:val="0"/>
          <w:sz w:val="28"/>
          <w:szCs w:val="28"/>
          <w:lang w:eastAsia="en-GB"/>
          <w14:ligatures w14:val="none"/>
        </w:rPr>
        <w:t>Radoz</w:t>
      </w:r>
      <w:proofErr w:type="spellEnd"/>
      <w:r w:rsidR="009F0B1F" w:rsidRPr="00FC63E2">
        <w:rPr>
          <w:rFonts w:eastAsia="Times New Roman" w:cstheme="minorHAnsi"/>
          <w:kern w:val="0"/>
          <w:sz w:val="28"/>
          <w:szCs w:val="28"/>
          <w:lang w:eastAsia="en-GB"/>
          <w14:ligatures w14:val="none"/>
        </w:rPr>
        <w:t xml:space="preserve"> et al., 2021).</w:t>
      </w:r>
      <w:r w:rsidRPr="00FC63E2">
        <w:rPr>
          <w:rFonts w:eastAsia="Times New Roman" w:cstheme="minorHAnsi"/>
          <w:kern w:val="0"/>
          <w:sz w:val="28"/>
          <w:szCs w:val="28"/>
          <w:lang w:eastAsia="en-GB"/>
          <w14:ligatures w14:val="none"/>
        </w:rPr>
        <w:t xml:space="preserve"> This analysis links CAMHS practice to </w:t>
      </w:r>
      <w:r w:rsidR="009F0B1F" w:rsidRPr="00FC63E2">
        <w:rPr>
          <w:rFonts w:eastAsia="Times New Roman" w:cstheme="minorHAnsi"/>
          <w:kern w:val="0"/>
          <w:sz w:val="28"/>
          <w:szCs w:val="28"/>
          <w:lang w:eastAsia="en-GB"/>
          <w14:ligatures w14:val="none"/>
        </w:rPr>
        <w:t>essential</w:t>
      </w:r>
      <w:r w:rsidRPr="00FC63E2">
        <w:rPr>
          <w:rFonts w:eastAsia="Times New Roman" w:cstheme="minorHAnsi"/>
          <w:kern w:val="0"/>
          <w:sz w:val="28"/>
          <w:szCs w:val="28"/>
          <w:lang w:eastAsia="en-GB"/>
          <w14:ligatures w14:val="none"/>
        </w:rPr>
        <w:t xml:space="preserve"> psychological techniques that can </w:t>
      </w:r>
      <w:r w:rsidR="009F0B1F" w:rsidRPr="00FC63E2">
        <w:rPr>
          <w:rFonts w:eastAsia="Times New Roman" w:cstheme="minorHAnsi"/>
          <w:kern w:val="0"/>
          <w:sz w:val="28"/>
          <w:szCs w:val="28"/>
          <w:lang w:eastAsia="en-GB"/>
          <w14:ligatures w14:val="none"/>
        </w:rPr>
        <w:t>positively affect</w:t>
      </w:r>
      <w:r w:rsidRPr="00FC63E2">
        <w:rPr>
          <w:rFonts w:eastAsia="Times New Roman" w:cstheme="minorHAnsi"/>
          <w:kern w:val="0"/>
          <w:sz w:val="28"/>
          <w:szCs w:val="28"/>
          <w:lang w:eastAsia="en-GB"/>
          <w14:ligatures w14:val="none"/>
        </w:rPr>
        <w:t xml:space="preserve"> a young person's wellbeing</w:t>
      </w:r>
      <w:r w:rsidR="00652FAF" w:rsidRPr="00FC63E2">
        <w:rPr>
          <w:rFonts w:eastAsia="Times New Roman" w:cstheme="minorHAnsi"/>
          <w:kern w:val="0"/>
          <w:sz w:val="28"/>
          <w:szCs w:val="28"/>
          <w:lang w:eastAsia="en-GB"/>
          <w14:ligatures w14:val="none"/>
        </w:rPr>
        <w:t>. It assesses</w:t>
      </w:r>
      <w:r w:rsidRPr="00FC63E2">
        <w:rPr>
          <w:rFonts w:eastAsia="Times New Roman" w:cstheme="minorHAnsi"/>
          <w:kern w:val="0"/>
          <w:sz w:val="28"/>
          <w:szCs w:val="28"/>
          <w:lang w:eastAsia="en-GB"/>
          <w14:ligatures w14:val="none"/>
        </w:rPr>
        <w:t xml:space="preserve"> each step of the care pathway</w:t>
      </w:r>
      <w:r w:rsidR="009F0B1F" w:rsidRPr="00FC63E2">
        <w:rPr>
          <w:rFonts w:eastAsia="Times New Roman" w:cstheme="minorHAnsi"/>
          <w:kern w:val="0"/>
          <w:sz w:val="28"/>
          <w:szCs w:val="28"/>
          <w:lang w:eastAsia="en-GB"/>
          <w14:ligatures w14:val="none"/>
        </w:rPr>
        <w:t xml:space="preserve">: </w:t>
      </w:r>
      <w:r w:rsidRPr="00FC63E2">
        <w:rPr>
          <w:rFonts w:eastAsia="Times New Roman" w:cstheme="minorHAnsi"/>
          <w:kern w:val="0"/>
          <w:sz w:val="28"/>
          <w:szCs w:val="28"/>
          <w:lang w:eastAsia="en-GB"/>
          <w14:ligatures w14:val="none"/>
        </w:rPr>
        <w:t>referral, assessment, intervention, and discharge</w:t>
      </w:r>
      <w:r w:rsidR="009F0B1F" w:rsidRPr="00FC63E2">
        <w:rPr>
          <w:rFonts w:eastAsia="Times New Roman" w:cstheme="minorHAnsi"/>
          <w:kern w:val="0"/>
          <w:sz w:val="28"/>
          <w:szCs w:val="28"/>
          <w:lang w:eastAsia="en-GB"/>
          <w14:ligatures w14:val="none"/>
        </w:rPr>
        <w:t xml:space="preserve">, </w:t>
      </w:r>
      <w:r w:rsidRPr="00FC63E2">
        <w:rPr>
          <w:rFonts w:eastAsia="Times New Roman" w:cstheme="minorHAnsi"/>
          <w:kern w:val="0"/>
          <w:sz w:val="28"/>
          <w:szCs w:val="28"/>
          <w:lang w:eastAsia="en-GB"/>
          <w14:ligatures w14:val="none"/>
        </w:rPr>
        <w:t>highlighting its strengths and weaknesses</w:t>
      </w:r>
      <w:r w:rsidR="009F0B1F" w:rsidRPr="00FC63E2">
        <w:rPr>
          <w:rFonts w:eastAsia="Times New Roman" w:cstheme="minorHAnsi"/>
          <w:kern w:val="0"/>
          <w:sz w:val="28"/>
          <w:szCs w:val="28"/>
          <w:lang w:eastAsia="en-GB"/>
          <w14:ligatures w14:val="none"/>
        </w:rPr>
        <w:t xml:space="preserve"> (King et al., 2024).</w:t>
      </w:r>
    </w:p>
    <w:p w14:paraId="48DEA271" w14:textId="549631FE" w:rsidR="00C4485F" w:rsidRPr="00FC63E2" w:rsidRDefault="00C4485F" w:rsidP="009F0B1F">
      <w:pPr>
        <w:spacing w:before="100" w:beforeAutospacing="1" w:after="100" w:afterAutospacing="1" w:line="240" w:lineRule="auto"/>
        <w:rPr>
          <w:rFonts w:eastAsia="Times New Roman" w:cstheme="minorHAnsi"/>
          <w:kern w:val="0"/>
          <w:sz w:val="28"/>
          <w:szCs w:val="28"/>
          <w:lang w:eastAsia="en-GB"/>
          <w14:ligatures w14:val="none"/>
        </w:rPr>
      </w:pPr>
      <w:r w:rsidRPr="00FC63E2">
        <w:rPr>
          <w:rFonts w:eastAsia="Times New Roman" w:cstheme="minorHAnsi"/>
          <w:kern w:val="0"/>
          <w:sz w:val="28"/>
          <w:szCs w:val="28"/>
          <w:lang w:eastAsia="en-GB"/>
          <w14:ligatures w14:val="none"/>
        </w:rPr>
        <w:t>The video offers several insights into the core strengths of CAMHS. One of the clearest positives is the structured and collaborative assessment process, where clinicians engage parents and young people in exploring the challenges they</w:t>
      </w:r>
      <w:r w:rsidR="009F0B1F" w:rsidRPr="00FC63E2">
        <w:rPr>
          <w:rFonts w:eastAsia="Times New Roman" w:cstheme="minorHAnsi"/>
          <w:kern w:val="0"/>
          <w:sz w:val="28"/>
          <w:szCs w:val="28"/>
          <w:lang w:eastAsia="en-GB"/>
          <w14:ligatures w14:val="none"/>
        </w:rPr>
        <w:t xml:space="preserve"> are facing</w:t>
      </w:r>
      <w:r w:rsidRPr="00FC63E2">
        <w:rPr>
          <w:rFonts w:eastAsia="Times New Roman" w:cstheme="minorHAnsi"/>
          <w:kern w:val="0"/>
          <w:sz w:val="28"/>
          <w:szCs w:val="28"/>
          <w:lang w:eastAsia="en-GB"/>
          <w14:ligatures w14:val="none"/>
        </w:rPr>
        <w:t>. This approach aligns with systemic family therapy, which considers the young person within the context of their relationships, particularly family dynamics, rather than isolating the individual as the sole focus of treatment (Watson et al., 2023).</w:t>
      </w:r>
      <w:r w:rsidR="009F0B1F" w:rsidRPr="00FC63E2">
        <w:rPr>
          <w:rFonts w:eastAsia="Times New Roman" w:cstheme="minorHAnsi"/>
          <w:kern w:val="0"/>
          <w:sz w:val="28"/>
          <w:szCs w:val="28"/>
          <w:lang w:eastAsia="en-GB"/>
          <w14:ligatures w14:val="none"/>
        </w:rPr>
        <w:t xml:space="preserve"> </w:t>
      </w:r>
      <w:r w:rsidRPr="00FC63E2">
        <w:rPr>
          <w:rFonts w:eastAsia="Times New Roman" w:cstheme="minorHAnsi"/>
          <w:kern w:val="0"/>
          <w:sz w:val="28"/>
          <w:szCs w:val="28"/>
          <w:lang w:eastAsia="en-GB"/>
          <w14:ligatures w14:val="none"/>
        </w:rPr>
        <w:t>The program aligns with Cognitive Behavioural Therapy (CBT)</w:t>
      </w:r>
      <w:r w:rsidR="00652FAF" w:rsidRPr="00FC63E2">
        <w:rPr>
          <w:rFonts w:eastAsia="Times New Roman" w:cstheme="minorHAnsi"/>
          <w:kern w:val="0"/>
          <w:sz w:val="28"/>
          <w:szCs w:val="28"/>
          <w:lang w:eastAsia="en-GB"/>
          <w14:ligatures w14:val="none"/>
        </w:rPr>
        <w:t>,</w:t>
      </w:r>
      <w:r w:rsidRPr="00FC63E2">
        <w:rPr>
          <w:rFonts w:eastAsia="Times New Roman" w:cstheme="minorHAnsi"/>
          <w:kern w:val="0"/>
          <w:sz w:val="28"/>
          <w:szCs w:val="28"/>
          <w:lang w:eastAsia="en-GB"/>
          <w14:ligatures w14:val="none"/>
        </w:rPr>
        <w:t xml:space="preserve"> utilising evidence-based therapies, including skill-building techniques and psychoeducation. For example, the film mentions teaching youth the connection between thoughts, feelings, and body reactions—essential components of cognitive </w:t>
      </w:r>
      <w:r w:rsidR="00652FAF" w:rsidRPr="00FC63E2">
        <w:rPr>
          <w:rFonts w:eastAsia="Times New Roman" w:cstheme="minorHAnsi"/>
          <w:kern w:val="0"/>
          <w:sz w:val="28"/>
          <w:szCs w:val="28"/>
          <w:lang w:eastAsia="en-GB"/>
          <w14:ligatures w14:val="none"/>
        </w:rPr>
        <w:t>behavioural</w:t>
      </w:r>
      <w:r w:rsidRPr="00FC63E2">
        <w:rPr>
          <w:rFonts w:eastAsia="Times New Roman" w:cstheme="minorHAnsi"/>
          <w:kern w:val="0"/>
          <w:sz w:val="28"/>
          <w:szCs w:val="28"/>
          <w:lang w:eastAsia="en-GB"/>
          <w14:ligatures w14:val="none"/>
        </w:rPr>
        <w:t xml:space="preserve"> therapy. This approach works effectively for treating depression and anxiety because it helps adolescents create targets, learn coping mechanisms, and track their development over the years (</w:t>
      </w:r>
      <w:r w:rsidRPr="00FC63E2">
        <w:rPr>
          <w:rFonts w:cstheme="minorHAnsi"/>
          <w:color w:val="222222"/>
          <w:sz w:val="28"/>
          <w:szCs w:val="28"/>
          <w:shd w:val="clear" w:color="auto" w:fill="FFFFFF"/>
        </w:rPr>
        <w:t>Christner and Mennuti, 2024).</w:t>
      </w:r>
      <w:r w:rsidR="009F0B1F" w:rsidRPr="00FC63E2">
        <w:rPr>
          <w:rFonts w:eastAsia="Times New Roman" w:cstheme="minorHAnsi"/>
          <w:kern w:val="0"/>
          <w:sz w:val="28"/>
          <w:szCs w:val="28"/>
          <w:lang w:eastAsia="en-GB"/>
          <w14:ligatures w14:val="none"/>
        </w:rPr>
        <w:t xml:space="preserve"> </w:t>
      </w:r>
      <w:r w:rsidRPr="00FC63E2">
        <w:rPr>
          <w:rFonts w:eastAsia="Times New Roman" w:cstheme="minorHAnsi"/>
          <w:kern w:val="0"/>
          <w:sz w:val="28"/>
          <w:szCs w:val="28"/>
          <w:lang w:eastAsia="en-GB"/>
          <w14:ligatures w14:val="none"/>
        </w:rPr>
        <w:t>Another strength is the clinicians’ emphasis on person-centred care, where young people are encouraged to participate in decisions about their treatment. CAMHS professionals are shown to adapt to individual preferences (e.g., home visits, virtual sessions, or in-clinic appointments), which supports engagement and rapport-building, essential foundations in any therapeutic relationship (Di Malta et al., 2024).</w:t>
      </w:r>
      <w:r w:rsidR="009F0B1F" w:rsidRPr="00FC63E2">
        <w:rPr>
          <w:rFonts w:eastAsia="Times New Roman" w:cstheme="minorHAnsi"/>
          <w:kern w:val="0"/>
          <w:sz w:val="28"/>
          <w:szCs w:val="28"/>
          <w:lang w:eastAsia="en-GB"/>
          <w14:ligatures w14:val="none"/>
        </w:rPr>
        <w:t xml:space="preserve"> </w:t>
      </w:r>
      <w:r w:rsidRPr="00FC63E2">
        <w:rPr>
          <w:rFonts w:eastAsia="Times New Roman" w:cstheme="minorHAnsi"/>
          <w:kern w:val="0"/>
          <w:sz w:val="28"/>
          <w:szCs w:val="28"/>
          <w:lang w:eastAsia="en-GB"/>
          <w14:ligatures w14:val="none"/>
        </w:rPr>
        <w:t xml:space="preserve">Additionally, to improve CAMHS treatment, therapeutic approaches like narrative therapy and Solution-Focused Brief Therapy (SFBT) </w:t>
      </w:r>
      <w:r w:rsidRPr="00FC63E2">
        <w:rPr>
          <w:rFonts w:eastAsia="Times New Roman" w:cstheme="minorHAnsi"/>
          <w:kern w:val="0"/>
          <w:sz w:val="28"/>
          <w:szCs w:val="28"/>
          <w:lang w:eastAsia="en-GB"/>
          <w14:ligatures w14:val="none"/>
        </w:rPr>
        <w:lastRenderedPageBreak/>
        <w:t xml:space="preserve">might be highlighted widely. By </w:t>
      </w:r>
      <w:r w:rsidR="00652FAF" w:rsidRPr="00FC63E2">
        <w:rPr>
          <w:rFonts w:eastAsia="Times New Roman" w:cstheme="minorHAnsi"/>
          <w:kern w:val="0"/>
          <w:sz w:val="28"/>
          <w:szCs w:val="28"/>
          <w:lang w:eastAsia="en-GB"/>
          <w14:ligatures w14:val="none"/>
        </w:rPr>
        <w:t>emphasising</w:t>
      </w:r>
      <w:r w:rsidRPr="00FC63E2">
        <w:rPr>
          <w:rFonts w:eastAsia="Times New Roman" w:cstheme="minorHAnsi"/>
          <w:kern w:val="0"/>
          <w:sz w:val="28"/>
          <w:szCs w:val="28"/>
          <w:lang w:eastAsia="en-GB"/>
          <w14:ligatures w14:val="none"/>
        </w:rPr>
        <w:t xml:space="preserve"> solutions rather than only diagnosing and treating symptoms, SFBT empowers youth by </w:t>
      </w:r>
      <w:r w:rsidR="00652FAF" w:rsidRPr="00FC63E2">
        <w:rPr>
          <w:rFonts w:eastAsia="Times New Roman" w:cstheme="minorHAnsi"/>
          <w:kern w:val="0"/>
          <w:sz w:val="28"/>
          <w:szCs w:val="28"/>
          <w:lang w:eastAsia="en-GB"/>
          <w14:ligatures w14:val="none"/>
        </w:rPr>
        <w:t>emphasising</w:t>
      </w:r>
      <w:r w:rsidRPr="00FC63E2">
        <w:rPr>
          <w:rFonts w:eastAsia="Times New Roman" w:cstheme="minorHAnsi"/>
          <w:kern w:val="0"/>
          <w:sz w:val="28"/>
          <w:szCs w:val="28"/>
          <w:lang w:eastAsia="en-GB"/>
          <w14:ligatures w14:val="none"/>
        </w:rPr>
        <w:t xml:space="preserve"> strengths, goal-setting, and finding exceptions to issues. The film doesn't demonstrate a collaborative, strength-based discussion like the "miracle question" or scaling procedures that are essential to SFBT, even though it addresses goal-setting in approving through the psychoeducation section (Bond et al., 2013).</w:t>
      </w:r>
      <w:r w:rsidR="009F0B1F" w:rsidRPr="00FC63E2">
        <w:rPr>
          <w:rFonts w:eastAsia="Times New Roman" w:cstheme="minorHAnsi"/>
          <w:kern w:val="0"/>
          <w:sz w:val="28"/>
          <w:szCs w:val="28"/>
          <w:lang w:eastAsia="en-GB"/>
          <w14:ligatures w14:val="none"/>
        </w:rPr>
        <w:t xml:space="preserve"> </w:t>
      </w:r>
      <w:r w:rsidRPr="00FC63E2">
        <w:rPr>
          <w:rFonts w:eastAsia="Times New Roman" w:cstheme="minorHAnsi"/>
          <w:kern w:val="0"/>
          <w:sz w:val="28"/>
          <w:szCs w:val="28"/>
          <w:lang w:eastAsia="en-GB"/>
          <w14:ligatures w14:val="none"/>
        </w:rPr>
        <w:t>By helping young people rewrite their own experiences, narrative therapy enables them to see themselves as resilient people rather than as being defined by their issues. This method is especially helpful for people who believe that their diagnosis has stigmatised them. By using these models, care might be more youth-led and empowering, increasing participation and enhancing results overall</w:t>
      </w:r>
      <w:r w:rsidR="00BF744A" w:rsidRPr="00FC63E2">
        <w:rPr>
          <w:rFonts w:eastAsia="Times New Roman" w:cstheme="minorHAnsi"/>
          <w:kern w:val="0"/>
          <w:sz w:val="28"/>
          <w:szCs w:val="28"/>
          <w:lang w:eastAsia="en-GB"/>
          <w14:ligatures w14:val="none"/>
        </w:rPr>
        <w:t xml:space="preserve"> (</w:t>
      </w:r>
      <w:r w:rsidR="00BF744A" w:rsidRPr="00FC63E2">
        <w:rPr>
          <w:rFonts w:cstheme="minorHAnsi"/>
          <w:color w:val="222222"/>
          <w:sz w:val="28"/>
          <w:szCs w:val="28"/>
          <w:shd w:val="clear" w:color="auto" w:fill="FFFFFF"/>
        </w:rPr>
        <w:t>Jørgensen et al., 2024).</w:t>
      </w:r>
    </w:p>
    <w:p w14:paraId="4B6E2453" w14:textId="620D6C48" w:rsidR="00C4485F" w:rsidRPr="00FC63E2" w:rsidRDefault="00C4485F" w:rsidP="00C4485F">
      <w:pPr>
        <w:spacing w:after="0" w:line="240" w:lineRule="auto"/>
        <w:rPr>
          <w:rFonts w:eastAsia="Times New Roman" w:cstheme="minorHAnsi"/>
          <w:kern w:val="0"/>
          <w:sz w:val="28"/>
          <w:szCs w:val="28"/>
          <w:lang w:eastAsia="en-GB"/>
          <w14:ligatures w14:val="none"/>
        </w:rPr>
      </w:pPr>
    </w:p>
    <w:p w14:paraId="5ACFA463" w14:textId="77777777" w:rsidR="00652FAF" w:rsidRPr="00FC63E2" w:rsidRDefault="009F0B1F" w:rsidP="00652FAF">
      <w:pPr>
        <w:spacing w:after="0" w:line="240" w:lineRule="auto"/>
        <w:rPr>
          <w:rFonts w:eastAsia="Times New Roman" w:cstheme="minorHAnsi"/>
          <w:kern w:val="0"/>
          <w:sz w:val="28"/>
          <w:szCs w:val="28"/>
          <w:lang w:eastAsia="en-GB"/>
          <w14:ligatures w14:val="none"/>
        </w:rPr>
      </w:pPr>
      <w:r w:rsidRPr="00FC63E2">
        <w:rPr>
          <w:rFonts w:eastAsia="Times New Roman" w:cstheme="minorHAnsi"/>
          <w:kern w:val="0"/>
          <w:sz w:val="28"/>
          <w:szCs w:val="28"/>
          <w:lang w:eastAsia="en-GB"/>
          <w14:ligatures w14:val="none"/>
        </w:rPr>
        <w:t>Demonstrating the use of cognitively suitable communication is another neglected chance. Adaptation is appreciated, but there is not much data on how CAMHS helps kids who are disabled or have communication issues. Children with special needs may be more engaged if visual therapeutic support tools are implemented, as visual instructions, video models or visual symbols (</w:t>
      </w:r>
      <w:r w:rsidRPr="00FC63E2">
        <w:rPr>
          <w:rFonts w:cstheme="minorHAnsi"/>
          <w:color w:val="222222"/>
          <w:sz w:val="28"/>
          <w:szCs w:val="28"/>
          <w:shd w:val="clear" w:color="auto" w:fill="FFFFFF"/>
        </w:rPr>
        <w:t xml:space="preserve">Bryant and Hemsley, 2024). </w:t>
      </w:r>
    </w:p>
    <w:p w14:paraId="4D4CDFA2" w14:textId="453D46BD" w:rsidR="00C4485F" w:rsidRPr="00FC63E2" w:rsidRDefault="00C4485F" w:rsidP="00652FAF">
      <w:pPr>
        <w:spacing w:after="0" w:line="240" w:lineRule="auto"/>
        <w:rPr>
          <w:rFonts w:eastAsia="Times New Roman" w:cstheme="minorHAnsi"/>
          <w:kern w:val="0"/>
          <w:sz w:val="28"/>
          <w:szCs w:val="28"/>
          <w:lang w:eastAsia="en-GB"/>
          <w14:ligatures w14:val="none"/>
        </w:rPr>
      </w:pPr>
      <w:r w:rsidRPr="00FC63E2">
        <w:rPr>
          <w:rFonts w:eastAsia="Times New Roman" w:cstheme="minorHAnsi"/>
          <w:kern w:val="0"/>
          <w:sz w:val="28"/>
          <w:szCs w:val="28"/>
          <w:lang w:eastAsia="en-GB"/>
          <w14:ligatures w14:val="none"/>
        </w:rPr>
        <w:t>The video does not adequately address the reality of access inequalities. In practice, CAMHS services are often burdened by long waiting lists, particularly for specialist interventions like trauma-focused therapies or neurodevelopmental assessments. This delay in treatment can be detrimental, especially for those experiencing escalating distress</w:t>
      </w:r>
      <w:r w:rsidR="009F0B1F" w:rsidRPr="00FC63E2">
        <w:rPr>
          <w:rFonts w:eastAsia="Times New Roman" w:cstheme="minorHAnsi"/>
          <w:kern w:val="0"/>
          <w:sz w:val="28"/>
          <w:szCs w:val="28"/>
          <w:lang w:eastAsia="en-GB"/>
          <w14:ligatures w14:val="none"/>
        </w:rPr>
        <w:t xml:space="preserve"> (White, 2025). </w:t>
      </w:r>
      <w:r w:rsidRPr="00FC63E2">
        <w:rPr>
          <w:rFonts w:eastAsia="Times New Roman" w:cstheme="minorHAnsi"/>
          <w:kern w:val="0"/>
          <w:sz w:val="28"/>
          <w:szCs w:val="28"/>
          <w:lang w:eastAsia="en-GB"/>
          <w14:ligatures w14:val="none"/>
        </w:rPr>
        <w:t>To overcome these challenges, CAMHS should integrate tiered support models, as seen in Stepped Care frameworks. For example, early intervention through school-based mental health support or community workshops can be offered at a lower intensity, while specialist interventions are reserved for more complex cases. This model would reduce pressure on high-intensity services and promote earlier access to help</w:t>
      </w:r>
      <w:r w:rsidR="009F0B1F" w:rsidRPr="00FC63E2">
        <w:rPr>
          <w:rFonts w:eastAsia="Times New Roman" w:cstheme="minorHAnsi"/>
          <w:kern w:val="0"/>
          <w:sz w:val="28"/>
          <w:szCs w:val="28"/>
          <w:lang w:eastAsia="en-GB"/>
          <w14:ligatures w14:val="none"/>
        </w:rPr>
        <w:t xml:space="preserve"> (Wainer et al., 2021). </w:t>
      </w:r>
      <w:r w:rsidRPr="00FC63E2">
        <w:rPr>
          <w:rFonts w:eastAsia="Times New Roman" w:cstheme="minorHAnsi"/>
          <w:kern w:val="0"/>
          <w:sz w:val="28"/>
          <w:szCs w:val="28"/>
          <w:lang w:eastAsia="en-GB"/>
          <w14:ligatures w14:val="none"/>
        </w:rPr>
        <w:t>Additionally, expanding outreach through mobile clinics and digital platforms could improve access in rural or underserved communities. These methods align with public health and preventative approaches, which aim to reach populations before issues escalate into crises</w:t>
      </w:r>
      <w:r w:rsidR="009F0B1F" w:rsidRPr="00FC63E2">
        <w:rPr>
          <w:rFonts w:eastAsia="Times New Roman" w:cstheme="minorHAnsi"/>
          <w:kern w:val="0"/>
          <w:sz w:val="28"/>
          <w:szCs w:val="28"/>
          <w:lang w:eastAsia="en-GB"/>
          <w14:ligatures w14:val="none"/>
        </w:rPr>
        <w:t xml:space="preserve"> (</w:t>
      </w:r>
      <w:proofErr w:type="spellStart"/>
      <w:r w:rsidR="009F0B1F" w:rsidRPr="00FC63E2">
        <w:rPr>
          <w:rFonts w:eastAsia="Times New Roman" w:cstheme="minorHAnsi"/>
          <w:kern w:val="0"/>
          <w:sz w:val="28"/>
          <w:szCs w:val="28"/>
          <w:lang w:eastAsia="en-GB"/>
          <w14:ligatures w14:val="none"/>
        </w:rPr>
        <w:t>Iquba</w:t>
      </w:r>
      <w:proofErr w:type="spellEnd"/>
      <w:r w:rsidR="009F0B1F" w:rsidRPr="00FC63E2">
        <w:rPr>
          <w:rFonts w:eastAsia="Times New Roman" w:cstheme="minorHAnsi"/>
          <w:kern w:val="0"/>
          <w:sz w:val="28"/>
          <w:szCs w:val="28"/>
          <w:lang w:eastAsia="en-GB"/>
          <w14:ligatures w14:val="none"/>
        </w:rPr>
        <w:t xml:space="preserve"> et al., 2022).</w:t>
      </w:r>
    </w:p>
    <w:p w14:paraId="1FF147DE" w14:textId="330C780E" w:rsidR="00C4485F" w:rsidRPr="00FC63E2" w:rsidRDefault="009F0B1F" w:rsidP="009F0B1F">
      <w:pPr>
        <w:spacing w:after="0" w:line="240" w:lineRule="auto"/>
        <w:rPr>
          <w:rFonts w:eastAsia="Times New Roman" w:cstheme="minorHAnsi"/>
          <w:kern w:val="0"/>
          <w:sz w:val="28"/>
          <w:szCs w:val="28"/>
          <w:lang w:eastAsia="en-GB"/>
          <w14:ligatures w14:val="none"/>
        </w:rPr>
      </w:pPr>
      <w:r w:rsidRPr="00FC63E2">
        <w:rPr>
          <w:rFonts w:eastAsia="Times New Roman" w:cstheme="minorHAnsi"/>
          <w:kern w:val="0"/>
          <w:sz w:val="28"/>
          <w:szCs w:val="28"/>
          <w:lang w:eastAsia="en-GB"/>
          <w14:ligatures w14:val="none"/>
        </w:rPr>
        <w:t xml:space="preserve">The way that CAMHS handles diversity, equity, and inclusion is not made clear in the film. Additional stigma, discrimination, or culturally specific mental health stressors may be experienced by young people from LGBTQ+ groups or Black, Asian, and minority ethnic backgrounds. To make sure that care is relevant and considerate of each patient's history, CAMHS must use culturally appropriate therapeutic models, such as Cultural Formulation Interviews </w:t>
      </w:r>
      <w:r w:rsidRPr="00FC63E2">
        <w:rPr>
          <w:rFonts w:eastAsia="Times New Roman" w:cstheme="minorHAnsi"/>
          <w:kern w:val="0"/>
          <w:sz w:val="28"/>
          <w:szCs w:val="28"/>
          <w:lang w:eastAsia="en-GB"/>
          <w14:ligatures w14:val="none"/>
        </w:rPr>
        <w:lastRenderedPageBreak/>
        <w:t xml:space="preserve">(Brand et al., 2024). </w:t>
      </w:r>
      <w:r w:rsidR="00C4485F" w:rsidRPr="00FC63E2">
        <w:rPr>
          <w:rFonts w:eastAsia="Times New Roman" w:cstheme="minorHAnsi"/>
          <w:kern w:val="0"/>
          <w:sz w:val="28"/>
          <w:szCs w:val="28"/>
          <w:lang w:eastAsia="en-GB"/>
          <w14:ligatures w14:val="none"/>
        </w:rPr>
        <w:t>Training staff in anti-oppressive practice and integrating intersectional frameworks would also promote better outcomes by addressing how overlapping identities affect mental health. Inclusive service delivery must go beyond language access</w:t>
      </w:r>
      <w:r w:rsidRPr="00FC63E2">
        <w:rPr>
          <w:rFonts w:eastAsia="Times New Roman" w:cstheme="minorHAnsi"/>
          <w:kern w:val="0"/>
          <w:sz w:val="28"/>
          <w:szCs w:val="28"/>
          <w:lang w:eastAsia="en-GB"/>
          <w14:ligatures w14:val="none"/>
        </w:rPr>
        <w:t xml:space="preserve">; </w:t>
      </w:r>
      <w:r w:rsidR="00C4485F" w:rsidRPr="00FC63E2">
        <w:rPr>
          <w:rFonts w:eastAsia="Times New Roman" w:cstheme="minorHAnsi"/>
          <w:kern w:val="0"/>
          <w:sz w:val="28"/>
          <w:szCs w:val="28"/>
          <w:lang w:eastAsia="en-GB"/>
          <w14:ligatures w14:val="none"/>
        </w:rPr>
        <w:t>it should involve representation, cultural awareness, and the validation of diverse identities</w:t>
      </w:r>
      <w:r w:rsidRPr="00FC63E2">
        <w:rPr>
          <w:rFonts w:eastAsia="Times New Roman" w:cstheme="minorHAnsi"/>
          <w:kern w:val="0"/>
          <w:sz w:val="28"/>
          <w:szCs w:val="28"/>
          <w:lang w:eastAsia="en-GB"/>
          <w14:ligatures w14:val="none"/>
        </w:rPr>
        <w:t xml:space="preserve"> (Brinkman, 2023).</w:t>
      </w:r>
    </w:p>
    <w:p w14:paraId="1E819F8D" w14:textId="77777777" w:rsidR="00652FAF" w:rsidRPr="00FC63E2" w:rsidRDefault="00652FAF" w:rsidP="00652FAF">
      <w:pPr>
        <w:spacing w:after="0" w:line="240" w:lineRule="auto"/>
        <w:rPr>
          <w:rFonts w:eastAsia="Times New Roman" w:cstheme="minorHAnsi"/>
          <w:kern w:val="0"/>
          <w:sz w:val="28"/>
          <w:szCs w:val="28"/>
          <w:lang w:eastAsia="en-GB"/>
          <w14:ligatures w14:val="none"/>
        </w:rPr>
      </w:pPr>
    </w:p>
    <w:p w14:paraId="5FDB949F" w14:textId="0BFDB125" w:rsidR="00C4485F" w:rsidRPr="00FC63E2" w:rsidRDefault="009F0B1F" w:rsidP="00652FAF">
      <w:pPr>
        <w:spacing w:after="0" w:line="240" w:lineRule="auto"/>
        <w:rPr>
          <w:rFonts w:eastAsia="Times New Roman" w:cstheme="minorHAnsi"/>
          <w:kern w:val="0"/>
          <w:sz w:val="28"/>
          <w:szCs w:val="28"/>
          <w:lang w:eastAsia="en-GB"/>
          <w14:ligatures w14:val="none"/>
        </w:rPr>
      </w:pPr>
      <w:r w:rsidRPr="00FC63E2">
        <w:rPr>
          <w:rFonts w:eastAsia="Times New Roman" w:cstheme="minorHAnsi"/>
          <w:kern w:val="0"/>
          <w:sz w:val="28"/>
          <w:szCs w:val="28"/>
          <w:lang w:eastAsia="en-GB"/>
          <w14:ligatures w14:val="none"/>
        </w:rPr>
        <w:t>The lack of continuity in care, especially when young people reach 18 and move to adult mental health facilities, is a major issue that is not addressed in the movie. This disparity frequently results in delaying therapy and a higher chance of recurrence. Transitional care planning, which is essential for sustaining improvement, is not highlighted in the video (</w:t>
      </w:r>
      <w:r w:rsidRPr="00FC63E2">
        <w:rPr>
          <w:rFonts w:cstheme="minorHAnsi"/>
          <w:color w:val="1B1B1B"/>
          <w:sz w:val="28"/>
          <w:szCs w:val="28"/>
          <w:shd w:val="clear" w:color="auto" w:fill="FFFFFF"/>
        </w:rPr>
        <w:t xml:space="preserve">Hendrickx et al., 2020). </w:t>
      </w:r>
      <w:r w:rsidRPr="00FC63E2">
        <w:rPr>
          <w:rFonts w:eastAsia="Times New Roman" w:cstheme="minorHAnsi"/>
          <w:kern w:val="0"/>
          <w:sz w:val="28"/>
          <w:szCs w:val="28"/>
          <w:lang w:eastAsia="en-GB"/>
          <w14:ligatures w14:val="none"/>
        </w:rPr>
        <w:t>Aftercare planning, which includes prevention of relapse techniques, follow-up appointments, and access to self-help resources, should also be implemented by CAMHS. Young people can be empowered to continue being active participants in their recovery process by using digital tools and apps for tracking mental health (such as mood diaries and reminders for coping strategies) (McKay, 2021).</w:t>
      </w:r>
    </w:p>
    <w:p w14:paraId="26F210F0" w14:textId="4F2FE779" w:rsidR="00C4485F" w:rsidRPr="00FC63E2" w:rsidRDefault="009F0B1F">
      <w:pPr>
        <w:rPr>
          <w:rFonts w:cstheme="minorHAnsi"/>
          <w:sz w:val="28"/>
          <w:szCs w:val="28"/>
        </w:rPr>
      </w:pPr>
      <w:r w:rsidRPr="00FC63E2">
        <w:rPr>
          <w:rFonts w:cstheme="minorHAnsi"/>
          <w:sz w:val="28"/>
          <w:szCs w:val="28"/>
        </w:rPr>
        <w:t>In conclusion, the CAMHS video presents a positive overview of therapeutic approaches and professional care within child and adolescent mental health services. It successfully illustrates structured assessments, evidence-based interventions, and a commitment to youth involvement (Bobek et al., 2025). However, it lacks critical engagement with real-world issues such as service accessibility, cultural competence, communication needs, and transitional support (</w:t>
      </w:r>
      <w:r w:rsidRPr="00FC63E2">
        <w:rPr>
          <w:rFonts w:cstheme="minorHAnsi"/>
          <w:color w:val="222222"/>
          <w:sz w:val="28"/>
          <w:szCs w:val="28"/>
          <w:shd w:val="clear" w:color="auto" w:fill="FFFFFF"/>
        </w:rPr>
        <w:t>Mirzaian et al., 2024).</w:t>
      </w:r>
      <w:r w:rsidRPr="00FC63E2">
        <w:rPr>
          <w:rFonts w:cstheme="minorHAnsi"/>
          <w:sz w:val="28"/>
          <w:szCs w:val="28"/>
        </w:rPr>
        <w:t xml:space="preserve"> </w:t>
      </w:r>
      <w:r w:rsidRPr="00FC63E2">
        <w:rPr>
          <w:rFonts w:eastAsia="Times New Roman" w:cstheme="minorHAnsi"/>
          <w:kern w:val="0"/>
          <w:sz w:val="28"/>
          <w:szCs w:val="28"/>
          <w:lang w:eastAsia="en-GB"/>
          <w14:ligatures w14:val="none"/>
        </w:rPr>
        <w:t xml:space="preserve">These </w:t>
      </w:r>
      <w:proofErr w:type="spellStart"/>
      <w:r w:rsidRPr="00FC63E2">
        <w:rPr>
          <w:rFonts w:eastAsia="Times New Roman" w:cstheme="minorHAnsi"/>
          <w:kern w:val="0"/>
          <w:sz w:val="28"/>
          <w:szCs w:val="28"/>
          <w:lang w:eastAsia="en-GB"/>
          <w14:ligatures w14:val="none"/>
        </w:rPr>
        <w:t>dearths</w:t>
      </w:r>
      <w:proofErr w:type="spellEnd"/>
      <w:r w:rsidRPr="00FC63E2">
        <w:rPr>
          <w:rFonts w:eastAsia="Times New Roman" w:cstheme="minorHAnsi"/>
          <w:kern w:val="0"/>
          <w:sz w:val="28"/>
          <w:szCs w:val="28"/>
          <w:lang w:eastAsia="en-GB"/>
          <w14:ligatures w14:val="none"/>
        </w:rPr>
        <w:t xml:space="preserve"> reduce the capacity to properly represent the range of challenges that young people experience. </w:t>
      </w:r>
      <w:r w:rsidRPr="00FC63E2">
        <w:rPr>
          <w:rFonts w:cstheme="minorHAnsi"/>
          <w:sz w:val="28"/>
          <w:szCs w:val="28"/>
        </w:rPr>
        <w:t>For CAMHS to be effective and inclusive, services must adopt more holistic, youth-led, and culturally responsive practices while addressing structural barriers that impact timely, equitable, and long-term mental health care (Health Care Inspectorate Wales, 2024).</w:t>
      </w:r>
    </w:p>
    <w:p w14:paraId="7A824F01" w14:textId="77777777" w:rsidR="00A03B3D" w:rsidRPr="00FC63E2" w:rsidRDefault="00A03B3D">
      <w:pPr>
        <w:rPr>
          <w:rFonts w:cstheme="minorHAnsi"/>
          <w:sz w:val="28"/>
          <w:szCs w:val="28"/>
        </w:rPr>
      </w:pPr>
    </w:p>
    <w:p w14:paraId="7332CA6D" w14:textId="7E8CBA6B" w:rsidR="00107E98" w:rsidRPr="00FC63E2" w:rsidRDefault="00652FAF" w:rsidP="00107E98">
      <w:pPr>
        <w:pStyle w:val="ListParagraph"/>
        <w:numPr>
          <w:ilvl w:val="0"/>
          <w:numId w:val="2"/>
        </w:numPr>
        <w:rPr>
          <w:rFonts w:cstheme="minorHAnsi"/>
          <w:b/>
          <w:bCs/>
          <w:sz w:val="28"/>
          <w:szCs w:val="28"/>
        </w:rPr>
      </w:pPr>
      <w:r w:rsidRPr="00FC63E2">
        <w:rPr>
          <w:rFonts w:cstheme="minorHAnsi"/>
          <w:b/>
          <w:bCs/>
          <w:sz w:val="28"/>
          <w:szCs w:val="28"/>
        </w:rPr>
        <w:t>POSTER</w:t>
      </w:r>
    </w:p>
    <w:p w14:paraId="034ACD72" w14:textId="77777777" w:rsidR="00107E98" w:rsidRPr="00FC63E2" w:rsidRDefault="00652FAF" w:rsidP="00107E98">
      <w:pPr>
        <w:pStyle w:val="NormalWeb"/>
        <w:rPr>
          <w:rFonts w:asciiTheme="minorHAnsi" w:hAnsiTheme="minorHAnsi" w:cstheme="minorHAnsi"/>
          <w:sz w:val="28"/>
          <w:szCs w:val="28"/>
        </w:rPr>
      </w:pPr>
      <w:r w:rsidRPr="00FC63E2">
        <w:rPr>
          <w:rFonts w:asciiTheme="minorHAnsi" w:hAnsiTheme="minorHAnsi" w:cstheme="minorHAnsi"/>
          <w:b/>
          <w:bCs/>
          <w:sz w:val="28"/>
          <w:szCs w:val="28"/>
        </w:rPr>
        <w:lastRenderedPageBreak/>
        <w:t xml:space="preserve"> </w:t>
      </w:r>
      <w:r w:rsidR="00107E98" w:rsidRPr="00FC63E2">
        <w:rPr>
          <w:rFonts w:asciiTheme="minorHAnsi" w:hAnsiTheme="minorHAnsi" w:cstheme="minorHAnsi"/>
          <w:noProof/>
          <w:sz w:val="28"/>
          <w:szCs w:val="28"/>
        </w:rPr>
        <w:drawing>
          <wp:anchor distT="0" distB="0" distL="114300" distR="114300" simplePos="0" relativeHeight="251660288" behindDoc="0" locked="0" layoutInCell="1" allowOverlap="1" wp14:anchorId="21C4C504" wp14:editId="6B8EC36F">
            <wp:simplePos x="0" y="0"/>
            <wp:positionH relativeFrom="column">
              <wp:posOffset>-2540</wp:posOffset>
            </wp:positionH>
            <wp:positionV relativeFrom="paragraph">
              <wp:posOffset>218440</wp:posOffset>
            </wp:positionV>
            <wp:extent cx="6641465" cy="5676265"/>
            <wp:effectExtent l="0" t="0" r="6985" b="635"/>
            <wp:wrapSquare wrapText="bothSides"/>
            <wp:docPr id="1856109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641465" cy="5676265"/>
                    </a:xfrm>
                    <a:prstGeom prst="rect">
                      <a:avLst/>
                    </a:prstGeom>
                    <a:noFill/>
                    <a:ln>
                      <a:noFill/>
                    </a:ln>
                  </pic:spPr>
                </pic:pic>
              </a:graphicData>
            </a:graphic>
          </wp:anchor>
        </w:drawing>
      </w:r>
    </w:p>
    <w:p w14:paraId="649305A5" w14:textId="67B83B38" w:rsidR="00652FAF" w:rsidRPr="00FC63E2" w:rsidRDefault="00652FAF" w:rsidP="00107E98">
      <w:pPr>
        <w:pStyle w:val="ListParagraph"/>
        <w:rPr>
          <w:rFonts w:cstheme="minorHAnsi"/>
          <w:b/>
          <w:bCs/>
          <w:sz w:val="28"/>
          <w:szCs w:val="28"/>
        </w:rPr>
      </w:pPr>
    </w:p>
    <w:p w14:paraId="394A14C0" w14:textId="3271153B" w:rsidR="00A03B3D" w:rsidRPr="00FC63E2" w:rsidRDefault="00A03B3D" w:rsidP="00107E98">
      <w:pPr>
        <w:pStyle w:val="ListParagraph"/>
        <w:numPr>
          <w:ilvl w:val="0"/>
          <w:numId w:val="2"/>
        </w:numPr>
        <w:rPr>
          <w:rFonts w:cstheme="minorHAnsi"/>
          <w:b/>
          <w:bCs/>
          <w:sz w:val="28"/>
          <w:szCs w:val="28"/>
        </w:rPr>
      </w:pPr>
      <w:r w:rsidRPr="00FC63E2">
        <w:rPr>
          <w:rFonts w:cstheme="minorHAnsi"/>
          <w:b/>
          <w:bCs/>
          <w:sz w:val="28"/>
          <w:szCs w:val="28"/>
        </w:rPr>
        <w:t>BLOGS</w:t>
      </w:r>
    </w:p>
    <w:p w14:paraId="23C0B1C8" w14:textId="77777777" w:rsidR="00107E98" w:rsidRPr="00FC63E2" w:rsidRDefault="00107E98" w:rsidP="00107E98">
      <w:pPr>
        <w:pStyle w:val="ListParagraph"/>
        <w:rPr>
          <w:rFonts w:cstheme="minorHAnsi"/>
          <w:b/>
          <w:bCs/>
          <w:sz w:val="28"/>
          <w:szCs w:val="28"/>
        </w:rPr>
      </w:pPr>
    </w:p>
    <w:p w14:paraId="3D7347A2" w14:textId="3328ACC1" w:rsidR="00B6407F" w:rsidRPr="00FC63E2" w:rsidRDefault="005076E5">
      <w:pPr>
        <w:rPr>
          <w:rFonts w:cstheme="minorHAnsi"/>
          <w:b/>
          <w:bCs/>
          <w:sz w:val="28"/>
          <w:szCs w:val="28"/>
        </w:rPr>
      </w:pPr>
      <w:r w:rsidRPr="00FC63E2">
        <w:rPr>
          <w:rFonts w:cstheme="minorHAnsi"/>
          <w:b/>
          <w:bCs/>
          <w:sz w:val="28"/>
          <w:szCs w:val="28"/>
        </w:rPr>
        <w:t xml:space="preserve">1) </w:t>
      </w:r>
      <w:r w:rsidR="00B6407F" w:rsidRPr="00FC63E2">
        <w:rPr>
          <w:rFonts w:cstheme="minorHAnsi"/>
          <w:b/>
          <w:bCs/>
          <w:sz w:val="28"/>
          <w:szCs w:val="28"/>
        </w:rPr>
        <w:t xml:space="preserve">The Right to Identity </w:t>
      </w:r>
    </w:p>
    <w:p w14:paraId="521E8F3C" w14:textId="127119FE" w:rsidR="00B6407F" w:rsidRPr="00FC63E2" w:rsidRDefault="00B6407F" w:rsidP="00B6407F">
      <w:pPr>
        <w:rPr>
          <w:rFonts w:eastAsia="Times New Roman" w:cstheme="minorHAnsi"/>
          <w:kern w:val="0"/>
          <w:sz w:val="28"/>
          <w:szCs w:val="28"/>
          <w:lang w:eastAsia="en-GB"/>
          <w14:ligatures w14:val="none"/>
        </w:rPr>
      </w:pPr>
      <w:r w:rsidRPr="00FC63E2">
        <w:rPr>
          <w:rFonts w:eastAsia="Times New Roman" w:cstheme="minorHAnsi"/>
          <w:kern w:val="0"/>
          <w:sz w:val="28"/>
          <w:szCs w:val="28"/>
          <w:lang w:eastAsia="en-GB"/>
          <w14:ligatures w14:val="none"/>
        </w:rPr>
        <w:t xml:space="preserve">According to Article 8 of the United Nations Convention on the Rights of the Child (UNCRC, 1989), every child has the right to an identity. This includes the rights to nationality, connections to the family, and a name. </w:t>
      </w:r>
      <w:r w:rsidRPr="00FC63E2">
        <w:rPr>
          <w:rFonts w:eastAsia="Times New Roman" w:cstheme="minorHAnsi"/>
          <w:color w:val="0D0D0D" w:themeColor="text1" w:themeTint="F2"/>
          <w:kern w:val="0"/>
          <w:sz w:val="28"/>
          <w:szCs w:val="28"/>
          <w:lang w:eastAsia="en-GB"/>
          <w14:ligatures w14:val="none"/>
        </w:rPr>
        <w:t xml:space="preserve">Identity shapes a </w:t>
      </w:r>
      <w:r w:rsidRPr="00FC63E2">
        <w:rPr>
          <w:rFonts w:eastAsia="Times New Roman" w:cstheme="minorHAnsi"/>
          <w:kern w:val="0"/>
          <w:sz w:val="28"/>
          <w:szCs w:val="28"/>
          <w:lang w:eastAsia="en-GB"/>
          <w14:ligatures w14:val="none"/>
        </w:rPr>
        <w:t xml:space="preserve">child's feeling of individuality, social inclusion, and belonging, all of </w:t>
      </w:r>
      <w:r w:rsidR="003B2C08" w:rsidRPr="00FC63E2">
        <w:rPr>
          <w:rFonts w:eastAsia="Times New Roman" w:cstheme="minorHAnsi"/>
          <w:kern w:val="0"/>
          <w:sz w:val="28"/>
          <w:szCs w:val="28"/>
          <w:lang w:eastAsia="en-GB"/>
          <w14:ligatures w14:val="none"/>
        </w:rPr>
        <w:t xml:space="preserve">which </w:t>
      </w:r>
      <w:r w:rsidRPr="00FC63E2">
        <w:rPr>
          <w:rFonts w:eastAsia="Times New Roman" w:cstheme="minorHAnsi"/>
          <w:kern w:val="0"/>
          <w:sz w:val="28"/>
          <w:szCs w:val="28"/>
          <w:lang w:eastAsia="en-GB"/>
          <w14:ligatures w14:val="none"/>
        </w:rPr>
        <w:t>are crucial elements of emotional and psychological development and are shaped by their identity.</w:t>
      </w:r>
    </w:p>
    <w:p w14:paraId="60494F0E" w14:textId="77F2711B" w:rsidR="005A7997" w:rsidRPr="00FC63E2" w:rsidRDefault="005A7997" w:rsidP="005A7997">
      <w:pPr>
        <w:spacing w:after="0" w:line="240" w:lineRule="auto"/>
        <w:rPr>
          <w:rFonts w:eastAsia="Times New Roman" w:cstheme="minorHAnsi"/>
          <w:kern w:val="0"/>
          <w:sz w:val="28"/>
          <w:szCs w:val="28"/>
          <w:lang w:eastAsia="en-GB"/>
          <w14:ligatures w14:val="none"/>
        </w:rPr>
      </w:pPr>
      <w:r w:rsidRPr="00FC63E2">
        <w:rPr>
          <w:rFonts w:eastAsia="Times New Roman" w:cstheme="minorHAnsi"/>
          <w:kern w:val="0"/>
          <w:sz w:val="28"/>
          <w:szCs w:val="28"/>
          <w:lang w:eastAsia="en-GB"/>
          <w14:ligatures w14:val="none"/>
        </w:rPr>
        <w:lastRenderedPageBreak/>
        <w:t>Legislation in the UK additionally reinforces the value of identity. Local governing bodies are required by the Children Act 1989 to contribute to the welfare of children, which includes respecting their culture, language, and religious traditions (</w:t>
      </w:r>
      <w:r w:rsidR="00144DEB" w:rsidRPr="00FC63E2">
        <w:rPr>
          <w:rFonts w:eastAsia="Times New Roman" w:cstheme="minorHAnsi"/>
          <w:kern w:val="0"/>
          <w:sz w:val="28"/>
          <w:szCs w:val="28"/>
          <w:lang w:eastAsia="en-GB"/>
          <w14:ligatures w14:val="none"/>
        </w:rPr>
        <w:t>Legislation. GOV.UK, 2024</w:t>
      </w:r>
      <w:r w:rsidRPr="00FC63E2">
        <w:rPr>
          <w:rFonts w:eastAsia="Times New Roman" w:cstheme="minorHAnsi"/>
          <w:kern w:val="0"/>
          <w:sz w:val="28"/>
          <w:szCs w:val="28"/>
          <w:lang w:eastAsia="en-GB"/>
          <w14:ligatures w14:val="none"/>
        </w:rPr>
        <w:t>). A child's personal history and connections with relatives are crucial to their well-being, and this is reinforced by the Human Rights Act of 1998, which safeguards the right to private and family life</w:t>
      </w:r>
      <w:r w:rsidR="00B50AEA" w:rsidRPr="00FC63E2">
        <w:rPr>
          <w:rFonts w:eastAsia="Times New Roman" w:cstheme="minorHAnsi"/>
          <w:kern w:val="0"/>
          <w:sz w:val="28"/>
          <w:szCs w:val="28"/>
          <w:lang w:eastAsia="en-GB"/>
          <w14:ligatures w14:val="none"/>
        </w:rPr>
        <w:t xml:space="preserve"> (Sajir, 2024).</w:t>
      </w:r>
    </w:p>
    <w:p w14:paraId="6DDD6727" w14:textId="77777777" w:rsidR="00B50AEA" w:rsidRPr="00FC63E2" w:rsidRDefault="00B50AEA" w:rsidP="005A7997">
      <w:pPr>
        <w:spacing w:after="0" w:line="240" w:lineRule="auto"/>
        <w:rPr>
          <w:rFonts w:eastAsia="Times New Roman" w:cstheme="minorHAnsi"/>
          <w:kern w:val="0"/>
          <w:sz w:val="28"/>
          <w:szCs w:val="28"/>
          <w:lang w:eastAsia="en-GB"/>
          <w14:ligatures w14:val="none"/>
        </w:rPr>
      </w:pPr>
    </w:p>
    <w:p w14:paraId="4C2119A3" w14:textId="2AFAF7E1" w:rsidR="00B50AEA" w:rsidRPr="00FC63E2" w:rsidRDefault="00B50AEA" w:rsidP="005A7997">
      <w:pPr>
        <w:spacing w:after="0" w:line="240" w:lineRule="auto"/>
        <w:rPr>
          <w:rFonts w:eastAsia="Times New Roman" w:cstheme="minorHAnsi"/>
          <w:kern w:val="0"/>
          <w:sz w:val="28"/>
          <w:szCs w:val="28"/>
          <w:lang w:eastAsia="en-GB"/>
          <w14:ligatures w14:val="none"/>
        </w:rPr>
      </w:pPr>
      <w:r w:rsidRPr="00FC63E2">
        <w:rPr>
          <w:rFonts w:eastAsia="Times New Roman" w:cstheme="minorHAnsi"/>
          <w:kern w:val="0"/>
          <w:sz w:val="28"/>
          <w:szCs w:val="28"/>
          <w:lang w:eastAsia="en-GB"/>
          <w14:ligatures w14:val="none"/>
        </w:rPr>
        <w:t>Erikson's psychosocial development theory emphasises the importance of identity emergence in development, particularly throughout adolescence, from the perspective of the theory. Children may suffer with stability and self-esteem when their identities are divided, whether through adoption, immigration, or separation</w:t>
      </w:r>
      <w:r w:rsidR="00C17CB1" w:rsidRPr="00FC63E2">
        <w:rPr>
          <w:rFonts w:eastAsia="Times New Roman" w:cstheme="minorHAnsi"/>
          <w:kern w:val="0"/>
          <w:sz w:val="28"/>
          <w:szCs w:val="28"/>
          <w:lang w:eastAsia="en-GB"/>
          <w14:ligatures w14:val="none"/>
        </w:rPr>
        <w:t xml:space="preserve"> (Kroger, 2004).</w:t>
      </w:r>
    </w:p>
    <w:p w14:paraId="6EF31A19" w14:textId="77777777" w:rsidR="00C17CB1" w:rsidRPr="00FC63E2" w:rsidRDefault="00C17CB1" w:rsidP="005A7997">
      <w:pPr>
        <w:spacing w:after="0" w:line="240" w:lineRule="auto"/>
        <w:rPr>
          <w:rFonts w:eastAsia="Times New Roman" w:cstheme="minorHAnsi"/>
          <w:kern w:val="0"/>
          <w:sz w:val="28"/>
          <w:szCs w:val="28"/>
          <w:lang w:eastAsia="en-GB"/>
          <w14:ligatures w14:val="none"/>
        </w:rPr>
      </w:pPr>
    </w:p>
    <w:p w14:paraId="1968DFE5" w14:textId="3B1FB8B0" w:rsidR="00C17CB1" w:rsidRPr="00FC63E2" w:rsidRDefault="00C17CB1" w:rsidP="00C17CB1">
      <w:pPr>
        <w:pStyle w:val="NormalWeb"/>
        <w:rPr>
          <w:rFonts w:asciiTheme="minorHAnsi" w:hAnsiTheme="minorHAnsi" w:cstheme="minorHAnsi"/>
          <w:sz w:val="28"/>
          <w:szCs w:val="28"/>
        </w:rPr>
      </w:pPr>
      <w:r w:rsidRPr="00FC63E2">
        <w:rPr>
          <w:rFonts w:asciiTheme="minorHAnsi" w:hAnsiTheme="minorHAnsi" w:cstheme="minorHAnsi"/>
          <w:sz w:val="28"/>
          <w:szCs w:val="28"/>
        </w:rPr>
        <w:t xml:space="preserve">A lack of support for a child's identity can lead to emotional distress, confusion, and a sense of disconnection throughout their development. The </w:t>
      </w:r>
      <w:r w:rsidRPr="00FC63E2">
        <w:rPr>
          <w:rStyle w:val="Emphasis"/>
          <w:rFonts w:asciiTheme="minorHAnsi" w:eastAsiaTheme="majorEastAsia" w:hAnsiTheme="minorHAnsi" w:cstheme="minorHAnsi"/>
          <w:i w:val="0"/>
          <w:iCs w:val="0"/>
          <w:sz w:val="28"/>
          <w:szCs w:val="28"/>
        </w:rPr>
        <w:t>Adoption and Children</w:t>
      </w:r>
      <w:r w:rsidRPr="00FC63E2">
        <w:rPr>
          <w:rStyle w:val="Emphasis"/>
          <w:rFonts w:asciiTheme="minorHAnsi" w:eastAsiaTheme="majorEastAsia" w:hAnsiTheme="minorHAnsi" w:cstheme="minorHAnsi"/>
          <w:sz w:val="28"/>
          <w:szCs w:val="28"/>
        </w:rPr>
        <w:t xml:space="preserve"> </w:t>
      </w:r>
      <w:r w:rsidRPr="00FC63E2">
        <w:rPr>
          <w:rStyle w:val="Emphasis"/>
          <w:rFonts w:asciiTheme="minorHAnsi" w:eastAsiaTheme="majorEastAsia" w:hAnsiTheme="minorHAnsi" w:cstheme="minorHAnsi"/>
          <w:i w:val="0"/>
          <w:iCs w:val="0"/>
          <w:sz w:val="28"/>
          <w:szCs w:val="28"/>
        </w:rPr>
        <w:t>Act</w:t>
      </w:r>
      <w:r w:rsidRPr="00FC63E2">
        <w:rPr>
          <w:rFonts w:asciiTheme="minorHAnsi" w:hAnsiTheme="minorHAnsi" w:cstheme="minorHAnsi"/>
          <w:sz w:val="28"/>
          <w:szCs w:val="28"/>
        </w:rPr>
        <w:t xml:space="preserve"> (2002) emphasises the importance of maintaining identity and continuity for looked-after children through measures such as preserving birth records, engaging in life story work, and facilitating contact with siblings</w:t>
      </w:r>
      <w:r w:rsidR="00AB29B3" w:rsidRPr="00FC63E2">
        <w:rPr>
          <w:rFonts w:asciiTheme="minorHAnsi" w:hAnsiTheme="minorHAnsi" w:cstheme="minorHAnsi"/>
          <w:sz w:val="28"/>
          <w:szCs w:val="28"/>
        </w:rPr>
        <w:t xml:space="preserve"> (Legislation. GOV.UK, 2025).</w:t>
      </w:r>
    </w:p>
    <w:p w14:paraId="72F8F798" w14:textId="3A78307F" w:rsidR="005076E5" w:rsidRPr="00FC63E2" w:rsidRDefault="005076E5" w:rsidP="005076E5">
      <w:pPr>
        <w:pStyle w:val="Heading3"/>
        <w:rPr>
          <w:rFonts w:eastAsia="Times New Roman" w:cstheme="minorHAnsi"/>
          <w:b/>
          <w:bCs/>
          <w:color w:val="auto"/>
          <w:kern w:val="0"/>
          <w:lang w:eastAsia="en-GB"/>
          <w14:ligatures w14:val="none"/>
        </w:rPr>
      </w:pPr>
      <w:r w:rsidRPr="00FC63E2">
        <w:rPr>
          <w:rFonts w:cstheme="minorHAnsi"/>
          <w:color w:val="000000" w:themeColor="text1"/>
        </w:rPr>
        <w:t>2)</w:t>
      </w:r>
      <w:r w:rsidRPr="00FC63E2">
        <w:rPr>
          <w:rFonts w:eastAsia="Times New Roman" w:cstheme="minorHAnsi"/>
          <w:b/>
          <w:bCs/>
          <w:color w:val="auto"/>
          <w:kern w:val="0"/>
          <w:lang w:eastAsia="en-GB"/>
          <w14:ligatures w14:val="none"/>
        </w:rPr>
        <w:t xml:space="preserve">The Right to Be Heard </w:t>
      </w:r>
    </w:p>
    <w:p w14:paraId="34ED7CDC" w14:textId="4649C8B7" w:rsidR="005076E5" w:rsidRPr="00FC63E2" w:rsidRDefault="005076E5" w:rsidP="005076E5">
      <w:pPr>
        <w:spacing w:before="100" w:beforeAutospacing="1" w:after="100" w:afterAutospacing="1" w:line="240" w:lineRule="auto"/>
        <w:rPr>
          <w:rFonts w:eastAsia="Times New Roman" w:cstheme="minorHAnsi"/>
          <w:kern w:val="0"/>
          <w:sz w:val="28"/>
          <w:szCs w:val="28"/>
          <w:lang w:eastAsia="en-GB"/>
          <w14:ligatures w14:val="none"/>
        </w:rPr>
      </w:pPr>
      <w:r w:rsidRPr="00FC63E2">
        <w:rPr>
          <w:rFonts w:eastAsia="Times New Roman" w:cstheme="minorHAnsi"/>
          <w:kern w:val="0"/>
          <w:sz w:val="28"/>
          <w:szCs w:val="28"/>
          <w:lang w:eastAsia="en-GB"/>
          <w14:ligatures w14:val="none"/>
        </w:rPr>
        <w:t>The right of every child to be heard is a vital part of promoting their wellbeing, autonomy, and development. Recognised in law and practice, this right ensures that children are active participants in decisions affecting their lives</w:t>
      </w:r>
      <w:r w:rsidR="00C35807" w:rsidRPr="00FC63E2">
        <w:rPr>
          <w:rFonts w:eastAsia="Times New Roman" w:cstheme="minorHAnsi"/>
          <w:kern w:val="0"/>
          <w:sz w:val="28"/>
          <w:szCs w:val="28"/>
          <w:lang w:eastAsia="en-GB"/>
          <w14:ligatures w14:val="none"/>
        </w:rPr>
        <w:t xml:space="preserve"> (UNICEF, 2025).</w:t>
      </w:r>
    </w:p>
    <w:p w14:paraId="693AEFB6" w14:textId="32724BFD" w:rsidR="00AB29B3" w:rsidRPr="00FC63E2" w:rsidRDefault="00C35807" w:rsidP="005E159A">
      <w:pPr>
        <w:spacing w:before="100" w:beforeAutospacing="1" w:after="100" w:afterAutospacing="1" w:line="240" w:lineRule="auto"/>
        <w:rPr>
          <w:rFonts w:cstheme="minorHAnsi"/>
          <w:sz w:val="28"/>
          <w:szCs w:val="28"/>
        </w:rPr>
      </w:pPr>
      <w:r w:rsidRPr="00FC63E2">
        <w:rPr>
          <w:rStyle w:val="Strong"/>
          <w:rFonts w:cstheme="minorHAnsi"/>
          <w:b w:val="0"/>
          <w:bCs w:val="0"/>
          <w:sz w:val="28"/>
          <w:szCs w:val="28"/>
        </w:rPr>
        <w:t>Vygotsky’s Sociocultural Theory</w:t>
      </w:r>
      <w:r w:rsidRPr="00FC63E2">
        <w:rPr>
          <w:rFonts w:cstheme="minorHAnsi"/>
          <w:sz w:val="28"/>
          <w:szCs w:val="28"/>
        </w:rPr>
        <w:t xml:space="preserve"> highlights the importance of social interaction in learning and growth. When children are encouraged to express their views and engage in dialogue, they develop critical thinking, confidence, and a stronger sense of identity. Voice and participation are, therefore, essential for cognitive, emotional, and social development</w:t>
      </w:r>
      <w:r w:rsidR="005E159A" w:rsidRPr="00FC63E2">
        <w:rPr>
          <w:rFonts w:cstheme="minorHAnsi"/>
          <w:sz w:val="28"/>
          <w:szCs w:val="28"/>
        </w:rPr>
        <w:t xml:space="preserve"> (Barnett, 2019).</w:t>
      </w:r>
    </w:p>
    <w:p w14:paraId="3B98A528" w14:textId="279DB29D" w:rsidR="005E159A" w:rsidRPr="00FC63E2" w:rsidRDefault="005E159A" w:rsidP="005E159A">
      <w:pPr>
        <w:spacing w:after="0" w:line="240" w:lineRule="auto"/>
        <w:rPr>
          <w:rFonts w:eastAsia="Times New Roman" w:cstheme="minorHAnsi"/>
          <w:kern w:val="0"/>
          <w:sz w:val="28"/>
          <w:szCs w:val="28"/>
          <w:lang w:eastAsia="en-GB"/>
          <w14:ligatures w14:val="none"/>
        </w:rPr>
      </w:pPr>
      <w:r w:rsidRPr="00FC63E2">
        <w:rPr>
          <w:rFonts w:eastAsia="Times New Roman" w:cstheme="minorHAnsi"/>
          <w:kern w:val="0"/>
          <w:sz w:val="28"/>
          <w:szCs w:val="28"/>
          <w:lang w:eastAsia="en-GB"/>
          <w14:ligatures w14:val="none"/>
        </w:rPr>
        <w:t>The Children Act 1989, which specifies that choices about children's care must take into account their preferences and feelings, protects this right in the United Kingdom(UK)  (</w:t>
      </w:r>
      <w:r w:rsidRPr="00FC63E2">
        <w:rPr>
          <w:rFonts w:cstheme="minorHAnsi"/>
          <w:color w:val="222222"/>
          <w:sz w:val="28"/>
          <w:szCs w:val="28"/>
          <w:shd w:val="clear" w:color="auto" w:fill="FFFFFF"/>
        </w:rPr>
        <w:t xml:space="preserve">McCafferty, 2024). </w:t>
      </w:r>
      <w:r w:rsidRPr="00FC63E2">
        <w:rPr>
          <w:rFonts w:eastAsia="Times New Roman" w:cstheme="minorHAnsi"/>
          <w:kern w:val="0"/>
          <w:sz w:val="28"/>
          <w:szCs w:val="28"/>
          <w:lang w:eastAsia="en-GB"/>
          <w14:ligatures w14:val="none"/>
        </w:rPr>
        <w:t>The Children and Families Act 2014, which encourages children and young people with special educational needs and disabilities (SEND) to be included in determining their support and services, provides additional assistance</w:t>
      </w:r>
      <w:r w:rsidR="00500417" w:rsidRPr="00FC63E2">
        <w:rPr>
          <w:rFonts w:eastAsia="Times New Roman" w:cstheme="minorHAnsi"/>
          <w:kern w:val="0"/>
          <w:sz w:val="28"/>
          <w:szCs w:val="28"/>
          <w:lang w:eastAsia="en-GB"/>
          <w14:ligatures w14:val="none"/>
        </w:rPr>
        <w:t xml:space="preserve"> (Wearmouth, 2021).</w:t>
      </w:r>
    </w:p>
    <w:p w14:paraId="68F4970E" w14:textId="77777777" w:rsidR="00500417" w:rsidRPr="00FC63E2" w:rsidRDefault="00500417" w:rsidP="00500417">
      <w:pPr>
        <w:spacing w:after="240" w:line="240" w:lineRule="auto"/>
        <w:rPr>
          <w:rFonts w:eastAsia="Times New Roman" w:cstheme="minorHAnsi"/>
          <w:kern w:val="0"/>
          <w:sz w:val="28"/>
          <w:szCs w:val="28"/>
          <w:lang w:eastAsia="en-GB"/>
          <w14:ligatures w14:val="none"/>
        </w:rPr>
      </w:pPr>
    </w:p>
    <w:p w14:paraId="2929284A" w14:textId="7F00F52E" w:rsidR="00500417" w:rsidRPr="00FC63E2" w:rsidRDefault="00500417" w:rsidP="00500417">
      <w:pPr>
        <w:spacing w:after="240" w:line="240" w:lineRule="auto"/>
        <w:rPr>
          <w:rFonts w:eastAsia="Times New Roman" w:cstheme="minorHAnsi"/>
          <w:kern w:val="0"/>
          <w:sz w:val="28"/>
          <w:szCs w:val="28"/>
          <w:lang w:eastAsia="en-GB"/>
          <w14:ligatures w14:val="none"/>
        </w:rPr>
      </w:pPr>
      <w:r w:rsidRPr="00FC63E2">
        <w:rPr>
          <w:rFonts w:eastAsia="Times New Roman" w:cstheme="minorHAnsi"/>
          <w:kern w:val="0"/>
          <w:sz w:val="28"/>
          <w:szCs w:val="28"/>
          <w:lang w:eastAsia="en-GB"/>
          <w14:ligatures w14:val="none"/>
        </w:rPr>
        <w:t>The Working Together to Safeguard Children statutory guideline highlights the value of listening to children in safeguarding practices to guarantee their safety and adequate care. Neglected concerns and negative outcomes can result in ignoring children's voices (GOV. UK, 2023).</w:t>
      </w:r>
    </w:p>
    <w:p w14:paraId="5E91DDD4" w14:textId="6D1BB376" w:rsidR="00C51BE3" w:rsidRPr="00FC63E2" w:rsidRDefault="003D59DC" w:rsidP="00C51BE3">
      <w:pPr>
        <w:spacing w:before="100" w:beforeAutospacing="1" w:after="100" w:afterAutospacing="1" w:line="240" w:lineRule="auto"/>
        <w:rPr>
          <w:rFonts w:eastAsia="Times New Roman" w:cstheme="minorHAnsi"/>
          <w:kern w:val="0"/>
          <w:sz w:val="28"/>
          <w:szCs w:val="28"/>
          <w:lang w:eastAsia="en-GB"/>
          <w14:ligatures w14:val="none"/>
        </w:rPr>
      </w:pPr>
      <w:r>
        <w:rPr>
          <w:rFonts w:eastAsia="Times New Roman" w:cstheme="minorHAnsi"/>
          <w:kern w:val="0"/>
          <w:sz w:val="28"/>
          <w:szCs w:val="28"/>
          <w:lang w:eastAsia="en-GB"/>
          <w14:ligatures w14:val="none"/>
        </w:rPr>
        <w:t>Ensuring</w:t>
      </w:r>
      <w:r w:rsidR="00C51BE3" w:rsidRPr="00FC63E2">
        <w:rPr>
          <w:rFonts w:eastAsia="Times New Roman" w:cstheme="minorHAnsi"/>
          <w:kern w:val="0"/>
          <w:sz w:val="28"/>
          <w:szCs w:val="28"/>
          <w:lang w:eastAsia="en-GB"/>
          <w14:ligatures w14:val="none"/>
        </w:rPr>
        <w:t xml:space="preserve"> children are heard builds resilience, strengthens relationships with adults, and empowers them </w:t>
      </w:r>
      <w:r>
        <w:rPr>
          <w:rFonts w:eastAsia="Times New Roman" w:cstheme="minorHAnsi"/>
          <w:kern w:val="0"/>
          <w:sz w:val="28"/>
          <w:szCs w:val="28"/>
          <w:lang w:eastAsia="en-GB"/>
          <w14:ligatures w14:val="none"/>
        </w:rPr>
        <w:t>to shape their lives actively</w:t>
      </w:r>
      <w:r w:rsidR="00C51BE3" w:rsidRPr="00FC63E2">
        <w:rPr>
          <w:rFonts w:eastAsia="Times New Roman" w:cstheme="minorHAnsi"/>
          <w:kern w:val="0"/>
          <w:sz w:val="28"/>
          <w:szCs w:val="28"/>
          <w:lang w:eastAsia="en-GB"/>
          <w14:ligatures w14:val="none"/>
        </w:rPr>
        <w:t>. Upholding this right is not only a legal and ethical responsibility, but a powerful contributor to healthy development and lifelong wellbeing (Furu et al., 2023).</w:t>
      </w:r>
    </w:p>
    <w:p w14:paraId="4EDE1EEA" w14:textId="77777777" w:rsidR="00F637D5" w:rsidRPr="00FC63E2" w:rsidRDefault="00F637D5" w:rsidP="00C51BE3">
      <w:pPr>
        <w:spacing w:before="100" w:beforeAutospacing="1" w:after="100" w:afterAutospacing="1" w:line="240" w:lineRule="auto"/>
        <w:rPr>
          <w:rFonts w:eastAsia="Times New Roman" w:cstheme="minorHAnsi"/>
          <w:kern w:val="0"/>
          <w:sz w:val="28"/>
          <w:szCs w:val="28"/>
          <w:lang w:eastAsia="en-GB"/>
          <w14:ligatures w14:val="none"/>
        </w:rPr>
      </w:pPr>
    </w:p>
    <w:p w14:paraId="6615E163" w14:textId="39EF3D3F" w:rsidR="00F637D5" w:rsidRPr="00FC63E2" w:rsidRDefault="00F637D5" w:rsidP="00C51BE3">
      <w:pPr>
        <w:spacing w:before="100" w:beforeAutospacing="1" w:after="100" w:afterAutospacing="1" w:line="240" w:lineRule="auto"/>
        <w:rPr>
          <w:rFonts w:eastAsia="+mn-ea" w:cstheme="minorHAnsi"/>
          <w:color w:val="000000"/>
          <w:kern w:val="24"/>
          <w:sz w:val="28"/>
          <w:szCs w:val="28"/>
        </w:rPr>
      </w:pPr>
      <w:r w:rsidRPr="00FC63E2">
        <w:rPr>
          <w:rFonts w:eastAsia="+mn-ea" w:cstheme="minorHAnsi"/>
          <w:b/>
          <w:bCs/>
          <w:color w:val="000000"/>
          <w:kern w:val="24"/>
          <w:sz w:val="28"/>
          <w:szCs w:val="28"/>
        </w:rPr>
        <w:t>3) Right to life</w:t>
      </w:r>
      <w:r w:rsidR="001D6D14" w:rsidRPr="00FC63E2">
        <w:rPr>
          <w:rFonts w:eastAsia="+mn-ea" w:cstheme="minorHAnsi"/>
          <w:b/>
          <w:bCs/>
          <w:color w:val="000000"/>
          <w:kern w:val="24"/>
          <w:sz w:val="28"/>
          <w:szCs w:val="28"/>
        </w:rPr>
        <w:t>,</w:t>
      </w:r>
      <w:r w:rsidRPr="00FC63E2">
        <w:rPr>
          <w:rFonts w:eastAsia="+mn-ea" w:cstheme="minorHAnsi"/>
          <w:b/>
          <w:bCs/>
          <w:color w:val="000000"/>
          <w:kern w:val="24"/>
          <w:sz w:val="28"/>
          <w:szCs w:val="28"/>
        </w:rPr>
        <w:t xml:space="preserve"> survival and development</w:t>
      </w:r>
      <w:r w:rsidRPr="00FC63E2">
        <w:rPr>
          <w:rFonts w:eastAsia="+mn-ea" w:cstheme="minorHAnsi"/>
          <w:color w:val="000000"/>
          <w:kern w:val="24"/>
          <w:sz w:val="28"/>
          <w:szCs w:val="28"/>
        </w:rPr>
        <w:t>.</w:t>
      </w:r>
    </w:p>
    <w:p w14:paraId="1A903F51" w14:textId="7C834A39" w:rsidR="00F637D5" w:rsidRPr="00FC63E2" w:rsidRDefault="00F637D5" w:rsidP="00F637D5">
      <w:pPr>
        <w:spacing w:after="0" w:line="240" w:lineRule="auto"/>
        <w:rPr>
          <w:rFonts w:eastAsia="Times New Roman" w:cstheme="minorHAnsi"/>
          <w:kern w:val="0"/>
          <w:sz w:val="28"/>
          <w:szCs w:val="28"/>
          <w:lang w:eastAsia="en-GB"/>
          <w14:ligatures w14:val="none"/>
        </w:rPr>
      </w:pPr>
      <w:r w:rsidRPr="00FC63E2">
        <w:rPr>
          <w:rFonts w:eastAsia="Times New Roman" w:cstheme="minorHAnsi"/>
          <w:kern w:val="0"/>
          <w:sz w:val="28"/>
          <w:szCs w:val="28"/>
          <w:lang w:eastAsia="en-GB"/>
          <w14:ligatures w14:val="none"/>
        </w:rPr>
        <w:t xml:space="preserve">The right to life, survival, and development is fundamental for every child. Article 6 of the UNCRC states this </w:t>
      </w:r>
      <w:r w:rsidR="001D6D14" w:rsidRPr="00FC63E2">
        <w:rPr>
          <w:rFonts w:eastAsia="Times New Roman" w:cstheme="minorHAnsi"/>
          <w:kern w:val="0"/>
          <w:sz w:val="28"/>
          <w:szCs w:val="28"/>
          <w:lang w:eastAsia="en-GB"/>
          <w14:ligatures w14:val="none"/>
        </w:rPr>
        <w:t>fundamental</w:t>
      </w:r>
      <w:r w:rsidRPr="00FC63E2">
        <w:rPr>
          <w:rFonts w:eastAsia="Times New Roman" w:cstheme="minorHAnsi"/>
          <w:kern w:val="0"/>
          <w:sz w:val="28"/>
          <w:szCs w:val="28"/>
          <w:lang w:eastAsia="en-GB"/>
          <w14:ligatures w14:val="none"/>
        </w:rPr>
        <w:t xml:space="preserve"> concept, </w:t>
      </w:r>
      <w:r w:rsidR="001D6D14" w:rsidRPr="00FC63E2">
        <w:rPr>
          <w:rFonts w:eastAsia="Times New Roman" w:cstheme="minorHAnsi"/>
          <w:kern w:val="0"/>
          <w:sz w:val="28"/>
          <w:szCs w:val="28"/>
          <w:lang w:eastAsia="en-GB"/>
          <w14:ligatures w14:val="none"/>
        </w:rPr>
        <w:t>emphasising</w:t>
      </w:r>
      <w:r w:rsidRPr="00FC63E2">
        <w:rPr>
          <w:rFonts w:eastAsia="Times New Roman" w:cstheme="minorHAnsi"/>
          <w:kern w:val="0"/>
          <w:sz w:val="28"/>
          <w:szCs w:val="28"/>
          <w:lang w:eastAsia="en-GB"/>
          <w14:ligatures w14:val="none"/>
        </w:rPr>
        <w:t xml:space="preserve"> that children must be given the best opportunity to grow up safe, healthy, and well-prepared for adulthood. By guaranteeing that children's basic needs are satisfied from birth, this right serves as the foundation for all other rights.</w:t>
      </w:r>
      <w:r w:rsidR="005A5BF8" w:rsidRPr="00FC63E2">
        <w:rPr>
          <w:rFonts w:eastAsia="Times New Roman" w:cstheme="minorHAnsi"/>
          <w:kern w:val="0"/>
          <w:sz w:val="28"/>
          <w:szCs w:val="28"/>
          <w:lang w:eastAsia="en-GB"/>
          <w14:ligatures w14:val="none"/>
        </w:rPr>
        <w:t xml:space="preserve"> (</w:t>
      </w:r>
      <w:r w:rsidR="00215883" w:rsidRPr="00FC63E2">
        <w:rPr>
          <w:rFonts w:eastAsia="Times New Roman" w:cstheme="minorHAnsi"/>
          <w:kern w:val="0"/>
          <w:sz w:val="28"/>
          <w:szCs w:val="28"/>
          <w:lang w:eastAsia="en-GB"/>
          <w14:ligatures w14:val="none"/>
        </w:rPr>
        <w:t>Daly, 2023).</w:t>
      </w:r>
    </w:p>
    <w:p w14:paraId="710DE12C" w14:textId="3B30701D" w:rsidR="005A5BF8" w:rsidRPr="00FC63E2" w:rsidRDefault="005A5BF8" w:rsidP="005A5BF8">
      <w:pPr>
        <w:spacing w:after="240" w:line="240" w:lineRule="auto"/>
        <w:rPr>
          <w:rFonts w:eastAsia="Times New Roman" w:cstheme="minorHAnsi"/>
          <w:kern w:val="0"/>
          <w:sz w:val="28"/>
          <w:szCs w:val="28"/>
          <w:lang w:eastAsia="en-GB"/>
          <w14:ligatures w14:val="none"/>
        </w:rPr>
      </w:pPr>
      <w:r w:rsidRPr="00FC63E2">
        <w:rPr>
          <w:rFonts w:eastAsia="Times New Roman" w:cstheme="minorHAnsi"/>
          <w:kern w:val="0"/>
          <w:sz w:val="28"/>
          <w:szCs w:val="28"/>
          <w:lang w:eastAsia="en-GB"/>
          <w14:ligatures w14:val="none"/>
        </w:rPr>
        <w:t xml:space="preserve">Erikson's Psychosocial Theory highlights how crucial it is to provide children consistent care, protection, and supportive relationships to develop </w:t>
      </w:r>
      <w:r w:rsidR="001D6D14" w:rsidRPr="00FC63E2">
        <w:rPr>
          <w:rFonts w:eastAsia="Times New Roman" w:cstheme="minorHAnsi"/>
          <w:kern w:val="0"/>
          <w:sz w:val="28"/>
          <w:szCs w:val="28"/>
          <w:lang w:eastAsia="en-GB"/>
          <w14:ligatures w14:val="none"/>
        </w:rPr>
        <w:t>children's</w:t>
      </w:r>
      <w:r w:rsidRPr="00FC63E2">
        <w:rPr>
          <w:rFonts w:eastAsia="Times New Roman" w:cstheme="minorHAnsi"/>
          <w:kern w:val="0"/>
          <w:sz w:val="28"/>
          <w:szCs w:val="28"/>
          <w:lang w:eastAsia="en-GB"/>
          <w14:ligatures w14:val="none"/>
        </w:rPr>
        <w:t xml:space="preserve"> trust and independence</w:t>
      </w:r>
      <w:r w:rsidR="001D6D14" w:rsidRPr="00FC63E2">
        <w:rPr>
          <w:rFonts w:eastAsia="Times New Roman" w:cstheme="minorHAnsi"/>
          <w:kern w:val="0"/>
          <w:sz w:val="28"/>
          <w:szCs w:val="28"/>
          <w:lang w:eastAsia="en-GB"/>
          <w14:ligatures w14:val="none"/>
        </w:rPr>
        <w:t xml:space="preserve"> (Nusser et al., 2023). </w:t>
      </w:r>
      <w:r w:rsidRPr="00FC63E2">
        <w:rPr>
          <w:rFonts w:eastAsia="Times New Roman" w:cstheme="minorHAnsi"/>
          <w:kern w:val="0"/>
          <w:sz w:val="28"/>
          <w:szCs w:val="28"/>
          <w:lang w:eastAsia="en-GB"/>
          <w14:ligatures w14:val="none"/>
        </w:rPr>
        <w:t>The brain develops quickly in the early years of life and is responsive to environmental factors. Failure to provide these basic requirements may have long-term consequences for identity formation, cognitive development, and emotional resilience</w:t>
      </w:r>
      <w:r w:rsidR="003965E5" w:rsidRPr="00FC63E2">
        <w:rPr>
          <w:rFonts w:eastAsia="Times New Roman" w:cstheme="minorHAnsi"/>
          <w:kern w:val="0"/>
          <w:sz w:val="28"/>
          <w:szCs w:val="28"/>
          <w:lang w:eastAsia="en-GB"/>
          <w14:ligatures w14:val="none"/>
        </w:rPr>
        <w:t xml:space="preserve"> (</w:t>
      </w:r>
      <w:r w:rsidR="003965E5" w:rsidRPr="00FC63E2">
        <w:rPr>
          <w:rFonts w:cstheme="minorHAnsi"/>
          <w:sz w:val="28"/>
          <w:szCs w:val="28"/>
        </w:rPr>
        <w:t>Lo Cricchio et al., 2021).</w:t>
      </w:r>
    </w:p>
    <w:p w14:paraId="3AB964CF" w14:textId="307188DA" w:rsidR="00310DD7" w:rsidRPr="00FC63E2" w:rsidRDefault="00310DD7" w:rsidP="00310DD7">
      <w:pPr>
        <w:spacing w:after="0" w:line="240" w:lineRule="auto"/>
        <w:rPr>
          <w:rFonts w:eastAsia="Times New Roman" w:cstheme="minorHAnsi"/>
          <w:kern w:val="0"/>
          <w:sz w:val="28"/>
          <w:szCs w:val="28"/>
          <w:lang w:eastAsia="en-GB"/>
          <w14:ligatures w14:val="none"/>
        </w:rPr>
      </w:pPr>
    </w:p>
    <w:p w14:paraId="2F2AD7BC" w14:textId="4F68A630" w:rsidR="005A5BF8" w:rsidRPr="00FC63E2" w:rsidRDefault="00310DD7" w:rsidP="00215883">
      <w:pPr>
        <w:spacing w:before="100" w:beforeAutospacing="1" w:after="100" w:afterAutospacing="1" w:line="240" w:lineRule="auto"/>
        <w:rPr>
          <w:rFonts w:eastAsia="Times New Roman" w:cstheme="minorHAnsi"/>
          <w:kern w:val="0"/>
          <w:sz w:val="28"/>
          <w:szCs w:val="28"/>
          <w:lang w:eastAsia="en-GB"/>
          <w14:ligatures w14:val="none"/>
        </w:rPr>
      </w:pPr>
      <w:r w:rsidRPr="00FC63E2">
        <w:rPr>
          <w:rFonts w:eastAsia="Times New Roman" w:cstheme="minorHAnsi"/>
          <w:kern w:val="0"/>
          <w:sz w:val="28"/>
          <w:szCs w:val="28"/>
          <w:lang w:eastAsia="en-GB"/>
          <w14:ligatures w14:val="none"/>
        </w:rPr>
        <w:t>In the UK, the Children Act 1989 obligates local authorities to safeguard and promote the welfare of children, including ensuring their physical and emotional development</w:t>
      </w:r>
      <w:r w:rsidR="00217301" w:rsidRPr="00FC63E2">
        <w:rPr>
          <w:rFonts w:eastAsia="Times New Roman" w:cstheme="minorHAnsi"/>
          <w:kern w:val="0"/>
          <w:sz w:val="28"/>
          <w:szCs w:val="28"/>
          <w:lang w:eastAsia="en-GB"/>
          <w14:ligatures w14:val="none"/>
        </w:rPr>
        <w:t xml:space="preserve"> (</w:t>
      </w:r>
      <w:r w:rsidR="00217301" w:rsidRPr="00FC63E2">
        <w:rPr>
          <w:rFonts w:cstheme="minorHAnsi"/>
          <w:color w:val="222222"/>
          <w:sz w:val="28"/>
          <w:szCs w:val="28"/>
          <w:shd w:val="clear" w:color="auto" w:fill="FFFFFF"/>
        </w:rPr>
        <w:t xml:space="preserve">Arthur and Kirk, 2023). </w:t>
      </w:r>
      <w:r w:rsidRPr="00FC63E2">
        <w:rPr>
          <w:rFonts w:eastAsia="Times New Roman" w:cstheme="minorHAnsi"/>
          <w:kern w:val="0"/>
          <w:sz w:val="28"/>
          <w:szCs w:val="28"/>
          <w:lang w:eastAsia="en-GB"/>
          <w14:ligatures w14:val="none"/>
        </w:rPr>
        <w:t>However, implementing this right consistently across different regions presents challenges. Services are often</w:t>
      </w:r>
      <w:r w:rsidR="00215883" w:rsidRPr="00FC63E2">
        <w:rPr>
          <w:rFonts w:eastAsia="Times New Roman" w:cstheme="minorHAnsi"/>
          <w:kern w:val="0"/>
          <w:sz w:val="28"/>
          <w:szCs w:val="28"/>
          <w:lang w:eastAsia="en-GB"/>
          <w14:ligatures w14:val="none"/>
        </w:rPr>
        <w:t xml:space="preserve"> affected by </w:t>
      </w:r>
      <w:r w:rsidRPr="00FC63E2">
        <w:rPr>
          <w:rFonts w:eastAsia="Times New Roman" w:cstheme="minorHAnsi"/>
          <w:kern w:val="0"/>
          <w:sz w:val="28"/>
          <w:szCs w:val="28"/>
          <w:lang w:eastAsia="en-GB"/>
          <w14:ligatures w14:val="none"/>
        </w:rPr>
        <w:t>funding shortages, high caseloads, and long waiting times, which can delay essential support</w:t>
      </w:r>
      <w:r w:rsidR="00217301" w:rsidRPr="00FC63E2">
        <w:rPr>
          <w:rFonts w:eastAsia="Times New Roman" w:cstheme="minorHAnsi"/>
          <w:kern w:val="0"/>
          <w:sz w:val="28"/>
          <w:szCs w:val="28"/>
          <w:lang w:eastAsia="en-GB"/>
          <w14:ligatures w14:val="none"/>
        </w:rPr>
        <w:t xml:space="preserve"> (McGill et al., 2021)</w:t>
      </w:r>
      <w:r w:rsidRPr="00FC63E2">
        <w:rPr>
          <w:rFonts w:eastAsia="Times New Roman" w:cstheme="minorHAnsi"/>
          <w:kern w:val="0"/>
          <w:sz w:val="28"/>
          <w:szCs w:val="28"/>
          <w:lang w:eastAsia="en-GB"/>
          <w14:ligatures w14:val="none"/>
        </w:rPr>
        <w:t xml:space="preserve">. These delays particularly impact vulnerable children living in poverty, experiencing neglect, or with additional needs, placing their development at risk. While the legislation provides a strong framework, its success relies on how effectively it is applied in practice. Promoting survival and development means going </w:t>
      </w:r>
      <w:r w:rsidRPr="00FC63E2">
        <w:rPr>
          <w:rFonts w:eastAsia="Times New Roman" w:cstheme="minorHAnsi"/>
          <w:kern w:val="0"/>
          <w:sz w:val="28"/>
          <w:szCs w:val="28"/>
          <w:lang w:eastAsia="en-GB"/>
          <w14:ligatures w14:val="none"/>
        </w:rPr>
        <w:lastRenderedPageBreak/>
        <w:t>beyond legal duty</w:t>
      </w:r>
      <w:r w:rsidR="00215883" w:rsidRPr="00FC63E2">
        <w:rPr>
          <w:rFonts w:eastAsia="Times New Roman" w:cstheme="minorHAnsi"/>
          <w:kern w:val="0"/>
          <w:sz w:val="28"/>
          <w:szCs w:val="28"/>
          <w:lang w:eastAsia="en-GB"/>
          <w14:ligatures w14:val="none"/>
        </w:rPr>
        <w:t xml:space="preserve">; </w:t>
      </w:r>
      <w:r w:rsidRPr="00FC63E2">
        <w:rPr>
          <w:rFonts w:eastAsia="Times New Roman" w:cstheme="minorHAnsi"/>
          <w:kern w:val="0"/>
          <w:sz w:val="28"/>
          <w:szCs w:val="28"/>
          <w:lang w:eastAsia="en-GB"/>
          <w14:ligatures w14:val="none"/>
        </w:rPr>
        <w:t>it requires investment in inclusive, timely, and responsive services that enable all children to reach their full potential</w:t>
      </w:r>
      <w:r w:rsidR="00215883" w:rsidRPr="00FC63E2">
        <w:rPr>
          <w:rFonts w:eastAsia="Times New Roman" w:cstheme="minorHAnsi"/>
          <w:kern w:val="0"/>
          <w:sz w:val="28"/>
          <w:szCs w:val="28"/>
          <w:lang w:eastAsia="en-GB"/>
          <w14:ligatures w14:val="none"/>
        </w:rPr>
        <w:t xml:space="preserve"> (Pecora et al., 2018).</w:t>
      </w:r>
    </w:p>
    <w:p w14:paraId="2F127710" w14:textId="77777777" w:rsidR="00545518" w:rsidRPr="00FC63E2" w:rsidRDefault="00545518" w:rsidP="00215883">
      <w:pPr>
        <w:spacing w:before="100" w:beforeAutospacing="1" w:after="100" w:afterAutospacing="1" w:line="240" w:lineRule="auto"/>
        <w:rPr>
          <w:rFonts w:eastAsia="Times New Roman" w:cstheme="minorHAnsi"/>
          <w:kern w:val="0"/>
          <w:sz w:val="28"/>
          <w:szCs w:val="28"/>
          <w:lang w:eastAsia="en-GB"/>
          <w14:ligatures w14:val="none"/>
        </w:rPr>
      </w:pPr>
    </w:p>
    <w:p w14:paraId="0E84A278" w14:textId="4BC3481C" w:rsidR="00545518" w:rsidRPr="00FC63E2" w:rsidRDefault="00545518" w:rsidP="00215883">
      <w:pPr>
        <w:spacing w:before="100" w:beforeAutospacing="1" w:after="100" w:afterAutospacing="1" w:line="240" w:lineRule="auto"/>
        <w:rPr>
          <w:rFonts w:cstheme="minorHAnsi"/>
          <w:sz w:val="28"/>
          <w:szCs w:val="28"/>
        </w:rPr>
      </w:pPr>
      <w:r w:rsidRPr="00FC63E2">
        <w:rPr>
          <w:rFonts w:eastAsia="Times New Roman" w:cstheme="minorHAnsi"/>
          <w:kern w:val="0"/>
          <w:sz w:val="28"/>
          <w:szCs w:val="28"/>
          <w:lang w:eastAsia="en-GB"/>
          <w14:ligatures w14:val="none"/>
        </w:rPr>
        <w:t xml:space="preserve">4) </w:t>
      </w:r>
      <w:r w:rsidRPr="00FC63E2">
        <w:rPr>
          <w:rFonts w:cstheme="minorHAnsi"/>
          <w:sz w:val="28"/>
          <w:szCs w:val="28"/>
        </w:rPr>
        <w:t>Prioritising the Best Interests of the Child: The Significance of Article 3 of the UNCRC in Wales</w:t>
      </w:r>
    </w:p>
    <w:p w14:paraId="157FA74D" w14:textId="77777777" w:rsidR="008F68DA" w:rsidRPr="00FC63E2" w:rsidRDefault="00545518" w:rsidP="00545518">
      <w:pPr>
        <w:spacing w:before="100" w:beforeAutospacing="1" w:after="100" w:afterAutospacing="1" w:line="240" w:lineRule="auto"/>
        <w:rPr>
          <w:rFonts w:eastAsia="Times New Roman" w:cstheme="minorHAnsi"/>
          <w:kern w:val="0"/>
          <w:sz w:val="28"/>
          <w:szCs w:val="28"/>
          <w:lang w:eastAsia="en-GB"/>
          <w14:ligatures w14:val="none"/>
        </w:rPr>
      </w:pPr>
      <w:r w:rsidRPr="00FC63E2">
        <w:rPr>
          <w:rFonts w:eastAsia="Times New Roman" w:cstheme="minorHAnsi"/>
          <w:kern w:val="0"/>
          <w:sz w:val="28"/>
          <w:szCs w:val="28"/>
          <w:lang w:eastAsia="en-GB"/>
          <w14:ligatures w14:val="none"/>
        </w:rPr>
        <w:t>Article 3 of the United Nations Convention on the Rights of the Child (UNCRC) asserts that the best interests of the child must be a primary consideration in all actions affecting them (</w:t>
      </w:r>
      <w:r w:rsidRPr="00FC63E2">
        <w:rPr>
          <w:rFonts w:cstheme="minorHAnsi"/>
          <w:color w:val="222222"/>
          <w:sz w:val="28"/>
          <w:szCs w:val="28"/>
          <w:shd w:val="clear" w:color="auto" w:fill="FFFFFF"/>
        </w:rPr>
        <w:t xml:space="preserve">Nwachukwu, I, 2023). </w:t>
      </w:r>
      <w:r w:rsidRPr="00FC63E2">
        <w:rPr>
          <w:rFonts w:eastAsia="Times New Roman" w:cstheme="minorHAnsi"/>
          <w:kern w:val="0"/>
          <w:sz w:val="28"/>
          <w:szCs w:val="28"/>
          <w:lang w:eastAsia="en-GB"/>
          <w14:ligatures w14:val="none"/>
        </w:rPr>
        <w:t>This principle</w:t>
      </w:r>
      <w:r w:rsidR="007616BB" w:rsidRPr="00FC63E2">
        <w:rPr>
          <w:rFonts w:eastAsia="Times New Roman" w:cstheme="minorHAnsi"/>
          <w:kern w:val="0"/>
          <w:sz w:val="28"/>
          <w:szCs w:val="28"/>
          <w:lang w:eastAsia="en-GB"/>
          <w14:ligatures w14:val="none"/>
        </w:rPr>
        <w:t xml:space="preserve"> is</w:t>
      </w:r>
      <w:r w:rsidRPr="00FC63E2">
        <w:rPr>
          <w:rFonts w:eastAsia="Times New Roman" w:cstheme="minorHAnsi"/>
          <w:kern w:val="0"/>
          <w:sz w:val="28"/>
          <w:szCs w:val="28"/>
          <w:lang w:eastAsia="en-GB"/>
          <w14:ligatures w14:val="none"/>
        </w:rPr>
        <w:t xml:space="preserve"> the foundation for policies and laws designed to safeguard children's welfare and development, ensuring that decisions made by parents, authorities, and the state </w:t>
      </w:r>
      <w:r w:rsidR="007616BB" w:rsidRPr="00FC63E2">
        <w:rPr>
          <w:rFonts w:eastAsia="Times New Roman" w:cstheme="minorHAnsi"/>
          <w:kern w:val="0"/>
          <w:sz w:val="28"/>
          <w:szCs w:val="28"/>
          <w:lang w:eastAsia="en-GB"/>
          <w14:ligatures w14:val="none"/>
        </w:rPr>
        <w:t>prioritise</w:t>
      </w:r>
      <w:r w:rsidRPr="00FC63E2">
        <w:rPr>
          <w:rFonts w:eastAsia="Times New Roman" w:cstheme="minorHAnsi"/>
          <w:kern w:val="0"/>
          <w:sz w:val="28"/>
          <w:szCs w:val="28"/>
          <w:lang w:eastAsia="en-GB"/>
          <w14:ligatures w14:val="none"/>
        </w:rPr>
        <w:t xml:space="preserve"> the child’s well-being</w:t>
      </w:r>
      <w:r w:rsidR="007616BB" w:rsidRPr="00FC63E2">
        <w:rPr>
          <w:rFonts w:eastAsia="Times New Roman" w:cstheme="minorHAnsi"/>
          <w:kern w:val="0"/>
          <w:sz w:val="28"/>
          <w:szCs w:val="28"/>
          <w:lang w:eastAsia="en-GB"/>
          <w14:ligatures w14:val="none"/>
        </w:rPr>
        <w:t xml:space="preserve"> (</w:t>
      </w:r>
      <w:proofErr w:type="spellStart"/>
      <w:r w:rsidR="007616BB" w:rsidRPr="00FC63E2">
        <w:rPr>
          <w:rFonts w:eastAsia="Times New Roman" w:cstheme="minorHAnsi"/>
          <w:kern w:val="0"/>
          <w:sz w:val="28"/>
          <w:szCs w:val="28"/>
          <w:lang w:eastAsia="en-GB"/>
          <w14:ligatures w14:val="none"/>
        </w:rPr>
        <w:t>Krutzinna</w:t>
      </w:r>
      <w:proofErr w:type="spellEnd"/>
      <w:r w:rsidR="007616BB" w:rsidRPr="00FC63E2">
        <w:rPr>
          <w:rFonts w:eastAsia="Times New Roman" w:cstheme="minorHAnsi"/>
          <w:kern w:val="0"/>
          <w:sz w:val="28"/>
          <w:szCs w:val="28"/>
          <w:lang w:eastAsia="en-GB"/>
          <w14:ligatures w14:val="none"/>
        </w:rPr>
        <w:t>, 2022)</w:t>
      </w:r>
      <w:r w:rsidRPr="00FC63E2">
        <w:rPr>
          <w:rFonts w:eastAsia="Times New Roman" w:cstheme="minorHAnsi"/>
          <w:kern w:val="0"/>
          <w:sz w:val="28"/>
          <w:szCs w:val="28"/>
          <w:lang w:eastAsia="en-GB"/>
          <w14:ligatures w14:val="none"/>
        </w:rPr>
        <w:t xml:space="preserve">. </w:t>
      </w:r>
      <w:r w:rsidR="008F68DA" w:rsidRPr="00FC63E2">
        <w:rPr>
          <w:rFonts w:eastAsia="Times New Roman" w:cstheme="minorHAnsi"/>
          <w:kern w:val="0"/>
          <w:sz w:val="28"/>
          <w:szCs w:val="28"/>
          <w:lang w:eastAsia="en-GB"/>
          <w14:ligatures w14:val="none"/>
        </w:rPr>
        <w:t xml:space="preserve"> </w:t>
      </w:r>
    </w:p>
    <w:p w14:paraId="3882D36F" w14:textId="5F10FC88" w:rsidR="00545518" w:rsidRPr="00FC63E2" w:rsidRDefault="00545518" w:rsidP="00545518">
      <w:pPr>
        <w:spacing w:before="100" w:beforeAutospacing="1" w:after="100" w:afterAutospacing="1" w:line="240" w:lineRule="auto"/>
        <w:rPr>
          <w:rFonts w:eastAsia="Times New Roman" w:cstheme="minorHAnsi"/>
          <w:color w:val="000000" w:themeColor="text1"/>
          <w:kern w:val="0"/>
          <w:sz w:val="28"/>
          <w:szCs w:val="28"/>
          <w:lang w:eastAsia="en-GB"/>
          <w14:ligatures w14:val="none"/>
        </w:rPr>
      </w:pPr>
      <w:r w:rsidRPr="00FC63E2">
        <w:rPr>
          <w:rFonts w:eastAsia="Times New Roman" w:cstheme="minorHAnsi"/>
          <w:color w:val="000000" w:themeColor="text1"/>
          <w:kern w:val="0"/>
          <w:sz w:val="28"/>
          <w:szCs w:val="28"/>
          <w:lang w:eastAsia="en-GB"/>
          <w14:ligatures w14:val="none"/>
        </w:rPr>
        <w:t>In Wales, this commitment is evident in the legal and social policies that aim to protect children and uphold their rights.</w:t>
      </w:r>
      <w:r w:rsidR="008F68DA" w:rsidRPr="00FC63E2">
        <w:rPr>
          <w:rFonts w:eastAsia="Times New Roman" w:cstheme="minorHAnsi"/>
          <w:color w:val="000000" w:themeColor="text1"/>
          <w:kern w:val="0"/>
          <w:sz w:val="28"/>
          <w:szCs w:val="28"/>
          <w:lang w:eastAsia="en-GB"/>
          <w14:ligatures w14:val="none"/>
        </w:rPr>
        <w:t xml:space="preserve"> </w:t>
      </w:r>
      <w:r w:rsidRPr="00FC63E2">
        <w:rPr>
          <w:rFonts w:eastAsia="Times New Roman" w:cstheme="minorHAnsi"/>
          <w:kern w:val="0"/>
          <w:sz w:val="28"/>
          <w:szCs w:val="28"/>
          <w:lang w:eastAsia="en-GB"/>
          <w14:ligatures w14:val="none"/>
        </w:rPr>
        <w:t>A significant example of Wales leading the way in child protection is the Children (Wales) Act 2020, which made Wales the first country in the UK to make physical punishment of children illegal</w:t>
      </w:r>
      <w:r w:rsidR="008F68DA" w:rsidRPr="00FC63E2">
        <w:rPr>
          <w:rFonts w:eastAsia="Times New Roman" w:cstheme="minorHAnsi"/>
          <w:kern w:val="0"/>
          <w:sz w:val="28"/>
          <w:szCs w:val="28"/>
          <w:lang w:eastAsia="en-GB"/>
          <w14:ligatures w14:val="none"/>
        </w:rPr>
        <w:t xml:space="preserve"> (Rowland, 2025).</w:t>
      </w:r>
      <w:r w:rsidRPr="00FC63E2">
        <w:rPr>
          <w:rFonts w:eastAsia="Times New Roman" w:cstheme="minorHAnsi"/>
          <w:kern w:val="0"/>
          <w:sz w:val="28"/>
          <w:szCs w:val="28"/>
          <w:lang w:eastAsia="en-GB"/>
          <w14:ligatures w14:val="none"/>
        </w:rPr>
        <w:t xml:space="preserve"> Effective from March 2022, this legislation prohibits the physical chastisement of children, ensuring that their right to be protected from violence is firmly upheld</w:t>
      </w:r>
      <w:r w:rsidR="008F68DA" w:rsidRPr="00FC63E2">
        <w:rPr>
          <w:rFonts w:eastAsia="Times New Roman" w:cstheme="minorHAnsi"/>
          <w:kern w:val="0"/>
          <w:sz w:val="28"/>
          <w:szCs w:val="28"/>
          <w:lang w:eastAsia="en-GB"/>
          <w14:ligatures w14:val="none"/>
        </w:rPr>
        <w:t xml:space="preserve">. </w:t>
      </w:r>
      <w:r w:rsidRPr="00FC63E2">
        <w:rPr>
          <w:rFonts w:eastAsia="Times New Roman" w:cstheme="minorHAnsi"/>
          <w:kern w:val="0"/>
          <w:sz w:val="28"/>
          <w:szCs w:val="28"/>
          <w:lang w:eastAsia="en-GB"/>
          <w14:ligatures w14:val="none"/>
        </w:rPr>
        <w:t xml:space="preserve">This reform directly reflects the ethos of Article 3, which </w:t>
      </w:r>
      <w:r w:rsidR="008F68DA" w:rsidRPr="00FC63E2">
        <w:rPr>
          <w:rFonts w:eastAsia="Times New Roman" w:cstheme="minorHAnsi"/>
          <w:kern w:val="0"/>
          <w:sz w:val="28"/>
          <w:szCs w:val="28"/>
          <w:lang w:eastAsia="en-GB"/>
          <w14:ligatures w14:val="none"/>
        </w:rPr>
        <w:t>emphasises</w:t>
      </w:r>
      <w:r w:rsidRPr="00FC63E2">
        <w:rPr>
          <w:rFonts w:eastAsia="Times New Roman" w:cstheme="minorHAnsi"/>
          <w:kern w:val="0"/>
          <w:sz w:val="28"/>
          <w:szCs w:val="28"/>
          <w:lang w:eastAsia="en-GB"/>
          <w14:ligatures w14:val="none"/>
        </w:rPr>
        <w:t xml:space="preserve"> that children should be nurtured in environments free from harm and violence, reinforcing their dignity and rights</w:t>
      </w:r>
      <w:r w:rsidR="008F68DA" w:rsidRPr="00FC63E2">
        <w:rPr>
          <w:rFonts w:eastAsia="Times New Roman" w:cstheme="minorHAnsi"/>
          <w:kern w:val="0"/>
          <w:sz w:val="28"/>
          <w:szCs w:val="28"/>
          <w:lang w:eastAsia="en-GB"/>
          <w14:ligatures w14:val="none"/>
        </w:rPr>
        <w:t xml:space="preserve"> (GOV. WALES, 2022).</w:t>
      </w:r>
    </w:p>
    <w:p w14:paraId="0DF6171A" w14:textId="7EA1505C" w:rsidR="00545518" w:rsidRPr="00FC63E2" w:rsidRDefault="00545518" w:rsidP="00545518">
      <w:pPr>
        <w:spacing w:before="100" w:beforeAutospacing="1" w:after="100" w:afterAutospacing="1" w:line="240" w:lineRule="auto"/>
        <w:rPr>
          <w:rFonts w:eastAsia="Times New Roman" w:cstheme="minorHAnsi"/>
          <w:kern w:val="0"/>
          <w:sz w:val="28"/>
          <w:szCs w:val="28"/>
          <w:lang w:eastAsia="en-GB"/>
          <w14:ligatures w14:val="none"/>
        </w:rPr>
      </w:pPr>
      <w:r w:rsidRPr="00FC63E2">
        <w:rPr>
          <w:rFonts w:eastAsia="Times New Roman" w:cstheme="minorHAnsi"/>
          <w:kern w:val="0"/>
          <w:sz w:val="28"/>
          <w:szCs w:val="28"/>
          <w:lang w:eastAsia="en-GB"/>
          <w14:ligatures w14:val="none"/>
        </w:rPr>
        <w:t xml:space="preserve">Wales continues to protect and promote children’s welfare, ensuring that decisions affecting them are always made with their safety, health, and development </w:t>
      </w:r>
      <w:r w:rsidR="00F33F5D" w:rsidRPr="00FC63E2">
        <w:rPr>
          <w:rFonts w:eastAsia="Times New Roman" w:cstheme="minorHAnsi"/>
          <w:kern w:val="0"/>
          <w:sz w:val="28"/>
          <w:szCs w:val="28"/>
          <w:lang w:eastAsia="en-GB"/>
          <w14:ligatures w14:val="none"/>
        </w:rPr>
        <w:t>in mind. Removing physical punishment is a vital step toward aligning laws with international standards, demonstrating how the child's best interests</w:t>
      </w:r>
      <w:r w:rsidRPr="00FC63E2">
        <w:rPr>
          <w:rFonts w:eastAsia="Times New Roman" w:cstheme="minorHAnsi"/>
          <w:kern w:val="0"/>
          <w:sz w:val="28"/>
          <w:szCs w:val="28"/>
          <w:lang w:eastAsia="en-GB"/>
          <w14:ligatures w14:val="none"/>
        </w:rPr>
        <w:t xml:space="preserve"> can shape progressive</w:t>
      </w:r>
      <w:r w:rsidR="00F33F5D" w:rsidRPr="00FC63E2">
        <w:rPr>
          <w:rFonts w:eastAsia="Times New Roman" w:cstheme="minorHAnsi"/>
          <w:kern w:val="0"/>
          <w:sz w:val="28"/>
          <w:szCs w:val="28"/>
          <w:lang w:eastAsia="en-GB"/>
          <w14:ligatures w14:val="none"/>
        </w:rPr>
        <w:t xml:space="preserve"> and</w:t>
      </w:r>
      <w:r w:rsidRPr="00FC63E2">
        <w:rPr>
          <w:rFonts w:eastAsia="Times New Roman" w:cstheme="minorHAnsi"/>
          <w:kern w:val="0"/>
          <w:sz w:val="28"/>
          <w:szCs w:val="28"/>
          <w:lang w:eastAsia="en-GB"/>
          <w14:ligatures w14:val="none"/>
        </w:rPr>
        <w:t xml:space="preserve"> protective policies</w:t>
      </w:r>
      <w:r w:rsidR="008F68DA" w:rsidRPr="00FC63E2">
        <w:rPr>
          <w:rFonts w:eastAsia="Times New Roman" w:cstheme="minorHAnsi"/>
          <w:kern w:val="0"/>
          <w:sz w:val="28"/>
          <w:szCs w:val="28"/>
          <w:lang w:eastAsia="en-GB"/>
          <w14:ligatures w14:val="none"/>
        </w:rPr>
        <w:t xml:space="preserve"> (GOV. WALES, 2019).</w:t>
      </w:r>
    </w:p>
    <w:p w14:paraId="1090DFFC" w14:textId="77777777" w:rsidR="00F33F5D" w:rsidRPr="00FC63E2" w:rsidRDefault="00F33F5D" w:rsidP="00545518">
      <w:pPr>
        <w:spacing w:before="100" w:beforeAutospacing="1" w:after="100" w:afterAutospacing="1" w:line="240" w:lineRule="auto"/>
        <w:rPr>
          <w:rFonts w:eastAsia="Times New Roman" w:cstheme="minorHAnsi"/>
          <w:kern w:val="0"/>
          <w:sz w:val="28"/>
          <w:szCs w:val="28"/>
          <w:lang w:eastAsia="en-GB"/>
          <w14:ligatures w14:val="none"/>
        </w:rPr>
      </w:pPr>
    </w:p>
    <w:p w14:paraId="51F06408" w14:textId="77777777" w:rsidR="00F33F5D" w:rsidRPr="00FC63E2" w:rsidRDefault="00F33F5D" w:rsidP="00545518">
      <w:pPr>
        <w:spacing w:before="100" w:beforeAutospacing="1" w:after="100" w:afterAutospacing="1" w:line="240" w:lineRule="auto"/>
        <w:rPr>
          <w:rFonts w:eastAsia="Times New Roman" w:cstheme="minorHAnsi"/>
          <w:kern w:val="0"/>
          <w:sz w:val="28"/>
          <w:szCs w:val="28"/>
          <w:lang w:eastAsia="en-GB"/>
          <w14:ligatures w14:val="none"/>
        </w:rPr>
      </w:pPr>
    </w:p>
    <w:p w14:paraId="718166D7" w14:textId="77777777" w:rsidR="00F33F5D" w:rsidRPr="00FC63E2" w:rsidRDefault="00F33F5D" w:rsidP="00545518">
      <w:pPr>
        <w:spacing w:before="100" w:beforeAutospacing="1" w:after="100" w:afterAutospacing="1" w:line="240" w:lineRule="auto"/>
        <w:rPr>
          <w:rFonts w:eastAsia="Times New Roman" w:cstheme="minorHAnsi"/>
          <w:kern w:val="0"/>
          <w:sz w:val="28"/>
          <w:szCs w:val="28"/>
          <w:lang w:eastAsia="en-GB"/>
          <w14:ligatures w14:val="none"/>
        </w:rPr>
      </w:pPr>
    </w:p>
    <w:p w14:paraId="6EE01759" w14:textId="77777777" w:rsidR="00F33F5D" w:rsidRPr="00FC63E2" w:rsidRDefault="00F33F5D" w:rsidP="00545518">
      <w:pPr>
        <w:spacing w:before="100" w:beforeAutospacing="1" w:after="100" w:afterAutospacing="1" w:line="240" w:lineRule="auto"/>
        <w:rPr>
          <w:rFonts w:eastAsia="Times New Roman" w:cstheme="minorHAnsi"/>
          <w:kern w:val="0"/>
          <w:sz w:val="28"/>
          <w:szCs w:val="28"/>
          <w:lang w:eastAsia="en-GB"/>
          <w14:ligatures w14:val="none"/>
        </w:rPr>
      </w:pPr>
    </w:p>
    <w:p w14:paraId="00D46F97" w14:textId="73F6E3F3" w:rsidR="00F33F5D" w:rsidRPr="00FC63E2" w:rsidRDefault="00F33F5D" w:rsidP="00FC63E2">
      <w:pPr>
        <w:pStyle w:val="ListParagraph"/>
        <w:numPr>
          <w:ilvl w:val="0"/>
          <w:numId w:val="2"/>
        </w:numPr>
        <w:spacing w:before="100" w:beforeAutospacing="1" w:after="100" w:afterAutospacing="1" w:line="240" w:lineRule="auto"/>
        <w:rPr>
          <w:rFonts w:eastAsia="Times New Roman" w:cstheme="minorHAnsi"/>
          <w:b/>
          <w:bCs/>
          <w:kern w:val="0"/>
          <w:sz w:val="28"/>
          <w:szCs w:val="28"/>
          <w:lang w:eastAsia="en-GB"/>
          <w14:ligatures w14:val="none"/>
        </w:rPr>
      </w:pPr>
      <w:r w:rsidRPr="00FC63E2">
        <w:rPr>
          <w:rFonts w:eastAsia="Times New Roman" w:cstheme="minorHAnsi"/>
          <w:b/>
          <w:bCs/>
          <w:kern w:val="0"/>
          <w:sz w:val="28"/>
          <w:szCs w:val="28"/>
          <w:lang w:eastAsia="en-GB"/>
          <w14:ligatures w14:val="none"/>
        </w:rPr>
        <w:t>L</w:t>
      </w:r>
      <w:r w:rsidR="00FC63E2">
        <w:rPr>
          <w:rFonts w:eastAsia="Times New Roman" w:cstheme="minorHAnsi"/>
          <w:b/>
          <w:bCs/>
          <w:kern w:val="0"/>
          <w:sz w:val="28"/>
          <w:szCs w:val="28"/>
          <w:lang w:eastAsia="en-GB"/>
          <w14:ligatures w14:val="none"/>
        </w:rPr>
        <w:t>EGISLATION TIMELINE</w:t>
      </w:r>
    </w:p>
    <w:p w14:paraId="0CBFA02A" w14:textId="5A987213" w:rsidR="00F33F5D" w:rsidRPr="00FC63E2" w:rsidRDefault="00F33F5D" w:rsidP="00455307">
      <w:pPr>
        <w:spacing w:after="0" w:line="240" w:lineRule="auto"/>
        <w:rPr>
          <w:rFonts w:eastAsia="Times New Roman" w:cstheme="minorHAnsi"/>
          <w:kern w:val="0"/>
          <w:sz w:val="28"/>
          <w:szCs w:val="28"/>
          <w:lang w:eastAsia="en-GB"/>
          <w14:ligatures w14:val="none"/>
        </w:rPr>
      </w:pPr>
    </w:p>
    <w:p w14:paraId="272CB012" w14:textId="77777777" w:rsidR="00B27B3D" w:rsidRPr="00FC63E2" w:rsidRDefault="00B27B3D" w:rsidP="00B27B3D">
      <w:pPr>
        <w:spacing w:before="100" w:beforeAutospacing="1" w:after="100" w:afterAutospacing="1" w:line="240" w:lineRule="auto"/>
        <w:outlineLvl w:val="1"/>
        <w:rPr>
          <w:rFonts w:eastAsia="Times New Roman" w:cstheme="minorHAnsi"/>
          <w:b/>
          <w:bCs/>
          <w:kern w:val="0"/>
          <w:sz w:val="28"/>
          <w:szCs w:val="28"/>
          <w:lang w:eastAsia="en-GB"/>
          <w14:ligatures w14:val="none"/>
        </w:rPr>
      </w:pPr>
      <w:r w:rsidRPr="00FC63E2">
        <w:rPr>
          <w:rFonts w:eastAsia="Times New Roman" w:cstheme="minorHAnsi"/>
          <w:b/>
          <w:bCs/>
          <w:kern w:val="0"/>
          <w:sz w:val="28"/>
          <w:szCs w:val="28"/>
          <w:lang w:eastAsia="en-GB"/>
          <w14:ligatures w14:val="none"/>
        </w:rPr>
        <w:t>Timeline of Safeguarding Legislation: 1960s–2020s</w:t>
      </w:r>
    </w:p>
    <w:p w14:paraId="786B769B" w14:textId="77777777" w:rsidR="00B27B3D" w:rsidRPr="00FC63E2" w:rsidRDefault="00B27B3D" w:rsidP="00B27B3D">
      <w:pPr>
        <w:spacing w:before="100" w:beforeAutospacing="1" w:after="100" w:afterAutospacing="1" w:line="240" w:lineRule="auto"/>
        <w:rPr>
          <w:rFonts w:eastAsia="Times New Roman" w:cstheme="minorHAnsi"/>
          <w:kern w:val="0"/>
          <w:sz w:val="28"/>
          <w:szCs w:val="28"/>
          <w:lang w:eastAsia="en-GB"/>
          <w14:ligatures w14:val="none"/>
        </w:rPr>
      </w:pPr>
      <w:r w:rsidRPr="00FC63E2">
        <w:rPr>
          <w:rFonts w:eastAsia="Times New Roman" w:cstheme="minorHAnsi"/>
          <w:kern w:val="0"/>
          <w:sz w:val="28"/>
          <w:szCs w:val="28"/>
          <w:lang w:eastAsia="en-GB"/>
          <w14:ligatures w14:val="none"/>
        </w:rPr>
        <w:t>Over the last six decades, safeguarding legislation across the UK and Wales has evolved significantly to promote the welfare of children, young people, and families. Below is a timeline detailing key legislative developments, how they govern and impact children and families, and an evaluation of their effectiveness.</w:t>
      </w:r>
    </w:p>
    <w:p w14:paraId="433DF887" w14:textId="3880133A" w:rsidR="00B27B3D" w:rsidRPr="00FC63E2" w:rsidRDefault="00B27B3D" w:rsidP="009019CA">
      <w:pPr>
        <w:spacing w:after="0" w:line="240" w:lineRule="auto"/>
        <w:rPr>
          <w:rFonts w:eastAsia="Times New Roman" w:cstheme="minorHAnsi"/>
          <w:b/>
          <w:bCs/>
          <w:kern w:val="0"/>
          <w:sz w:val="28"/>
          <w:szCs w:val="28"/>
          <w:lang w:eastAsia="en-GB"/>
          <w14:ligatures w14:val="none"/>
        </w:rPr>
      </w:pPr>
      <w:r w:rsidRPr="00FC63E2">
        <w:rPr>
          <w:rFonts w:eastAsia="Times New Roman" w:cstheme="minorHAnsi"/>
          <w:b/>
          <w:bCs/>
          <w:kern w:val="0"/>
          <w:sz w:val="28"/>
          <w:szCs w:val="28"/>
          <w:lang w:eastAsia="en-GB"/>
          <w14:ligatures w14:val="none"/>
        </w:rPr>
        <w:t>1969 – Children and Young Persons Act</w:t>
      </w:r>
    </w:p>
    <w:p w14:paraId="3B7431C1" w14:textId="246E5AAF" w:rsidR="00B27B3D" w:rsidRPr="00FC63E2" w:rsidRDefault="00B27B3D" w:rsidP="00B27B3D">
      <w:pPr>
        <w:spacing w:before="100" w:beforeAutospacing="1" w:after="100" w:afterAutospacing="1" w:line="240" w:lineRule="auto"/>
        <w:rPr>
          <w:rFonts w:eastAsia="Times New Roman" w:cstheme="minorHAnsi"/>
          <w:kern w:val="0"/>
          <w:sz w:val="28"/>
          <w:szCs w:val="28"/>
          <w:lang w:eastAsia="en-GB"/>
          <w14:ligatures w14:val="none"/>
        </w:rPr>
      </w:pPr>
      <w:r w:rsidRPr="00FC63E2">
        <w:rPr>
          <w:rFonts w:eastAsia="Times New Roman" w:cstheme="minorHAnsi"/>
          <w:kern w:val="0"/>
          <w:sz w:val="28"/>
          <w:szCs w:val="28"/>
          <w:lang w:eastAsia="en-GB"/>
          <w14:ligatures w14:val="none"/>
        </w:rPr>
        <w:t xml:space="preserve">The Children and Young Persons Act 1969 marked a significant shift in approach towards juvenile justice, prioritising welfare and rehabilitation over punishment. The Act introduced supervision and care orders as alternatives to custody for young offenders, aiming to address the social factors contributing to youth crime (Thorpe et al., 2024). Although it had progressive intentions, its effectiveness was limited by inadequate funding and inconsistent national implementation strategies. Local authorities struggled to meet expectations due to </w:t>
      </w:r>
      <w:r w:rsidR="009019CA" w:rsidRPr="00FC63E2">
        <w:rPr>
          <w:rFonts w:eastAsia="Times New Roman" w:cstheme="minorHAnsi"/>
          <w:kern w:val="0"/>
          <w:sz w:val="28"/>
          <w:szCs w:val="28"/>
          <w:lang w:eastAsia="en-GB"/>
          <w14:ligatures w14:val="none"/>
        </w:rPr>
        <w:t xml:space="preserve">a </w:t>
      </w:r>
      <w:r w:rsidRPr="00FC63E2">
        <w:rPr>
          <w:rFonts w:eastAsia="Times New Roman" w:cstheme="minorHAnsi"/>
          <w:kern w:val="0"/>
          <w:sz w:val="28"/>
          <w:szCs w:val="28"/>
          <w:lang w:eastAsia="en-GB"/>
          <w14:ligatures w14:val="none"/>
        </w:rPr>
        <w:t>lack of resources and coordination (Hopson et al., 2021). This highlighted early on that successful legislation must be matched with structural support.</w:t>
      </w:r>
    </w:p>
    <w:p w14:paraId="73A5835D" w14:textId="3899B168" w:rsidR="00B27B3D" w:rsidRPr="00FC63E2" w:rsidRDefault="00B27B3D" w:rsidP="00B27B3D">
      <w:pPr>
        <w:spacing w:after="0" w:line="240" w:lineRule="auto"/>
        <w:rPr>
          <w:rFonts w:eastAsia="Times New Roman" w:cstheme="minorHAnsi"/>
          <w:kern w:val="0"/>
          <w:sz w:val="28"/>
          <w:szCs w:val="28"/>
          <w:lang w:eastAsia="en-GB"/>
          <w14:ligatures w14:val="none"/>
        </w:rPr>
      </w:pPr>
    </w:p>
    <w:p w14:paraId="2FAD8737" w14:textId="77777777" w:rsidR="00B27B3D" w:rsidRPr="00FC63E2" w:rsidRDefault="00B27B3D" w:rsidP="00B27B3D">
      <w:pPr>
        <w:spacing w:before="100" w:beforeAutospacing="1" w:after="100" w:afterAutospacing="1" w:line="240" w:lineRule="auto"/>
        <w:outlineLvl w:val="2"/>
        <w:rPr>
          <w:rFonts w:eastAsia="Times New Roman" w:cstheme="minorHAnsi"/>
          <w:b/>
          <w:bCs/>
          <w:kern w:val="0"/>
          <w:sz w:val="28"/>
          <w:szCs w:val="28"/>
          <w:lang w:eastAsia="en-GB"/>
          <w14:ligatures w14:val="none"/>
        </w:rPr>
      </w:pPr>
      <w:r w:rsidRPr="00FC63E2">
        <w:rPr>
          <w:rFonts w:eastAsia="Times New Roman" w:cstheme="minorHAnsi"/>
          <w:b/>
          <w:bCs/>
          <w:kern w:val="0"/>
          <w:sz w:val="28"/>
          <w:szCs w:val="28"/>
          <w:lang w:eastAsia="en-GB"/>
          <w14:ligatures w14:val="none"/>
        </w:rPr>
        <w:t>1989 – Children Act</w:t>
      </w:r>
    </w:p>
    <w:p w14:paraId="2F290958" w14:textId="45E5482E" w:rsidR="00B27B3D" w:rsidRPr="00FC63E2" w:rsidRDefault="00B27B3D" w:rsidP="00B27B3D">
      <w:pPr>
        <w:spacing w:before="100" w:beforeAutospacing="1" w:after="100" w:afterAutospacing="1" w:line="240" w:lineRule="auto"/>
        <w:rPr>
          <w:rFonts w:eastAsia="Times New Roman" w:cstheme="minorHAnsi"/>
          <w:kern w:val="0"/>
          <w:sz w:val="28"/>
          <w:szCs w:val="28"/>
          <w:lang w:eastAsia="en-GB"/>
          <w14:ligatures w14:val="none"/>
        </w:rPr>
      </w:pPr>
      <w:r w:rsidRPr="00FC63E2">
        <w:rPr>
          <w:rFonts w:eastAsia="Times New Roman" w:cstheme="minorHAnsi"/>
          <w:kern w:val="0"/>
          <w:sz w:val="28"/>
          <w:szCs w:val="28"/>
          <w:lang w:eastAsia="en-GB"/>
          <w14:ligatures w14:val="none"/>
        </w:rPr>
        <w:t xml:space="preserve">The Children Act 1989 remains one of the most influential pieces of child welfare legislation. It introduced the principle that the child’s welfare is paramount and outlined clear definitions of parental responsibility. Importantly, it gave children the right to be heard in legal proceedings, </w:t>
      </w:r>
      <w:r w:rsidR="009019CA" w:rsidRPr="00FC63E2">
        <w:rPr>
          <w:rFonts w:eastAsia="Times New Roman" w:cstheme="minorHAnsi"/>
          <w:kern w:val="0"/>
          <w:sz w:val="28"/>
          <w:szCs w:val="28"/>
          <w:lang w:eastAsia="en-GB"/>
          <w14:ligatures w14:val="none"/>
        </w:rPr>
        <w:t>including</w:t>
      </w:r>
      <w:r w:rsidRPr="00FC63E2">
        <w:rPr>
          <w:rFonts w:eastAsia="Times New Roman" w:cstheme="minorHAnsi"/>
          <w:kern w:val="0"/>
          <w:sz w:val="28"/>
          <w:szCs w:val="28"/>
          <w:lang w:eastAsia="en-GB"/>
          <w14:ligatures w14:val="none"/>
        </w:rPr>
        <w:t xml:space="preserve"> their voice </w:t>
      </w:r>
      <w:r w:rsidR="009019CA" w:rsidRPr="00FC63E2">
        <w:rPr>
          <w:rFonts w:eastAsia="Times New Roman" w:cstheme="minorHAnsi"/>
          <w:kern w:val="0"/>
          <w:sz w:val="28"/>
          <w:szCs w:val="28"/>
          <w:lang w:eastAsia="en-GB"/>
          <w14:ligatures w14:val="none"/>
        </w:rPr>
        <w:t>in</w:t>
      </w:r>
      <w:r w:rsidRPr="00FC63E2">
        <w:rPr>
          <w:rFonts w:eastAsia="Times New Roman" w:cstheme="minorHAnsi"/>
          <w:kern w:val="0"/>
          <w:sz w:val="28"/>
          <w:szCs w:val="28"/>
          <w:lang w:eastAsia="en-GB"/>
          <w14:ligatures w14:val="none"/>
        </w:rPr>
        <w:t xml:space="preserve"> safeguarding practices (Helland, 2024). This Act created a </w:t>
      </w:r>
      <w:r w:rsidR="009019CA" w:rsidRPr="00FC63E2">
        <w:rPr>
          <w:rFonts w:eastAsia="Times New Roman" w:cstheme="minorHAnsi"/>
          <w:kern w:val="0"/>
          <w:sz w:val="28"/>
          <w:szCs w:val="28"/>
          <w:lang w:eastAsia="en-GB"/>
          <w14:ligatures w14:val="none"/>
        </w:rPr>
        <w:t>strong</w:t>
      </w:r>
      <w:r w:rsidRPr="00FC63E2">
        <w:rPr>
          <w:rFonts w:eastAsia="Times New Roman" w:cstheme="minorHAnsi"/>
          <w:kern w:val="0"/>
          <w:sz w:val="28"/>
          <w:szCs w:val="28"/>
          <w:lang w:eastAsia="en-GB"/>
          <w14:ligatures w14:val="none"/>
        </w:rPr>
        <w:t xml:space="preserve"> legal framework for intervention, prioritising prevention and family preservation. However, critics argue that the structural demands placed on local authority services have hindered the full realisation of these rights, resulting in unequal support for vulnerable children (Parton, 2014).</w:t>
      </w:r>
    </w:p>
    <w:p w14:paraId="54584FEE" w14:textId="080EE282" w:rsidR="00B27B3D" w:rsidRPr="00FC63E2" w:rsidRDefault="00B27B3D" w:rsidP="00B27B3D">
      <w:pPr>
        <w:spacing w:after="0" w:line="240" w:lineRule="auto"/>
        <w:rPr>
          <w:rFonts w:eastAsia="Times New Roman" w:cstheme="minorHAnsi"/>
          <w:kern w:val="0"/>
          <w:sz w:val="28"/>
          <w:szCs w:val="28"/>
          <w:lang w:eastAsia="en-GB"/>
          <w14:ligatures w14:val="none"/>
        </w:rPr>
      </w:pPr>
    </w:p>
    <w:p w14:paraId="5AFF4AEE" w14:textId="77777777" w:rsidR="00B27B3D" w:rsidRPr="00FC63E2" w:rsidRDefault="00B27B3D" w:rsidP="00B27B3D">
      <w:pPr>
        <w:spacing w:before="100" w:beforeAutospacing="1" w:after="100" w:afterAutospacing="1" w:line="240" w:lineRule="auto"/>
        <w:outlineLvl w:val="2"/>
        <w:rPr>
          <w:rFonts w:eastAsia="Times New Roman" w:cstheme="minorHAnsi"/>
          <w:b/>
          <w:bCs/>
          <w:kern w:val="0"/>
          <w:sz w:val="28"/>
          <w:szCs w:val="28"/>
          <w:lang w:eastAsia="en-GB"/>
          <w14:ligatures w14:val="none"/>
        </w:rPr>
      </w:pPr>
      <w:r w:rsidRPr="00FC63E2">
        <w:rPr>
          <w:rFonts w:eastAsia="Times New Roman" w:cstheme="minorHAnsi"/>
          <w:b/>
          <w:bCs/>
          <w:kern w:val="0"/>
          <w:sz w:val="28"/>
          <w:szCs w:val="28"/>
          <w:lang w:eastAsia="en-GB"/>
          <w14:ligatures w14:val="none"/>
        </w:rPr>
        <w:t>2004 – Children Act</w:t>
      </w:r>
    </w:p>
    <w:p w14:paraId="538E30AF" w14:textId="44631AE5" w:rsidR="00B27B3D" w:rsidRPr="00FC63E2" w:rsidRDefault="00B27B3D" w:rsidP="009019CA">
      <w:pPr>
        <w:rPr>
          <w:rFonts w:eastAsia="Times New Roman" w:cstheme="minorHAnsi"/>
          <w:kern w:val="0"/>
          <w:sz w:val="28"/>
          <w:szCs w:val="28"/>
          <w:lang w:eastAsia="en-GB"/>
          <w14:ligatures w14:val="none"/>
        </w:rPr>
      </w:pPr>
      <w:r w:rsidRPr="00FC63E2">
        <w:rPr>
          <w:rFonts w:eastAsia="Times New Roman" w:cstheme="minorHAnsi"/>
          <w:kern w:val="0"/>
          <w:sz w:val="28"/>
          <w:szCs w:val="28"/>
          <w:lang w:eastAsia="en-GB"/>
          <w14:ligatures w14:val="none"/>
        </w:rPr>
        <w:lastRenderedPageBreak/>
        <w:t xml:space="preserve">Triggered by the tragic death of Victoria Climbié, the Children Act 2004 expanded the 1989 Act and introduced systemic safeguarding reforms. It established Local Safeguarding Children Boards (LSCB) and promoted multi-agency collaboration under the Every Child Matters initiative (Laming, 2003). </w:t>
      </w:r>
      <w:r w:rsidR="009019CA" w:rsidRPr="00FC63E2">
        <w:rPr>
          <w:rFonts w:eastAsia="Times New Roman" w:cstheme="minorHAnsi"/>
          <w:kern w:val="0"/>
          <w:sz w:val="28"/>
          <w:szCs w:val="28"/>
          <w:lang w:eastAsia="en-GB"/>
          <w14:ligatures w14:val="none"/>
        </w:rPr>
        <w:t>Enforcing</w:t>
      </w:r>
      <w:r w:rsidRPr="00FC63E2">
        <w:rPr>
          <w:rFonts w:eastAsia="Times New Roman" w:cstheme="minorHAnsi"/>
          <w:kern w:val="0"/>
          <w:sz w:val="28"/>
          <w:szCs w:val="28"/>
          <w:lang w:eastAsia="en-GB"/>
          <w14:ligatures w14:val="none"/>
        </w:rPr>
        <w:t xml:space="preserve"> cooperation among education, health, and social care professionals, it encouraged holistic support for children. While the law advanced integrated services, it was criticised for diffusing focus across too many outcomes</w:t>
      </w:r>
      <w:r w:rsidR="009019CA" w:rsidRPr="00FC63E2">
        <w:rPr>
          <w:rFonts w:eastAsia="Times New Roman" w:cstheme="minorHAnsi"/>
          <w:kern w:val="0"/>
          <w:sz w:val="28"/>
          <w:szCs w:val="28"/>
          <w:lang w:eastAsia="en-GB"/>
          <w14:ligatures w14:val="none"/>
        </w:rPr>
        <w:t xml:space="preserve">, </w:t>
      </w:r>
      <w:r w:rsidRPr="00FC63E2">
        <w:rPr>
          <w:rFonts w:eastAsia="Times New Roman" w:cstheme="minorHAnsi"/>
          <w:kern w:val="0"/>
          <w:sz w:val="28"/>
          <w:szCs w:val="28"/>
          <w:lang w:eastAsia="en-GB"/>
          <w14:ligatures w14:val="none"/>
        </w:rPr>
        <w:t xml:space="preserve">potentially weakening immediate safeguarding responses (Frost and Parton, 2009). </w:t>
      </w:r>
      <w:r w:rsidR="009019CA" w:rsidRPr="00FC63E2">
        <w:rPr>
          <w:rFonts w:eastAsia="Times New Roman" w:cstheme="minorHAnsi"/>
          <w:kern w:val="0"/>
          <w:sz w:val="28"/>
          <w:szCs w:val="28"/>
          <w:lang w:eastAsia="en-GB"/>
          <w14:ligatures w14:val="none"/>
        </w:rPr>
        <w:t>However, it continues to be essential for integrating safety into professional practice.</w:t>
      </w:r>
    </w:p>
    <w:p w14:paraId="1820991D" w14:textId="77777777" w:rsidR="009019CA" w:rsidRPr="00FC63E2" w:rsidRDefault="009019CA" w:rsidP="009019CA">
      <w:pPr>
        <w:rPr>
          <w:rFonts w:eastAsia="Times New Roman" w:cstheme="minorHAnsi"/>
          <w:kern w:val="0"/>
          <w:sz w:val="28"/>
          <w:szCs w:val="28"/>
          <w:lang w:eastAsia="en-GB"/>
          <w14:ligatures w14:val="none"/>
        </w:rPr>
      </w:pPr>
    </w:p>
    <w:p w14:paraId="10EE8D3B" w14:textId="77777777" w:rsidR="00B27B3D" w:rsidRPr="00FC63E2" w:rsidRDefault="00B27B3D" w:rsidP="00B27B3D">
      <w:pPr>
        <w:spacing w:before="100" w:beforeAutospacing="1" w:after="100" w:afterAutospacing="1" w:line="240" w:lineRule="auto"/>
        <w:outlineLvl w:val="2"/>
        <w:rPr>
          <w:rFonts w:eastAsia="Times New Roman" w:cstheme="minorHAnsi"/>
          <w:b/>
          <w:bCs/>
          <w:kern w:val="0"/>
          <w:sz w:val="28"/>
          <w:szCs w:val="28"/>
          <w:lang w:eastAsia="en-GB"/>
          <w14:ligatures w14:val="none"/>
        </w:rPr>
      </w:pPr>
      <w:r w:rsidRPr="00FC63E2">
        <w:rPr>
          <w:rFonts w:eastAsia="Times New Roman" w:cstheme="minorHAnsi"/>
          <w:b/>
          <w:bCs/>
          <w:kern w:val="0"/>
          <w:sz w:val="28"/>
          <w:szCs w:val="28"/>
          <w:lang w:eastAsia="en-GB"/>
          <w14:ligatures w14:val="none"/>
        </w:rPr>
        <w:t>2006 – Safeguarding Vulnerable Groups Act</w:t>
      </w:r>
    </w:p>
    <w:p w14:paraId="2AACDA3D" w14:textId="63539EED" w:rsidR="00B27B3D" w:rsidRPr="00FC63E2" w:rsidRDefault="00B27B3D" w:rsidP="00B27B3D">
      <w:pPr>
        <w:spacing w:before="100" w:beforeAutospacing="1" w:after="100" w:afterAutospacing="1" w:line="240" w:lineRule="auto"/>
        <w:rPr>
          <w:rFonts w:eastAsia="Times New Roman" w:cstheme="minorHAnsi"/>
          <w:kern w:val="0"/>
          <w:sz w:val="28"/>
          <w:szCs w:val="28"/>
          <w:lang w:eastAsia="en-GB"/>
          <w14:ligatures w14:val="none"/>
        </w:rPr>
      </w:pPr>
      <w:r w:rsidRPr="00FC63E2">
        <w:rPr>
          <w:rFonts w:eastAsia="Times New Roman" w:cstheme="minorHAnsi"/>
          <w:kern w:val="0"/>
          <w:sz w:val="28"/>
          <w:szCs w:val="28"/>
          <w:lang w:eastAsia="en-GB"/>
          <w14:ligatures w14:val="none"/>
        </w:rPr>
        <w:t xml:space="preserve">The Safeguarding Vulnerable Groups Act 2006 introduced a vetting and barring system to prevent unsuitable individuals from working with children and vulnerable adults. It led to the creation of the Independent Safeguarding Authority, </w:t>
      </w:r>
      <w:r w:rsidR="009019CA" w:rsidRPr="00FC63E2">
        <w:rPr>
          <w:rFonts w:eastAsia="Times New Roman" w:cstheme="minorHAnsi"/>
          <w:kern w:val="0"/>
          <w:sz w:val="28"/>
          <w:szCs w:val="28"/>
          <w:lang w:eastAsia="en-GB"/>
          <w14:ligatures w14:val="none"/>
        </w:rPr>
        <w:t>which</w:t>
      </w:r>
      <w:r w:rsidRPr="00FC63E2">
        <w:rPr>
          <w:rFonts w:eastAsia="Times New Roman" w:cstheme="minorHAnsi"/>
          <w:kern w:val="0"/>
          <w:sz w:val="28"/>
          <w:szCs w:val="28"/>
          <w:lang w:eastAsia="en-GB"/>
          <w14:ligatures w14:val="none"/>
        </w:rPr>
        <w:t xml:space="preserve"> merged into the Disclosure and Barring Service (DBS) (Cleary, 2012). The Act requires organisations to refer individuals who </w:t>
      </w:r>
      <w:r w:rsidR="009019CA" w:rsidRPr="00FC63E2">
        <w:rPr>
          <w:rFonts w:eastAsia="Times New Roman" w:cstheme="minorHAnsi"/>
          <w:kern w:val="0"/>
          <w:sz w:val="28"/>
          <w:szCs w:val="28"/>
          <w:lang w:eastAsia="en-GB"/>
          <w14:ligatures w14:val="none"/>
        </w:rPr>
        <w:t>pose</w:t>
      </w:r>
      <w:r w:rsidRPr="00FC63E2">
        <w:rPr>
          <w:rFonts w:eastAsia="Times New Roman" w:cstheme="minorHAnsi"/>
          <w:kern w:val="0"/>
          <w:sz w:val="28"/>
          <w:szCs w:val="28"/>
          <w:lang w:eastAsia="en-GB"/>
          <w14:ligatures w14:val="none"/>
        </w:rPr>
        <w:t xml:space="preserve"> a safeguarding risk to the DBS, which maintains barred lists (Law Wales, 2021). The legislation significantly improved pre-employment safeguarding checks and professional accountability. However, there remain concerns about delays in checks and the clarity of referral procedures across sectors.</w:t>
      </w:r>
    </w:p>
    <w:p w14:paraId="443D2CC7" w14:textId="77777777" w:rsidR="00B27B3D" w:rsidRPr="00FC63E2" w:rsidRDefault="00000000" w:rsidP="00B27B3D">
      <w:pPr>
        <w:spacing w:after="0" w:line="240" w:lineRule="auto"/>
        <w:rPr>
          <w:rFonts w:eastAsia="Times New Roman" w:cstheme="minorHAnsi"/>
          <w:kern w:val="0"/>
          <w:sz w:val="28"/>
          <w:szCs w:val="28"/>
          <w:lang w:eastAsia="en-GB"/>
          <w14:ligatures w14:val="none"/>
        </w:rPr>
      </w:pPr>
      <w:r>
        <w:rPr>
          <w:rFonts w:eastAsia="Times New Roman" w:cstheme="minorHAnsi"/>
          <w:kern w:val="0"/>
          <w:sz w:val="28"/>
          <w:szCs w:val="28"/>
          <w:lang w:eastAsia="en-GB"/>
          <w14:ligatures w14:val="none"/>
        </w:rPr>
        <w:pict w14:anchorId="1411F269">
          <v:rect id="_x0000_i1025" style="width:0;height:1.5pt" o:hralign="center" o:hrstd="t" o:hr="t" fillcolor="#a0a0a0" stroked="f"/>
        </w:pict>
      </w:r>
    </w:p>
    <w:p w14:paraId="79EBA73B" w14:textId="145E1734" w:rsidR="00B27B3D" w:rsidRPr="00FC63E2" w:rsidRDefault="00B27B3D" w:rsidP="00B27B3D">
      <w:pPr>
        <w:spacing w:before="100" w:beforeAutospacing="1" w:after="100" w:afterAutospacing="1" w:line="240" w:lineRule="auto"/>
        <w:outlineLvl w:val="2"/>
        <w:rPr>
          <w:rFonts w:eastAsia="Times New Roman" w:cstheme="minorHAnsi"/>
          <w:b/>
          <w:bCs/>
          <w:kern w:val="0"/>
          <w:sz w:val="28"/>
          <w:szCs w:val="28"/>
          <w:lang w:eastAsia="en-GB"/>
          <w14:ligatures w14:val="none"/>
        </w:rPr>
      </w:pPr>
      <w:r w:rsidRPr="00FC63E2">
        <w:rPr>
          <w:rFonts w:eastAsia="Times New Roman" w:cstheme="minorHAnsi"/>
          <w:b/>
          <w:bCs/>
          <w:kern w:val="0"/>
          <w:sz w:val="28"/>
          <w:szCs w:val="28"/>
          <w:lang w:eastAsia="en-GB"/>
          <w14:ligatures w14:val="none"/>
        </w:rPr>
        <w:t xml:space="preserve">2014 – Children </w:t>
      </w:r>
      <w:r w:rsidR="0065052D" w:rsidRPr="00FC63E2">
        <w:rPr>
          <w:rFonts w:eastAsia="Times New Roman" w:cstheme="minorHAnsi"/>
          <w:b/>
          <w:bCs/>
          <w:kern w:val="0"/>
          <w:sz w:val="28"/>
          <w:szCs w:val="28"/>
          <w:lang w:eastAsia="en-GB"/>
          <w14:ligatures w14:val="none"/>
        </w:rPr>
        <w:t xml:space="preserve"> </w:t>
      </w:r>
    </w:p>
    <w:p w14:paraId="607B7393" w14:textId="5D0E8B20" w:rsidR="00B27B3D" w:rsidRPr="00FC63E2" w:rsidRDefault="00B27B3D" w:rsidP="00B27B3D">
      <w:pPr>
        <w:spacing w:before="100" w:beforeAutospacing="1" w:after="100" w:afterAutospacing="1" w:line="240" w:lineRule="auto"/>
        <w:rPr>
          <w:rFonts w:eastAsia="Times New Roman" w:cstheme="minorHAnsi"/>
          <w:kern w:val="0"/>
          <w:sz w:val="28"/>
          <w:szCs w:val="28"/>
          <w:lang w:eastAsia="en-GB"/>
          <w14:ligatures w14:val="none"/>
        </w:rPr>
      </w:pPr>
      <w:r w:rsidRPr="00FC63E2">
        <w:rPr>
          <w:rFonts w:eastAsia="Times New Roman" w:cstheme="minorHAnsi"/>
          <w:kern w:val="0"/>
          <w:sz w:val="28"/>
          <w:szCs w:val="28"/>
          <w:lang w:eastAsia="en-GB"/>
          <w14:ligatures w14:val="none"/>
        </w:rPr>
        <w:t xml:space="preserve">The Children and Families Act 2014 made sweeping reforms to adoption, family justice, and support for children with Special Educational Needs and Disabilities (SEND). Its introduction of Education, Health and Care Plans (EHCP) aimed to offer integrated, individualised support across services (GOV.UK, 2014). While the legislation was progressive in intent, its implementation has been </w:t>
      </w:r>
      <w:r w:rsidR="00BD4650" w:rsidRPr="00FC63E2">
        <w:rPr>
          <w:rFonts w:eastAsia="Times New Roman" w:cstheme="minorHAnsi"/>
          <w:kern w:val="0"/>
          <w:sz w:val="28"/>
          <w:szCs w:val="28"/>
          <w:lang w:eastAsia="en-GB"/>
          <w14:ligatures w14:val="none"/>
        </w:rPr>
        <w:t>hampered</w:t>
      </w:r>
      <w:r w:rsidRPr="00FC63E2">
        <w:rPr>
          <w:rFonts w:eastAsia="Times New Roman" w:cstheme="minorHAnsi"/>
          <w:kern w:val="0"/>
          <w:sz w:val="28"/>
          <w:szCs w:val="28"/>
          <w:lang w:eastAsia="en-GB"/>
          <w14:ligatures w14:val="none"/>
        </w:rPr>
        <w:t xml:space="preserve"> by delays, underfunding, and inconsistent service delivery (Kilkelly, 2016). As a result, many families still struggle to access timely and effective support, especially in regions with overstretched local authorities.</w:t>
      </w:r>
    </w:p>
    <w:p w14:paraId="7B0DB307" w14:textId="77777777" w:rsidR="00B27B3D" w:rsidRPr="00FC63E2" w:rsidRDefault="00000000" w:rsidP="00B27B3D">
      <w:pPr>
        <w:spacing w:after="0" w:line="240" w:lineRule="auto"/>
        <w:rPr>
          <w:rFonts w:eastAsia="Times New Roman" w:cstheme="minorHAnsi"/>
          <w:kern w:val="0"/>
          <w:sz w:val="28"/>
          <w:szCs w:val="28"/>
          <w:lang w:eastAsia="en-GB"/>
          <w14:ligatures w14:val="none"/>
        </w:rPr>
      </w:pPr>
      <w:r>
        <w:rPr>
          <w:rFonts w:eastAsia="Times New Roman" w:cstheme="minorHAnsi"/>
          <w:kern w:val="0"/>
          <w:sz w:val="28"/>
          <w:szCs w:val="28"/>
          <w:lang w:eastAsia="en-GB"/>
          <w14:ligatures w14:val="none"/>
        </w:rPr>
        <w:pict w14:anchorId="0F8D6550">
          <v:rect id="_x0000_i1026" style="width:0;height:1.5pt" o:hralign="center" o:hrstd="t" o:hr="t" fillcolor="#a0a0a0" stroked="f"/>
        </w:pict>
      </w:r>
    </w:p>
    <w:p w14:paraId="579A1192" w14:textId="77777777" w:rsidR="00B27B3D" w:rsidRPr="00FC63E2" w:rsidRDefault="00B27B3D" w:rsidP="00B27B3D">
      <w:pPr>
        <w:spacing w:before="100" w:beforeAutospacing="1" w:after="100" w:afterAutospacing="1" w:line="240" w:lineRule="auto"/>
        <w:outlineLvl w:val="2"/>
        <w:rPr>
          <w:rFonts w:eastAsia="Times New Roman" w:cstheme="minorHAnsi"/>
          <w:b/>
          <w:bCs/>
          <w:kern w:val="0"/>
          <w:sz w:val="28"/>
          <w:szCs w:val="28"/>
          <w:lang w:eastAsia="en-GB"/>
          <w14:ligatures w14:val="none"/>
        </w:rPr>
      </w:pPr>
      <w:r w:rsidRPr="00FC63E2">
        <w:rPr>
          <w:rFonts w:eastAsia="Times New Roman" w:cstheme="minorHAnsi"/>
          <w:b/>
          <w:bCs/>
          <w:kern w:val="0"/>
          <w:sz w:val="28"/>
          <w:szCs w:val="28"/>
          <w:lang w:eastAsia="en-GB"/>
          <w14:ligatures w14:val="none"/>
        </w:rPr>
        <w:lastRenderedPageBreak/>
        <w:t>2014 – Social Services and Well-being (Wales) Act</w:t>
      </w:r>
    </w:p>
    <w:p w14:paraId="4CA0FBF5" w14:textId="2D6CC39F" w:rsidR="00B27B3D" w:rsidRPr="00FC63E2" w:rsidRDefault="00B27B3D" w:rsidP="00B27B3D">
      <w:pPr>
        <w:spacing w:before="100" w:beforeAutospacing="1" w:after="100" w:afterAutospacing="1" w:line="240" w:lineRule="auto"/>
        <w:rPr>
          <w:rFonts w:eastAsia="Times New Roman" w:cstheme="minorHAnsi"/>
          <w:kern w:val="0"/>
          <w:sz w:val="28"/>
          <w:szCs w:val="28"/>
          <w:lang w:eastAsia="en-GB"/>
          <w14:ligatures w14:val="none"/>
        </w:rPr>
      </w:pPr>
      <w:r w:rsidRPr="00FC63E2">
        <w:rPr>
          <w:rFonts w:eastAsia="Times New Roman" w:cstheme="minorHAnsi"/>
          <w:kern w:val="0"/>
          <w:sz w:val="28"/>
          <w:szCs w:val="28"/>
          <w:lang w:eastAsia="en-GB"/>
          <w14:ligatures w14:val="none"/>
        </w:rPr>
        <w:t>The Social</w:t>
      </w:r>
      <w:r w:rsidRPr="00FC63E2">
        <w:rPr>
          <w:rFonts w:eastAsia="Times New Roman" w:cstheme="minorHAnsi"/>
          <w:b/>
          <w:bCs/>
          <w:kern w:val="0"/>
          <w:sz w:val="28"/>
          <w:szCs w:val="28"/>
          <w:lang w:eastAsia="en-GB"/>
          <w14:ligatures w14:val="none"/>
        </w:rPr>
        <w:t xml:space="preserve"> </w:t>
      </w:r>
      <w:r w:rsidRPr="00FC63E2">
        <w:rPr>
          <w:rFonts w:eastAsia="Times New Roman" w:cstheme="minorHAnsi"/>
          <w:kern w:val="0"/>
          <w:sz w:val="28"/>
          <w:szCs w:val="28"/>
          <w:lang w:eastAsia="en-GB"/>
          <w14:ligatures w14:val="none"/>
        </w:rPr>
        <w:t xml:space="preserve">Services and Well-being (Wales) Act 2014 represented a shift towards a rights-based, person-centred model of care. It emphasised well-being, early intervention, and co-production with service users (Shannon, 2018). Unlike English legislation, it placed </w:t>
      </w:r>
      <w:r w:rsidR="00BD4650" w:rsidRPr="00FC63E2">
        <w:rPr>
          <w:rFonts w:eastAsia="Times New Roman" w:cstheme="minorHAnsi"/>
          <w:kern w:val="0"/>
          <w:sz w:val="28"/>
          <w:szCs w:val="28"/>
          <w:lang w:eastAsia="en-GB"/>
          <w14:ligatures w14:val="none"/>
        </w:rPr>
        <w:t xml:space="preserve">a </w:t>
      </w:r>
      <w:r w:rsidRPr="00FC63E2">
        <w:rPr>
          <w:rFonts w:eastAsia="Times New Roman" w:cstheme="minorHAnsi"/>
          <w:kern w:val="0"/>
          <w:sz w:val="28"/>
          <w:szCs w:val="28"/>
          <w:lang w:eastAsia="en-GB"/>
          <w14:ligatures w14:val="none"/>
        </w:rPr>
        <w:t xml:space="preserve">strong </w:t>
      </w:r>
      <w:r w:rsidR="00BD4650" w:rsidRPr="00FC63E2">
        <w:rPr>
          <w:rFonts w:eastAsia="Times New Roman" w:cstheme="minorHAnsi"/>
          <w:kern w:val="0"/>
          <w:sz w:val="28"/>
          <w:szCs w:val="28"/>
          <w:lang w:eastAsia="en-GB"/>
          <w14:ligatures w14:val="none"/>
        </w:rPr>
        <w:t>focus</w:t>
      </w:r>
      <w:r w:rsidRPr="00FC63E2">
        <w:rPr>
          <w:rFonts w:eastAsia="Times New Roman" w:cstheme="minorHAnsi"/>
          <w:kern w:val="0"/>
          <w:sz w:val="28"/>
          <w:szCs w:val="28"/>
          <w:lang w:eastAsia="en-GB"/>
          <w14:ligatures w14:val="none"/>
        </w:rPr>
        <w:t xml:space="preserve"> on listening to children and families during care planning. While the act aligned well with the UN Convention on the Rights of the Child, it has faced barriers such as staffing shortages and inconsistent application across local authorities</w:t>
      </w:r>
      <w:r w:rsidR="00BD4650" w:rsidRPr="00FC63E2">
        <w:rPr>
          <w:rFonts w:eastAsia="Times New Roman" w:cstheme="minorHAnsi"/>
          <w:kern w:val="0"/>
          <w:sz w:val="28"/>
          <w:szCs w:val="28"/>
          <w:lang w:eastAsia="en-GB"/>
          <w14:ligatures w14:val="none"/>
        </w:rPr>
        <w:t xml:space="preserve">, </w:t>
      </w:r>
      <w:r w:rsidRPr="00FC63E2">
        <w:rPr>
          <w:rFonts w:eastAsia="Times New Roman" w:cstheme="minorHAnsi"/>
          <w:kern w:val="0"/>
          <w:sz w:val="28"/>
          <w:szCs w:val="28"/>
          <w:lang w:eastAsia="en-GB"/>
          <w14:ligatures w14:val="none"/>
        </w:rPr>
        <w:t>especially in rural areas where access to professionals is limited (Little and Mount, 2018; GOV.WALES, 2021).</w:t>
      </w:r>
    </w:p>
    <w:p w14:paraId="56EED1C0" w14:textId="409971CB" w:rsidR="00B27B3D" w:rsidRPr="00FC63E2" w:rsidRDefault="00B27B3D" w:rsidP="00B27B3D">
      <w:pPr>
        <w:spacing w:after="0" w:line="240" w:lineRule="auto"/>
        <w:rPr>
          <w:rFonts w:eastAsia="Times New Roman" w:cstheme="minorHAnsi"/>
          <w:kern w:val="0"/>
          <w:sz w:val="28"/>
          <w:szCs w:val="28"/>
          <w:lang w:eastAsia="en-GB"/>
          <w14:ligatures w14:val="none"/>
        </w:rPr>
      </w:pPr>
    </w:p>
    <w:p w14:paraId="22F1943C" w14:textId="77777777" w:rsidR="00B27B3D" w:rsidRPr="00FC63E2" w:rsidRDefault="00B27B3D" w:rsidP="00B27B3D">
      <w:pPr>
        <w:spacing w:before="100" w:beforeAutospacing="1" w:after="100" w:afterAutospacing="1" w:line="240" w:lineRule="auto"/>
        <w:outlineLvl w:val="2"/>
        <w:rPr>
          <w:rFonts w:eastAsia="Times New Roman" w:cstheme="minorHAnsi"/>
          <w:b/>
          <w:bCs/>
          <w:kern w:val="0"/>
          <w:sz w:val="28"/>
          <w:szCs w:val="28"/>
          <w:lang w:eastAsia="en-GB"/>
          <w14:ligatures w14:val="none"/>
        </w:rPr>
      </w:pPr>
      <w:r w:rsidRPr="00FC63E2">
        <w:rPr>
          <w:rFonts w:eastAsia="Times New Roman" w:cstheme="minorHAnsi"/>
          <w:b/>
          <w:bCs/>
          <w:kern w:val="0"/>
          <w:sz w:val="28"/>
          <w:szCs w:val="28"/>
          <w:lang w:eastAsia="en-GB"/>
          <w14:ligatures w14:val="none"/>
        </w:rPr>
        <w:t>2020 – Children (Abolition of Defence of Reasonable Punishment) (Wales) Act</w:t>
      </w:r>
    </w:p>
    <w:p w14:paraId="28D08156" w14:textId="09E37B10" w:rsidR="00B27B3D" w:rsidRPr="00FC63E2" w:rsidRDefault="00B27B3D" w:rsidP="00B27B3D">
      <w:pPr>
        <w:spacing w:before="100" w:beforeAutospacing="1" w:after="100" w:afterAutospacing="1" w:line="240" w:lineRule="auto"/>
        <w:rPr>
          <w:rFonts w:eastAsia="Times New Roman" w:cstheme="minorHAnsi"/>
          <w:kern w:val="0"/>
          <w:sz w:val="28"/>
          <w:szCs w:val="28"/>
          <w:lang w:eastAsia="en-GB"/>
          <w14:ligatures w14:val="none"/>
        </w:rPr>
      </w:pPr>
      <w:r w:rsidRPr="00FC63E2">
        <w:rPr>
          <w:rFonts w:eastAsia="Times New Roman" w:cstheme="minorHAnsi"/>
          <w:kern w:val="0"/>
          <w:sz w:val="28"/>
          <w:szCs w:val="28"/>
          <w:lang w:eastAsia="en-GB"/>
          <w14:ligatures w14:val="none"/>
        </w:rPr>
        <w:t xml:space="preserve">In 2020, Wales introduced the Children (Abolition of Defence of Reasonable Punishment) (Wales) Act, banning all forms of physical punishment by removing the legal defence of “reasonable chastisement” (GOV.WALES, 2020). This made Wales a UK leader in aligning domestic law with children’s rights under the UNCRC. Though widely welcomed by children’s rights organisations, the law </w:t>
      </w:r>
      <w:r w:rsidR="00BD4650" w:rsidRPr="00FC63E2">
        <w:rPr>
          <w:rFonts w:eastAsia="Times New Roman" w:cstheme="minorHAnsi"/>
          <w:kern w:val="0"/>
          <w:sz w:val="28"/>
          <w:szCs w:val="28"/>
          <w:lang w:eastAsia="en-GB"/>
          <w14:ligatures w14:val="none"/>
        </w:rPr>
        <w:t>makes</w:t>
      </w:r>
      <w:r w:rsidRPr="00FC63E2">
        <w:rPr>
          <w:rFonts w:eastAsia="Times New Roman" w:cstheme="minorHAnsi"/>
          <w:kern w:val="0"/>
          <w:sz w:val="28"/>
          <w:szCs w:val="28"/>
          <w:lang w:eastAsia="en-GB"/>
          <w14:ligatures w14:val="none"/>
        </w:rPr>
        <w:t xml:space="preserve"> public debate about potential overreach and criminalisation of parental discipline (Rowland et al., 2025). Despite these concerns, the Act marks a decisive move toward upholding the dignity and protection of children in all contexts.</w:t>
      </w:r>
    </w:p>
    <w:p w14:paraId="61FE9B47" w14:textId="76F4DCF7" w:rsidR="00B27B3D" w:rsidRPr="00FC63E2" w:rsidRDefault="00B27B3D" w:rsidP="00B27B3D">
      <w:pPr>
        <w:spacing w:after="0" w:line="240" w:lineRule="auto"/>
        <w:rPr>
          <w:rFonts w:eastAsia="Times New Roman" w:cstheme="minorHAnsi"/>
          <w:kern w:val="0"/>
          <w:sz w:val="28"/>
          <w:szCs w:val="28"/>
          <w:lang w:eastAsia="en-GB"/>
          <w14:ligatures w14:val="none"/>
        </w:rPr>
      </w:pPr>
    </w:p>
    <w:p w14:paraId="7F97E73A" w14:textId="77777777" w:rsidR="00B27B3D" w:rsidRPr="00FC63E2" w:rsidRDefault="00B27B3D" w:rsidP="00B27B3D">
      <w:pPr>
        <w:spacing w:before="100" w:beforeAutospacing="1" w:after="100" w:afterAutospacing="1" w:line="240" w:lineRule="auto"/>
        <w:outlineLvl w:val="2"/>
        <w:rPr>
          <w:rFonts w:eastAsia="Times New Roman" w:cstheme="minorHAnsi"/>
          <w:b/>
          <w:bCs/>
          <w:kern w:val="0"/>
          <w:sz w:val="28"/>
          <w:szCs w:val="28"/>
          <w:lang w:eastAsia="en-GB"/>
          <w14:ligatures w14:val="none"/>
        </w:rPr>
      </w:pPr>
      <w:r w:rsidRPr="00FC63E2">
        <w:rPr>
          <w:rFonts w:eastAsia="Times New Roman" w:cstheme="minorHAnsi"/>
          <w:b/>
          <w:bCs/>
          <w:kern w:val="0"/>
          <w:sz w:val="28"/>
          <w:szCs w:val="28"/>
          <w:lang w:eastAsia="en-GB"/>
          <w14:ligatures w14:val="none"/>
        </w:rPr>
        <w:t>2021 – Domestic Abuse Act</w:t>
      </w:r>
    </w:p>
    <w:p w14:paraId="018EA69E" w14:textId="519797AC" w:rsidR="00B27B3D" w:rsidRPr="00FC63E2" w:rsidRDefault="00B27B3D" w:rsidP="00B27B3D">
      <w:pPr>
        <w:spacing w:before="100" w:beforeAutospacing="1" w:after="100" w:afterAutospacing="1" w:line="240" w:lineRule="auto"/>
        <w:rPr>
          <w:rFonts w:eastAsia="Times New Roman" w:cstheme="minorHAnsi"/>
          <w:kern w:val="0"/>
          <w:sz w:val="28"/>
          <w:szCs w:val="28"/>
          <w:lang w:eastAsia="en-GB"/>
          <w14:ligatures w14:val="none"/>
        </w:rPr>
      </w:pPr>
      <w:r w:rsidRPr="00FC63E2">
        <w:rPr>
          <w:rFonts w:eastAsia="Times New Roman" w:cstheme="minorHAnsi"/>
          <w:kern w:val="0"/>
          <w:sz w:val="28"/>
          <w:szCs w:val="28"/>
          <w:lang w:eastAsia="en-GB"/>
          <w14:ligatures w14:val="none"/>
        </w:rPr>
        <w:t>The Domestic Abuse Act 2021 was another landmark in safeguarding, recognising children as victims in their own right when they witness or experience abuse (NSPCC, 2024). It mandated that local authorities provide support services and strengthen protection orders. This legislative shift acknowledged the profound emotional and psychological toll domestic abuse has on children. However, the Act’s potential has been limited by underfunding, variability in local authority capacity, and delays in service rollout (Parliament, House of Lords, 2022). This again illustrates that effective safeguarding depends as much on infrastructure as on legal provisions.</w:t>
      </w:r>
    </w:p>
    <w:p w14:paraId="405EE29E" w14:textId="4DA54B49" w:rsidR="00B27B3D" w:rsidRPr="00FC63E2" w:rsidRDefault="00B27B3D" w:rsidP="00A554C4">
      <w:pPr>
        <w:spacing w:after="0" w:line="240" w:lineRule="auto"/>
        <w:rPr>
          <w:rFonts w:eastAsia="Times New Roman" w:cstheme="minorHAnsi"/>
          <w:kern w:val="0"/>
          <w:sz w:val="28"/>
          <w:szCs w:val="28"/>
          <w:lang w:eastAsia="en-GB"/>
          <w14:ligatures w14:val="none"/>
        </w:rPr>
      </w:pPr>
      <w:r w:rsidRPr="00FC63E2">
        <w:rPr>
          <w:rFonts w:eastAsia="Times New Roman" w:cstheme="minorHAnsi"/>
          <w:kern w:val="0"/>
          <w:sz w:val="28"/>
          <w:szCs w:val="28"/>
          <w:lang w:eastAsia="en-GB"/>
          <w14:ligatures w14:val="none"/>
        </w:rPr>
        <w:t>Conclusion</w:t>
      </w:r>
    </w:p>
    <w:p w14:paraId="7C903B89" w14:textId="35F64934" w:rsidR="00B27B3D" w:rsidRDefault="00B27B3D" w:rsidP="00B27B3D">
      <w:pPr>
        <w:spacing w:before="100" w:beforeAutospacing="1" w:after="100" w:afterAutospacing="1" w:line="240" w:lineRule="auto"/>
        <w:rPr>
          <w:rFonts w:eastAsia="Times New Roman" w:cstheme="minorHAnsi"/>
          <w:kern w:val="0"/>
          <w:sz w:val="28"/>
          <w:szCs w:val="28"/>
          <w:lang w:eastAsia="en-GB"/>
          <w14:ligatures w14:val="none"/>
        </w:rPr>
      </w:pPr>
      <w:r w:rsidRPr="00FC63E2">
        <w:rPr>
          <w:rFonts w:eastAsia="Times New Roman" w:cstheme="minorHAnsi"/>
          <w:kern w:val="0"/>
          <w:sz w:val="28"/>
          <w:szCs w:val="28"/>
          <w:lang w:eastAsia="en-GB"/>
          <w14:ligatures w14:val="none"/>
        </w:rPr>
        <w:lastRenderedPageBreak/>
        <w:t xml:space="preserve">Over six decades, safeguarding legislation in the UK and Wales has developed from basic welfare protections to comprehensive frameworks recognising children’s rights, early intervention, and inter-agency cooperation. Particularly in Wales, there has been a clear legislative </w:t>
      </w:r>
      <w:r w:rsidR="00BD4650" w:rsidRPr="00FC63E2">
        <w:rPr>
          <w:rFonts w:eastAsia="Times New Roman" w:cstheme="minorHAnsi"/>
          <w:kern w:val="0"/>
          <w:sz w:val="28"/>
          <w:szCs w:val="28"/>
          <w:lang w:eastAsia="en-GB"/>
          <w14:ligatures w14:val="none"/>
        </w:rPr>
        <w:t>way</w:t>
      </w:r>
      <w:r w:rsidRPr="00FC63E2">
        <w:rPr>
          <w:rFonts w:eastAsia="Times New Roman" w:cstheme="minorHAnsi"/>
          <w:kern w:val="0"/>
          <w:sz w:val="28"/>
          <w:szCs w:val="28"/>
          <w:lang w:eastAsia="en-GB"/>
          <w14:ligatures w14:val="none"/>
        </w:rPr>
        <w:t xml:space="preserve"> towards a rights-based model that reflects the principles of the UNCRC.</w:t>
      </w:r>
      <w:r w:rsidR="00BD4650" w:rsidRPr="00FC63E2">
        <w:rPr>
          <w:rFonts w:eastAsia="Times New Roman" w:cstheme="minorHAnsi"/>
          <w:kern w:val="0"/>
          <w:sz w:val="28"/>
          <w:szCs w:val="28"/>
          <w:lang w:eastAsia="en-GB"/>
          <w14:ligatures w14:val="none"/>
        </w:rPr>
        <w:t xml:space="preserve"> </w:t>
      </w:r>
      <w:r w:rsidRPr="00FC63E2">
        <w:rPr>
          <w:rFonts w:eastAsia="Times New Roman" w:cstheme="minorHAnsi"/>
          <w:kern w:val="0"/>
          <w:sz w:val="28"/>
          <w:szCs w:val="28"/>
          <w:lang w:eastAsia="en-GB"/>
          <w14:ligatures w14:val="none"/>
        </w:rPr>
        <w:t>Despite these advances, the gap between legislative ambition and practical implementation is a recurring theme. Challenges such as funding constraints, professional shortages, and unequal regional delivery continue to undermine the consistency of protection offered to children and families (Contextual Safeguarding, 2023). Legal reform alone is insufficient</w:t>
      </w:r>
      <w:r w:rsidR="00BD4650" w:rsidRPr="00FC63E2">
        <w:rPr>
          <w:rFonts w:eastAsia="Times New Roman" w:cstheme="minorHAnsi"/>
          <w:kern w:val="0"/>
          <w:sz w:val="28"/>
          <w:szCs w:val="28"/>
          <w:lang w:eastAsia="en-GB"/>
          <w14:ligatures w14:val="none"/>
        </w:rPr>
        <w:t xml:space="preserve">, </w:t>
      </w:r>
      <w:r w:rsidRPr="00FC63E2">
        <w:rPr>
          <w:rFonts w:eastAsia="Times New Roman" w:cstheme="minorHAnsi"/>
          <w:kern w:val="0"/>
          <w:sz w:val="28"/>
          <w:szCs w:val="28"/>
          <w:lang w:eastAsia="en-GB"/>
          <w14:ligatures w14:val="none"/>
        </w:rPr>
        <w:t>success depends on political will, workforce development, and sustained investment.</w:t>
      </w:r>
      <w:r w:rsidR="00BD4650" w:rsidRPr="00FC63E2">
        <w:rPr>
          <w:rFonts w:eastAsia="Times New Roman" w:cstheme="minorHAnsi"/>
          <w:kern w:val="0"/>
          <w:sz w:val="28"/>
          <w:szCs w:val="28"/>
          <w:lang w:eastAsia="en-GB"/>
          <w14:ligatures w14:val="none"/>
        </w:rPr>
        <w:t xml:space="preserve"> </w:t>
      </w:r>
      <w:r w:rsidRPr="00FC63E2">
        <w:rPr>
          <w:rFonts w:eastAsia="Times New Roman" w:cstheme="minorHAnsi"/>
          <w:kern w:val="0"/>
          <w:sz w:val="28"/>
          <w:szCs w:val="28"/>
          <w:lang w:eastAsia="en-GB"/>
          <w14:ligatures w14:val="none"/>
        </w:rPr>
        <w:t xml:space="preserve">Ultimately, the future of safeguarding lies not just in drafting progressive laws but in ensuring those laws are </w:t>
      </w:r>
      <w:r w:rsidR="00BD4650" w:rsidRPr="00FC63E2">
        <w:rPr>
          <w:rFonts w:eastAsia="Times New Roman" w:cstheme="minorHAnsi"/>
          <w:kern w:val="0"/>
          <w:sz w:val="28"/>
          <w:szCs w:val="28"/>
          <w:lang w:eastAsia="en-GB"/>
          <w14:ligatures w14:val="none"/>
        </w:rPr>
        <w:t>implemented</w:t>
      </w:r>
      <w:r w:rsidRPr="00FC63E2">
        <w:rPr>
          <w:rFonts w:eastAsia="Times New Roman" w:cstheme="minorHAnsi"/>
          <w:kern w:val="0"/>
          <w:sz w:val="28"/>
          <w:szCs w:val="28"/>
          <w:lang w:eastAsia="en-GB"/>
          <w14:ligatures w14:val="none"/>
        </w:rPr>
        <w:t xml:space="preserve"> in everyday practice. A truly effective system must guarantee that all children, regardless of background or location, receive equal protection and support (Langner and </w:t>
      </w:r>
      <w:proofErr w:type="spellStart"/>
      <w:r w:rsidRPr="00FC63E2">
        <w:rPr>
          <w:rFonts w:eastAsia="Times New Roman" w:cstheme="minorHAnsi"/>
          <w:kern w:val="0"/>
          <w:sz w:val="28"/>
          <w:szCs w:val="28"/>
          <w:lang w:eastAsia="en-GB"/>
          <w14:ligatures w14:val="none"/>
        </w:rPr>
        <w:t>Fukkink</w:t>
      </w:r>
      <w:proofErr w:type="spellEnd"/>
      <w:r w:rsidRPr="00FC63E2">
        <w:rPr>
          <w:rFonts w:eastAsia="Times New Roman" w:cstheme="minorHAnsi"/>
          <w:kern w:val="0"/>
          <w:sz w:val="28"/>
          <w:szCs w:val="28"/>
          <w:lang w:eastAsia="en-GB"/>
          <w14:ligatures w14:val="none"/>
        </w:rPr>
        <w:t>, 2023; GOV.UK, 2021a).</w:t>
      </w:r>
    </w:p>
    <w:p w14:paraId="74EA478C" w14:textId="77777777" w:rsidR="00FC63E2" w:rsidRDefault="00FC63E2" w:rsidP="00B27B3D">
      <w:pPr>
        <w:spacing w:before="100" w:beforeAutospacing="1" w:after="100" w:afterAutospacing="1" w:line="240" w:lineRule="auto"/>
        <w:rPr>
          <w:rFonts w:eastAsia="Times New Roman" w:cstheme="minorHAnsi"/>
          <w:kern w:val="0"/>
          <w:sz w:val="28"/>
          <w:szCs w:val="28"/>
          <w:lang w:eastAsia="en-GB"/>
          <w14:ligatures w14:val="none"/>
        </w:rPr>
      </w:pPr>
    </w:p>
    <w:p w14:paraId="3AE9BDE0" w14:textId="77777777" w:rsidR="00FC63E2" w:rsidRDefault="00FC63E2" w:rsidP="00B27B3D">
      <w:pPr>
        <w:spacing w:before="100" w:beforeAutospacing="1" w:after="100" w:afterAutospacing="1" w:line="240" w:lineRule="auto"/>
        <w:rPr>
          <w:rFonts w:eastAsia="Times New Roman" w:cstheme="minorHAnsi"/>
          <w:kern w:val="0"/>
          <w:sz w:val="28"/>
          <w:szCs w:val="28"/>
          <w:lang w:eastAsia="en-GB"/>
          <w14:ligatures w14:val="none"/>
        </w:rPr>
      </w:pPr>
    </w:p>
    <w:p w14:paraId="303C1DAF" w14:textId="7D386B65" w:rsidR="00FC63E2" w:rsidRDefault="00FC63E2" w:rsidP="00FC63E2">
      <w:pPr>
        <w:tabs>
          <w:tab w:val="left" w:pos="2285"/>
        </w:tabs>
        <w:spacing w:before="100" w:beforeAutospacing="1" w:after="100" w:afterAutospacing="1" w:line="240" w:lineRule="auto"/>
        <w:rPr>
          <w:rFonts w:eastAsia="Times New Roman" w:cstheme="minorHAnsi"/>
          <w:b/>
          <w:bCs/>
          <w:kern w:val="0"/>
          <w:sz w:val="28"/>
          <w:szCs w:val="28"/>
          <w:lang w:eastAsia="en-GB"/>
          <w14:ligatures w14:val="none"/>
        </w:rPr>
      </w:pPr>
      <w:r w:rsidRPr="00FC63E2">
        <w:rPr>
          <w:rFonts w:eastAsia="Times New Roman" w:cstheme="minorHAnsi"/>
          <w:b/>
          <w:bCs/>
          <w:kern w:val="0"/>
          <w:sz w:val="28"/>
          <w:szCs w:val="28"/>
          <w:lang w:eastAsia="en-GB"/>
          <w14:ligatures w14:val="none"/>
        </w:rPr>
        <w:t>R</w:t>
      </w:r>
      <w:r>
        <w:rPr>
          <w:rFonts w:eastAsia="Times New Roman" w:cstheme="minorHAnsi"/>
          <w:b/>
          <w:bCs/>
          <w:kern w:val="0"/>
          <w:sz w:val="28"/>
          <w:szCs w:val="28"/>
          <w:lang w:eastAsia="en-GB"/>
          <w14:ligatures w14:val="none"/>
        </w:rPr>
        <w:t>EFERENCE LIST:</w:t>
      </w:r>
    </w:p>
    <w:p w14:paraId="4C8031BA" w14:textId="77777777" w:rsidR="003D59DC" w:rsidRDefault="003D59DC" w:rsidP="00FC63E2">
      <w:pPr>
        <w:tabs>
          <w:tab w:val="left" w:pos="2285"/>
        </w:tabs>
        <w:spacing w:before="100" w:beforeAutospacing="1" w:after="100" w:afterAutospacing="1" w:line="240" w:lineRule="auto"/>
        <w:rPr>
          <w:rFonts w:eastAsia="Times New Roman" w:cstheme="minorHAnsi"/>
          <w:b/>
          <w:bCs/>
          <w:kern w:val="0"/>
          <w:sz w:val="28"/>
          <w:szCs w:val="28"/>
          <w:lang w:eastAsia="en-GB"/>
          <w14:ligatures w14:val="none"/>
        </w:rPr>
      </w:pPr>
    </w:p>
    <w:p w14:paraId="763F6851" w14:textId="77777777" w:rsidR="003D59DC" w:rsidRPr="007D15E6" w:rsidRDefault="003D59DC" w:rsidP="003D59DC">
      <w:pPr>
        <w:rPr>
          <w:rFonts w:cstheme="minorHAnsi"/>
          <w:sz w:val="28"/>
          <w:szCs w:val="28"/>
        </w:rPr>
      </w:pPr>
    </w:p>
    <w:p w14:paraId="7991D153"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Albright, M. B. (2022) </w:t>
      </w:r>
      <w:r w:rsidRPr="007D15E6">
        <w:rPr>
          <w:rFonts w:cstheme="minorHAnsi"/>
          <w:i/>
          <w:iCs/>
          <w:sz w:val="28"/>
          <w:szCs w:val="28"/>
          <w:shd w:val="clear" w:color="auto" w:fill="FFFFFF"/>
        </w:rPr>
        <w:t>Eat &amp; Flourish: How Food Supports Emotional Well-being</w:t>
      </w:r>
      <w:r w:rsidRPr="007D15E6">
        <w:rPr>
          <w:rFonts w:cstheme="minorHAnsi"/>
          <w:sz w:val="28"/>
          <w:szCs w:val="28"/>
          <w:shd w:val="clear" w:color="auto" w:fill="FFFFFF"/>
        </w:rPr>
        <w:t>. 1</w:t>
      </w:r>
      <w:r w:rsidRPr="007D15E6">
        <w:rPr>
          <w:rFonts w:cstheme="minorHAnsi"/>
          <w:sz w:val="28"/>
          <w:szCs w:val="28"/>
          <w:shd w:val="clear" w:color="auto" w:fill="FFFFFF"/>
          <w:vertAlign w:val="superscript"/>
        </w:rPr>
        <w:t>st</w:t>
      </w:r>
      <w:r w:rsidRPr="007D15E6">
        <w:rPr>
          <w:rFonts w:cstheme="minorHAnsi"/>
          <w:sz w:val="28"/>
          <w:szCs w:val="28"/>
          <w:shd w:val="clear" w:color="auto" w:fill="FFFFFF"/>
        </w:rPr>
        <w:t xml:space="preserve"> </w:t>
      </w:r>
      <w:proofErr w:type="spellStart"/>
      <w:r w:rsidRPr="007D15E6">
        <w:rPr>
          <w:rFonts w:cstheme="minorHAnsi"/>
          <w:sz w:val="28"/>
          <w:szCs w:val="28"/>
          <w:shd w:val="clear" w:color="auto" w:fill="FFFFFF"/>
        </w:rPr>
        <w:t>edn</w:t>
      </w:r>
      <w:proofErr w:type="spellEnd"/>
      <w:r w:rsidRPr="007D15E6">
        <w:rPr>
          <w:rFonts w:cstheme="minorHAnsi"/>
          <w:sz w:val="28"/>
          <w:szCs w:val="28"/>
          <w:shd w:val="clear" w:color="auto" w:fill="FFFFFF"/>
        </w:rPr>
        <w:t>. New York: The Countryman Press.</w:t>
      </w:r>
    </w:p>
    <w:p w14:paraId="6A185E8D" w14:textId="77777777" w:rsidR="003D59DC" w:rsidRPr="007D15E6" w:rsidRDefault="003D59DC" w:rsidP="003D59DC">
      <w:pPr>
        <w:rPr>
          <w:rFonts w:cstheme="minorHAnsi"/>
          <w:sz w:val="28"/>
          <w:szCs w:val="28"/>
          <w:shd w:val="clear" w:color="auto" w:fill="FFFFFF"/>
        </w:rPr>
      </w:pPr>
    </w:p>
    <w:p w14:paraId="43F03BBC" w14:textId="77777777" w:rsidR="003D59DC" w:rsidRPr="007D15E6" w:rsidRDefault="003D59DC" w:rsidP="003D59DC">
      <w:pPr>
        <w:rPr>
          <w:rFonts w:cstheme="minorHAnsi"/>
          <w:sz w:val="28"/>
          <w:szCs w:val="28"/>
        </w:rPr>
      </w:pPr>
      <w:bookmarkStart w:id="0" w:name="_Hlk195382423"/>
      <w:r w:rsidRPr="007D15E6">
        <w:rPr>
          <w:rFonts w:cstheme="minorHAnsi"/>
          <w:sz w:val="28"/>
          <w:szCs w:val="28"/>
          <w:shd w:val="clear" w:color="auto" w:fill="FFFFFF"/>
        </w:rPr>
        <w:t xml:space="preserve">Arthur, R., and Kirk, T. (2023) </w:t>
      </w:r>
      <w:bookmarkEnd w:id="0"/>
      <w:r w:rsidRPr="007D15E6">
        <w:rPr>
          <w:rFonts w:cstheme="minorHAnsi"/>
          <w:sz w:val="28"/>
          <w:szCs w:val="28"/>
          <w:shd w:val="clear" w:color="auto" w:fill="FFFFFF"/>
        </w:rPr>
        <w:t xml:space="preserve">‘Children as Covert Human Intelligence Sources: spies first, children second.’, </w:t>
      </w:r>
      <w:r w:rsidRPr="007D15E6">
        <w:rPr>
          <w:rFonts w:cstheme="minorHAnsi"/>
          <w:i/>
          <w:iCs/>
          <w:sz w:val="28"/>
          <w:szCs w:val="28"/>
          <w:shd w:val="clear" w:color="auto" w:fill="FFFFFF"/>
        </w:rPr>
        <w:t>Youth justice</w:t>
      </w:r>
      <w:r w:rsidRPr="007D15E6">
        <w:rPr>
          <w:rFonts w:cstheme="minorHAnsi"/>
          <w:sz w:val="28"/>
          <w:szCs w:val="28"/>
          <w:shd w:val="clear" w:color="auto" w:fill="FFFFFF"/>
        </w:rPr>
        <w:t>, 23(3), pp. 372-387.</w:t>
      </w:r>
    </w:p>
    <w:p w14:paraId="72308671" w14:textId="77777777" w:rsidR="003D59DC" w:rsidRPr="007D15E6" w:rsidRDefault="003D59DC" w:rsidP="003D59DC">
      <w:pPr>
        <w:rPr>
          <w:rFonts w:cstheme="minorHAnsi"/>
          <w:sz w:val="28"/>
          <w:szCs w:val="28"/>
        </w:rPr>
      </w:pPr>
    </w:p>
    <w:p w14:paraId="4AA29383"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 xml:space="preserve">Barnett, S. (2019) ‘Application of Vygotsky’s social development theory’, </w:t>
      </w:r>
      <w:r w:rsidRPr="007D15E6">
        <w:rPr>
          <w:rFonts w:cstheme="minorHAnsi"/>
          <w:i/>
          <w:iCs/>
          <w:sz w:val="28"/>
          <w:szCs w:val="28"/>
          <w:shd w:val="clear" w:color="auto" w:fill="FFFFFF"/>
        </w:rPr>
        <w:t>Journal of Education and Practice</w:t>
      </w:r>
      <w:r w:rsidRPr="007D15E6">
        <w:rPr>
          <w:rFonts w:cstheme="minorHAnsi"/>
          <w:sz w:val="28"/>
          <w:szCs w:val="28"/>
          <w:shd w:val="clear" w:color="auto" w:fill="FFFFFF"/>
        </w:rPr>
        <w:t>, 10(35), pp.1-4.</w:t>
      </w:r>
    </w:p>
    <w:p w14:paraId="5A01E92C" w14:textId="77777777" w:rsidR="003D59DC" w:rsidRPr="007D15E6" w:rsidRDefault="003D59DC" w:rsidP="003D59DC">
      <w:pPr>
        <w:rPr>
          <w:rFonts w:cstheme="minorHAnsi"/>
          <w:sz w:val="28"/>
          <w:szCs w:val="28"/>
        </w:rPr>
      </w:pPr>
    </w:p>
    <w:p w14:paraId="165B1BFF"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 xml:space="preserve">Bobek, M., Hogue, A., Porter, N., MacLean, A., Bourdeau, T., Cromley, T., and Daleiden, E. (2025) ’Core practices in systemic family therapy for adolescent </w:t>
      </w:r>
      <w:proofErr w:type="spellStart"/>
      <w:r w:rsidRPr="007D15E6">
        <w:rPr>
          <w:rFonts w:cstheme="minorHAnsi"/>
          <w:sz w:val="28"/>
          <w:szCs w:val="28"/>
          <w:shd w:val="clear" w:color="auto" w:fill="FFFFFF"/>
        </w:rPr>
        <w:lastRenderedPageBreak/>
        <w:t>behavior</w:t>
      </w:r>
      <w:proofErr w:type="spellEnd"/>
      <w:r w:rsidRPr="007D15E6">
        <w:rPr>
          <w:rFonts w:cstheme="minorHAnsi"/>
          <w:sz w:val="28"/>
          <w:szCs w:val="28"/>
          <w:shd w:val="clear" w:color="auto" w:fill="FFFFFF"/>
        </w:rPr>
        <w:t xml:space="preserve"> problems: A comprehensive modular pathway’, </w:t>
      </w:r>
      <w:r w:rsidRPr="007D15E6">
        <w:rPr>
          <w:rFonts w:cstheme="minorHAnsi"/>
          <w:i/>
          <w:iCs/>
          <w:sz w:val="28"/>
          <w:szCs w:val="28"/>
          <w:shd w:val="clear" w:color="auto" w:fill="FFFFFF"/>
        </w:rPr>
        <w:t>Contemporary Family Therapy</w:t>
      </w:r>
      <w:r w:rsidRPr="007D15E6">
        <w:rPr>
          <w:rFonts w:cstheme="minorHAnsi"/>
          <w:sz w:val="28"/>
          <w:szCs w:val="28"/>
          <w:shd w:val="clear" w:color="auto" w:fill="FFFFFF"/>
        </w:rPr>
        <w:t>, 8(2), pp.1-16.</w:t>
      </w:r>
    </w:p>
    <w:p w14:paraId="404DC567" w14:textId="77777777" w:rsidR="003D59DC" w:rsidRPr="007D15E6" w:rsidRDefault="003D59DC" w:rsidP="003D59DC">
      <w:pPr>
        <w:rPr>
          <w:rFonts w:cstheme="minorHAnsi"/>
          <w:sz w:val="28"/>
          <w:szCs w:val="28"/>
        </w:rPr>
      </w:pPr>
    </w:p>
    <w:p w14:paraId="029ACA00" w14:textId="77777777" w:rsidR="003D59DC" w:rsidRPr="007D15E6" w:rsidRDefault="003D59DC" w:rsidP="003D59DC">
      <w:pPr>
        <w:rPr>
          <w:rFonts w:cstheme="minorHAnsi"/>
          <w:sz w:val="28"/>
          <w:szCs w:val="28"/>
          <w:shd w:val="clear" w:color="auto" w:fill="FFFFFF"/>
        </w:rPr>
      </w:pPr>
      <w:hyperlink r:id="rId10" w:history="1">
        <w:r w:rsidRPr="007D15E6">
          <w:rPr>
            <w:rFonts w:cstheme="minorHAnsi"/>
            <w:sz w:val="28"/>
            <w:szCs w:val="28"/>
            <w:u w:val="single"/>
          </w:rPr>
          <w:t>Bond</w:t>
        </w:r>
      </w:hyperlink>
      <w:r w:rsidRPr="007D15E6">
        <w:rPr>
          <w:rFonts w:cstheme="minorHAnsi"/>
          <w:sz w:val="28"/>
          <w:szCs w:val="28"/>
          <w:shd w:val="clear" w:color="auto" w:fill="FFFFFF"/>
          <w:vertAlign w:val="superscript"/>
        </w:rPr>
        <w:t> </w:t>
      </w:r>
      <w:r w:rsidRPr="007D15E6">
        <w:rPr>
          <w:rFonts w:cstheme="minorHAnsi"/>
          <w:sz w:val="28"/>
          <w:szCs w:val="28"/>
          <w:shd w:val="clear" w:color="auto" w:fill="FFFFFF"/>
        </w:rPr>
        <w:t>, C., </w:t>
      </w:r>
      <w:hyperlink r:id="rId11" w:history="1">
        <w:r w:rsidRPr="007D15E6">
          <w:rPr>
            <w:rFonts w:cstheme="minorHAnsi"/>
            <w:sz w:val="28"/>
            <w:szCs w:val="28"/>
            <w:u w:val="single"/>
          </w:rPr>
          <w:t>Woods</w:t>
        </w:r>
      </w:hyperlink>
      <w:r w:rsidRPr="007D15E6">
        <w:rPr>
          <w:rFonts w:cstheme="minorHAnsi"/>
          <w:sz w:val="28"/>
          <w:szCs w:val="28"/>
          <w:shd w:val="clear" w:color="auto" w:fill="FFFFFF"/>
        </w:rPr>
        <w:t>, K., </w:t>
      </w:r>
      <w:hyperlink r:id="rId12" w:history="1">
        <w:r w:rsidRPr="007D15E6">
          <w:rPr>
            <w:rFonts w:cstheme="minorHAnsi"/>
            <w:sz w:val="28"/>
            <w:szCs w:val="28"/>
            <w:u w:val="single"/>
          </w:rPr>
          <w:t xml:space="preserve"> Humphrey</w:t>
        </w:r>
      </w:hyperlink>
      <w:r w:rsidRPr="007D15E6">
        <w:rPr>
          <w:rFonts w:cstheme="minorHAnsi"/>
          <w:sz w:val="28"/>
          <w:szCs w:val="28"/>
          <w:shd w:val="clear" w:color="auto" w:fill="FFFFFF"/>
        </w:rPr>
        <w:t>, N.,  </w:t>
      </w:r>
      <w:hyperlink r:id="rId13" w:history="1">
        <w:r w:rsidRPr="007D15E6">
          <w:rPr>
            <w:rFonts w:cstheme="minorHAnsi"/>
            <w:sz w:val="28"/>
            <w:szCs w:val="28"/>
            <w:u w:val="single"/>
          </w:rPr>
          <w:t>Symes</w:t>
        </w:r>
      </w:hyperlink>
      <w:r w:rsidRPr="007D15E6">
        <w:rPr>
          <w:rFonts w:cstheme="minorHAnsi"/>
          <w:sz w:val="28"/>
          <w:szCs w:val="28"/>
          <w:shd w:val="clear" w:color="auto" w:fill="FFFFFF"/>
        </w:rPr>
        <w:t xml:space="preserve">, W, and </w:t>
      </w:r>
      <w:hyperlink r:id="rId14" w:history="1">
        <w:r w:rsidRPr="007D15E6">
          <w:rPr>
            <w:rFonts w:cstheme="minorHAnsi"/>
            <w:sz w:val="28"/>
            <w:szCs w:val="28"/>
            <w:u w:val="single"/>
          </w:rPr>
          <w:t>Green</w:t>
        </w:r>
      </w:hyperlink>
      <w:r w:rsidRPr="007D15E6">
        <w:rPr>
          <w:rFonts w:cstheme="minorHAnsi"/>
          <w:sz w:val="28"/>
          <w:szCs w:val="28"/>
          <w:shd w:val="clear" w:color="auto" w:fill="FFFFFF"/>
        </w:rPr>
        <w:t xml:space="preserve">, L. (2013) ‘Practitioner Review: The effectiveness of solution focused brief therapy with children and families: a systematic and critical evaluation of the literature from 1990-2010.’, </w:t>
      </w:r>
      <w:r w:rsidRPr="007D15E6">
        <w:rPr>
          <w:rFonts w:cstheme="minorHAnsi"/>
          <w:i/>
          <w:iCs/>
          <w:sz w:val="28"/>
          <w:szCs w:val="28"/>
          <w:shd w:val="clear" w:color="auto" w:fill="FFFFFF"/>
        </w:rPr>
        <w:t>Journal of child psychology and psychiatry, and allied disciplines</w:t>
      </w:r>
      <w:r w:rsidRPr="007D15E6">
        <w:rPr>
          <w:rFonts w:cstheme="minorHAnsi"/>
          <w:sz w:val="28"/>
          <w:szCs w:val="28"/>
          <w:shd w:val="clear" w:color="auto" w:fill="FFFFFF"/>
        </w:rPr>
        <w:t>, 54(7), pp. 20-23.</w:t>
      </w:r>
    </w:p>
    <w:p w14:paraId="074423B7" w14:textId="77777777" w:rsidR="003D59DC" w:rsidRPr="007D15E6" w:rsidRDefault="003D59DC" w:rsidP="003D59DC">
      <w:pPr>
        <w:rPr>
          <w:rFonts w:cstheme="minorHAnsi"/>
          <w:sz w:val="28"/>
          <w:szCs w:val="28"/>
          <w:shd w:val="clear" w:color="auto" w:fill="FFFFFF"/>
        </w:rPr>
      </w:pPr>
    </w:p>
    <w:p w14:paraId="5C1AE26C"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 xml:space="preserve">Brand, A. M., Groen, S. P. N., </w:t>
      </w:r>
      <w:proofErr w:type="spellStart"/>
      <w:r w:rsidRPr="007D15E6">
        <w:rPr>
          <w:rFonts w:cstheme="minorHAnsi"/>
          <w:sz w:val="28"/>
          <w:szCs w:val="28"/>
          <w:shd w:val="clear" w:color="auto" w:fill="FFFFFF"/>
        </w:rPr>
        <w:t>Destoop</w:t>
      </w:r>
      <w:proofErr w:type="spellEnd"/>
      <w:r w:rsidRPr="007D15E6">
        <w:rPr>
          <w:rFonts w:cstheme="minorHAnsi"/>
          <w:sz w:val="28"/>
          <w:szCs w:val="28"/>
          <w:shd w:val="clear" w:color="auto" w:fill="FFFFFF"/>
        </w:rPr>
        <w:t xml:space="preserve">, N., Jongsma, H. E., Ghane, S., Sabbe, B. G. C., van </w:t>
      </w:r>
      <w:proofErr w:type="spellStart"/>
      <w:r w:rsidRPr="007D15E6">
        <w:rPr>
          <w:rFonts w:cstheme="minorHAnsi"/>
          <w:sz w:val="28"/>
          <w:szCs w:val="28"/>
          <w:shd w:val="clear" w:color="auto" w:fill="FFFFFF"/>
        </w:rPr>
        <w:t>Velsen</w:t>
      </w:r>
      <w:proofErr w:type="spellEnd"/>
      <w:r w:rsidRPr="007D15E6">
        <w:rPr>
          <w:rFonts w:cstheme="minorHAnsi"/>
          <w:sz w:val="28"/>
          <w:szCs w:val="28"/>
          <w:shd w:val="clear" w:color="auto" w:fill="FFFFFF"/>
        </w:rPr>
        <w:t xml:space="preserve">, H., van Houten, K., Becan, Ö., Al Alyan, D., and Braakman, M. H. (2024) ‘The effect of the cultural formulation interview on therapeutic working alliance: a study protocol’, </w:t>
      </w:r>
      <w:r w:rsidRPr="007D15E6">
        <w:rPr>
          <w:rFonts w:cstheme="minorHAnsi"/>
          <w:i/>
          <w:iCs/>
          <w:sz w:val="28"/>
          <w:szCs w:val="28"/>
          <w:shd w:val="clear" w:color="auto" w:fill="FFFFFF"/>
        </w:rPr>
        <w:t>Frontiers in psychiatry</w:t>
      </w:r>
      <w:r w:rsidRPr="007D15E6">
        <w:rPr>
          <w:rFonts w:cstheme="minorHAnsi"/>
          <w:sz w:val="28"/>
          <w:szCs w:val="28"/>
          <w:shd w:val="clear" w:color="auto" w:fill="FFFFFF"/>
        </w:rPr>
        <w:t xml:space="preserve">, 15(7), pp. 1322356.   </w:t>
      </w:r>
    </w:p>
    <w:p w14:paraId="0E6D29E3" w14:textId="77777777" w:rsidR="003D59DC" w:rsidRPr="007D15E6" w:rsidRDefault="003D59DC" w:rsidP="003D59DC">
      <w:pPr>
        <w:rPr>
          <w:rFonts w:cstheme="minorHAnsi"/>
          <w:sz w:val="28"/>
          <w:szCs w:val="28"/>
          <w:shd w:val="clear" w:color="auto" w:fill="FFFFFF"/>
        </w:rPr>
      </w:pPr>
    </w:p>
    <w:p w14:paraId="0CEC99CC"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 xml:space="preserve">Bryant, L., and Hemsley, B. (2024) ‘Augmented reality: a view to future visual supports for people with disability’, </w:t>
      </w:r>
      <w:r w:rsidRPr="007D15E6">
        <w:rPr>
          <w:rFonts w:cstheme="minorHAnsi"/>
          <w:i/>
          <w:iCs/>
          <w:sz w:val="28"/>
          <w:szCs w:val="28"/>
          <w:shd w:val="clear" w:color="auto" w:fill="FFFFFF"/>
        </w:rPr>
        <w:t>Disability and Rehabilitation: Assistive Technology</w:t>
      </w:r>
      <w:r w:rsidRPr="007D15E6">
        <w:rPr>
          <w:rFonts w:cstheme="minorHAnsi"/>
          <w:sz w:val="28"/>
          <w:szCs w:val="28"/>
          <w:shd w:val="clear" w:color="auto" w:fill="FFFFFF"/>
        </w:rPr>
        <w:t>, 19(3), pp.800-813.</w:t>
      </w:r>
    </w:p>
    <w:p w14:paraId="6BD4E0A7" w14:textId="77777777" w:rsidR="003D59DC" w:rsidRPr="007D15E6" w:rsidRDefault="003D59DC" w:rsidP="003D59DC">
      <w:pPr>
        <w:rPr>
          <w:rFonts w:cstheme="minorHAnsi"/>
          <w:sz w:val="28"/>
          <w:szCs w:val="28"/>
          <w:shd w:val="clear" w:color="auto" w:fill="FFFFFF"/>
        </w:rPr>
      </w:pPr>
    </w:p>
    <w:p w14:paraId="60BB53B0" w14:textId="77777777" w:rsidR="003D59DC" w:rsidRPr="007D15E6" w:rsidRDefault="003D59DC" w:rsidP="003D59DC">
      <w:pPr>
        <w:rPr>
          <w:rFonts w:cstheme="minorHAnsi"/>
          <w:sz w:val="28"/>
          <w:szCs w:val="28"/>
        </w:rPr>
      </w:pPr>
      <w:r w:rsidRPr="007D15E6">
        <w:rPr>
          <w:rFonts w:cstheme="minorHAnsi"/>
          <w:sz w:val="28"/>
          <w:szCs w:val="28"/>
          <w:shd w:val="clear" w:color="auto" w:fill="FFFFFF"/>
        </w:rPr>
        <w:t xml:space="preserve">Brinkman, A. H., Rea-Sandin, G., Lund, E. M., Fitzpatrick, O. M., Gusman, M. S., Boness, C. L., and Scholars for Elevating Equity and Diversity (SEED) (2023) ‘Shifting the discourse on disability: Moving to an inclusive, intersectional focus’, </w:t>
      </w:r>
      <w:r w:rsidRPr="007D15E6">
        <w:rPr>
          <w:rFonts w:cstheme="minorHAnsi"/>
          <w:i/>
          <w:iCs/>
          <w:sz w:val="28"/>
          <w:szCs w:val="28"/>
          <w:shd w:val="clear" w:color="auto" w:fill="FFFFFF"/>
        </w:rPr>
        <w:t>The American journal of orthopsychiatry</w:t>
      </w:r>
      <w:r w:rsidRPr="007D15E6">
        <w:rPr>
          <w:rFonts w:cstheme="minorHAnsi"/>
          <w:sz w:val="28"/>
          <w:szCs w:val="28"/>
          <w:shd w:val="clear" w:color="auto" w:fill="FFFFFF"/>
        </w:rPr>
        <w:t xml:space="preserve">, 93(1), pp.50–62. </w:t>
      </w:r>
    </w:p>
    <w:p w14:paraId="0D866BDF" w14:textId="77777777" w:rsidR="003D59DC" w:rsidRPr="007D15E6" w:rsidRDefault="003D59DC" w:rsidP="003D59DC">
      <w:pPr>
        <w:rPr>
          <w:rFonts w:cstheme="minorHAnsi"/>
          <w:sz w:val="28"/>
          <w:szCs w:val="28"/>
        </w:rPr>
      </w:pPr>
    </w:p>
    <w:p w14:paraId="78E4F0D2"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 xml:space="preserve">Christner, R. W., and Mennuti, R. B. (2024) </w:t>
      </w:r>
      <w:r w:rsidRPr="007D15E6">
        <w:rPr>
          <w:rFonts w:cstheme="minorHAnsi"/>
          <w:i/>
          <w:iCs/>
          <w:sz w:val="28"/>
          <w:szCs w:val="28"/>
          <w:shd w:val="clear" w:color="auto" w:fill="FFFFFF"/>
        </w:rPr>
        <w:t>Building a Foundational Framework of Cognitive-</w:t>
      </w:r>
      <w:proofErr w:type="spellStart"/>
      <w:r w:rsidRPr="007D15E6">
        <w:rPr>
          <w:rFonts w:cstheme="minorHAnsi"/>
          <w:i/>
          <w:iCs/>
          <w:sz w:val="28"/>
          <w:szCs w:val="28"/>
          <w:shd w:val="clear" w:color="auto" w:fill="FFFFFF"/>
        </w:rPr>
        <w:t>Behavior</w:t>
      </w:r>
      <w:proofErr w:type="spellEnd"/>
      <w:r w:rsidRPr="007D15E6">
        <w:rPr>
          <w:rFonts w:cstheme="minorHAnsi"/>
          <w:i/>
          <w:iCs/>
          <w:sz w:val="28"/>
          <w:szCs w:val="28"/>
          <w:shd w:val="clear" w:color="auto" w:fill="FFFFFF"/>
        </w:rPr>
        <w:t xml:space="preserve"> Therapy (CBT) in Schools. In Cognitive-</w:t>
      </w:r>
      <w:proofErr w:type="spellStart"/>
      <w:r w:rsidRPr="007D15E6">
        <w:rPr>
          <w:rFonts w:cstheme="minorHAnsi"/>
          <w:i/>
          <w:iCs/>
          <w:sz w:val="28"/>
          <w:szCs w:val="28"/>
          <w:shd w:val="clear" w:color="auto" w:fill="FFFFFF"/>
        </w:rPr>
        <w:t>Behavioral</w:t>
      </w:r>
      <w:proofErr w:type="spellEnd"/>
      <w:r w:rsidRPr="007D15E6">
        <w:rPr>
          <w:rFonts w:cstheme="minorHAnsi"/>
          <w:i/>
          <w:iCs/>
          <w:sz w:val="28"/>
          <w:szCs w:val="28"/>
          <w:shd w:val="clear" w:color="auto" w:fill="FFFFFF"/>
        </w:rPr>
        <w:t xml:space="preserve"> Interventions in Educational Settings</w:t>
      </w:r>
      <w:r w:rsidRPr="007D15E6">
        <w:rPr>
          <w:rFonts w:cstheme="minorHAnsi"/>
          <w:sz w:val="28"/>
          <w:szCs w:val="28"/>
          <w:shd w:val="clear" w:color="auto" w:fill="FFFFFF"/>
        </w:rPr>
        <w:t>. 3</w:t>
      </w:r>
      <w:r w:rsidRPr="007D15E6">
        <w:rPr>
          <w:rFonts w:cstheme="minorHAnsi"/>
          <w:sz w:val="28"/>
          <w:szCs w:val="28"/>
          <w:shd w:val="clear" w:color="auto" w:fill="FFFFFF"/>
          <w:vertAlign w:val="superscript"/>
        </w:rPr>
        <w:t>rd</w:t>
      </w:r>
      <w:r w:rsidRPr="007D15E6">
        <w:rPr>
          <w:rFonts w:cstheme="minorHAnsi"/>
          <w:sz w:val="28"/>
          <w:szCs w:val="28"/>
          <w:shd w:val="clear" w:color="auto" w:fill="FFFFFF"/>
        </w:rPr>
        <w:t xml:space="preserve"> </w:t>
      </w:r>
      <w:proofErr w:type="spellStart"/>
      <w:r w:rsidRPr="007D15E6">
        <w:rPr>
          <w:rFonts w:cstheme="minorHAnsi"/>
          <w:sz w:val="28"/>
          <w:szCs w:val="28"/>
          <w:shd w:val="clear" w:color="auto" w:fill="FFFFFF"/>
        </w:rPr>
        <w:t>edn</w:t>
      </w:r>
      <w:proofErr w:type="spellEnd"/>
      <w:r w:rsidRPr="007D15E6">
        <w:rPr>
          <w:rFonts w:cstheme="minorHAnsi"/>
          <w:sz w:val="28"/>
          <w:szCs w:val="28"/>
          <w:shd w:val="clear" w:color="auto" w:fill="FFFFFF"/>
        </w:rPr>
        <w:t>. London: Routledge.</w:t>
      </w:r>
    </w:p>
    <w:p w14:paraId="01F7ABF1" w14:textId="77777777" w:rsidR="003D59DC" w:rsidRPr="007D15E6" w:rsidRDefault="003D59DC" w:rsidP="003D59DC">
      <w:pPr>
        <w:rPr>
          <w:rFonts w:cstheme="minorHAnsi"/>
          <w:sz w:val="28"/>
          <w:szCs w:val="28"/>
          <w:shd w:val="clear" w:color="auto" w:fill="FFFFFF"/>
        </w:rPr>
      </w:pPr>
    </w:p>
    <w:p w14:paraId="158BF593"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 xml:space="preserve">Cleary, K., (2012) ‘Safer recruitment—guidance for organizations’, </w:t>
      </w:r>
      <w:r w:rsidRPr="007D15E6">
        <w:rPr>
          <w:rFonts w:cstheme="minorHAnsi"/>
          <w:i/>
          <w:iCs/>
          <w:sz w:val="28"/>
          <w:szCs w:val="28"/>
          <w:shd w:val="clear" w:color="auto" w:fill="FFFFFF"/>
        </w:rPr>
        <w:t>Creating safer organizations: Practical steps to prevent the abuse of children by those working with them</w:t>
      </w:r>
      <w:r w:rsidRPr="007D15E6">
        <w:rPr>
          <w:rFonts w:cstheme="minorHAnsi"/>
          <w:sz w:val="28"/>
          <w:szCs w:val="28"/>
          <w:shd w:val="clear" w:color="auto" w:fill="FFFFFF"/>
        </w:rPr>
        <w:t>, 12(9),  pp.122-140.</w:t>
      </w:r>
    </w:p>
    <w:p w14:paraId="3558C4A6" w14:textId="77777777" w:rsidR="003D59DC" w:rsidRPr="007D15E6" w:rsidRDefault="003D59DC" w:rsidP="003D59DC">
      <w:pPr>
        <w:rPr>
          <w:rFonts w:cstheme="minorHAnsi"/>
          <w:sz w:val="28"/>
          <w:szCs w:val="28"/>
          <w:shd w:val="clear" w:color="auto" w:fill="FFFFFF"/>
        </w:rPr>
      </w:pPr>
    </w:p>
    <w:p w14:paraId="297CE049" w14:textId="77777777" w:rsidR="003D59DC" w:rsidRPr="007D15E6" w:rsidRDefault="003D59DC" w:rsidP="003D59DC">
      <w:pPr>
        <w:pStyle w:val="NormalWeb"/>
        <w:spacing w:before="0" w:beforeAutospacing="0" w:after="0" w:afterAutospacing="0" w:line="480" w:lineRule="auto"/>
        <w:ind w:left="720" w:hanging="720"/>
        <w:rPr>
          <w:rFonts w:asciiTheme="minorHAnsi" w:hAnsiTheme="minorHAnsi" w:cstheme="minorHAnsi"/>
          <w:sz w:val="28"/>
          <w:szCs w:val="28"/>
        </w:rPr>
      </w:pPr>
      <w:bookmarkStart w:id="1" w:name="_Hlk195738759"/>
      <w:r w:rsidRPr="007D15E6">
        <w:rPr>
          <w:rFonts w:asciiTheme="minorHAnsi" w:hAnsiTheme="minorHAnsi" w:cstheme="minorHAnsi"/>
          <w:i/>
          <w:iCs/>
          <w:sz w:val="28"/>
          <w:szCs w:val="28"/>
        </w:rPr>
        <w:t>Contextual Safeguarding</w:t>
      </w:r>
      <w:r w:rsidRPr="007D15E6">
        <w:rPr>
          <w:rFonts w:asciiTheme="minorHAnsi" w:hAnsiTheme="minorHAnsi" w:cstheme="minorHAnsi"/>
          <w:sz w:val="28"/>
          <w:szCs w:val="28"/>
        </w:rPr>
        <w:t xml:space="preserve"> (2023)</w:t>
      </w:r>
      <w:bookmarkEnd w:id="1"/>
      <w:r w:rsidRPr="007D15E6">
        <w:rPr>
          <w:rFonts w:asciiTheme="minorHAnsi" w:hAnsiTheme="minorHAnsi" w:cstheme="minorHAnsi"/>
          <w:sz w:val="28"/>
          <w:szCs w:val="28"/>
        </w:rPr>
        <w:t xml:space="preserve"> </w:t>
      </w:r>
      <w:r w:rsidRPr="007D15E6">
        <w:rPr>
          <w:rFonts w:asciiTheme="minorHAnsi" w:hAnsiTheme="minorHAnsi" w:cstheme="minorHAnsi"/>
          <w:i/>
          <w:iCs/>
          <w:sz w:val="28"/>
          <w:szCs w:val="28"/>
        </w:rPr>
        <w:t xml:space="preserve">The Challenges and Opportunities of Implementing contextual safeguarding in practice. </w:t>
      </w:r>
      <w:r w:rsidRPr="007D15E6">
        <w:rPr>
          <w:rFonts w:asciiTheme="minorHAnsi" w:hAnsiTheme="minorHAnsi" w:cstheme="minorHAnsi"/>
          <w:sz w:val="28"/>
          <w:szCs w:val="28"/>
        </w:rPr>
        <w:t xml:space="preserve">Available at: </w:t>
      </w:r>
      <w:hyperlink r:id="rId15" w:history="1">
        <w:r w:rsidRPr="007D15E6">
          <w:rPr>
            <w:rStyle w:val="Hyperlink"/>
            <w:rFonts w:asciiTheme="minorHAnsi" w:eastAsiaTheme="majorEastAsia" w:hAnsiTheme="minorHAnsi" w:cstheme="minorHAnsi"/>
            <w:color w:val="auto"/>
            <w:sz w:val="28"/>
            <w:szCs w:val="28"/>
          </w:rPr>
          <w:t>https://www.contextualsafeguarding.org.uk/blog/the-challenges-and-opportunities-of-implementing-contextual-safeguarding-in-practice/</w:t>
        </w:r>
      </w:hyperlink>
      <w:r w:rsidRPr="007D15E6">
        <w:rPr>
          <w:rStyle w:val="url"/>
          <w:rFonts w:asciiTheme="minorHAnsi" w:eastAsiaTheme="majorEastAsia" w:hAnsiTheme="minorHAnsi" w:cstheme="minorHAnsi"/>
          <w:sz w:val="28"/>
          <w:szCs w:val="28"/>
        </w:rPr>
        <w:t xml:space="preserve"> (Accessed 16</w:t>
      </w:r>
      <w:r w:rsidRPr="007D15E6">
        <w:rPr>
          <w:rStyle w:val="url"/>
          <w:rFonts w:asciiTheme="minorHAnsi" w:eastAsiaTheme="majorEastAsia" w:hAnsiTheme="minorHAnsi" w:cstheme="minorHAnsi"/>
          <w:sz w:val="28"/>
          <w:szCs w:val="28"/>
          <w:vertAlign w:val="superscript"/>
        </w:rPr>
        <w:t>th</w:t>
      </w:r>
      <w:r w:rsidRPr="007D15E6">
        <w:rPr>
          <w:rStyle w:val="url"/>
          <w:rFonts w:asciiTheme="minorHAnsi" w:eastAsiaTheme="majorEastAsia" w:hAnsiTheme="minorHAnsi" w:cstheme="minorHAnsi"/>
          <w:sz w:val="28"/>
          <w:szCs w:val="28"/>
        </w:rPr>
        <w:t xml:space="preserve"> April, 2025).</w:t>
      </w:r>
    </w:p>
    <w:p w14:paraId="36B50B0A" w14:textId="77777777" w:rsidR="003D59DC" w:rsidRPr="007D15E6" w:rsidRDefault="003D59DC" w:rsidP="003D59DC">
      <w:pPr>
        <w:rPr>
          <w:rFonts w:cstheme="minorHAnsi"/>
          <w:sz w:val="28"/>
          <w:szCs w:val="28"/>
          <w:shd w:val="clear" w:color="auto" w:fill="FFFFFF"/>
        </w:rPr>
      </w:pPr>
    </w:p>
    <w:p w14:paraId="5A755327" w14:textId="77777777" w:rsidR="003D59DC" w:rsidRPr="007D15E6" w:rsidRDefault="003D59DC" w:rsidP="003D59DC">
      <w:pPr>
        <w:rPr>
          <w:rFonts w:cstheme="minorHAnsi"/>
          <w:sz w:val="28"/>
          <w:szCs w:val="28"/>
          <w:shd w:val="clear" w:color="auto" w:fill="FFFFFF"/>
        </w:rPr>
      </w:pPr>
    </w:p>
    <w:p w14:paraId="6203D4CF" w14:textId="77777777" w:rsidR="003D59DC" w:rsidRPr="007D15E6" w:rsidRDefault="003D59DC" w:rsidP="003D59DC">
      <w:pPr>
        <w:rPr>
          <w:rFonts w:cstheme="minorHAnsi"/>
          <w:sz w:val="28"/>
          <w:szCs w:val="28"/>
        </w:rPr>
      </w:pPr>
    </w:p>
    <w:p w14:paraId="4807FAA4"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 xml:space="preserve">Di Malta, G., Cooper, M., O'Hara, M., Stephen, S., and </w:t>
      </w:r>
      <w:proofErr w:type="spellStart"/>
      <w:r w:rsidRPr="007D15E6">
        <w:rPr>
          <w:rFonts w:cstheme="minorHAnsi"/>
          <w:sz w:val="28"/>
          <w:szCs w:val="28"/>
          <w:shd w:val="clear" w:color="auto" w:fill="FFFFFF"/>
        </w:rPr>
        <w:t>Gololob</w:t>
      </w:r>
      <w:proofErr w:type="spellEnd"/>
      <w:r w:rsidRPr="007D15E6">
        <w:rPr>
          <w:rFonts w:cstheme="minorHAnsi"/>
          <w:sz w:val="28"/>
          <w:szCs w:val="28"/>
          <w:shd w:val="clear" w:color="auto" w:fill="FFFFFF"/>
        </w:rPr>
        <w:t>, Y. (2024) </w:t>
      </w:r>
      <w:r w:rsidRPr="007D15E6">
        <w:rPr>
          <w:rFonts w:cstheme="minorHAnsi"/>
          <w:i/>
          <w:iCs/>
          <w:sz w:val="28"/>
          <w:szCs w:val="28"/>
          <w:shd w:val="clear" w:color="auto" w:fill="FFFFFF"/>
        </w:rPr>
        <w:t>The handbook of person-centred psychotherapy and counselling</w:t>
      </w:r>
      <w:r w:rsidRPr="007D15E6">
        <w:rPr>
          <w:rFonts w:cstheme="minorHAnsi"/>
          <w:sz w:val="28"/>
          <w:szCs w:val="28"/>
          <w:shd w:val="clear" w:color="auto" w:fill="FFFFFF"/>
        </w:rPr>
        <w:t>. 3</w:t>
      </w:r>
      <w:r w:rsidRPr="007D15E6">
        <w:rPr>
          <w:rFonts w:cstheme="minorHAnsi"/>
          <w:sz w:val="28"/>
          <w:szCs w:val="28"/>
          <w:shd w:val="clear" w:color="auto" w:fill="FFFFFF"/>
          <w:vertAlign w:val="superscript"/>
        </w:rPr>
        <w:t>rd</w:t>
      </w:r>
      <w:r w:rsidRPr="007D15E6">
        <w:rPr>
          <w:rFonts w:cstheme="minorHAnsi"/>
          <w:sz w:val="28"/>
          <w:szCs w:val="28"/>
          <w:shd w:val="clear" w:color="auto" w:fill="FFFFFF"/>
        </w:rPr>
        <w:t xml:space="preserve"> </w:t>
      </w:r>
      <w:proofErr w:type="spellStart"/>
      <w:r w:rsidRPr="007D15E6">
        <w:rPr>
          <w:rFonts w:cstheme="minorHAnsi"/>
          <w:sz w:val="28"/>
          <w:szCs w:val="28"/>
          <w:shd w:val="clear" w:color="auto" w:fill="FFFFFF"/>
        </w:rPr>
        <w:t>edn</w:t>
      </w:r>
      <w:proofErr w:type="spellEnd"/>
      <w:r w:rsidRPr="007D15E6">
        <w:rPr>
          <w:rFonts w:cstheme="minorHAnsi"/>
          <w:sz w:val="28"/>
          <w:szCs w:val="28"/>
          <w:shd w:val="clear" w:color="auto" w:fill="FFFFFF"/>
        </w:rPr>
        <w:t>. London: Bloomsbury Publishing.</w:t>
      </w:r>
    </w:p>
    <w:p w14:paraId="75273F90" w14:textId="77777777" w:rsidR="003D59DC" w:rsidRPr="007D15E6" w:rsidRDefault="003D59DC" w:rsidP="003D59DC">
      <w:pPr>
        <w:rPr>
          <w:rFonts w:cstheme="minorHAnsi"/>
          <w:sz w:val="28"/>
          <w:szCs w:val="28"/>
          <w:shd w:val="clear" w:color="auto" w:fill="FFFFFF"/>
        </w:rPr>
      </w:pPr>
    </w:p>
    <w:p w14:paraId="7DBE7D48" w14:textId="77777777" w:rsidR="003D59DC" w:rsidRPr="007D15E6" w:rsidRDefault="003D59DC" w:rsidP="003D59DC">
      <w:pPr>
        <w:rPr>
          <w:rFonts w:cstheme="minorHAnsi"/>
          <w:sz w:val="28"/>
          <w:szCs w:val="28"/>
        </w:rPr>
      </w:pPr>
      <w:r w:rsidRPr="007D15E6">
        <w:rPr>
          <w:rFonts w:cstheme="minorHAnsi"/>
          <w:sz w:val="28"/>
          <w:szCs w:val="28"/>
        </w:rPr>
        <w:t xml:space="preserve">Daly, A. (2023) 'Intergenerational rights are children's rights: Upholding the right to a healthy environment through the UNCRC', </w:t>
      </w:r>
      <w:r w:rsidRPr="007D15E6">
        <w:rPr>
          <w:rStyle w:val="Emphasis"/>
          <w:rFonts w:cstheme="minorHAnsi"/>
          <w:sz w:val="28"/>
          <w:szCs w:val="28"/>
        </w:rPr>
        <w:t>Netherlands Quarterly of Human Rights</w:t>
      </w:r>
      <w:r w:rsidRPr="007D15E6">
        <w:rPr>
          <w:rFonts w:cstheme="minorHAnsi"/>
          <w:sz w:val="28"/>
          <w:szCs w:val="28"/>
        </w:rPr>
        <w:t>, 41(3), pp. 266–288.</w:t>
      </w:r>
    </w:p>
    <w:p w14:paraId="0FD92AAC" w14:textId="77777777" w:rsidR="003D59DC" w:rsidRPr="007D15E6" w:rsidRDefault="003D59DC" w:rsidP="003D59DC">
      <w:pPr>
        <w:rPr>
          <w:rFonts w:cstheme="minorHAnsi"/>
          <w:sz w:val="28"/>
          <w:szCs w:val="28"/>
        </w:rPr>
      </w:pPr>
    </w:p>
    <w:p w14:paraId="1946B12C" w14:textId="77777777" w:rsidR="003D59DC" w:rsidRPr="007D15E6" w:rsidRDefault="003D59DC" w:rsidP="003D59DC">
      <w:pPr>
        <w:rPr>
          <w:rFonts w:cstheme="minorHAnsi"/>
          <w:sz w:val="28"/>
          <w:szCs w:val="28"/>
        </w:rPr>
      </w:pPr>
      <w:r w:rsidRPr="007D15E6">
        <w:rPr>
          <w:rFonts w:cstheme="minorHAnsi"/>
          <w:sz w:val="28"/>
          <w:szCs w:val="28"/>
          <w:shd w:val="clear" w:color="auto" w:fill="FFFFFF"/>
        </w:rPr>
        <w:t xml:space="preserve">Frost, N. and Parton, N. (2009) </w:t>
      </w:r>
      <w:r w:rsidRPr="007D15E6">
        <w:rPr>
          <w:rFonts w:cstheme="minorHAnsi"/>
          <w:i/>
          <w:iCs/>
          <w:sz w:val="28"/>
          <w:szCs w:val="28"/>
          <w:shd w:val="clear" w:color="auto" w:fill="FFFFFF"/>
        </w:rPr>
        <w:t>Understanding children's social care: Politics, policy and practice</w:t>
      </w:r>
      <w:r w:rsidRPr="007D15E6">
        <w:rPr>
          <w:rFonts w:cstheme="minorHAnsi"/>
          <w:sz w:val="28"/>
          <w:szCs w:val="28"/>
          <w:shd w:val="clear" w:color="auto" w:fill="FFFFFF"/>
        </w:rPr>
        <w:t>. 1</w:t>
      </w:r>
      <w:r w:rsidRPr="007D15E6">
        <w:rPr>
          <w:rFonts w:cstheme="minorHAnsi"/>
          <w:sz w:val="28"/>
          <w:szCs w:val="28"/>
        </w:rPr>
        <w:t>st ed. London: SAGE Publications Ltd.</w:t>
      </w:r>
    </w:p>
    <w:p w14:paraId="4807B0A9" w14:textId="77777777" w:rsidR="003D59DC" w:rsidRPr="007D15E6" w:rsidRDefault="003D59DC" w:rsidP="003D59DC">
      <w:pPr>
        <w:rPr>
          <w:rFonts w:cstheme="minorHAnsi"/>
          <w:sz w:val="28"/>
          <w:szCs w:val="28"/>
          <w:shd w:val="clear" w:color="auto" w:fill="FFFFFF"/>
        </w:rPr>
      </w:pPr>
    </w:p>
    <w:p w14:paraId="6A112EC4"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 xml:space="preserve">Furu, A. C., Chan, A., Larsson, J., Engdahl, I., Klaus, S., Navarrete, A. M., and Turk </w:t>
      </w:r>
      <w:proofErr w:type="spellStart"/>
      <w:r w:rsidRPr="007D15E6">
        <w:rPr>
          <w:rFonts w:cstheme="minorHAnsi"/>
          <w:sz w:val="28"/>
          <w:szCs w:val="28"/>
          <w:shd w:val="clear" w:color="auto" w:fill="FFFFFF"/>
        </w:rPr>
        <w:t>Niskač</w:t>
      </w:r>
      <w:proofErr w:type="spellEnd"/>
      <w:r w:rsidRPr="007D15E6">
        <w:rPr>
          <w:rFonts w:cstheme="minorHAnsi"/>
          <w:sz w:val="28"/>
          <w:szCs w:val="28"/>
          <w:shd w:val="clear" w:color="auto" w:fill="FFFFFF"/>
        </w:rPr>
        <w:t xml:space="preserve">, B. (2023) ‘Promoting Resilience in Early Childhood Education and Care to Prepare Children for a World of Change: A Critical Analysis of National and International Policy Documents’, Children (Basel, Switzerland), 10(4), pp. 7-16. </w:t>
      </w:r>
    </w:p>
    <w:p w14:paraId="303BFA35" w14:textId="77777777" w:rsidR="003D59DC" w:rsidRPr="007D15E6" w:rsidRDefault="003D59DC" w:rsidP="003D59DC">
      <w:pPr>
        <w:rPr>
          <w:rFonts w:cstheme="minorHAnsi"/>
          <w:sz w:val="28"/>
          <w:szCs w:val="28"/>
          <w:shd w:val="clear" w:color="auto" w:fill="FFFFFF"/>
        </w:rPr>
      </w:pPr>
    </w:p>
    <w:p w14:paraId="07FA9767"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lastRenderedPageBreak/>
        <w:t xml:space="preserve"> GOV.WALES. (2019) </w:t>
      </w:r>
      <w:r w:rsidRPr="007D15E6">
        <w:rPr>
          <w:rFonts w:cstheme="minorHAnsi"/>
          <w:i/>
          <w:iCs/>
          <w:sz w:val="28"/>
          <w:szCs w:val="28"/>
          <w:shd w:val="clear" w:color="auto" w:fill="FFFFFF"/>
        </w:rPr>
        <w:t>Children’s rights in Wales.</w:t>
      </w:r>
      <w:r w:rsidRPr="007D15E6">
        <w:rPr>
          <w:rFonts w:cstheme="minorHAnsi"/>
          <w:sz w:val="28"/>
          <w:szCs w:val="28"/>
          <w:shd w:val="clear" w:color="auto" w:fill="FFFFFF"/>
        </w:rPr>
        <w:t xml:space="preserve"> Available at: https://www.gov.wales/childrens-rights-in-wales (Accessed 12th April, 2025).</w:t>
      </w:r>
    </w:p>
    <w:p w14:paraId="338EFD38" w14:textId="77777777" w:rsidR="003D59DC" w:rsidRPr="007D15E6" w:rsidRDefault="003D59DC" w:rsidP="003D59DC">
      <w:pPr>
        <w:rPr>
          <w:rFonts w:cstheme="minorHAnsi"/>
          <w:sz w:val="28"/>
          <w:szCs w:val="28"/>
          <w:shd w:val="clear" w:color="auto" w:fill="FFFFFF"/>
        </w:rPr>
      </w:pPr>
    </w:p>
    <w:p w14:paraId="0F952D08"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 xml:space="preserve">GOV. WALES (2020) </w:t>
      </w:r>
      <w:r w:rsidRPr="007D15E6">
        <w:rPr>
          <w:rFonts w:cstheme="minorHAnsi"/>
          <w:i/>
          <w:iCs/>
          <w:sz w:val="28"/>
          <w:szCs w:val="28"/>
          <w:shd w:val="clear" w:color="auto" w:fill="FFFFFF"/>
        </w:rPr>
        <w:t>Children (Abolition of defence of Reasonable Punishment) (Wales) Act 2020.</w:t>
      </w:r>
      <w:r w:rsidRPr="007D15E6">
        <w:rPr>
          <w:rFonts w:cstheme="minorHAnsi"/>
          <w:sz w:val="28"/>
          <w:szCs w:val="28"/>
          <w:shd w:val="clear" w:color="auto" w:fill="FFFFFF"/>
        </w:rPr>
        <w:t xml:space="preserve"> Available at : </w:t>
      </w:r>
      <w:hyperlink r:id="rId16" w:history="1">
        <w:r w:rsidRPr="007D15E6">
          <w:rPr>
            <w:rStyle w:val="Hyperlink"/>
            <w:rFonts w:cstheme="minorHAnsi"/>
            <w:color w:val="auto"/>
            <w:sz w:val="28"/>
            <w:szCs w:val="28"/>
            <w:shd w:val="clear" w:color="auto" w:fill="FFFFFF"/>
          </w:rPr>
          <w:t>https://www.legislation.gov.uk/anaw/2020/3</w:t>
        </w:r>
      </w:hyperlink>
      <w:r w:rsidRPr="007D15E6">
        <w:rPr>
          <w:rFonts w:cstheme="minorHAnsi"/>
          <w:sz w:val="28"/>
          <w:szCs w:val="28"/>
          <w:shd w:val="clear" w:color="auto" w:fill="FFFFFF"/>
        </w:rPr>
        <w:t xml:space="preserve"> (Accessed 15</w:t>
      </w:r>
      <w:r w:rsidRPr="007D15E6">
        <w:rPr>
          <w:rFonts w:cstheme="minorHAnsi"/>
          <w:sz w:val="28"/>
          <w:szCs w:val="28"/>
          <w:shd w:val="clear" w:color="auto" w:fill="FFFFFF"/>
          <w:vertAlign w:val="superscript"/>
        </w:rPr>
        <w:t>th</w:t>
      </w:r>
      <w:r w:rsidRPr="007D15E6">
        <w:rPr>
          <w:rFonts w:cstheme="minorHAnsi"/>
          <w:sz w:val="28"/>
          <w:szCs w:val="28"/>
          <w:shd w:val="clear" w:color="auto" w:fill="FFFFFF"/>
        </w:rPr>
        <w:t xml:space="preserve"> April, 2025). </w:t>
      </w:r>
    </w:p>
    <w:p w14:paraId="68ED3DA8" w14:textId="77777777" w:rsidR="003D59DC" w:rsidRPr="007D15E6" w:rsidRDefault="003D59DC" w:rsidP="003D59DC">
      <w:pPr>
        <w:rPr>
          <w:rFonts w:cstheme="minorHAnsi"/>
          <w:sz w:val="28"/>
          <w:szCs w:val="28"/>
          <w:shd w:val="clear" w:color="auto" w:fill="FFFFFF"/>
        </w:rPr>
      </w:pPr>
    </w:p>
    <w:p w14:paraId="7063473F" w14:textId="77777777" w:rsidR="003D59DC" w:rsidRPr="007D15E6" w:rsidRDefault="003D59DC" w:rsidP="003D59DC">
      <w:pPr>
        <w:pStyle w:val="NormalWeb"/>
        <w:spacing w:before="0" w:beforeAutospacing="0" w:after="0" w:afterAutospacing="0" w:line="480" w:lineRule="auto"/>
        <w:ind w:left="720" w:hanging="720"/>
        <w:rPr>
          <w:rFonts w:asciiTheme="minorHAnsi" w:hAnsiTheme="minorHAnsi" w:cstheme="minorHAnsi"/>
          <w:sz w:val="28"/>
          <w:szCs w:val="28"/>
        </w:rPr>
      </w:pPr>
      <w:r w:rsidRPr="007D15E6">
        <w:rPr>
          <w:rFonts w:asciiTheme="minorHAnsi" w:hAnsiTheme="minorHAnsi" w:cstheme="minorHAnsi"/>
          <w:i/>
          <w:iCs/>
          <w:sz w:val="28"/>
          <w:szCs w:val="28"/>
        </w:rPr>
        <w:t>GOV.UK</w:t>
      </w:r>
      <w:r w:rsidRPr="007D15E6">
        <w:rPr>
          <w:rFonts w:asciiTheme="minorHAnsi" w:hAnsiTheme="minorHAnsi" w:cstheme="minorHAnsi"/>
          <w:sz w:val="28"/>
          <w:szCs w:val="28"/>
        </w:rPr>
        <w:t xml:space="preserve"> (2021a) </w:t>
      </w:r>
      <w:r w:rsidRPr="007D15E6">
        <w:rPr>
          <w:rFonts w:asciiTheme="minorHAnsi" w:hAnsiTheme="minorHAnsi" w:cstheme="minorHAnsi"/>
          <w:i/>
          <w:iCs/>
          <w:sz w:val="28"/>
          <w:szCs w:val="28"/>
        </w:rPr>
        <w:t>Safeguarding system needs to tackle “stubborn challenges.”</w:t>
      </w:r>
      <w:r w:rsidRPr="007D15E6">
        <w:rPr>
          <w:rFonts w:asciiTheme="minorHAnsi" w:hAnsiTheme="minorHAnsi" w:cstheme="minorHAnsi"/>
          <w:sz w:val="28"/>
          <w:szCs w:val="28"/>
        </w:rPr>
        <w:t xml:space="preserve"> </w:t>
      </w:r>
      <w:r w:rsidRPr="007D15E6">
        <w:rPr>
          <w:rStyle w:val="url"/>
          <w:rFonts w:asciiTheme="minorHAnsi" w:eastAsiaTheme="majorEastAsia" w:hAnsiTheme="minorHAnsi" w:cstheme="minorHAnsi"/>
          <w:sz w:val="28"/>
          <w:szCs w:val="28"/>
        </w:rPr>
        <w:t xml:space="preserve">Available at: </w:t>
      </w:r>
      <w:hyperlink r:id="rId17" w:history="1">
        <w:r w:rsidRPr="007D15E6">
          <w:rPr>
            <w:rStyle w:val="Hyperlink"/>
            <w:rFonts w:asciiTheme="minorHAnsi" w:eastAsiaTheme="majorEastAsia" w:hAnsiTheme="minorHAnsi" w:cstheme="minorHAnsi"/>
            <w:color w:val="auto"/>
            <w:sz w:val="28"/>
            <w:szCs w:val="28"/>
          </w:rPr>
          <w:t>https://www.gov.uk/government/news/safeguarding-system-needs-to-tackle-stubborn-challenges</w:t>
        </w:r>
      </w:hyperlink>
      <w:r w:rsidRPr="007D15E6">
        <w:rPr>
          <w:rStyle w:val="url"/>
          <w:rFonts w:asciiTheme="minorHAnsi" w:eastAsiaTheme="majorEastAsia" w:hAnsiTheme="minorHAnsi" w:cstheme="minorHAnsi"/>
          <w:sz w:val="28"/>
          <w:szCs w:val="28"/>
        </w:rPr>
        <w:t xml:space="preserve"> (Accessed 16th April, 2025).</w:t>
      </w:r>
    </w:p>
    <w:p w14:paraId="2BB12756" w14:textId="77777777" w:rsidR="003D59DC" w:rsidRPr="007D15E6" w:rsidRDefault="003D59DC" w:rsidP="003D59DC">
      <w:pPr>
        <w:rPr>
          <w:rFonts w:cstheme="minorHAnsi"/>
          <w:sz w:val="28"/>
          <w:szCs w:val="28"/>
          <w:shd w:val="clear" w:color="auto" w:fill="FFFFFF"/>
        </w:rPr>
      </w:pPr>
    </w:p>
    <w:p w14:paraId="463ED400" w14:textId="77777777" w:rsidR="003D59DC" w:rsidRPr="007D15E6" w:rsidRDefault="003D59DC" w:rsidP="003D59DC">
      <w:pPr>
        <w:rPr>
          <w:rFonts w:cstheme="minorHAnsi"/>
          <w:sz w:val="28"/>
          <w:szCs w:val="28"/>
          <w:shd w:val="clear" w:color="auto" w:fill="FFFFFF"/>
        </w:rPr>
      </w:pPr>
    </w:p>
    <w:p w14:paraId="7357E1F5" w14:textId="77777777" w:rsidR="003D59DC" w:rsidRPr="007D15E6" w:rsidRDefault="003D59DC" w:rsidP="003D59DC">
      <w:pPr>
        <w:pStyle w:val="NormalWeb"/>
        <w:spacing w:before="0" w:beforeAutospacing="0" w:after="0" w:afterAutospacing="0" w:line="480" w:lineRule="auto"/>
        <w:ind w:left="720" w:hanging="720"/>
        <w:rPr>
          <w:rFonts w:asciiTheme="minorHAnsi" w:hAnsiTheme="minorHAnsi" w:cstheme="minorHAnsi"/>
          <w:sz w:val="28"/>
          <w:szCs w:val="28"/>
        </w:rPr>
      </w:pPr>
      <w:r w:rsidRPr="007D15E6">
        <w:rPr>
          <w:rFonts w:asciiTheme="minorHAnsi" w:hAnsiTheme="minorHAnsi" w:cstheme="minorHAnsi"/>
          <w:sz w:val="28"/>
          <w:szCs w:val="28"/>
        </w:rPr>
        <w:t xml:space="preserve">GOV.WALES. (2021) </w:t>
      </w:r>
      <w:r w:rsidRPr="007D15E6">
        <w:rPr>
          <w:rFonts w:asciiTheme="minorHAnsi" w:hAnsiTheme="minorHAnsi" w:cstheme="minorHAnsi"/>
          <w:i/>
          <w:iCs/>
          <w:sz w:val="28"/>
          <w:szCs w:val="28"/>
        </w:rPr>
        <w:t xml:space="preserve">Evaluation of the Social Services and Well-being (Wales) Act 2014: process evaluation (research briefing). </w:t>
      </w:r>
      <w:r w:rsidRPr="007D15E6">
        <w:rPr>
          <w:rFonts w:asciiTheme="minorHAnsi" w:hAnsiTheme="minorHAnsi" w:cstheme="minorHAnsi"/>
          <w:sz w:val="28"/>
          <w:szCs w:val="28"/>
        </w:rPr>
        <w:t>Available at:</w:t>
      </w:r>
      <w:r w:rsidRPr="007D15E6">
        <w:rPr>
          <w:rFonts w:asciiTheme="minorHAnsi" w:hAnsiTheme="minorHAnsi" w:cstheme="minorHAnsi"/>
          <w:i/>
          <w:iCs/>
          <w:sz w:val="28"/>
          <w:szCs w:val="28"/>
        </w:rPr>
        <w:t xml:space="preserve">  </w:t>
      </w:r>
      <w:hyperlink r:id="rId18" w:history="1">
        <w:r w:rsidRPr="007D15E6">
          <w:rPr>
            <w:rStyle w:val="Hyperlink"/>
            <w:rFonts w:asciiTheme="minorHAnsi" w:eastAsiaTheme="majorEastAsia" w:hAnsiTheme="minorHAnsi" w:cstheme="minorHAnsi"/>
            <w:color w:val="auto"/>
            <w:sz w:val="28"/>
            <w:szCs w:val="28"/>
          </w:rPr>
          <w:t>https://www.gov.wales/evaluation-social-services-and-well-being-wales-act-2014-process-evaluation-research-briefing-html</w:t>
        </w:r>
      </w:hyperlink>
      <w:r w:rsidRPr="007D15E6">
        <w:rPr>
          <w:rStyle w:val="url"/>
          <w:rFonts w:asciiTheme="minorHAnsi" w:eastAsiaTheme="majorEastAsia" w:hAnsiTheme="minorHAnsi" w:cstheme="minorHAnsi"/>
          <w:sz w:val="28"/>
          <w:szCs w:val="28"/>
        </w:rPr>
        <w:t xml:space="preserve"> (Accessed, 15</w:t>
      </w:r>
      <w:r w:rsidRPr="007D15E6">
        <w:rPr>
          <w:rStyle w:val="url"/>
          <w:rFonts w:asciiTheme="minorHAnsi" w:eastAsiaTheme="majorEastAsia" w:hAnsiTheme="minorHAnsi" w:cstheme="minorHAnsi"/>
          <w:sz w:val="28"/>
          <w:szCs w:val="28"/>
          <w:vertAlign w:val="superscript"/>
        </w:rPr>
        <w:t>th</w:t>
      </w:r>
      <w:r w:rsidRPr="007D15E6">
        <w:rPr>
          <w:rStyle w:val="url"/>
          <w:rFonts w:asciiTheme="minorHAnsi" w:eastAsiaTheme="majorEastAsia" w:hAnsiTheme="minorHAnsi" w:cstheme="minorHAnsi"/>
          <w:sz w:val="28"/>
          <w:szCs w:val="28"/>
        </w:rPr>
        <w:t xml:space="preserve"> April, 2025).</w:t>
      </w:r>
    </w:p>
    <w:p w14:paraId="0D846BAB" w14:textId="77777777" w:rsidR="003D59DC" w:rsidRPr="007D15E6" w:rsidRDefault="003D59DC" w:rsidP="003D59DC">
      <w:pPr>
        <w:rPr>
          <w:rFonts w:cstheme="minorHAnsi"/>
          <w:sz w:val="28"/>
          <w:szCs w:val="28"/>
          <w:shd w:val="clear" w:color="auto" w:fill="FFFFFF"/>
        </w:rPr>
      </w:pPr>
    </w:p>
    <w:p w14:paraId="2C2335BF" w14:textId="77777777" w:rsidR="003D59DC" w:rsidRPr="007D15E6" w:rsidRDefault="003D59DC" w:rsidP="003D59DC">
      <w:pPr>
        <w:rPr>
          <w:rFonts w:cstheme="minorHAnsi"/>
          <w:sz w:val="28"/>
          <w:szCs w:val="28"/>
          <w:shd w:val="clear" w:color="auto" w:fill="FFFFFF"/>
        </w:rPr>
      </w:pPr>
    </w:p>
    <w:p w14:paraId="5DD1A3D2" w14:textId="77777777" w:rsidR="003D59DC" w:rsidRPr="007D15E6" w:rsidRDefault="003D59DC" w:rsidP="003D59DC">
      <w:pPr>
        <w:rPr>
          <w:rFonts w:cstheme="minorHAnsi"/>
          <w:sz w:val="28"/>
          <w:szCs w:val="28"/>
          <w:shd w:val="clear" w:color="auto" w:fill="FFFFFF"/>
        </w:rPr>
      </w:pPr>
    </w:p>
    <w:p w14:paraId="4E869B69" w14:textId="77777777" w:rsidR="003D59DC" w:rsidRPr="007D15E6" w:rsidRDefault="003D59DC" w:rsidP="003D59DC">
      <w:pPr>
        <w:rPr>
          <w:rFonts w:cstheme="minorHAnsi"/>
          <w:i/>
          <w:iCs/>
          <w:sz w:val="28"/>
          <w:szCs w:val="28"/>
          <w:shd w:val="clear" w:color="auto" w:fill="FFFFFF"/>
        </w:rPr>
      </w:pPr>
      <w:r w:rsidRPr="007D15E6">
        <w:rPr>
          <w:rFonts w:cstheme="minorHAnsi"/>
          <w:sz w:val="28"/>
          <w:szCs w:val="28"/>
          <w:shd w:val="clear" w:color="auto" w:fill="FFFFFF"/>
        </w:rPr>
        <w:t xml:space="preserve">GOV. WALES (2022) </w:t>
      </w:r>
      <w:r w:rsidRPr="007D15E6">
        <w:rPr>
          <w:rFonts w:cstheme="minorHAnsi"/>
          <w:i/>
          <w:iCs/>
          <w:sz w:val="28"/>
          <w:szCs w:val="28"/>
          <w:shd w:val="clear" w:color="auto" w:fill="FFFFFF"/>
        </w:rPr>
        <w:t>Physically punishing children becomes illegal in Wales</w:t>
      </w:r>
      <w:r w:rsidRPr="007D15E6">
        <w:rPr>
          <w:rFonts w:cstheme="minorHAnsi"/>
          <w:sz w:val="28"/>
          <w:szCs w:val="28"/>
          <w:shd w:val="clear" w:color="auto" w:fill="FFFFFF"/>
        </w:rPr>
        <w:t>. Available at:</w:t>
      </w:r>
      <w:r w:rsidRPr="007D15E6">
        <w:rPr>
          <w:rFonts w:cstheme="minorHAnsi"/>
          <w:i/>
          <w:iCs/>
          <w:sz w:val="28"/>
          <w:szCs w:val="28"/>
          <w:shd w:val="clear" w:color="auto" w:fill="FFFFFF"/>
        </w:rPr>
        <w:t xml:space="preserve"> </w:t>
      </w:r>
      <w:hyperlink r:id="rId19" w:anchor=":~:text=Under%20the%20Children%20%28Abolition%20of%20Defence%20of%20Reasonable,in%20Wales%2C%20including%20visitors%2C%20from%2021%20March%202022" w:history="1">
        <w:r w:rsidRPr="007D15E6">
          <w:rPr>
            <w:rStyle w:val="Hyperlink"/>
            <w:rFonts w:cstheme="minorHAnsi"/>
            <w:color w:val="auto"/>
            <w:sz w:val="28"/>
            <w:szCs w:val="28"/>
            <w:shd w:val="clear" w:color="auto" w:fill="FFFFFF"/>
          </w:rPr>
          <w:t>https://www.gov.wales/physically-punishing-children-becomes-illegal-wales#:~:text=Under%20the%20Children%20%28Abolition%20of%20Defence%</w:t>
        </w:r>
        <w:r w:rsidRPr="007D15E6">
          <w:rPr>
            <w:rStyle w:val="Hyperlink"/>
            <w:rFonts w:cstheme="minorHAnsi"/>
            <w:color w:val="auto"/>
            <w:sz w:val="28"/>
            <w:szCs w:val="28"/>
            <w:shd w:val="clear" w:color="auto" w:fill="FFFFFF"/>
          </w:rPr>
          <w:lastRenderedPageBreak/>
          <w:t>20of%20Reasonable,in%20Wales%2C%20including%20visitors%2C%20from%2021%20March%202022</w:t>
        </w:r>
      </w:hyperlink>
      <w:r w:rsidRPr="007D15E6">
        <w:rPr>
          <w:rFonts w:cstheme="minorHAnsi"/>
          <w:sz w:val="28"/>
          <w:szCs w:val="28"/>
          <w:shd w:val="clear" w:color="auto" w:fill="FFFFFF"/>
        </w:rPr>
        <w:t>. (Accessed 12</w:t>
      </w:r>
      <w:r w:rsidRPr="007D15E6">
        <w:rPr>
          <w:rFonts w:cstheme="minorHAnsi"/>
          <w:sz w:val="28"/>
          <w:szCs w:val="28"/>
          <w:shd w:val="clear" w:color="auto" w:fill="FFFFFF"/>
          <w:vertAlign w:val="superscript"/>
        </w:rPr>
        <w:t>th</w:t>
      </w:r>
      <w:r w:rsidRPr="007D15E6">
        <w:rPr>
          <w:rFonts w:cstheme="minorHAnsi"/>
          <w:sz w:val="28"/>
          <w:szCs w:val="28"/>
          <w:shd w:val="clear" w:color="auto" w:fill="FFFFFF"/>
        </w:rPr>
        <w:t xml:space="preserve"> April, 2025).</w:t>
      </w:r>
    </w:p>
    <w:p w14:paraId="1D04E91B" w14:textId="77777777" w:rsidR="003D59DC" w:rsidRPr="007D15E6" w:rsidRDefault="003D59DC" w:rsidP="003D59DC">
      <w:pPr>
        <w:rPr>
          <w:rFonts w:cstheme="minorHAnsi"/>
          <w:sz w:val="28"/>
          <w:szCs w:val="28"/>
          <w:shd w:val="clear" w:color="auto" w:fill="FFFFFF"/>
        </w:rPr>
      </w:pPr>
    </w:p>
    <w:p w14:paraId="606F821B"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 xml:space="preserve">GOV.UK (2023) </w:t>
      </w:r>
      <w:r w:rsidRPr="007D15E6">
        <w:rPr>
          <w:rFonts w:cstheme="minorHAnsi"/>
          <w:i/>
          <w:iCs/>
          <w:sz w:val="28"/>
          <w:szCs w:val="28"/>
          <w:shd w:val="clear" w:color="auto" w:fill="FFFFFF"/>
        </w:rPr>
        <w:t xml:space="preserve">Working Together to Safeguard Children. </w:t>
      </w:r>
      <w:r w:rsidRPr="007D15E6">
        <w:rPr>
          <w:rFonts w:cstheme="minorHAnsi"/>
          <w:sz w:val="28"/>
          <w:szCs w:val="28"/>
          <w:shd w:val="clear" w:color="auto" w:fill="FFFFFF"/>
        </w:rPr>
        <w:t xml:space="preserve">Available at: </w:t>
      </w:r>
      <w:hyperlink r:id="rId20" w:history="1">
        <w:r w:rsidRPr="007D15E6">
          <w:rPr>
            <w:rStyle w:val="Hyperlink"/>
            <w:rFonts w:cstheme="minorHAnsi"/>
            <w:color w:val="auto"/>
            <w:sz w:val="28"/>
            <w:szCs w:val="28"/>
            <w:shd w:val="clear" w:color="auto" w:fill="FFFFFF"/>
          </w:rPr>
          <w:t>https://assets.publishing.service.gov.uk/media/669e7501ab418ab055592a7b/Working_together_to_safeguard_children_2023.pdf</w:t>
        </w:r>
      </w:hyperlink>
      <w:r w:rsidRPr="007D15E6">
        <w:rPr>
          <w:rFonts w:cstheme="minorHAnsi"/>
          <w:sz w:val="28"/>
          <w:szCs w:val="28"/>
          <w:shd w:val="clear" w:color="auto" w:fill="FFFFFF"/>
        </w:rPr>
        <w:t xml:space="preserve"> (Accessed 8th April, 2025).</w:t>
      </w:r>
    </w:p>
    <w:p w14:paraId="30DF22B9" w14:textId="77777777" w:rsidR="003D59DC" w:rsidRPr="007D15E6" w:rsidRDefault="003D59DC" w:rsidP="003D59DC">
      <w:pPr>
        <w:rPr>
          <w:rFonts w:cstheme="minorHAnsi"/>
          <w:sz w:val="28"/>
          <w:szCs w:val="28"/>
          <w:shd w:val="clear" w:color="auto" w:fill="FFFFFF"/>
        </w:rPr>
      </w:pPr>
    </w:p>
    <w:p w14:paraId="7B43CFAC"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 xml:space="preserve">GOV.UK (2014) </w:t>
      </w:r>
      <w:r w:rsidRPr="007D15E6">
        <w:rPr>
          <w:rFonts w:cstheme="minorHAnsi"/>
          <w:i/>
          <w:iCs/>
          <w:sz w:val="28"/>
          <w:szCs w:val="28"/>
          <w:shd w:val="clear" w:color="auto" w:fill="FFFFFF"/>
        </w:rPr>
        <w:t>SEND Code of Practice</w:t>
      </w:r>
      <w:r w:rsidRPr="007D15E6">
        <w:rPr>
          <w:rFonts w:cstheme="minorHAnsi"/>
          <w:sz w:val="28"/>
          <w:szCs w:val="28"/>
          <w:shd w:val="clear" w:color="auto" w:fill="FFFFFF"/>
        </w:rPr>
        <w:t>: 0-25. Available at:</w:t>
      </w:r>
    </w:p>
    <w:p w14:paraId="7382E9B9" w14:textId="77777777" w:rsidR="003D59DC" w:rsidRPr="007D15E6" w:rsidRDefault="003D59DC" w:rsidP="003D59DC">
      <w:pPr>
        <w:rPr>
          <w:rFonts w:cstheme="minorHAnsi"/>
          <w:sz w:val="28"/>
          <w:szCs w:val="28"/>
          <w:shd w:val="clear" w:color="auto" w:fill="FFFFFF"/>
        </w:rPr>
      </w:pPr>
      <w:hyperlink r:id="rId21" w:history="1">
        <w:r w:rsidRPr="007D15E6">
          <w:rPr>
            <w:rStyle w:val="Hyperlink"/>
            <w:rFonts w:cstheme="minorHAnsi"/>
            <w:color w:val="auto"/>
            <w:sz w:val="28"/>
            <w:szCs w:val="28"/>
            <w:shd w:val="clear" w:color="auto" w:fill="FFFFFF"/>
          </w:rPr>
          <w:t>https://www.gov.uk/government/publications/send-code-of-practice-0-to-25</w:t>
        </w:r>
      </w:hyperlink>
      <w:r w:rsidRPr="007D15E6">
        <w:rPr>
          <w:rFonts w:cstheme="minorHAnsi"/>
          <w:sz w:val="28"/>
          <w:szCs w:val="28"/>
          <w:shd w:val="clear" w:color="auto" w:fill="FFFFFF"/>
        </w:rPr>
        <w:t xml:space="preserve"> (Accessed 14th April, 2025).</w:t>
      </w:r>
    </w:p>
    <w:p w14:paraId="004D624F" w14:textId="77777777" w:rsidR="003D59DC" w:rsidRPr="007D15E6" w:rsidRDefault="003D59DC" w:rsidP="003D59DC">
      <w:pPr>
        <w:rPr>
          <w:rFonts w:cstheme="minorHAnsi"/>
          <w:sz w:val="28"/>
          <w:szCs w:val="28"/>
          <w:shd w:val="clear" w:color="auto" w:fill="FFFFFF"/>
        </w:rPr>
      </w:pPr>
    </w:p>
    <w:p w14:paraId="33C12D2B"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Goldstein, M. R. (2025) </w:t>
      </w:r>
      <w:r w:rsidRPr="007D15E6">
        <w:rPr>
          <w:rFonts w:cstheme="minorHAnsi"/>
          <w:i/>
          <w:iCs/>
          <w:sz w:val="28"/>
          <w:szCs w:val="28"/>
          <w:shd w:val="clear" w:color="auto" w:fill="FFFFFF"/>
        </w:rPr>
        <w:t xml:space="preserve">CBT Insomnia Workbook: A Step-by-Step Guide to Better Sleep with Practical Cognitive </w:t>
      </w:r>
      <w:proofErr w:type="spellStart"/>
      <w:r w:rsidRPr="007D15E6">
        <w:rPr>
          <w:rFonts w:cstheme="minorHAnsi"/>
          <w:i/>
          <w:iCs/>
          <w:sz w:val="28"/>
          <w:szCs w:val="28"/>
          <w:shd w:val="clear" w:color="auto" w:fill="FFFFFF"/>
        </w:rPr>
        <w:t>Behavioral</w:t>
      </w:r>
      <w:proofErr w:type="spellEnd"/>
      <w:r w:rsidRPr="007D15E6">
        <w:rPr>
          <w:rFonts w:cstheme="minorHAnsi"/>
          <w:i/>
          <w:iCs/>
          <w:sz w:val="28"/>
          <w:szCs w:val="28"/>
          <w:shd w:val="clear" w:color="auto" w:fill="FFFFFF"/>
        </w:rPr>
        <w:t xml:space="preserve"> Therapy (CBT-I)</w:t>
      </w:r>
      <w:r w:rsidRPr="007D15E6">
        <w:rPr>
          <w:rFonts w:cstheme="minorHAnsi"/>
          <w:sz w:val="28"/>
          <w:szCs w:val="28"/>
          <w:shd w:val="clear" w:color="auto" w:fill="FFFFFF"/>
        </w:rPr>
        <w:t>. 1</w:t>
      </w:r>
      <w:r w:rsidRPr="007D15E6">
        <w:rPr>
          <w:rFonts w:cstheme="minorHAnsi"/>
          <w:sz w:val="28"/>
          <w:szCs w:val="28"/>
          <w:shd w:val="clear" w:color="auto" w:fill="FFFFFF"/>
          <w:vertAlign w:val="superscript"/>
        </w:rPr>
        <w:t>st</w:t>
      </w:r>
      <w:r w:rsidRPr="007D15E6">
        <w:rPr>
          <w:rFonts w:cstheme="minorHAnsi"/>
          <w:sz w:val="28"/>
          <w:szCs w:val="28"/>
          <w:shd w:val="clear" w:color="auto" w:fill="FFFFFF"/>
        </w:rPr>
        <w:t xml:space="preserve"> </w:t>
      </w:r>
      <w:proofErr w:type="spellStart"/>
      <w:r w:rsidRPr="007D15E6">
        <w:rPr>
          <w:rFonts w:cstheme="minorHAnsi"/>
          <w:sz w:val="28"/>
          <w:szCs w:val="28"/>
          <w:shd w:val="clear" w:color="auto" w:fill="FFFFFF"/>
        </w:rPr>
        <w:t>edn</w:t>
      </w:r>
      <w:proofErr w:type="spellEnd"/>
      <w:r w:rsidRPr="007D15E6">
        <w:rPr>
          <w:rFonts w:cstheme="minorHAnsi"/>
          <w:sz w:val="28"/>
          <w:szCs w:val="28"/>
          <w:shd w:val="clear" w:color="auto" w:fill="FFFFFF"/>
        </w:rPr>
        <w:t xml:space="preserve">. Cardiff: </w:t>
      </w:r>
      <w:proofErr w:type="spellStart"/>
      <w:r w:rsidRPr="007D15E6">
        <w:rPr>
          <w:rFonts w:cstheme="minorHAnsi"/>
          <w:sz w:val="28"/>
          <w:szCs w:val="28"/>
          <w:shd w:val="clear" w:color="auto" w:fill="FFFFFF"/>
        </w:rPr>
        <w:t>Isohan</w:t>
      </w:r>
      <w:proofErr w:type="spellEnd"/>
      <w:r w:rsidRPr="007D15E6">
        <w:rPr>
          <w:rFonts w:cstheme="minorHAnsi"/>
          <w:sz w:val="28"/>
          <w:szCs w:val="28"/>
          <w:shd w:val="clear" w:color="auto" w:fill="FFFFFF"/>
        </w:rPr>
        <w:t xml:space="preserve"> ltd publisher. </w:t>
      </w:r>
    </w:p>
    <w:p w14:paraId="14EE9481" w14:textId="77777777" w:rsidR="003D59DC" w:rsidRPr="007D15E6" w:rsidRDefault="003D59DC" w:rsidP="003D59DC">
      <w:pPr>
        <w:rPr>
          <w:rFonts w:cstheme="minorHAnsi"/>
          <w:sz w:val="28"/>
          <w:szCs w:val="28"/>
          <w:shd w:val="clear" w:color="auto" w:fill="FFFFFF"/>
        </w:rPr>
      </w:pPr>
    </w:p>
    <w:p w14:paraId="1FC3DE79"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 xml:space="preserve">Hendrickx, G., De Roeck, V., Maras, A., Dieleman, G., Gerritsen, S., </w:t>
      </w:r>
      <w:proofErr w:type="spellStart"/>
      <w:r w:rsidRPr="007D15E6">
        <w:rPr>
          <w:rFonts w:cstheme="minorHAnsi"/>
          <w:sz w:val="28"/>
          <w:szCs w:val="28"/>
          <w:shd w:val="clear" w:color="auto" w:fill="FFFFFF"/>
        </w:rPr>
        <w:t>Purper-Ouakil</w:t>
      </w:r>
      <w:proofErr w:type="spellEnd"/>
      <w:r w:rsidRPr="007D15E6">
        <w:rPr>
          <w:rFonts w:cstheme="minorHAnsi"/>
          <w:sz w:val="28"/>
          <w:szCs w:val="28"/>
          <w:shd w:val="clear" w:color="auto" w:fill="FFFFFF"/>
        </w:rPr>
        <w:t xml:space="preserve">, D., Russet, F., Schepker, R., Signorini, G., Singh, S. P., Street, C., Tuomainen, H., and </w:t>
      </w:r>
      <w:proofErr w:type="spellStart"/>
      <w:r w:rsidRPr="007D15E6">
        <w:rPr>
          <w:rFonts w:cstheme="minorHAnsi"/>
          <w:sz w:val="28"/>
          <w:szCs w:val="28"/>
          <w:shd w:val="clear" w:color="auto" w:fill="FFFFFF"/>
        </w:rPr>
        <w:t>Tremmery</w:t>
      </w:r>
      <w:proofErr w:type="spellEnd"/>
      <w:r w:rsidRPr="007D15E6">
        <w:rPr>
          <w:rFonts w:cstheme="minorHAnsi"/>
          <w:sz w:val="28"/>
          <w:szCs w:val="28"/>
          <w:shd w:val="clear" w:color="auto" w:fill="FFFFFF"/>
        </w:rPr>
        <w:t xml:space="preserve">, S. (2020) ‘Challenges during the transition from child and adolescent mental health services to adult mental health services’, </w:t>
      </w:r>
      <w:proofErr w:type="spellStart"/>
      <w:r w:rsidRPr="007D15E6">
        <w:rPr>
          <w:rFonts w:cstheme="minorHAnsi"/>
          <w:i/>
          <w:iCs/>
          <w:sz w:val="28"/>
          <w:szCs w:val="28"/>
          <w:shd w:val="clear" w:color="auto" w:fill="FFFFFF"/>
        </w:rPr>
        <w:t>BJPsych</w:t>
      </w:r>
      <w:proofErr w:type="spellEnd"/>
      <w:r w:rsidRPr="007D15E6">
        <w:rPr>
          <w:rFonts w:cstheme="minorHAnsi"/>
          <w:i/>
          <w:iCs/>
          <w:sz w:val="28"/>
          <w:szCs w:val="28"/>
          <w:shd w:val="clear" w:color="auto" w:fill="FFFFFF"/>
        </w:rPr>
        <w:t xml:space="preserve"> bulletin</w:t>
      </w:r>
      <w:r w:rsidRPr="007D15E6">
        <w:rPr>
          <w:rFonts w:cstheme="minorHAnsi"/>
          <w:sz w:val="28"/>
          <w:szCs w:val="28"/>
          <w:shd w:val="clear" w:color="auto" w:fill="FFFFFF"/>
        </w:rPr>
        <w:t>, 44(4), pp.163–168.</w:t>
      </w:r>
    </w:p>
    <w:p w14:paraId="383A97FB" w14:textId="77777777" w:rsidR="003D59DC" w:rsidRPr="007D15E6" w:rsidRDefault="003D59DC" w:rsidP="003D59DC">
      <w:pPr>
        <w:rPr>
          <w:rFonts w:cstheme="minorHAnsi"/>
          <w:sz w:val="28"/>
          <w:szCs w:val="28"/>
          <w:shd w:val="clear" w:color="auto" w:fill="FFFFFF"/>
        </w:rPr>
      </w:pPr>
    </w:p>
    <w:p w14:paraId="3AE551B9" w14:textId="77777777" w:rsidR="003D59DC" w:rsidRPr="007D15E6" w:rsidRDefault="003D59DC" w:rsidP="003D59DC">
      <w:pPr>
        <w:rPr>
          <w:rFonts w:cstheme="minorHAnsi"/>
          <w:sz w:val="28"/>
          <w:szCs w:val="28"/>
        </w:rPr>
      </w:pPr>
      <w:r w:rsidRPr="007D15E6">
        <w:rPr>
          <w:rFonts w:cstheme="minorHAnsi"/>
          <w:sz w:val="28"/>
          <w:szCs w:val="28"/>
        </w:rPr>
        <w:t xml:space="preserve">Health Care Inspectorate Wales (2024) </w:t>
      </w:r>
      <w:r w:rsidRPr="007D15E6">
        <w:rPr>
          <w:rFonts w:cstheme="minorHAnsi"/>
          <w:i/>
          <w:iCs/>
          <w:sz w:val="28"/>
          <w:szCs w:val="28"/>
        </w:rPr>
        <w:t xml:space="preserve">Action Needed to Improve Mental Health Support for Children and Young People. </w:t>
      </w:r>
      <w:r w:rsidRPr="007D15E6">
        <w:rPr>
          <w:rFonts w:cstheme="minorHAnsi"/>
          <w:sz w:val="28"/>
          <w:szCs w:val="28"/>
        </w:rPr>
        <w:t xml:space="preserve">Available at : </w:t>
      </w:r>
      <w:hyperlink r:id="rId22" w:history="1">
        <w:r w:rsidRPr="007D15E6">
          <w:rPr>
            <w:rFonts w:cstheme="minorHAnsi"/>
            <w:sz w:val="28"/>
            <w:szCs w:val="28"/>
            <w:u w:val="single"/>
          </w:rPr>
          <w:t>https://www.hiw.org.uk/action-needed-improve-mental-health-support-children-and-young-people</w:t>
        </w:r>
      </w:hyperlink>
      <w:r w:rsidRPr="007D15E6">
        <w:rPr>
          <w:rFonts w:cstheme="minorHAnsi"/>
          <w:sz w:val="28"/>
          <w:szCs w:val="28"/>
        </w:rPr>
        <w:t xml:space="preserve"> (Accessed 2nd April, 2025).</w:t>
      </w:r>
    </w:p>
    <w:p w14:paraId="0A7D025F" w14:textId="77777777" w:rsidR="003D59DC" w:rsidRPr="007D15E6" w:rsidRDefault="003D59DC" w:rsidP="003D59DC">
      <w:pPr>
        <w:rPr>
          <w:rFonts w:cstheme="minorHAnsi"/>
          <w:sz w:val="28"/>
          <w:szCs w:val="28"/>
        </w:rPr>
      </w:pPr>
    </w:p>
    <w:p w14:paraId="78D0BA05" w14:textId="77777777" w:rsidR="003D59DC" w:rsidRPr="007D15E6" w:rsidRDefault="003D59DC" w:rsidP="003D59DC">
      <w:pPr>
        <w:rPr>
          <w:rFonts w:cstheme="minorHAnsi"/>
          <w:sz w:val="28"/>
          <w:szCs w:val="28"/>
        </w:rPr>
      </w:pPr>
      <w:r w:rsidRPr="007D15E6">
        <w:rPr>
          <w:rFonts w:cstheme="minorHAnsi"/>
          <w:sz w:val="28"/>
          <w:szCs w:val="28"/>
          <w:shd w:val="clear" w:color="auto" w:fill="FFFFFF"/>
        </w:rPr>
        <w:t xml:space="preserve">Helland, H.S., 2024 ‘Reconciling Children’s Best Interests and Right to be Heard’, </w:t>
      </w:r>
      <w:r w:rsidRPr="007D15E6">
        <w:rPr>
          <w:rFonts w:cstheme="minorHAnsi"/>
          <w:i/>
          <w:iCs/>
          <w:sz w:val="28"/>
          <w:szCs w:val="28"/>
          <w:shd w:val="clear" w:color="auto" w:fill="FFFFFF"/>
        </w:rPr>
        <w:t>The International Journal of Children's Rights</w:t>
      </w:r>
      <w:r w:rsidRPr="007D15E6">
        <w:rPr>
          <w:rFonts w:cstheme="minorHAnsi"/>
          <w:sz w:val="28"/>
          <w:szCs w:val="28"/>
          <w:shd w:val="clear" w:color="auto" w:fill="FFFFFF"/>
        </w:rPr>
        <w:t>, 32(1), pp.45-77.</w:t>
      </w:r>
    </w:p>
    <w:p w14:paraId="7A7D44E7" w14:textId="77777777" w:rsidR="003D59DC" w:rsidRPr="007D15E6" w:rsidRDefault="003D59DC" w:rsidP="003D59DC">
      <w:pPr>
        <w:rPr>
          <w:rFonts w:cstheme="minorHAnsi"/>
          <w:sz w:val="28"/>
          <w:szCs w:val="28"/>
        </w:rPr>
      </w:pPr>
    </w:p>
    <w:p w14:paraId="32C9521F"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lastRenderedPageBreak/>
        <w:t xml:space="preserve">Hosker, D. K., Elkins, R. M., and Potter, M. P. (2019) ‘Promoting mental health and wellness in youth through physical activity, nutrition, and sleep’, </w:t>
      </w:r>
      <w:r w:rsidRPr="007D15E6">
        <w:rPr>
          <w:rFonts w:cstheme="minorHAnsi"/>
          <w:i/>
          <w:iCs/>
          <w:sz w:val="28"/>
          <w:szCs w:val="28"/>
          <w:shd w:val="clear" w:color="auto" w:fill="FFFFFF"/>
        </w:rPr>
        <w:t>Child and Adolescent Psychiatric Clinics</w:t>
      </w:r>
      <w:r w:rsidRPr="007D15E6">
        <w:rPr>
          <w:rFonts w:cstheme="minorHAnsi"/>
          <w:sz w:val="28"/>
          <w:szCs w:val="28"/>
          <w:shd w:val="clear" w:color="auto" w:fill="FFFFFF"/>
        </w:rPr>
        <w:t>, 28(2), pp.171-193.</w:t>
      </w:r>
    </w:p>
    <w:p w14:paraId="70604101" w14:textId="77777777" w:rsidR="003D59DC" w:rsidRPr="007D15E6" w:rsidRDefault="003D59DC" w:rsidP="003D59DC">
      <w:pPr>
        <w:rPr>
          <w:rFonts w:cstheme="minorHAnsi"/>
          <w:sz w:val="28"/>
          <w:szCs w:val="28"/>
          <w:shd w:val="clear" w:color="auto" w:fill="FFFFFF"/>
        </w:rPr>
      </w:pPr>
    </w:p>
    <w:p w14:paraId="37AACA16"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Hobson, J., Lynch, K., Payne, B., and Ellis, L. (2021) ‘Are police-led social crime prevention initiatives effective? A process and outcome evaluation of a UK youth intervention’, </w:t>
      </w:r>
      <w:r w:rsidRPr="007D15E6">
        <w:rPr>
          <w:rFonts w:cstheme="minorHAnsi"/>
          <w:i/>
          <w:iCs/>
          <w:sz w:val="28"/>
          <w:szCs w:val="28"/>
          <w:shd w:val="clear" w:color="auto" w:fill="FFFFFF"/>
        </w:rPr>
        <w:t>International criminal justice review</w:t>
      </w:r>
      <w:r w:rsidRPr="007D15E6">
        <w:rPr>
          <w:rFonts w:cstheme="minorHAnsi"/>
          <w:sz w:val="28"/>
          <w:szCs w:val="28"/>
          <w:shd w:val="clear" w:color="auto" w:fill="FFFFFF"/>
        </w:rPr>
        <w:t>, 31(3), pp. 325-346.</w:t>
      </w:r>
    </w:p>
    <w:p w14:paraId="2E17783F" w14:textId="77777777" w:rsidR="003D59DC" w:rsidRPr="007D15E6" w:rsidRDefault="003D59DC" w:rsidP="003D59DC">
      <w:pPr>
        <w:rPr>
          <w:rFonts w:cstheme="minorHAnsi"/>
          <w:sz w:val="28"/>
          <w:szCs w:val="28"/>
          <w:shd w:val="clear" w:color="auto" w:fill="FFFFFF"/>
        </w:rPr>
      </w:pPr>
    </w:p>
    <w:p w14:paraId="556CE2F3" w14:textId="77777777" w:rsidR="003D59DC" w:rsidRPr="007D15E6" w:rsidRDefault="003D59DC" w:rsidP="003D59DC">
      <w:pPr>
        <w:spacing w:after="0" w:line="240" w:lineRule="auto"/>
        <w:rPr>
          <w:rFonts w:eastAsia="Times New Roman" w:cstheme="minorHAnsi"/>
          <w:kern w:val="0"/>
          <w:sz w:val="28"/>
          <w:szCs w:val="28"/>
          <w:lang w:eastAsia="en-GB"/>
          <w14:ligatures w14:val="none"/>
        </w:rPr>
      </w:pPr>
      <w:r w:rsidRPr="007D15E6">
        <w:rPr>
          <w:rFonts w:eastAsia="Times New Roman" w:cstheme="minorHAnsi"/>
          <w:kern w:val="0"/>
          <w:sz w:val="28"/>
          <w:szCs w:val="28"/>
          <w:lang w:eastAsia="en-GB"/>
          <w14:ligatures w14:val="none"/>
        </w:rPr>
        <w:t xml:space="preserve">Hu, S., Li, X., and Yang, L. (2023) ‘Effects of physical activity in child and adolescent depression and anxiety: Role of inflammatory cytokines and stress-related peptide hormones’, </w:t>
      </w:r>
      <w:r w:rsidRPr="007D15E6">
        <w:rPr>
          <w:rFonts w:eastAsia="Times New Roman" w:cstheme="minorHAnsi"/>
          <w:i/>
          <w:iCs/>
          <w:kern w:val="0"/>
          <w:sz w:val="28"/>
          <w:szCs w:val="28"/>
          <w:lang w:eastAsia="en-GB"/>
          <w14:ligatures w14:val="none"/>
        </w:rPr>
        <w:t>Frontiers in Neuroscience</w:t>
      </w:r>
      <w:r w:rsidRPr="007D15E6">
        <w:rPr>
          <w:rFonts w:eastAsia="Times New Roman" w:cstheme="minorHAnsi"/>
          <w:kern w:val="0"/>
          <w:sz w:val="28"/>
          <w:szCs w:val="28"/>
          <w:lang w:eastAsia="en-GB"/>
          <w14:ligatures w14:val="none"/>
        </w:rPr>
        <w:t xml:space="preserve">, 17(9) pp. 123-138. </w:t>
      </w:r>
    </w:p>
    <w:p w14:paraId="4D4B6ADB" w14:textId="77777777" w:rsidR="003D59DC" w:rsidRPr="007D15E6" w:rsidRDefault="003D59DC" w:rsidP="003D59DC">
      <w:pPr>
        <w:spacing w:after="0" w:line="240" w:lineRule="auto"/>
        <w:rPr>
          <w:rFonts w:eastAsia="Times New Roman" w:cstheme="minorHAnsi"/>
          <w:kern w:val="0"/>
          <w:sz w:val="28"/>
          <w:szCs w:val="28"/>
          <w:lang w:eastAsia="en-GB"/>
          <w14:ligatures w14:val="none"/>
        </w:rPr>
      </w:pPr>
    </w:p>
    <w:p w14:paraId="614F2095" w14:textId="77777777" w:rsidR="003D59DC" w:rsidRPr="007D15E6" w:rsidRDefault="003D59DC" w:rsidP="003D59DC">
      <w:pPr>
        <w:spacing w:after="0" w:line="240" w:lineRule="auto"/>
        <w:rPr>
          <w:rFonts w:eastAsia="Times New Roman" w:cstheme="minorHAnsi"/>
          <w:kern w:val="0"/>
          <w:sz w:val="28"/>
          <w:szCs w:val="28"/>
          <w:lang w:eastAsia="en-GB"/>
          <w14:ligatures w14:val="none"/>
        </w:rPr>
      </w:pPr>
    </w:p>
    <w:p w14:paraId="33A1E9D8" w14:textId="77777777" w:rsidR="003D59DC" w:rsidRPr="007D15E6" w:rsidRDefault="003D59DC" w:rsidP="003D59DC">
      <w:pPr>
        <w:spacing w:after="0" w:line="240" w:lineRule="auto"/>
        <w:rPr>
          <w:rFonts w:cstheme="minorHAnsi"/>
          <w:sz w:val="28"/>
          <w:szCs w:val="28"/>
          <w:shd w:val="clear" w:color="auto" w:fill="FFFFFF"/>
        </w:rPr>
      </w:pPr>
      <w:r w:rsidRPr="007D15E6">
        <w:rPr>
          <w:rFonts w:cstheme="minorHAnsi"/>
          <w:sz w:val="28"/>
          <w:szCs w:val="28"/>
          <w:shd w:val="clear" w:color="auto" w:fill="FFFFFF"/>
        </w:rPr>
        <w:t xml:space="preserve">Iqbal, A., Anil, G., Bhandari, P., Crockett, E. D., Hanson, V. M., Pendse, B. S., Eckdahl, J. S., and Horn, J. L. (2022) ‘A Digitally Capable Mobile Health Clinic to Improve Rural Health Care in America: A Pilot Quality Improvement Study’, Mayo Clinic Proceedings. Innovations, quality &amp; outcomes, 6(5), pp. 475–483. </w:t>
      </w:r>
    </w:p>
    <w:p w14:paraId="6594C4A8" w14:textId="77777777" w:rsidR="003D59DC" w:rsidRPr="007D15E6" w:rsidRDefault="003D59DC" w:rsidP="003D59DC">
      <w:pPr>
        <w:spacing w:after="0" w:line="240" w:lineRule="auto"/>
        <w:rPr>
          <w:rFonts w:eastAsia="Times New Roman" w:cstheme="minorHAnsi"/>
          <w:kern w:val="0"/>
          <w:sz w:val="28"/>
          <w:szCs w:val="28"/>
          <w:lang w:eastAsia="en-GB"/>
          <w14:ligatures w14:val="none"/>
        </w:rPr>
      </w:pPr>
    </w:p>
    <w:p w14:paraId="17493BEC" w14:textId="77777777" w:rsidR="003D59DC" w:rsidRPr="007D15E6" w:rsidRDefault="003D59DC" w:rsidP="003D59DC">
      <w:pPr>
        <w:spacing w:after="0" w:line="240" w:lineRule="auto"/>
        <w:rPr>
          <w:rFonts w:eastAsia="Times New Roman" w:cstheme="minorHAnsi"/>
          <w:kern w:val="0"/>
          <w:sz w:val="28"/>
          <w:szCs w:val="28"/>
          <w:lang w:eastAsia="en-GB"/>
          <w14:ligatures w14:val="none"/>
        </w:rPr>
      </w:pPr>
    </w:p>
    <w:p w14:paraId="6F8C8CDF" w14:textId="77777777" w:rsidR="003D59DC" w:rsidRPr="007D15E6" w:rsidRDefault="003D59DC" w:rsidP="003D59DC">
      <w:pPr>
        <w:spacing w:after="0" w:line="240" w:lineRule="auto"/>
        <w:rPr>
          <w:rFonts w:cstheme="minorHAnsi"/>
          <w:sz w:val="28"/>
          <w:szCs w:val="28"/>
          <w:shd w:val="clear" w:color="auto" w:fill="FFFFFF"/>
        </w:rPr>
      </w:pPr>
      <w:bookmarkStart w:id="2" w:name="_Hlk194839608"/>
      <w:r w:rsidRPr="007D15E6">
        <w:rPr>
          <w:rFonts w:cstheme="minorHAnsi"/>
          <w:sz w:val="28"/>
          <w:szCs w:val="28"/>
          <w:shd w:val="clear" w:color="auto" w:fill="FFFFFF"/>
        </w:rPr>
        <w:t>Jørgensen</w:t>
      </w:r>
      <w:bookmarkEnd w:id="2"/>
      <w:r w:rsidRPr="007D15E6">
        <w:rPr>
          <w:rFonts w:cstheme="minorHAnsi"/>
          <w:sz w:val="28"/>
          <w:szCs w:val="28"/>
          <w:shd w:val="clear" w:color="auto" w:fill="FFFFFF"/>
        </w:rPr>
        <w:t>, C. B., Behrmann, J. T., Blaabjerg, J., Pettersen, K. A., and Jensen de López, K. M. (2024) ‘Narrative therapy with children: A qualitative interview study with Danish therapists about the application of narrative practices’, </w:t>
      </w:r>
      <w:r w:rsidRPr="007D15E6">
        <w:rPr>
          <w:rFonts w:cstheme="minorHAnsi"/>
          <w:i/>
          <w:iCs/>
          <w:sz w:val="28"/>
          <w:szCs w:val="28"/>
          <w:shd w:val="clear" w:color="auto" w:fill="FFFFFF"/>
        </w:rPr>
        <w:t>Counselling and Psychotherapy Research</w:t>
      </w:r>
      <w:r w:rsidRPr="007D15E6">
        <w:rPr>
          <w:rFonts w:cstheme="minorHAnsi"/>
          <w:sz w:val="28"/>
          <w:szCs w:val="28"/>
          <w:shd w:val="clear" w:color="auto" w:fill="FFFFFF"/>
        </w:rPr>
        <w:t>, 24(1), pp.295-307.</w:t>
      </w:r>
    </w:p>
    <w:p w14:paraId="7E05336E" w14:textId="77777777" w:rsidR="003D59DC" w:rsidRPr="007D15E6" w:rsidRDefault="003D59DC" w:rsidP="003D59DC">
      <w:pPr>
        <w:spacing w:after="0" w:line="240" w:lineRule="auto"/>
        <w:rPr>
          <w:rFonts w:cstheme="minorHAnsi"/>
          <w:sz w:val="28"/>
          <w:szCs w:val="28"/>
          <w:shd w:val="clear" w:color="auto" w:fill="FFFFFF"/>
        </w:rPr>
      </w:pPr>
    </w:p>
    <w:p w14:paraId="2892FCDF" w14:textId="77777777" w:rsidR="003D59DC" w:rsidRPr="007D15E6" w:rsidRDefault="003D59DC" w:rsidP="003D59DC">
      <w:pPr>
        <w:spacing w:after="0" w:line="240" w:lineRule="auto"/>
        <w:rPr>
          <w:rFonts w:cstheme="minorHAnsi"/>
          <w:sz w:val="28"/>
          <w:szCs w:val="28"/>
          <w:shd w:val="clear" w:color="auto" w:fill="FFFFFF"/>
        </w:rPr>
      </w:pPr>
    </w:p>
    <w:p w14:paraId="29FBBEDF" w14:textId="77777777" w:rsidR="003D59DC" w:rsidRPr="007D15E6" w:rsidRDefault="003D59DC" w:rsidP="003D59DC">
      <w:pPr>
        <w:spacing w:after="0" w:line="240" w:lineRule="auto"/>
        <w:rPr>
          <w:rFonts w:cstheme="minorHAnsi"/>
          <w:sz w:val="28"/>
          <w:szCs w:val="28"/>
          <w:shd w:val="clear" w:color="auto" w:fill="FFFFFF"/>
        </w:rPr>
      </w:pPr>
    </w:p>
    <w:p w14:paraId="39D62BE8" w14:textId="77777777" w:rsidR="003D59DC" w:rsidRPr="007D15E6" w:rsidRDefault="003D59DC" w:rsidP="003D59DC">
      <w:pPr>
        <w:spacing w:after="0" w:line="240" w:lineRule="auto"/>
        <w:rPr>
          <w:rFonts w:cstheme="minorHAnsi"/>
          <w:sz w:val="28"/>
          <w:szCs w:val="28"/>
          <w:shd w:val="clear" w:color="auto" w:fill="FFFFFF"/>
        </w:rPr>
      </w:pPr>
      <w:r w:rsidRPr="007D15E6">
        <w:rPr>
          <w:rFonts w:cstheme="minorHAnsi"/>
          <w:sz w:val="28"/>
          <w:szCs w:val="28"/>
          <w:shd w:val="clear" w:color="auto" w:fill="FFFFFF"/>
        </w:rPr>
        <w:t xml:space="preserve">King, T., Shafran, R., Hargreaves, D. S., </w:t>
      </w:r>
      <w:proofErr w:type="spellStart"/>
      <w:r w:rsidRPr="007D15E6">
        <w:rPr>
          <w:rFonts w:cstheme="minorHAnsi"/>
          <w:sz w:val="28"/>
          <w:szCs w:val="28"/>
          <w:shd w:val="clear" w:color="auto" w:fill="FFFFFF"/>
        </w:rPr>
        <w:t>Muschialli</w:t>
      </w:r>
      <w:proofErr w:type="spellEnd"/>
      <w:r w:rsidRPr="007D15E6">
        <w:rPr>
          <w:rFonts w:cstheme="minorHAnsi"/>
          <w:sz w:val="28"/>
          <w:szCs w:val="28"/>
          <w:shd w:val="clear" w:color="auto" w:fill="FFFFFF"/>
        </w:rPr>
        <w:t>, L., Linton, D., and Bennett, S. (2024) ‘Mental health clinical pathways for children and young people with long‐term health conditions: A systematic review’, </w:t>
      </w:r>
      <w:r w:rsidRPr="007D15E6">
        <w:rPr>
          <w:rFonts w:cstheme="minorHAnsi"/>
          <w:i/>
          <w:iCs/>
          <w:sz w:val="28"/>
          <w:szCs w:val="28"/>
          <w:shd w:val="clear" w:color="auto" w:fill="FFFFFF"/>
        </w:rPr>
        <w:t>Journal of Evaluation in Clinical Practice</w:t>
      </w:r>
      <w:r w:rsidRPr="007D15E6">
        <w:rPr>
          <w:rFonts w:cstheme="minorHAnsi"/>
          <w:sz w:val="28"/>
          <w:szCs w:val="28"/>
          <w:shd w:val="clear" w:color="auto" w:fill="FFFFFF"/>
        </w:rPr>
        <w:t>, 30(6), pp.894-908.</w:t>
      </w:r>
    </w:p>
    <w:p w14:paraId="685F3447" w14:textId="77777777" w:rsidR="003D59DC" w:rsidRPr="007D15E6" w:rsidRDefault="003D59DC" w:rsidP="003D59DC">
      <w:pPr>
        <w:spacing w:after="0" w:line="240" w:lineRule="auto"/>
        <w:rPr>
          <w:rFonts w:cstheme="minorHAnsi"/>
          <w:sz w:val="28"/>
          <w:szCs w:val="28"/>
          <w:shd w:val="clear" w:color="auto" w:fill="FFFFFF"/>
        </w:rPr>
      </w:pPr>
    </w:p>
    <w:p w14:paraId="27656F32" w14:textId="77777777" w:rsidR="003D59DC" w:rsidRPr="007D15E6" w:rsidRDefault="003D59DC" w:rsidP="003D59DC">
      <w:pPr>
        <w:spacing w:after="0" w:line="240" w:lineRule="auto"/>
        <w:rPr>
          <w:rFonts w:cstheme="minorHAnsi"/>
          <w:sz w:val="28"/>
          <w:szCs w:val="28"/>
          <w:shd w:val="clear" w:color="auto" w:fill="FFFFFF"/>
        </w:rPr>
      </w:pPr>
    </w:p>
    <w:p w14:paraId="79679E1D" w14:textId="77777777" w:rsidR="003D59DC" w:rsidRPr="007D15E6" w:rsidRDefault="003D59DC" w:rsidP="003D59DC">
      <w:pPr>
        <w:spacing w:after="0" w:line="240" w:lineRule="auto"/>
        <w:rPr>
          <w:rFonts w:cstheme="minorHAnsi"/>
          <w:sz w:val="28"/>
          <w:szCs w:val="28"/>
          <w:shd w:val="clear" w:color="auto" w:fill="FFFFFF"/>
        </w:rPr>
      </w:pPr>
      <w:bookmarkStart w:id="3" w:name="_Hlk195624503"/>
      <w:r w:rsidRPr="007D15E6">
        <w:rPr>
          <w:rFonts w:cstheme="minorHAnsi"/>
          <w:sz w:val="28"/>
          <w:szCs w:val="28"/>
          <w:shd w:val="clear" w:color="auto" w:fill="FFFFFF"/>
        </w:rPr>
        <w:t>Kilkelly</w:t>
      </w:r>
      <w:bookmarkEnd w:id="3"/>
      <w:r w:rsidRPr="007D15E6">
        <w:rPr>
          <w:rFonts w:cstheme="minorHAnsi"/>
          <w:sz w:val="28"/>
          <w:szCs w:val="28"/>
          <w:shd w:val="clear" w:color="auto" w:fill="FFFFFF"/>
        </w:rPr>
        <w:t xml:space="preserve">, U.(2016) </w:t>
      </w:r>
      <w:r w:rsidRPr="007D15E6">
        <w:rPr>
          <w:rFonts w:cstheme="minorHAnsi"/>
          <w:i/>
          <w:iCs/>
          <w:sz w:val="28"/>
          <w:szCs w:val="28"/>
          <w:shd w:val="clear" w:color="auto" w:fill="FFFFFF"/>
        </w:rPr>
        <w:t>The convention on the rights of the child after twenty-five years: Challenges of content and implementation. In Handbook of Children's Rights</w:t>
      </w:r>
      <w:r w:rsidRPr="007D15E6">
        <w:rPr>
          <w:rFonts w:cstheme="minorHAnsi"/>
          <w:sz w:val="28"/>
          <w:szCs w:val="28"/>
          <w:shd w:val="clear" w:color="auto" w:fill="FFFFFF"/>
        </w:rPr>
        <w:t>. 1</w:t>
      </w:r>
      <w:r w:rsidRPr="007D15E6">
        <w:rPr>
          <w:rFonts w:cstheme="minorHAnsi"/>
          <w:sz w:val="28"/>
          <w:szCs w:val="28"/>
          <w:shd w:val="clear" w:color="auto" w:fill="FFFFFF"/>
          <w:vertAlign w:val="superscript"/>
        </w:rPr>
        <w:t>st</w:t>
      </w:r>
      <w:r w:rsidRPr="007D15E6">
        <w:rPr>
          <w:rFonts w:cstheme="minorHAnsi"/>
          <w:sz w:val="28"/>
          <w:szCs w:val="28"/>
          <w:shd w:val="clear" w:color="auto" w:fill="FFFFFF"/>
        </w:rPr>
        <w:t xml:space="preserve"> </w:t>
      </w:r>
      <w:proofErr w:type="spellStart"/>
      <w:r w:rsidRPr="007D15E6">
        <w:rPr>
          <w:rFonts w:cstheme="minorHAnsi"/>
          <w:sz w:val="28"/>
          <w:szCs w:val="28"/>
          <w:shd w:val="clear" w:color="auto" w:fill="FFFFFF"/>
        </w:rPr>
        <w:t>edn</w:t>
      </w:r>
      <w:proofErr w:type="spellEnd"/>
      <w:r w:rsidRPr="007D15E6">
        <w:rPr>
          <w:rFonts w:cstheme="minorHAnsi"/>
          <w:sz w:val="28"/>
          <w:szCs w:val="28"/>
          <w:shd w:val="clear" w:color="auto" w:fill="FFFFFF"/>
        </w:rPr>
        <w:t>. London: Routledge.</w:t>
      </w:r>
    </w:p>
    <w:p w14:paraId="1729AD48" w14:textId="77777777" w:rsidR="003D59DC" w:rsidRPr="007D15E6" w:rsidRDefault="003D59DC" w:rsidP="003D59DC">
      <w:pPr>
        <w:spacing w:after="0" w:line="240" w:lineRule="auto"/>
        <w:rPr>
          <w:rFonts w:cstheme="minorHAnsi"/>
          <w:sz w:val="28"/>
          <w:szCs w:val="28"/>
          <w:shd w:val="clear" w:color="auto" w:fill="FFFFFF"/>
        </w:rPr>
      </w:pPr>
    </w:p>
    <w:p w14:paraId="34E9689E" w14:textId="77777777" w:rsidR="003D59DC" w:rsidRPr="007D15E6" w:rsidRDefault="003D59DC" w:rsidP="003D59DC">
      <w:pPr>
        <w:spacing w:after="0" w:line="240" w:lineRule="auto"/>
        <w:rPr>
          <w:rFonts w:cstheme="minorHAnsi"/>
          <w:sz w:val="28"/>
          <w:szCs w:val="28"/>
          <w:shd w:val="clear" w:color="auto" w:fill="FFFFFF"/>
        </w:rPr>
      </w:pPr>
    </w:p>
    <w:p w14:paraId="795F377B" w14:textId="77777777" w:rsidR="003D59DC" w:rsidRPr="007D15E6" w:rsidRDefault="003D59DC" w:rsidP="003D59DC">
      <w:pPr>
        <w:spacing w:after="0" w:line="240" w:lineRule="auto"/>
        <w:rPr>
          <w:rFonts w:cstheme="minorHAnsi"/>
          <w:sz w:val="28"/>
          <w:szCs w:val="28"/>
          <w:shd w:val="clear" w:color="auto" w:fill="FFFFFF"/>
        </w:rPr>
      </w:pPr>
      <w:r w:rsidRPr="007D15E6">
        <w:rPr>
          <w:rFonts w:cstheme="minorHAnsi"/>
          <w:sz w:val="28"/>
          <w:szCs w:val="28"/>
          <w:shd w:val="clear" w:color="auto" w:fill="FFFFFF"/>
        </w:rPr>
        <w:lastRenderedPageBreak/>
        <w:t>Kroger, J. (2004) </w:t>
      </w:r>
      <w:r w:rsidRPr="007D15E6">
        <w:rPr>
          <w:rFonts w:cstheme="minorHAnsi"/>
          <w:i/>
          <w:iCs/>
          <w:sz w:val="28"/>
          <w:szCs w:val="28"/>
          <w:shd w:val="clear" w:color="auto" w:fill="FFFFFF"/>
        </w:rPr>
        <w:t>Identity in adolescence: The balance between self and other</w:t>
      </w:r>
      <w:r w:rsidRPr="007D15E6">
        <w:rPr>
          <w:rFonts w:cstheme="minorHAnsi"/>
          <w:sz w:val="28"/>
          <w:szCs w:val="28"/>
          <w:shd w:val="clear" w:color="auto" w:fill="FFFFFF"/>
        </w:rPr>
        <w:t>.  2</w:t>
      </w:r>
      <w:r w:rsidRPr="007D15E6">
        <w:rPr>
          <w:rFonts w:cstheme="minorHAnsi"/>
          <w:sz w:val="28"/>
          <w:szCs w:val="28"/>
          <w:shd w:val="clear" w:color="auto" w:fill="FFFFFF"/>
          <w:vertAlign w:val="superscript"/>
        </w:rPr>
        <w:t>nd</w:t>
      </w:r>
      <w:r w:rsidRPr="007D15E6">
        <w:rPr>
          <w:rFonts w:cstheme="minorHAnsi"/>
          <w:sz w:val="28"/>
          <w:szCs w:val="28"/>
          <w:shd w:val="clear" w:color="auto" w:fill="FFFFFF"/>
        </w:rPr>
        <w:t xml:space="preserve"> </w:t>
      </w:r>
      <w:proofErr w:type="spellStart"/>
      <w:r w:rsidRPr="007D15E6">
        <w:rPr>
          <w:rFonts w:cstheme="minorHAnsi"/>
          <w:sz w:val="28"/>
          <w:szCs w:val="28"/>
          <w:shd w:val="clear" w:color="auto" w:fill="FFFFFF"/>
        </w:rPr>
        <w:t>edn</w:t>
      </w:r>
      <w:proofErr w:type="spellEnd"/>
      <w:r w:rsidRPr="007D15E6">
        <w:rPr>
          <w:rFonts w:cstheme="minorHAnsi"/>
          <w:sz w:val="28"/>
          <w:szCs w:val="28"/>
          <w:shd w:val="clear" w:color="auto" w:fill="FFFFFF"/>
        </w:rPr>
        <w:t>. London: Routledge.</w:t>
      </w:r>
    </w:p>
    <w:p w14:paraId="54E071D4" w14:textId="77777777" w:rsidR="003D59DC" w:rsidRPr="007D15E6" w:rsidRDefault="003D59DC" w:rsidP="003D59DC">
      <w:pPr>
        <w:spacing w:after="0" w:line="240" w:lineRule="auto"/>
        <w:rPr>
          <w:rFonts w:cstheme="minorHAnsi"/>
          <w:sz w:val="28"/>
          <w:szCs w:val="28"/>
          <w:shd w:val="clear" w:color="auto" w:fill="FFFFFF"/>
        </w:rPr>
      </w:pPr>
    </w:p>
    <w:p w14:paraId="417BAD81" w14:textId="77777777" w:rsidR="003D59DC" w:rsidRPr="007D15E6" w:rsidRDefault="003D59DC" w:rsidP="003D59DC">
      <w:pPr>
        <w:spacing w:after="0" w:line="240" w:lineRule="auto"/>
        <w:rPr>
          <w:rFonts w:cstheme="minorHAnsi"/>
          <w:sz w:val="28"/>
          <w:szCs w:val="28"/>
          <w:shd w:val="clear" w:color="auto" w:fill="FFFFFF"/>
        </w:rPr>
      </w:pPr>
    </w:p>
    <w:p w14:paraId="40BBFF63" w14:textId="77777777" w:rsidR="003D59DC" w:rsidRPr="007D15E6" w:rsidRDefault="003D59DC" w:rsidP="003D59DC">
      <w:pPr>
        <w:spacing w:after="0" w:line="240" w:lineRule="auto"/>
        <w:rPr>
          <w:rFonts w:cstheme="minorHAnsi"/>
          <w:sz w:val="28"/>
          <w:szCs w:val="28"/>
          <w:shd w:val="clear" w:color="auto" w:fill="FFFFFF"/>
        </w:rPr>
      </w:pPr>
      <w:proofErr w:type="spellStart"/>
      <w:r w:rsidRPr="007D15E6">
        <w:rPr>
          <w:rFonts w:cstheme="minorHAnsi"/>
          <w:sz w:val="28"/>
          <w:szCs w:val="28"/>
          <w:shd w:val="clear" w:color="auto" w:fill="FFFFFF"/>
        </w:rPr>
        <w:t>Krutzinna</w:t>
      </w:r>
      <w:proofErr w:type="spellEnd"/>
      <w:r w:rsidRPr="007D15E6">
        <w:rPr>
          <w:rFonts w:cstheme="minorHAnsi"/>
          <w:sz w:val="28"/>
          <w:szCs w:val="28"/>
          <w:shd w:val="clear" w:color="auto" w:fill="FFFFFF"/>
        </w:rPr>
        <w:t xml:space="preserve">, J. (2022) ‘Who is “the child”? Best interests and individuality of children in discretionary decision-making’, </w:t>
      </w:r>
      <w:r w:rsidRPr="007D15E6">
        <w:rPr>
          <w:rFonts w:cstheme="minorHAnsi"/>
          <w:i/>
          <w:iCs/>
          <w:sz w:val="28"/>
          <w:szCs w:val="28"/>
          <w:shd w:val="clear" w:color="auto" w:fill="FFFFFF"/>
        </w:rPr>
        <w:t>The International journal of children's rights</w:t>
      </w:r>
      <w:r w:rsidRPr="007D15E6">
        <w:rPr>
          <w:rFonts w:cstheme="minorHAnsi"/>
          <w:sz w:val="28"/>
          <w:szCs w:val="28"/>
          <w:shd w:val="clear" w:color="auto" w:fill="FFFFFF"/>
        </w:rPr>
        <w:t>, 30(1), pp.120-145.</w:t>
      </w:r>
    </w:p>
    <w:p w14:paraId="0741446C"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 xml:space="preserve">Lally, A. (2023) </w:t>
      </w:r>
      <w:r w:rsidRPr="007D15E6">
        <w:rPr>
          <w:rFonts w:cstheme="minorHAnsi"/>
          <w:i/>
          <w:iCs/>
          <w:sz w:val="28"/>
          <w:szCs w:val="28"/>
          <w:shd w:val="clear" w:color="auto" w:fill="FFFFFF"/>
        </w:rPr>
        <w:t>Holistic development: Children's health and well-being. In The Early Years Handbook for Students and Practitioners.</w:t>
      </w:r>
      <w:r w:rsidRPr="007D15E6">
        <w:rPr>
          <w:rFonts w:cstheme="minorHAnsi"/>
          <w:sz w:val="28"/>
          <w:szCs w:val="28"/>
          <w:shd w:val="clear" w:color="auto" w:fill="FFFFFF"/>
        </w:rPr>
        <w:t> 2</w:t>
      </w:r>
      <w:r w:rsidRPr="007D15E6">
        <w:rPr>
          <w:rFonts w:cstheme="minorHAnsi"/>
          <w:sz w:val="28"/>
          <w:szCs w:val="28"/>
          <w:shd w:val="clear" w:color="auto" w:fill="FFFFFF"/>
          <w:vertAlign w:val="superscript"/>
        </w:rPr>
        <w:t>nd</w:t>
      </w:r>
      <w:r w:rsidRPr="007D15E6">
        <w:rPr>
          <w:rFonts w:cstheme="minorHAnsi"/>
          <w:sz w:val="28"/>
          <w:szCs w:val="28"/>
          <w:shd w:val="clear" w:color="auto" w:fill="FFFFFF"/>
        </w:rPr>
        <w:t xml:space="preserve"> </w:t>
      </w:r>
      <w:proofErr w:type="spellStart"/>
      <w:r w:rsidRPr="007D15E6">
        <w:rPr>
          <w:rFonts w:cstheme="minorHAnsi"/>
          <w:sz w:val="28"/>
          <w:szCs w:val="28"/>
          <w:shd w:val="clear" w:color="auto" w:fill="FFFFFF"/>
        </w:rPr>
        <w:t>edn</w:t>
      </w:r>
      <w:proofErr w:type="spellEnd"/>
      <w:r w:rsidRPr="007D15E6">
        <w:rPr>
          <w:rFonts w:cstheme="minorHAnsi"/>
          <w:sz w:val="28"/>
          <w:szCs w:val="28"/>
          <w:shd w:val="clear" w:color="auto" w:fill="FFFFFF"/>
        </w:rPr>
        <w:t>. London: Routledge.</w:t>
      </w:r>
    </w:p>
    <w:p w14:paraId="6DEA9356" w14:textId="77777777" w:rsidR="003D59DC" w:rsidRPr="007D15E6" w:rsidRDefault="003D59DC" w:rsidP="003D59DC">
      <w:pPr>
        <w:rPr>
          <w:rFonts w:cstheme="minorHAnsi"/>
          <w:sz w:val="28"/>
          <w:szCs w:val="28"/>
          <w:shd w:val="clear" w:color="auto" w:fill="FFFFFF"/>
        </w:rPr>
      </w:pPr>
    </w:p>
    <w:p w14:paraId="5B233B9B" w14:textId="77777777" w:rsidR="003D59DC" w:rsidRPr="007D15E6" w:rsidRDefault="003D59DC" w:rsidP="003D59DC">
      <w:pPr>
        <w:rPr>
          <w:rFonts w:cstheme="minorHAnsi"/>
          <w:sz w:val="28"/>
          <w:szCs w:val="28"/>
        </w:rPr>
      </w:pPr>
      <w:r w:rsidRPr="007D15E6">
        <w:rPr>
          <w:rFonts w:cstheme="minorHAnsi"/>
          <w:sz w:val="28"/>
          <w:szCs w:val="28"/>
        </w:rPr>
        <w:t xml:space="preserve">Laming, H. (2003) </w:t>
      </w:r>
      <w:r w:rsidRPr="007D15E6">
        <w:rPr>
          <w:rStyle w:val="Emphasis"/>
          <w:rFonts w:cstheme="minorHAnsi"/>
          <w:sz w:val="28"/>
          <w:szCs w:val="28"/>
        </w:rPr>
        <w:t xml:space="preserve">The Victoria Climbié Inquiry: Report of an Inquiry by Lord Laming </w:t>
      </w:r>
      <w:proofErr w:type="spellStart"/>
      <w:r w:rsidRPr="007D15E6">
        <w:rPr>
          <w:rStyle w:val="Emphasis"/>
          <w:rFonts w:cstheme="minorHAnsi"/>
          <w:sz w:val="28"/>
          <w:szCs w:val="28"/>
        </w:rPr>
        <w:t>raport</w:t>
      </w:r>
      <w:proofErr w:type="spellEnd"/>
      <w:r w:rsidRPr="007D15E6">
        <w:rPr>
          <w:rFonts w:cstheme="minorHAnsi"/>
          <w:sz w:val="28"/>
          <w:szCs w:val="28"/>
        </w:rPr>
        <w:t>. London: The Stationery Office.</w:t>
      </w:r>
    </w:p>
    <w:p w14:paraId="71B2A2C4" w14:textId="77777777" w:rsidR="003D59DC" w:rsidRPr="007D15E6" w:rsidRDefault="003D59DC" w:rsidP="003D59DC">
      <w:pPr>
        <w:rPr>
          <w:rFonts w:cstheme="minorHAnsi"/>
          <w:sz w:val="28"/>
          <w:szCs w:val="28"/>
        </w:rPr>
      </w:pPr>
    </w:p>
    <w:p w14:paraId="6D1B23E6" w14:textId="77777777" w:rsidR="003D59DC" w:rsidRPr="007D15E6" w:rsidRDefault="003D59DC" w:rsidP="003D59DC">
      <w:pPr>
        <w:pStyle w:val="NormalWeb"/>
        <w:spacing w:before="0" w:beforeAutospacing="0" w:after="0" w:afterAutospacing="0" w:line="480" w:lineRule="auto"/>
        <w:ind w:left="720" w:hanging="720"/>
        <w:rPr>
          <w:rStyle w:val="url"/>
          <w:rFonts w:asciiTheme="minorHAnsi" w:eastAsiaTheme="majorEastAsia" w:hAnsiTheme="minorHAnsi" w:cstheme="minorHAnsi"/>
          <w:sz w:val="28"/>
          <w:szCs w:val="28"/>
        </w:rPr>
      </w:pPr>
      <w:r w:rsidRPr="007D15E6">
        <w:rPr>
          <w:rFonts w:asciiTheme="minorHAnsi" w:hAnsiTheme="minorHAnsi" w:cstheme="minorHAnsi"/>
          <w:i/>
          <w:iCs/>
          <w:sz w:val="28"/>
          <w:szCs w:val="28"/>
        </w:rPr>
        <w:t xml:space="preserve"> </w:t>
      </w:r>
      <w:r w:rsidRPr="007D15E6">
        <w:rPr>
          <w:rFonts w:asciiTheme="minorHAnsi" w:hAnsiTheme="minorHAnsi" w:cstheme="minorHAnsi"/>
          <w:sz w:val="28"/>
          <w:szCs w:val="28"/>
        </w:rPr>
        <w:t xml:space="preserve">Law Wales (2021) </w:t>
      </w:r>
      <w:r w:rsidRPr="007D15E6">
        <w:rPr>
          <w:rFonts w:asciiTheme="minorHAnsi" w:hAnsiTheme="minorHAnsi" w:cstheme="minorHAnsi"/>
          <w:i/>
          <w:iCs/>
          <w:sz w:val="28"/>
          <w:szCs w:val="28"/>
        </w:rPr>
        <w:t xml:space="preserve">Safeguarding Vulnerable Groups Act 2006. </w:t>
      </w:r>
      <w:r w:rsidRPr="007D15E6">
        <w:rPr>
          <w:rFonts w:asciiTheme="minorHAnsi" w:hAnsiTheme="minorHAnsi" w:cstheme="minorHAnsi"/>
          <w:sz w:val="28"/>
          <w:szCs w:val="28"/>
        </w:rPr>
        <w:t>Available at:</w:t>
      </w:r>
      <w:r w:rsidRPr="007D15E6">
        <w:rPr>
          <w:rFonts w:asciiTheme="minorHAnsi" w:hAnsiTheme="minorHAnsi" w:cstheme="minorHAnsi"/>
          <w:i/>
          <w:iCs/>
          <w:sz w:val="28"/>
          <w:szCs w:val="28"/>
        </w:rPr>
        <w:t xml:space="preserve"> </w:t>
      </w:r>
      <w:hyperlink r:id="rId23" w:history="1">
        <w:r w:rsidRPr="007D15E6">
          <w:rPr>
            <w:rStyle w:val="Hyperlink"/>
            <w:rFonts w:asciiTheme="minorHAnsi" w:eastAsiaTheme="majorEastAsia" w:hAnsiTheme="minorHAnsi" w:cstheme="minorHAnsi"/>
            <w:color w:val="auto"/>
            <w:sz w:val="28"/>
            <w:szCs w:val="28"/>
          </w:rPr>
          <w:t>https://law.gov.wales/public-services/social-care/safeguarding-vulnerable-groups-act-2006</w:t>
        </w:r>
      </w:hyperlink>
      <w:r w:rsidRPr="007D15E6">
        <w:rPr>
          <w:rStyle w:val="url"/>
          <w:rFonts w:asciiTheme="minorHAnsi" w:eastAsiaTheme="majorEastAsia" w:hAnsiTheme="minorHAnsi" w:cstheme="minorHAnsi"/>
          <w:sz w:val="28"/>
          <w:szCs w:val="28"/>
        </w:rPr>
        <w:t xml:space="preserve"> (Accessed 15th April, 2025).</w:t>
      </w:r>
    </w:p>
    <w:p w14:paraId="453D2192" w14:textId="77777777" w:rsidR="003D59DC" w:rsidRPr="007D15E6" w:rsidRDefault="003D59DC" w:rsidP="003D59DC">
      <w:pPr>
        <w:pStyle w:val="NormalWeb"/>
        <w:spacing w:before="0" w:beforeAutospacing="0" w:after="0" w:afterAutospacing="0" w:line="480" w:lineRule="auto"/>
        <w:ind w:left="720" w:hanging="720"/>
        <w:rPr>
          <w:rStyle w:val="url"/>
          <w:rFonts w:asciiTheme="minorHAnsi" w:eastAsiaTheme="majorEastAsia" w:hAnsiTheme="minorHAnsi" w:cstheme="minorHAnsi"/>
          <w:sz w:val="28"/>
          <w:szCs w:val="28"/>
        </w:rPr>
      </w:pPr>
    </w:p>
    <w:p w14:paraId="553DB0FC" w14:textId="77777777" w:rsidR="003D59DC" w:rsidRPr="007D15E6" w:rsidRDefault="003D59DC" w:rsidP="003D59DC">
      <w:pPr>
        <w:pStyle w:val="NormalWeb"/>
        <w:spacing w:before="0" w:beforeAutospacing="0" w:after="0" w:afterAutospacing="0" w:line="480" w:lineRule="auto"/>
        <w:ind w:left="720" w:hanging="720"/>
        <w:rPr>
          <w:rFonts w:asciiTheme="minorHAnsi" w:hAnsiTheme="minorHAnsi" w:cstheme="minorHAnsi"/>
          <w:sz w:val="28"/>
          <w:szCs w:val="28"/>
        </w:rPr>
      </w:pPr>
      <w:bookmarkStart w:id="4" w:name="_Hlk195738008"/>
      <w:r w:rsidRPr="007D15E6">
        <w:rPr>
          <w:rFonts w:asciiTheme="minorHAnsi" w:hAnsiTheme="minorHAnsi" w:cstheme="minorHAnsi"/>
          <w:sz w:val="28"/>
          <w:szCs w:val="28"/>
          <w:shd w:val="clear" w:color="auto" w:fill="FFFFFF"/>
        </w:rPr>
        <w:t xml:space="preserve">Langner, J. and </w:t>
      </w:r>
      <w:proofErr w:type="spellStart"/>
      <w:r w:rsidRPr="007D15E6">
        <w:rPr>
          <w:rFonts w:asciiTheme="minorHAnsi" w:hAnsiTheme="minorHAnsi" w:cstheme="minorHAnsi"/>
          <w:sz w:val="28"/>
          <w:szCs w:val="28"/>
          <w:shd w:val="clear" w:color="auto" w:fill="FFFFFF"/>
        </w:rPr>
        <w:t>Fukkink</w:t>
      </w:r>
      <w:proofErr w:type="spellEnd"/>
      <w:r w:rsidRPr="007D15E6">
        <w:rPr>
          <w:rFonts w:asciiTheme="minorHAnsi" w:hAnsiTheme="minorHAnsi" w:cstheme="minorHAnsi"/>
          <w:sz w:val="28"/>
          <w:szCs w:val="28"/>
          <w:shd w:val="clear" w:color="auto" w:fill="FFFFFF"/>
        </w:rPr>
        <w:t xml:space="preserve">, R.G. (2023) </w:t>
      </w:r>
      <w:bookmarkEnd w:id="4"/>
      <w:r w:rsidRPr="007D15E6">
        <w:rPr>
          <w:rFonts w:asciiTheme="minorHAnsi" w:hAnsiTheme="minorHAnsi" w:cstheme="minorHAnsi"/>
          <w:sz w:val="28"/>
          <w:szCs w:val="28"/>
          <w:shd w:val="clear" w:color="auto" w:fill="FFFFFF"/>
        </w:rPr>
        <w:t xml:space="preserve">‘A realist synthesis of interprofessional collaborative practices in early intervention for children with speech, language and communication needs’, </w:t>
      </w:r>
      <w:r w:rsidRPr="007D15E6">
        <w:rPr>
          <w:rFonts w:asciiTheme="minorHAnsi" w:hAnsiTheme="minorHAnsi" w:cstheme="minorHAnsi"/>
          <w:i/>
          <w:iCs/>
          <w:sz w:val="28"/>
          <w:szCs w:val="28"/>
          <w:shd w:val="clear" w:color="auto" w:fill="FFFFFF"/>
        </w:rPr>
        <w:t>International Journal of Language &amp; Communication Disorders</w:t>
      </w:r>
      <w:r w:rsidRPr="007D15E6">
        <w:rPr>
          <w:rFonts w:asciiTheme="minorHAnsi" w:hAnsiTheme="minorHAnsi" w:cstheme="minorHAnsi"/>
          <w:sz w:val="28"/>
          <w:szCs w:val="28"/>
          <w:shd w:val="clear" w:color="auto" w:fill="FFFFFF"/>
        </w:rPr>
        <w:t>, 58(2), pp.516-541.</w:t>
      </w:r>
    </w:p>
    <w:p w14:paraId="3ABB904F" w14:textId="77777777" w:rsidR="003D59DC" w:rsidRPr="007D15E6" w:rsidRDefault="003D59DC" w:rsidP="003D59DC">
      <w:pPr>
        <w:rPr>
          <w:rFonts w:cstheme="minorHAnsi"/>
          <w:sz w:val="28"/>
          <w:szCs w:val="28"/>
          <w:shd w:val="clear" w:color="auto" w:fill="FFFFFF"/>
        </w:rPr>
      </w:pPr>
    </w:p>
    <w:p w14:paraId="489BFB98" w14:textId="77777777" w:rsidR="003D59DC" w:rsidRPr="007D15E6" w:rsidRDefault="003D59DC" w:rsidP="003D59DC">
      <w:pPr>
        <w:rPr>
          <w:rFonts w:cstheme="minorHAnsi"/>
          <w:sz w:val="28"/>
          <w:szCs w:val="28"/>
          <w:shd w:val="clear" w:color="auto" w:fill="FFFFFF"/>
        </w:rPr>
      </w:pPr>
    </w:p>
    <w:p w14:paraId="230FC858"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 xml:space="preserve">Legislation. GOV.UK (2024) </w:t>
      </w:r>
      <w:r w:rsidRPr="007D15E6">
        <w:rPr>
          <w:rFonts w:cstheme="minorHAnsi"/>
          <w:i/>
          <w:iCs/>
          <w:sz w:val="28"/>
          <w:szCs w:val="28"/>
          <w:shd w:val="clear" w:color="auto" w:fill="FFFFFF"/>
        </w:rPr>
        <w:t>Children Act 1989</w:t>
      </w:r>
      <w:r w:rsidRPr="007D15E6">
        <w:rPr>
          <w:rFonts w:cstheme="minorHAnsi"/>
          <w:sz w:val="28"/>
          <w:szCs w:val="28"/>
          <w:shd w:val="clear" w:color="auto" w:fill="FFFFFF"/>
        </w:rPr>
        <w:t xml:space="preserve"> Available at: https://www.legislation.gov.uk/ukpga/1989/41/contents (Accessed 8th April, 2025).</w:t>
      </w:r>
    </w:p>
    <w:p w14:paraId="2F858E71" w14:textId="77777777" w:rsidR="003D59DC" w:rsidRPr="007D15E6" w:rsidRDefault="003D59DC" w:rsidP="003D59DC">
      <w:pPr>
        <w:rPr>
          <w:rFonts w:cstheme="minorHAnsi"/>
          <w:sz w:val="28"/>
          <w:szCs w:val="28"/>
          <w:shd w:val="clear" w:color="auto" w:fill="FFFFFF"/>
        </w:rPr>
      </w:pPr>
    </w:p>
    <w:p w14:paraId="31B660EA" w14:textId="77777777" w:rsidR="003D59DC" w:rsidRPr="007D15E6" w:rsidRDefault="003D59DC" w:rsidP="003D59DC">
      <w:pPr>
        <w:rPr>
          <w:rFonts w:cstheme="minorHAnsi"/>
          <w:i/>
          <w:iCs/>
          <w:sz w:val="28"/>
          <w:szCs w:val="28"/>
          <w:shd w:val="clear" w:color="auto" w:fill="FFFFFF"/>
        </w:rPr>
      </w:pPr>
      <w:r w:rsidRPr="007D15E6">
        <w:rPr>
          <w:rFonts w:cstheme="minorHAnsi"/>
          <w:sz w:val="28"/>
          <w:szCs w:val="28"/>
          <w:shd w:val="clear" w:color="auto" w:fill="FFFFFF"/>
        </w:rPr>
        <w:t xml:space="preserve">Legislation. GOV.UK (2025) </w:t>
      </w:r>
      <w:r w:rsidRPr="007D15E6">
        <w:rPr>
          <w:rFonts w:cstheme="minorHAnsi"/>
          <w:i/>
          <w:iCs/>
          <w:sz w:val="28"/>
          <w:szCs w:val="28"/>
          <w:shd w:val="clear" w:color="auto" w:fill="FFFFFF"/>
        </w:rPr>
        <w:t xml:space="preserve">Adoption and Children Act 2002 </w:t>
      </w:r>
      <w:r w:rsidRPr="007D15E6">
        <w:rPr>
          <w:rFonts w:cstheme="minorHAnsi"/>
          <w:sz w:val="28"/>
          <w:szCs w:val="28"/>
          <w:shd w:val="clear" w:color="auto" w:fill="FFFFFF"/>
        </w:rPr>
        <w:t>Available at: https://www.legislation.gov.uk/ukpga/2002/38/contents (Accessed 8</w:t>
      </w:r>
      <w:r w:rsidRPr="007D15E6">
        <w:rPr>
          <w:rFonts w:cstheme="minorHAnsi"/>
          <w:sz w:val="28"/>
          <w:szCs w:val="28"/>
          <w:shd w:val="clear" w:color="auto" w:fill="FFFFFF"/>
          <w:vertAlign w:val="superscript"/>
        </w:rPr>
        <w:t>th</w:t>
      </w:r>
      <w:r w:rsidRPr="007D15E6">
        <w:rPr>
          <w:rFonts w:cstheme="minorHAnsi"/>
          <w:sz w:val="28"/>
          <w:szCs w:val="28"/>
          <w:shd w:val="clear" w:color="auto" w:fill="FFFFFF"/>
        </w:rPr>
        <w:t xml:space="preserve"> April, 2025</w:t>
      </w:r>
      <w:r w:rsidRPr="007D15E6">
        <w:rPr>
          <w:rFonts w:cstheme="minorHAnsi"/>
          <w:i/>
          <w:iCs/>
          <w:sz w:val="28"/>
          <w:szCs w:val="28"/>
          <w:shd w:val="clear" w:color="auto" w:fill="FFFFFF"/>
        </w:rPr>
        <w:t>).</w:t>
      </w:r>
    </w:p>
    <w:p w14:paraId="3CB0BF02" w14:textId="77777777" w:rsidR="003D59DC" w:rsidRPr="007D15E6" w:rsidRDefault="003D59DC" w:rsidP="003D59DC">
      <w:pPr>
        <w:rPr>
          <w:rFonts w:cstheme="minorHAnsi"/>
          <w:i/>
          <w:iCs/>
          <w:sz w:val="28"/>
          <w:szCs w:val="28"/>
          <w:shd w:val="clear" w:color="auto" w:fill="FFFFFF"/>
        </w:rPr>
      </w:pPr>
    </w:p>
    <w:p w14:paraId="639C8CEF" w14:textId="77777777" w:rsidR="003D59DC" w:rsidRPr="007D15E6" w:rsidRDefault="003D59DC" w:rsidP="003D59DC">
      <w:pPr>
        <w:rPr>
          <w:rFonts w:cstheme="minorHAnsi"/>
          <w:sz w:val="28"/>
          <w:szCs w:val="28"/>
        </w:rPr>
      </w:pPr>
      <w:bookmarkStart w:id="5" w:name="_Hlk195381465"/>
      <w:r w:rsidRPr="007D15E6">
        <w:rPr>
          <w:rFonts w:cstheme="minorHAnsi"/>
          <w:sz w:val="28"/>
          <w:szCs w:val="28"/>
        </w:rPr>
        <w:t>Lo Cricchio</w:t>
      </w:r>
      <w:bookmarkEnd w:id="5"/>
      <w:r w:rsidRPr="007D15E6">
        <w:rPr>
          <w:rFonts w:cstheme="minorHAnsi"/>
          <w:sz w:val="28"/>
          <w:szCs w:val="28"/>
        </w:rPr>
        <w:t xml:space="preserve">, M.G., Pace, U. and Zappulla, C. (2021) ‘Parenting and adolescent well-being: The mediating role of basic psychological needs’, </w:t>
      </w:r>
      <w:r w:rsidRPr="007D15E6">
        <w:rPr>
          <w:rStyle w:val="Emphasis"/>
          <w:rFonts w:cstheme="minorHAnsi"/>
          <w:sz w:val="28"/>
          <w:szCs w:val="28"/>
        </w:rPr>
        <w:t>British Journal of Developmental Psychology</w:t>
      </w:r>
      <w:r w:rsidRPr="007D15E6">
        <w:rPr>
          <w:rFonts w:cstheme="minorHAnsi"/>
          <w:sz w:val="28"/>
          <w:szCs w:val="28"/>
        </w:rPr>
        <w:t>, 39(1), pp. 102–119.</w:t>
      </w:r>
    </w:p>
    <w:p w14:paraId="07D7AB88" w14:textId="77777777" w:rsidR="003D59DC" w:rsidRPr="007D15E6" w:rsidRDefault="003D59DC" w:rsidP="003D59DC">
      <w:pPr>
        <w:rPr>
          <w:rFonts w:cstheme="minorHAnsi"/>
          <w:sz w:val="28"/>
          <w:szCs w:val="28"/>
        </w:rPr>
      </w:pPr>
    </w:p>
    <w:p w14:paraId="77DC39CC" w14:textId="77777777" w:rsidR="003D59DC" w:rsidRPr="007D15E6" w:rsidRDefault="003D59DC" w:rsidP="003D59DC">
      <w:pPr>
        <w:rPr>
          <w:rFonts w:cstheme="minorHAnsi"/>
          <w:sz w:val="28"/>
          <w:szCs w:val="28"/>
          <w:shd w:val="clear" w:color="auto" w:fill="FFFFFF"/>
        </w:rPr>
      </w:pPr>
      <w:bookmarkStart w:id="6" w:name="_Hlk195625330"/>
      <w:r w:rsidRPr="007D15E6">
        <w:rPr>
          <w:rFonts w:cstheme="minorHAnsi"/>
          <w:sz w:val="28"/>
          <w:szCs w:val="28"/>
          <w:shd w:val="clear" w:color="auto" w:fill="FFFFFF"/>
        </w:rPr>
        <w:t>Little, M. and Mount, K. (2018</w:t>
      </w:r>
      <w:bookmarkEnd w:id="6"/>
      <w:r w:rsidRPr="007D15E6">
        <w:rPr>
          <w:rFonts w:cstheme="minorHAnsi"/>
          <w:sz w:val="28"/>
          <w:szCs w:val="28"/>
          <w:shd w:val="clear" w:color="auto" w:fill="FFFFFF"/>
        </w:rPr>
        <w:t>) </w:t>
      </w:r>
      <w:r w:rsidRPr="007D15E6">
        <w:rPr>
          <w:rFonts w:cstheme="minorHAnsi"/>
          <w:i/>
          <w:iCs/>
          <w:sz w:val="28"/>
          <w:szCs w:val="28"/>
          <w:shd w:val="clear" w:color="auto" w:fill="FFFFFF"/>
        </w:rPr>
        <w:t>Prevention and early intervention with children in need</w:t>
      </w:r>
      <w:r w:rsidRPr="007D15E6">
        <w:rPr>
          <w:rFonts w:cstheme="minorHAnsi"/>
          <w:sz w:val="28"/>
          <w:szCs w:val="28"/>
          <w:shd w:val="clear" w:color="auto" w:fill="FFFFFF"/>
        </w:rPr>
        <w:t>. 2</w:t>
      </w:r>
      <w:r w:rsidRPr="007D15E6">
        <w:rPr>
          <w:rFonts w:cstheme="minorHAnsi"/>
          <w:sz w:val="28"/>
          <w:szCs w:val="28"/>
          <w:shd w:val="clear" w:color="auto" w:fill="FFFFFF"/>
          <w:vertAlign w:val="superscript"/>
        </w:rPr>
        <w:t>nd</w:t>
      </w:r>
      <w:r w:rsidRPr="007D15E6">
        <w:rPr>
          <w:rFonts w:cstheme="minorHAnsi"/>
          <w:sz w:val="28"/>
          <w:szCs w:val="28"/>
          <w:shd w:val="clear" w:color="auto" w:fill="FFFFFF"/>
        </w:rPr>
        <w:t xml:space="preserve"> </w:t>
      </w:r>
      <w:proofErr w:type="spellStart"/>
      <w:r w:rsidRPr="007D15E6">
        <w:rPr>
          <w:rFonts w:cstheme="minorHAnsi"/>
          <w:sz w:val="28"/>
          <w:szCs w:val="28"/>
          <w:shd w:val="clear" w:color="auto" w:fill="FFFFFF"/>
        </w:rPr>
        <w:t>edn</w:t>
      </w:r>
      <w:proofErr w:type="spellEnd"/>
      <w:r w:rsidRPr="007D15E6">
        <w:rPr>
          <w:rFonts w:cstheme="minorHAnsi"/>
          <w:sz w:val="28"/>
          <w:szCs w:val="28"/>
          <w:shd w:val="clear" w:color="auto" w:fill="FFFFFF"/>
        </w:rPr>
        <w:t>. London: Routledge.</w:t>
      </w:r>
    </w:p>
    <w:p w14:paraId="56A24C8E" w14:textId="77777777" w:rsidR="003D59DC" w:rsidRPr="007D15E6" w:rsidRDefault="003D59DC" w:rsidP="003D59DC">
      <w:pPr>
        <w:rPr>
          <w:rFonts w:cstheme="minorHAnsi"/>
          <w:sz w:val="28"/>
          <w:szCs w:val="28"/>
          <w:shd w:val="clear" w:color="auto" w:fill="FFFFFF"/>
        </w:rPr>
      </w:pPr>
    </w:p>
    <w:p w14:paraId="2B5FD0C2" w14:textId="77777777" w:rsidR="003D59DC" w:rsidRPr="007D15E6" w:rsidRDefault="003D59DC" w:rsidP="003D59DC">
      <w:pPr>
        <w:rPr>
          <w:rFonts w:cstheme="minorHAnsi"/>
          <w:sz w:val="28"/>
          <w:szCs w:val="28"/>
          <w:shd w:val="clear" w:color="auto" w:fill="FFFFFF"/>
        </w:rPr>
      </w:pPr>
      <w:bookmarkStart w:id="7" w:name="_Hlk195182911"/>
      <w:proofErr w:type="spellStart"/>
      <w:r w:rsidRPr="007D15E6">
        <w:rPr>
          <w:rFonts w:cstheme="minorHAnsi"/>
          <w:sz w:val="28"/>
          <w:szCs w:val="28"/>
          <w:shd w:val="clear" w:color="auto" w:fill="FFFFFF"/>
        </w:rPr>
        <w:t>Mahindru</w:t>
      </w:r>
      <w:proofErr w:type="spellEnd"/>
      <w:r w:rsidRPr="007D15E6">
        <w:rPr>
          <w:rFonts w:cstheme="minorHAnsi"/>
          <w:sz w:val="28"/>
          <w:szCs w:val="28"/>
          <w:shd w:val="clear" w:color="auto" w:fill="FFFFFF"/>
        </w:rPr>
        <w:t>, A</w:t>
      </w:r>
      <w:bookmarkEnd w:id="7"/>
      <w:r w:rsidRPr="007D15E6">
        <w:rPr>
          <w:rFonts w:cstheme="minorHAnsi"/>
          <w:sz w:val="28"/>
          <w:szCs w:val="28"/>
          <w:shd w:val="clear" w:color="auto" w:fill="FFFFFF"/>
        </w:rPr>
        <w:t xml:space="preserve">., Patil, P., and Agrawal, V. (2023) ‘Role of Physical Activity on Mental Health and Well-Being: A Review’, </w:t>
      </w:r>
      <w:r w:rsidRPr="007D15E6">
        <w:rPr>
          <w:rFonts w:cstheme="minorHAnsi"/>
          <w:i/>
          <w:iCs/>
          <w:sz w:val="28"/>
          <w:szCs w:val="28"/>
          <w:shd w:val="clear" w:color="auto" w:fill="FFFFFF"/>
        </w:rPr>
        <w:t>Cureus,</w:t>
      </w:r>
      <w:r w:rsidRPr="007D15E6">
        <w:rPr>
          <w:rFonts w:cstheme="minorHAnsi"/>
          <w:sz w:val="28"/>
          <w:szCs w:val="28"/>
          <w:shd w:val="clear" w:color="auto" w:fill="FFFFFF"/>
        </w:rPr>
        <w:t xml:space="preserve"> 15(1), pp.123-128.</w:t>
      </w:r>
    </w:p>
    <w:p w14:paraId="15D86EE8" w14:textId="77777777" w:rsidR="003D59DC" w:rsidRPr="007D15E6" w:rsidRDefault="003D59DC" w:rsidP="003D59DC">
      <w:pPr>
        <w:rPr>
          <w:rFonts w:cstheme="minorHAnsi"/>
          <w:sz w:val="28"/>
          <w:szCs w:val="28"/>
          <w:shd w:val="clear" w:color="auto" w:fill="FFFFFF"/>
        </w:rPr>
      </w:pPr>
    </w:p>
    <w:p w14:paraId="2B237840"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 xml:space="preserve">Mirzaian, C. B., </w:t>
      </w:r>
      <w:proofErr w:type="spellStart"/>
      <w:r w:rsidRPr="007D15E6">
        <w:rPr>
          <w:rFonts w:cstheme="minorHAnsi"/>
          <w:sz w:val="28"/>
          <w:szCs w:val="28"/>
          <w:shd w:val="clear" w:color="auto" w:fill="FFFFFF"/>
        </w:rPr>
        <w:t>Deavenport</w:t>
      </w:r>
      <w:proofErr w:type="spellEnd"/>
      <w:r w:rsidRPr="007D15E6">
        <w:rPr>
          <w:rFonts w:cstheme="minorHAnsi"/>
          <w:sz w:val="28"/>
          <w:szCs w:val="28"/>
          <w:shd w:val="clear" w:color="auto" w:fill="FFFFFF"/>
        </w:rPr>
        <w:t>-Saman, A., Hudson, S. M., and Betz, C. L. (2024) ‘Barriers to mental health care transition for youth and young adults with intellectual and developmental disabilities and co-occurring mental health conditions: Stakeholders’ perspectives’, Community Mental Health Journal, 60(6), pp.1104-1116.</w:t>
      </w:r>
    </w:p>
    <w:p w14:paraId="0AC8EB0C" w14:textId="77777777" w:rsidR="003D59DC" w:rsidRPr="007D15E6" w:rsidRDefault="003D59DC" w:rsidP="003D59DC">
      <w:pPr>
        <w:rPr>
          <w:rFonts w:cstheme="minorHAnsi"/>
          <w:sz w:val="28"/>
          <w:szCs w:val="28"/>
          <w:shd w:val="clear" w:color="auto" w:fill="FFFFFF"/>
        </w:rPr>
      </w:pPr>
    </w:p>
    <w:p w14:paraId="58EDDCE3" w14:textId="77777777" w:rsidR="003D59DC" w:rsidRPr="007D15E6" w:rsidRDefault="003D59DC" w:rsidP="003D59DC">
      <w:pPr>
        <w:spacing w:after="0" w:line="240" w:lineRule="auto"/>
        <w:rPr>
          <w:rFonts w:eastAsia="Times New Roman" w:cstheme="minorHAnsi"/>
          <w:kern w:val="0"/>
          <w:sz w:val="28"/>
          <w:szCs w:val="28"/>
          <w:lang w:eastAsia="en-GB"/>
          <w14:ligatures w14:val="none"/>
        </w:rPr>
      </w:pPr>
      <w:r w:rsidRPr="007D15E6">
        <w:rPr>
          <w:rFonts w:eastAsia="Times New Roman" w:cstheme="minorHAnsi"/>
          <w:kern w:val="0"/>
          <w:sz w:val="28"/>
          <w:szCs w:val="28"/>
          <w:lang w:eastAsia="en-GB"/>
          <w14:ligatures w14:val="none"/>
        </w:rPr>
        <w:t xml:space="preserve">McKay, J. R. (2021) ‘Impact of Continuing Care on Recovery From Substance Use Disorder’, </w:t>
      </w:r>
      <w:r w:rsidRPr="007D15E6">
        <w:rPr>
          <w:rFonts w:eastAsia="Times New Roman" w:cstheme="minorHAnsi"/>
          <w:i/>
          <w:iCs/>
          <w:kern w:val="0"/>
          <w:sz w:val="28"/>
          <w:szCs w:val="28"/>
          <w:lang w:eastAsia="en-GB"/>
          <w14:ligatures w14:val="none"/>
        </w:rPr>
        <w:t>Alcohol Research : Current Reviews</w:t>
      </w:r>
      <w:r w:rsidRPr="007D15E6">
        <w:rPr>
          <w:rFonts w:eastAsia="Times New Roman" w:cstheme="minorHAnsi"/>
          <w:kern w:val="0"/>
          <w:sz w:val="28"/>
          <w:szCs w:val="28"/>
          <w:lang w:eastAsia="en-GB"/>
          <w14:ligatures w14:val="none"/>
        </w:rPr>
        <w:t xml:space="preserve">, 41(1), pp. 23-34. </w:t>
      </w:r>
    </w:p>
    <w:p w14:paraId="383FCCC7" w14:textId="77777777" w:rsidR="003D59DC" w:rsidRPr="007D15E6" w:rsidRDefault="003D59DC" w:rsidP="003D59DC">
      <w:pPr>
        <w:spacing w:after="0" w:line="240" w:lineRule="auto"/>
        <w:rPr>
          <w:rFonts w:eastAsia="Times New Roman" w:cstheme="minorHAnsi"/>
          <w:kern w:val="0"/>
          <w:sz w:val="28"/>
          <w:szCs w:val="28"/>
          <w:lang w:eastAsia="en-GB"/>
          <w14:ligatures w14:val="none"/>
        </w:rPr>
      </w:pPr>
    </w:p>
    <w:p w14:paraId="029FBFBE" w14:textId="77777777" w:rsidR="003D59DC" w:rsidRPr="007D15E6" w:rsidRDefault="003D59DC" w:rsidP="003D59DC">
      <w:pPr>
        <w:spacing w:after="0" w:line="240" w:lineRule="auto"/>
        <w:rPr>
          <w:rFonts w:eastAsia="Times New Roman" w:cstheme="minorHAnsi"/>
          <w:kern w:val="0"/>
          <w:sz w:val="28"/>
          <w:szCs w:val="28"/>
          <w:lang w:eastAsia="en-GB"/>
          <w14:ligatures w14:val="none"/>
        </w:rPr>
      </w:pPr>
    </w:p>
    <w:p w14:paraId="458BA082" w14:textId="77777777" w:rsidR="003D59DC" w:rsidRPr="007D15E6" w:rsidRDefault="003D59DC" w:rsidP="003D59DC">
      <w:pPr>
        <w:spacing w:after="0" w:line="240" w:lineRule="auto"/>
        <w:rPr>
          <w:rFonts w:cstheme="minorHAnsi"/>
          <w:sz w:val="28"/>
          <w:szCs w:val="28"/>
          <w:shd w:val="clear" w:color="auto" w:fill="FFFFFF"/>
        </w:rPr>
      </w:pPr>
      <w:bookmarkStart w:id="8" w:name="_Hlk195032374"/>
      <w:r w:rsidRPr="007D15E6">
        <w:rPr>
          <w:rFonts w:cstheme="minorHAnsi"/>
          <w:sz w:val="28"/>
          <w:szCs w:val="28"/>
          <w:shd w:val="clear" w:color="auto" w:fill="FFFFFF"/>
        </w:rPr>
        <w:t>McCafferty, P. (2024</w:t>
      </w:r>
      <w:bookmarkEnd w:id="8"/>
      <w:r w:rsidRPr="007D15E6">
        <w:rPr>
          <w:rFonts w:cstheme="minorHAnsi"/>
          <w:sz w:val="28"/>
          <w:szCs w:val="28"/>
          <w:shd w:val="clear" w:color="auto" w:fill="FFFFFF"/>
        </w:rPr>
        <w:t xml:space="preserve">) ‘Children’s Participation in Child Welfare Decision Making: Recognising Dichotomies, Conceptualising Critically Informed Solutions’, </w:t>
      </w:r>
      <w:r w:rsidRPr="007D15E6">
        <w:rPr>
          <w:rFonts w:cstheme="minorHAnsi"/>
          <w:i/>
          <w:iCs/>
          <w:sz w:val="28"/>
          <w:szCs w:val="28"/>
          <w:shd w:val="clear" w:color="auto" w:fill="FFFFFF"/>
        </w:rPr>
        <w:t>Child Care in Practice</w:t>
      </w:r>
      <w:r w:rsidRPr="007D15E6">
        <w:rPr>
          <w:rFonts w:cstheme="minorHAnsi"/>
          <w:sz w:val="28"/>
          <w:szCs w:val="28"/>
          <w:shd w:val="clear" w:color="auto" w:fill="FFFFFF"/>
        </w:rPr>
        <w:t>, 30(2), pp.112-129.</w:t>
      </w:r>
    </w:p>
    <w:p w14:paraId="189975D2" w14:textId="77777777" w:rsidR="003D59DC" w:rsidRPr="007D15E6" w:rsidRDefault="003D59DC" w:rsidP="003D59DC">
      <w:pPr>
        <w:spacing w:after="0" w:line="240" w:lineRule="auto"/>
        <w:rPr>
          <w:rFonts w:cstheme="minorHAnsi"/>
          <w:sz w:val="28"/>
          <w:szCs w:val="28"/>
          <w:shd w:val="clear" w:color="auto" w:fill="FFFFFF"/>
        </w:rPr>
      </w:pPr>
    </w:p>
    <w:p w14:paraId="5249B48E" w14:textId="77777777" w:rsidR="003D59DC" w:rsidRPr="007D15E6" w:rsidRDefault="003D59DC" w:rsidP="003D59DC">
      <w:pPr>
        <w:spacing w:after="0" w:line="240" w:lineRule="auto"/>
        <w:rPr>
          <w:rFonts w:cstheme="minorHAnsi"/>
          <w:sz w:val="28"/>
          <w:szCs w:val="28"/>
          <w:shd w:val="clear" w:color="auto" w:fill="FFFFFF"/>
        </w:rPr>
      </w:pPr>
    </w:p>
    <w:p w14:paraId="70A09F6C" w14:textId="77777777" w:rsidR="003D59DC" w:rsidRPr="007D15E6" w:rsidRDefault="003D59DC" w:rsidP="003D59DC">
      <w:pPr>
        <w:spacing w:after="0" w:line="240" w:lineRule="auto"/>
        <w:rPr>
          <w:rFonts w:eastAsia="Times New Roman" w:cstheme="minorHAnsi"/>
          <w:kern w:val="0"/>
          <w:sz w:val="28"/>
          <w:szCs w:val="28"/>
          <w:lang w:eastAsia="en-GB"/>
          <w14:ligatures w14:val="none"/>
        </w:rPr>
      </w:pPr>
      <w:r w:rsidRPr="007D15E6">
        <w:rPr>
          <w:rFonts w:cstheme="minorHAnsi"/>
          <w:sz w:val="28"/>
          <w:szCs w:val="28"/>
          <w:shd w:val="clear" w:color="auto" w:fill="FFFFFF"/>
        </w:rPr>
        <w:lastRenderedPageBreak/>
        <w:t>McGill, N., McLeod, S., Crowe, K., Wang, C., and Hopf, S. C. (2021) ‘Waiting lists and prioritization of children for services: Speech-language pathologists’ perspectives’, </w:t>
      </w:r>
      <w:r w:rsidRPr="007D15E6">
        <w:rPr>
          <w:rFonts w:cstheme="minorHAnsi"/>
          <w:i/>
          <w:iCs/>
          <w:sz w:val="28"/>
          <w:szCs w:val="28"/>
          <w:shd w:val="clear" w:color="auto" w:fill="FFFFFF"/>
        </w:rPr>
        <w:t>Journal of Communication Disorders</w:t>
      </w:r>
      <w:r w:rsidRPr="007D15E6">
        <w:rPr>
          <w:rFonts w:cstheme="minorHAnsi"/>
          <w:sz w:val="28"/>
          <w:szCs w:val="28"/>
          <w:shd w:val="clear" w:color="auto" w:fill="FFFFFF"/>
        </w:rPr>
        <w:t xml:space="preserve">, 91(4), pp. 102-112. </w:t>
      </w:r>
    </w:p>
    <w:p w14:paraId="5D10EB64" w14:textId="77777777" w:rsidR="003D59DC" w:rsidRPr="007D15E6" w:rsidRDefault="003D59DC" w:rsidP="003D59DC">
      <w:pPr>
        <w:rPr>
          <w:rFonts w:cstheme="minorHAnsi"/>
          <w:sz w:val="28"/>
          <w:szCs w:val="28"/>
          <w:shd w:val="clear" w:color="auto" w:fill="FFFFFF"/>
        </w:rPr>
      </w:pPr>
    </w:p>
    <w:p w14:paraId="6D235097" w14:textId="77777777" w:rsidR="003D59DC" w:rsidRPr="007D15E6" w:rsidRDefault="003D59DC" w:rsidP="003D59DC">
      <w:pPr>
        <w:rPr>
          <w:rFonts w:cstheme="minorHAnsi"/>
          <w:sz w:val="28"/>
          <w:szCs w:val="28"/>
          <w:shd w:val="clear" w:color="auto" w:fill="FFFFFF"/>
        </w:rPr>
      </w:pPr>
    </w:p>
    <w:p w14:paraId="7ED794F5"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Motta, R. W., McWilliams, M. E., Schwartz, J. T., and Cavera, R. S. (2021) ‘The role of exercise in reducing childhood and adolescent PTSD, anxiety, and depression’, </w:t>
      </w:r>
      <w:r w:rsidRPr="007D15E6">
        <w:rPr>
          <w:rFonts w:cstheme="minorHAnsi"/>
          <w:i/>
          <w:iCs/>
          <w:sz w:val="28"/>
          <w:szCs w:val="28"/>
          <w:shd w:val="clear" w:color="auto" w:fill="FFFFFF"/>
        </w:rPr>
        <w:t>Journal of Applied School Psychology</w:t>
      </w:r>
      <w:r w:rsidRPr="007D15E6">
        <w:rPr>
          <w:rFonts w:cstheme="minorHAnsi"/>
          <w:sz w:val="28"/>
          <w:szCs w:val="28"/>
          <w:shd w:val="clear" w:color="auto" w:fill="FFFFFF"/>
        </w:rPr>
        <w:t>, 28(3), pp. 224-238.</w:t>
      </w:r>
    </w:p>
    <w:p w14:paraId="2F7A6E9F" w14:textId="77777777" w:rsidR="003D59DC" w:rsidRPr="007D15E6" w:rsidRDefault="003D59DC" w:rsidP="003D59DC">
      <w:pPr>
        <w:rPr>
          <w:rFonts w:cstheme="minorHAnsi"/>
          <w:sz w:val="28"/>
          <w:szCs w:val="28"/>
          <w:shd w:val="clear" w:color="auto" w:fill="FFFFFF"/>
        </w:rPr>
      </w:pPr>
    </w:p>
    <w:p w14:paraId="06F287BB" w14:textId="77777777" w:rsidR="003D59DC" w:rsidRPr="007D15E6" w:rsidRDefault="003D59DC" w:rsidP="003D59DC">
      <w:pPr>
        <w:rPr>
          <w:rFonts w:cstheme="minorHAnsi"/>
          <w:sz w:val="28"/>
          <w:szCs w:val="28"/>
          <w:shd w:val="clear" w:color="auto" w:fill="FFFFFF"/>
        </w:rPr>
      </w:pPr>
      <w:proofErr w:type="spellStart"/>
      <w:r w:rsidRPr="007D15E6">
        <w:rPr>
          <w:rFonts w:cstheme="minorHAnsi"/>
          <w:sz w:val="28"/>
          <w:szCs w:val="28"/>
          <w:shd w:val="clear" w:color="auto" w:fill="FFFFFF"/>
        </w:rPr>
        <w:t>Muskens</w:t>
      </w:r>
      <w:proofErr w:type="spellEnd"/>
      <w:r w:rsidRPr="007D15E6">
        <w:rPr>
          <w:rFonts w:cstheme="minorHAnsi"/>
          <w:sz w:val="28"/>
          <w:szCs w:val="28"/>
          <w:shd w:val="clear" w:color="auto" w:fill="FFFFFF"/>
        </w:rPr>
        <w:t xml:space="preserve">, J. B. (2024) </w:t>
      </w:r>
      <w:r w:rsidRPr="007D15E6">
        <w:rPr>
          <w:rFonts w:cstheme="minorHAnsi"/>
          <w:i/>
          <w:iCs/>
          <w:sz w:val="28"/>
          <w:szCs w:val="28"/>
          <w:shd w:val="clear" w:color="auto" w:fill="FFFFFF"/>
        </w:rPr>
        <w:t>Keep the body in mind. Towards integrating physical and mental health in child and adolescent psychiatry</w:t>
      </w:r>
      <w:r w:rsidRPr="007D15E6">
        <w:rPr>
          <w:rFonts w:cstheme="minorHAnsi"/>
          <w:sz w:val="28"/>
          <w:szCs w:val="28"/>
          <w:shd w:val="clear" w:color="auto" w:fill="FFFFFF"/>
        </w:rPr>
        <w:t> (Doctoral dissertation).</w:t>
      </w:r>
    </w:p>
    <w:p w14:paraId="214DCCBB" w14:textId="77777777" w:rsidR="003D59DC" w:rsidRPr="007D15E6" w:rsidRDefault="003D59DC" w:rsidP="003D59DC">
      <w:pPr>
        <w:rPr>
          <w:rFonts w:cstheme="minorHAnsi"/>
          <w:sz w:val="28"/>
          <w:szCs w:val="28"/>
          <w:shd w:val="clear" w:color="auto" w:fill="FFFFFF"/>
        </w:rPr>
      </w:pPr>
    </w:p>
    <w:p w14:paraId="40B3D376"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Newland, L. A. (2015) ‘Family well‐being, parenting, and child well‐being: Pathways to healthy adjustment’, </w:t>
      </w:r>
      <w:r w:rsidRPr="007D15E6">
        <w:rPr>
          <w:rFonts w:cstheme="minorHAnsi"/>
          <w:i/>
          <w:iCs/>
          <w:sz w:val="28"/>
          <w:szCs w:val="28"/>
          <w:shd w:val="clear" w:color="auto" w:fill="FFFFFF"/>
        </w:rPr>
        <w:t>Clinical Psychologist</w:t>
      </w:r>
      <w:r w:rsidRPr="007D15E6">
        <w:rPr>
          <w:rFonts w:cstheme="minorHAnsi"/>
          <w:sz w:val="28"/>
          <w:szCs w:val="28"/>
          <w:shd w:val="clear" w:color="auto" w:fill="FFFFFF"/>
        </w:rPr>
        <w:t xml:space="preserve">, 19(1), pp. 3–14. </w:t>
      </w:r>
    </w:p>
    <w:p w14:paraId="4DC4322E" w14:textId="77777777" w:rsidR="003D59DC" w:rsidRPr="007D15E6" w:rsidRDefault="003D59DC" w:rsidP="003D59DC">
      <w:pPr>
        <w:rPr>
          <w:rFonts w:cstheme="minorHAnsi"/>
          <w:sz w:val="28"/>
          <w:szCs w:val="28"/>
          <w:shd w:val="clear" w:color="auto" w:fill="FFFFFF"/>
        </w:rPr>
      </w:pPr>
    </w:p>
    <w:p w14:paraId="7AC5E028" w14:textId="77777777" w:rsidR="003D59DC" w:rsidRPr="007D15E6" w:rsidRDefault="003D59DC" w:rsidP="003D59DC">
      <w:pPr>
        <w:keepNext/>
        <w:keepLines/>
        <w:shd w:val="clear" w:color="auto" w:fill="FFFFFF"/>
        <w:spacing w:after="0"/>
        <w:outlineLvl w:val="0"/>
        <w:rPr>
          <w:rFonts w:eastAsia="Times New Roman" w:cstheme="minorHAnsi"/>
          <w:kern w:val="36"/>
          <w:sz w:val="28"/>
          <w:szCs w:val="28"/>
          <w:lang w:eastAsia="en-GB"/>
          <w14:ligatures w14:val="none"/>
        </w:rPr>
      </w:pPr>
      <w:r w:rsidRPr="007D15E6">
        <w:rPr>
          <w:rFonts w:eastAsiaTheme="majorEastAsia" w:cstheme="minorHAnsi"/>
          <w:sz w:val="28"/>
          <w:szCs w:val="28"/>
          <w:shd w:val="clear" w:color="auto" w:fill="FFFFFF"/>
        </w:rPr>
        <w:lastRenderedPageBreak/>
        <w:t xml:space="preserve">National Health Service (NHS). (2021) </w:t>
      </w:r>
      <w:r w:rsidRPr="007D15E6">
        <w:rPr>
          <w:rFonts w:eastAsia="Times New Roman" w:cstheme="minorHAnsi"/>
          <w:i/>
          <w:iCs/>
          <w:kern w:val="36"/>
          <w:sz w:val="28"/>
          <w:szCs w:val="28"/>
          <w:lang w:eastAsia="en-GB"/>
          <w14:ligatures w14:val="none"/>
        </w:rPr>
        <w:t xml:space="preserve">The Child and Adolescent Mental Health Service (CAMHS) at Norfolk and Suffolk NHS Foundation Trust. Available at: </w:t>
      </w:r>
      <w:hyperlink r:id="rId24" w:history="1">
        <w:r w:rsidRPr="007D15E6">
          <w:rPr>
            <w:rFonts w:eastAsia="Times New Roman" w:cstheme="minorHAnsi"/>
            <w:kern w:val="36"/>
            <w:sz w:val="28"/>
            <w:szCs w:val="28"/>
            <w:u w:val="single"/>
            <w:lang w:eastAsia="en-GB"/>
            <w14:ligatures w14:val="none"/>
          </w:rPr>
          <w:t>https://www.youtube.com/watch?v=em1yckn5TJ4</w:t>
        </w:r>
      </w:hyperlink>
      <w:r w:rsidRPr="007D15E6">
        <w:rPr>
          <w:rFonts w:eastAsia="Times New Roman" w:cstheme="minorHAnsi"/>
          <w:kern w:val="36"/>
          <w:sz w:val="28"/>
          <w:szCs w:val="28"/>
          <w:lang w:eastAsia="en-GB"/>
          <w14:ligatures w14:val="none"/>
        </w:rPr>
        <w:t xml:space="preserve"> (Accessed 2</w:t>
      </w:r>
      <w:r w:rsidRPr="007D15E6">
        <w:rPr>
          <w:rFonts w:eastAsia="Times New Roman" w:cstheme="minorHAnsi"/>
          <w:kern w:val="36"/>
          <w:sz w:val="28"/>
          <w:szCs w:val="28"/>
          <w:vertAlign w:val="superscript"/>
          <w:lang w:eastAsia="en-GB"/>
          <w14:ligatures w14:val="none"/>
        </w:rPr>
        <w:t>nd</w:t>
      </w:r>
      <w:r w:rsidRPr="007D15E6">
        <w:rPr>
          <w:rFonts w:eastAsia="Times New Roman" w:cstheme="minorHAnsi"/>
          <w:kern w:val="36"/>
          <w:sz w:val="28"/>
          <w:szCs w:val="28"/>
          <w:lang w:eastAsia="en-GB"/>
          <w14:ligatures w14:val="none"/>
        </w:rPr>
        <w:t xml:space="preserve"> April, 2025).</w:t>
      </w:r>
    </w:p>
    <w:p w14:paraId="14354962" w14:textId="77777777" w:rsidR="003D59DC" w:rsidRPr="007D15E6" w:rsidRDefault="003D59DC" w:rsidP="003D59DC">
      <w:pPr>
        <w:keepNext/>
        <w:keepLines/>
        <w:shd w:val="clear" w:color="auto" w:fill="FFFFFF"/>
        <w:spacing w:after="0"/>
        <w:outlineLvl w:val="0"/>
        <w:rPr>
          <w:rFonts w:eastAsia="Times New Roman" w:cstheme="minorHAnsi"/>
          <w:kern w:val="36"/>
          <w:sz w:val="28"/>
          <w:szCs w:val="28"/>
          <w:lang w:eastAsia="en-GB"/>
          <w14:ligatures w14:val="none"/>
        </w:rPr>
      </w:pPr>
    </w:p>
    <w:p w14:paraId="5B4CE8FA" w14:textId="77777777" w:rsidR="003D59DC" w:rsidRPr="007D15E6" w:rsidRDefault="003D59DC" w:rsidP="003D59DC">
      <w:pPr>
        <w:keepNext/>
        <w:keepLines/>
        <w:shd w:val="clear" w:color="auto" w:fill="FFFFFF"/>
        <w:spacing w:after="0"/>
        <w:outlineLvl w:val="0"/>
        <w:rPr>
          <w:rFonts w:eastAsia="Times New Roman" w:cstheme="minorHAnsi"/>
          <w:kern w:val="36"/>
          <w:sz w:val="28"/>
          <w:szCs w:val="28"/>
          <w:lang w:eastAsia="en-GB"/>
          <w14:ligatures w14:val="none"/>
        </w:rPr>
      </w:pPr>
    </w:p>
    <w:p w14:paraId="30929763" w14:textId="77777777" w:rsidR="003D59DC" w:rsidRPr="007D15E6" w:rsidRDefault="003D59DC" w:rsidP="003D59DC">
      <w:pPr>
        <w:keepNext/>
        <w:keepLines/>
        <w:shd w:val="clear" w:color="auto" w:fill="FFFFFF"/>
        <w:spacing w:after="0"/>
        <w:outlineLvl w:val="0"/>
        <w:rPr>
          <w:rFonts w:eastAsia="Times New Roman" w:cstheme="minorHAnsi"/>
          <w:kern w:val="36"/>
          <w:sz w:val="28"/>
          <w:szCs w:val="28"/>
          <w:lang w:eastAsia="en-GB"/>
          <w14:ligatures w14:val="none"/>
        </w:rPr>
      </w:pPr>
      <w:r w:rsidRPr="007D15E6">
        <w:rPr>
          <w:rFonts w:eastAsia="Times New Roman" w:cstheme="minorHAnsi"/>
          <w:kern w:val="36"/>
          <w:sz w:val="28"/>
          <w:szCs w:val="28"/>
          <w:lang w:eastAsia="en-GB"/>
          <w14:ligatures w14:val="none"/>
        </w:rPr>
        <w:t xml:space="preserve">NHS.UK (2025) </w:t>
      </w:r>
      <w:r w:rsidRPr="007D15E6">
        <w:rPr>
          <w:rFonts w:eastAsia="Times New Roman" w:cstheme="minorHAnsi"/>
          <w:i/>
          <w:iCs/>
          <w:kern w:val="36"/>
          <w:sz w:val="28"/>
          <w:szCs w:val="28"/>
          <w:lang w:eastAsia="en-GB"/>
          <w14:ligatures w14:val="none"/>
        </w:rPr>
        <w:t xml:space="preserve">Fall asleep faster and sleep better - Every Mind Matters. Available at: </w:t>
      </w:r>
      <w:r w:rsidRPr="007D15E6">
        <w:rPr>
          <w:rFonts w:eastAsia="Times New Roman" w:cstheme="minorHAnsi"/>
          <w:kern w:val="36"/>
          <w:sz w:val="28"/>
          <w:szCs w:val="28"/>
          <w:lang w:eastAsia="en-GB"/>
          <w14:ligatures w14:val="none"/>
        </w:rPr>
        <w:t>https://www.nhs.uk/every-mind-matters/mental-wellbeing-tips/how-to-fall-asleep-faster-and-sleep-better (Accessed 18</w:t>
      </w:r>
      <w:r w:rsidRPr="007D15E6">
        <w:rPr>
          <w:rFonts w:eastAsia="Times New Roman" w:cstheme="minorHAnsi"/>
          <w:kern w:val="36"/>
          <w:sz w:val="28"/>
          <w:szCs w:val="28"/>
          <w:vertAlign w:val="superscript"/>
          <w:lang w:eastAsia="en-GB"/>
          <w14:ligatures w14:val="none"/>
        </w:rPr>
        <w:t>th</w:t>
      </w:r>
      <w:r w:rsidRPr="007D15E6">
        <w:rPr>
          <w:rFonts w:eastAsia="Times New Roman" w:cstheme="minorHAnsi"/>
          <w:kern w:val="36"/>
          <w:sz w:val="28"/>
          <w:szCs w:val="28"/>
          <w:lang w:eastAsia="en-GB"/>
          <w14:ligatures w14:val="none"/>
        </w:rPr>
        <w:t xml:space="preserve"> April, 2025).</w:t>
      </w:r>
    </w:p>
    <w:p w14:paraId="02C67F45" w14:textId="77777777" w:rsidR="003D59DC" w:rsidRPr="007D15E6" w:rsidRDefault="003D59DC" w:rsidP="003D59DC">
      <w:pPr>
        <w:keepNext/>
        <w:keepLines/>
        <w:shd w:val="clear" w:color="auto" w:fill="FFFFFF"/>
        <w:spacing w:after="0"/>
        <w:outlineLvl w:val="0"/>
        <w:rPr>
          <w:rFonts w:eastAsia="Times New Roman" w:cstheme="minorHAnsi"/>
          <w:i/>
          <w:iCs/>
          <w:kern w:val="36"/>
          <w:sz w:val="28"/>
          <w:szCs w:val="28"/>
          <w:lang w:eastAsia="en-GB"/>
          <w14:ligatures w14:val="none"/>
        </w:rPr>
      </w:pPr>
    </w:p>
    <w:p w14:paraId="140D266D" w14:textId="77777777" w:rsidR="003D59DC" w:rsidRPr="007D15E6" w:rsidRDefault="003D59DC" w:rsidP="003D59DC">
      <w:pPr>
        <w:keepNext/>
        <w:keepLines/>
        <w:shd w:val="clear" w:color="auto" w:fill="FFFFFF"/>
        <w:spacing w:after="0"/>
        <w:outlineLvl w:val="0"/>
        <w:rPr>
          <w:rFonts w:eastAsia="Times New Roman" w:cstheme="minorHAnsi"/>
          <w:kern w:val="36"/>
          <w:sz w:val="28"/>
          <w:szCs w:val="28"/>
          <w:lang w:eastAsia="en-GB"/>
          <w14:ligatures w14:val="none"/>
        </w:rPr>
      </w:pPr>
    </w:p>
    <w:p w14:paraId="5787EB75" w14:textId="77777777" w:rsidR="003D59DC" w:rsidRPr="007D15E6" w:rsidRDefault="003D59DC" w:rsidP="003D59DC">
      <w:pPr>
        <w:keepNext/>
        <w:keepLines/>
        <w:shd w:val="clear" w:color="auto" w:fill="FFFFFF"/>
        <w:spacing w:after="0"/>
        <w:outlineLvl w:val="0"/>
        <w:rPr>
          <w:rFonts w:eastAsia="Times New Roman" w:cstheme="minorHAnsi"/>
          <w:kern w:val="36"/>
          <w:sz w:val="28"/>
          <w:szCs w:val="28"/>
          <w:lang w:eastAsia="en-GB"/>
          <w14:ligatures w14:val="none"/>
        </w:rPr>
      </w:pPr>
      <w:bookmarkStart w:id="9" w:name="_Hlk195173276"/>
      <w:r w:rsidRPr="007D15E6">
        <w:rPr>
          <w:rFonts w:eastAsia="Times New Roman" w:cstheme="minorHAnsi"/>
          <w:kern w:val="36"/>
          <w:sz w:val="28"/>
          <w:szCs w:val="28"/>
          <w:lang w:eastAsia="en-GB"/>
          <w14:ligatures w14:val="none"/>
        </w:rPr>
        <w:t xml:space="preserve">National Institutes of Health (NIH). (2022) </w:t>
      </w:r>
      <w:bookmarkEnd w:id="9"/>
      <w:r w:rsidRPr="007D15E6">
        <w:rPr>
          <w:rFonts w:eastAsia="Times New Roman" w:cstheme="minorHAnsi"/>
          <w:i/>
          <w:iCs/>
          <w:kern w:val="36"/>
          <w:sz w:val="28"/>
          <w:szCs w:val="28"/>
          <w:lang w:eastAsia="en-GB"/>
          <w14:ligatures w14:val="none"/>
        </w:rPr>
        <w:t>Sleep linked to brain development</w:t>
      </w:r>
      <w:r w:rsidRPr="007D15E6">
        <w:rPr>
          <w:rFonts w:eastAsia="Times New Roman" w:cstheme="minorHAnsi"/>
          <w:kern w:val="36"/>
          <w:sz w:val="28"/>
          <w:szCs w:val="28"/>
          <w:lang w:eastAsia="en-GB"/>
          <w14:ligatures w14:val="none"/>
        </w:rPr>
        <w:t xml:space="preserve">. Available at: </w:t>
      </w:r>
      <w:hyperlink r:id="rId25" w:history="1">
        <w:r w:rsidRPr="007D15E6">
          <w:rPr>
            <w:rStyle w:val="Hyperlink"/>
            <w:rFonts w:eastAsia="Times New Roman" w:cstheme="minorHAnsi"/>
            <w:color w:val="auto"/>
            <w:kern w:val="36"/>
            <w:sz w:val="28"/>
            <w:szCs w:val="28"/>
            <w:lang w:eastAsia="en-GB"/>
            <w14:ligatures w14:val="none"/>
          </w:rPr>
          <w:t>https://www.nih.gov/news-events/nih-research-matters/children-s-sleep-linked-brain-development</w:t>
        </w:r>
      </w:hyperlink>
      <w:r w:rsidRPr="007D15E6">
        <w:rPr>
          <w:rFonts w:eastAsia="Times New Roman" w:cstheme="minorHAnsi"/>
          <w:kern w:val="36"/>
          <w:sz w:val="28"/>
          <w:szCs w:val="28"/>
          <w:lang w:eastAsia="en-GB"/>
          <w14:ligatures w14:val="none"/>
        </w:rPr>
        <w:t xml:space="preserve"> (Accessed 10th April, 2025).</w:t>
      </w:r>
    </w:p>
    <w:p w14:paraId="1460B967" w14:textId="77777777" w:rsidR="003D59DC" w:rsidRPr="007D15E6" w:rsidRDefault="003D59DC" w:rsidP="003D59DC">
      <w:pPr>
        <w:keepNext/>
        <w:keepLines/>
        <w:shd w:val="clear" w:color="auto" w:fill="FFFFFF"/>
        <w:spacing w:after="0"/>
        <w:outlineLvl w:val="0"/>
        <w:rPr>
          <w:rFonts w:eastAsia="Times New Roman" w:cstheme="minorHAnsi"/>
          <w:kern w:val="36"/>
          <w:sz w:val="28"/>
          <w:szCs w:val="28"/>
          <w:lang w:eastAsia="en-GB"/>
          <w14:ligatures w14:val="none"/>
        </w:rPr>
      </w:pPr>
      <w:bookmarkStart w:id="10" w:name="_Hlk195643737"/>
    </w:p>
    <w:p w14:paraId="5DB56C59" w14:textId="77777777" w:rsidR="003D59DC" w:rsidRPr="007D15E6" w:rsidRDefault="003D59DC" w:rsidP="003D59DC">
      <w:pPr>
        <w:keepNext/>
        <w:keepLines/>
        <w:shd w:val="clear" w:color="auto" w:fill="FFFFFF"/>
        <w:spacing w:after="0"/>
        <w:outlineLvl w:val="0"/>
        <w:rPr>
          <w:rFonts w:cstheme="minorHAnsi"/>
          <w:sz w:val="28"/>
          <w:szCs w:val="28"/>
          <w:shd w:val="clear" w:color="auto" w:fill="FFFFFF"/>
        </w:rPr>
      </w:pPr>
      <w:r w:rsidRPr="007D15E6">
        <w:rPr>
          <w:rFonts w:cstheme="minorHAnsi"/>
          <w:sz w:val="28"/>
          <w:szCs w:val="28"/>
          <w:shd w:val="clear" w:color="auto" w:fill="FFFFFF"/>
        </w:rPr>
        <w:t xml:space="preserve">National Society for the Prevention of Cruelty to Children (NSPCC) (2024) </w:t>
      </w:r>
      <w:bookmarkEnd w:id="10"/>
      <w:r w:rsidRPr="007D15E6">
        <w:rPr>
          <w:rFonts w:cstheme="minorHAnsi"/>
          <w:i/>
          <w:iCs/>
          <w:sz w:val="28"/>
          <w:szCs w:val="28"/>
          <w:shd w:val="clear" w:color="auto" w:fill="FFFFFF"/>
        </w:rPr>
        <w:t>Protecting children from domestic</w:t>
      </w:r>
      <w:r w:rsidRPr="007D15E6">
        <w:rPr>
          <w:rFonts w:cstheme="minorHAnsi"/>
          <w:sz w:val="28"/>
          <w:szCs w:val="28"/>
          <w:shd w:val="clear" w:color="auto" w:fill="FFFFFF"/>
        </w:rPr>
        <w:t>. Available at: abusehttps://learning.nspcc.org.uk/child-abuse-and-neglect/domestic-abuse#:~:text=In%20England%20and%20Wales%2C%20the,experience%20the%20effects%20of%20abuse%E2%80%9D (Accessed 15</w:t>
      </w:r>
      <w:r w:rsidRPr="007D15E6">
        <w:rPr>
          <w:rFonts w:cstheme="minorHAnsi"/>
          <w:sz w:val="28"/>
          <w:szCs w:val="28"/>
          <w:shd w:val="clear" w:color="auto" w:fill="FFFFFF"/>
          <w:vertAlign w:val="superscript"/>
        </w:rPr>
        <w:t>th</w:t>
      </w:r>
      <w:r w:rsidRPr="007D15E6">
        <w:rPr>
          <w:rFonts w:cstheme="minorHAnsi"/>
          <w:sz w:val="28"/>
          <w:szCs w:val="28"/>
          <w:shd w:val="clear" w:color="auto" w:fill="FFFFFF"/>
        </w:rPr>
        <w:t xml:space="preserve"> April, 2025).</w:t>
      </w:r>
    </w:p>
    <w:p w14:paraId="140A7A8F" w14:textId="77777777" w:rsidR="003D59DC" w:rsidRPr="007D15E6" w:rsidRDefault="003D59DC" w:rsidP="003D59DC">
      <w:pPr>
        <w:keepNext/>
        <w:keepLines/>
        <w:shd w:val="clear" w:color="auto" w:fill="FFFFFF"/>
        <w:spacing w:after="0"/>
        <w:outlineLvl w:val="0"/>
        <w:rPr>
          <w:rFonts w:cstheme="minorHAnsi"/>
          <w:sz w:val="28"/>
          <w:szCs w:val="28"/>
          <w:shd w:val="clear" w:color="auto" w:fill="FFFFFF"/>
        </w:rPr>
      </w:pPr>
    </w:p>
    <w:p w14:paraId="710C8CD3" w14:textId="77777777" w:rsidR="003D59DC" w:rsidRPr="007D15E6" w:rsidRDefault="003D59DC" w:rsidP="003D59DC">
      <w:pPr>
        <w:keepNext/>
        <w:keepLines/>
        <w:shd w:val="clear" w:color="auto" w:fill="FFFFFF"/>
        <w:spacing w:after="0"/>
        <w:outlineLvl w:val="0"/>
        <w:rPr>
          <w:rFonts w:cstheme="minorHAnsi"/>
          <w:sz w:val="28"/>
          <w:szCs w:val="28"/>
          <w:shd w:val="clear" w:color="auto" w:fill="FFFFFF"/>
        </w:rPr>
      </w:pPr>
    </w:p>
    <w:p w14:paraId="0983626F" w14:textId="77777777" w:rsidR="003D59DC" w:rsidRPr="007D15E6" w:rsidRDefault="003D59DC" w:rsidP="003D59DC">
      <w:pPr>
        <w:keepNext/>
        <w:keepLines/>
        <w:shd w:val="clear" w:color="auto" w:fill="FFFFFF"/>
        <w:spacing w:after="0"/>
        <w:outlineLvl w:val="0"/>
        <w:rPr>
          <w:rFonts w:cstheme="minorHAnsi"/>
          <w:sz w:val="28"/>
          <w:szCs w:val="28"/>
        </w:rPr>
      </w:pPr>
      <w:bookmarkStart w:id="11" w:name="_Hlk195737761"/>
      <w:r w:rsidRPr="007D15E6">
        <w:rPr>
          <w:rFonts w:cstheme="minorHAnsi"/>
          <w:sz w:val="28"/>
          <w:szCs w:val="28"/>
        </w:rPr>
        <w:t xml:space="preserve">NSPCC Learning (2023) </w:t>
      </w:r>
      <w:bookmarkEnd w:id="11"/>
      <w:r w:rsidRPr="007D15E6">
        <w:rPr>
          <w:rFonts w:cstheme="minorHAnsi"/>
          <w:i/>
          <w:iCs/>
          <w:sz w:val="28"/>
          <w:szCs w:val="28"/>
        </w:rPr>
        <w:t xml:space="preserve">Working together to safeguard children 2023. Summary of changes. </w:t>
      </w:r>
      <w:r w:rsidRPr="007D15E6">
        <w:rPr>
          <w:rFonts w:cstheme="minorHAnsi"/>
          <w:sz w:val="28"/>
          <w:szCs w:val="28"/>
        </w:rPr>
        <w:t xml:space="preserve">Available at: </w:t>
      </w:r>
      <w:hyperlink r:id="rId26" w:history="1">
        <w:r w:rsidRPr="007D15E6">
          <w:rPr>
            <w:rStyle w:val="Hyperlink"/>
            <w:rFonts w:cstheme="minorHAnsi"/>
            <w:color w:val="auto"/>
            <w:sz w:val="28"/>
            <w:szCs w:val="28"/>
          </w:rPr>
          <w:t>https://learning.nspcc.org.uk/research-resources/2023/working-together-to-safeguard-children-2023-summary-of-changes</w:t>
        </w:r>
      </w:hyperlink>
      <w:r w:rsidRPr="007D15E6">
        <w:rPr>
          <w:rFonts w:cstheme="minorHAnsi"/>
          <w:sz w:val="28"/>
          <w:szCs w:val="28"/>
        </w:rPr>
        <w:t xml:space="preserve"> (Accessed 16</w:t>
      </w:r>
      <w:r w:rsidRPr="007D15E6">
        <w:rPr>
          <w:rFonts w:cstheme="minorHAnsi"/>
          <w:sz w:val="28"/>
          <w:szCs w:val="28"/>
          <w:vertAlign w:val="superscript"/>
        </w:rPr>
        <w:t>th</w:t>
      </w:r>
      <w:r w:rsidRPr="007D15E6">
        <w:rPr>
          <w:rFonts w:cstheme="minorHAnsi"/>
          <w:sz w:val="28"/>
          <w:szCs w:val="28"/>
        </w:rPr>
        <w:t xml:space="preserve"> April, 2025).</w:t>
      </w:r>
    </w:p>
    <w:p w14:paraId="1063DF78" w14:textId="77777777" w:rsidR="003D59DC" w:rsidRPr="007D15E6" w:rsidRDefault="003D59DC" w:rsidP="003D59DC">
      <w:pPr>
        <w:keepNext/>
        <w:keepLines/>
        <w:shd w:val="clear" w:color="auto" w:fill="FFFFFF"/>
        <w:spacing w:after="0"/>
        <w:outlineLvl w:val="0"/>
        <w:rPr>
          <w:rFonts w:cstheme="minorHAnsi"/>
          <w:sz w:val="28"/>
          <w:szCs w:val="28"/>
          <w:shd w:val="clear" w:color="auto" w:fill="FFFFFF"/>
        </w:rPr>
      </w:pPr>
    </w:p>
    <w:p w14:paraId="6280B956" w14:textId="77777777" w:rsidR="003D59DC" w:rsidRPr="007D15E6" w:rsidRDefault="003D59DC" w:rsidP="003D59DC">
      <w:pPr>
        <w:keepNext/>
        <w:keepLines/>
        <w:shd w:val="clear" w:color="auto" w:fill="FFFFFF"/>
        <w:spacing w:after="0"/>
        <w:outlineLvl w:val="0"/>
        <w:rPr>
          <w:rFonts w:cstheme="minorHAnsi"/>
          <w:sz w:val="28"/>
          <w:szCs w:val="28"/>
          <w:shd w:val="clear" w:color="auto" w:fill="FFFFFF"/>
        </w:rPr>
      </w:pPr>
    </w:p>
    <w:p w14:paraId="7F5301AA" w14:textId="77777777" w:rsidR="003D59DC" w:rsidRPr="007D15E6" w:rsidRDefault="003D59DC" w:rsidP="003D59DC">
      <w:pPr>
        <w:keepNext/>
        <w:keepLines/>
        <w:shd w:val="clear" w:color="auto" w:fill="FFFFFF"/>
        <w:spacing w:after="0"/>
        <w:outlineLvl w:val="0"/>
        <w:rPr>
          <w:rFonts w:eastAsia="Times New Roman" w:cstheme="minorHAnsi"/>
          <w:kern w:val="36"/>
          <w:sz w:val="28"/>
          <w:szCs w:val="28"/>
          <w:lang w:eastAsia="en-GB"/>
          <w14:ligatures w14:val="none"/>
        </w:rPr>
      </w:pPr>
    </w:p>
    <w:p w14:paraId="2E73C667" w14:textId="77777777" w:rsidR="003D59DC" w:rsidRPr="007D15E6" w:rsidRDefault="003D59DC" w:rsidP="003D59DC">
      <w:pPr>
        <w:keepNext/>
        <w:keepLines/>
        <w:shd w:val="clear" w:color="auto" w:fill="FFFFFF"/>
        <w:spacing w:after="0"/>
        <w:outlineLvl w:val="0"/>
        <w:rPr>
          <w:rFonts w:eastAsia="Times New Roman" w:cstheme="minorHAnsi"/>
          <w:kern w:val="36"/>
          <w:sz w:val="28"/>
          <w:szCs w:val="28"/>
          <w:lang w:eastAsia="en-GB"/>
          <w14:ligatures w14:val="none"/>
        </w:rPr>
      </w:pPr>
    </w:p>
    <w:p w14:paraId="2A8F29C6" w14:textId="77777777" w:rsidR="003D59DC" w:rsidRPr="007D15E6" w:rsidRDefault="003D59DC" w:rsidP="003D59DC">
      <w:pPr>
        <w:keepNext/>
        <w:keepLines/>
        <w:shd w:val="clear" w:color="auto" w:fill="FFFFFF"/>
        <w:spacing w:after="0"/>
        <w:outlineLvl w:val="0"/>
        <w:rPr>
          <w:rFonts w:eastAsia="Times New Roman" w:cstheme="minorHAnsi"/>
          <w:kern w:val="36"/>
          <w:sz w:val="28"/>
          <w:szCs w:val="28"/>
          <w:lang w:eastAsia="en-GB"/>
          <w14:ligatures w14:val="none"/>
        </w:rPr>
      </w:pPr>
      <w:bookmarkStart w:id="12" w:name="_Hlk195385400"/>
      <w:r w:rsidRPr="007D15E6">
        <w:rPr>
          <w:rFonts w:cstheme="minorHAnsi"/>
          <w:sz w:val="28"/>
          <w:szCs w:val="28"/>
          <w:shd w:val="clear" w:color="auto" w:fill="FFFFFF"/>
        </w:rPr>
        <w:t xml:space="preserve">Nwachukwu, I. (2023) </w:t>
      </w:r>
      <w:bookmarkEnd w:id="12"/>
      <w:r w:rsidRPr="007D15E6">
        <w:rPr>
          <w:rFonts w:cstheme="minorHAnsi"/>
          <w:sz w:val="28"/>
          <w:szCs w:val="28"/>
          <w:shd w:val="clear" w:color="auto" w:fill="FFFFFF"/>
        </w:rPr>
        <w:t>‘Rights of Children under the United Nations Convention on the Rights of the Child: The Challenges of Implementation’, </w:t>
      </w:r>
      <w:r w:rsidRPr="007D15E6">
        <w:rPr>
          <w:rFonts w:cstheme="minorHAnsi"/>
          <w:i/>
          <w:iCs/>
          <w:sz w:val="28"/>
          <w:szCs w:val="28"/>
          <w:shd w:val="clear" w:color="auto" w:fill="FFFFFF"/>
        </w:rPr>
        <w:t>ACARELAR</w:t>
      </w:r>
      <w:r w:rsidRPr="007D15E6">
        <w:rPr>
          <w:rFonts w:cstheme="minorHAnsi"/>
          <w:sz w:val="28"/>
          <w:szCs w:val="28"/>
          <w:shd w:val="clear" w:color="auto" w:fill="FFFFFF"/>
        </w:rPr>
        <w:t>, 4(2) pp. 45-48.</w:t>
      </w:r>
    </w:p>
    <w:p w14:paraId="514247ED" w14:textId="77777777" w:rsidR="003D59DC" w:rsidRPr="007D15E6" w:rsidRDefault="003D59DC" w:rsidP="003D59DC">
      <w:pPr>
        <w:keepNext/>
        <w:keepLines/>
        <w:shd w:val="clear" w:color="auto" w:fill="FFFFFF"/>
        <w:spacing w:after="0"/>
        <w:outlineLvl w:val="0"/>
        <w:rPr>
          <w:rFonts w:eastAsia="Times New Roman" w:cstheme="minorHAnsi"/>
          <w:kern w:val="36"/>
          <w:sz w:val="28"/>
          <w:szCs w:val="28"/>
          <w:lang w:eastAsia="en-GB"/>
          <w14:ligatures w14:val="none"/>
        </w:rPr>
      </w:pPr>
    </w:p>
    <w:p w14:paraId="76CE355F" w14:textId="77777777" w:rsidR="003D59DC" w:rsidRPr="007D15E6" w:rsidRDefault="003D59DC" w:rsidP="003D59DC">
      <w:pPr>
        <w:keepNext/>
        <w:keepLines/>
        <w:shd w:val="clear" w:color="auto" w:fill="FFFFFF"/>
        <w:spacing w:after="0"/>
        <w:outlineLvl w:val="0"/>
        <w:rPr>
          <w:rFonts w:eastAsia="Times New Roman" w:cstheme="minorHAnsi"/>
          <w:kern w:val="36"/>
          <w:sz w:val="28"/>
          <w:szCs w:val="28"/>
          <w:lang w:eastAsia="en-GB"/>
          <w14:ligatures w14:val="none"/>
        </w:rPr>
      </w:pPr>
    </w:p>
    <w:p w14:paraId="5FE27B64" w14:textId="77777777" w:rsidR="003D59DC" w:rsidRPr="007D15E6" w:rsidRDefault="003D59DC" w:rsidP="003D59DC">
      <w:pPr>
        <w:keepNext/>
        <w:keepLines/>
        <w:shd w:val="clear" w:color="auto" w:fill="FFFFFF"/>
        <w:spacing w:after="0"/>
        <w:outlineLvl w:val="0"/>
        <w:rPr>
          <w:rFonts w:eastAsia="Times New Roman" w:cstheme="minorHAnsi"/>
          <w:kern w:val="36"/>
          <w:sz w:val="28"/>
          <w:szCs w:val="28"/>
          <w:lang w:eastAsia="en-GB"/>
          <w14:ligatures w14:val="none"/>
        </w:rPr>
      </w:pPr>
      <w:r w:rsidRPr="007D15E6">
        <w:rPr>
          <w:rFonts w:cstheme="minorHAnsi"/>
          <w:sz w:val="28"/>
          <w:szCs w:val="28"/>
          <w:shd w:val="clear" w:color="auto" w:fill="FFFFFF"/>
        </w:rPr>
        <w:lastRenderedPageBreak/>
        <w:t xml:space="preserve">Nusser, L., Zimprich, D., and  Wolf, T. (2023) ‘Themes of trust, identity, intimacy, and generativity in important autobiographical memories: Associations with life periods and life satisfaction’, </w:t>
      </w:r>
      <w:r w:rsidRPr="007D15E6">
        <w:rPr>
          <w:rFonts w:cstheme="minorHAnsi"/>
          <w:i/>
          <w:iCs/>
          <w:sz w:val="28"/>
          <w:szCs w:val="28"/>
          <w:shd w:val="clear" w:color="auto" w:fill="FFFFFF"/>
        </w:rPr>
        <w:t>Journal of Personality</w:t>
      </w:r>
      <w:r w:rsidRPr="007D15E6">
        <w:rPr>
          <w:rFonts w:cstheme="minorHAnsi"/>
          <w:sz w:val="28"/>
          <w:szCs w:val="28"/>
          <w:shd w:val="clear" w:color="auto" w:fill="FFFFFF"/>
        </w:rPr>
        <w:t>, 91(5), pp. 1110-1122.</w:t>
      </w:r>
    </w:p>
    <w:p w14:paraId="0EA48B2A" w14:textId="77777777" w:rsidR="003D59DC" w:rsidRPr="007D15E6" w:rsidRDefault="003D59DC" w:rsidP="003D59DC">
      <w:pPr>
        <w:keepNext/>
        <w:keepLines/>
        <w:shd w:val="clear" w:color="auto" w:fill="FFFFFF"/>
        <w:spacing w:after="0"/>
        <w:outlineLvl w:val="0"/>
        <w:rPr>
          <w:rFonts w:eastAsia="Times New Roman" w:cstheme="minorHAnsi"/>
          <w:kern w:val="36"/>
          <w:sz w:val="28"/>
          <w:szCs w:val="28"/>
          <w:lang w:eastAsia="en-GB"/>
          <w14:ligatures w14:val="none"/>
        </w:rPr>
      </w:pPr>
    </w:p>
    <w:p w14:paraId="597B89F2" w14:textId="77777777" w:rsidR="003D59DC" w:rsidRPr="007D15E6" w:rsidRDefault="003D59DC" w:rsidP="003D59DC">
      <w:pPr>
        <w:keepNext/>
        <w:keepLines/>
        <w:shd w:val="clear" w:color="auto" w:fill="FFFFFF"/>
        <w:spacing w:after="0"/>
        <w:outlineLvl w:val="0"/>
        <w:rPr>
          <w:rFonts w:cstheme="minorHAnsi"/>
          <w:sz w:val="28"/>
          <w:szCs w:val="28"/>
        </w:rPr>
      </w:pPr>
      <w:r w:rsidRPr="007D15E6">
        <w:rPr>
          <w:rFonts w:cstheme="minorHAnsi"/>
          <w:sz w:val="28"/>
          <w:szCs w:val="28"/>
        </w:rPr>
        <w:t xml:space="preserve">Parton, N. (2014) </w:t>
      </w:r>
      <w:r w:rsidRPr="007D15E6">
        <w:rPr>
          <w:rStyle w:val="Emphasis"/>
          <w:rFonts w:cstheme="minorHAnsi"/>
          <w:sz w:val="28"/>
          <w:szCs w:val="28"/>
        </w:rPr>
        <w:t xml:space="preserve">The Politics of Child Protection: Contemporary Developments and Future Directions. </w:t>
      </w:r>
      <w:r w:rsidRPr="007D15E6">
        <w:rPr>
          <w:rFonts w:cstheme="minorHAnsi"/>
          <w:sz w:val="28"/>
          <w:szCs w:val="28"/>
        </w:rPr>
        <w:t>1</w:t>
      </w:r>
      <w:r w:rsidRPr="007D15E6">
        <w:rPr>
          <w:rFonts w:cstheme="minorHAnsi"/>
          <w:sz w:val="28"/>
          <w:szCs w:val="28"/>
          <w:vertAlign w:val="superscript"/>
        </w:rPr>
        <w:t>st</w:t>
      </w:r>
      <w:r w:rsidRPr="007D15E6">
        <w:rPr>
          <w:rFonts w:cstheme="minorHAnsi"/>
          <w:sz w:val="28"/>
          <w:szCs w:val="28"/>
        </w:rPr>
        <w:t xml:space="preserve"> </w:t>
      </w:r>
      <w:proofErr w:type="spellStart"/>
      <w:r w:rsidRPr="007D15E6">
        <w:rPr>
          <w:rFonts w:cstheme="minorHAnsi"/>
          <w:sz w:val="28"/>
          <w:szCs w:val="28"/>
        </w:rPr>
        <w:t>edn</w:t>
      </w:r>
      <w:proofErr w:type="spellEnd"/>
      <w:r w:rsidRPr="007D15E6">
        <w:rPr>
          <w:rFonts w:cstheme="minorHAnsi"/>
          <w:sz w:val="28"/>
          <w:szCs w:val="28"/>
        </w:rPr>
        <w:t>. Basingstoke: Palgrave Macmillan.</w:t>
      </w:r>
    </w:p>
    <w:p w14:paraId="7367F1E3" w14:textId="77777777" w:rsidR="003D59DC" w:rsidRPr="007D15E6" w:rsidRDefault="003D59DC" w:rsidP="003D59DC">
      <w:pPr>
        <w:keepNext/>
        <w:keepLines/>
        <w:shd w:val="clear" w:color="auto" w:fill="FFFFFF"/>
        <w:spacing w:after="0"/>
        <w:outlineLvl w:val="0"/>
        <w:rPr>
          <w:rFonts w:cstheme="minorHAnsi"/>
          <w:sz w:val="28"/>
          <w:szCs w:val="28"/>
        </w:rPr>
      </w:pPr>
    </w:p>
    <w:p w14:paraId="75B77DA9" w14:textId="77777777" w:rsidR="003D59DC" w:rsidRPr="007D15E6" w:rsidRDefault="003D59DC" w:rsidP="003D59DC">
      <w:pPr>
        <w:keepNext/>
        <w:keepLines/>
        <w:shd w:val="clear" w:color="auto" w:fill="FFFFFF"/>
        <w:spacing w:after="0"/>
        <w:outlineLvl w:val="0"/>
        <w:rPr>
          <w:rFonts w:cstheme="minorHAnsi"/>
          <w:sz w:val="28"/>
          <w:szCs w:val="28"/>
        </w:rPr>
      </w:pPr>
    </w:p>
    <w:p w14:paraId="1B5CA153" w14:textId="77777777" w:rsidR="003D59DC" w:rsidRPr="007D15E6" w:rsidRDefault="003D59DC" w:rsidP="003D59DC">
      <w:pPr>
        <w:keepNext/>
        <w:keepLines/>
        <w:shd w:val="clear" w:color="auto" w:fill="FFFFFF"/>
        <w:spacing w:after="0"/>
        <w:outlineLvl w:val="0"/>
        <w:rPr>
          <w:rFonts w:cstheme="minorHAnsi"/>
          <w:i/>
          <w:iCs/>
          <w:sz w:val="28"/>
          <w:szCs w:val="28"/>
        </w:rPr>
      </w:pPr>
      <w:r w:rsidRPr="007D15E6">
        <w:rPr>
          <w:rFonts w:cstheme="minorHAnsi"/>
          <w:sz w:val="28"/>
          <w:szCs w:val="28"/>
        </w:rPr>
        <w:t xml:space="preserve">Parliament. House of Lords, (2022) </w:t>
      </w:r>
      <w:r w:rsidRPr="007D15E6">
        <w:rPr>
          <w:rFonts w:cstheme="minorHAnsi"/>
          <w:i/>
          <w:iCs/>
          <w:sz w:val="28"/>
          <w:szCs w:val="28"/>
        </w:rPr>
        <w:t xml:space="preserve">Children and Families Act 2014: A failure of implementation. </w:t>
      </w:r>
      <w:r w:rsidRPr="007D15E6">
        <w:rPr>
          <w:rFonts w:cstheme="minorHAnsi"/>
          <w:sz w:val="28"/>
          <w:szCs w:val="28"/>
        </w:rPr>
        <w:t>Report. London: Stationery Office.</w:t>
      </w:r>
    </w:p>
    <w:p w14:paraId="4BA5BA67" w14:textId="77777777" w:rsidR="003D59DC" w:rsidRPr="007D15E6" w:rsidRDefault="003D59DC" w:rsidP="003D59DC">
      <w:pPr>
        <w:keepNext/>
        <w:keepLines/>
        <w:shd w:val="clear" w:color="auto" w:fill="FFFFFF"/>
        <w:spacing w:after="0"/>
        <w:outlineLvl w:val="0"/>
        <w:rPr>
          <w:rFonts w:cstheme="minorHAnsi"/>
          <w:sz w:val="28"/>
          <w:szCs w:val="28"/>
        </w:rPr>
      </w:pPr>
    </w:p>
    <w:p w14:paraId="2FECE5AC" w14:textId="77777777" w:rsidR="003D59DC" w:rsidRPr="007D15E6" w:rsidRDefault="003D59DC" w:rsidP="003D59DC">
      <w:pPr>
        <w:keepNext/>
        <w:keepLines/>
        <w:shd w:val="clear" w:color="auto" w:fill="FFFFFF"/>
        <w:spacing w:after="0"/>
        <w:outlineLvl w:val="0"/>
        <w:rPr>
          <w:rFonts w:eastAsia="Times New Roman" w:cstheme="minorHAnsi"/>
          <w:kern w:val="36"/>
          <w:sz w:val="28"/>
          <w:szCs w:val="28"/>
          <w:lang w:eastAsia="en-GB"/>
          <w14:ligatures w14:val="none"/>
        </w:rPr>
      </w:pPr>
    </w:p>
    <w:p w14:paraId="2E33D2AC" w14:textId="77777777" w:rsidR="003D59DC" w:rsidRPr="007D15E6" w:rsidRDefault="003D59DC" w:rsidP="003D59DC">
      <w:pPr>
        <w:keepNext/>
        <w:keepLines/>
        <w:shd w:val="clear" w:color="auto" w:fill="FFFFFF"/>
        <w:spacing w:after="0"/>
        <w:outlineLvl w:val="0"/>
        <w:rPr>
          <w:rFonts w:eastAsia="Times New Roman" w:cstheme="minorHAnsi"/>
          <w:kern w:val="36"/>
          <w:sz w:val="28"/>
          <w:szCs w:val="28"/>
          <w:lang w:eastAsia="en-GB"/>
          <w14:ligatures w14:val="none"/>
        </w:rPr>
      </w:pPr>
      <w:r w:rsidRPr="007D15E6">
        <w:rPr>
          <w:rFonts w:cstheme="minorHAnsi"/>
          <w:sz w:val="28"/>
          <w:szCs w:val="28"/>
          <w:shd w:val="clear" w:color="auto" w:fill="FFFFFF"/>
        </w:rPr>
        <w:t xml:space="preserve">Pecora, P. J., Whittaker, J. K., Barth, R. P., Borja, S., and </w:t>
      </w:r>
      <w:proofErr w:type="spellStart"/>
      <w:r w:rsidRPr="007D15E6">
        <w:rPr>
          <w:rFonts w:cstheme="minorHAnsi"/>
          <w:sz w:val="28"/>
          <w:szCs w:val="28"/>
          <w:shd w:val="clear" w:color="auto" w:fill="FFFFFF"/>
        </w:rPr>
        <w:t>Vesneski</w:t>
      </w:r>
      <w:proofErr w:type="spellEnd"/>
      <w:r w:rsidRPr="007D15E6">
        <w:rPr>
          <w:rFonts w:cstheme="minorHAnsi"/>
          <w:sz w:val="28"/>
          <w:szCs w:val="28"/>
          <w:shd w:val="clear" w:color="auto" w:fill="FFFFFF"/>
        </w:rPr>
        <w:t xml:space="preserve">, W. (2018) </w:t>
      </w:r>
      <w:r w:rsidRPr="007D15E6">
        <w:rPr>
          <w:rFonts w:cstheme="minorHAnsi"/>
          <w:i/>
          <w:iCs/>
          <w:sz w:val="28"/>
          <w:szCs w:val="28"/>
          <w:shd w:val="clear" w:color="auto" w:fill="FFFFFF"/>
        </w:rPr>
        <w:t>The child welfare challenge: Policy, practice, and research</w:t>
      </w:r>
      <w:r w:rsidRPr="007D15E6">
        <w:rPr>
          <w:rFonts w:cstheme="minorHAnsi"/>
          <w:sz w:val="28"/>
          <w:szCs w:val="28"/>
          <w:shd w:val="clear" w:color="auto" w:fill="FFFFFF"/>
        </w:rPr>
        <w:t>. 1</w:t>
      </w:r>
      <w:r w:rsidRPr="007D15E6">
        <w:rPr>
          <w:rFonts w:cstheme="minorHAnsi"/>
          <w:sz w:val="28"/>
          <w:szCs w:val="28"/>
          <w:shd w:val="clear" w:color="auto" w:fill="FFFFFF"/>
          <w:vertAlign w:val="superscript"/>
        </w:rPr>
        <w:t>st</w:t>
      </w:r>
      <w:r w:rsidRPr="007D15E6">
        <w:rPr>
          <w:rFonts w:cstheme="minorHAnsi"/>
          <w:sz w:val="28"/>
          <w:szCs w:val="28"/>
          <w:shd w:val="clear" w:color="auto" w:fill="FFFFFF"/>
        </w:rPr>
        <w:t xml:space="preserve"> </w:t>
      </w:r>
      <w:proofErr w:type="spellStart"/>
      <w:r w:rsidRPr="007D15E6">
        <w:rPr>
          <w:rFonts w:cstheme="minorHAnsi"/>
          <w:sz w:val="28"/>
          <w:szCs w:val="28"/>
          <w:shd w:val="clear" w:color="auto" w:fill="FFFFFF"/>
        </w:rPr>
        <w:t>edn</w:t>
      </w:r>
      <w:proofErr w:type="spellEnd"/>
      <w:r w:rsidRPr="007D15E6">
        <w:rPr>
          <w:rFonts w:cstheme="minorHAnsi"/>
          <w:sz w:val="28"/>
          <w:szCs w:val="28"/>
          <w:shd w:val="clear" w:color="auto" w:fill="FFFFFF"/>
        </w:rPr>
        <w:t>. London: Routledge.</w:t>
      </w:r>
    </w:p>
    <w:p w14:paraId="1525EC80" w14:textId="77777777" w:rsidR="003D59DC" w:rsidRPr="007D15E6" w:rsidRDefault="003D59DC" w:rsidP="003D59DC">
      <w:pPr>
        <w:keepNext/>
        <w:keepLines/>
        <w:shd w:val="clear" w:color="auto" w:fill="FFFFFF"/>
        <w:spacing w:after="0"/>
        <w:outlineLvl w:val="0"/>
        <w:rPr>
          <w:rFonts w:cstheme="minorHAnsi"/>
          <w:sz w:val="28"/>
          <w:szCs w:val="28"/>
          <w:shd w:val="clear" w:color="auto" w:fill="FFFFFF"/>
        </w:rPr>
      </w:pPr>
    </w:p>
    <w:p w14:paraId="6AEEA012"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Raval, R. N. (2023) ‘The Importance of Traditional Outdoor Games in Children’s Cognitive and Social Development’, </w:t>
      </w:r>
      <w:r w:rsidRPr="007D15E6">
        <w:rPr>
          <w:rFonts w:cstheme="minorHAnsi"/>
          <w:i/>
          <w:iCs/>
          <w:sz w:val="28"/>
          <w:szCs w:val="28"/>
          <w:shd w:val="clear" w:color="auto" w:fill="FFFFFF"/>
        </w:rPr>
        <w:t>Integrated Journal for Research in Arts and Humanities</w:t>
      </w:r>
      <w:r w:rsidRPr="007D15E6">
        <w:rPr>
          <w:rFonts w:cstheme="minorHAnsi"/>
          <w:sz w:val="28"/>
          <w:szCs w:val="28"/>
          <w:shd w:val="clear" w:color="auto" w:fill="FFFFFF"/>
        </w:rPr>
        <w:t>, 3(2), pp. 196-198.</w:t>
      </w:r>
    </w:p>
    <w:p w14:paraId="5F7FCDDF" w14:textId="77777777" w:rsidR="003D59DC" w:rsidRPr="007D15E6" w:rsidRDefault="003D59DC" w:rsidP="003D59DC">
      <w:pPr>
        <w:rPr>
          <w:rFonts w:cstheme="minorHAnsi"/>
          <w:sz w:val="28"/>
          <w:szCs w:val="28"/>
          <w:shd w:val="clear" w:color="auto" w:fill="FFFFFF"/>
        </w:rPr>
      </w:pPr>
    </w:p>
    <w:p w14:paraId="4509BD40"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 xml:space="preserve">Rowland, A. G., Fussey, E., Gerry, F., Herbert, B., Schaff, O., Higgins, D., and Havighurst, S. S. (2025) ‘The time for debate is over: The health, education, and legal case for legislative change to prohibit and eliminate all physical punishment of children and to achieve equal protection from assault in England and Northern Ireland’, </w:t>
      </w:r>
      <w:r w:rsidRPr="007D15E6">
        <w:rPr>
          <w:rFonts w:cstheme="minorHAnsi"/>
          <w:i/>
          <w:iCs/>
          <w:sz w:val="28"/>
          <w:szCs w:val="28"/>
          <w:shd w:val="clear" w:color="auto" w:fill="FFFFFF"/>
        </w:rPr>
        <w:t>Children and Youth Services Review</w:t>
      </w:r>
      <w:r w:rsidRPr="007D15E6">
        <w:rPr>
          <w:rFonts w:cstheme="minorHAnsi"/>
          <w:sz w:val="28"/>
          <w:szCs w:val="28"/>
          <w:shd w:val="clear" w:color="auto" w:fill="FFFFFF"/>
        </w:rPr>
        <w:t>, </w:t>
      </w:r>
      <w:r w:rsidRPr="007D15E6">
        <w:rPr>
          <w:rFonts w:cstheme="minorHAnsi"/>
          <w:i/>
          <w:iCs/>
          <w:sz w:val="28"/>
          <w:szCs w:val="28"/>
          <w:shd w:val="clear" w:color="auto" w:fill="FFFFFF"/>
        </w:rPr>
        <w:t>171</w:t>
      </w:r>
      <w:r w:rsidRPr="007D15E6">
        <w:rPr>
          <w:rFonts w:cstheme="minorHAnsi"/>
          <w:sz w:val="28"/>
          <w:szCs w:val="28"/>
          <w:shd w:val="clear" w:color="auto" w:fill="FFFFFF"/>
        </w:rPr>
        <w:t>, pp.108175.</w:t>
      </w:r>
    </w:p>
    <w:p w14:paraId="21AE26E7" w14:textId="77777777" w:rsidR="003D59DC" w:rsidRPr="007D15E6" w:rsidRDefault="003D59DC" w:rsidP="003D59DC">
      <w:pPr>
        <w:rPr>
          <w:rFonts w:cstheme="minorHAnsi"/>
          <w:sz w:val="28"/>
          <w:szCs w:val="28"/>
          <w:shd w:val="clear" w:color="auto" w:fill="FFFFFF"/>
        </w:rPr>
      </w:pPr>
    </w:p>
    <w:p w14:paraId="31173FEA" w14:textId="77777777" w:rsidR="003D59DC" w:rsidRPr="007D15E6" w:rsidRDefault="003D59DC" w:rsidP="003D59DC">
      <w:pPr>
        <w:rPr>
          <w:rFonts w:cstheme="minorHAnsi"/>
          <w:sz w:val="28"/>
          <w:szCs w:val="28"/>
          <w:shd w:val="clear" w:color="auto" w:fill="FFFFFF"/>
        </w:rPr>
      </w:pPr>
      <w:proofErr w:type="spellStart"/>
      <w:r w:rsidRPr="007D15E6">
        <w:rPr>
          <w:rFonts w:cstheme="minorHAnsi"/>
          <w:sz w:val="28"/>
          <w:szCs w:val="28"/>
          <w:shd w:val="clear" w:color="auto" w:fill="FFFFFF"/>
        </w:rPr>
        <w:t>Radez</w:t>
      </w:r>
      <w:proofErr w:type="spellEnd"/>
      <w:r w:rsidRPr="007D15E6">
        <w:rPr>
          <w:rFonts w:cstheme="minorHAnsi"/>
          <w:sz w:val="28"/>
          <w:szCs w:val="28"/>
          <w:shd w:val="clear" w:color="auto" w:fill="FFFFFF"/>
        </w:rPr>
        <w:t xml:space="preserve">, J., Reardon, T., Creswell, C., Lawrence, P. J., </w:t>
      </w:r>
      <w:proofErr w:type="spellStart"/>
      <w:r w:rsidRPr="007D15E6">
        <w:rPr>
          <w:rFonts w:cstheme="minorHAnsi"/>
          <w:sz w:val="28"/>
          <w:szCs w:val="28"/>
          <w:shd w:val="clear" w:color="auto" w:fill="FFFFFF"/>
        </w:rPr>
        <w:t>Evdoka</w:t>
      </w:r>
      <w:proofErr w:type="spellEnd"/>
      <w:r w:rsidRPr="007D15E6">
        <w:rPr>
          <w:rFonts w:cstheme="minorHAnsi"/>
          <w:sz w:val="28"/>
          <w:szCs w:val="28"/>
          <w:shd w:val="clear" w:color="auto" w:fill="FFFFFF"/>
        </w:rPr>
        <w:t xml:space="preserve">-Burton, G., and Waite, P. (2021) ‘Why do children and adolescents (not) seek and access professional help for their mental health problems? A systematic review of quantitative and qualitative studies’, </w:t>
      </w:r>
      <w:r w:rsidRPr="007D15E6">
        <w:rPr>
          <w:rFonts w:cstheme="minorHAnsi"/>
          <w:i/>
          <w:iCs/>
          <w:sz w:val="28"/>
          <w:szCs w:val="28"/>
          <w:shd w:val="clear" w:color="auto" w:fill="FFFFFF"/>
        </w:rPr>
        <w:t>European child &amp; adolescent psychiatry</w:t>
      </w:r>
      <w:r w:rsidRPr="007D15E6">
        <w:rPr>
          <w:rFonts w:cstheme="minorHAnsi"/>
          <w:sz w:val="28"/>
          <w:szCs w:val="28"/>
          <w:shd w:val="clear" w:color="auto" w:fill="FFFFFF"/>
        </w:rPr>
        <w:t xml:space="preserve">, 30(2), pp.183-211. </w:t>
      </w:r>
    </w:p>
    <w:p w14:paraId="63FBBF3C" w14:textId="77777777" w:rsidR="003D59DC" w:rsidRPr="007D15E6" w:rsidRDefault="003D59DC" w:rsidP="003D59DC">
      <w:pPr>
        <w:rPr>
          <w:rFonts w:cstheme="minorHAnsi"/>
          <w:sz w:val="28"/>
          <w:szCs w:val="28"/>
          <w:shd w:val="clear" w:color="auto" w:fill="FFFFFF"/>
        </w:rPr>
      </w:pPr>
    </w:p>
    <w:p w14:paraId="4BE448B9"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lastRenderedPageBreak/>
        <w:t xml:space="preserve">Renke, M. B., Marcinkowska, A. B., </w:t>
      </w:r>
      <w:proofErr w:type="spellStart"/>
      <w:r w:rsidRPr="007D15E6">
        <w:rPr>
          <w:rFonts w:cstheme="minorHAnsi"/>
          <w:sz w:val="28"/>
          <w:szCs w:val="28"/>
          <w:shd w:val="clear" w:color="auto" w:fill="FFFFFF"/>
        </w:rPr>
        <w:t>Kujach</w:t>
      </w:r>
      <w:proofErr w:type="spellEnd"/>
      <w:r w:rsidRPr="007D15E6">
        <w:rPr>
          <w:rFonts w:cstheme="minorHAnsi"/>
          <w:sz w:val="28"/>
          <w:szCs w:val="28"/>
          <w:shd w:val="clear" w:color="auto" w:fill="FFFFFF"/>
        </w:rPr>
        <w:t xml:space="preserve">, S., and </w:t>
      </w:r>
      <w:proofErr w:type="spellStart"/>
      <w:r w:rsidRPr="007D15E6">
        <w:rPr>
          <w:rFonts w:cstheme="minorHAnsi"/>
          <w:sz w:val="28"/>
          <w:szCs w:val="28"/>
          <w:shd w:val="clear" w:color="auto" w:fill="FFFFFF"/>
        </w:rPr>
        <w:t>Winklewski</w:t>
      </w:r>
      <w:proofErr w:type="spellEnd"/>
      <w:r w:rsidRPr="007D15E6">
        <w:rPr>
          <w:rFonts w:cstheme="minorHAnsi"/>
          <w:sz w:val="28"/>
          <w:szCs w:val="28"/>
          <w:shd w:val="clear" w:color="auto" w:fill="FFFFFF"/>
        </w:rPr>
        <w:t xml:space="preserve">, P. J. (2022) ‘A systematic review of the impact of physical exercise-induced increased resting cerebral blood flow on cognitive functions’, </w:t>
      </w:r>
      <w:r w:rsidRPr="007D15E6">
        <w:rPr>
          <w:rFonts w:cstheme="minorHAnsi"/>
          <w:i/>
          <w:iCs/>
          <w:sz w:val="28"/>
          <w:szCs w:val="28"/>
          <w:shd w:val="clear" w:color="auto" w:fill="FFFFFF"/>
        </w:rPr>
        <w:t>Frontiers in aging neuroscience</w:t>
      </w:r>
      <w:r w:rsidRPr="007D15E6">
        <w:rPr>
          <w:rFonts w:cstheme="minorHAnsi"/>
          <w:sz w:val="28"/>
          <w:szCs w:val="28"/>
          <w:shd w:val="clear" w:color="auto" w:fill="FFFFFF"/>
        </w:rPr>
        <w:t>, 14, 803332.</w:t>
      </w:r>
    </w:p>
    <w:p w14:paraId="0FC6B894" w14:textId="77777777" w:rsidR="003D59DC" w:rsidRPr="007D15E6" w:rsidRDefault="003D59DC" w:rsidP="003D59DC">
      <w:pPr>
        <w:rPr>
          <w:rFonts w:cstheme="minorHAnsi"/>
          <w:sz w:val="28"/>
          <w:szCs w:val="28"/>
          <w:shd w:val="clear" w:color="auto" w:fill="FFFFFF"/>
        </w:rPr>
      </w:pPr>
    </w:p>
    <w:p w14:paraId="55A3B14C" w14:textId="77777777" w:rsidR="003D59DC" w:rsidRPr="007D15E6" w:rsidRDefault="003D59DC" w:rsidP="003D59DC">
      <w:pPr>
        <w:rPr>
          <w:rFonts w:cstheme="minorHAnsi"/>
          <w:sz w:val="28"/>
          <w:szCs w:val="28"/>
          <w:shd w:val="clear" w:color="auto" w:fill="FFFFFF"/>
        </w:rPr>
      </w:pPr>
      <w:proofErr w:type="spellStart"/>
      <w:r w:rsidRPr="007D15E6">
        <w:rPr>
          <w:rFonts w:cstheme="minorHAnsi"/>
          <w:sz w:val="28"/>
          <w:szCs w:val="28"/>
          <w:shd w:val="clear" w:color="auto" w:fill="FFFFFF"/>
        </w:rPr>
        <w:t>Rousham</w:t>
      </w:r>
      <w:proofErr w:type="spellEnd"/>
      <w:r w:rsidRPr="007D15E6">
        <w:rPr>
          <w:rFonts w:cstheme="minorHAnsi"/>
          <w:sz w:val="28"/>
          <w:szCs w:val="28"/>
          <w:shd w:val="clear" w:color="auto" w:fill="FFFFFF"/>
        </w:rPr>
        <w:t xml:space="preserve">, E. K., Goudet, S., Markey, O., Griffiths, P., Boxer, B., Carroll, C., and </w:t>
      </w:r>
      <w:proofErr w:type="spellStart"/>
      <w:r w:rsidRPr="007D15E6">
        <w:rPr>
          <w:rFonts w:cstheme="minorHAnsi"/>
          <w:sz w:val="28"/>
          <w:szCs w:val="28"/>
          <w:shd w:val="clear" w:color="auto" w:fill="FFFFFF"/>
        </w:rPr>
        <w:t>Pradeilles</w:t>
      </w:r>
      <w:proofErr w:type="spellEnd"/>
      <w:r w:rsidRPr="007D15E6">
        <w:rPr>
          <w:rFonts w:cstheme="minorHAnsi"/>
          <w:sz w:val="28"/>
          <w:szCs w:val="28"/>
          <w:shd w:val="clear" w:color="auto" w:fill="FFFFFF"/>
        </w:rPr>
        <w:t>, R. (2022) ‘Unhealthy food and beverage consumption in children and risk of overweight and obesity: a systematic review and meta-analysis’, </w:t>
      </w:r>
      <w:r w:rsidRPr="007D15E6">
        <w:rPr>
          <w:rFonts w:cstheme="minorHAnsi"/>
          <w:i/>
          <w:iCs/>
          <w:sz w:val="28"/>
          <w:szCs w:val="28"/>
          <w:shd w:val="clear" w:color="auto" w:fill="FFFFFF"/>
        </w:rPr>
        <w:t>Advances in Nutrition</w:t>
      </w:r>
      <w:r w:rsidRPr="007D15E6">
        <w:rPr>
          <w:rFonts w:cstheme="minorHAnsi"/>
          <w:sz w:val="28"/>
          <w:szCs w:val="28"/>
          <w:shd w:val="clear" w:color="auto" w:fill="FFFFFF"/>
        </w:rPr>
        <w:t>, 13(5), pp.1669-1696.</w:t>
      </w:r>
    </w:p>
    <w:p w14:paraId="03D59EE8" w14:textId="77777777" w:rsidR="003D59DC" w:rsidRPr="007D15E6" w:rsidRDefault="003D59DC" w:rsidP="003D59DC">
      <w:pPr>
        <w:rPr>
          <w:rFonts w:cstheme="minorHAnsi"/>
          <w:sz w:val="28"/>
          <w:szCs w:val="28"/>
          <w:shd w:val="clear" w:color="auto" w:fill="FFFFFF"/>
        </w:rPr>
      </w:pPr>
    </w:p>
    <w:p w14:paraId="353DEC25"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 xml:space="preserve">Rowland, A.G., Fussey, E., Gerry, F., Herbert, B., Schaff, O., Higgins, D. and Havighurst, S.S., (2025) ‘The time for debate is over: The health, education, and legal case for legislative change to prohibit and eliminate all physical punishment of children and to achieve equal protection from assault in England and Northern Ireland’, </w:t>
      </w:r>
      <w:r w:rsidRPr="007D15E6">
        <w:rPr>
          <w:rFonts w:cstheme="minorHAnsi"/>
          <w:i/>
          <w:iCs/>
          <w:sz w:val="28"/>
          <w:szCs w:val="28"/>
          <w:shd w:val="clear" w:color="auto" w:fill="FFFFFF"/>
        </w:rPr>
        <w:t>Children and Youth Services Review</w:t>
      </w:r>
      <w:r w:rsidRPr="007D15E6">
        <w:rPr>
          <w:rFonts w:cstheme="minorHAnsi"/>
          <w:sz w:val="28"/>
          <w:szCs w:val="28"/>
          <w:shd w:val="clear" w:color="auto" w:fill="FFFFFF"/>
        </w:rPr>
        <w:t>, 171, pp.108175.</w:t>
      </w:r>
    </w:p>
    <w:p w14:paraId="23991452" w14:textId="77777777" w:rsidR="003D59DC" w:rsidRPr="007D15E6" w:rsidRDefault="003D59DC" w:rsidP="003D59DC">
      <w:pPr>
        <w:rPr>
          <w:rFonts w:cstheme="minorHAnsi"/>
          <w:sz w:val="28"/>
          <w:szCs w:val="28"/>
          <w:shd w:val="clear" w:color="auto" w:fill="FFFFFF"/>
        </w:rPr>
      </w:pPr>
    </w:p>
    <w:p w14:paraId="42AD4F34"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 xml:space="preserve">Sajir, Z. (2023)  ‘A post-secular approach to managing diversity in liberal democracies: exploring the interplay of human rights, religious identity, and inclusive governance in Western societies’, </w:t>
      </w:r>
      <w:r w:rsidRPr="007D15E6">
        <w:rPr>
          <w:rFonts w:cstheme="minorHAnsi"/>
          <w:i/>
          <w:iCs/>
          <w:sz w:val="28"/>
          <w:szCs w:val="28"/>
          <w:shd w:val="clear" w:color="auto" w:fill="FFFFFF"/>
        </w:rPr>
        <w:t>Religions</w:t>
      </w:r>
      <w:r w:rsidRPr="007D15E6">
        <w:rPr>
          <w:rFonts w:cstheme="minorHAnsi"/>
          <w:sz w:val="28"/>
          <w:szCs w:val="28"/>
          <w:shd w:val="clear" w:color="auto" w:fill="FFFFFF"/>
        </w:rPr>
        <w:t>, 14(10), pp.1325.</w:t>
      </w:r>
    </w:p>
    <w:p w14:paraId="0DC44753" w14:textId="77777777" w:rsidR="003D59DC" w:rsidRPr="007D15E6" w:rsidRDefault="003D59DC" w:rsidP="003D59DC">
      <w:pPr>
        <w:rPr>
          <w:rFonts w:cstheme="minorHAnsi"/>
          <w:sz w:val="28"/>
          <w:szCs w:val="28"/>
          <w:shd w:val="clear" w:color="auto" w:fill="FFFFFF"/>
        </w:rPr>
      </w:pPr>
    </w:p>
    <w:p w14:paraId="3DF0EEEE"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Shannon, M. (2018) </w:t>
      </w:r>
      <w:r w:rsidRPr="007D15E6">
        <w:rPr>
          <w:rFonts w:cstheme="minorHAnsi"/>
          <w:i/>
          <w:iCs/>
          <w:sz w:val="28"/>
          <w:szCs w:val="28"/>
          <w:shd w:val="clear" w:color="auto" w:fill="FFFFFF"/>
        </w:rPr>
        <w:t>Family Support for Social Care Practitioners</w:t>
      </w:r>
      <w:r w:rsidRPr="007D15E6">
        <w:rPr>
          <w:rFonts w:cstheme="minorHAnsi"/>
          <w:sz w:val="28"/>
          <w:szCs w:val="28"/>
          <w:shd w:val="clear" w:color="auto" w:fill="FFFFFF"/>
        </w:rPr>
        <w:t>. 1</w:t>
      </w:r>
      <w:r w:rsidRPr="007D15E6">
        <w:rPr>
          <w:rFonts w:cstheme="minorHAnsi"/>
          <w:sz w:val="28"/>
          <w:szCs w:val="28"/>
          <w:shd w:val="clear" w:color="auto" w:fill="FFFFFF"/>
          <w:vertAlign w:val="superscript"/>
        </w:rPr>
        <w:t>st</w:t>
      </w:r>
      <w:r w:rsidRPr="007D15E6">
        <w:rPr>
          <w:rFonts w:cstheme="minorHAnsi"/>
          <w:sz w:val="28"/>
          <w:szCs w:val="28"/>
          <w:shd w:val="clear" w:color="auto" w:fill="FFFFFF"/>
        </w:rPr>
        <w:t xml:space="preserve"> </w:t>
      </w:r>
      <w:proofErr w:type="spellStart"/>
      <w:r w:rsidRPr="007D15E6">
        <w:rPr>
          <w:rFonts w:cstheme="minorHAnsi"/>
          <w:sz w:val="28"/>
          <w:szCs w:val="28"/>
          <w:shd w:val="clear" w:color="auto" w:fill="FFFFFF"/>
        </w:rPr>
        <w:t>edn</w:t>
      </w:r>
      <w:proofErr w:type="spellEnd"/>
      <w:r w:rsidRPr="007D15E6">
        <w:rPr>
          <w:rFonts w:cstheme="minorHAnsi"/>
          <w:sz w:val="28"/>
          <w:szCs w:val="28"/>
          <w:shd w:val="clear" w:color="auto" w:fill="FFFFFF"/>
        </w:rPr>
        <w:t>. London: Bloomsbury Publishing.</w:t>
      </w:r>
    </w:p>
    <w:p w14:paraId="5F0AE7A4" w14:textId="77777777" w:rsidR="003D59DC" w:rsidRPr="007D15E6" w:rsidRDefault="003D59DC" w:rsidP="003D59DC">
      <w:pPr>
        <w:rPr>
          <w:rFonts w:cstheme="minorHAnsi"/>
          <w:sz w:val="28"/>
          <w:szCs w:val="28"/>
          <w:shd w:val="clear" w:color="auto" w:fill="FFFFFF"/>
        </w:rPr>
      </w:pPr>
    </w:p>
    <w:p w14:paraId="40656DD9"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 xml:space="preserve">Talbott, S. (2021) </w:t>
      </w:r>
      <w:r w:rsidRPr="007D15E6">
        <w:rPr>
          <w:rFonts w:cstheme="minorHAnsi"/>
          <w:i/>
          <w:iCs/>
          <w:sz w:val="28"/>
          <w:szCs w:val="28"/>
          <w:shd w:val="clear" w:color="auto" w:fill="FFFFFF"/>
        </w:rPr>
        <w:t>Mental Fitness: Maximizing Mood, Motivation, &amp; Mental Wellness by Optimizing the Brain-Body-</w:t>
      </w:r>
      <w:proofErr w:type="spellStart"/>
      <w:r w:rsidRPr="007D15E6">
        <w:rPr>
          <w:rFonts w:cstheme="minorHAnsi"/>
          <w:i/>
          <w:iCs/>
          <w:sz w:val="28"/>
          <w:szCs w:val="28"/>
          <w:shd w:val="clear" w:color="auto" w:fill="FFFFFF"/>
        </w:rPr>
        <w:t>Biome</w:t>
      </w:r>
      <w:r w:rsidRPr="007D15E6">
        <w:rPr>
          <w:rFonts w:cstheme="minorHAnsi"/>
          <w:sz w:val="28"/>
          <w:szCs w:val="28"/>
          <w:shd w:val="clear" w:color="auto" w:fill="FFFFFF"/>
        </w:rPr>
        <w:t>.Turner</w:t>
      </w:r>
      <w:proofErr w:type="spellEnd"/>
      <w:r w:rsidRPr="007D15E6">
        <w:rPr>
          <w:rFonts w:cstheme="minorHAnsi"/>
          <w:sz w:val="28"/>
          <w:szCs w:val="28"/>
          <w:shd w:val="clear" w:color="auto" w:fill="FFFFFF"/>
        </w:rPr>
        <w:t xml:space="preserve"> Publishing Company.</w:t>
      </w:r>
    </w:p>
    <w:p w14:paraId="0E33ED8F" w14:textId="77777777" w:rsidR="003D59DC" w:rsidRPr="007D15E6" w:rsidRDefault="003D59DC" w:rsidP="003D59DC">
      <w:pPr>
        <w:rPr>
          <w:rFonts w:cstheme="minorHAnsi"/>
          <w:sz w:val="28"/>
          <w:szCs w:val="28"/>
          <w:shd w:val="clear" w:color="auto" w:fill="FFFFFF"/>
        </w:rPr>
      </w:pPr>
    </w:p>
    <w:p w14:paraId="792D449D"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 xml:space="preserve"> Tempesta, D., Socci, V., De Gennaro, L., and Ferrara, M. (2019) ‘The role of sleep in emotional processing’, </w:t>
      </w:r>
      <w:r w:rsidRPr="007D15E6">
        <w:rPr>
          <w:rFonts w:cstheme="minorHAnsi"/>
          <w:i/>
          <w:iCs/>
          <w:sz w:val="28"/>
          <w:szCs w:val="28"/>
          <w:shd w:val="clear" w:color="auto" w:fill="FFFFFF"/>
        </w:rPr>
        <w:t>Sleep, memory and synaptic plasticity</w:t>
      </w:r>
      <w:r w:rsidRPr="007D15E6">
        <w:rPr>
          <w:rFonts w:cstheme="minorHAnsi"/>
          <w:sz w:val="28"/>
          <w:szCs w:val="28"/>
          <w:shd w:val="clear" w:color="auto" w:fill="FFFFFF"/>
        </w:rPr>
        <w:t>, 10(3), pp.125-170.</w:t>
      </w:r>
    </w:p>
    <w:p w14:paraId="58AE27AE" w14:textId="77777777" w:rsidR="003D59DC" w:rsidRPr="007D15E6" w:rsidRDefault="003D59DC" w:rsidP="003D59DC">
      <w:pPr>
        <w:rPr>
          <w:rFonts w:cstheme="minorHAnsi"/>
          <w:sz w:val="28"/>
          <w:szCs w:val="28"/>
          <w:shd w:val="clear" w:color="auto" w:fill="FFFFFF"/>
        </w:rPr>
      </w:pPr>
    </w:p>
    <w:p w14:paraId="2C3526BD"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Thorpe, D. H., Smith, D., Green, C. J., and Paley, J. H. (2024). </w:t>
      </w:r>
      <w:r w:rsidRPr="007D15E6">
        <w:rPr>
          <w:rFonts w:cstheme="minorHAnsi"/>
          <w:i/>
          <w:iCs/>
          <w:sz w:val="28"/>
          <w:szCs w:val="28"/>
          <w:shd w:val="clear" w:color="auto" w:fill="FFFFFF"/>
        </w:rPr>
        <w:t>Out of care: The community support of juvenile offenders</w:t>
      </w:r>
      <w:r w:rsidRPr="007D15E6">
        <w:rPr>
          <w:rFonts w:cstheme="minorHAnsi"/>
          <w:sz w:val="28"/>
          <w:szCs w:val="28"/>
          <w:shd w:val="clear" w:color="auto" w:fill="FFFFFF"/>
        </w:rPr>
        <w:t>. 1</w:t>
      </w:r>
      <w:r w:rsidRPr="007D15E6">
        <w:rPr>
          <w:rFonts w:cstheme="minorHAnsi"/>
          <w:sz w:val="28"/>
          <w:szCs w:val="28"/>
          <w:shd w:val="clear" w:color="auto" w:fill="FFFFFF"/>
          <w:vertAlign w:val="superscript"/>
        </w:rPr>
        <w:t>st</w:t>
      </w:r>
      <w:r w:rsidRPr="007D15E6">
        <w:rPr>
          <w:rFonts w:cstheme="minorHAnsi"/>
          <w:sz w:val="28"/>
          <w:szCs w:val="28"/>
          <w:shd w:val="clear" w:color="auto" w:fill="FFFFFF"/>
        </w:rPr>
        <w:t xml:space="preserve"> </w:t>
      </w:r>
      <w:proofErr w:type="spellStart"/>
      <w:r w:rsidRPr="007D15E6">
        <w:rPr>
          <w:rFonts w:cstheme="minorHAnsi"/>
          <w:sz w:val="28"/>
          <w:szCs w:val="28"/>
          <w:shd w:val="clear" w:color="auto" w:fill="FFFFFF"/>
        </w:rPr>
        <w:t>edn</w:t>
      </w:r>
      <w:proofErr w:type="spellEnd"/>
      <w:r w:rsidRPr="007D15E6">
        <w:rPr>
          <w:rFonts w:cstheme="minorHAnsi"/>
          <w:sz w:val="28"/>
          <w:szCs w:val="28"/>
          <w:shd w:val="clear" w:color="auto" w:fill="FFFFFF"/>
        </w:rPr>
        <w:t>. London: Routledge Publisher.</w:t>
      </w:r>
    </w:p>
    <w:p w14:paraId="0E1BE30D" w14:textId="77777777" w:rsidR="003D59DC" w:rsidRPr="007D15E6" w:rsidRDefault="003D59DC" w:rsidP="003D59DC">
      <w:pPr>
        <w:rPr>
          <w:rFonts w:cstheme="minorHAnsi"/>
          <w:sz w:val="28"/>
          <w:szCs w:val="28"/>
          <w:shd w:val="clear" w:color="auto" w:fill="FFFFFF"/>
        </w:rPr>
      </w:pPr>
    </w:p>
    <w:p w14:paraId="5EE21AA6" w14:textId="77777777" w:rsidR="003D59DC" w:rsidRPr="007D15E6" w:rsidRDefault="003D59DC" w:rsidP="003D59DC">
      <w:pPr>
        <w:rPr>
          <w:rFonts w:cstheme="minorHAnsi"/>
          <w:sz w:val="28"/>
          <w:szCs w:val="28"/>
          <w:shd w:val="clear" w:color="auto" w:fill="FFFFFF"/>
        </w:rPr>
      </w:pPr>
    </w:p>
    <w:p w14:paraId="23254399" w14:textId="77777777" w:rsidR="003D59DC" w:rsidRPr="007D15E6" w:rsidRDefault="003D59DC" w:rsidP="003D59DC">
      <w:pPr>
        <w:rPr>
          <w:rFonts w:cstheme="minorHAnsi"/>
          <w:sz w:val="28"/>
          <w:szCs w:val="28"/>
        </w:rPr>
      </w:pPr>
      <w:r w:rsidRPr="007D15E6">
        <w:rPr>
          <w:rFonts w:cstheme="minorHAnsi"/>
          <w:sz w:val="28"/>
          <w:szCs w:val="28"/>
        </w:rPr>
        <w:t xml:space="preserve">United Nations (1989) </w:t>
      </w:r>
      <w:r w:rsidRPr="007D15E6">
        <w:rPr>
          <w:rStyle w:val="Emphasis"/>
          <w:rFonts w:cstheme="minorHAnsi"/>
          <w:sz w:val="28"/>
          <w:szCs w:val="28"/>
        </w:rPr>
        <w:t>Convention on the Rights of the Child</w:t>
      </w:r>
      <w:r w:rsidRPr="007D15E6">
        <w:rPr>
          <w:rFonts w:cstheme="minorHAnsi"/>
          <w:sz w:val="28"/>
          <w:szCs w:val="28"/>
        </w:rPr>
        <w:t xml:space="preserve">. Available at: </w:t>
      </w:r>
      <w:hyperlink r:id="rId27" w:history="1">
        <w:r w:rsidRPr="007D15E6">
          <w:rPr>
            <w:rStyle w:val="Hyperlink"/>
            <w:rFonts w:cstheme="minorHAnsi"/>
            <w:color w:val="auto"/>
            <w:sz w:val="28"/>
            <w:szCs w:val="28"/>
          </w:rPr>
          <w:t>https://www.unicef.org.uk/what-we-do/un-convention-child-rights/</w:t>
        </w:r>
      </w:hyperlink>
      <w:r w:rsidRPr="007D15E6">
        <w:rPr>
          <w:rFonts w:cstheme="minorHAnsi"/>
          <w:sz w:val="28"/>
          <w:szCs w:val="28"/>
        </w:rPr>
        <w:t xml:space="preserve"> (Accessed 8</w:t>
      </w:r>
      <w:r w:rsidRPr="007D15E6">
        <w:rPr>
          <w:rFonts w:cstheme="minorHAnsi"/>
          <w:sz w:val="28"/>
          <w:szCs w:val="28"/>
          <w:vertAlign w:val="superscript"/>
        </w:rPr>
        <w:t>th</w:t>
      </w:r>
      <w:r w:rsidRPr="007D15E6">
        <w:rPr>
          <w:rFonts w:cstheme="minorHAnsi"/>
          <w:sz w:val="28"/>
          <w:szCs w:val="28"/>
        </w:rPr>
        <w:t xml:space="preserve"> April, 2025).</w:t>
      </w:r>
    </w:p>
    <w:p w14:paraId="679F10A2" w14:textId="77777777" w:rsidR="003D59DC" w:rsidRPr="007D15E6" w:rsidRDefault="003D59DC" w:rsidP="003D59DC">
      <w:pPr>
        <w:rPr>
          <w:rFonts w:cstheme="minorHAnsi"/>
          <w:sz w:val="28"/>
          <w:szCs w:val="28"/>
        </w:rPr>
      </w:pPr>
    </w:p>
    <w:p w14:paraId="5C4DFEB3" w14:textId="77777777" w:rsidR="003D59DC" w:rsidRPr="007D15E6" w:rsidRDefault="003D59DC" w:rsidP="003D59DC">
      <w:pPr>
        <w:rPr>
          <w:rFonts w:cstheme="minorHAnsi"/>
          <w:sz w:val="28"/>
          <w:szCs w:val="28"/>
        </w:rPr>
      </w:pPr>
      <w:r w:rsidRPr="007D15E6">
        <w:rPr>
          <w:rFonts w:cstheme="minorHAnsi"/>
          <w:sz w:val="28"/>
          <w:szCs w:val="28"/>
        </w:rPr>
        <w:t xml:space="preserve">UNICEF (2025) </w:t>
      </w:r>
      <w:r w:rsidRPr="007D15E6">
        <w:rPr>
          <w:rFonts w:cstheme="minorHAnsi"/>
          <w:i/>
          <w:iCs/>
          <w:sz w:val="28"/>
          <w:szCs w:val="28"/>
        </w:rPr>
        <w:t xml:space="preserve">The Convention on the Rights of the Child: The children’s version. </w:t>
      </w:r>
      <w:r w:rsidRPr="007D15E6">
        <w:rPr>
          <w:rFonts w:cstheme="minorHAnsi"/>
          <w:sz w:val="28"/>
          <w:szCs w:val="28"/>
        </w:rPr>
        <w:t>Available at : https://www.unicef.org/child-rights-convention/convention-text-childrens-version (Accessed at 8</w:t>
      </w:r>
      <w:r w:rsidRPr="007D15E6">
        <w:rPr>
          <w:rFonts w:cstheme="minorHAnsi"/>
          <w:sz w:val="28"/>
          <w:szCs w:val="28"/>
          <w:vertAlign w:val="superscript"/>
        </w:rPr>
        <w:t>th</w:t>
      </w:r>
      <w:r w:rsidRPr="007D15E6">
        <w:rPr>
          <w:rFonts w:cstheme="minorHAnsi"/>
          <w:sz w:val="28"/>
          <w:szCs w:val="28"/>
        </w:rPr>
        <w:t xml:space="preserve"> April, 2025).</w:t>
      </w:r>
    </w:p>
    <w:p w14:paraId="37310FCA" w14:textId="77777777" w:rsidR="003D59DC" w:rsidRPr="007D15E6" w:rsidRDefault="003D59DC" w:rsidP="003D59DC">
      <w:pPr>
        <w:rPr>
          <w:rFonts w:cstheme="minorHAnsi"/>
          <w:sz w:val="28"/>
          <w:szCs w:val="28"/>
          <w:shd w:val="clear" w:color="auto" w:fill="FFFFFF"/>
        </w:rPr>
      </w:pPr>
    </w:p>
    <w:p w14:paraId="70378E66"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 xml:space="preserve">Wainer, A. L., Arnold, Z. E., </w:t>
      </w:r>
      <w:proofErr w:type="spellStart"/>
      <w:r w:rsidRPr="007D15E6">
        <w:rPr>
          <w:rFonts w:cstheme="minorHAnsi"/>
          <w:sz w:val="28"/>
          <w:szCs w:val="28"/>
          <w:shd w:val="clear" w:color="auto" w:fill="FFFFFF"/>
        </w:rPr>
        <w:t>Leonczyk</w:t>
      </w:r>
      <w:proofErr w:type="spellEnd"/>
      <w:r w:rsidRPr="007D15E6">
        <w:rPr>
          <w:rFonts w:cstheme="minorHAnsi"/>
          <w:sz w:val="28"/>
          <w:szCs w:val="28"/>
          <w:shd w:val="clear" w:color="auto" w:fill="FFFFFF"/>
        </w:rPr>
        <w:t xml:space="preserve">, C., and </w:t>
      </w:r>
      <w:proofErr w:type="spellStart"/>
      <w:r w:rsidRPr="007D15E6">
        <w:rPr>
          <w:rFonts w:cstheme="minorHAnsi"/>
          <w:sz w:val="28"/>
          <w:szCs w:val="28"/>
          <w:shd w:val="clear" w:color="auto" w:fill="FFFFFF"/>
        </w:rPr>
        <w:t>Valluripalli</w:t>
      </w:r>
      <w:proofErr w:type="spellEnd"/>
      <w:r w:rsidRPr="007D15E6">
        <w:rPr>
          <w:rFonts w:cstheme="minorHAnsi"/>
          <w:sz w:val="28"/>
          <w:szCs w:val="28"/>
          <w:shd w:val="clear" w:color="auto" w:fill="FFFFFF"/>
        </w:rPr>
        <w:t xml:space="preserve"> Soorya, L. (2021) ‘Examining a stepped-care telehealth program for parents of young children with autism: A proof-of-concept trial’, </w:t>
      </w:r>
      <w:r w:rsidRPr="007D15E6">
        <w:rPr>
          <w:rFonts w:cstheme="minorHAnsi"/>
          <w:i/>
          <w:iCs/>
          <w:sz w:val="28"/>
          <w:szCs w:val="28"/>
          <w:shd w:val="clear" w:color="auto" w:fill="FFFFFF"/>
        </w:rPr>
        <w:t>Molecular Autism</w:t>
      </w:r>
      <w:r w:rsidRPr="007D15E6">
        <w:rPr>
          <w:rFonts w:cstheme="minorHAnsi"/>
          <w:sz w:val="28"/>
          <w:szCs w:val="28"/>
          <w:shd w:val="clear" w:color="auto" w:fill="FFFFFF"/>
        </w:rPr>
        <w:t>, 12(1), pp.32.</w:t>
      </w:r>
    </w:p>
    <w:p w14:paraId="1E5ECCFA" w14:textId="77777777" w:rsidR="003D59DC" w:rsidRPr="007D15E6" w:rsidRDefault="003D59DC" w:rsidP="003D59DC">
      <w:pPr>
        <w:rPr>
          <w:rFonts w:cstheme="minorHAnsi"/>
          <w:sz w:val="28"/>
          <w:szCs w:val="28"/>
          <w:shd w:val="clear" w:color="auto" w:fill="FFFFFF"/>
        </w:rPr>
      </w:pPr>
    </w:p>
    <w:p w14:paraId="35EA5848"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 xml:space="preserve">Watson, D., Mhlaba, M., </w:t>
      </w:r>
      <w:proofErr w:type="spellStart"/>
      <w:r w:rsidRPr="007D15E6">
        <w:rPr>
          <w:rFonts w:cstheme="minorHAnsi"/>
          <w:sz w:val="28"/>
          <w:szCs w:val="28"/>
          <w:shd w:val="clear" w:color="auto" w:fill="FFFFFF"/>
        </w:rPr>
        <w:t>Molelekeng</w:t>
      </w:r>
      <w:proofErr w:type="spellEnd"/>
      <w:r w:rsidRPr="007D15E6">
        <w:rPr>
          <w:rFonts w:cstheme="minorHAnsi"/>
          <w:sz w:val="28"/>
          <w:szCs w:val="28"/>
          <w:shd w:val="clear" w:color="auto" w:fill="FFFFFF"/>
        </w:rPr>
        <w:t xml:space="preserve">, G., Chauke, T. A., Simao, S. C., Jenner, S., and Barker, M. (2023) ‘How do we best engage young people in decision-making about their health? A scoping review of deliberative priority setting methods’, </w:t>
      </w:r>
      <w:r w:rsidRPr="007D15E6">
        <w:rPr>
          <w:rFonts w:cstheme="minorHAnsi"/>
          <w:i/>
          <w:iCs/>
          <w:sz w:val="28"/>
          <w:szCs w:val="28"/>
          <w:shd w:val="clear" w:color="auto" w:fill="FFFFFF"/>
        </w:rPr>
        <w:t>International Journal for Equity in Health</w:t>
      </w:r>
      <w:r w:rsidRPr="007D15E6">
        <w:rPr>
          <w:rFonts w:cstheme="minorHAnsi"/>
          <w:sz w:val="28"/>
          <w:szCs w:val="28"/>
          <w:shd w:val="clear" w:color="auto" w:fill="FFFFFF"/>
        </w:rPr>
        <w:t>, </w:t>
      </w:r>
      <w:r w:rsidRPr="007D15E6">
        <w:rPr>
          <w:rFonts w:cstheme="minorHAnsi"/>
          <w:i/>
          <w:iCs/>
          <w:sz w:val="28"/>
          <w:szCs w:val="28"/>
          <w:shd w:val="clear" w:color="auto" w:fill="FFFFFF"/>
        </w:rPr>
        <w:t>22</w:t>
      </w:r>
      <w:r w:rsidRPr="007D15E6">
        <w:rPr>
          <w:rFonts w:cstheme="minorHAnsi"/>
          <w:sz w:val="28"/>
          <w:szCs w:val="28"/>
          <w:shd w:val="clear" w:color="auto" w:fill="FFFFFF"/>
        </w:rPr>
        <w:t>(1), pp.17-23.</w:t>
      </w:r>
    </w:p>
    <w:p w14:paraId="7A49843D" w14:textId="77777777" w:rsidR="003D59DC" w:rsidRPr="007D15E6" w:rsidRDefault="003D59DC" w:rsidP="003D59DC">
      <w:pPr>
        <w:rPr>
          <w:rFonts w:cstheme="minorHAnsi"/>
          <w:sz w:val="28"/>
          <w:szCs w:val="28"/>
          <w:shd w:val="clear" w:color="auto" w:fill="FFFFFF"/>
        </w:rPr>
      </w:pPr>
    </w:p>
    <w:p w14:paraId="7163204D"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 xml:space="preserve">Wearmouth, J. (2021) </w:t>
      </w:r>
      <w:r w:rsidRPr="007D15E6">
        <w:rPr>
          <w:rFonts w:cstheme="minorHAnsi"/>
          <w:i/>
          <w:iCs/>
          <w:sz w:val="28"/>
          <w:szCs w:val="28"/>
          <w:shd w:val="clear" w:color="auto" w:fill="FFFFFF"/>
        </w:rPr>
        <w:t>Special educational needs and disabilities in schools: a critical introduction</w:t>
      </w:r>
      <w:r w:rsidRPr="007D15E6">
        <w:rPr>
          <w:rFonts w:cstheme="minorHAnsi"/>
          <w:sz w:val="28"/>
          <w:szCs w:val="28"/>
          <w:shd w:val="clear" w:color="auto" w:fill="FFFFFF"/>
        </w:rPr>
        <w:t>. 3</w:t>
      </w:r>
      <w:r w:rsidRPr="007D15E6">
        <w:rPr>
          <w:rFonts w:cstheme="minorHAnsi"/>
          <w:sz w:val="28"/>
          <w:szCs w:val="28"/>
          <w:shd w:val="clear" w:color="auto" w:fill="FFFFFF"/>
          <w:vertAlign w:val="superscript"/>
        </w:rPr>
        <w:t>rd</w:t>
      </w:r>
      <w:r w:rsidRPr="007D15E6">
        <w:rPr>
          <w:rFonts w:cstheme="minorHAnsi"/>
          <w:sz w:val="28"/>
          <w:szCs w:val="28"/>
          <w:shd w:val="clear" w:color="auto" w:fill="FFFFFF"/>
        </w:rPr>
        <w:t xml:space="preserve"> </w:t>
      </w:r>
      <w:proofErr w:type="spellStart"/>
      <w:r w:rsidRPr="007D15E6">
        <w:rPr>
          <w:rFonts w:cstheme="minorHAnsi"/>
          <w:sz w:val="28"/>
          <w:szCs w:val="28"/>
          <w:shd w:val="clear" w:color="auto" w:fill="FFFFFF"/>
        </w:rPr>
        <w:t>edn</w:t>
      </w:r>
      <w:proofErr w:type="spellEnd"/>
      <w:r w:rsidRPr="007D15E6">
        <w:rPr>
          <w:rFonts w:cstheme="minorHAnsi"/>
          <w:sz w:val="28"/>
          <w:szCs w:val="28"/>
          <w:shd w:val="clear" w:color="auto" w:fill="FFFFFF"/>
        </w:rPr>
        <w:t xml:space="preserve">. </w:t>
      </w:r>
      <w:proofErr w:type="spellStart"/>
      <w:r w:rsidRPr="007D15E6">
        <w:rPr>
          <w:rFonts w:cstheme="minorHAnsi"/>
          <w:sz w:val="28"/>
          <w:szCs w:val="28"/>
          <w:shd w:val="clear" w:color="auto" w:fill="FFFFFF"/>
        </w:rPr>
        <w:t>LLondon</w:t>
      </w:r>
      <w:proofErr w:type="spellEnd"/>
      <w:r w:rsidRPr="007D15E6">
        <w:rPr>
          <w:rFonts w:cstheme="minorHAnsi"/>
          <w:sz w:val="28"/>
          <w:szCs w:val="28"/>
          <w:shd w:val="clear" w:color="auto" w:fill="FFFFFF"/>
        </w:rPr>
        <w:t>: Bloomsbury Publishing.</w:t>
      </w:r>
    </w:p>
    <w:p w14:paraId="02DB2BD4" w14:textId="77777777" w:rsidR="003D59DC" w:rsidRPr="007D15E6" w:rsidRDefault="003D59DC" w:rsidP="003D59DC">
      <w:pPr>
        <w:rPr>
          <w:rFonts w:cstheme="minorHAnsi"/>
          <w:sz w:val="28"/>
          <w:szCs w:val="28"/>
          <w:shd w:val="clear" w:color="auto" w:fill="FFFFFF"/>
        </w:rPr>
      </w:pPr>
    </w:p>
    <w:p w14:paraId="2D2D0F40" w14:textId="77777777" w:rsidR="003D59DC" w:rsidRPr="007D15E6" w:rsidRDefault="003D59DC" w:rsidP="003D59DC">
      <w:pPr>
        <w:rPr>
          <w:rFonts w:cstheme="minorHAnsi"/>
          <w:sz w:val="28"/>
          <w:szCs w:val="28"/>
          <w:shd w:val="clear" w:color="auto" w:fill="FFFFFF"/>
        </w:rPr>
      </w:pPr>
      <w:r w:rsidRPr="007D15E6">
        <w:rPr>
          <w:rFonts w:cstheme="minorHAnsi"/>
          <w:sz w:val="28"/>
          <w:szCs w:val="28"/>
          <w:shd w:val="clear" w:color="auto" w:fill="FFFFFF"/>
        </w:rPr>
        <w:t>White, C. J. (2025) </w:t>
      </w:r>
      <w:r w:rsidRPr="007D15E6">
        <w:rPr>
          <w:rFonts w:cstheme="minorHAnsi"/>
          <w:i/>
          <w:iCs/>
          <w:sz w:val="28"/>
          <w:szCs w:val="28"/>
          <w:shd w:val="clear" w:color="auto" w:fill="FFFFFF"/>
        </w:rPr>
        <w:t>The Complete Childhood Mental Health Workbook: A Comprehensive Guide for Navigating ADHD, Anxiety, Autism and More</w:t>
      </w:r>
      <w:r w:rsidRPr="007D15E6">
        <w:rPr>
          <w:rFonts w:cstheme="minorHAnsi"/>
          <w:sz w:val="28"/>
          <w:szCs w:val="28"/>
          <w:shd w:val="clear" w:color="auto" w:fill="FFFFFF"/>
        </w:rPr>
        <w:t>. 1</w:t>
      </w:r>
      <w:r w:rsidRPr="007D15E6">
        <w:rPr>
          <w:rFonts w:cstheme="minorHAnsi"/>
          <w:sz w:val="28"/>
          <w:szCs w:val="28"/>
          <w:shd w:val="clear" w:color="auto" w:fill="FFFFFF"/>
          <w:vertAlign w:val="superscript"/>
        </w:rPr>
        <w:t>st</w:t>
      </w:r>
      <w:r w:rsidRPr="007D15E6">
        <w:rPr>
          <w:rFonts w:cstheme="minorHAnsi"/>
          <w:sz w:val="28"/>
          <w:szCs w:val="28"/>
          <w:shd w:val="clear" w:color="auto" w:fill="FFFFFF"/>
        </w:rPr>
        <w:t xml:space="preserve"> </w:t>
      </w:r>
      <w:proofErr w:type="spellStart"/>
      <w:r w:rsidRPr="007D15E6">
        <w:rPr>
          <w:rFonts w:cstheme="minorHAnsi"/>
          <w:sz w:val="28"/>
          <w:szCs w:val="28"/>
          <w:shd w:val="clear" w:color="auto" w:fill="FFFFFF"/>
        </w:rPr>
        <w:t>edn</w:t>
      </w:r>
      <w:proofErr w:type="spellEnd"/>
      <w:r w:rsidRPr="007D15E6">
        <w:rPr>
          <w:rFonts w:cstheme="minorHAnsi"/>
          <w:sz w:val="28"/>
          <w:szCs w:val="28"/>
          <w:shd w:val="clear" w:color="auto" w:fill="FFFFFF"/>
        </w:rPr>
        <w:t>. London: Routledge.</w:t>
      </w:r>
    </w:p>
    <w:p w14:paraId="34AEDCAD" w14:textId="77777777" w:rsidR="003D59DC" w:rsidRPr="007D15E6" w:rsidRDefault="003D59DC" w:rsidP="003D59DC">
      <w:pPr>
        <w:rPr>
          <w:rFonts w:cstheme="minorHAnsi"/>
          <w:sz w:val="28"/>
          <w:szCs w:val="28"/>
          <w:shd w:val="clear" w:color="auto" w:fill="FFFFFF"/>
        </w:rPr>
      </w:pPr>
    </w:p>
    <w:p w14:paraId="33549BD6" w14:textId="77777777" w:rsidR="003D59DC" w:rsidRPr="007D15E6" w:rsidRDefault="003D59DC" w:rsidP="003D59DC">
      <w:pPr>
        <w:rPr>
          <w:rFonts w:cstheme="minorHAnsi"/>
          <w:sz w:val="28"/>
          <w:szCs w:val="28"/>
        </w:rPr>
      </w:pPr>
      <w:proofErr w:type="spellStart"/>
      <w:r w:rsidRPr="007D15E6">
        <w:rPr>
          <w:rFonts w:cstheme="minorHAnsi"/>
          <w:sz w:val="28"/>
          <w:szCs w:val="28"/>
        </w:rPr>
        <w:lastRenderedPageBreak/>
        <w:t>YoungMinds</w:t>
      </w:r>
      <w:proofErr w:type="spellEnd"/>
      <w:r w:rsidRPr="007D15E6">
        <w:rPr>
          <w:rFonts w:cstheme="minorHAnsi"/>
          <w:sz w:val="28"/>
          <w:szCs w:val="28"/>
        </w:rPr>
        <w:t xml:space="preserve"> (2025) </w:t>
      </w:r>
      <w:r w:rsidRPr="007D15E6">
        <w:rPr>
          <w:rFonts w:cstheme="minorHAnsi"/>
          <w:i/>
          <w:iCs/>
          <w:sz w:val="28"/>
          <w:szCs w:val="28"/>
        </w:rPr>
        <w:t>Guide to CAMHS</w:t>
      </w:r>
      <w:r w:rsidRPr="007D15E6">
        <w:rPr>
          <w:rFonts w:cstheme="minorHAnsi"/>
          <w:sz w:val="28"/>
          <w:szCs w:val="28"/>
        </w:rPr>
        <w:t xml:space="preserve">. Available at:  </w:t>
      </w:r>
      <w:hyperlink r:id="rId28" w:anchor="WhatisCAMHS" w:history="1">
        <w:r w:rsidRPr="007D15E6">
          <w:rPr>
            <w:rFonts w:cstheme="minorHAnsi"/>
            <w:sz w:val="28"/>
            <w:szCs w:val="28"/>
            <w:u w:val="single"/>
          </w:rPr>
          <w:t>https://www.youngminds.org.uk/young-person/your-guide-to-support/guide-to-camhs/#WhatisCAMHS</w:t>
        </w:r>
      </w:hyperlink>
      <w:r w:rsidRPr="007D15E6">
        <w:rPr>
          <w:rFonts w:cstheme="minorHAnsi"/>
          <w:sz w:val="28"/>
          <w:szCs w:val="28"/>
        </w:rPr>
        <w:t xml:space="preserve"> (Accessed 04</w:t>
      </w:r>
      <w:r w:rsidRPr="007D15E6">
        <w:rPr>
          <w:rFonts w:cstheme="minorHAnsi"/>
          <w:sz w:val="28"/>
          <w:szCs w:val="28"/>
          <w:vertAlign w:val="superscript"/>
        </w:rPr>
        <w:t>th</w:t>
      </w:r>
      <w:r w:rsidRPr="007D15E6">
        <w:rPr>
          <w:rFonts w:cstheme="minorHAnsi"/>
          <w:sz w:val="28"/>
          <w:szCs w:val="28"/>
        </w:rPr>
        <w:t xml:space="preserve"> February, 2025).</w:t>
      </w:r>
    </w:p>
    <w:p w14:paraId="49D7C8CE" w14:textId="77777777" w:rsidR="003D59DC" w:rsidRDefault="003D59DC" w:rsidP="00FC63E2">
      <w:pPr>
        <w:tabs>
          <w:tab w:val="left" w:pos="2285"/>
        </w:tabs>
        <w:spacing w:before="100" w:beforeAutospacing="1" w:after="100" w:afterAutospacing="1" w:line="240" w:lineRule="auto"/>
        <w:rPr>
          <w:rFonts w:eastAsia="Times New Roman" w:cstheme="minorHAnsi"/>
          <w:b/>
          <w:bCs/>
          <w:kern w:val="0"/>
          <w:sz w:val="28"/>
          <w:szCs w:val="28"/>
          <w:lang w:eastAsia="en-GB"/>
          <w14:ligatures w14:val="none"/>
        </w:rPr>
      </w:pPr>
    </w:p>
    <w:p w14:paraId="6DC18B51" w14:textId="77777777" w:rsidR="00FC63E2" w:rsidRPr="00FC63E2" w:rsidRDefault="00FC63E2" w:rsidP="00FC63E2">
      <w:pPr>
        <w:tabs>
          <w:tab w:val="left" w:pos="2285"/>
        </w:tabs>
        <w:spacing w:before="100" w:beforeAutospacing="1" w:after="100" w:afterAutospacing="1" w:line="240" w:lineRule="auto"/>
        <w:rPr>
          <w:rFonts w:eastAsia="Times New Roman" w:cstheme="minorHAnsi"/>
          <w:b/>
          <w:bCs/>
          <w:kern w:val="0"/>
          <w:sz w:val="28"/>
          <w:szCs w:val="28"/>
          <w:lang w:eastAsia="en-GB"/>
          <w14:ligatures w14:val="none"/>
        </w:rPr>
      </w:pPr>
    </w:p>
    <w:p w14:paraId="069E1F69" w14:textId="77777777" w:rsidR="00FC63E2" w:rsidRPr="00FC63E2" w:rsidRDefault="00FC63E2" w:rsidP="00B27B3D">
      <w:pPr>
        <w:spacing w:before="100" w:beforeAutospacing="1" w:after="100" w:afterAutospacing="1" w:line="240" w:lineRule="auto"/>
        <w:rPr>
          <w:rFonts w:eastAsia="Times New Roman" w:cstheme="minorHAnsi"/>
          <w:kern w:val="0"/>
          <w:sz w:val="28"/>
          <w:szCs w:val="28"/>
          <w:lang w:eastAsia="en-GB"/>
          <w14:ligatures w14:val="none"/>
        </w:rPr>
      </w:pPr>
    </w:p>
    <w:p w14:paraId="0425A7E2" w14:textId="4C4D8011" w:rsidR="00545518" w:rsidRPr="00545518" w:rsidRDefault="00545518" w:rsidP="00215883">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EA175EF" w14:textId="77777777" w:rsidR="00500417" w:rsidRPr="005E159A" w:rsidRDefault="00500417" w:rsidP="005E159A">
      <w:pPr>
        <w:spacing w:after="0" w:line="240" w:lineRule="auto"/>
        <w:rPr>
          <w:rFonts w:ascii="Times New Roman" w:eastAsia="Times New Roman" w:hAnsi="Times New Roman" w:cs="Times New Roman"/>
          <w:kern w:val="0"/>
          <w:lang w:eastAsia="en-GB"/>
          <w14:ligatures w14:val="none"/>
        </w:rPr>
      </w:pPr>
    </w:p>
    <w:p w14:paraId="78C204BF" w14:textId="77777777" w:rsidR="005E159A" w:rsidRDefault="005E159A" w:rsidP="005E159A">
      <w:pPr>
        <w:spacing w:before="100" w:beforeAutospacing="1" w:after="100" w:afterAutospacing="1" w:line="240" w:lineRule="auto"/>
      </w:pPr>
    </w:p>
    <w:p w14:paraId="65A79C95" w14:textId="77777777" w:rsidR="00C17CB1" w:rsidRDefault="00C17CB1" w:rsidP="005A7997">
      <w:pPr>
        <w:spacing w:after="0" w:line="240" w:lineRule="auto"/>
        <w:rPr>
          <w:rFonts w:ascii="Times New Roman" w:eastAsia="Times New Roman" w:hAnsi="Times New Roman" w:cs="Times New Roman"/>
          <w:kern w:val="0"/>
          <w:lang w:eastAsia="en-GB"/>
          <w14:ligatures w14:val="none"/>
        </w:rPr>
      </w:pPr>
    </w:p>
    <w:p w14:paraId="356D9644" w14:textId="77777777" w:rsidR="00C17CB1" w:rsidRDefault="00C17CB1" w:rsidP="005A7997">
      <w:pPr>
        <w:spacing w:after="0" w:line="240" w:lineRule="auto"/>
        <w:rPr>
          <w:rFonts w:ascii="Times New Roman" w:eastAsia="Times New Roman" w:hAnsi="Times New Roman" w:cs="Times New Roman"/>
          <w:kern w:val="0"/>
          <w:lang w:eastAsia="en-GB"/>
          <w14:ligatures w14:val="none"/>
        </w:rPr>
      </w:pPr>
    </w:p>
    <w:p w14:paraId="2104A258" w14:textId="77777777" w:rsidR="00C17CB1" w:rsidRPr="005A7997" w:rsidRDefault="00C17CB1" w:rsidP="005A7997">
      <w:pPr>
        <w:spacing w:after="0" w:line="240" w:lineRule="auto"/>
        <w:rPr>
          <w:rFonts w:ascii="Times New Roman" w:eastAsia="Times New Roman" w:hAnsi="Times New Roman" w:cs="Times New Roman"/>
          <w:kern w:val="0"/>
          <w:lang w:eastAsia="en-GB"/>
          <w14:ligatures w14:val="none"/>
        </w:rPr>
      </w:pPr>
    </w:p>
    <w:p w14:paraId="5595C687" w14:textId="77777777" w:rsidR="005A7997" w:rsidRPr="00B6407F" w:rsidRDefault="005A7997" w:rsidP="00B6407F">
      <w:pPr>
        <w:rPr>
          <w:rFonts w:ascii="Times New Roman" w:eastAsia="Times New Roman" w:hAnsi="Times New Roman" w:cs="Times New Roman"/>
          <w:kern w:val="0"/>
          <w:lang w:eastAsia="en-GB"/>
          <w14:ligatures w14:val="none"/>
        </w:rPr>
      </w:pPr>
    </w:p>
    <w:p w14:paraId="5B365D5F" w14:textId="7969D652" w:rsidR="00B6407F" w:rsidRPr="00B6407F" w:rsidRDefault="00B6407F" w:rsidP="00B6407F">
      <w:pPr>
        <w:spacing w:after="0" w:line="240" w:lineRule="auto"/>
        <w:rPr>
          <w:rFonts w:ascii="Times New Roman" w:eastAsia="Times New Roman" w:hAnsi="Times New Roman" w:cs="Times New Roman"/>
          <w:color w:val="FF0000"/>
          <w:kern w:val="0"/>
          <w:lang w:eastAsia="en-GB"/>
          <w14:ligatures w14:val="none"/>
        </w:rPr>
      </w:pPr>
    </w:p>
    <w:p w14:paraId="16D744B3" w14:textId="77777777" w:rsidR="00A03B3D" w:rsidRPr="00B6407F" w:rsidRDefault="00A03B3D">
      <w:pPr>
        <w:rPr>
          <w:rFonts w:ascii="Times New Roman" w:eastAsia="Times New Roman" w:hAnsi="Times New Roman" w:cs="Times New Roman"/>
          <w:color w:val="FF0000"/>
          <w:kern w:val="0"/>
          <w:lang w:eastAsia="en-GB"/>
          <w14:ligatures w14:val="none"/>
        </w:rPr>
      </w:pPr>
    </w:p>
    <w:sectPr w:rsidR="00A03B3D" w:rsidRPr="00B640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216FCA" w14:textId="77777777" w:rsidR="00A07520" w:rsidRDefault="00A07520" w:rsidP="00652FAF">
      <w:pPr>
        <w:spacing w:after="0" w:line="240" w:lineRule="auto"/>
      </w:pPr>
      <w:r>
        <w:separator/>
      </w:r>
    </w:p>
  </w:endnote>
  <w:endnote w:type="continuationSeparator" w:id="0">
    <w:p w14:paraId="6D140BCF" w14:textId="77777777" w:rsidR="00A07520" w:rsidRDefault="00A07520" w:rsidP="00652F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mn-e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01EEA8" w14:textId="77777777" w:rsidR="00A07520" w:rsidRDefault="00A07520" w:rsidP="00652FAF">
      <w:pPr>
        <w:spacing w:after="0" w:line="240" w:lineRule="auto"/>
      </w:pPr>
      <w:r>
        <w:separator/>
      </w:r>
    </w:p>
  </w:footnote>
  <w:footnote w:type="continuationSeparator" w:id="0">
    <w:p w14:paraId="183C69CB" w14:textId="77777777" w:rsidR="00A07520" w:rsidRDefault="00A07520" w:rsidP="00652F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E62819"/>
    <w:multiLevelType w:val="hybridMultilevel"/>
    <w:tmpl w:val="B28C2B38"/>
    <w:lvl w:ilvl="0" w:tplc="35C8C35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FAC4BB7"/>
    <w:multiLevelType w:val="hybridMultilevel"/>
    <w:tmpl w:val="E894FB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413750">
    <w:abstractNumId w:val="1"/>
  </w:num>
  <w:num w:numId="2" w16cid:durableId="18558778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85F"/>
    <w:rsid w:val="00000C52"/>
    <w:rsid w:val="000661FF"/>
    <w:rsid w:val="00077BD6"/>
    <w:rsid w:val="00107E98"/>
    <w:rsid w:val="00144DEB"/>
    <w:rsid w:val="001857AC"/>
    <w:rsid w:val="001971D4"/>
    <w:rsid w:val="001A4E2D"/>
    <w:rsid w:val="001D6D14"/>
    <w:rsid w:val="00215883"/>
    <w:rsid w:val="00217301"/>
    <w:rsid w:val="00231EE8"/>
    <w:rsid w:val="00237A0C"/>
    <w:rsid w:val="00242877"/>
    <w:rsid w:val="00246648"/>
    <w:rsid w:val="002B27A7"/>
    <w:rsid w:val="002B7096"/>
    <w:rsid w:val="00310DD7"/>
    <w:rsid w:val="003965E5"/>
    <w:rsid w:val="003B2C08"/>
    <w:rsid w:val="003D59DC"/>
    <w:rsid w:val="00455307"/>
    <w:rsid w:val="004C1F01"/>
    <w:rsid w:val="004F7691"/>
    <w:rsid w:val="00500417"/>
    <w:rsid w:val="005076E5"/>
    <w:rsid w:val="00545518"/>
    <w:rsid w:val="005873EE"/>
    <w:rsid w:val="005A33AF"/>
    <w:rsid w:val="005A5BF8"/>
    <w:rsid w:val="005A7997"/>
    <w:rsid w:val="005E159A"/>
    <w:rsid w:val="005E3DC8"/>
    <w:rsid w:val="0064612A"/>
    <w:rsid w:val="0065052D"/>
    <w:rsid w:val="00652FAF"/>
    <w:rsid w:val="0068465B"/>
    <w:rsid w:val="006A0340"/>
    <w:rsid w:val="0070229C"/>
    <w:rsid w:val="00746D58"/>
    <w:rsid w:val="007559A1"/>
    <w:rsid w:val="007616BB"/>
    <w:rsid w:val="007D1862"/>
    <w:rsid w:val="0081606B"/>
    <w:rsid w:val="008B6077"/>
    <w:rsid w:val="008E45CF"/>
    <w:rsid w:val="008F68DA"/>
    <w:rsid w:val="009019CA"/>
    <w:rsid w:val="009B43E8"/>
    <w:rsid w:val="009B4FCE"/>
    <w:rsid w:val="009F0B1F"/>
    <w:rsid w:val="009F6989"/>
    <w:rsid w:val="00A03B3D"/>
    <w:rsid w:val="00A07520"/>
    <w:rsid w:val="00A554C4"/>
    <w:rsid w:val="00A70785"/>
    <w:rsid w:val="00A95F2A"/>
    <w:rsid w:val="00AB29B3"/>
    <w:rsid w:val="00AC7FEE"/>
    <w:rsid w:val="00B27B3D"/>
    <w:rsid w:val="00B50AEA"/>
    <w:rsid w:val="00B6407F"/>
    <w:rsid w:val="00BD4650"/>
    <w:rsid w:val="00BE4B36"/>
    <w:rsid w:val="00BF744A"/>
    <w:rsid w:val="00C17CB1"/>
    <w:rsid w:val="00C35807"/>
    <w:rsid w:val="00C4485F"/>
    <w:rsid w:val="00C51BE3"/>
    <w:rsid w:val="00C964EC"/>
    <w:rsid w:val="00CB38BC"/>
    <w:rsid w:val="00CD4001"/>
    <w:rsid w:val="00D15C5F"/>
    <w:rsid w:val="00D97903"/>
    <w:rsid w:val="00DB6BC6"/>
    <w:rsid w:val="00E11353"/>
    <w:rsid w:val="00E20B78"/>
    <w:rsid w:val="00E57459"/>
    <w:rsid w:val="00E91EEA"/>
    <w:rsid w:val="00F32EE3"/>
    <w:rsid w:val="00F33F5D"/>
    <w:rsid w:val="00F637D5"/>
    <w:rsid w:val="00FA5E1F"/>
    <w:rsid w:val="00FC6091"/>
    <w:rsid w:val="00FC6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1BB90D"/>
  <w15:chartTrackingRefBased/>
  <w15:docId w15:val="{C7C23FCE-5FA5-4F4C-9469-8921B73DB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485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4485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4485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4485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4485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448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8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8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8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85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4485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4485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4485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4485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448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8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8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85F"/>
    <w:rPr>
      <w:rFonts w:eastAsiaTheme="majorEastAsia" w:cstheme="majorBidi"/>
      <w:color w:val="272727" w:themeColor="text1" w:themeTint="D8"/>
    </w:rPr>
  </w:style>
  <w:style w:type="paragraph" w:styleId="Title">
    <w:name w:val="Title"/>
    <w:basedOn w:val="Normal"/>
    <w:next w:val="Normal"/>
    <w:link w:val="TitleChar"/>
    <w:uiPriority w:val="10"/>
    <w:qFormat/>
    <w:rsid w:val="00C448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8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8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8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85F"/>
    <w:pPr>
      <w:spacing w:before="160"/>
      <w:jc w:val="center"/>
    </w:pPr>
    <w:rPr>
      <w:i/>
      <w:iCs/>
      <w:color w:val="404040" w:themeColor="text1" w:themeTint="BF"/>
    </w:rPr>
  </w:style>
  <w:style w:type="character" w:customStyle="1" w:styleId="QuoteChar">
    <w:name w:val="Quote Char"/>
    <w:basedOn w:val="DefaultParagraphFont"/>
    <w:link w:val="Quote"/>
    <w:uiPriority w:val="29"/>
    <w:rsid w:val="00C4485F"/>
    <w:rPr>
      <w:i/>
      <w:iCs/>
      <w:color w:val="404040" w:themeColor="text1" w:themeTint="BF"/>
    </w:rPr>
  </w:style>
  <w:style w:type="paragraph" w:styleId="ListParagraph">
    <w:name w:val="List Paragraph"/>
    <w:basedOn w:val="Normal"/>
    <w:uiPriority w:val="34"/>
    <w:qFormat/>
    <w:rsid w:val="00C4485F"/>
    <w:pPr>
      <w:ind w:left="720"/>
      <w:contextualSpacing/>
    </w:pPr>
  </w:style>
  <w:style w:type="character" w:styleId="IntenseEmphasis">
    <w:name w:val="Intense Emphasis"/>
    <w:basedOn w:val="DefaultParagraphFont"/>
    <w:uiPriority w:val="21"/>
    <w:qFormat/>
    <w:rsid w:val="00C4485F"/>
    <w:rPr>
      <w:i/>
      <w:iCs/>
      <w:color w:val="2F5496" w:themeColor="accent1" w:themeShade="BF"/>
    </w:rPr>
  </w:style>
  <w:style w:type="paragraph" w:styleId="IntenseQuote">
    <w:name w:val="Intense Quote"/>
    <w:basedOn w:val="Normal"/>
    <w:next w:val="Normal"/>
    <w:link w:val="IntenseQuoteChar"/>
    <w:uiPriority w:val="30"/>
    <w:qFormat/>
    <w:rsid w:val="00C4485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4485F"/>
    <w:rPr>
      <w:i/>
      <w:iCs/>
      <w:color w:val="2F5496" w:themeColor="accent1" w:themeShade="BF"/>
    </w:rPr>
  </w:style>
  <w:style w:type="character" w:styleId="IntenseReference">
    <w:name w:val="Intense Reference"/>
    <w:basedOn w:val="DefaultParagraphFont"/>
    <w:uiPriority w:val="32"/>
    <w:qFormat/>
    <w:rsid w:val="00C4485F"/>
    <w:rPr>
      <w:b/>
      <w:bCs/>
      <w:smallCaps/>
      <w:color w:val="2F5496" w:themeColor="accent1" w:themeShade="BF"/>
      <w:spacing w:val="5"/>
    </w:rPr>
  </w:style>
  <w:style w:type="paragraph" w:styleId="NormalWeb">
    <w:name w:val="Normal (Web)"/>
    <w:basedOn w:val="Normal"/>
    <w:uiPriority w:val="99"/>
    <w:unhideWhenUsed/>
    <w:rsid w:val="00C17CB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C17CB1"/>
    <w:rPr>
      <w:b/>
      <w:bCs/>
    </w:rPr>
  </w:style>
  <w:style w:type="character" w:styleId="Emphasis">
    <w:name w:val="Emphasis"/>
    <w:basedOn w:val="DefaultParagraphFont"/>
    <w:uiPriority w:val="20"/>
    <w:qFormat/>
    <w:rsid w:val="00C17CB1"/>
    <w:rPr>
      <w:i/>
      <w:iCs/>
    </w:rPr>
  </w:style>
  <w:style w:type="paragraph" w:styleId="Header">
    <w:name w:val="header"/>
    <w:basedOn w:val="Normal"/>
    <w:link w:val="HeaderChar"/>
    <w:uiPriority w:val="99"/>
    <w:unhideWhenUsed/>
    <w:rsid w:val="00652F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2FAF"/>
  </w:style>
  <w:style w:type="paragraph" w:styleId="Footer">
    <w:name w:val="footer"/>
    <w:basedOn w:val="Normal"/>
    <w:link w:val="FooterChar"/>
    <w:uiPriority w:val="99"/>
    <w:unhideWhenUsed/>
    <w:rsid w:val="00652F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2FAF"/>
  </w:style>
  <w:style w:type="character" w:styleId="Hyperlink">
    <w:name w:val="Hyperlink"/>
    <w:basedOn w:val="DefaultParagraphFont"/>
    <w:uiPriority w:val="99"/>
    <w:unhideWhenUsed/>
    <w:rsid w:val="003D59DC"/>
    <w:rPr>
      <w:color w:val="0563C1" w:themeColor="hyperlink"/>
      <w:u w:val="single"/>
    </w:rPr>
  </w:style>
  <w:style w:type="character" w:customStyle="1" w:styleId="url">
    <w:name w:val="url"/>
    <w:basedOn w:val="DefaultParagraphFont"/>
    <w:rsid w:val="003D59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71889">
      <w:bodyDiv w:val="1"/>
      <w:marLeft w:val="0"/>
      <w:marRight w:val="0"/>
      <w:marTop w:val="0"/>
      <w:marBottom w:val="0"/>
      <w:divBdr>
        <w:top w:val="none" w:sz="0" w:space="0" w:color="auto"/>
        <w:left w:val="none" w:sz="0" w:space="0" w:color="auto"/>
        <w:bottom w:val="none" w:sz="0" w:space="0" w:color="auto"/>
        <w:right w:val="none" w:sz="0" w:space="0" w:color="auto"/>
      </w:divBdr>
    </w:div>
    <w:div w:id="52625552">
      <w:bodyDiv w:val="1"/>
      <w:marLeft w:val="0"/>
      <w:marRight w:val="0"/>
      <w:marTop w:val="0"/>
      <w:marBottom w:val="0"/>
      <w:divBdr>
        <w:top w:val="none" w:sz="0" w:space="0" w:color="auto"/>
        <w:left w:val="none" w:sz="0" w:space="0" w:color="auto"/>
        <w:bottom w:val="none" w:sz="0" w:space="0" w:color="auto"/>
        <w:right w:val="none" w:sz="0" w:space="0" w:color="auto"/>
      </w:divBdr>
    </w:div>
    <w:div w:id="130830785">
      <w:bodyDiv w:val="1"/>
      <w:marLeft w:val="0"/>
      <w:marRight w:val="0"/>
      <w:marTop w:val="0"/>
      <w:marBottom w:val="0"/>
      <w:divBdr>
        <w:top w:val="none" w:sz="0" w:space="0" w:color="auto"/>
        <w:left w:val="none" w:sz="0" w:space="0" w:color="auto"/>
        <w:bottom w:val="none" w:sz="0" w:space="0" w:color="auto"/>
        <w:right w:val="none" w:sz="0" w:space="0" w:color="auto"/>
      </w:divBdr>
    </w:div>
    <w:div w:id="153958685">
      <w:bodyDiv w:val="1"/>
      <w:marLeft w:val="0"/>
      <w:marRight w:val="0"/>
      <w:marTop w:val="0"/>
      <w:marBottom w:val="0"/>
      <w:divBdr>
        <w:top w:val="none" w:sz="0" w:space="0" w:color="auto"/>
        <w:left w:val="none" w:sz="0" w:space="0" w:color="auto"/>
        <w:bottom w:val="none" w:sz="0" w:space="0" w:color="auto"/>
        <w:right w:val="none" w:sz="0" w:space="0" w:color="auto"/>
      </w:divBdr>
    </w:div>
    <w:div w:id="156263722">
      <w:bodyDiv w:val="1"/>
      <w:marLeft w:val="0"/>
      <w:marRight w:val="0"/>
      <w:marTop w:val="0"/>
      <w:marBottom w:val="0"/>
      <w:divBdr>
        <w:top w:val="none" w:sz="0" w:space="0" w:color="auto"/>
        <w:left w:val="none" w:sz="0" w:space="0" w:color="auto"/>
        <w:bottom w:val="none" w:sz="0" w:space="0" w:color="auto"/>
        <w:right w:val="none" w:sz="0" w:space="0" w:color="auto"/>
      </w:divBdr>
    </w:div>
    <w:div w:id="284894581">
      <w:bodyDiv w:val="1"/>
      <w:marLeft w:val="0"/>
      <w:marRight w:val="0"/>
      <w:marTop w:val="0"/>
      <w:marBottom w:val="0"/>
      <w:divBdr>
        <w:top w:val="none" w:sz="0" w:space="0" w:color="auto"/>
        <w:left w:val="none" w:sz="0" w:space="0" w:color="auto"/>
        <w:bottom w:val="none" w:sz="0" w:space="0" w:color="auto"/>
        <w:right w:val="none" w:sz="0" w:space="0" w:color="auto"/>
      </w:divBdr>
    </w:div>
    <w:div w:id="381099275">
      <w:bodyDiv w:val="1"/>
      <w:marLeft w:val="0"/>
      <w:marRight w:val="0"/>
      <w:marTop w:val="0"/>
      <w:marBottom w:val="0"/>
      <w:divBdr>
        <w:top w:val="none" w:sz="0" w:space="0" w:color="auto"/>
        <w:left w:val="none" w:sz="0" w:space="0" w:color="auto"/>
        <w:bottom w:val="none" w:sz="0" w:space="0" w:color="auto"/>
        <w:right w:val="none" w:sz="0" w:space="0" w:color="auto"/>
      </w:divBdr>
    </w:div>
    <w:div w:id="430664305">
      <w:bodyDiv w:val="1"/>
      <w:marLeft w:val="0"/>
      <w:marRight w:val="0"/>
      <w:marTop w:val="0"/>
      <w:marBottom w:val="0"/>
      <w:divBdr>
        <w:top w:val="none" w:sz="0" w:space="0" w:color="auto"/>
        <w:left w:val="none" w:sz="0" w:space="0" w:color="auto"/>
        <w:bottom w:val="none" w:sz="0" w:space="0" w:color="auto"/>
        <w:right w:val="none" w:sz="0" w:space="0" w:color="auto"/>
      </w:divBdr>
    </w:div>
    <w:div w:id="468479223">
      <w:bodyDiv w:val="1"/>
      <w:marLeft w:val="0"/>
      <w:marRight w:val="0"/>
      <w:marTop w:val="0"/>
      <w:marBottom w:val="0"/>
      <w:divBdr>
        <w:top w:val="none" w:sz="0" w:space="0" w:color="auto"/>
        <w:left w:val="none" w:sz="0" w:space="0" w:color="auto"/>
        <w:bottom w:val="none" w:sz="0" w:space="0" w:color="auto"/>
        <w:right w:val="none" w:sz="0" w:space="0" w:color="auto"/>
      </w:divBdr>
    </w:div>
    <w:div w:id="554051600">
      <w:bodyDiv w:val="1"/>
      <w:marLeft w:val="0"/>
      <w:marRight w:val="0"/>
      <w:marTop w:val="0"/>
      <w:marBottom w:val="0"/>
      <w:divBdr>
        <w:top w:val="none" w:sz="0" w:space="0" w:color="auto"/>
        <w:left w:val="none" w:sz="0" w:space="0" w:color="auto"/>
        <w:bottom w:val="none" w:sz="0" w:space="0" w:color="auto"/>
        <w:right w:val="none" w:sz="0" w:space="0" w:color="auto"/>
      </w:divBdr>
    </w:div>
    <w:div w:id="585311000">
      <w:bodyDiv w:val="1"/>
      <w:marLeft w:val="0"/>
      <w:marRight w:val="0"/>
      <w:marTop w:val="0"/>
      <w:marBottom w:val="0"/>
      <w:divBdr>
        <w:top w:val="none" w:sz="0" w:space="0" w:color="auto"/>
        <w:left w:val="none" w:sz="0" w:space="0" w:color="auto"/>
        <w:bottom w:val="none" w:sz="0" w:space="0" w:color="auto"/>
        <w:right w:val="none" w:sz="0" w:space="0" w:color="auto"/>
      </w:divBdr>
    </w:div>
    <w:div w:id="601180261">
      <w:bodyDiv w:val="1"/>
      <w:marLeft w:val="0"/>
      <w:marRight w:val="0"/>
      <w:marTop w:val="0"/>
      <w:marBottom w:val="0"/>
      <w:divBdr>
        <w:top w:val="none" w:sz="0" w:space="0" w:color="auto"/>
        <w:left w:val="none" w:sz="0" w:space="0" w:color="auto"/>
        <w:bottom w:val="none" w:sz="0" w:space="0" w:color="auto"/>
        <w:right w:val="none" w:sz="0" w:space="0" w:color="auto"/>
      </w:divBdr>
    </w:div>
    <w:div w:id="623731331">
      <w:bodyDiv w:val="1"/>
      <w:marLeft w:val="0"/>
      <w:marRight w:val="0"/>
      <w:marTop w:val="0"/>
      <w:marBottom w:val="0"/>
      <w:divBdr>
        <w:top w:val="none" w:sz="0" w:space="0" w:color="auto"/>
        <w:left w:val="none" w:sz="0" w:space="0" w:color="auto"/>
        <w:bottom w:val="none" w:sz="0" w:space="0" w:color="auto"/>
        <w:right w:val="none" w:sz="0" w:space="0" w:color="auto"/>
      </w:divBdr>
    </w:div>
    <w:div w:id="634799129">
      <w:bodyDiv w:val="1"/>
      <w:marLeft w:val="0"/>
      <w:marRight w:val="0"/>
      <w:marTop w:val="0"/>
      <w:marBottom w:val="0"/>
      <w:divBdr>
        <w:top w:val="none" w:sz="0" w:space="0" w:color="auto"/>
        <w:left w:val="none" w:sz="0" w:space="0" w:color="auto"/>
        <w:bottom w:val="none" w:sz="0" w:space="0" w:color="auto"/>
        <w:right w:val="none" w:sz="0" w:space="0" w:color="auto"/>
      </w:divBdr>
    </w:div>
    <w:div w:id="742408363">
      <w:bodyDiv w:val="1"/>
      <w:marLeft w:val="0"/>
      <w:marRight w:val="0"/>
      <w:marTop w:val="0"/>
      <w:marBottom w:val="0"/>
      <w:divBdr>
        <w:top w:val="none" w:sz="0" w:space="0" w:color="auto"/>
        <w:left w:val="none" w:sz="0" w:space="0" w:color="auto"/>
        <w:bottom w:val="none" w:sz="0" w:space="0" w:color="auto"/>
        <w:right w:val="none" w:sz="0" w:space="0" w:color="auto"/>
      </w:divBdr>
    </w:div>
    <w:div w:id="748968762">
      <w:bodyDiv w:val="1"/>
      <w:marLeft w:val="0"/>
      <w:marRight w:val="0"/>
      <w:marTop w:val="0"/>
      <w:marBottom w:val="0"/>
      <w:divBdr>
        <w:top w:val="none" w:sz="0" w:space="0" w:color="auto"/>
        <w:left w:val="none" w:sz="0" w:space="0" w:color="auto"/>
        <w:bottom w:val="none" w:sz="0" w:space="0" w:color="auto"/>
        <w:right w:val="none" w:sz="0" w:space="0" w:color="auto"/>
      </w:divBdr>
    </w:div>
    <w:div w:id="811948913">
      <w:bodyDiv w:val="1"/>
      <w:marLeft w:val="0"/>
      <w:marRight w:val="0"/>
      <w:marTop w:val="0"/>
      <w:marBottom w:val="0"/>
      <w:divBdr>
        <w:top w:val="none" w:sz="0" w:space="0" w:color="auto"/>
        <w:left w:val="none" w:sz="0" w:space="0" w:color="auto"/>
        <w:bottom w:val="none" w:sz="0" w:space="0" w:color="auto"/>
        <w:right w:val="none" w:sz="0" w:space="0" w:color="auto"/>
      </w:divBdr>
    </w:div>
    <w:div w:id="822164351">
      <w:bodyDiv w:val="1"/>
      <w:marLeft w:val="0"/>
      <w:marRight w:val="0"/>
      <w:marTop w:val="0"/>
      <w:marBottom w:val="0"/>
      <w:divBdr>
        <w:top w:val="none" w:sz="0" w:space="0" w:color="auto"/>
        <w:left w:val="none" w:sz="0" w:space="0" w:color="auto"/>
        <w:bottom w:val="none" w:sz="0" w:space="0" w:color="auto"/>
        <w:right w:val="none" w:sz="0" w:space="0" w:color="auto"/>
      </w:divBdr>
    </w:div>
    <w:div w:id="846752778">
      <w:bodyDiv w:val="1"/>
      <w:marLeft w:val="0"/>
      <w:marRight w:val="0"/>
      <w:marTop w:val="0"/>
      <w:marBottom w:val="0"/>
      <w:divBdr>
        <w:top w:val="none" w:sz="0" w:space="0" w:color="auto"/>
        <w:left w:val="none" w:sz="0" w:space="0" w:color="auto"/>
        <w:bottom w:val="none" w:sz="0" w:space="0" w:color="auto"/>
        <w:right w:val="none" w:sz="0" w:space="0" w:color="auto"/>
      </w:divBdr>
    </w:div>
    <w:div w:id="915212233">
      <w:bodyDiv w:val="1"/>
      <w:marLeft w:val="0"/>
      <w:marRight w:val="0"/>
      <w:marTop w:val="0"/>
      <w:marBottom w:val="0"/>
      <w:divBdr>
        <w:top w:val="none" w:sz="0" w:space="0" w:color="auto"/>
        <w:left w:val="none" w:sz="0" w:space="0" w:color="auto"/>
        <w:bottom w:val="none" w:sz="0" w:space="0" w:color="auto"/>
        <w:right w:val="none" w:sz="0" w:space="0" w:color="auto"/>
      </w:divBdr>
    </w:div>
    <w:div w:id="951401504">
      <w:bodyDiv w:val="1"/>
      <w:marLeft w:val="0"/>
      <w:marRight w:val="0"/>
      <w:marTop w:val="0"/>
      <w:marBottom w:val="0"/>
      <w:divBdr>
        <w:top w:val="none" w:sz="0" w:space="0" w:color="auto"/>
        <w:left w:val="none" w:sz="0" w:space="0" w:color="auto"/>
        <w:bottom w:val="none" w:sz="0" w:space="0" w:color="auto"/>
        <w:right w:val="none" w:sz="0" w:space="0" w:color="auto"/>
      </w:divBdr>
    </w:div>
    <w:div w:id="1029330851">
      <w:bodyDiv w:val="1"/>
      <w:marLeft w:val="0"/>
      <w:marRight w:val="0"/>
      <w:marTop w:val="0"/>
      <w:marBottom w:val="0"/>
      <w:divBdr>
        <w:top w:val="none" w:sz="0" w:space="0" w:color="auto"/>
        <w:left w:val="none" w:sz="0" w:space="0" w:color="auto"/>
        <w:bottom w:val="none" w:sz="0" w:space="0" w:color="auto"/>
        <w:right w:val="none" w:sz="0" w:space="0" w:color="auto"/>
      </w:divBdr>
    </w:div>
    <w:div w:id="1042629927">
      <w:bodyDiv w:val="1"/>
      <w:marLeft w:val="0"/>
      <w:marRight w:val="0"/>
      <w:marTop w:val="0"/>
      <w:marBottom w:val="0"/>
      <w:divBdr>
        <w:top w:val="none" w:sz="0" w:space="0" w:color="auto"/>
        <w:left w:val="none" w:sz="0" w:space="0" w:color="auto"/>
        <w:bottom w:val="none" w:sz="0" w:space="0" w:color="auto"/>
        <w:right w:val="none" w:sz="0" w:space="0" w:color="auto"/>
      </w:divBdr>
    </w:div>
    <w:div w:id="1080830096">
      <w:bodyDiv w:val="1"/>
      <w:marLeft w:val="0"/>
      <w:marRight w:val="0"/>
      <w:marTop w:val="0"/>
      <w:marBottom w:val="0"/>
      <w:divBdr>
        <w:top w:val="none" w:sz="0" w:space="0" w:color="auto"/>
        <w:left w:val="none" w:sz="0" w:space="0" w:color="auto"/>
        <w:bottom w:val="none" w:sz="0" w:space="0" w:color="auto"/>
        <w:right w:val="none" w:sz="0" w:space="0" w:color="auto"/>
      </w:divBdr>
    </w:div>
    <w:div w:id="1145508408">
      <w:bodyDiv w:val="1"/>
      <w:marLeft w:val="0"/>
      <w:marRight w:val="0"/>
      <w:marTop w:val="0"/>
      <w:marBottom w:val="0"/>
      <w:divBdr>
        <w:top w:val="none" w:sz="0" w:space="0" w:color="auto"/>
        <w:left w:val="none" w:sz="0" w:space="0" w:color="auto"/>
        <w:bottom w:val="none" w:sz="0" w:space="0" w:color="auto"/>
        <w:right w:val="none" w:sz="0" w:space="0" w:color="auto"/>
      </w:divBdr>
    </w:div>
    <w:div w:id="1244266946">
      <w:bodyDiv w:val="1"/>
      <w:marLeft w:val="0"/>
      <w:marRight w:val="0"/>
      <w:marTop w:val="0"/>
      <w:marBottom w:val="0"/>
      <w:divBdr>
        <w:top w:val="none" w:sz="0" w:space="0" w:color="auto"/>
        <w:left w:val="none" w:sz="0" w:space="0" w:color="auto"/>
        <w:bottom w:val="none" w:sz="0" w:space="0" w:color="auto"/>
        <w:right w:val="none" w:sz="0" w:space="0" w:color="auto"/>
      </w:divBdr>
    </w:div>
    <w:div w:id="1249995584">
      <w:bodyDiv w:val="1"/>
      <w:marLeft w:val="0"/>
      <w:marRight w:val="0"/>
      <w:marTop w:val="0"/>
      <w:marBottom w:val="0"/>
      <w:divBdr>
        <w:top w:val="none" w:sz="0" w:space="0" w:color="auto"/>
        <w:left w:val="none" w:sz="0" w:space="0" w:color="auto"/>
        <w:bottom w:val="none" w:sz="0" w:space="0" w:color="auto"/>
        <w:right w:val="none" w:sz="0" w:space="0" w:color="auto"/>
      </w:divBdr>
    </w:div>
    <w:div w:id="1262765704">
      <w:bodyDiv w:val="1"/>
      <w:marLeft w:val="0"/>
      <w:marRight w:val="0"/>
      <w:marTop w:val="0"/>
      <w:marBottom w:val="0"/>
      <w:divBdr>
        <w:top w:val="none" w:sz="0" w:space="0" w:color="auto"/>
        <w:left w:val="none" w:sz="0" w:space="0" w:color="auto"/>
        <w:bottom w:val="none" w:sz="0" w:space="0" w:color="auto"/>
        <w:right w:val="none" w:sz="0" w:space="0" w:color="auto"/>
      </w:divBdr>
    </w:div>
    <w:div w:id="1325862230">
      <w:bodyDiv w:val="1"/>
      <w:marLeft w:val="0"/>
      <w:marRight w:val="0"/>
      <w:marTop w:val="0"/>
      <w:marBottom w:val="0"/>
      <w:divBdr>
        <w:top w:val="none" w:sz="0" w:space="0" w:color="auto"/>
        <w:left w:val="none" w:sz="0" w:space="0" w:color="auto"/>
        <w:bottom w:val="none" w:sz="0" w:space="0" w:color="auto"/>
        <w:right w:val="none" w:sz="0" w:space="0" w:color="auto"/>
      </w:divBdr>
    </w:div>
    <w:div w:id="1369529043">
      <w:bodyDiv w:val="1"/>
      <w:marLeft w:val="0"/>
      <w:marRight w:val="0"/>
      <w:marTop w:val="0"/>
      <w:marBottom w:val="0"/>
      <w:divBdr>
        <w:top w:val="none" w:sz="0" w:space="0" w:color="auto"/>
        <w:left w:val="none" w:sz="0" w:space="0" w:color="auto"/>
        <w:bottom w:val="none" w:sz="0" w:space="0" w:color="auto"/>
        <w:right w:val="none" w:sz="0" w:space="0" w:color="auto"/>
      </w:divBdr>
    </w:div>
    <w:div w:id="1412969362">
      <w:bodyDiv w:val="1"/>
      <w:marLeft w:val="0"/>
      <w:marRight w:val="0"/>
      <w:marTop w:val="0"/>
      <w:marBottom w:val="0"/>
      <w:divBdr>
        <w:top w:val="none" w:sz="0" w:space="0" w:color="auto"/>
        <w:left w:val="none" w:sz="0" w:space="0" w:color="auto"/>
        <w:bottom w:val="none" w:sz="0" w:space="0" w:color="auto"/>
        <w:right w:val="none" w:sz="0" w:space="0" w:color="auto"/>
      </w:divBdr>
    </w:div>
    <w:div w:id="1418744215">
      <w:bodyDiv w:val="1"/>
      <w:marLeft w:val="0"/>
      <w:marRight w:val="0"/>
      <w:marTop w:val="0"/>
      <w:marBottom w:val="0"/>
      <w:divBdr>
        <w:top w:val="none" w:sz="0" w:space="0" w:color="auto"/>
        <w:left w:val="none" w:sz="0" w:space="0" w:color="auto"/>
        <w:bottom w:val="none" w:sz="0" w:space="0" w:color="auto"/>
        <w:right w:val="none" w:sz="0" w:space="0" w:color="auto"/>
      </w:divBdr>
    </w:div>
    <w:div w:id="1475097771">
      <w:bodyDiv w:val="1"/>
      <w:marLeft w:val="0"/>
      <w:marRight w:val="0"/>
      <w:marTop w:val="0"/>
      <w:marBottom w:val="0"/>
      <w:divBdr>
        <w:top w:val="none" w:sz="0" w:space="0" w:color="auto"/>
        <w:left w:val="none" w:sz="0" w:space="0" w:color="auto"/>
        <w:bottom w:val="none" w:sz="0" w:space="0" w:color="auto"/>
        <w:right w:val="none" w:sz="0" w:space="0" w:color="auto"/>
      </w:divBdr>
    </w:div>
    <w:div w:id="1499419642">
      <w:bodyDiv w:val="1"/>
      <w:marLeft w:val="0"/>
      <w:marRight w:val="0"/>
      <w:marTop w:val="0"/>
      <w:marBottom w:val="0"/>
      <w:divBdr>
        <w:top w:val="none" w:sz="0" w:space="0" w:color="auto"/>
        <w:left w:val="none" w:sz="0" w:space="0" w:color="auto"/>
        <w:bottom w:val="none" w:sz="0" w:space="0" w:color="auto"/>
        <w:right w:val="none" w:sz="0" w:space="0" w:color="auto"/>
      </w:divBdr>
    </w:div>
    <w:div w:id="1559322515">
      <w:bodyDiv w:val="1"/>
      <w:marLeft w:val="0"/>
      <w:marRight w:val="0"/>
      <w:marTop w:val="0"/>
      <w:marBottom w:val="0"/>
      <w:divBdr>
        <w:top w:val="none" w:sz="0" w:space="0" w:color="auto"/>
        <w:left w:val="none" w:sz="0" w:space="0" w:color="auto"/>
        <w:bottom w:val="none" w:sz="0" w:space="0" w:color="auto"/>
        <w:right w:val="none" w:sz="0" w:space="0" w:color="auto"/>
      </w:divBdr>
      <w:divsChild>
        <w:div w:id="4946905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96934750">
      <w:bodyDiv w:val="1"/>
      <w:marLeft w:val="0"/>
      <w:marRight w:val="0"/>
      <w:marTop w:val="0"/>
      <w:marBottom w:val="0"/>
      <w:divBdr>
        <w:top w:val="none" w:sz="0" w:space="0" w:color="auto"/>
        <w:left w:val="none" w:sz="0" w:space="0" w:color="auto"/>
        <w:bottom w:val="none" w:sz="0" w:space="0" w:color="auto"/>
        <w:right w:val="none" w:sz="0" w:space="0" w:color="auto"/>
      </w:divBdr>
    </w:div>
    <w:div w:id="1678843326">
      <w:bodyDiv w:val="1"/>
      <w:marLeft w:val="0"/>
      <w:marRight w:val="0"/>
      <w:marTop w:val="0"/>
      <w:marBottom w:val="0"/>
      <w:divBdr>
        <w:top w:val="none" w:sz="0" w:space="0" w:color="auto"/>
        <w:left w:val="none" w:sz="0" w:space="0" w:color="auto"/>
        <w:bottom w:val="none" w:sz="0" w:space="0" w:color="auto"/>
        <w:right w:val="none" w:sz="0" w:space="0" w:color="auto"/>
      </w:divBdr>
    </w:div>
    <w:div w:id="1747419110">
      <w:bodyDiv w:val="1"/>
      <w:marLeft w:val="0"/>
      <w:marRight w:val="0"/>
      <w:marTop w:val="0"/>
      <w:marBottom w:val="0"/>
      <w:divBdr>
        <w:top w:val="none" w:sz="0" w:space="0" w:color="auto"/>
        <w:left w:val="none" w:sz="0" w:space="0" w:color="auto"/>
        <w:bottom w:val="none" w:sz="0" w:space="0" w:color="auto"/>
        <w:right w:val="none" w:sz="0" w:space="0" w:color="auto"/>
      </w:divBdr>
    </w:div>
    <w:div w:id="1778719567">
      <w:bodyDiv w:val="1"/>
      <w:marLeft w:val="0"/>
      <w:marRight w:val="0"/>
      <w:marTop w:val="0"/>
      <w:marBottom w:val="0"/>
      <w:divBdr>
        <w:top w:val="none" w:sz="0" w:space="0" w:color="auto"/>
        <w:left w:val="none" w:sz="0" w:space="0" w:color="auto"/>
        <w:bottom w:val="none" w:sz="0" w:space="0" w:color="auto"/>
        <w:right w:val="none" w:sz="0" w:space="0" w:color="auto"/>
      </w:divBdr>
    </w:div>
    <w:div w:id="1866093265">
      <w:bodyDiv w:val="1"/>
      <w:marLeft w:val="0"/>
      <w:marRight w:val="0"/>
      <w:marTop w:val="0"/>
      <w:marBottom w:val="0"/>
      <w:divBdr>
        <w:top w:val="none" w:sz="0" w:space="0" w:color="auto"/>
        <w:left w:val="none" w:sz="0" w:space="0" w:color="auto"/>
        <w:bottom w:val="none" w:sz="0" w:space="0" w:color="auto"/>
        <w:right w:val="none" w:sz="0" w:space="0" w:color="auto"/>
      </w:divBdr>
    </w:div>
    <w:div w:id="1878393182">
      <w:bodyDiv w:val="1"/>
      <w:marLeft w:val="0"/>
      <w:marRight w:val="0"/>
      <w:marTop w:val="0"/>
      <w:marBottom w:val="0"/>
      <w:divBdr>
        <w:top w:val="none" w:sz="0" w:space="0" w:color="auto"/>
        <w:left w:val="none" w:sz="0" w:space="0" w:color="auto"/>
        <w:bottom w:val="none" w:sz="0" w:space="0" w:color="auto"/>
        <w:right w:val="none" w:sz="0" w:space="0" w:color="auto"/>
      </w:divBdr>
    </w:div>
    <w:div w:id="1928419174">
      <w:bodyDiv w:val="1"/>
      <w:marLeft w:val="0"/>
      <w:marRight w:val="0"/>
      <w:marTop w:val="0"/>
      <w:marBottom w:val="0"/>
      <w:divBdr>
        <w:top w:val="none" w:sz="0" w:space="0" w:color="auto"/>
        <w:left w:val="none" w:sz="0" w:space="0" w:color="auto"/>
        <w:bottom w:val="none" w:sz="0" w:space="0" w:color="auto"/>
        <w:right w:val="none" w:sz="0" w:space="0" w:color="auto"/>
      </w:divBdr>
    </w:div>
    <w:div w:id="1971325189">
      <w:bodyDiv w:val="1"/>
      <w:marLeft w:val="0"/>
      <w:marRight w:val="0"/>
      <w:marTop w:val="0"/>
      <w:marBottom w:val="0"/>
      <w:divBdr>
        <w:top w:val="none" w:sz="0" w:space="0" w:color="auto"/>
        <w:left w:val="none" w:sz="0" w:space="0" w:color="auto"/>
        <w:bottom w:val="none" w:sz="0" w:space="0" w:color="auto"/>
        <w:right w:val="none" w:sz="0" w:space="0" w:color="auto"/>
      </w:divBdr>
    </w:div>
    <w:div w:id="2024089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pubmed.ncbi.nlm.nih.gov/?term=Symes+W&amp;cauthor_id=23452301" TargetMode="External"/><Relationship Id="rId18" Type="http://schemas.openxmlformats.org/officeDocument/2006/relationships/hyperlink" Target="https://www.gov.wales/evaluation-social-services-and-well-being-wales-act-2014-process-evaluation-research-briefing-html" TargetMode="External"/><Relationship Id="rId26" Type="http://schemas.openxmlformats.org/officeDocument/2006/relationships/hyperlink" Target="https://learning.nspcc.org.uk/research-resources/2023/working-together-to-safeguard-children-2023-summary-of-changes" TargetMode="External"/><Relationship Id="rId3" Type="http://schemas.openxmlformats.org/officeDocument/2006/relationships/settings" Target="settings.xml"/><Relationship Id="rId21" Type="http://schemas.openxmlformats.org/officeDocument/2006/relationships/hyperlink" Target="https://www.gov.uk/government/publications/send-code-of-practice-0-to-25" TargetMode="External"/><Relationship Id="rId7" Type="http://schemas.openxmlformats.org/officeDocument/2006/relationships/image" Target="media/image1.jpeg"/><Relationship Id="rId12" Type="http://schemas.openxmlformats.org/officeDocument/2006/relationships/hyperlink" Target="https://pubmed.ncbi.nlm.nih.gov/?term=Humphrey+N&amp;cauthor_id=23452301" TargetMode="External"/><Relationship Id="rId17" Type="http://schemas.openxmlformats.org/officeDocument/2006/relationships/hyperlink" Target="https://www.gov.uk/government/news/safeguarding-system-needs-to-tackle-stubborn-challenges" TargetMode="External"/><Relationship Id="rId25" Type="http://schemas.openxmlformats.org/officeDocument/2006/relationships/hyperlink" Target="https://www.nih.gov/news-events/nih-research-matters/children-s-sleep-linked-brain-development" TargetMode="External"/><Relationship Id="rId2" Type="http://schemas.openxmlformats.org/officeDocument/2006/relationships/styles" Target="styles.xml"/><Relationship Id="rId16" Type="http://schemas.openxmlformats.org/officeDocument/2006/relationships/hyperlink" Target="https://www.legislation.gov.uk/anaw/2020/3" TargetMode="External"/><Relationship Id="rId20" Type="http://schemas.openxmlformats.org/officeDocument/2006/relationships/hyperlink" Target="https://assets.publishing.service.gov.uk/media/669e7501ab418ab055592a7b/Working_together_to_safeguard_children_2023.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ubmed.ncbi.nlm.nih.gov/?term=Woods+K&amp;cauthor_id=23452301" TargetMode="External"/><Relationship Id="rId24" Type="http://schemas.openxmlformats.org/officeDocument/2006/relationships/hyperlink" Target="https://www.youtube.com/watch?v=em1yckn5TJ4" TargetMode="External"/><Relationship Id="rId5" Type="http://schemas.openxmlformats.org/officeDocument/2006/relationships/footnotes" Target="footnotes.xml"/><Relationship Id="rId15" Type="http://schemas.openxmlformats.org/officeDocument/2006/relationships/hyperlink" Target="https://www.contextualsafeguarding.org.uk/blog/the-challenges-and-opportunities-of-implementing-contextual-safeguarding-in-practice/" TargetMode="External"/><Relationship Id="rId23" Type="http://schemas.openxmlformats.org/officeDocument/2006/relationships/hyperlink" Target="https://law.gov.wales/public-services/social-care/safeguarding-vulnerable-groups-act-2006" TargetMode="External"/><Relationship Id="rId28" Type="http://schemas.openxmlformats.org/officeDocument/2006/relationships/hyperlink" Target="https://www.youngminds.org.uk/young-person/your-guide-to-support/guide-to-camhs/" TargetMode="External"/><Relationship Id="rId10" Type="http://schemas.openxmlformats.org/officeDocument/2006/relationships/hyperlink" Target="https://pubmed.ncbi.nlm.nih.gov/?term=Bond+C&amp;cauthor_id=23452301" TargetMode="External"/><Relationship Id="rId19" Type="http://schemas.openxmlformats.org/officeDocument/2006/relationships/hyperlink" Target="https://www.gov.wales/physically-punishing-children-becomes-illegal-wale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pubmed.ncbi.nlm.nih.gov/?term=Green+L&amp;cauthor_id=23452301" TargetMode="External"/><Relationship Id="rId22" Type="http://schemas.openxmlformats.org/officeDocument/2006/relationships/hyperlink" Target="https://www.hiw.org.uk/action-needed-improve-mental-health-support-children-and-young-people" TargetMode="External"/><Relationship Id="rId27" Type="http://schemas.openxmlformats.org/officeDocument/2006/relationships/hyperlink" Target="https://www.unicef.org.uk/what-we-do/un-convention-child-right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25</Pages>
  <Words>5186</Words>
  <Characters>33182</Characters>
  <Application>Microsoft Office Word</Application>
  <DocSecurity>0</DocSecurity>
  <Lines>733</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Klepczarek</dc:creator>
  <cp:keywords/>
  <dc:description/>
  <cp:lastModifiedBy>Anna Klepczarek</cp:lastModifiedBy>
  <cp:revision>13</cp:revision>
  <dcterms:created xsi:type="dcterms:W3CDTF">2025-04-06T08:39:00Z</dcterms:created>
  <dcterms:modified xsi:type="dcterms:W3CDTF">2025-04-30T09:40:00Z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05629718-fe5f-42cb-9fb3-e22523135f82</vt:lpwstr>
  </property>
</Properties>
</file>