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09E6699" w:rsidR="7908378C" w:rsidRDefault="7908378C" w:rsidP="33572C6E">
            <w:pPr>
              <w:ind w:right="237"/>
              <w:rPr>
                <w:b/>
                <w:bCs/>
                <w:color w:val="auto"/>
                <w:sz w:val="32"/>
                <w:szCs w:val="32"/>
              </w:rPr>
            </w:pPr>
            <w:r w:rsidRPr="33572C6E">
              <w:rPr>
                <w:b/>
                <w:bCs/>
                <w:color w:val="auto"/>
                <w:sz w:val="32"/>
                <w:szCs w:val="32"/>
              </w:rPr>
              <w:t xml:space="preserve">Learner name: </w:t>
            </w:r>
            <w:r w:rsidR="002512A0">
              <w:rPr>
                <w:b/>
                <w:bCs/>
                <w:color w:val="auto"/>
                <w:sz w:val="32"/>
                <w:szCs w:val="32"/>
              </w:rPr>
              <w:t>CHRISTIAN LITTLER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F5C7F95" w:rsidR="7908378C" w:rsidRDefault="002512A0" w:rsidP="33572C6E">
            <w:pPr>
              <w:ind w:right="237"/>
              <w:rPr>
                <w:b/>
                <w:bCs/>
                <w:color w:val="auto"/>
                <w:sz w:val="32"/>
                <w:szCs w:val="32"/>
              </w:rPr>
            </w:pPr>
            <w:r>
              <w:rPr>
                <w:b/>
                <w:bCs/>
                <w:color w:val="auto"/>
                <w:sz w:val="32"/>
                <w:szCs w:val="32"/>
              </w:rPr>
              <w:t>2222255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CB1A479"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88A84D2" w14:textId="5B27D787" w:rsidR="001A5719" w:rsidRDefault="001A5719" w:rsidP="00211695">
      <w:pPr>
        <w:overflowPunct/>
        <w:autoSpaceDE/>
        <w:autoSpaceDN/>
        <w:adjustRightInd/>
        <w:textAlignment w:val="auto"/>
        <w:rPr>
          <w:sz w:val="24"/>
          <w:szCs w:val="24"/>
        </w:rPr>
      </w:pPr>
      <w:r>
        <w:rPr>
          <w:sz w:val="24"/>
          <w:szCs w:val="24"/>
        </w:rPr>
        <w:t xml:space="preserve">The investigation I will refer to is in relation to an incident of grievous bodily harm (GBH), which occurred at a popular nightclub in central Swansea city. </w:t>
      </w:r>
      <w:r w:rsidR="00BF40DA">
        <w:rPr>
          <w:sz w:val="24"/>
          <w:szCs w:val="24"/>
        </w:rPr>
        <w:t>The victim of the assault had become separated from his group of friends during an evening out and had found himself in amongst a group of men unknown to him inside the busy nightclub. After accidentally bumping into one of the men</w:t>
      </w:r>
      <w:r w:rsidR="004B328D">
        <w:rPr>
          <w:sz w:val="24"/>
          <w:szCs w:val="24"/>
        </w:rPr>
        <w:t xml:space="preserve"> on the dance floor</w:t>
      </w:r>
      <w:r w:rsidR="00BF40DA">
        <w:rPr>
          <w:sz w:val="24"/>
          <w:szCs w:val="24"/>
        </w:rPr>
        <w:t>, an altercation followed between the group and himself, which culminated in him receiving a blow to the face from the largest male of the group</w:t>
      </w:r>
      <w:r w:rsidR="00850E8D">
        <w:rPr>
          <w:sz w:val="24"/>
          <w:szCs w:val="24"/>
        </w:rPr>
        <w:t xml:space="preserve"> – our suspect</w:t>
      </w:r>
      <w:r w:rsidR="00BF40DA">
        <w:rPr>
          <w:sz w:val="24"/>
          <w:szCs w:val="24"/>
        </w:rPr>
        <w:t>.</w:t>
      </w:r>
      <w:r w:rsidR="004B328D">
        <w:rPr>
          <w:sz w:val="24"/>
          <w:szCs w:val="24"/>
        </w:rPr>
        <w:t xml:space="preserve"> The blow was forceful and unexpected, and caused significant damage to the victim’s teeth and jaw, which required immediate medical intervention for which the dental treatment </w:t>
      </w:r>
      <w:r w:rsidR="00850E8D">
        <w:rPr>
          <w:sz w:val="24"/>
          <w:szCs w:val="24"/>
        </w:rPr>
        <w:t xml:space="preserve">and financial cost </w:t>
      </w:r>
      <w:r w:rsidR="004B328D">
        <w:rPr>
          <w:sz w:val="24"/>
          <w:szCs w:val="24"/>
        </w:rPr>
        <w:t>remains ongoing.</w:t>
      </w:r>
      <w:r w:rsidR="000617FD">
        <w:rPr>
          <w:sz w:val="24"/>
          <w:szCs w:val="24"/>
        </w:rPr>
        <w:t xml:space="preserve"> Several issues presented themselves when undertaking this investigation, particularly </w:t>
      </w:r>
      <w:r w:rsidR="00FB386E">
        <w:rPr>
          <w:sz w:val="24"/>
          <w:szCs w:val="24"/>
        </w:rPr>
        <w:t>surrounding</w:t>
      </w:r>
      <w:r w:rsidR="000617FD">
        <w:rPr>
          <w:sz w:val="24"/>
          <w:szCs w:val="24"/>
        </w:rPr>
        <w:t xml:space="preserve"> the welfare of the victim which I will discuss further below.</w:t>
      </w:r>
    </w:p>
    <w:p w14:paraId="227BF270" w14:textId="77777777" w:rsidR="001A5719" w:rsidRDefault="001A5719" w:rsidP="00211695">
      <w:pPr>
        <w:overflowPunct/>
        <w:autoSpaceDE/>
        <w:autoSpaceDN/>
        <w:adjustRightInd/>
        <w:textAlignment w:val="auto"/>
        <w:rPr>
          <w:sz w:val="24"/>
          <w:szCs w:val="24"/>
        </w:rPr>
      </w:pPr>
    </w:p>
    <w:p w14:paraId="04258529" w14:textId="0674BA1A" w:rsidR="008037AB" w:rsidRDefault="0000351E" w:rsidP="00211695">
      <w:pPr>
        <w:overflowPunct/>
        <w:autoSpaceDE/>
        <w:autoSpaceDN/>
        <w:adjustRightInd/>
        <w:textAlignment w:val="auto"/>
        <w:rPr>
          <w:sz w:val="24"/>
          <w:szCs w:val="24"/>
        </w:rPr>
      </w:pPr>
      <w:r>
        <w:rPr>
          <w:sz w:val="24"/>
          <w:szCs w:val="24"/>
        </w:rPr>
        <w:t xml:space="preserve">Firstly, </w:t>
      </w:r>
      <w:r w:rsidR="005863C6">
        <w:rPr>
          <w:sz w:val="24"/>
          <w:szCs w:val="24"/>
        </w:rPr>
        <w:t>identifying</w:t>
      </w:r>
      <w:r w:rsidR="008037AB" w:rsidRPr="008037AB">
        <w:rPr>
          <w:sz w:val="24"/>
          <w:szCs w:val="24"/>
        </w:rPr>
        <w:t xml:space="preserve"> the needs of vulnerable victims </w:t>
      </w:r>
      <w:r w:rsidR="000617FD">
        <w:rPr>
          <w:sz w:val="24"/>
          <w:szCs w:val="24"/>
        </w:rPr>
        <w:t xml:space="preserve">demands </w:t>
      </w:r>
      <w:r w:rsidR="008037AB" w:rsidRPr="008037AB">
        <w:rPr>
          <w:sz w:val="24"/>
          <w:szCs w:val="24"/>
        </w:rPr>
        <w:t xml:space="preserve">empathy and compassion </w:t>
      </w:r>
      <w:r w:rsidR="00234BC3">
        <w:rPr>
          <w:sz w:val="24"/>
          <w:szCs w:val="24"/>
        </w:rPr>
        <w:t>(</w:t>
      </w:r>
      <w:r w:rsidR="00F01F40" w:rsidRPr="00F01F40">
        <w:rPr>
          <w:sz w:val="24"/>
          <w:szCs w:val="24"/>
        </w:rPr>
        <w:t>Peterson and Silver, 2017</w:t>
      </w:r>
      <w:r w:rsidR="00234BC3">
        <w:rPr>
          <w:sz w:val="24"/>
          <w:szCs w:val="24"/>
        </w:rPr>
        <w:t xml:space="preserve">) </w:t>
      </w:r>
      <w:r w:rsidR="008037AB" w:rsidRPr="008037AB">
        <w:rPr>
          <w:sz w:val="24"/>
          <w:szCs w:val="24"/>
        </w:rPr>
        <w:t>but also a critical examination</w:t>
      </w:r>
      <w:r w:rsidR="00A57FE3">
        <w:rPr>
          <w:sz w:val="24"/>
          <w:szCs w:val="24"/>
        </w:rPr>
        <w:t xml:space="preserve"> and </w:t>
      </w:r>
      <w:r w:rsidR="006B4CA8">
        <w:rPr>
          <w:sz w:val="24"/>
          <w:szCs w:val="24"/>
        </w:rPr>
        <w:t xml:space="preserve">continuous </w:t>
      </w:r>
      <w:r w:rsidR="00A57FE3">
        <w:rPr>
          <w:sz w:val="24"/>
          <w:szCs w:val="24"/>
        </w:rPr>
        <w:t>dynamic review</w:t>
      </w:r>
      <w:r w:rsidR="008037AB" w:rsidRPr="008037AB">
        <w:rPr>
          <w:sz w:val="24"/>
          <w:szCs w:val="24"/>
        </w:rPr>
        <w:t xml:space="preserve"> of the approaches employed</w:t>
      </w:r>
      <w:r w:rsidR="000617FD">
        <w:rPr>
          <w:sz w:val="24"/>
          <w:szCs w:val="24"/>
        </w:rPr>
        <w:t xml:space="preserve"> by police</w:t>
      </w:r>
      <w:r w:rsidR="00A57FE3">
        <w:rPr>
          <w:sz w:val="24"/>
          <w:szCs w:val="24"/>
        </w:rPr>
        <w:t xml:space="preserve"> and partner agencies</w:t>
      </w:r>
      <w:r w:rsidR="00234BC3">
        <w:rPr>
          <w:sz w:val="24"/>
          <w:szCs w:val="24"/>
        </w:rPr>
        <w:t xml:space="preserve"> (</w:t>
      </w:r>
      <w:r w:rsidR="00F01F40" w:rsidRPr="00F01F40">
        <w:rPr>
          <w:sz w:val="24"/>
          <w:szCs w:val="24"/>
        </w:rPr>
        <w:t>Guay, Beaulieu-Prévost, Sader</w:t>
      </w:r>
      <w:r w:rsidR="00F01F40">
        <w:rPr>
          <w:sz w:val="24"/>
          <w:szCs w:val="24"/>
        </w:rPr>
        <w:t>,</w:t>
      </w:r>
      <w:r w:rsidR="00F01F40" w:rsidRPr="00F01F40">
        <w:rPr>
          <w:sz w:val="24"/>
          <w:szCs w:val="24"/>
        </w:rPr>
        <w:t xml:space="preserve"> and Marchand, 2019</w:t>
      </w:r>
      <w:r w:rsidR="00234BC3">
        <w:rPr>
          <w:sz w:val="24"/>
          <w:szCs w:val="24"/>
        </w:rPr>
        <w:t>)</w:t>
      </w:r>
      <w:r w:rsidR="00A57FE3">
        <w:rPr>
          <w:sz w:val="24"/>
          <w:szCs w:val="24"/>
        </w:rPr>
        <w:t>,</w:t>
      </w:r>
      <w:r w:rsidR="000617FD">
        <w:rPr>
          <w:sz w:val="24"/>
          <w:szCs w:val="24"/>
        </w:rPr>
        <w:t xml:space="preserve"> in order</w:t>
      </w:r>
      <w:r w:rsidR="008037AB" w:rsidRPr="008037AB">
        <w:rPr>
          <w:sz w:val="24"/>
          <w:szCs w:val="24"/>
        </w:rPr>
        <w:t xml:space="preserve"> to support and assist them in </w:t>
      </w:r>
      <w:r w:rsidR="000617FD">
        <w:rPr>
          <w:sz w:val="24"/>
          <w:szCs w:val="24"/>
        </w:rPr>
        <w:t>coming to terms with, and moving on from</w:t>
      </w:r>
      <w:r w:rsidR="00A57FE3">
        <w:rPr>
          <w:sz w:val="24"/>
          <w:szCs w:val="24"/>
        </w:rPr>
        <w:t>,</w:t>
      </w:r>
      <w:r w:rsidR="000617FD">
        <w:rPr>
          <w:sz w:val="24"/>
          <w:szCs w:val="24"/>
        </w:rPr>
        <w:t xml:space="preserve"> such negative experiences</w:t>
      </w:r>
      <w:r w:rsidR="00234BC3">
        <w:rPr>
          <w:sz w:val="24"/>
          <w:szCs w:val="24"/>
        </w:rPr>
        <w:t xml:space="preserve"> (</w:t>
      </w:r>
      <w:r w:rsidR="00F01F40" w:rsidRPr="00F01F40">
        <w:rPr>
          <w:sz w:val="24"/>
          <w:szCs w:val="24"/>
        </w:rPr>
        <w:t>Kunst, Popelier, and Varekamp, 2015</w:t>
      </w:r>
      <w:r w:rsidR="00234BC3">
        <w:rPr>
          <w:sz w:val="24"/>
          <w:szCs w:val="24"/>
        </w:rPr>
        <w:t>)</w:t>
      </w:r>
      <w:r w:rsidR="000617FD">
        <w:rPr>
          <w:sz w:val="24"/>
          <w:szCs w:val="24"/>
        </w:rPr>
        <w:t>.</w:t>
      </w:r>
      <w:r w:rsidR="00E14476">
        <w:rPr>
          <w:sz w:val="24"/>
          <w:szCs w:val="24"/>
        </w:rPr>
        <w:t xml:space="preserve"> It was clear from the initial conversation I had with the victim of the above offence that he could be considered vulnerable due to his age and what I perceived to be a lack of maturity.</w:t>
      </w:r>
      <w:r w:rsidR="00FD52E0">
        <w:rPr>
          <w:sz w:val="24"/>
          <w:szCs w:val="24"/>
        </w:rPr>
        <w:t xml:space="preserve"> The College of Policing (20</w:t>
      </w:r>
      <w:r w:rsidR="00506B23">
        <w:rPr>
          <w:sz w:val="24"/>
          <w:szCs w:val="24"/>
        </w:rPr>
        <w:t>21</w:t>
      </w:r>
      <w:r w:rsidR="00FD52E0">
        <w:rPr>
          <w:sz w:val="24"/>
          <w:szCs w:val="24"/>
        </w:rPr>
        <w:t xml:space="preserve">) defines vulnerability as: “A person is vulnerable if, as a result of their situation or circumstances, they are unable to take care of or protect themselves or others, from harm or exploitation”. </w:t>
      </w:r>
      <w:r w:rsidR="00A57FE3">
        <w:rPr>
          <w:sz w:val="24"/>
          <w:szCs w:val="24"/>
        </w:rPr>
        <w:t xml:space="preserve">It is more important than ever to </w:t>
      </w:r>
      <w:r w:rsidR="00A57FE3">
        <w:rPr>
          <w:sz w:val="24"/>
          <w:szCs w:val="24"/>
        </w:rPr>
        <w:lastRenderedPageBreak/>
        <w:t>focus on</w:t>
      </w:r>
      <w:r w:rsidR="001508E0">
        <w:rPr>
          <w:sz w:val="24"/>
          <w:szCs w:val="24"/>
        </w:rPr>
        <w:t xml:space="preserve"> a</w:t>
      </w:r>
      <w:r w:rsidR="00A57FE3">
        <w:rPr>
          <w:sz w:val="24"/>
          <w:szCs w:val="24"/>
        </w:rPr>
        <w:t xml:space="preserve"> continuous review of what works well and what creates a negative experience from the viewpoint of both organisation and victim, primarily for their safeguarding and welfare which is of paramount importance</w:t>
      </w:r>
      <w:r w:rsidR="00234BC3">
        <w:rPr>
          <w:sz w:val="24"/>
          <w:szCs w:val="24"/>
        </w:rPr>
        <w:t xml:space="preserve"> (</w:t>
      </w:r>
      <w:r w:rsidR="00CF16F3">
        <w:rPr>
          <w:sz w:val="24"/>
          <w:szCs w:val="24"/>
        </w:rPr>
        <w:t>Burt et al., 2022</w:t>
      </w:r>
      <w:r w:rsidR="00234BC3">
        <w:rPr>
          <w:sz w:val="24"/>
          <w:szCs w:val="24"/>
        </w:rPr>
        <w:t>)</w:t>
      </w:r>
      <w:r w:rsidR="00A57FE3">
        <w:rPr>
          <w:sz w:val="24"/>
          <w:szCs w:val="24"/>
        </w:rPr>
        <w:t>, but also due to the increasing divide between large sections of the public and the police</w:t>
      </w:r>
      <w:r w:rsidR="00214AE9">
        <w:rPr>
          <w:sz w:val="24"/>
          <w:szCs w:val="24"/>
        </w:rPr>
        <w:t>,</w:t>
      </w:r>
      <w:r w:rsidR="006B4CA8">
        <w:rPr>
          <w:sz w:val="24"/>
          <w:szCs w:val="24"/>
        </w:rPr>
        <w:t xml:space="preserve"> particularly in consideration of recent events</w:t>
      </w:r>
      <w:r w:rsidR="00CF16F3">
        <w:rPr>
          <w:sz w:val="24"/>
          <w:szCs w:val="24"/>
        </w:rPr>
        <w:t xml:space="preserve"> such as the Black Lives Matter movement</w:t>
      </w:r>
      <w:r w:rsidR="00214AE9">
        <w:rPr>
          <w:sz w:val="24"/>
          <w:szCs w:val="24"/>
        </w:rPr>
        <w:t xml:space="preserve"> (</w:t>
      </w:r>
      <w:r w:rsidR="00CF16F3" w:rsidRPr="00CF16F3">
        <w:rPr>
          <w:sz w:val="24"/>
          <w:szCs w:val="24"/>
        </w:rPr>
        <w:t>Boudreau, MacKenzie, and Simmons</w:t>
      </w:r>
      <w:r w:rsidR="00CF16F3">
        <w:rPr>
          <w:sz w:val="24"/>
          <w:szCs w:val="24"/>
        </w:rPr>
        <w:t xml:space="preserve">, </w:t>
      </w:r>
      <w:r w:rsidR="00CF16F3" w:rsidRPr="00CF16F3">
        <w:rPr>
          <w:sz w:val="24"/>
          <w:szCs w:val="24"/>
        </w:rPr>
        <w:t>2022</w:t>
      </w:r>
      <w:r w:rsidR="00214AE9">
        <w:rPr>
          <w:sz w:val="24"/>
          <w:szCs w:val="24"/>
        </w:rPr>
        <w:t>)</w:t>
      </w:r>
      <w:r w:rsidR="00CF16F3">
        <w:rPr>
          <w:sz w:val="24"/>
          <w:szCs w:val="24"/>
        </w:rPr>
        <w:t>, and the incident involving rogue police officer Wayne Couzens (</w:t>
      </w:r>
      <w:r w:rsidR="00841E35">
        <w:rPr>
          <w:sz w:val="24"/>
          <w:szCs w:val="24"/>
        </w:rPr>
        <w:t>Keane and Raganella, 2024</w:t>
      </w:r>
      <w:r w:rsidR="00CF16F3">
        <w:rPr>
          <w:sz w:val="24"/>
          <w:szCs w:val="24"/>
        </w:rPr>
        <w:t>)</w:t>
      </w:r>
      <w:r w:rsidR="00A57FE3">
        <w:rPr>
          <w:sz w:val="24"/>
          <w:szCs w:val="24"/>
        </w:rPr>
        <w:t>.</w:t>
      </w:r>
      <w:r w:rsidR="00D308C8">
        <w:rPr>
          <w:sz w:val="24"/>
          <w:szCs w:val="24"/>
        </w:rPr>
        <w:t xml:space="preserve"> It </w:t>
      </w:r>
      <w:r w:rsidR="00E6526E">
        <w:rPr>
          <w:sz w:val="24"/>
          <w:szCs w:val="24"/>
        </w:rPr>
        <w:t>appears</w:t>
      </w:r>
      <w:r w:rsidR="00D308C8">
        <w:rPr>
          <w:sz w:val="24"/>
          <w:szCs w:val="24"/>
        </w:rPr>
        <w:t xml:space="preserve"> as though the good work of police largely goes unnoticed by the public due to media outlets opting to focus instead on negative stories</w:t>
      </w:r>
      <w:r w:rsidR="00214AE9">
        <w:rPr>
          <w:sz w:val="24"/>
          <w:szCs w:val="24"/>
        </w:rPr>
        <w:t xml:space="preserve"> (</w:t>
      </w:r>
      <w:r w:rsidR="00841E35">
        <w:rPr>
          <w:sz w:val="24"/>
          <w:szCs w:val="24"/>
        </w:rPr>
        <w:t>Nix and Wolfe, 2017</w:t>
      </w:r>
      <w:r w:rsidR="00214AE9">
        <w:rPr>
          <w:sz w:val="24"/>
          <w:szCs w:val="24"/>
        </w:rPr>
        <w:t>)</w:t>
      </w:r>
      <w:r w:rsidR="006B4CA8">
        <w:rPr>
          <w:sz w:val="24"/>
          <w:szCs w:val="24"/>
        </w:rPr>
        <w:t>,</w:t>
      </w:r>
      <w:r w:rsidR="00D308C8">
        <w:rPr>
          <w:sz w:val="24"/>
          <w:szCs w:val="24"/>
        </w:rPr>
        <w:t xml:space="preserve"> as this exponentially boosts their engagement and, therefore, </w:t>
      </w:r>
      <w:r w:rsidR="006B4CA8">
        <w:rPr>
          <w:sz w:val="24"/>
          <w:szCs w:val="24"/>
        </w:rPr>
        <w:t xml:space="preserve">their </w:t>
      </w:r>
      <w:r w:rsidR="00D308C8">
        <w:rPr>
          <w:sz w:val="24"/>
          <w:szCs w:val="24"/>
        </w:rPr>
        <w:t>income</w:t>
      </w:r>
      <w:r w:rsidR="00214AE9">
        <w:rPr>
          <w:sz w:val="24"/>
          <w:szCs w:val="24"/>
        </w:rPr>
        <w:t xml:space="preserve"> (</w:t>
      </w:r>
      <w:r w:rsidR="00841E35">
        <w:rPr>
          <w:sz w:val="24"/>
          <w:szCs w:val="24"/>
        </w:rPr>
        <w:t>Dessart and Pitardi, 2019</w:t>
      </w:r>
      <w:r w:rsidR="00214AE9">
        <w:rPr>
          <w:sz w:val="24"/>
          <w:szCs w:val="24"/>
        </w:rPr>
        <w:t>)</w:t>
      </w:r>
      <w:r w:rsidR="00D308C8">
        <w:rPr>
          <w:sz w:val="24"/>
          <w:szCs w:val="24"/>
        </w:rPr>
        <w:t xml:space="preserve">. </w:t>
      </w:r>
      <w:r w:rsidR="00E6526E">
        <w:rPr>
          <w:sz w:val="24"/>
          <w:szCs w:val="24"/>
        </w:rPr>
        <w:t>For this reason, and with the increase in camera phone usage and “viral amateur journalism”</w:t>
      </w:r>
      <w:r w:rsidR="00214AE9">
        <w:rPr>
          <w:sz w:val="24"/>
          <w:szCs w:val="24"/>
        </w:rPr>
        <w:t xml:space="preserve"> (</w:t>
      </w:r>
      <w:r w:rsidR="00F74B8F">
        <w:rPr>
          <w:sz w:val="24"/>
          <w:szCs w:val="24"/>
        </w:rPr>
        <w:t>Denisova, 2023</w:t>
      </w:r>
      <w:r w:rsidR="00214AE9">
        <w:rPr>
          <w:sz w:val="24"/>
          <w:szCs w:val="24"/>
        </w:rPr>
        <w:t>)</w:t>
      </w:r>
      <w:r w:rsidR="00E6526E">
        <w:rPr>
          <w:sz w:val="24"/>
          <w:szCs w:val="24"/>
        </w:rPr>
        <w:t>, police officers are scrutinised and highlighted perhaps more than at any preceding point in history</w:t>
      </w:r>
      <w:r w:rsidR="00214AE9">
        <w:rPr>
          <w:sz w:val="24"/>
          <w:szCs w:val="24"/>
        </w:rPr>
        <w:t xml:space="preserve"> (</w:t>
      </w:r>
      <w:r w:rsidR="00F74B8F" w:rsidRPr="00F74B8F">
        <w:rPr>
          <w:sz w:val="24"/>
          <w:szCs w:val="24"/>
        </w:rPr>
        <w:t>Søgaard</w:t>
      </w:r>
      <w:r w:rsidR="00F74B8F">
        <w:rPr>
          <w:sz w:val="24"/>
          <w:szCs w:val="24"/>
        </w:rPr>
        <w:t xml:space="preserve"> et al., 2023</w:t>
      </w:r>
      <w:r w:rsidR="00214AE9">
        <w:rPr>
          <w:sz w:val="24"/>
          <w:szCs w:val="24"/>
        </w:rPr>
        <w:t>)</w:t>
      </w:r>
      <w:r w:rsidR="00E6526E">
        <w:rPr>
          <w:sz w:val="24"/>
          <w:szCs w:val="24"/>
        </w:rPr>
        <w:t>. At the forefront of this new level of attention is, in my opinion, the way in which we treat our victims, and the way they feel treated by us.</w:t>
      </w:r>
      <w:r w:rsidR="006B4CA8">
        <w:rPr>
          <w:sz w:val="24"/>
          <w:szCs w:val="24"/>
        </w:rPr>
        <w:t xml:space="preserve"> </w:t>
      </w:r>
      <w:r w:rsidR="00234BC3">
        <w:rPr>
          <w:sz w:val="24"/>
          <w:szCs w:val="24"/>
        </w:rPr>
        <w:t xml:space="preserve">I strongly believe that if we are focusing on providing the best possible service to our most vulnerable victims, there should be no easy avenue for criticism. </w:t>
      </w:r>
      <w:r w:rsidR="006B4CA8">
        <w:rPr>
          <w:sz w:val="24"/>
          <w:szCs w:val="24"/>
        </w:rPr>
        <w:t>Further to this, repeat victimisation</w:t>
      </w:r>
      <w:r w:rsidR="00234BC3">
        <w:rPr>
          <w:sz w:val="24"/>
          <w:szCs w:val="24"/>
        </w:rPr>
        <w:t xml:space="preserve"> in particular</w:t>
      </w:r>
      <w:r w:rsidR="006B4CA8">
        <w:rPr>
          <w:sz w:val="24"/>
          <w:szCs w:val="24"/>
        </w:rPr>
        <w:t xml:space="preserve"> is a very damaging concept which further exacerbates the erosion of trust between the public and police</w:t>
      </w:r>
      <w:r w:rsidR="00214AE9">
        <w:rPr>
          <w:sz w:val="24"/>
          <w:szCs w:val="24"/>
        </w:rPr>
        <w:t xml:space="preserve"> (</w:t>
      </w:r>
      <w:r w:rsidR="007D789D">
        <w:rPr>
          <w:sz w:val="24"/>
          <w:szCs w:val="24"/>
        </w:rPr>
        <w:t>Correia, 2020</w:t>
      </w:r>
      <w:r w:rsidR="00214AE9">
        <w:rPr>
          <w:sz w:val="24"/>
          <w:szCs w:val="24"/>
        </w:rPr>
        <w:t>)</w:t>
      </w:r>
      <w:r w:rsidR="006B4CA8">
        <w:rPr>
          <w:sz w:val="24"/>
          <w:szCs w:val="24"/>
        </w:rPr>
        <w:t>,</w:t>
      </w:r>
      <w:r w:rsidR="00234BC3">
        <w:rPr>
          <w:sz w:val="24"/>
          <w:szCs w:val="24"/>
        </w:rPr>
        <w:t xml:space="preserve"> and severely affects the physical and mental health of the individual,</w:t>
      </w:r>
      <w:r w:rsidR="006B4CA8">
        <w:rPr>
          <w:sz w:val="24"/>
          <w:szCs w:val="24"/>
        </w:rPr>
        <w:t xml:space="preserve"> if mishandled</w:t>
      </w:r>
      <w:r w:rsidR="00214AE9">
        <w:rPr>
          <w:sz w:val="24"/>
          <w:szCs w:val="24"/>
        </w:rPr>
        <w:t xml:space="preserve"> (</w:t>
      </w:r>
      <w:r w:rsidR="007D789D">
        <w:rPr>
          <w:sz w:val="24"/>
          <w:szCs w:val="24"/>
        </w:rPr>
        <w:t>Shorrock, McManus and Kirby, 2020</w:t>
      </w:r>
      <w:r w:rsidR="00214AE9">
        <w:rPr>
          <w:sz w:val="24"/>
          <w:szCs w:val="24"/>
        </w:rPr>
        <w:t>)</w:t>
      </w:r>
      <w:r w:rsidR="006B4CA8">
        <w:rPr>
          <w:sz w:val="24"/>
          <w:szCs w:val="24"/>
        </w:rPr>
        <w:t>.</w:t>
      </w:r>
      <w:r w:rsidR="008845E0">
        <w:rPr>
          <w:sz w:val="24"/>
          <w:szCs w:val="24"/>
        </w:rPr>
        <w:t xml:space="preserve"> Repeat victimisation occurs when the same person (or place) suffers multiple incidents over a period</w:t>
      </w:r>
      <w:r w:rsidR="00FD52E0">
        <w:rPr>
          <w:sz w:val="24"/>
          <w:szCs w:val="24"/>
        </w:rPr>
        <w:t xml:space="preserve"> of twelve months</w:t>
      </w:r>
      <w:r w:rsidR="008845E0">
        <w:rPr>
          <w:sz w:val="24"/>
          <w:szCs w:val="24"/>
        </w:rPr>
        <w:t xml:space="preserve"> (Geurts, 2023).</w:t>
      </w:r>
      <w:r w:rsidR="006B4CA8">
        <w:rPr>
          <w:sz w:val="24"/>
          <w:szCs w:val="24"/>
        </w:rPr>
        <w:t xml:space="preserve"> Many cases exist which highlight the impact of mishandling such victims, causing </w:t>
      </w:r>
      <w:r w:rsidR="00234BC3">
        <w:rPr>
          <w:sz w:val="24"/>
          <w:szCs w:val="24"/>
        </w:rPr>
        <w:t>them to exhibit feelings for low-mood and even suicidal tendencies (</w:t>
      </w:r>
      <w:r w:rsidR="00E009EF">
        <w:rPr>
          <w:sz w:val="24"/>
          <w:szCs w:val="24"/>
        </w:rPr>
        <w:t>Williams et al., 2021</w:t>
      </w:r>
      <w:r w:rsidR="00234BC3">
        <w:rPr>
          <w:sz w:val="24"/>
          <w:szCs w:val="24"/>
        </w:rPr>
        <w:t>), as well as creating expensive and damaging questions for police forces to answer regarding their methods of dealing with vulnerable people (</w:t>
      </w:r>
      <w:r w:rsidR="00373A11">
        <w:rPr>
          <w:sz w:val="24"/>
          <w:szCs w:val="24"/>
        </w:rPr>
        <w:t>Nurse, 2020</w:t>
      </w:r>
      <w:r w:rsidR="00234BC3">
        <w:rPr>
          <w:sz w:val="24"/>
          <w:szCs w:val="24"/>
        </w:rPr>
        <w:t xml:space="preserve">). </w:t>
      </w:r>
      <w:r w:rsidR="006B4CA8">
        <w:rPr>
          <w:sz w:val="24"/>
          <w:szCs w:val="24"/>
        </w:rPr>
        <w:t>Therefore, it is of vital importance that proven methods are adopted and shared between police forces to provide a framewo</w:t>
      </w:r>
      <w:r w:rsidR="00214AE9">
        <w:rPr>
          <w:sz w:val="24"/>
          <w:szCs w:val="24"/>
        </w:rPr>
        <w:t>r</w:t>
      </w:r>
      <w:r w:rsidR="006B4CA8">
        <w:rPr>
          <w:sz w:val="24"/>
          <w:szCs w:val="24"/>
        </w:rPr>
        <w:t xml:space="preserve">k of methods that bear success and improve or eliminate </w:t>
      </w:r>
      <w:r w:rsidR="00214AE9">
        <w:rPr>
          <w:sz w:val="24"/>
          <w:szCs w:val="24"/>
        </w:rPr>
        <w:t xml:space="preserve">the </w:t>
      </w:r>
      <w:r w:rsidR="006B4CA8">
        <w:rPr>
          <w:sz w:val="24"/>
          <w:szCs w:val="24"/>
        </w:rPr>
        <w:t>methods that fail</w:t>
      </w:r>
      <w:r w:rsidR="00214AE9">
        <w:rPr>
          <w:sz w:val="24"/>
          <w:szCs w:val="24"/>
        </w:rPr>
        <w:t xml:space="preserve"> (</w:t>
      </w:r>
      <w:r w:rsidR="00A55C67">
        <w:rPr>
          <w:sz w:val="24"/>
          <w:szCs w:val="24"/>
        </w:rPr>
        <w:t>Davidson and Bifulco, 2009</w:t>
      </w:r>
      <w:r w:rsidR="00214AE9">
        <w:rPr>
          <w:sz w:val="24"/>
          <w:szCs w:val="24"/>
        </w:rPr>
        <w:t>)</w:t>
      </w:r>
      <w:r w:rsidR="00465F90">
        <w:rPr>
          <w:sz w:val="24"/>
          <w:szCs w:val="24"/>
        </w:rPr>
        <w:t>, and I attempted to utilise such methods throughout each of my interactions with the victim.</w:t>
      </w:r>
    </w:p>
    <w:p w14:paraId="0CD4C497" w14:textId="77777777" w:rsidR="00DD648E" w:rsidRDefault="00DD648E" w:rsidP="00211695">
      <w:pPr>
        <w:overflowPunct/>
        <w:autoSpaceDE/>
        <w:autoSpaceDN/>
        <w:adjustRightInd/>
        <w:textAlignment w:val="auto"/>
        <w:rPr>
          <w:sz w:val="24"/>
          <w:szCs w:val="24"/>
        </w:rPr>
      </w:pPr>
    </w:p>
    <w:p w14:paraId="17B0677F" w14:textId="7B5DB2D6" w:rsidR="00DD648E" w:rsidRDefault="00DD648E" w:rsidP="00211695">
      <w:pPr>
        <w:overflowPunct/>
        <w:autoSpaceDE/>
        <w:autoSpaceDN/>
        <w:adjustRightInd/>
        <w:textAlignment w:val="auto"/>
        <w:rPr>
          <w:sz w:val="24"/>
          <w:szCs w:val="24"/>
        </w:rPr>
      </w:pPr>
      <w:r>
        <w:rPr>
          <w:sz w:val="24"/>
          <w:szCs w:val="24"/>
        </w:rPr>
        <w:t>With reference to the complex investigation I referred to previously, my victim had very specific fears and concerns regarding the judicial process</w:t>
      </w:r>
      <w:r w:rsidR="008845E0">
        <w:rPr>
          <w:sz w:val="24"/>
          <w:szCs w:val="24"/>
        </w:rPr>
        <w:t>, and fears of becoming a repeat victim</w:t>
      </w:r>
      <w:r>
        <w:rPr>
          <w:sz w:val="24"/>
          <w:szCs w:val="24"/>
        </w:rPr>
        <w:t>; He feared primarily of repercussions and retribution from his attacker</w:t>
      </w:r>
      <w:r w:rsidR="008845E0">
        <w:rPr>
          <w:sz w:val="24"/>
          <w:szCs w:val="24"/>
        </w:rPr>
        <w:t xml:space="preserve"> or his friends</w:t>
      </w:r>
      <w:r>
        <w:rPr>
          <w:sz w:val="24"/>
          <w:szCs w:val="24"/>
        </w:rPr>
        <w:t xml:space="preserve"> should he continue with the court process</w:t>
      </w:r>
      <w:r w:rsidR="00EF03AB">
        <w:rPr>
          <w:sz w:val="24"/>
          <w:szCs w:val="24"/>
        </w:rPr>
        <w:t>,</w:t>
      </w:r>
      <w:r>
        <w:rPr>
          <w:sz w:val="24"/>
          <w:szCs w:val="24"/>
        </w:rPr>
        <w:t xml:space="preserve"> which is widely regarded as a primary reason for the retraction of victim complaints</w:t>
      </w:r>
      <w:r w:rsidR="00EF03AB">
        <w:rPr>
          <w:sz w:val="24"/>
          <w:szCs w:val="24"/>
        </w:rPr>
        <w:t xml:space="preserve"> (</w:t>
      </w:r>
      <w:r w:rsidR="0051015C" w:rsidRPr="0051015C">
        <w:rPr>
          <w:sz w:val="24"/>
          <w:szCs w:val="24"/>
        </w:rPr>
        <w:t>Alcantud, Carreras, García and Gallart, 2021</w:t>
      </w:r>
      <w:r w:rsidR="00EF03AB">
        <w:rPr>
          <w:sz w:val="24"/>
          <w:szCs w:val="24"/>
        </w:rPr>
        <w:t xml:space="preserve">). He </w:t>
      </w:r>
      <w:r w:rsidR="00085F1D">
        <w:rPr>
          <w:sz w:val="24"/>
          <w:szCs w:val="24"/>
        </w:rPr>
        <w:t xml:space="preserve">also </w:t>
      </w:r>
      <w:r w:rsidR="00EF03AB">
        <w:rPr>
          <w:sz w:val="24"/>
          <w:szCs w:val="24"/>
        </w:rPr>
        <w:t>feared that, due to his ethnicity (mixed Asian background), that he may have been targeted due to this, and that this theme would continue throughout his life going forward</w:t>
      </w:r>
      <w:r w:rsidR="00085F1D">
        <w:rPr>
          <w:sz w:val="24"/>
          <w:szCs w:val="24"/>
        </w:rPr>
        <w:t>, a fear also supported by literature</w:t>
      </w:r>
      <w:r w:rsidR="008845E0">
        <w:rPr>
          <w:sz w:val="24"/>
          <w:szCs w:val="24"/>
        </w:rPr>
        <w:t xml:space="preserve"> with regard to hate crime and its correlation with repeat victimisation</w:t>
      </w:r>
      <w:r w:rsidR="00085F1D">
        <w:rPr>
          <w:sz w:val="24"/>
          <w:szCs w:val="24"/>
        </w:rPr>
        <w:t xml:space="preserve"> </w:t>
      </w:r>
      <w:r w:rsidR="00EF03AB">
        <w:rPr>
          <w:sz w:val="24"/>
          <w:szCs w:val="24"/>
        </w:rPr>
        <w:t>(</w:t>
      </w:r>
      <w:r w:rsidR="0051015C" w:rsidRPr="0051015C">
        <w:rPr>
          <w:sz w:val="24"/>
          <w:szCs w:val="24"/>
        </w:rPr>
        <w:t>Xu</w:t>
      </w:r>
      <w:r w:rsidR="0051015C">
        <w:rPr>
          <w:sz w:val="24"/>
          <w:szCs w:val="24"/>
        </w:rPr>
        <w:t xml:space="preserve">, </w:t>
      </w:r>
      <w:r w:rsidR="0051015C" w:rsidRPr="0051015C">
        <w:rPr>
          <w:sz w:val="24"/>
          <w:szCs w:val="24"/>
        </w:rPr>
        <w:t xml:space="preserve">Macrynikola, Waseem, </w:t>
      </w:r>
      <w:r w:rsidR="0051015C">
        <w:rPr>
          <w:sz w:val="24"/>
          <w:szCs w:val="24"/>
        </w:rPr>
        <w:t xml:space="preserve">and </w:t>
      </w:r>
      <w:r w:rsidR="0051015C" w:rsidRPr="0051015C">
        <w:rPr>
          <w:sz w:val="24"/>
          <w:szCs w:val="24"/>
        </w:rPr>
        <w:t>Miranda, 2020</w:t>
      </w:r>
      <w:r w:rsidR="00EF03AB">
        <w:rPr>
          <w:sz w:val="24"/>
          <w:szCs w:val="24"/>
        </w:rPr>
        <w:t>).</w:t>
      </w:r>
      <w:r w:rsidR="00085F1D">
        <w:rPr>
          <w:sz w:val="24"/>
          <w:szCs w:val="24"/>
        </w:rPr>
        <w:t xml:space="preserve"> Furthermore, he believed</w:t>
      </w:r>
      <w:r w:rsidR="008845E0">
        <w:rPr>
          <w:sz w:val="24"/>
          <w:szCs w:val="24"/>
        </w:rPr>
        <w:t xml:space="preserve"> </w:t>
      </w:r>
      <w:r w:rsidR="00085F1D">
        <w:rPr>
          <w:sz w:val="24"/>
          <w:szCs w:val="24"/>
        </w:rPr>
        <w:t>due to the fact that he did not retaliate at the time of the assault and subsequently spoke to police instead, that he would be thought of as weak amongst his peers and be targeted or bullied repeatedly going forward</w:t>
      </w:r>
      <w:r w:rsidR="00465F90">
        <w:rPr>
          <w:sz w:val="24"/>
          <w:szCs w:val="24"/>
        </w:rPr>
        <w:t>, particularly as he had a tendency to wander off whilst out and separate from his friends</w:t>
      </w:r>
      <w:r w:rsidR="00085F1D">
        <w:rPr>
          <w:sz w:val="24"/>
          <w:szCs w:val="24"/>
        </w:rPr>
        <w:t>. Victimology, the study of victimisation, suggests that amongst the reasons people become repeat victims is a perceived weakness or vulnerability, whether known or not (</w:t>
      </w:r>
      <w:r w:rsidR="003E2098">
        <w:rPr>
          <w:sz w:val="24"/>
          <w:szCs w:val="24"/>
        </w:rPr>
        <w:t>Heimann, 2022</w:t>
      </w:r>
      <w:r w:rsidR="002A3B4B">
        <w:rPr>
          <w:sz w:val="24"/>
          <w:szCs w:val="24"/>
        </w:rPr>
        <w:t>). The Routine Activity Theory (</w:t>
      </w:r>
      <w:r w:rsidR="00C07B81">
        <w:rPr>
          <w:sz w:val="24"/>
          <w:szCs w:val="24"/>
        </w:rPr>
        <w:t>Schaefer, 2021</w:t>
      </w:r>
      <w:r w:rsidR="002A3B4B">
        <w:rPr>
          <w:sz w:val="24"/>
          <w:szCs w:val="24"/>
        </w:rPr>
        <w:t>) and Lifestyle Theory (</w:t>
      </w:r>
      <w:r w:rsidR="0000351E">
        <w:rPr>
          <w:sz w:val="24"/>
          <w:szCs w:val="24"/>
        </w:rPr>
        <w:t>Hayes and Maher, 2024)</w:t>
      </w:r>
      <w:r w:rsidR="002A3B4B">
        <w:rPr>
          <w:sz w:val="24"/>
          <w:szCs w:val="24"/>
        </w:rPr>
        <w:t xml:space="preserve"> of victimisation loosely add credibility to the</w:t>
      </w:r>
      <w:r w:rsidR="008845E0">
        <w:rPr>
          <w:sz w:val="24"/>
          <w:szCs w:val="24"/>
        </w:rPr>
        <w:t xml:space="preserve"> victim’s</w:t>
      </w:r>
      <w:r w:rsidR="002A3B4B">
        <w:rPr>
          <w:sz w:val="24"/>
          <w:szCs w:val="24"/>
        </w:rPr>
        <w:t xml:space="preserve"> fears and suggest that a combination of the victim frequenting nightclubs on his own in the absence of </w:t>
      </w:r>
      <w:r w:rsidR="002A3B4B">
        <w:rPr>
          <w:sz w:val="24"/>
          <w:szCs w:val="24"/>
        </w:rPr>
        <w:lastRenderedPageBreak/>
        <w:t>guardians (his peers), coupled with motivated offenders – particularly if, as in this case, there may be racist connotations to the assault – may lead to further</w:t>
      </w:r>
      <w:r w:rsidR="008845E0">
        <w:rPr>
          <w:sz w:val="24"/>
          <w:szCs w:val="24"/>
        </w:rPr>
        <w:t xml:space="preserve"> or repeat</w:t>
      </w:r>
      <w:r w:rsidR="002A3B4B">
        <w:rPr>
          <w:sz w:val="24"/>
          <w:szCs w:val="24"/>
        </w:rPr>
        <w:t xml:space="preserve"> victimisation (</w:t>
      </w:r>
      <w:r w:rsidR="0000351E">
        <w:rPr>
          <w:sz w:val="24"/>
          <w:szCs w:val="24"/>
        </w:rPr>
        <w:t>Azimi and Daigle, 2021</w:t>
      </w:r>
      <w:r w:rsidR="002A3B4B">
        <w:rPr>
          <w:sz w:val="24"/>
          <w:szCs w:val="24"/>
        </w:rPr>
        <w:t xml:space="preserve">).  </w:t>
      </w:r>
    </w:p>
    <w:p w14:paraId="6A796C66" w14:textId="77777777" w:rsidR="008037AB" w:rsidRDefault="008037AB" w:rsidP="00211695">
      <w:pPr>
        <w:overflowPunct/>
        <w:autoSpaceDE/>
        <w:autoSpaceDN/>
        <w:adjustRightInd/>
        <w:textAlignment w:val="auto"/>
        <w:rPr>
          <w:sz w:val="24"/>
          <w:szCs w:val="24"/>
        </w:rPr>
      </w:pPr>
    </w:p>
    <w:p w14:paraId="1E35EE34" w14:textId="20C43B03" w:rsidR="002440E0" w:rsidRDefault="0000351E" w:rsidP="002440E0">
      <w:pPr>
        <w:overflowPunct/>
        <w:autoSpaceDE/>
        <w:autoSpaceDN/>
        <w:adjustRightInd/>
        <w:textAlignment w:val="auto"/>
        <w:rPr>
          <w:sz w:val="24"/>
          <w:szCs w:val="24"/>
        </w:rPr>
      </w:pPr>
      <w:r>
        <w:rPr>
          <w:sz w:val="24"/>
          <w:szCs w:val="24"/>
        </w:rPr>
        <w:t>Addressing these fears directly would be the best possible way for me to personally prevent repeat victimisation and alleviate my victim’s fears. To do this, I needed to evaluate and implement one or more of the d</w:t>
      </w:r>
      <w:r w:rsidR="006B4CA8">
        <w:rPr>
          <w:sz w:val="24"/>
          <w:szCs w:val="24"/>
        </w:rPr>
        <w:t>iffering</w:t>
      </w:r>
      <w:r w:rsidR="002512A0" w:rsidRPr="002512A0">
        <w:rPr>
          <w:sz w:val="24"/>
          <w:szCs w:val="24"/>
        </w:rPr>
        <w:t xml:space="preserve"> strategies</w:t>
      </w:r>
      <w:r>
        <w:rPr>
          <w:sz w:val="24"/>
          <w:szCs w:val="24"/>
        </w:rPr>
        <w:t xml:space="preserve"> that</w:t>
      </w:r>
      <w:r w:rsidR="002512A0" w:rsidRPr="002512A0">
        <w:rPr>
          <w:sz w:val="24"/>
          <w:szCs w:val="24"/>
        </w:rPr>
        <w:t xml:space="preserve"> have been </w:t>
      </w:r>
      <w:r w:rsidR="006B4CA8">
        <w:rPr>
          <w:sz w:val="24"/>
          <w:szCs w:val="24"/>
        </w:rPr>
        <w:t>created</w:t>
      </w:r>
      <w:r w:rsidR="002512A0" w:rsidRPr="002512A0">
        <w:rPr>
          <w:sz w:val="24"/>
          <w:szCs w:val="24"/>
        </w:rPr>
        <w:t xml:space="preserve"> and implemented to aid vulnerable</w:t>
      </w:r>
      <w:r w:rsidR="006B4CA8">
        <w:rPr>
          <w:sz w:val="24"/>
          <w:szCs w:val="24"/>
        </w:rPr>
        <w:t xml:space="preserve"> or repeat</w:t>
      </w:r>
      <w:r w:rsidR="002512A0" w:rsidRPr="002512A0">
        <w:rPr>
          <w:sz w:val="24"/>
          <w:szCs w:val="24"/>
        </w:rPr>
        <w:t xml:space="preserve"> victims of crime, each </w:t>
      </w:r>
      <w:r w:rsidR="006B4CA8">
        <w:rPr>
          <w:sz w:val="24"/>
          <w:szCs w:val="24"/>
        </w:rPr>
        <w:t>with</w:t>
      </w:r>
      <w:r w:rsidR="002512A0" w:rsidRPr="002512A0">
        <w:rPr>
          <w:sz w:val="24"/>
          <w:szCs w:val="24"/>
        </w:rPr>
        <w:t xml:space="preserve"> its own </w:t>
      </w:r>
      <w:r w:rsidR="006B4CA8">
        <w:rPr>
          <w:sz w:val="24"/>
          <w:szCs w:val="24"/>
        </w:rPr>
        <w:t>s</w:t>
      </w:r>
      <w:r w:rsidR="002512A0" w:rsidRPr="002512A0">
        <w:rPr>
          <w:sz w:val="24"/>
          <w:szCs w:val="24"/>
        </w:rPr>
        <w:t>trengths, weaknesses, and ethical considerations</w:t>
      </w:r>
      <w:r w:rsidR="00BB01F5">
        <w:rPr>
          <w:sz w:val="24"/>
          <w:szCs w:val="24"/>
        </w:rPr>
        <w:t xml:space="preserve"> (</w:t>
      </w:r>
      <w:r w:rsidR="00A55C67">
        <w:rPr>
          <w:sz w:val="24"/>
          <w:szCs w:val="24"/>
        </w:rPr>
        <w:t>Farrell and Pease, 2013</w:t>
      </w:r>
      <w:r w:rsidR="00BB01F5">
        <w:rPr>
          <w:sz w:val="24"/>
          <w:szCs w:val="24"/>
        </w:rPr>
        <w:t>)</w:t>
      </w:r>
      <w:r w:rsidR="002512A0" w:rsidRPr="002512A0">
        <w:rPr>
          <w:sz w:val="24"/>
          <w:szCs w:val="24"/>
        </w:rPr>
        <w:t xml:space="preserve">. Among these approaches, one </w:t>
      </w:r>
      <w:r w:rsidR="00BB01F5">
        <w:rPr>
          <w:sz w:val="24"/>
          <w:szCs w:val="24"/>
        </w:rPr>
        <w:t xml:space="preserve">such method </w:t>
      </w:r>
      <w:r w:rsidR="002512A0" w:rsidRPr="002512A0">
        <w:rPr>
          <w:sz w:val="24"/>
          <w:szCs w:val="24"/>
        </w:rPr>
        <w:t xml:space="preserve">is the provision of </w:t>
      </w:r>
      <w:r w:rsidR="00BB01F5">
        <w:rPr>
          <w:sz w:val="24"/>
          <w:szCs w:val="24"/>
        </w:rPr>
        <w:t>professional</w:t>
      </w:r>
      <w:r w:rsidR="002512A0" w:rsidRPr="002512A0">
        <w:rPr>
          <w:sz w:val="24"/>
          <w:szCs w:val="24"/>
        </w:rPr>
        <w:t xml:space="preserve"> support services </w:t>
      </w:r>
      <w:r w:rsidR="00CC6E62">
        <w:rPr>
          <w:sz w:val="24"/>
          <w:szCs w:val="24"/>
        </w:rPr>
        <w:t>which are holistic in their approach, and consider unique perspectives and issues when dealing with individuals in a personal way (</w:t>
      </w:r>
      <w:r w:rsidR="00A55C67">
        <w:rPr>
          <w:sz w:val="24"/>
          <w:szCs w:val="24"/>
        </w:rPr>
        <w:t>Finn, 2013</w:t>
      </w:r>
      <w:r w:rsidR="00CC6E62">
        <w:rPr>
          <w:sz w:val="24"/>
          <w:szCs w:val="24"/>
        </w:rPr>
        <w:t>). Support can be provided in many different ways,</w:t>
      </w:r>
      <w:r w:rsidR="002512A0" w:rsidRPr="002512A0">
        <w:rPr>
          <w:sz w:val="24"/>
          <w:szCs w:val="24"/>
        </w:rPr>
        <w:t xml:space="preserve"> ranging from </w:t>
      </w:r>
      <w:r w:rsidR="00CC6E62">
        <w:rPr>
          <w:sz w:val="24"/>
          <w:szCs w:val="24"/>
        </w:rPr>
        <w:t xml:space="preserve">psychiatric </w:t>
      </w:r>
      <w:r w:rsidR="002512A0" w:rsidRPr="002512A0">
        <w:rPr>
          <w:sz w:val="24"/>
          <w:szCs w:val="24"/>
        </w:rPr>
        <w:t>counsel</w:t>
      </w:r>
      <w:r w:rsidR="002512A0">
        <w:rPr>
          <w:sz w:val="24"/>
          <w:szCs w:val="24"/>
        </w:rPr>
        <w:t>l</w:t>
      </w:r>
      <w:r w:rsidR="002512A0" w:rsidRPr="002512A0">
        <w:rPr>
          <w:sz w:val="24"/>
          <w:szCs w:val="24"/>
        </w:rPr>
        <w:t xml:space="preserve">ing and legal </w:t>
      </w:r>
      <w:r w:rsidR="00CC6E62">
        <w:rPr>
          <w:sz w:val="24"/>
          <w:szCs w:val="24"/>
        </w:rPr>
        <w:t>advice,</w:t>
      </w:r>
      <w:r w:rsidR="002512A0" w:rsidRPr="002512A0">
        <w:rPr>
          <w:sz w:val="24"/>
          <w:szCs w:val="24"/>
        </w:rPr>
        <w:t xml:space="preserve"> to </w:t>
      </w:r>
      <w:r w:rsidR="00CC6E62">
        <w:rPr>
          <w:sz w:val="24"/>
          <w:szCs w:val="24"/>
        </w:rPr>
        <w:t xml:space="preserve">a more </w:t>
      </w:r>
      <w:r w:rsidR="002512A0" w:rsidRPr="002512A0">
        <w:rPr>
          <w:sz w:val="24"/>
          <w:szCs w:val="24"/>
        </w:rPr>
        <w:t xml:space="preserve">practical </w:t>
      </w:r>
      <w:r w:rsidR="00CC6E62">
        <w:rPr>
          <w:sz w:val="24"/>
          <w:szCs w:val="24"/>
        </w:rPr>
        <w:t>approach with support for housing or educational needs (</w:t>
      </w:r>
      <w:r w:rsidR="001A1138">
        <w:rPr>
          <w:sz w:val="24"/>
          <w:szCs w:val="24"/>
        </w:rPr>
        <w:t>Wedlock and Tapley, 2016</w:t>
      </w:r>
      <w:r w:rsidR="00CC6E62">
        <w:rPr>
          <w:sz w:val="24"/>
          <w:szCs w:val="24"/>
        </w:rPr>
        <w:t>)</w:t>
      </w:r>
      <w:r w:rsidR="002512A0" w:rsidRPr="002512A0">
        <w:rPr>
          <w:sz w:val="24"/>
          <w:szCs w:val="24"/>
        </w:rPr>
        <w:t xml:space="preserve">. By offering </w:t>
      </w:r>
      <w:r w:rsidR="00CC6E62">
        <w:rPr>
          <w:sz w:val="24"/>
          <w:szCs w:val="24"/>
        </w:rPr>
        <w:t>said</w:t>
      </w:r>
      <w:r w:rsidR="002512A0" w:rsidRPr="002512A0">
        <w:rPr>
          <w:sz w:val="24"/>
          <w:szCs w:val="24"/>
        </w:rPr>
        <w:t xml:space="preserve"> holistic support, victims</w:t>
      </w:r>
      <w:r w:rsidR="00CC6E62">
        <w:rPr>
          <w:sz w:val="24"/>
          <w:szCs w:val="24"/>
        </w:rPr>
        <w:t xml:space="preserve"> are more likely to feel empowered, engage more positively and proactively, and - most importantly – recover in a healthy way from their ordeal (</w:t>
      </w:r>
      <w:r w:rsidR="001A1138">
        <w:rPr>
          <w:sz w:val="24"/>
          <w:szCs w:val="24"/>
        </w:rPr>
        <w:t>Spalek, 2017</w:t>
      </w:r>
      <w:r w:rsidR="00CC6E62">
        <w:rPr>
          <w:sz w:val="24"/>
          <w:szCs w:val="24"/>
        </w:rPr>
        <w:t>).</w:t>
      </w:r>
      <w:r w:rsidR="004E739F">
        <w:rPr>
          <w:sz w:val="24"/>
          <w:szCs w:val="24"/>
        </w:rPr>
        <w:t xml:space="preserve"> </w:t>
      </w:r>
      <w:r w:rsidR="002440E0" w:rsidRPr="002512A0">
        <w:rPr>
          <w:sz w:val="24"/>
          <w:szCs w:val="24"/>
        </w:rPr>
        <w:t xml:space="preserve">Another </w:t>
      </w:r>
      <w:r w:rsidR="002440E0">
        <w:rPr>
          <w:sz w:val="24"/>
          <w:szCs w:val="24"/>
        </w:rPr>
        <w:t xml:space="preserve">regular </w:t>
      </w:r>
      <w:r w:rsidR="002440E0" w:rsidRPr="002512A0">
        <w:rPr>
          <w:sz w:val="24"/>
          <w:szCs w:val="24"/>
        </w:rPr>
        <w:t xml:space="preserve">approach involves the </w:t>
      </w:r>
      <w:r w:rsidR="002440E0">
        <w:rPr>
          <w:sz w:val="24"/>
          <w:szCs w:val="24"/>
        </w:rPr>
        <w:t>use</w:t>
      </w:r>
      <w:r w:rsidR="002440E0" w:rsidRPr="002512A0">
        <w:rPr>
          <w:sz w:val="24"/>
          <w:szCs w:val="24"/>
        </w:rPr>
        <w:t xml:space="preserve"> of </w:t>
      </w:r>
      <w:r w:rsidR="002440E0">
        <w:rPr>
          <w:sz w:val="24"/>
          <w:szCs w:val="24"/>
        </w:rPr>
        <w:t>dedicated “V</w:t>
      </w:r>
      <w:r w:rsidR="002440E0" w:rsidRPr="002512A0">
        <w:rPr>
          <w:sz w:val="24"/>
          <w:szCs w:val="24"/>
        </w:rPr>
        <w:t>ictim support</w:t>
      </w:r>
      <w:r w:rsidR="002440E0">
        <w:rPr>
          <w:sz w:val="24"/>
          <w:szCs w:val="24"/>
        </w:rPr>
        <w:t>” services</w:t>
      </w:r>
      <w:r w:rsidR="002440E0" w:rsidRPr="002512A0">
        <w:rPr>
          <w:sz w:val="24"/>
          <w:szCs w:val="24"/>
        </w:rPr>
        <w:t xml:space="preserve"> </w:t>
      </w:r>
      <w:r w:rsidR="002440E0">
        <w:rPr>
          <w:sz w:val="24"/>
          <w:szCs w:val="24"/>
        </w:rPr>
        <w:t>to aid individuals in navigating the daunting criminal justice process (Sanders and Jones, 2012), including going to court, what to expect at court, explanation of special measures to aid them in providing their best evidence whilst feeling as comfortable as possible in what is often an uncomfortable situation (Hester and Lilley, 2018)</w:t>
      </w:r>
      <w:r w:rsidR="002440E0" w:rsidRPr="002512A0">
        <w:rPr>
          <w:sz w:val="24"/>
          <w:szCs w:val="24"/>
        </w:rPr>
        <w:t xml:space="preserve">. </w:t>
      </w:r>
      <w:r w:rsidR="002440E0">
        <w:rPr>
          <w:sz w:val="24"/>
          <w:szCs w:val="24"/>
        </w:rPr>
        <w:t>This method aims</w:t>
      </w:r>
      <w:r w:rsidR="002440E0" w:rsidRPr="002512A0">
        <w:rPr>
          <w:sz w:val="24"/>
          <w:szCs w:val="24"/>
        </w:rPr>
        <w:t xml:space="preserve"> to </w:t>
      </w:r>
      <w:r w:rsidR="002440E0">
        <w:rPr>
          <w:sz w:val="24"/>
          <w:szCs w:val="24"/>
        </w:rPr>
        <w:t>improve a victim’s understanding, comfort and belief, and therefore</w:t>
      </w:r>
      <w:r w:rsidR="002440E0" w:rsidRPr="002512A0">
        <w:rPr>
          <w:sz w:val="24"/>
          <w:szCs w:val="24"/>
        </w:rPr>
        <w:t xml:space="preserve"> their</w:t>
      </w:r>
      <w:r w:rsidR="002440E0">
        <w:rPr>
          <w:sz w:val="24"/>
          <w:szCs w:val="24"/>
        </w:rPr>
        <w:t xml:space="preserve"> en</w:t>
      </w:r>
      <w:r w:rsidR="002440E0" w:rsidRPr="002512A0">
        <w:rPr>
          <w:sz w:val="24"/>
          <w:szCs w:val="24"/>
        </w:rPr>
        <w:t xml:space="preserve">gagement throughout the </w:t>
      </w:r>
      <w:r w:rsidR="002440E0">
        <w:rPr>
          <w:sz w:val="24"/>
          <w:szCs w:val="24"/>
        </w:rPr>
        <w:t>criminal and judicial</w:t>
      </w:r>
      <w:r w:rsidR="002440E0" w:rsidRPr="002512A0">
        <w:rPr>
          <w:sz w:val="24"/>
          <w:szCs w:val="24"/>
        </w:rPr>
        <w:t xml:space="preserve"> process</w:t>
      </w:r>
      <w:r w:rsidR="002440E0">
        <w:rPr>
          <w:sz w:val="24"/>
          <w:szCs w:val="24"/>
        </w:rPr>
        <w:t>, and is often achieved by encouraging and empowering the effective deployment of</w:t>
      </w:r>
      <w:r w:rsidR="002440E0" w:rsidRPr="002512A0">
        <w:rPr>
          <w:sz w:val="24"/>
          <w:szCs w:val="24"/>
        </w:rPr>
        <w:t xml:space="preserve"> victim impact statements</w:t>
      </w:r>
      <w:r w:rsidR="002440E0">
        <w:rPr>
          <w:sz w:val="24"/>
          <w:szCs w:val="24"/>
        </w:rPr>
        <w:t xml:space="preserve"> (Cleghorn, 2023)</w:t>
      </w:r>
      <w:r w:rsidR="002440E0" w:rsidRPr="002512A0">
        <w:rPr>
          <w:sz w:val="24"/>
          <w:szCs w:val="24"/>
        </w:rPr>
        <w:t xml:space="preserve">, </w:t>
      </w:r>
      <w:r w:rsidR="002440E0">
        <w:rPr>
          <w:sz w:val="24"/>
          <w:szCs w:val="24"/>
        </w:rPr>
        <w:t>explaining and utilising special measures (Metson and Willmott, 2024), and ensuring the provision of “best evidence” (</w:t>
      </w:r>
      <w:r w:rsidR="003C2489">
        <w:rPr>
          <w:sz w:val="24"/>
          <w:szCs w:val="24"/>
        </w:rPr>
        <w:t>Macpherson, 2001</w:t>
      </w:r>
      <w:r w:rsidR="002440E0">
        <w:rPr>
          <w:sz w:val="24"/>
          <w:szCs w:val="24"/>
        </w:rPr>
        <w:t>).</w:t>
      </w:r>
    </w:p>
    <w:p w14:paraId="205AC799" w14:textId="17FD51B9" w:rsidR="00970228" w:rsidRDefault="00392A5F" w:rsidP="00211695">
      <w:pPr>
        <w:overflowPunct/>
        <w:autoSpaceDE/>
        <w:autoSpaceDN/>
        <w:adjustRightInd/>
        <w:textAlignment w:val="auto"/>
        <w:rPr>
          <w:sz w:val="24"/>
          <w:szCs w:val="24"/>
        </w:rPr>
      </w:pPr>
      <w:r>
        <w:rPr>
          <w:sz w:val="24"/>
          <w:szCs w:val="24"/>
        </w:rPr>
        <w:t xml:space="preserve">The National Police Chief’s Council’s (NPCC) has </w:t>
      </w:r>
      <w:r w:rsidR="00A87714">
        <w:rPr>
          <w:sz w:val="24"/>
          <w:szCs w:val="24"/>
        </w:rPr>
        <w:t xml:space="preserve">also </w:t>
      </w:r>
      <w:r>
        <w:rPr>
          <w:sz w:val="24"/>
          <w:szCs w:val="24"/>
        </w:rPr>
        <w:t>identified seven key themes when delivering a service to vulnerable individuals</w:t>
      </w:r>
      <w:r w:rsidR="00A87714">
        <w:rPr>
          <w:sz w:val="24"/>
          <w:szCs w:val="24"/>
        </w:rPr>
        <w:t xml:space="preserve"> within its “National Action Plan”</w:t>
      </w:r>
      <w:r>
        <w:rPr>
          <w:sz w:val="24"/>
          <w:szCs w:val="24"/>
        </w:rPr>
        <w:t>; Two of which being “early intervention and protection”, and “Protecting, supporting, safeguarding and managing risk” (</w:t>
      </w:r>
      <w:r w:rsidR="00924F1D">
        <w:rPr>
          <w:sz w:val="24"/>
          <w:szCs w:val="24"/>
        </w:rPr>
        <w:t>College of policing, 2023</w:t>
      </w:r>
      <w:r>
        <w:rPr>
          <w:sz w:val="24"/>
          <w:szCs w:val="24"/>
        </w:rPr>
        <w:t>)</w:t>
      </w:r>
      <w:r w:rsidR="00BE1199">
        <w:rPr>
          <w:sz w:val="24"/>
          <w:szCs w:val="24"/>
        </w:rPr>
        <w:t>, which both support the aforementioned approaches and their efficacy</w:t>
      </w:r>
      <w:r>
        <w:rPr>
          <w:sz w:val="24"/>
          <w:szCs w:val="24"/>
        </w:rPr>
        <w:t xml:space="preserve">. </w:t>
      </w:r>
      <w:r w:rsidR="00A87714">
        <w:rPr>
          <w:sz w:val="24"/>
          <w:szCs w:val="24"/>
        </w:rPr>
        <w:t xml:space="preserve">I utilised both of these themes </w:t>
      </w:r>
      <w:r w:rsidR="002440E0">
        <w:rPr>
          <w:sz w:val="24"/>
          <w:szCs w:val="24"/>
        </w:rPr>
        <w:t xml:space="preserve">in combination with both of the above approaches </w:t>
      </w:r>
      <w:r w:rsidR="00A87714">
        <w:rPr>
          <w:sz w:val="24"/>
          <w:szCs w:val="24"/>
        </w:rPr>
        <w:t>immediately when communicating with my victim, ensuring that his voice was heard at the earliest opportunity</w:t>
      </w:r>
      <w:r w:rsidR="00BE1199">
        <w:rPr>
          <w:sz w:val="24"/>
          <w:szCs w:val="24"/>
        </w:rPr>
        <w:t xml:space="preserve"> by meeting with him personally and having an informal discussion with him prior to discussing the incident. I ensured</w:t>
      </w:r>
      <w:r w:rsidR="00A87714">
        <w:rPr>
          <w:sz w:val="24"/>
          <w:szCs w:val="24"/>
        </w:rPr>
        <w:t xml:space="preserve"> his thoughts</w:t>
      </w:r>
      <w:r w:rsidR="00BE1199">
        <w:rPr>
          <w:sz w:val="24"/>
          <w:szCs w:val="24"/>
        </w:rPr>
        <w:t xml:space="preserve"> and concerns were</w:t>
      </w:r>
      <w:r w:rsidR="00A87714">
        <w:rPr>
          <w:sz w:val="24"/>
          <w:szCs w:val="24"/>
        </w:rPr>
        <w:t xml:space="preserve"> expressed candidly, and ensur</w:t>
      </w:r>
      <w:r w:rsidR="00BE1199">
        <w:rPr>
          <w:sz w:val="24"/>
          <w:szCs w:val="24"/>
        </w:rPr>
        <w:t>ed</w:t>
      </w:r>
      <w:r w:rsidR="00A87714">
        <w:rPr>
          <w:sz w:val="24"/>
          <w:szCs w:val="24"/>
        </w:rPr>
        <w:t xml:space="preserve"> a support network was in place for him from our first meeting </w:t>
      </w:r>
      <w:r w:rsidR="00BE1199">
        <w:rPr>
          <w:sz w:val="24"/>
          <w:szCs w:val="24"/>
        </w:rPr>
        <w:t xml:space="preserve">onwards </w:t>
      </w:r>
      <w:r w:rsidR="00A87714">
        <w:rPr>
          <w:sz w:val="24"/>
          <w:szCs w:val="24"/>
        </w:rPr>
        <w:t xml:space="preserve">which consisted of a very supportive and loving family, as well as ensuring a multi-agency plan was put in place to assist him through the process from the first day. </w:t>
      </w:r>
      <w:r w:rsidR="00BE1199">
        <w:rPr>
          <w:sz w:val="24"/>
          <w:szCs w:val="24"/>
        </w:rPr>
        <w:t>I achieved this through contacting “Victim support” and by submitting a “Victim Focus Referral” outlining his concerns and expectations, and ensured that the relevant professionals made contact with him in good time to discuss his needs further. I also maintained frequent contact with the victim via my work phone and emails and made myself available to him at all times despite working hours, as I deemed this to be of great importance to him, and felt that he reciprocated well to receiving such a personal approach to his concerns.</w:t>
      </w:r>
    </w:p>
    <w:p w14:paraId="1B31298A" w14:textId="77777777" w:rsidR="00970228" w:rsidRDefault="00970228" w:rsidP="00211695">
      <w:pPr>
        <w:overflowPunct/>
        <w:autoSpaceDE/>
        <w:autoSpaceDN/>
        <w:adjustRightInd/>
        <w:textAlignment w:val="auto"/>
        <w:rPr>
          <w:sz w:val="24"/>
          <w:szCs w:val="24"/>
        </w:rPr>
      </w:pPr>
    </w:p>
    <w:p w14:paraId="00DF60C8" w14:textId="31EDD76E" w:rsidR="00313F09" w:rsidRDefault="00313F09" w:rsidP="00211695">
      <w:pPr>
        <w:overflowPunct/>
        <w:autoSpaceDE/>
        <w:autoSpaceDN/>
        <w:adjustRightInd/>
        <w:textAlignment w:val="auto"/>
        <w:rPr>
          <w:sz w:val="24"/>
          <w:szCs w:val="24"/>
        </w:rPr>
      </w:pPr>
      <w:r>
        <w:rPr>
          <w:sz w:val="24"/>
          <w:szCs w:val="24"/>
        </w:rPr>
        <w:t>Whilst dealing with victims in this way is extremely important, it is also equally important to consider the suspect and methods of offender management, to enable effective and robust rehabilitation and adequate justice for both parties (</w:t>
      </w:r>
      <w:r w:rsidR="00192320">
        <w:rPr>
          <w:sz w:val="24"/>
          <w:szCs w:val="24"/>
        </w:rPr>
        <w:t xml:space="preserve">Pooley, </w:t>
      </w:r>
      <w:r w:rsidR="00192320">
        <w:rPr>
          <w:sz w:val="24"/>
          <w:szCs w:val="24"/>
        </w:rPr>
        <w:lastRenderedPageBreak/>
        <w:t>2020</w:t>
      </w:r>
      <w:r>
        <w:rPr>
          <w:sz w:val="24"/>
          <w:szCs w:val="24"/>
        </w:rPr>
        <w:t>). The suspect in this investigation was also a young male who had a troubled upbringing, and so a specific approach was needed in order to ensure his compliance and not risk alienating him further from the judicial system. Strain Theory suggests that young offenders such as this are likely to offend due to increasing pressure from their peers and perceived self in the wider world</w:t>
      </w:r>
      <w:r w:rsidR="00192320">
        <w:rPr>
          <w:sz w:val="24"/>
          <w:szCs w:val="24"/>
        </w:rPr>
        <w:t xml:space="preserve"> (Kushner and Fagan, 2023)</w:t>
      </w:r>
      <w:r>
        <w:rPr>
          <w:sz w:val="24"/>
          <w:szCs w:val="24"/>
        </w:rPr>
        <w:t>; requiring to impress others, achieve an increase in reputation or material gain, for example. It i</w:t>
      </w:r>
      <w:r w:rsidR="00192320">
        <w:rPr>
          <w:sz w:val="24"/>
          <w:szCs w:val="24"/>
        </w:rPr>
        <w:t>s</w:t>
      </w:r>
      <w:r>
        <w:rPr>
          <w:sz w:val="24"/>
          <w:szCs w:val="24"/>
        </w:rPr>
        <w:t xml:space="preserve"> important to recognise the driving factors that lead individuals to offending, and to work holistically at alleviating and combating those specific triggers</w:t>
      </w:r>
      <w:r w:rsidR="00192320">
        <w:rPr>
          <w:sz w:val="24"/>
          <w:szCs w:val="24"/>
        </w:rPr>
        <w:t xml:space="preserve"> in order to protect them and others from the risks associated with repeat offending, or repeat victimisation.</w:t>
      </w:r>
    </w:p>
    <w:p w14:paraId="4A8439AA" w14:textId="77777777" w:rsidR="002512A0" w:rsidRDefault="002512A0" w:rsidP="00211695">
      <w:pPr>
        <w:overflowPunct/>
        <w:autoSpaceDE/>
        <w:autoSpaceDN/>
        <w:adjustRightInd/>
        <w:textAlignment w:val="auto"/>
        <w:rPr>
          <w:sz w:val="24"/>
          <w:szCs w:val="24"/>
        </w:rPr>
      </w:pPr>
    </w:p>
    <w:p w14:paraId="4F4F7372" w14:textId="77777777" w:rsidR="002512A0" w:rsidRDefault="002512A0" w:rsidP="00211695">
      <w:pPr>
        <w:overflowPunct/>
        <w:autoSpaceDE/>
        <w:autoSpaceDN/>
        <w:adjustRightInd/>
        <w:textAlignment w:val="auto"/>
        <w:rPr>
          <w:sz w:val="24"/>
          <w:szCs w:val="24"/>
        </w:rPr>
      </w:pPr>
    </w:p>
    <w:p w14:paraId="1F401E3B" w14:textId="477A4205" w:rsidR="002512A0" w:rsidRDefault="00BE1199" w:rsidP="00211695">
      <w:pPr>
        <w:overflowPunct/>
        <w:autoSpaceDE/>
        <w:autoSpaceDN/>
        <w:adjustRightInd/>
        <w:textAlignment w:val="auto"/>
        <w:rPr>
          <w:sz w:val="24"/>
          <w:szCs w:val="24"/>
        </w:rPr>
      </w:pPr>
      <w:r>
        <w:rPr>
          <w:sz w:val="24"/>
          <w:szCs w:val="24"/>
        </w:rPr>
        <w:t>Throughout the investigation, the victim appeared to grow in confidence within himself and with the police and justice system as a whole, as he had stated on multiple occasions prior how he felt nothing would be done about this issue due to perceived lack of evidence, or his “word against another’s”, and felt that his viewpoint had changed completely as myself and multi-agency professionals were reaching out frequently and ensuring each of his needs were met. I am confident that the approaches utilised in dealing with this particular incident were effective, h</w:t>
      </w:r>
      <w:r w:rsidR="002512A0" w:rsidRPr="002512A0">
        <w:rPr>
          <w:sz w:val="24"/>
          <w:szCs w:val="24"/>
        </w:rPr>
        <w:t xml:space="preserve">owever, despite the </w:t>
      </w:r>
      <w:r>
        <w:rPr>
          <w:sz w:val="24"/>
          <w:szCs w:val="24"/>
        </w:rPr>
        <w:t>efforts made in enhancing the level of</w:t>
      </w:r>
      <w:r w:rsidR="002512A0" w:rsidRPr="002512A0">
        <w:rPr>
          <w:sz w:val="24"/>
          <w:szCs w:val="24"/>
        </w:rPr>
        <w:t xml:space="preserve"> victim support</w:t>
      </w:r>
      <w:r>
        <w:rPr>
          <w:sz w:val="24"/>
          <w:szCs w:val="24"/>
        </w:rPr>
        <w:t xml:space="preserve"> provided by the police in recent years (</w:t>
      </w:r>
      <w:r w:rsidR="00200AFB">
        <w:rPr>
          <w:sz w:val="24"/>
          <w:szCs w:val="24"/>
        </w:rPr>
        <w:t>Lorenz and Jacobsen, 2024</w:t>
      </w:r>
      <w:r>
        <w:rPr>
          <w:sz w:val="24"/>
          <w:szCs w:val="24"/>
        </w:rPr>
        <w:t>)</w:t>
      </w:r>
      <w:r w:rsidR="002512A0" w:rsidRPr="002512A0">
        <w:rPr>
          <w:sz w:val="24"/>
          <w:szCs w:val="24"/>
        </w:rPr>
        <w:t xml:space="preserve">, significant challenges </w:t>
      </w:r>
      <w:r>
        <w:rPr>
          <w:sz w:val="24"/>
          <w:szCs w:val="24"/>
        </w:rPr>
        <w:t>remain which require continuous review and improvement</w:t>
      </w:r>
      <w:r w:rsidR="002512A0" w:rsidRPr="002512A0">
        <w:rPr>
          <w:sz w:val="24"/>
          <w:szCs w:val="24"/>
        </w:rPr>
        <w:t xml:space="preserve">. One notable concern lies </w:t>
      </w:r>
      <w:r w:rsidR="00200AFB">
        <w:rPr>
          <w:sz w:val="24"/>
          <w:szCs w:val="24"/>
        </w:rPr>
        <w:t>with</w:t>
      </w:r>
      <w:r w:rsidR="002512A0" w:rsidRPr="002512A0">
        <w:rPr>
          <w:sz w:val="24"/>
          <w:szCs w:val="24"/>
        </w:rPr>
        <w:t xml:space="preserve">in the accessibility and </w:t>
      </w:r>
      <w:r w:rsidR="00200AFB">
        <w:rPr>
          <w:sz w:val="24"/>
          <w:szCs w:val="24"/>
        </w:rPr>
        <w:t>fair</w:t>
      </w:r>
      <w:r w:rsidR="002512A0" w:rsidRPr="002512A0">
        <w:rPr>
          <w:sz w:val="24"/>
          <w:szCs w:val="24"/>
        </w:rPr>
        <w:t xml:space="preserve"> distribution of support services, particularly for underrepresented victim groups</w:t>
      </w:r>
      <w:r w:rsidR="00200AFB">
        <w:rPr>
          <w:sz w:val="24"/>
          <w:szCs w:val="24"/>
        </w:rPr>
        <w:t xml:space="preserve"> (</w:t>
      </w:r>
      <w:r w:rsidR="00664FBD" w:rsidRPr="00664FBD">
        <w:rPr>
          <w:sz w:val="24"/>
          <w:szCs w:val="24"/>
        </w:rPr>
        <w:t>Powers, Khachatryan, and Socia, 2020</w:t>
      </w:r>
      <w:r w:rsidR="00200AFB">
        <w:rPr>
          <w:sz w:val="24"/>
          <w:szCs w:val="24"/>
        </w:rPr>
        <w:t>) such as my victim of assault</w:t>
      </w:r>
      <w:r w:rsidR="002512A0" w:rsidRPr="002512A0">
        <w:rPr>
          <w:sz w:val="24"/>
          <w:szCs w:val="24"/>
        </w:rPr>
        <w:t xml:space="preserve">. </w:t>
      </w:r>
      <w:r w:rsidR="00200AFB">
        <w:rPr>
          <w:sz w:val="24"/>
          <w:szCs w:val="24"/>
        </w:rPr>
        <w:t xml:space="preserve">Other barriers to adequate support are perceived or realised </w:t>
      </w:r>
      <w:r w:rsidR="002512A0" w:rsidRPr="002512A0">
        <w:rPr>
          <w:sz w:val="24"/>
          <w:szCs w:val="24"/>
        </w:rPr>
        <w:t>financial constraints</w:t>
      </w:r>
      <w:r w:rsidR="00200AFB">
        <w:rPr>
          <w:sz w:val="24"/>
          <w:szCs w:val="24"/>
        </w:rPr>
        <w:t xml:space="preserve"> or proximal </w:t>
      </w:r>
      <w:r w:rsidR="002512A0" w:rsidRPr="002512A0">
        <w:rPr>
          <w:sz w:val="24"/>
          <w:szCs w:val="24"/>
        </w:rPr>
        <w:t>disparities</w:t>
      </w:r>
      <w:r w:rsidR="00200AFB">
        <w:rPr>
          <w:sz w:val="24"/>
          <w:szCs w:val="24"/>
        </w:rPr>
        <w:t xml:space="preserve"> whereby an individual may refuse appropriate care due to difficulties in travel, distance from an appropriate professional, the cost of fuel or transport, loss of working time or time at home with children (</w:t>
      </w:r>
      <w:r w:rsidR="00664FBD" w:rsidRPr="00664FBD">
        <w:rPr>
          <w:sz w:val="24"/>
          <w:szCs w:val="24"/>
        </w:rPr>
        <w:t>De La Rue</w:t>
      </w:r>
      <w:r w:rsidR="00664FBD">
        <w:rPr>
          <w:sz w:val="24"/>
          <w:szCs w:val="24"/>
        </w:rPr>
        <w:t>,</w:t>
      </w:r>
      <w:r w:rsidR="00664FBD" w:rsidRPr="00664FBD">
        <w:rPr>
          <w:sz w:val="24"/>
          <w:szCs w:val="24"/>
        </w:rPr>
        <w:t xml:space="preserve"> Ortega, and Castro Rodriguez</w:t>
      </w:r>
      <w:r w:rsidR="00664FBD">
        <w:rPr>
          <w:sz w:val="24"/>
          <w:szCs w:val="24"/>
        </w:rPr>
        <w:t xml:space="preserve">, </w:t>
      </w:r>
      <w:r w:rsidR="00664FBD" w:rsidRPr="00664FBD">
        <w:rPr>
          <w:sz w:val="24"/>
          <w:szCs w:val="24"/>
        </w:rPr>
        <w:t>2023</w:t>
      </w:r>
      <w:r w:rsidR="00200AFB">
        <w:rPr>
          <w:sz w:val="24"/>
          <w:szCs w:val="24"/>
        </w:rPr>
        <w:t>)</w:t>
      </w:r>
      <w:r w:rsidR="002512A0" w:rsidRPr="002512A0">
        <w:rPr>
          <w:sz w:val="24"/>
          <w:szCs w:val="24"/>
        </w:rPr>
        <w:t>, and</w:t>
      </w:r>
      <w:r w:rsidR="00200AFB">
        <w:rPr>
          <w:sz w:val="24"/>
          <w:szCs w:val="24"/>
        </w:rPr>
        <w:t xml:space="preserve"> – what was originally a potential fear in my case – a</w:t>
      </w:r>
      <w:r w:rsidR="002512A0" w:rsidRPr="002512A0">
        <w:rPr>
          <w:sz w:val="24"/>
          <w:szCs w:val="24"/>
        </w:rPr>
        <w:t xml:space="preserve"> cultural insensitivity</w:t>
      </w:r>
      <w:r w:rsidR="00664FBD">
        <w:rPr>
          <w:sz w:val="24"/>
          <w:szCs w:val="24"/>
        </w:rPr>
        <w:t xml:space="preserve"> (Chakraborty et al., 2010)</w:t>
      </w:r>
      <w:r w:rsidR="002512A0" w:rsidRPr="002512A0">
        <w:rPr>
          <w:sz w:val="24"/>
          <w:szCs w:val="24"/>
        </w:rPr>
        <w:t xml:space="preserve">, </w:t>
      </w:r>
      <w:r w:rsidR="00200AFB">
        <w:rPr>
          <w:sz w:val="24"/>
          <w:szCs w:val="24"/>
        </w:rPr>
        <w:t>each of which may negatively impact the efficiency and availability of</w:t>
      </w:r>
      <w:r w:rsidR="002512A0" w:rsidRPr="002512A0">
        <w:rPr>
          <w:sz w:val="24"/>
          <w:szCs w:val="24"/>
        </w:rPr>
        <w:t xml:space="preserve"> support initiatives, leaving many vulnerable victims without </w:t>
      </w:r>
      <w:r w:rsidR="00200AFB">
        <w:rPr>
          <w:sz w:val="24"/>
          <w:szCs w:val="24"/>
        </w:rPr>
        <w:t>crucial guidance during such difficult periods</w:t>
      </w:r>
      <w:r w:rsidR="002512A0" w:rsidRPr="002512A0">
        <w:rPr>
          <w:sz w:val="24"/>
          <w:szCs w:val="24"/>
        </w:rPr>
        <w:t>.</w:t>
      </w:r>
    </w:p>
    <w:p w14:paraId="2C99834A" w14:textId="77777777" w:rsidR="00200AFB" w:rsidRDefault="00200AFB" w:rsidP="00211695">
      <w:pPr>
        <w:overflowPunct/>
        <w:autoSpaceDE/>
        <w:autoSpaceDN/>
        <w:adjustRightInd/>
        <w:textAlignment w:val="auto"/>
        <w:rPr>
          <w:sz w:val="24"/>
          <w:szCs w:val="24"/>
        </w:rPr>
      </w:pPr>
    </w:p>
    <w:p w14:paraId="1754DA5F" w14:textId="7E914B9B" w:rsidR="002512A0" w:rsidRDefault="00664FBD" w:rsidP="00211695">
      <w:pPr>
        <w:overflowPunct/>
        <w:autoSpaceDE/>
        <w:autoSpaceDN/>
        <w:adjustRightInd/>
        <w:textAlignment w:val="auto"/>
        <w:rPr>
          <w:sz w:val="24"/>
          <w:szCs w:val="24"/>
        </w:rPr>
      </w:pPr>
      <w:r>
        <w:rPr>
          <w:sz w:val="24"/>
          <w:szCs w:val="24"/>
        </w:rPr>
        <w:t>In addition</w:t>
      </w:r>
      <w:r w:rsidR="002512A0" w:rsidRPr="002512A0">
        <w:rPr>
          <w:sz w:val="24"/>
          <w:szCs w:val="24"/>
        </w:rPr>
        <w:t xml:space="preserve">, the </w:t>
      </w:r>
      <w:r>
        <w:rPr>
          <w:sz w:val="24"/>
          <w:szCs w:val="24"/>
        </w:rPr>
        <w:t>effectiveness</w:t>
      </w:r>
      <w:r w:rsidR="002512A0" w:rsidRPr="002512A0">
        <w:rPr>
          <w:sz w:val="24"/>
          <w:szCs w:val="24"/>
        </w:rPr>
        <w:t xml:space="preserve"> of victim support strategies </w:t>
      </w:r>
      <w:r>
        <w:rPr>
          <w:sz w:val="24"/>
          <w:szCs w:val="24"/>
        </w:rPr>
        <w:t>attempts to balance</w:t>
      </w:r>
      <w:r w:rsidR="002512A0" w:rsidRPr="002512A0">
        <w:rPr>
          <w:sz w:val="24"/>
          <w:szCs w:val="24"/>
        </w:rPr>
        <w:t xml:space="preserve"> their availability </w:t>
      </w:r>
      <w:r>
        <w:rPr>
          <w:sz w:val="24"/>
          <w:szCs w:val="24"/>
        </w:rPr>
        <w:t>with</w:t>
      </w:r>
      <w:r w:rsidR="002512A0" w:rsidRPr="002512A0">
        <w:rPr>
          <w:sz w:val="24"/>
          <w:szCs w:val="24"/>
        </w:rPr>
        <w:t xml:space="preserve"> </w:t>
      </w:r>
      <w:r>
        <w:rPr>
          <w:sz w:val="24"/>
          <w:szCs w:val="24"/>
        </w:rPr>
        <w:t>their</w:t>
      </w:r>
      <w:r w:rsidR="002512A0" w:rsidRPr="002512A0">
        <w:rPr>
          <w:sz w:val="24"/>
          <w:szCs w:val="24"/>
        </w:rPr>
        <w:t xml:space="preserve"> responsiveness to the diverse needs and</w:t>
      </w:r>
      <w:r>
        <w:rPr>
          <w:sz w:val="24"/>
          <w:szCs w:val="24"/>
        </w:rPr>
        <w:t xml:space="preserve"> personal</w:t>
      </w:r>
      <w:r w:rsidR="002512A0" w:rsidRPr="002512A0">
        <w:rPr>
          <w:sz w:val="24"/>
          <w:szCs w:val="24"/>
        </w:rPr>
        <w:t xml:space="preserve"> experiences of victims. </w:t>
      </w:r>
      <w:r>
        <w:rPr>
          <w:sz w:val="24"/>
          <w:szCs w:val="24"/>
        </w:rPr>
        <w:t>F</w:t>
      </w:r>
      <w:r w:rsidR="002512A0" w:rsidRPr="002512A0">
        <w:rPr>
          <w:sz w:val="24"/>
          <w:szCs w:val="24"/>
        </w:rPr>
        <w:t>actors such as race</w:t>
      </w:r>
      <w:r>
        <w:rPr>
          <w:sz w:val="24"/>
          <w:szCs w:val="24"/>
        </w:rPr>
        <w:t xml:space="preserve"> or nationality</w:t>
      </w:r>
      <w:r w:rsidR="002512A0" w:rsidRPr="002512A0">
        <w:rPr>
          <w:sz w:val="24"/>
          <w:szCs w:val="24"/>
        </w:rPr>
        <w:t xml:space="preserve">, gender </w:t>
      </w:r>
      <w:r>
        <w:rPr>
          <w:sz w:val="24"/>
          <w:szCs w:val="24"/>
        </w:rPr>
        <w:t xml:space="preserve">or gender </w:t>
      </w:r>
      <w:r w:rsidR="002512A0" w:rsidRPr="002512A0">
        <w:rPr>
          <w:sz w:val="24"/>
          <w:szCs w:val="24"/>
        </w:rPr>
        <w:t xml:space="preserve">identity, sexual orientation, and </w:t>
      </w:r>
      <w:r>
        <w:rPr>
          <w:sz w:val="24"/>
          <w:szCs w:val="24"/>
        </w:rPr>
        <w:t>financial</w:t>
      </w:r>
      <w:r w:rsidR="002512A0" w:rsidRPr="002512A0">
        <w:rPr>
          <w:sz w:val="24"/>
          <w:szCs w:val="24"/>
        </w:rPr>
        <w:t xml:space="preserve"> status</w:t>
      </w:r>
      <w:r>
        <w:rPr>
          <w:sz w:val="24"/>
          <w:szCs w:val="24"/>
        </w:rPr>
        <w:t xml:space="preserve"> each interact with each other</w:t>
      </w:r>
      <w:r w:rsidR="002512A0" w:rsidRPr="002512A0">
        <w:rPr>
          <w:sz w:val="24"/>
          <w:szCs w:val="24"/>
        </w:rPr>
        <w:t xml:space="preserve"> to </w:t>
      </w:r>
      <w:r>
        <w:rPr>
          <w:sz w:val="24"/>
          <w:szCs w:val="24"/>
        </w:rPr>
        <w:t>influence an</w:t>
      </w:r>
      <w:r w:rsidR="002512A0" w:rsidRPr="002512A0">
        <w:rPr>
          <w:sz w:val="24"/>
          <w:szCs w:val="24"/>
        </w:rPr>
        <w:t xml:space="preserve"> individuals' </w:t>
      </w:r>
      <w:r>
        <w:rPr>
          <w:sz w:val="24"/>
          <w:szCs w:val="24"/>
        </w:rPr>
        <w:t>reaction and recovery following being a victim of</w:t>
      </w:r>
      <w:r w:rsidR="002512A0" w:rsidRPr="002512A0">
        <w:rPr>
          <w:sz w:val="24"/>
          <w:szCs w:val="24"/>
        </w:rPr>
        <w:t xml:space="preserve"> crime</w:t>
      </w:r>
      <w:r>
        <w:rPr>
          <w:sz w:val="24"/>
          <w:szCs w:val="24"/>
        </w:rPr>
        <w:t xml:space="preserve"> (Cole, 2017)</w:t>
      </w:r>
      <w:r w:rsidR="002512A0" w:rsidRPr="002512A0">
        <w:rPr>
          <w:sz w:val="24"/>
          <w:szCs w:val="24"/>
        </w:rPr>
        <w:t xml:space="preserve">. Therefore, a one-size-fits-all approach to victim support may fail to adequately address the </w:t>
      </w:r>
      <w:r>
        <w:rPr>
          <w:sz w:val="24"/>
          <w:szCs w:val="24"/>
        </w:rPr>
        <w:t xml:space="preserve">complexities </w:t>
      </w:r>
      <w:r w:rsidR="002512A0" w:rsidRPr="002512A0">
        <w:rPr>
          <w:sz w:val="24"/>
          <w:szCs w:val="24"/>
        </w:rPr>
        <w:t>of victimi</w:t>
      </w:r>
      <w:r>
        <w:rPr>
          <w:sz w:val="24"/>
          <w:szCs w:val="24"/>
        </w:rPr>
        <w:t>s</w:t>
      </w:r>
      <w:r w:rsidR="002512A0" w:rsidRPr="002512A0">
        <w:rPr>
          <w:sz w:val="24"/>
          <w:szCs w:val="24"/>
        </w:rPr>
        <w:t xml:space="preserve">ation, exacerbating disparities and </w:t>
      </w:r>
      <w:r>
        <w:rPr>
          <w:sz w:val="24"/>
          <w:szCs w:val="24"/>
        </w:rPr>
        <w:t>allowing the perpetuation of repeat victimisation</w:t>
      </w:r>
      <w:r w:rsidR="00851EF9">
        <w:rPr>
          <w:sz w:val="24"/>
          <w:szCs w:val="24"/>
        </w:rPr>
        <w:t xml:space="preserve"> (</w:t>
      </w:r>
      <w:r w:rsidR="00851EF9" w:rsidRPr="00851EF9">
        <w:rPr>
          <w:sz w:val="24"/>
          <w:szCs w:val="24"/>
        </w:rPr>
        <w:t xml:space="preserve">Shorrock, McManus, </w:t>
      </w:r>
      <w:r w:rsidR="00851EF9">
        <w:rPr>
          <w:sz w:val="24"/>
          <w:szCs w:val="24"/>
        </w:rPr>
        <w:t>and</w:t>
      </w:r>
      <w:r w:rsidR="00851EF9" w:rsidRPr="00851EF9">
        <w:rPr>
          <w:sz w:val="24"/>
          <w:szCs w:val="24"/>
        </w:rPr>
        <w:t xml:space="preserve"> Kirby, 2020</w:t>
      </w:r>
      <w:r w:rsidR="00851EF9">
        <w:rPr>
          <w:sz w:val="24"/>
          <w:szCs w:val="24"/>
        </w:rPr>
        <w:t>).</w:t>
      </w:r>
    </w:p>
    <w:p w14:paraId="74449F92" w14:textId="77777777" w:rsidR="008037AB" w:rsidRDefault="008037AB" w:rsidP="00211695">
      <w:pPr>
        <w:overflowPunct/>
        <w:autoSpaceDE/>
        <w:autoSpaceDN/>
        <w:adjustRightInd/>
        <w:textAlignment w:val="auto"/>
        <w:rPr>
          <w:sz w:val="24"/>
          <w:szCs w:val="24"/>
        </w:rPr>
      </w:pPr>
    </w:p>
    <w:p w14:paraId="3460DED4" w14:textId="5693591B" w:rsidR="008037AB" w:rsidRDefault="008037AB" w:rsidP="00211695">
      <w:pPr>
        <w:overflowPunct/>
        <w:autoSpaceDE/>
        <w:autoSpaceDN/>
        <w:adjustRightInd/>
        <w:textAlignment w:val="auto"/>
        <w:rPr>
          <w:sz w:val="24"/>
          <w:szCs w:val="24"/>
        </w:rPr>
      </w:pPr>
      <w:r w:rsidRPr="008037AB">
        <w:rPr>
          <w:sz w:val="24"/>
          <w:szCs w:val="24"/>
        </w:rPr>
        <w:t xml:space="preserve">In light of these complexities, </w:t>
      </w:r>
      <w:r w:rsidR="00970228">
        <w:rPr>
          <w:sz w:val="24"/>
          <w:szCs w:val="24"/>
        </w:rPr>
        <w:t xml:space="preserve">and </w:t>
      </w:r>
      <w:r w:rsidR="00851EF9">
        <w:rPr>
          <w:sz w:val="24"/>
          <w:szCs w:val="24"/>
        </w:rPr>
        <w:t xml:space="preserve">whilst there has been tangible progress towards improvement of victim focused support </w:t>
      </w:r>
      <w:r w:rsidR="00970228">
        <w:rPr>
          <w:sz w:val="24"/>
          <w:szCs w:val="24"/>
        </w:rPr>
        <w:t xml:space="preserve">and offender management </w:t>
      </w:r>
      <w:r w:rsidR="00851EF9">
        <w:rPr>
          <w:sz w:val="24"/>
          <w:szCs w:val="24"/>
        </w:rPr>
        <w:t xml:space="preserve">in the UK (Bates and Douglas, 2020), </w:t>
      </w:r>
      <w:r w:rsidRPr="008037AB">
        <w:rPr>
          <w:sz w:val="24"/>
          <w:szCs w:val="24"/>
        </w:rPr>
        <w:t>a</w:t>
      </w:r>
      <w:r w:rsidR="00851EF9">
        <w:rPr>
          <w:sz w:val="24"/>
          <w:szCs w:val="24"/>
        </w:rPr>
        <w:t xml:space="preserve"> continuous and dynamic</w:t>
      </w:r>
      <w:r w:rsidRPr="008037AB">
        <w:rPr>
          <w:sz w:val="24"/>
          <w:szCs w:val="24"/>
        </w:rPr>
        <w:t xml:space="preserve"> critical evaluation of existing approaches to supporting vulnerable victims of crime</w:t>
      </w:r>
      <w:r w:rsidR="00970228">
        <w:rPr>
          <w:sz w:val="24"/>
          <w:szCs w:val="24"/>
        </w:rPr>
        <w:t xml:space="preserve"> and the prevention of young offending</w:t>
      </w:r>
      <w:r w:rsidRPr="008037AB">
        <w:rPr>
          <w:sz w:val="24"/>
          <w:szCs w:val="24"/>
        </w:rPr>
        <w:t xml:space="preserve"> is </w:t>
      </w:r>
      <w:r w:rsidR="002A5699">
        <w:rPr>
          <w:sz w:val="24"/>
          <w:szCs w:val="24"/>
        </w:rPr>
        <w:t>vital</w:t>
      </w:r>
      <w:r w:rsidRPr="008037AB">
        <w:rPr>
          <w:sz w:val="24"/>
          <w:szCs w:val="24"/>
        </w:rPr>
        <w:t xml:space="preserve">. By </w:t>
      </w:r>
      <w:r w:rsidR="002A5699">
        <w:rPr>
          <w:sz w:val="24"/>
          <w:szCs w:val="24"/>
        </w:rPr>
        <w:t>challenging</w:t>
      </w:r>
      <w:r w:rsidRPr="008037AB">
        <w:rPr>
          <w:sz w:val="24"/>
          <w:szCs w:val="24"/>
        </w:rPr>
        <w:t xml:space="preserve"> the assumptions, limitations, and unintended consequences of </w:t>
      </w:r>
      <w:r w:rsidR="002A5699">
        <w:rPr>
          <w:sz w:val="24"/>
          <w:szCs w:val="24"/>
        </w:rPr>
        <w:t>various</w:t>
      </w:r>
      <w:r w:rsidRPr="008037AB">
        <w:rPr>
          <w:sz w:val="24"/>
          <w:szCs w:val="24"/>
        </w:rPr>
        <w:t xml:space="preserve"> strategies, we can </w:t>
      </w:r>
      <w:r w:rsidR="002A5699">
        <w:rPr>
          <w:sz w:val="24"/>
          <w:szCs w:val="24"/>
        </w:rPr>
        <w:t>collectively push</w:t>
      </w:r>
      <w:r w:rsidRPr="008037AB">
        <w:rPr>
          <w:sz w:val="24"/>
          <w:szCs w:val="24"/>
        </w:rPr>
        <w:t xml:space="preserve"> towards a more inclusive, </w:t>
      </w:r>
      <w:r w:rsidR="002A5699">
        <w:rPr>
          <w:sz w:val="24"/>
          <w:szCs w:val="24"/>
        </w:rPr>
        <w:t>accurate</w:t>
      </w:r>
      <w:r w:rsidRPr="008037AB">
        <w:rPr>
          <w:sz w:val="24"/>
          <w:szCs w:val="24"/>
        </w:rPr>
        <w:t>, and effective framework of victim support</w:t>
      </w:r>
      <w:r w:rsidR="002A5699">
        <w:rPr>
          <w:sz w:val="24"/>
          <w:szCs w:val="24"/>
        </w:rPr>
        <w:t xml:space="preserve"> that can be shared UK- </w:t>
      </w:r>
      <w:r w:rsidR="002A5699">
        <w:rPr>
          <w:sz w:val="24"/>
          <w:szCs w:val="24"/>
        </w:rPr>
        <w:lastRenderedPageBreak/>
        <w:t>wide, or world-wide as the “best practice”</w:t>
      </w:r>
      <w:r w:rsidR="00970228">
        <w:rPr>
          <w:sz w:val="24"/>
          <w:szCs w:val="24"/>
        </w:rPr>
        <w:t xml:space="preserve"> (Jorge, 2021)</w:t>
      </w:r>
      <w:r w:rsidRPr="008037AB">
        <w:rPr>
          <w:sz w:val="24"/>
          <w:szCs w:val="24"/>
        </w:rPr>
        <w:t xml:space="preserve">. Through </w:t>
      </w:r>
      <w:r w:rsidR="002A5699">
        <w:rPr>
          <w:sz w:val="24"/>
          <w:szCs w:val="24"/>
        </w:rPr>
        <w:t>effective and frequent</w:t>
      </w:r>
      <w:r w:rsidRPr="008037AB">
        <w:rPr>
          <w:sz w:val="24"/>
          <w:szCs w:val="24"/>
        </w:rPr>
        <w:t xml:space="preserve"> collaboration, </w:t>
      </w:r>
      <w:r w:rsidR="002A5699">
        <w:rPr>
          <w:sz w:val="24"/>
          <w:szCs w:val="24"/>
        </w:rPr>
        <w:t>public</w:t>
      </w:r>
      <w:r w:rsidRPr="008037AB">
        <w:rPr>
          <w:sz w:val="24"/>
          <w:szCs w:val="24"/>
        </w:rPr>
        <w:t xml:space="preserve"> engagement, and a</w:t>
      </w:r>
      <w:r w:rsidR="002A5699">
        <w:rPr>
          <w:sz w:val="24"/>
          <w:szCs w:val="24"/>
        </w:rPr>
        <w:t xml:space="preserve">n overt </w:t>
      </w:r>
      <w:r w:rsidRPr="008037AB">
        <w:rPr>
          <w:sz w:val="24"/>
          <w:szCs w:val="24"/>
        </w:rPr>
        <w:t>commitment to social justice</w:t>
      </w:r>
      <w:r w:rsidR="002A5699">
        <w:rPr>
          <w:sz w:val="24"/>
          <w:szCs w:val="24"/>
        </w:rPr>
        <w:t xml:space="preserve"> and empowerment of vulnerability</w:t>
      </w:r>
      <w:r w:rsidRPr="008037AB">
        <w:rPr>
          <w:sz w:val="24"/>
          <w:szCs w:val="24"/>
        </w:rPr>
        <w:t xml:space="preserve">, we can </w:t>
      </w:r>
      <w:r w:rsidR="002A5699">
        <w:rPr>
          <w:sz w:val="24"/>
          <w:szCs w:val="24"/>
        </w:rPr>
        <w:t>strive</w:t>
      </w:r>
      <w:r w:rsidRPr="008037AB">
        <w:rPr>
          <w:sz w:val="24"/>
          <w:szCs w:val="24"/>
        </w:rPr>
        <w:t xml:space="preserve"> to create a society where all victims of crime receive the support, validation, and empowerment they deserve.</w:t>
      </w:r>
      <w:r w:rsidR="002A5699">
        <w:rPr>
          <w:sz w:val="24"/>
          <w:szCs w:val="24"/>
        </w:rPr>
        <w:t xml:space="preserve"> In my situation, the victim appeared to respond positively to all areas of support afforded to him by myself and partner agencies; perhaps this is a positive sign of how far policing has already come in search for effective, fair and abundant support, however, whilst empirical evidence regarding our progress is supported, the overwhelming evidence also suggests that there is still much work to be done (</w:t>
      </w:r>
      <w:r w:rsidR="00970228" w:rsidRPr="00970228">
        <w:rPr>
          <w:sz w:val="24"/>
          <w:szCs w:val="24"/>
        </w:rPr>
        <w:t xml:space="preserve">Wemmers, Parent, </w:t>
      </w:r>
      <w:r w:rsidR="00970228">
        <w:rPr>
          <w:sz w:val="24"/>
          <w:szCs w:val="24"/>
        </w:rPr>
        <w:t>and</w:t>
      </w:r>
      <w:r w:rsidR="00970228" w:rsidRPr="00970228">
        <w:rPr>
          <w:sz w:val="24"/>
          <w:szCs w:val="24"/>
        </w:rPr>
        <w:t xml:space="preserve"> Lachance Quirion, 2023</w:t>
      </w:r>
      <w:r w:rsidR="002A5699">
        <w:rPr>
          <w:sz w:val="24"/>
          <w:szCs w:val="24"/>
        </w:rPr>
        <w:t>).</w:t>
      </w:r>
    </w:p>
    <w:p w14:paraId="00EABCAE" w14:textId="77777777" w:rsidR="00192320" w:rsidRDefault="00192320" w:rsidP="00211695">
      <w:pPr>
        <w:overflowPunct/>
        <w:autoSpaceDE/>
        <w:autoSpaceDN/>
        <w:adjustRightInd/>
        <w:textAlignment w:val="auto"/>
        <w:rPr>
          <w:sz w:val="24"/>
          <w:szCs w:val="24"/>
        </w:rPr>
      </w:pPr>
    </w:p>
    <w:p w14:paraId="00D4F179" w14:textId="18063233" w:rsidR="00192320" w:rsidRDefault="00192320" w:rsidP="00211695">
      <w:pPr>
        <w:overflowPunct/>
        <w:autoSpaceDE/>
        <w:autoSpaceDN/>
        <w:adjustRightInd/>
        <w:textAlignment w:val="auto"/>
        <w:rPr>
          <w:sz w:val="24"/>
          <w:szCs w:val="24"/>
        </w:rPr>
      </w:pPr>
      <w:r>
        <w:rPr>
          <w:sz w:val="24"/>
          <w:szCs w:val="24"/>
        </w:rPr>
        <w:t>(WORD COUNT: 2184)</w:t>
      </w:r>
    </w:p>
    <w:p w14:paraId="27CC082F" w14:textId="77777777" w:rsidR="00075665" w:rsidRPr="002512A0" w:rsidRDefault="00075665" w:rsidP="00211695">
      <w:pPr>
        <w:overflowPunct/>
        <w:autoSpaceDE/>
        <w:autoSpaceDN/>
        <w:adjustRightInd/>
        <w:textAlignment w:val="auto"/>
        <w:rPr>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DA52361" w14:textId="32E3AC17" w:rsidR="001F3976" w:rsidRPr="00C25FE6" w:rsidRDefault="004C3114" w:rsidP="009370AE">
      <w:pPr>
        <w:ind w:right="237"/>
        <w:jc w:val="both"/>
        <w:rPr>
          <w:sz w:val="24"/>
          <w:szCs w:val="24"/>
        </w:rPr>
      </w:pPr>
      <w:r w:rsidRPr="00C25FE6">
        <w:rPr>
          <w:sz w:val="24"/>
          <w:szCs w:val="24"/>
        </w:rPr>
        <w:t xml:space="preserve">The processes involved in complex investigations have been selected and curated through years of “best practice” policing in the UK, as a way to ensure efficiency </w:t>
      </w:r>
      <w:r w:rsidRPr="00C25FE6">
        <w:rPr>
          <w:sz w:val="24"/>
          <w:szCs w:val="24"/>
        </w:rPr>
        <w:lastRenderedPageBreak/>
        <w:t>with regard to police resources and to provide a greater service to the public</w:t>
      </w:r>
      <w:r w:rsidR="00057408" w:rsidRPr="00C25FE6">
        <w:rPr>
          <w:sz w:val="24"/>
          <w:szCs w:val="24"/>
        </w:rPr>
        <w:t xml:space="preserve"> (</w:t>
      </w:r>
      <w:r w:rsidR="00634E1E" w:rsidRPr="00C25FE6">
        <w:rPr>
          <w:sz w:val="24"/>
          <w:szCs w:val="24"/>
        </w:rPr>
        <w:t>Horton, 2023</w:t>
      </w:r>
      <w:r w:rsidR="00057408" w:rsidRPr="00C25FE6">
        <w:rPr>
          <w:sz w:val="24"/>
          <w:szCs w:val="24"/>
        </w:rPr>
        <w:t>)</w:t>
      </w:r>
      <w:r w:rsidRPr="00C25FE6">
        <w:rPr>
          <w:sz w:val="24"/>
          <w:szCs w:val="24"/>
        </w:rPr>
        <w:t xml:space="preserve">. For this reason, the current </w:t>
      </w:r>
      <w:r w:rsidR="00FA3A29" w:rsidRPr="00C25FE6">
        <w:rPr>
          <w:sz w:val="24"/>
          <w:szCs w:val="24"/>
        </w:rPr>
        <w:t xml:space="preserve">accepted </w:t>
      </w:r>
      <w:r w:rsidRPr="00C25FE6">
        <w:rPr>
          <w:sz w:val="24"/>
          <w:szCs w:val="24"/>
        </w:rPr>
        <w:t>processes are considered to represent the</w:t>
      </w:r>
      <w:r w:rsidR="00057408" w:rsidRPr="00C25FE6">
        <w:rPr>
          <w:sz w:val="24"/>
          <w:szCs w:val="24"/>
        </w:rPr>
        <w:t xml:space="preserve"> most effective</w:t>
      </w:r>
      <w:r w:rsidRPr="00C25FE6">
        <w:rPr>
          <w:sz w:val="24"/>
          <w:szCs w:val="24"/>
        </w:rPr>
        <w:t xml:space="preserve"> framework, or standardised approach, to achieving successful outcomes with regard to criminal convictions as well as victim and witness safety and satisfaction (</w:t>
      </w:r>
      <w:r w:rsidR="00634E1E" w:rsidRPr="00C25FE6">
        <w:rPr>
          <w:sz w:val="24"/>
          <w:szCs w:val="24"/>
        </w:rPr>
        <w:t>Martin, 2022</w:t>
      </w:r>
      <w:r w:rsidRPr="00C25FE6">
        <w:rPr>
          <w:sz w:val="24"/>
          <w:szCs w:val="24"/>
        </w:rPr>
        <w:t>). These processes are often, however, difficult to work with due to the rigid methods and steps involved, particularly with regard to the time it takes to complete administrative duties and what some refer to as the “bureaucracy” of policing (</w:t>
      </w:r>
      <w:r w:rsidR="00634E1E" w:rsidRPr="00C25FE6">
        <w:rPr>
          <w:sz w:val="24"/>
          <w:szCs w:val="24"/>
        </w:rPr>
        <w:t>Barton and Barton, 2011</w:t>
      </w:r>
      <w:r w:rsidRPr="00C25FE6">
        <w:rPr>
          <w:sz w:val="24"/>
          <w:szCs w:val="24"/>
        </w:rPr>
        <w:t xml:space="preserve">). Time spent completing paperwork may come across as unnecessary and arbitrary when </w:t>
      </w:r>
      <w:r w:rsidR="00057408" w:rsidRPr="00C25FE6">
        <w:rPr>
          <w:sz w:val="24"/>
          <w:szCs w:val="24"/>
        </w:rPr>
        <w:t>this</w:t>
      </w:r>
      <w:r w:rsidRPr="00C25FE6">
        <w:rPr>
          <w:sz w:val="24"/>
          <w:szCs w:val="24"/>
        </w:rPr>
        <w:t xml:space="preserve"> time could arguably be better spent elsewhere in a more proactive way to attempt to achieve justice for victims of crime</w:t>
      </w:r>
      <w:r w:rsidR="00057408" w:rsidRPr="00C25FE6">
        <w:rPr>
          <w:sz w:val="24"/>
          <w:szCs w:val="24"/>
        </w:rPr>
        <w:t xml:space="preserve"> and ensure perpetrators receive adequate consequences</w:t>
      </w:r>
      <w:r w:rsidRPr="00C25FE6">
        <w:rPr>
          <w:sz w:val="24"/>
          <w:szCs w:val="24"/>
        </w:rPr>
        <w:t xml:space="preserve"> (</w:t>
      </w:r>
      <w:r w:rsidR="00634E1E" w:rsidRPr="00C25FE6">
        <w:rPr>
          <w:sz w:val="24"/>
          <w:szCs w:val="24"/>
        </w:rPr>
        <w:t>Ricciardelli, Carbonell, Ferguson, and Huey, 2023</w:t>
      </w:r>
      <w:r w:rsidRPr="00C25FE6">
        <w:rPr>
          <w:sz w:val="24"/>
          <w:szCs w:val="24"/>
        </w:rPr>
        <w:t>). It is very difficult to balance the needs and expectations of victims, the urgency of fast-track actions, and the professionalism and accuracy of evidential processes involved</w:t>
      </w:r>
      <w:r w:rsidR="00057408" w:rsidRPr="00C25FE6">
        <w:rPr>
          <w:sz w:val="24"/>
          <w:szCs w:val="24"/>
        </w:rPr>
        <w:t xml:space="preserve"> (</w:t>
      </w:r>
      <w:r w:rsidR="00634E1E" w:rsidRPr="00C25FE6">
        <w:rPr>
          <w:sz w:val="24"/>
          <w:szCs w:val="24"/>
        </w:rPr>
        <w:t>Paterson and Williams, 2018</w:t>
      </w:r>
      <w:r w:rsidR="00057408" w:rsidRPr="00C25FE6">
        <w:rPr>
          <w:sz w:val="24"/>
          <w:szCs w:val="24"/>
        </w:rPr>
        <w:t>)</w:t>
      </w:r>
      <w:r w:rsidRPr="00C25FE6">
        <w:rPr>
          <w:sz w:val="24"/>
          <w:szCs w:val="24"/>
        </w:rPr>
        <w:t xml:space="preserve"> </w:t>
      </w:r>
      <w:r w:rsidR="00FA3A29" w:rsidRPr="00C25FE6">
        <w:rPr>
          <w:sz w:val="24"/>
          <w:szCs w:val="24"/>
        </w:rPr>
        <w:t xml:space="preserve">– particularly when police resources are </w:t>
      </w:r>
      <w:r w:rsidR="00057408" w:rsidRPr="00C25FE6">
        <w:rPr>
          <w:sz w:val="24"/>
          <w:szCs w:val="24"/>
        </w:rPr>
        <w:t xml:space="preserve">already </w:t>
      </w:r>
      <w:r w:rsidR="00FA3A29" w:rsidRPr="00C25FE6">
        <w:rPr>
          <w:sz w:val="24"/>
          <w:szCs w:val="24"/>
        </w:rPr>
        <w:t>stretched very thin (</w:t>
      </w:r>
      <w:r w:rsidR="00634E1E" w:rsidRPr="00C25FE6">
        <w:rPr>
          <w:sz w:val="24"/>
          <w:szCs w:val="24"/>
        </w:rPr>
        <w:t>Cartwright and Roach, 2021</w:t>
      </w:r>
      <w:r w:rsidR="00FA3A29" w:rsidRPr="00C25FE6">
        <w:rPr>
          <w:sz w:val="24"/>
          <w:szCs w:val="24"/>
        </w:rPr>
        <w:t>).</w:t>
      </w:r>
      <w:r w:rsidRPr="00C25FE6">
        <w:rPr>
          <w:sz w:val="24"/>
          <w:szCs w:val="24"/>
        </w:rPr>
        <w:t xml:space="preserve"> To highlight</w:t>
      </w:r>
      <w:r w:rsidR="00FA3A29" w:rsidRPr="00C25FE6">
        <w:rPr>
          <w:sz w:val="24"/>
          <w:szCs w:val="24"/>
        </w:rPr>
        <w:t xml:space="preserve"> each of</w:t>
      </w:r>
      <w:r w:rsidRPr="00C25FE6">
        <w:rPr>
          <w:sz w:val="24"/>
          <w:szCs w:val="24"/>
        </w:rPr>
        <w:t xml:space="preserve"> these contrasting factors, I will refer to an incident of “stranger rape” for which I was an investigating officer</w:t>
      </w:r>
      <w:r w:rsidR="00FA3A29" w:rsidRPr="00C25FE6">
        <w:rPr>
          <w:sz w:val="24"/>
          <w:szCs w:val="24"/>
        </w:rPr>
        <w:t xml:space="preserve">, and </w:t>
      </w:r>
      <w:r w:rsidR="00057408" w:rsidRPr="00C25FE6">
        <w:rPr>
          <w:sz w:val="24"/>
          <w:szCs w:val="24"/>
        </w:rPr>
        <w:t>was met with elements of both frustration and benefit due to police processes and fast-track actions.</w:t>
      </w:r>
    </w:p>
    <w:p w14:paraId="16A386B2" w14:textId="77777777" w:rsidR="004501F6" w:rsidRPr="00C25FE6" w:rsidRDefault="004501F6" w:rsidP="009370AE">
      <w:pPr>
        <w:ind w:right="237"/>
        <w:jc w:val="both"/>
        <w:rPr>
          <w:sz w:val="24"/>
          <w:szCs w:val="24"/>
        </w:rPr>
      </w:pPr>
    </w:p>
    <w:p w14:paraId="4F591A0E" w14:textId="674F6D61" w:rsidR="004501F6" w:rsidRPr="00C25FE6" w:rsidRDefault="004501F6" w:rsidP="009370AE">
      <w:pPr>
        <w:ind w:right="237"/>
        <w:jc w:val="both"/>
        <w:rPr>
          <w:sz w:val="24"/>
          <w:szCs w:val="24"/>
        </w:rPr>
      </w:pPr>
      <w:r w:rsidRPr="00C25FE6">
        <w:rPr>
          <w:sz w:val="24"/>
          <w:szCs w:val="24"/>
        </w:rPr>
        <w:t>The incident was reported to police by a concerned passer-by who found a lone woman crying at the side of an industrial estate whilst driving by to collect her husband from a late shift. The reporting person felt it was strange to see a lone woman in this sort of area at this time of night and stopped to check on her welfare. It immediately became apparent to her that the woman was under the influence of drugs or alcohol and was very upset. Her clothing appeared torn, and she had no belongings to help identify her. The concerned person reported the matter to the police and ambulance services, who attended swiftly. Following an expedited examination, it was apparent that the woman had been raped and was left at the side of the road without her knowledge. Incidents of this nature are, thankfully, very rare, however they represent one of the most serious crimes leaving long-lasting physical and mental scars on its victims</w:t>
      </w:r>
      <w:r w:rsidR="00901B61" w:rsidRPr="00C25FE6">
        <w:rPr>
          <w:sz w:val="24"/>
          <w:szCs w:val="24"/>
        </w:rPr>
        <w:t xml:space="preserve"> (Oshodi, Macharia, Lachman, and Seedat, 2020).</w:t>
      </w:r>
    </w:p>
    <w:p w14:paraId="3F24327B" w14:textId="77777777" w:rsidR="00F12F62" w:rsidRPr="00C25FE6" w:rsidRDefault="00F12F62" w:rsidP="009370AE">
      <w:pPr>
        <w:ind w:right="237"/>
        <w:jc w:val="both"/>
        <w:rPr>
          <w:sz w:val="24"/>
          <w:szCs w:val="24"/>
        </w:rPr>
      </w:pPr>
    </w:p>
    <w:p w14:paraId="13BA23F9" w14:textId="26E60E4E" w:rsidR="00057408" w:rsidRDefault="00F12F62" w:rsidP="009370AE">
      <w:pPr>
        <w:ind w:right="237"/>
        <w:jc w:val="both"/>
        <w:rPr>
          <w:sz w:val="24"/>
          <w:szCs w:val="24"/>
        </w:rPr>
      </w:pPr>
      <w:r w:rsidRPr="00C25FE6">
        <w:rPr>
          <w:sz w:val="24"/>
          <w:szCs w:val="24"/>
        </w:rPr>
        <w:t>In policing, the expedited measures prioritised at the beginning of an investigation are known as “Fast track actions”</w:t>
      </w:r>
      <w:r w:rsidR="00C25FE6" w:rsidRPr="00C25FE6">
        <w:rPr>
          <w:sz w:val="24"/>
          <w:szCs w:val="24"/>
        </w:rPr>
        <w:t>, or actions to be completed within the “Golden Hour”</w:t>
      </w:r>
      <w:r w:rsidRPr="00C25FE6">
        <w:rPr>
          <w:sz w:val="24"/>
          <w:szCs w:val="24"/>
        </w:rPr>
        <w:t xml:space="preserve"> (</w:t>
      </w:r>
      <w:r w:rsidR="00C25FE6" w:rsidRPr="00C25FE6">
        <w:rPr>
          <w:sz w:val="24"/>
          <w:szCs w:val="24"/>
        </w:rPr>
        <w:t>Rose, 2021</w:t>
      </w:r>
      <w:r w:rsidRPr="00C25FE6">
        <w:rPr>
          <w:sz w:val="24"/>
          <w:szCs w:val="24"/>
        </w:rPr>
        <w:t>). Their purpose is to gather the best possible evidence and focus on the effectiveness of its immediacy, which is intended to aid in identifying and apprehending suspects as quickly as possible, whilst seeking to bring the investigation to a positive closure as quickly and efficiently as possible (</w:t>
      </w:r>
      <w:r w:rsidR="00C25FE6" w:rsidRPr="00C25FE6">
        <w:rPr>
          <w:sz w:val="24"/>
          <w:szCs w:val="24"/>
        </w:rPr>
        <w:t>Roycroft, 2019</w:t>
      </w:r>
      <w:r w:rsidRPr="00C25FE6">
        <w:rPr>
          <w:sz w:val="24"/>
          <w:szCs w:val="24"/>
        </w:rPr>
        <w:t>). These actions will, of course, vary based on the investigation taking place, however the immediate fast-track actions I identified from this</w:t>
      </w:r>
      <w:r w:rsidR="00C25FE6" w:rsidRPr="00C25FE6">
        <w:rPr>
          <w:sz w:val="24"/>
          <w:szCs w:val="24"/>
        </w:rPr>
        <w:t xml:space="preserve"> particular</w:t>
      </w:r>
      <w:r w:rsidRPr="00C25FE6">
        <w:rPr>
          <w:sz w:val="24"/>
          <w:szCs w:val="24"/>
        </w:rPr>
        <w:t xml:space="preserve"> incident were </w:t>
      </w:r>
      <w:r w:rsidR="00D63304" w:rsidRPr="00C25FE6">
        <w:rPr>
          <w:sz w:val="24"/>
          <w:szCs w:val="24"/>
        </w:rPr>
        <w:t>in relation to obtaining forensic evidence due to the time pressures involved following such incidents and the degrading or total loss of key evidence (</w:t>
      </w:r>
      <w:r w:rsidR="00C25FE6" w:rsidRPr="00C25FE6">
        <w:rPr>
          <w:sz w:val="24"/>
          <w:szCs w:val="24"/>
        </w:rPr>
        <w:t>Wüllenweber and Giles, 2021</w:t>
      </w:r>
      <w:r w:rsidR="00D63304" w:rsidRPr="00C25FE6">
        <w:rPr>
          <w:sz w:val="24"/>
          <w:szCs w:val="24"/>
        </w:rPr>
        <w:t xml:space="preserve">), the immediate and long-term welfare and health of the victim, and identifying the scenes and potential witnesses from the </w:t>
      </w:r>
      <w:r w:rsidR="00C25FE6" w:rsidRPr="00C25FE6">
        <w:rPr>
          <w:sz w:val="24"/>
          <w:szCs w:val="24"/>
        </w:rPr>
        <w:t>incident and making contact with them at the earliest opportunity</w:t>
      </w:r>
      <w:r w:rsidR="00D63304" w:rsidRPr="00C25FE6">
        <w:rPr>
          <w:sz w:val="24"/>
          <w:szCs w:val="24"/>
        </w:rPr>
        <w:t xml:space="preserve">. The sooner witnesses and passive data generators are identified, the better and more accessible their recollection of </w:t>
      </w:r>
      <w:r w:rsidR="00C25FE6" w:rsidRPr="00C25FE6">
        <w:rPr>
          <w:sz w:val="24"/>
          <w:szCs w:val="24"/>
        </w:rPr>
        <w:t>an</w:t>
      </w:r>
      <w:r w:rsidR="00D63304" w:rsidRPr="00C25FE6">
        <w:rPr>
          <w:sz w:val="24"/>
          <w:szCs w:val="24"/>
        </w:rPr>
        <w:t xml:space="preserve"> event is likely to be (</w:t>
      </w:r>
      <w:r w:rsidR="00C25FE6" w:rsidRPr="00C25FE6">
        <w:rPr>
          <w:sz w:val="24"/>
          <w:szCs w:val="24"/>
        </w:rPr>
        <w:t>Battista, Otgaar, Lanciano, and Curci, 2020</w:t>
      </w:r>
      <w:r w:rsidR="00D63304" w:rsidRPr="00C25FE6">
        <w:rPr>
          <w:sz w:val="24"/>
          <w:szCs w:val="24"/>
        </w:rPr>
        <w:t>).</w:t>
      </w:r>
    </w:p>
    <w:p w14:paraId="3D3E42A0" w14:textId="77777777" w:rsidR="00DC6DBC" w:rsidRDefault="00DC6DBC" w:rsidP="009370AE">
      <w:pPr>
        <w:ind w:right="237"/>
        <w:jc w:val="both"/>
        <w:rPr>
          <w:sz w:val="24"/>
          <w:szCs w:val="24"/>
        </w:rPr>
      </w:pPr>
    </w:p>
    <w:p w14:paraId="3FCB22A4" w14:textId="72F25322" w:rsidR="00B463F8" w:rsidRDefault="00DC6DBC" w:rsidP="009370AE">
      <w:pPr>
        <w:ind w:right="237"/>
        <w:jc w:val="both"/>
        <w:rPr>
          <w:sz w:val="24"/>
          <w:szCs w:val="24"/>
        </w:rPr>
      </w:pPr>
      <w:r>
        <w:rPr>
          <w:sz w:val="24"/>
          <w:szCs w:val="24"/>
        </w:rPr>
        <w:lastRenderedPageBreak/>
        <w:t xml:space="preserve">To briefly evaluate the strengths and limitations of these actions; </w:t>
      </w:r>
      <w:r w:rsidR="008954B1">
        <w:rPr>
          <w:sz w:val="24"/>
          <w:szCs w:val="24"/>
        </w:rPr>
        <w:t>Witness identification and interviewing is a fundamental part of policing, whereby they often represent the difference between a conviction and a criminal walking away from the court process without repercussion</w:t>
      </w:r>
      <w:r w:rsidR="004467F4">
        <w:rPr>
          <w:sz w:val="24"/>
          <w:szCs w:val="24"/>
        </w:rPr>
        <w:t xml:space="preserve"> (</w:t>
      </w:r>
      <w:r w:rsidR="009A721A">
        <w:rPr>
          <w:sz w:val="24"/>
          <w:szCs w:val="24"/>
        </w:rPr>
        <w:t>Garrett, et al., 2020</w:t>
      </w:r>
      <w:r w:rsidR="004467F4">
        <w:rPr>
          <w:sz w:val="24"/>
          <w:szCs w:val="24"/>
        </w:rPr>
        <w:t>)</w:t>
      </w:r>
      <w:r w:rsidR="008954B1">
        <w:rPr>
          <w:sz w:val="24"/>
          <w:szCs w:val="24"/>
        </w:rPr>
        <w:t>. Their strengths include the ability and ease of gathering information as it can often be seen as a recorded conversation, in which much of the public are happy to participate (</w:t>
      </w:r>
      <w:r w:rsidR="009A721A">
        <w:rPr>
          <w:sz w:val="24"/>
          <w:szCs w:val="24"/>
        </w:rPr>
        <w:t>Wells, 2020</w:t>
      </w:r>
      <w:r w:rsidR="008954B1">
        <w:rPr>
          <w:sz w:val="24"/>
          <w:szCs w:val="24"/>
        </w:rPr>
        <w:t xml:space="preserve">). This method allows for the corroboration of evidence with other testimonies and passive data, </w:t>
      </w:r>
      <w:r w:rsidR="004467F4">
        <w:rPr>
          <w:sz w:val="24"/>
          <w:szCs w:val="24"/>
        </w:rPr>
        <w:t>as well as offering an insight into events prior and following an incident, which may shed light on motives and intentions of the suspect (</w:t>
      </w:r>
      <w:r w:rsidR="009A721A">
        <w:rPr>
          <w:sz w:val="24"/>
          <w:szCs w:val="24"/>
        </w:rPr>
        <w:t>Welner, 2001</w:t>
      </w:r>
      <w:r w:rsidR="004467F4">
        <w:rPr>
          <w:sz w:val="24"/>
          <w:szCs w:val="24"/>
        </w:rPr>
        <w:t>).</w:t>
      </w:r>
      <w:r w:rsidR="000D15CC">
        <w:rPr>
          <w:sz w:val="24"/>
          <w:szCs w:val="24"/>
        </w:rPr>
        <w:t xml:space="preserve"> Limitations include the possibility that memory can often be misconstrued, or the individual may simply exhibit poor recall ability which could not only be unhelpful to the investigation, but potentially undermine it (</w:t>
      </w:r>
      <w:r w:rsidR="009A721A">
        <w:rPr>
          <w:sz w:val="24"/>
          <w:szCs w:val="24"/>
        </w:rPr>
        <w:t>Mackay and Paterson, 2015</w:t>
      </w:r>
      <w:r w:rsidR="000D15CC">
        <w:rPr>
          <w:sz w:val="24"/>
          <w:szCs w:val="24"/>
        </w:rPr>
        <w:t>). Bias and pre</w:t>
      </w:r>
      <w:r w:rsidR="004B5138">
        <w:rPr>
          <w:sz w:val="24"/>
          <w:szCs w:val="24"/>
        </w:rPr>
        <w:t>meditated beliefs or perceptions of victims and suspects</w:t>
      </w:r>
      <w:r w:rsidR="00D07DDC">
        <w:rPr>
          <w:sz w:val="24"/>
          <w:szCs w:val="24"/>
        </w:rPr>
        <w:t xml:space="preserve"> also has the potential to influence testimonies, with studies suggesting that race and gender are two of many factors to affect a person’s implicit bias towards helping or hindering another (</w:t>
      </w:r>
      <w:r w:rsidR="00D07DDC" w:rsidRPr="00D07DDC">
        <w:rPr>
          <w:sz w:val="24"/>
          <w:szCs w:val="24"/>
        </w:rPr>
        <w:t>Mitchell, Haw</w:t>
      </w:r>
      <w:r w:rsidR="00D07DDC">
        <w:rPr>
          <w:sz w:val="24"/>
          <w:szCs w:val="24"/>
        </w:rPr>
        <w:t>,</w:t>
      </w:r>
      <w:r w:rsidR="00D07DDC" w:rsidRPr="00D07DDC">
        <w:rPr>
          <w:sz w:val="24"/>
          <w:szCs w:val="24"/>
        </w:rPr>
        <w:t xml:space="preserve"> Pfeifer, and Meissner</w:t>
      </w:r>
      <w:r w:rsidR="00D07DDC">
        <w:rPr>
          <w:sz w:val="24"/>
          <w:szCs w:val="24"/>
        </w:rPr>
        <w:t>,</w:t>
      </w:r>
      <w:r w:rsidR="00D07DDC" w:rsidRPr="00D07DDC">
        <w:rPr>
          <w:sz w:val="24"/>
          <w:szCs w:val="24"/>
        </w:rPr>
        <w:t xml:space="preserve"> 2005</w:t>
      </w:r>
      <w:r w:rsidR="00D07DDC">
        <w:rPr>
          <w:sz w:val="24"/>
          <w:szCs w:val="24"/>
        </w:rPr>
        <w:t>).</w:t>
      </w:r>
      <w:r w:rsidR="004467F4">
        <w:rPr>
          <w:sz w:val="24"/>
          <w:szCs w:val="24"/>
        </w:rPr>
        <w:t xml:space="preserve"> </w:t>
      </w:r>
      <w:r w:rsidR="00DC4A8B">
        <w:rPr>
          <w:sz w:val="24"/>
          <w:szCs w:val="24"/>
        </w:rPr>
        <w:t>In this investigation, eyewitness</w:t>
      </w:r>
      <w:r w:rsidR="004B5138">
        <w:rPr>
          <w:sz w:val="24"/>
          <w:szCs w:val="24"/>
        </w:rPr>
        <w:t xml:space="preserve"> accounts </w:t>
      </w:r>
      <w:r w:rsidR="00DC4A8B">
        <w:rPr>
          <w:sz w:val="24"/>
          <w:szCs w:val="24"/>
        </w:rPr>
        <w:t xml:space="preserve">combined with CCTV proved vital as the events leading up to the stranger rape were captured, and the suspect’s </w:t>
      </w:r>
      <w:r w:rsidR="000D15CC">
        <w:rPr>
          <w:sz w:val="24"/>
          <w:szCs w:val="24"/>
        </w:rPr>
        <w:t xml:space="preserve">apparent </w:t>
      </w:r>
      <w:r w:rsidR="00DC4A8B">
        <w:rPr>
          <w:sz w:val="24"/>
          <w:szCs w:val="24"/>
        </w:rPr>
        <w:t>motives</w:t>
      </w:r>
      <w:r w:rsidR="00D07DDC">
        <w:rPr>
          <w:sz w:val="24"/>
          <w:szCs w:val="24"/>
        </w:rPr>
        <w:t xml:space="preserve"> were</w:t>
      </w:r>
      <w:r w:rsidR="00DC4A8B">
        <w:rPr>
          <w:sz w:val="24"/>
          <w:szCs w:val="24"/>
        </w:rPr>
        <w:t xml:space="preserve"> documented. This allowed for intricate interview questioning at a later stage which identified large inconsistencies in the suspect’s account</w:t>
      </w:r>
      <w:r w:rsidR="00D07DDC">
        <w:rPr>
          <w:sz w:val="24"/>
          <w:szCs w:val="24"/>
        </w:rPr>
        <w:t>, highlighting the effectiveness and quality of early identification of witnesses.</w:t>
      </w:r>
    </w:p>
    <w:p w14:paraId="731EFE2B" w14:textId="77777777" w:rsidR="00B463F8" w:rsidRDefault="00B463F8" w:rsidP="009370AE">
      <w:pPr>
        <w:ind w:right="237"/>
        <w:jc w:val="both"/>
        <w:rPr>
          <w:sz w:val="24"/>
          <w:szCs w:val="24"/>
        </w:rPr>
      </w:pPr>
    </w:p>
    <w:p w14:paraId="38E23584" w14:textId="4B8B142D" w:rsidR="00DC6DBC" w:rsidRDefault="00D07DDC" w:rsidP="009370AE">
      <w:pPr>
        <w:ind w:right="237"/>
        <w:jc w:val="both"/>
        <w:rPr>
          <w:sz w:val="24"/>
          <w:szCs w:val="24"/>
        </w:rPr>
      </w:pPr>
      <w:r>
        <w:rPr>
          <w:sz w:val="24"/>
          <w:szCs w:val="24"/>
        </w:rPr>
        <w:t>In addition to the above method, f</w:t>
      </w:r>
      <w:r w:rsidR="00DC6DBC" w:rsidRPr="00DC6DBC">
        <w:rPr>
          <w:sz w:val="24"/>
          <w:szCs w:val="24"/>
        </w:rPr>
        <w:t xml:space="preserve">orensic swabs are </w:t>
      </w:r>
      <w:r w:rsidR="00DC6DBC">
        <w:rPr>
          <w:sz w:val="24"/>
          <w:szCs w:val="24"/>
        </w:rPr>
        <w:t>used</w:t>
      </w:r>
      <w:r w:rsidR="00DC6DBC" w:rsidRPr="00DC6DBC">
        <w:rPr>
          <w:sz w:val="24"/>
          <w:szCs w:val="24"/>
        </w:rPr>
        <w:t xml:space="preserve"> for the collection of biological evidence from crime scenes</w:t>
      </w:r>
      <w:r w:rsidR="00DC6DBC">
        <w:rPr>
          <w:sz w:val="24"/>
          <w:szCs w:val="24"/>
        </w:rPr>
        <w:t>, such as blood, saliva, semen, or other DNA, whilst preserving the strength and integrity of their evidence</w:t>
      </w:r>
      <w:r w:rsidR="00B463F8">
        <w:rPr>
          <w:sz w:val="24"/>
          <w:szCs w:val="24"/>
        </w:rPr>
        <w:t xml:space="preserve"> (</w:t>
      </w:r>
      <w:r>
        <w:rPr>
          <w:sz w:val="24"/>
          <w:szCs w:val="24"/>
        </w:rPr>
        <w:t>Tilley and Townsley, 2013</w:t>
      </w:r>
      <w:r w:rsidR="00B463F8">
        <w:rPr>
          <w:sz w:val="24"/>
          <w:szCs w:val="24"/>
        </w:rPr>
        <w:t>)</w:t>
      </w:r>
      <w:r w:rsidR="00DC6DBC">
        <w:rPr>
          <w:sz w:val="24"/>
          <w:szCs w:val="24"/>
        </w:rPr>
        <w:t>. They allow for precision and direct sampling to prevent contamination and are capable of identifying suspects due to matching unique DNA patterns</w:t>
      </w:r>
      <w:r w:rsidR="00B463F8">
        <w:rPr>
          <w:sz w:val="24"/>
          <w:szCs w:val="24"/>
        </w:rPr>
        <w:t xml:space="preserve"> (</w:t>
      </w:r>
      <w:r>
        <w:rPr>
          <w:sz w:val="24"/>
          <w:szCs w:val="24"/>
        </w:rPr>
        <w:t>Hedman et al., 2021</w:t>
      </w:r>
      <w:r w:rsidR="00B463F8">
        <w:rPr>
          <w:sz w:val="24"/>
          <w:szCs w:val="24"/>
        </w:rPr>
        <w:t>)</w:t>
      </w:r>
      <w:r w:rsidR="00DC6DBC">
        <w:rPr>
          <w:sz w:val="24"/>
          <w:szCs w:val="24"/>
        </w:rPr>
        <w:t>. This information can be the vital piece of evidence leading to the apprehension of suspects, as has been proven with the conclusion of many “cold cases” due to advances in technology (</w:t>
      </w:r>
      <w:r w:rsidR="008A0963">
        <w:rPr>
          <w:sz w:val="24"/>
          <w:szCs w:val="24"/>
        </w:rPr>
        <w:t>Parker, 2017</w:t>
      </w:r>
      <w:r w:rsidR="00DC6DBC">
        <w:rPr>
          <w:sz w:val="24"/>
          <w:szCs w:val="24"/>
        </w:rPr>
        <w:t>). The limitations of this method include the potential for cross-contamination when collecting samples, the absence of a previous DNA record from the suspect</w:t>
      </w:r>
      <w:r w:rsidR="00B463F8">
        <w:rPr>
          <w:sz w:val="24"/>
          <w:szCs w:val="24"/>
        </w:rPr>
        <w:t xml:space="preserve"> (</w:t>
      </w:r>
      <w:r w:rsidR="00072A4A" w:rsidRPr="00072A4A">
        <w:rPr>
          <w:sz w:val="24"/>
          <w:szCs w:val="24"/>
        </w:rPr>
        <w:t>Fonneløp, Johannessen,</w:t>
      </w:r>
      <w:r w:rsidR="00072A4A">
        <w:rPr>
          <w:sz w:val="24"/>
          <w:szCs w:val="24"/>
        </w:rPr>
        <w:t xml:space="preserve"> </w:t>
      </w:r>
      <w:r w:rsidR="00072A4A" w:rsidRPr="00072A4A">
        <w:rPr>
          <w:sz w:val="24"/>
          <w:szCs w:val="24"/>
        </w:rPr>
        <w:t>Egeland, and Gill, 2016</w:t>
      </w:r>
      <w:r w:rsidR="00B463F8">
        <w:rPr>
          <w:sz w:val="24"/>
          <w:szCs w:val="24"/>
        </w:rPr>
        <w:t>)</w:t>
      </w:r>
      <w:r w:rsidR="00DC6DBC">
        <w:rPr>
          <w:sz w:val="24"/>
          <w:szCs w:val="24"/>
        </w:rPr>
        <w:t>, and attempting to balance the cost and time spent by the police with the severity of the crime under investigation (</w:t>
      </w:r>
      <w:r w:rsidR="00072A4A">
        <w:rPr>
          <w:sz w:val="24"/>
          <w:szCs w:val="24"/>
        </w:rPr>
        <w:t>Garrett, 2019</w:t>
      </w:r>
      <w:r w:rsidR="00DC6DBC">
        <w:rPr>
          <w:sz w:val="24"/>
          <w:szCs w:val="24"/>
        </w:rPr>
        <w:t>); many crimes would simply not be afforded the opportunity of forensic swabbing due to the cost versus public interest in a conviction. This makes it difficult to balance needs of victims and the wider public with the resources available to police (</w:t>
      </w:r>
      <w:r w:rsidR="00BD5C01">
        <w:rPr>
          <w:sz w:val="24"/>
          <w:szCs w:val="24"/>
        </w:rPr>
        <w:t>Flanagan, 2018</w:t>
      </w:r>
      <w:r w:rsidR="00DC6DBC">
        <w:rPr>
          <w:sz w:val="24"/>
          <w:szCs w:val="24"/>
        </w:rPr>
        <w:t xml:space="preserve">). </w:t>
      </w:r>
      <w:r w:rsidR="00B463F8">
        <w:rPr>
          <w:sz w:val="24"/>
          <w:szCs w:val="24"/>
        </w:rPr>
        <w:t xml:space="preserve">In this particular case, forensic swabbing was deemed absolutely necessary due to the severity of the crime, and subsequently proved successful as a strong DNA match was identified as a result, later leading to the arrest and conviction of the suspect. </w:t>
      </w:r>
    </w:p>
    <w:p w14:paraId="5E9847CF" w14:textId="77777777" w:rsidR="00FB4ABE" w:rsidRDefault="00FB4ABE" w:rsidP="009370AE">
      <w:pPr>
        <w:ind w:right="237"/>
        <w:jc w:val="both"/>
        <w:rPr>
          <w:sz w:val="24"/>
          <w:szCs w:val="24"/>
        </w:rPr>
      </w:pPr>
    </w:p>
    <w:p w14:paraId="038BAB29" w14:textId="423A5912" w:rsidR="00C25FE6" w:rsidRDefault="00FB4ABE" w:rsidP="009370AE">
      <w:pPr>
        <w:ind w:right="237"/>
        <w:jc w:val="both"/>
        <w:rPr>
          <w:sz w:val="24"/>
          <w:szCs w:val="24"/>
        </w:rPr>
      </w:pPr>
      <w:r>
        <w:rPr>
          <w:sz w:val="24"/>
          <w:szCs w:val="24"/>
        </w:rPr>
        <w:t>With regard to the health and welfare of the victim, forensic swabbing in itself can feel very degrading and uncomfortable, and victims have previously reported feeling guilty or shameful at having to go through these processes</w:t>
      </w:r>
      <w:r w:rsidR="004904FC">
        <w:rPr>
          <w:sz w:val="24"/>
          <w:szCs w:val="24"/>
        </w:rPr>
        <w:t xml:space="preserve"> (</w:t>
      </w:r>
      <w:r w:rsidR="00406683" w:rsidRPr="00406683">
        <w:rPr>
          <w:sz w:val="24"/>
          <w:szCs w:val="24"/>
        </w:rPr>
        <w:t>Cybulska</w:t>
      </w:r>
      <w:r w:rsidR="00406683">
        <w:rPr>
          <w:sz w:val="24"/>
          <w:szCs w:val="24"/>
        </w:rPr>
        <w:t xml:space="preserve"> </w:t>
      </w:r>
      <w:r w:rsidR="00406683" w:rsidRPr="00406683">
        <w:rPr>
          <w:sz w:val="24"/>
          <w:szCs w:val="24"/>
        </w:rPr>
        <w:t>and Forster</w:t>
      </w:r>
      <w:r w:rsidR="00406683">
        <w:rPr>
          <w:sz w:val="24"/>
          <w:szCs w:val="24"/>
        </w:rPr>
        <w:t>,</w:t>
      </w:r>
      <w:r w:rsidR="00406683" w:rsidRPr="00406683">
        <w:rPr>
          <w:sz w:val="24"/>
          <w:szCs w:val="24"/>
        </w:rPr>
        <w:t xml:space="preserve"> 2007</w:t>
      </w:r>
      <w:r w:rsidR="004904FC">
        <w:rPr>
          <w:sz w:val="24"/>
          <w:szCs w:val="24"/>
        </w:rPr>
        <w:t>)</w:t>
      </w:r>
      <w:r>
        <w:rPr>
          <w:sz w:val="24"/>
          <w:szCs w:val="24"/>
        </w:rPr>
        <w:t>. Many have voiced feelings of guilt, anger, embarrassment, and have often retracted their support for a police complaint as a result, and have allowed the crime to go unresolved (</w:t>
      </w:r>
      <w:r w:rsidR="00406683">
        <w:rPr>
          <w:sz w:val="24"/>
          <w:szCs w:val="24"/>
        </w:rPr>
        <w:t>Mulla, 2014</w:t>
      </w:r>
      <w:r>
        <w:rPr>
          <w:sz w:val="24"/>
          <w:szCs w:val="24"/>
        </w:rPr>
        <w:t>).</w:t>
      </w:r>
      <w:r w:rsidR="004904FC">
        <w:rPr>
          <w:sz w:val="24"/>
          <w:szCs w:val="24"/>
        </w:rPr>
        <w:t xml:space="preserve"> This highlights an issue with a standardised, best-practice approach to identifying and apprehending perpetrators as the process relies heavily on the compliance of victims or witnesses who may be reluctant or refuse entirely to engage with the intrusiveness of it (</w:t>
      </w:r>
      <w:r w:rsidR="00406683" w:rsidRPr="00406683">
        <w:rPr>
          <w:sz w:val="24"/>
          <w:szCs w:val="24"/>
        </w:rPr>
        <w:t>Stewart, Shackel,</w:t>
      </w:r>
      <w:r w:rsidR="00406683">
        <w:rPr>
          <w:sz w:val="24"/>
          <w:szCs w:val="24"/>
        </w:rPr>
        <w:t xml:space="preserve"> </w:t>
      </w:r>
      <w:r w:rsidR="00406683" w:rsidRPr="00406683">
        <w:rPr>
          <w:sz w:val="24"/>
          <w:szCs w:val="24"/>
        </w:rPr>
        <w:t xml:space="preserve">Freedman, and </w:t>
      </w:r>
      <w:r w:rsidR="00406683" w:rsidRPr="00406683">
        <w:rPr>
          <w:sz w:val="24"/>
          <w:szCs w:val="24"/>
        </w:rPr>
        <w:lastRenderedPageBreak/>
        <w:t>Templeton, 2024</w:t>
      </w:r>
      <w:r w:rsidR="004904FC">
        <w:rPr>
          <w:sz w:val="24"/>
          <w:szCs w:val="24"/>
        </w:rPr>
        <w:t xml:space="preserve">). A victim, particularly in a case such as that of rape, needs to be considered with utmost care and compassion, and care must be taken not to pressurise or attempt to persuade them to participate in things they have refused to do. Studies show that, following traumatic events, individuals are </w:t>
      </w:r>
      <w:r w:rsidR="00155030">
        <w:rPr>
          <w:sz w:val="24"/>
          <w:szCs w:val="24"/>
        </w:rPr>
        <w:t>less likely to trust others, and less likely to agree to uncomfortable situations (</w:t>
      </w:r>
      <w:r w:rsidR="00406683" w:rsidRPr="00406683">
        <w:rPr>
          <w:sz w:val="24"/>
          <w:szCs w:val="24"/>
        </w:rPr>
        <w:t>Wemmers, Parent, and Lachance Quirion,</w:t>
      </w:r>
      <w:r w:rsidR="00406683">
        <w:rPr>
          <w:sz w:val="24"/>
          <w:szCs w:val="24"/>
        </w:rPr>
        <w:t xml:space="preserve"> </w:t>
      </w:r>
      <w:r w:rsidR="00406683" w:rsidRPr="00406683">
        <w:rPr>
          <w:sz w:val="24"/>
          <w:szCs w:val="24"/>
        </w:rPr>
        <w:t>2023</w:t>
      </w:r>
      <w:r w:rsidR="00155030">
        <w:rPr>
          <w:sz w:val="24"/>
          <w:szCs w:val="24"/>
        </w:rPr>
        <w:t>). The victim in this investigation was understandably distraught at what had happened to her, and it was clear from the outset that she would take some time to decide on her level of participation within the investigation, and at her own pace. I personally found no issue with this, as I feel that concentrating on someone’s health and recovery following traumatic incidents is far more considerate and appropriate than putting that energy into following lines of enquiry and even identifying suspects. Both would be ideal, however there has to be a balance and compassion shown in these circumstances</w:t>
      </w:r>
      <w:r w:rsidR="00086CBC">
        <w:rPr>
          <w:sz w:val="24"/>
          <w:szCs w:val="24"/>
        </w:rPr>
        <w:t xml:space="preserve"> as the</w:t>
      </w:r>
      <w:r w:rsidR="00155030">
        <w:rPr>
          <w:sz w:val="24"/>
          <w:szCs w:val="24"/>
        </w:rPr>
        <w:t xml:space="preserve"> </w:t>
      </w:r>
      <w:r w:rsidR="00086CBC">
        <w:rPr>
          <w:sz w:val="24"/>
          <w:szCs w:val="24"/>
        </w:rPr>
        <w:t>p</w:t>
      </w:r>
      <w:r w:rsidR="00155030">
        <w:rPr>
          <w:sz w:val="24"/>
          <w:szCs w:val="24"/>
        </w:rPr>
        <w:t>olice are, first and foremost, a service designed to protect and preserve life, and ensure the safety of those around them</w:t>
      </w:r>
      <w:r w:rsidR="00086CBC">
        <w:rPr>
          <w:sz w:val="24"/>
          <w:szCs w:val="24"/>
        </w:rPr>
        <w:t xml:space="preserve"> (</w:t>
      </w:r>
      <w:r w:rsidR="00406683">
        <w:rPr>
          <w:sz w:val="24"/>
          <w:szCs w:val="24"/>
        </w:rPr>
        <w:t>Ozin and Norton, 2019</w:t>
      </w:r>
      <w:r w:rsidR="00086CBC">
        <w:rPr>
          <w:sz w:val="24"/>
          <w:szCs w:val="24"/>
        </w:rPr>
        <w:t>)</w:t>
      </w:r>
      <w:r w:rsidR="00155030">
        <w:rPr>
          <w:sz w:val="24"/>
          <w:szCs w:val="24"/>
        </w:rPr>
        <w:t>. Support networks can be put in place to assist victims of crime in a multitude of different ways</w:t>
      </w:r>
      <w:r w:rsidR="00086CBC">
        <w:rPr>
          <w:sz w:val="24"/>
          <w:szCs w:val="24"/>
        </w:rPr>
        <w:t>, as was utilised in this investigation;</w:t>
      </w:r>
      <w:r w:rsidR="00155030">
        <w:rPr>
          <w:sz w:val="24"/>
          <w:szCs w:val="24"/>
        </w:rPr>
        <w:t xml:space="preserve"> from support with socialising or financial decisions, to mental health</w:t>
      </w:r>
      <w:r w:rsidR="00086CBC">
        <w:rPr>
          <w:sz w:val="24"/>
          <w:szCs w:val="24"/>
        </w:rPr>
        <w:t xml:space="preserve"> (</w:t>
      </w:r>
      <w:r w:rsidR="0045046E">
        <w:rPr>
          <w:sz w:val="24"/>
          <w:szCs w:val="24"/>
        </w:rPr>
        <w:t>Arora, 2017</w:t>
      </w:r>
      <w:r w:rsidR="00086CBC">
        <w:rPr>
          <w:sz w:val="24"/>
          <w:szCs w:val="24"/>
        </w:rPr>
        <w:t>)</w:t>
      </w:r>
      <w:r w:rsidR="00155030">
        <w:rPr>
          <w:sz w:val="24"/>
          <w:szCs w:val="24"/>
        </w:rPr>
        <w:t xml:space="preserve">. It is paramount that this side of the role is utilised and constantly reviewed in order to provide the public with the greatest possible care for when they find themselves enduring the worst periods of their lives. </w:t>
      </w:r>
      <w:r w:rsidR="00086CBC">
        <w:rPr>
          <w:sz w:val="24"/>
          <w:szCs w:val="24"/>
        </w:rPr>
        <w:t>The reluctance of the victim to participate in forensic sampling as well as the initial difficulties of obtaining credible witness evidence highlighted the difficulties in the processes employed by police for these events, one further such example was the process involved in obtaining CCTV lawfully from a premises. There was CCTV capturing a lengthy and important segment of the incident, however this was ultimately unobtained and lost due to the bureaucracy associated with Data Protection law (</w:t>
      </w:r>
      <w:r w:rsidR="0045046E">
        <w:rPr>
          <w:sz w:val="24"/>
          <w:szCs w:val="24"/>
        </w:rPr>
        <w:t>Akhtar, 2019</w:t>
      </w:r>
      <w:r w:rsidR="00086CBC">
        <w:rPr>
          <w:sz w:val="24"/>
          <w:szCs w:val="24"/>
        </w:rPr>
        <w:t xml:space="preserve">) and police policy in completing documentation for its retrieval. The CCTV system in question was designed to overwrite itself every seven days, and by the time the staff member tasked with the responsibility of Data Protection queries responded to the request for the data by asking for further information which had already been provided prior, the vital information was lost. This, by itself, could have proven the difference between a swift conclusion to the case and what was ultimately a lengthy and difficult process for all involved; particularly the victim. </w:t>
      </w:r>
    </w:p>
    <w:p w14:paraId="34EF2B96" w14:textId="77777777" w:rsidR="00C25FE6" w:rsidRDefault="00C25FE6" w:rsidP="009370AE">
      <w:pPr>
        <w:ind w:right="237"/>
        <w:jc w:val="both"/>
        <w:rPr>
          <w:sz w:val="24"/>
          <w:szCs w:val="24"/>
        </w:rPr>
      </w:pPr>
    </w:p>
    <w:p w14:paraId="33F703E4" w14:textId="546F7E5D" w:rsidR="0045046E" w:rsidRDefault="0045046E" w:rsidP="009370AE">
      <w:pPr>
        <w:ind w:right="237"/>
        <w:jc w:val="both"/>
        <w:rPr>
          <w:sz w:val="24"/>
          <w:szCs w:val="24"/>
        </w:rPr>
      </w:pPr>
      <w:r>
        <w:rPr>
          <w:sz w:val="24"/>
          <w:szCs w:val="24"/>
        </w:rPr>
        <w:t xml:space="preserve">This particular investigation highlighted many things to me; primarily cementing my belief that victims of crimes such as these may never be the same again, and the damage and impact it has on their lives is extraordinary. Whilst the police and partner agencies recognise this, and attempt to put support networks in place for this very reason, there feels like a slight divide between wanting to provide the best possible safeguarding and considering the needs of victims, and the requirement to pursue and apprehend perpetrators to ensure such a crime does not reoccur. </w:t>
      </w:r>
      <w:r w:rsidR="00843E9B">
        <w:rPr>
          <w:sz w:val="24"/>
          <w:szCs w:val="24"/>
        </w:rPr>
        <w:t xml:space="preserve">Policing is a difficult balance, particularly as we move forward to becoming more consciously aware of our history of exclusion of minority groups, or reports highlighting inadequate witness care and witness contact, as well as the high level of scrutiny the police currently hold within the media. Whilst I felt that I provided the best possible care to the victim in this case, including keeping her updated, ensuring her needs and concerns were always voiced and met, and subsequently assisting in apprehending the suspect, I feared at every stage that more could’ve been done on an interpersonal and tangible level, and less time could’ve been spent on filling in often long-winded forms and documents to send to different partners or the Crown </w:t>
      </w:r>
      <w:r w:rsidR="00843E9B">
        <w:rPr>
          <w:sz w:val="24"/>
          <w:szCs w:val="24"/>
        </w:rPr>
        <w:lastRenderedPageBreak/>
        <w:t>Prosecution Service. I have no doubt the logistics of it would be difficult to navigate, however I believe that a standardised document which can be written once and shared with multiple people or agencies would be a positive step forward in freeing up officer time, and standardising a process across the board to dynamically review and improve on as time goes on. I strongly feel that to improve our ability to treat victims, witnesses and suspects with the attention and care they deserve, we have a long way to go in terms of streamlining our documentation processes and ensuring our resources are spent in better areas that ultimately make the difference between a miserable experience for all involved, and an experience where it can be universally agreed that the police have done everything they could.</w:t>
      </w:r>
    </w:p>
    <w:p w14:paraId="0408043A" w14:textId="77777777" w:rsidR="000735C2" w:rsidRDefault="000735C2" w:rsidP="009370AE">
      <w:pPr>
        <w:ind w:right="237"/>
        <w:jc w:val="both"/>
        <w:rPr>
          <w:sz w:val="24"/>
          <w:szCs w:val="24"/>
        </w:rPr>
      </w:pPr>
    </w:p>
    <w:p w14:paraId="132CF242" w14:textId="7A8E7794" w:rsidR="000735C2" w:rsidRDefault="000735C2" w:rsidP="000735C2">
      <w:pPr>
        <w:overflowPunct/>
        <w:autoSpaceDE/>
        <w:autoSpaceDN/>
        <w:adjustRightInd/>
        <w:textAlignment w:val="auto"/>
        <w:rPr>
          <w:sz w:val="24"/>
          <w:szCs w:val="24"/>
        </w:rPr>
      </w:pPr>
      <w:r>
        <w:rPr>
          <w:sz w:val="24"/>
          <w:szCs w:val="24"/>
        </w:rPr>
        <w:t>(WORD COUNT:</w:t>
      </w:r>
      <w:r>
        <w:rPr>
          <w:sz w:val="24"/>
          <w:szCs w:val="24"/>
        </w:rPr>
        <w:t xml:space="preserve"> 1999</w:t>
      </w:r>
      <w:r>
        <w:rPr>
          <w:sz w:val="24"/>
          <w:szCs w:val="24"/>
        </w:rPr>
        <w:t>)</w:t>
      </w:r>
    </w:p>
    <w:p w14:paraId="317C9355" w14:textId="77777777" w:rsidR="000735C2" w:rsidRPr="000735C2" w:rsidRDefault="000735C2" w:rsidP="009370AE">
      <w:pPr>
        <w:ind w:right="237"/>
        <w:jc w:val="both"/>
        <w:rPr>
          <w:b/>
          <w:bCs/>
          <w:sz w:val="24"/>
          <w:szCs w:val="24"/>
        </w:rPr>
      </w:pPr>
    </w:p>
    <w:p w14:paraId="19F9F5F8" w14:textId="77777777" w:rsidR="00C25FE6" w:rsidRPr="00C25FE6" w:rsidRDefault="00C25FE6" w:rsidP="009370AE">
      <w:pPr>
        <w:ind w:right="237"/>
        <w:jc w:val="both"/>
        <w:rPr>
          <w:sz w:val="24"/>
          <w:szCs w:val="24"/>
        </w:rPr>
      </w:pPr>
    </w:p>
    <w:p w14:paraId="21916647" w14:textId="77777777" w:rsidR="00C25FE6" w:rsidRDefault="00C25FE6" w:rsidP="009370AE">
      <w:pPr>
        <w:ind w:right="237"/>
        <w:jc w:val="both"/>
        <w:rPr>
          <w:color w:val="000000" w:themeColor="text1"/>
          <w:sz w:val="28"/>
          <w:szCs w:val="28"/>
        </w:rPr>
      </w:pPr>
    </w:p>
    <w:p w14:paraId="347FEE48" w14:textId="77777777" w:rsidR="00057408" w:rsidRPr="004C3114" w:rsidRDefault="00057408" w:rsidP="009370AE">
      <w:pPr>
        <w:ind w:right="237"/>
        <w:jc w:val="both"/>
        <w:rPr>
          <w:color w:val="000000" w:themeColor="text1"/>
          <w:sz w:val="28"/>
          <w:szCs w:val="28"/>
        </w:rPr>
      </w:pPr>
    </w:p>
    <w:p w14:paraId="01E6D1F2" w14:textId="77777777" w:rsidR="001F3976" w:rsidRDefault="001F3976"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4E2C1625" w:rsidR="0FF883D4" w:rsidRDefault="5CE196A1" w:rsidP="5CE196A1">
      <w:r w:rsidRPr="5CE196A1">
        <w:rPr>
          <w:rFonts w:eastAsia="Arial"/>
          <w:b/>
          <w:bCs/>
          <w:color w:val="000000" w:themeColor="text1"/>
          <w:sz w:val="24"/>
          <w:szCs w:val="24"/>
        </w:rPr>
        <w:t xml:space="preserve">Authentication signature: </w:t>
      </w:r>
      <w:r w:rsidR="001F3976">
        <w:rPr>
          <w:rFonts w:eastAsia="Arial"/>
          <w:b/>
          <w:bCs/>
          <w:color w:val="000000" w:themeColor="text1"/>
          <w:sz w:val="24"/>
          <w:szCs w:val="24"/>
        </w:rPr>
        <w:t>CHRISTIAN S LITTLER</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39A9BFC" w:rsidR="0FF883D4" w:rsidRDefault="5CE196A1" w:rsidP="5CE196A1">
      <w:r w:rsidRPr="5CE196A1">
        <w:rPr>
          <w:rFonts w:eastAsia="Arial"/>
          <w:b/>
          <w:bCs/>
          <w:color w:val="000000" w:themeColor="text1"/>
          <w:sz w:val="24"/>
          <w:szCs w:val="24"/>
        </w:rPr>
        <w:t xml:space="preserve">Signed: </w:t>
      </w:r>
      <w:r w:rsidR="001F3976">
        <w:rPr>
          <w:rFonts w:eastAsia="Arial"/>
          <w:b/>
          <w:bCs/>
          <w:color w:val="000000" w:themeColor="text1"/>
          <w:sz w:val="24"/>
          <w:szCs w:val="24"/>
        </w:rPr>
        <w:t>C S LITTLER</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D6C04DF" w:rsidR="0FF883D4" w:rsidRPr="001F3976" w:rsidRDefault="5CE196A1" w:rsidP="001F3976">
      <w:pPr>
        <w:sectPr w:rsidR="0FF883D4" w:rsidRPr="001F3976" w:rsidSect="008E20C0">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F3976">
        <w:t xml:space="preserve"> </w:t>
      </w:r>
      <w:r w:rsidR="001F3976">
        <w:rPr>
          <w:b/>
          <w:bCs/>
          <w:sz w:val="24"/>
          <w:szCs w:val="24"/>
          <w:lang w:eastAsia="zh-TW"/>
        </w:rPr>
        <w:t>24/04/2024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90E9F99" w:rsidR="1E8636EB" w:rsidRDefault="000F7ECD" w:rsidP="00634E1E">
      <w:pPr>
        <w:keepNext/>
        <w:keepLines/>
        <w:spacing w:before="240" w:after="60"/>
        <w:ind w:right="238"/>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BDA394B" w14:textId="77777777" w:rsidR="0045046E" w:rsidRDefault="0045046E" w:rsidP="00634E1E">
      <w:pPr>
        <w:keepNext/>
        <w:keepLines/>
        <w:spacing w:before="240" w:after="60"/>
        <w:ind w:right="238"/>
        <w:jc w:val="both"/>
        <w:rPr>
          <w:sz w:val="24"/>
          <w:szCs w:val="24"/>
        </w:rPr>
      </w:pPr>
    </w:p>
    <w:p w14:paraId="72B16A4D" w14:textId="77777777" w:rsidR="0045046E" w:rsidRDefault="0045046E" w:rsidP="00634E1E">
      <w:pPr>
        <w:keepNext/>
        <w:keepLines/>
        <w:spacing w:before="240" w:after="60"/>
        <w:ind w:right="238"/>
        <w:jc w:val="both"/>
        <w:rPr>
          <w:sz w:val="24"/>
          <w:szCs w:val="24"/>
        </w:rPr>
      </w:pPr>
      <w:r w:rsidRPr="0045046E">
        <w:rPr>
          <w:sz w:val="24"/>
          <w:szCs w:val="24"/>
        </w:rPr>
        <w:t>Akhtar, M., 2019. Police use of facial recognition technology and the right to privacy and data protection in Europe. NAVEIÑ REET: Nordic Journal of Law and Social Research, (9), pp.324-344.</w:t>
      </w:r>
    </w:p>
    <w:p w14:paraId="2A70785B" w14:textId="6B2E8501" w:rsidR="0051015C" w:rsidRDefault="0051015C" w:rsidP="00634E1E">
      <w:pPr>
        <w:keepNext/>
        <w:keepLines/>
        <w:spacing w:before="240" w:after="60"/>
        <w:ind w:right="238"/>
        <w:jc w:val="both"/>
        <w:rPr>
          <w:sz w:val="24"/>
          <w:szCs w:val="24"/>
        </w:rPr>
      </w:pPr>
      <w:r w:rsidRPr="0051015C">
        <w:rPr>
          <w:sz w:val="24"/>
          <w:szCs w:val="24"/>
        </w:rPr>
        <w:t>Alcantud, P.M., Carreras, G.G., García, J.R.F. and Gallart, M.S., 2021. Fear to retaliation: The most frequent reason for not helping victims of gender violence. RIMCIS: Revista Internacional Y Multidisciplinar en Ciencias Sociales, 10(2), pp.31-50.</w:t>
      </w:r>
    </w:p>
    <w:p w14:paraId="51BDA5AD" w14:textId="217EE321" w:rsidR="0045046E" w:rsidRDefault="0045046E" w:rsidP="00634E1E">
      <w:pPr>
        <w:keepNext/>
        <w:keepLines/>
        <w:spacing w:before="240" w:after="60"/>
        <w:ind w:right="238"/>
        <w:jc w:val="both"/>
        <w:rPr>
          <w:sz w:val="24"/>
          <w:szCs w:val="24"/>
        </w:rPr>
      </w:pPr>
      <w:r w:rsidRPr="0045046E">
        <w:rPr>
          <w:sz w:val="24"/>
          <w:szCs w:val="24"/>
        </w:rPr>
        <w:t>Arora, T., 2017. The use of victim support groups. In Practical approaches to bullying (pp. 37-47). Routledge.</w:t>
      </w:r>
    </w:p>
    <w:p w14:paraId="0DB7723C" w14:textId="70AD05B7" w:rsidR="00C07B81" w:rsidRDefault="00C07B81" w:rsidP="00634E1E">
      <w:pPr>
        <w:keepNext/>
        <w:keepLines/>
        <w:spacing w:before="240" w:after="60"/>
        <w:ind w:right="238"/>
        <w:jc w:val="both"/>
        <w:rPr>
          <w:sz w:val="24"/>
          <w:szCs w:val="24"/>
        </w:rPr>
      </w:pPr>
      <w:r w:rsidRPr="00C07B81">
        <w:rPr>
          <w:sz w:val="24"/>
          <w:szCs w:val="24"/>
        </w:rPr>
        <w:t>Azimi, A.M. and Daigle, L.E., 2021. Mental health and victimization: Does risky lifestyle matter?. Journal of interpersonal violence, 36(1-2), pp.103-131.</w:t>
      </w:r>
    </w:p>
    <w:p w14:paraId="28F12133" w14:textId="24721C4F" w:rsidR="00634E1E" w:rsidRDefault="00634E1E" w:rsidP="00634E1E">
      <w:pPr>
        <w:keepNext/>
        <w:keepLines/>
        <w:spacing w:before="240" w:after="60"/>
        <w:ind w:right="238"/>
        <w:jc w:val="both"/>
        <w:rPr>
          <w:sz w:val="24"/>
          <w:szCs w:val="24"/>
        </w:rPr>
      </w:pPr>
      <w:r w:rsidRPr="00634E1E">
        <w:rPr>
          <w:sz w:val="24"/>
          <w:szCs w:val="24"/>
        </w:rPr>
        <w:t>Barton, L.C. and Barton, H., 2011. Challenges, issues and change: what's the future for UK policing in the twenty</w:t>
      </w:r>
      <w:r w:rsidRPr="00634E1E">
        <w:rPr>
          <w:rFonts w:ascii="Cambria Math" w:hAnsi="Cambria Math" w:cs="Cambria Math"/>
          <w:sz w:val="24"/>
          <w:szCs w:val="24"/>
        </w:rPr>
        <w:t>‐</w:t>
      </w:r>
      <w:r w:rsidRPr="00634E1E">
        <w:rPr>
          <w:sz w:val="24"/>
          <w:szCs w:val="24"/>
        </w:rPr>
        <w:t>first century?. International Journal of Public Sector Management, 24(2), pp.146-156.</w:t>
      </w:r>
    </w:p>
    <w:p w14:paraId="43BA7ABA" w14:textId="7202A95B" w:rsidR="00851EF9" w:rsidRDefault="00851EF9" w:rsidP="00634E1E">
      <w:pPr>
        <w:keepNext/>
        <w:keepLines/>
        <w:spacing w:before="240" w:after="60"/>
        <w:ind w:right="238"/>
        <w:jc w:val="both"/>
        <w:rPr>
          <w:sz w:val="24"/>
          <w:szCs w:val="24"/>
        </w:rPr>
      </w:pPr>
      <w:r w:rsidRPr="00851EF9">
        <w:rPr>
          <w:sz w:val="24"/>
          <w:szCs w:val="24"/>
        </w:rPr>
        <w:t>Bates, E.A. and Douglas, E.M., 2020. Services for domestic violence victims in the United Kingdom and United States: Where are we today?. Partner abuse.</w:t>
      </w:r>
    </w:p>
    <w:p w14:paraId="1D7DF966" w14:textId="4F237C1B" w:rsidR="00C25FE6" w:rsidRDefault="00C25FE6" w:rsidP="00634E1E">
      <w:pPr>
        <w:keepNext/>
        <w:keepLines/>
        <w:spacing w:before="240" w:after="60"/>
        <w:ind w:right="238"/>
        <w:jc w:val="both"/>
        <w:rPr>
          <w:sz w:val="24"/>
          <w:szCs w:val="24"/>
        </w:rPr>
      </w:pPr>
      <w:r w:rsidRPr="00C25FE6">
        <w:rPr>
          <w:sz w:val="24"/>
          <w:szCs w:val="24"/>
        </w:rPr>
        <w:t>Battista, F., Otgaar, H., Lanciano, T. and Curci, A., 2020. Individual differences impact memory for a crime: A study on executive functions resources. Consciousness and cognition, 84, p.103000.</w:t>
      </w:r>
    </w:p>
    <w:p w14:paraId="7DFD9706" w14:textId="6DAB89E4" w:rsidR="00CF16F3" w:rsidRDefault="00CF16F3" w:rsidP="00634E1E">
      <w:pPr>
        <w:keepNext/>
        <w:keepLines/>
        <w:spacing w:before="240" w:after="60"/>
        <w:ind w:right="238"/>
        <w:jc w:val="both"/>
        <w:rPr>
          <w:sz w:val="24"/>
          <w:szCs w:val="24"/>
        </w:rPr>
      </w:pPr>
      <w:r w:rsidRPr="00CF16F3">
        <w:rPr>
          <w:sz w:val="24"/>
          <w:szCs w:val="24"/>
        </w:rPr>
        <w:t>Boudreau, C., MacKenzie, S.A. and Simmons, D.J., 2022. Police violence and public opinion after George Floyd: How the Black Lives Matter movement and</w:t>
      </w:r>
      <w:r w:rsidR="00C07B81">
        <w:rPr>
          <w:sz w:val="24"/>
          <w:szCs w:val="24"/>
        </w:rPr>
        <w:t xml:space="preserve"> </w:t>
      </w:r>
      <w:r w:rsidRPr="00CF16F3">
        <w:rPr>
          <w:sz w:val="24"/>
          <w:szCs w:val="24"/>
        </w:rPr>
        <w:t>endorsements affect support for reforms. Political Research Quarterly, 75(2), pp.497-511.</w:t>
      </w:r>
    </w:p>
    <w:p w14:paraId="7B66750A" w14:textId="77777777" w:rsidR="00C07B81" w:rsidRDefault="00CF16F3" w:rsidP="00634E1E">
      <w:pPr>
        <w:keepNext/>
        <w:keepLines/>
        <w:spacing w:before="240" w:after="60"/>
        <w:ind w:right="238"/>
        <w:jc w:val="both"/>
        <w:rPr>
          <w:sz w:val="24"/>
          <w:szCs w:val="24"/>
        </w:rPr>
      </w:pPr>
      <w:r w:rsidRPr="00CF16F3">
        <w:rPr>
          <w:sz w:val="24"/>
          <w:szCs w:val="24"/>
        </w:rPr>
        <w:t>Burt, C.J., Kondo, M.C., Hohl, B.C., Gong, C.H., Bushman, G., Wixom, C., South, E.C., Cunningham, R.M., Carter, P.M., Branas, C.C. and Zimmerman, M.A., 2022.</w:t>
      </w:r>
    </w:p>
    <w:p w14:paraId="3B05D7D4" w14:textId="7E14A27E" w:rsidR="00634E1E" w:rsidRDefault="00634E1E" w:rsidP="00634E1E">
      <w:pPr>
        <w:keepNext/>
        <w:keepLines/>
        <w:spacing w:before="240" w:after="60"/>
        <w:ind w:right="238"/>
        <w:jc w:val="both"/>
        <w:rPr>
          <w:sz w:val="24"/>
          <w:szCs w:val="24"/>
        </w:rPr>
      </w:pPr>
      <w:r w:rsidRPr="00634E1E">
        <w:rPr>
          <w:sz w:val="24"/>
          <w:szCs w:val="24"/>
        </w:rPr>
        <w:t>Cartwright, A. and Roach, J., 2021. The wellbeing of UK police: a study of recorded absences from work of UK police employees due to psychological illness and stress using freedom of information act data. Policing: A Journal of Policy and Practice, 15(2), pp.1326-1338.</w:t>
      </w:r>
    </w:p>
    <w:p w14:paraId="121A3600" w14:textId="1149D42D" w:rsidR="00664FBD" w:rsidRDefault="00664FBD" w:rsidP="00634E1E">
      <w:pPr>
        <w:keepNext/>
        <w:keepLines/>
        <w:spacing w:before="240" w:after="60"/>
        <w:ind w:right="238"/>
        <w:jc w:val="both"/>
        <w:rPr>
          <w:sz w:val="24"/>
          <w:szCs w:val="24"/>
        </w:rPr>
      </w:pPr>
      <w:r w:rsidRPr="00664FBD">
        <w:rPr>
          <w:sz w:val="24"/>
          <w:szCs w:val="24"/>
        </w:rPr>
        <w:lastRenderedPageBreak/>
        <w:t>Chakraborty, A.T., McKenzie, K.J., Hajat, S. and Stansfeld, S.A., 2010. Racism, mental illness and social support in the UK. Social psychiatry and psychiatric epidemiology, 45, pp.1115-1124.</w:t>
      </w:r>
    </w:p>
    <w:p w14:paraId="474903A5" w14:textId="1AFD6715" w:rsidR="002440E0" w:rsidRDefault="002440E0" w:rsidP="00634E1E">
      <w:pPr>
        <w:keepNext/>
        <w:keepLines/>
        <w:spacing w:before="240" w:after="60"/>
        <w:ind w:right="238"/>
        <w:jc w:val="both"/>
        <w:rPr>
          <w:sz w:val="24"/>
          <w:szCs w:val="24"/>
        </w:rPr>
      </w:pPr>
      <w:r w:rsidRPr="002440E0">
        <w:rPr>
          <w:sz w:val="24"/>
          <w:szCs w:val="24"/>
        </w:rPr>
        <w:t>Cleghorn, L.L., 2023. Victims navigating justice in island communities: An exploration of victims’ experiences of the criminal justice system and quality of justice services provided in Trinidad and Tobago. Island Studies Journal, 18(1), pp.52-73.</w:t>
      </w:r>
    </w:p>
    <w:p w14:paraId="5A6F90A0" w14:textId="3EB4D779" w:rsidR="00664FBD" w:rsidRDefault="00664FBD" w:rsidP="00634E1E">
      <w:pPr>
        <w:keepNext/>
        <w:keepLines/>
        <w:spacing w:before="240" w:after="60"/>
        <w:ind w:right="238"/>
        <w:jc w:val="both"/>
        <w:rPr>
          <w:sz w:val="24"/>
          <w:szCs w:val="24"/>
        </w:rPr>
      </w:pPr>
      <w:r w:rsidRPr="00664FBD">
        <w:rPr>
          <w:sz w:val="24"/>
          <w:szCs w:val="24"/>
        </w:rPr>
        <w:t>Cole, M., 2017. Racism in the UK: continuity and change. In Education, Equality and Human Rights (pp. 52-98). Routledge.</w:t>
      </w:r>
    </w:p>
    <w:p w14:paraId="21D82402" w14:textId="02AD627C" w:rsidR="00506B23" w:rsidRDefault="00506B23" w:rsidP="00634E1E">
      <w:pPr>
        <w:keepNext/>
        <w:keepLines/>
        <w:spacing w:before="240" w:after="60"/>
        <w:ind w:right="238"/>
        <w:jc w:val="both"/>
        <w:rPr>
          <w:sz w:val="24"/>
          <w:szCs w:val="24"/>
        </w:rPr>
      </w:pPr>
      <w:r>
        <w:rPr>
          <w:sz w:val="24"/>
          <w:szCs w:val="24"/>
        </w:rPr>
        <w:t>College of Policing: Introduction to vulnerability-related risk</w:t>
      </w:r>
      <w:r w:rsidR="00924F1D">
        <w:rPr>
          <w:sz w:val="24"/>
          <w:szCs w:val="24"/>
        </w:rPr>
        <w:t>, 2021.</w:t>
      </w:r>
      <w:r>
        <w:rPr>
          <w:sz w:val="24"/>
          <w:szCs w:val="24"/>
        </w:rPr>
        <w:t xml:space="preserve"> Accessed from: </w:t>
      </w:r>
      <w:r w:rsidR="00924F1D" w:rsidRPr="00924F1D">
        <w:rPr>
          <w:sz w:val="24"/>
          <w:szCs w:val="24"/>
        </w:rPr>
        <w:t>https://www.college.police.uk/guidance/vulnerability-related-risks/introduction-vulnerability-related-risk on 21/04/2024 at 18:52</w:t>
      </w:r>
    </w:p>
    <w:p w14:paraId="44D5BCCD" w14:textId="11704F38" w:rsidR="00924F1D" w:rsidRDefault="00924F1D" w:rsidP="00634E1E">
      <w:pPr>
        <w:keepNext/>
        <w:keepLines/>
        <w:spacing w:before="240" w:after="60"/>
        <w:ind w:right="238"/>
        <w:jc w:val="both"/>
        <w:rPr>
          <w:sz w:val="24"/>
          <w:szCs w:val="24"/>
        </w:rPr>
      </w:pPr>
      <w:r>
        <w:rPr>
          <w:sz w:val="24"/>
          <w:szCs w:val="24"/>
        </w:rPr>
        <w:t xml:space="preserve">College of Policing: </w:t>
      </w:r>
      <w:r w:rsidRPr="00956766">
        <w:rPr>
          <w:sz w:val="24"/>
          <w:szCs w:val="24"/>
        </w:rPr>
        <w:t>National Vulnerability Action Plan (NVAP) Revised</w:t>
      </w:r>
      <w:r>
        <w:rPr>
          <w:sz w:val="24"/>
          <w:szCs w:val="24"/>
        </w:rPr>
        <w:t xml:space="preserve"> </w:t>
      </w:r>
      <w:r w:rsidRPr="00956766">
        <w:rPr>
          <w:sz w:val="24"/>
          <w:szCs w:val="24"/>
        </w:rPr>
        <w:t>2020-2022</w:t>
      </w:r>
      <w:r>
        <w:rPr>
          <w:sz w:val="24"/>
          <w:szCs w:val="24"/>
        </w:rPr>
        <w:t xml:space="preserve"> </w:t>
      </w:r>
      <w:r w:rsidRPr="00956766">
        <w:rPr>
          <w:sz w:val="24"/>
          <w:szCs w:val="24"/>
        </w:rPr>
        <w:t>v2</w:t>
      </w:r>
      <w:r>
        <w:rPr>
          <w:sz w:val="24"/>
          <w:szCs w:val="24"/>
        </w:rPr>
        <w:t xml:space="preserve">., 2023 Accessed from: </w:t>
      </w:r>
      <w:r w:rsidRPr="00956766">
        <w:rPr>
          <w:sz w:val="24"/>
          <w:szCs w:val="24"/>
        </w:rPr>
        <w:t>https://www.npcc.police.uk/SysSiteAssets/media/downloads/publications/publications-log/2019/national-vulnerability-action-plan-2020-2022.pdf on 24/04/2024</w:t>
      </w:r>
      <w:r>
        <w:rPr>
          <w:sz w:val="24"/>
          <w:szCs w:val="24"/>
        </w:rPr>
        <w:t xml:space="preserve"> at 10:00</w:t>
      </w:r>
    </w:p>
    <w:p w14:paraId="41950B2F" w14:textId="24A4F380" w:rsidR="00CF16F3" w:rsidRDefault="00C07B81" w:rsidP="00634E1E">
      <w:pPr>
        <w:keepNext/>
        <w:keepLines/>
        <w:spacing w:before="240" w:after="60"/>
        <w:ind w:right="238"/>
        <w:jc w:val="both"/>
        <w:rPr>
          <w:sz w:val="24"/>
          <w:szCs w:val="24"/>
        </w:rPr>
      </w:pPr>
      <w:r>
        <w:rPr>
          <w:sz w:val="24"/>
          <w:szCs w:val="24"/>
        </w:rPr>
        <w:t>C</w:t>
      </w:r>
      <w:r w:rsidR="00CF16F3" w:rsidRPr="00CF16F3">
        <w:rPr>
          <w:sz w:val="24"/>
          <w:szCs w:val="24"/>
        </w:rPr>
        <w:t>ommunity greening, fear of crime, and mental health outcomes. American journal of community psychology, 69(1-2), pp.46-58.</w:t>
      </w:r>
    </w:p>
    <w:p w14:paraId="753DB285" w14:textId="0C3B3DEB" w:rsidR="007D789D" w:rsidRDefault="007D789D" w:rsidP="00634E1E">
      <w:pPr>
        <w:keepNext/>
        <w:keepLines/>
        <w:spacing w:before="240" w:after="60"/>
        <w:ind w:right="238"/>
        <w:jc w:val="both"/>
        <w:rPr>
          <w:sz w:val="24"/>
          <w:szCs w:val="24"/>
        </w:rPr>
      </w:pPr>
      <w:r w:rsidRPr="007D789D">
        <w:rPr>
          <w:sz w:val="24"/>
          <w:szCs w:val="24"/>
        </w:rPr>
        <w:t>Correia, S.G., 2020, November. Patterns of online repeat victimisation and implications for crime prevention. In 2020 APWG Symposium on Electronic Crime Research (eCrime) (pp. 1-11). IEEE.</w:t>
      </w:r>
    </w:p>
    <w:p w14:paraId="36A3D69C" w14:textId="06C94ED0" w:rsidR="00406683" w:rsidRDefault="00406683" w:rsidP="00634E1E">
      <w:pPr>
        <w:keepNext/>
        <w:keepLines/>
        <w:spacing w:before="240" w:after="60"/>
        <w:ind w:right="238"/>
        <w:jc w:val="both"/>
        <w:rPr>
          <w:sz w:val="24"/>
          <w:szCs w:val="24"/>
        </w:rPr>
      </w:pPr>
      <w:r w:rsidRPr="00406683">
        <w:rPr>
          <w:sz w:val="24"/>
          <w:szCs w:val="24"/>
        </w:rPr>
        <w:t>Cybulska, B. and Forster, G., 2007. Sexual assault: examination of the victim. tHe FoUndation years, 3(2), pp.49-54.</w:t>
      </w:r>
    </w:p>
    <w:p w14:paraId="77DCD468" w14:textId="677CAB9C" w:rsidR="00A55C67" w:rsidRDefault="00A55C67" w:rsidP="00634E1E">
      <w:pPr>
        <w:keepNext/>
        <w:keepLines/>
        <w:spacing w:before="240" w:after="60"/>
        <w:ind w:right="238"/>
        <w:jc w:val="both"/>
        <w:rPr>
          <w:sz w:val="24"/>
          <w:szCs w:val="24"/>
        </w:rPr>
      </w:pPr>
      <w:r w:rsidRPr="00A55C67">
        <w:rPr>
          <w:sz w:val="24"/>
          <w:szCs w:val="24"/>
        </w:rPr>
        <w:t>Davidson, J. and Bifulco, A., 2009. Investigating police practice in the UK: achieving best evidence in work with young victims of abuse.</w:t>
      </w:r>
    </w:p>
    <w:p w14:paraId="52F0F14C" w14:textId="0A184685" w:rsidR="00664FBD" w:rsidRDefault="00664FBD" w:rsidP="00634E1E">
      <w:pPr>
        <w:keepNext/>
        <w:keepLines/>
        <w:spacing w:before="240" w:after="60"/>
        <w:ind w:right="238"/>
        <w:jc w:val="both"/>
        <w:rPr>
          <w:sz w:val="24"/>
          <w:szCs w:val="24"/>
        </w:rPr>
      </w:pPr>
      <w:r w:rsidRPr="00664FBD">
        <w:rPr>
          <w:sz w:val="24"/>
          <w:szCs w:val="24"/>
        </w:rPr>
        <w:t>De La Rue, L., Ortega, L. and Castro Rodriguez, G., 2023. System-based victim advocates identify resources and barriers to supporting crime victims. International review of victimology, 29(1), pp.16-26.</w:t>
      </w:r>
    </w:p>
    <w:p w14:paraId="72296768" w14:textId="15B1F213" w:rsidR="00F74B8F" w:rsidRDefault="00F74B8F" w:rsidP="00634E1E">
      <w:pPr>
        <w:keepNext/>
        <w:keepLines/>
        <w:spacing w:before="240" w:after="60"/>
        <w:ind w:right="238"/>
        <w:jc w:val="both"/>
        <w:rPr>
          <w:sz w:val="24"/>
          <w:szCs w:val="24"/>
        </w:rPr>
      </w:pPr>
      <w:r w:rsidRPr="00F74B8F">
        <w:rPr>
          <w:sz w:val="24"/>
          <w:szCs w:val="24"/>
        </w:rPr>
        <w:t>Denisova, A., 2023. Viral journalism. Strategy, tactics and limitations of the fast spread of content on social media: Case study of the United Kingdom quality publications. Journalism, 24(9), pp.1919-1937.</w:t>
      </w:r>
    </w:p>
    <w:p w14:paraId="3A4F2423" w14:textId="3CF53F67" w:rsidR="00841E35" w:rsidRDefault="00841E35" w:rsidP="00634E1E">
      <w:pPr>
        <w:keepNext/>
        <w:keepLines/>
        <w:spacing w:before="240" w:after="60"/>
        <w:ind w:right="238"/>
        <w:jc w:val="both"/>
        <w:rPr>
          <w:sz w:val="24"/>
          <w:szCs w:val="24"/>
        </w:rPr>
      </w:pPr>
      <w:r w:rsidRPr="00841E35">
        <w:rPr>
          <w:sz w:val="24"/>
          <w:szCs w:val="24"/>
        </w:rPr>
        <w:t>Dessart, L. and Pitardi, V., 2019. How stories generate consumer engagement: An exploratory study. Journal of business research, 104, pp.183-195.</w:t>
      </w:r>
    </w:p>
    <w:p w14:paraId="4DB171CB" w14:textId="622509DF" w:rsidR="00A55C67" w:rsidRDefault="00A55C67" w:rsidP="00634E1E">
      <w:pPr>
        <w:keepNext/>
        <w:keepLines/>
        <w:spacing w:before="240" w:after="60"/>
        <w:ind w:right="238"/>
        <w:jc w:val="both"/>
        <w:rPr>
          <w:sz w:val="24"/>
          <w:szCs w:val="24"/>
        </w:rPr>
      </w:pPr>
      <w:r w:rsidRPr="00A55C67">
        <w:rPr>
          <w:sz w:val="24"/>
          <w:szCs w:val="24"/>
        </w:rPr>
        <w:t>Farrell, G. and Pease, K., 2013. Repeat victimisation. In Environmental criminology and crime analysis (pp. 139-157). Willan.</w:t>
      </w:r>
    </w:p>
    <w:p w14:paraId="22E3F0FF" w14:textId="6C55F10D" w:rsidR="00A55C67" w:rsidRDefault="00A55C67" w:rsidP="00634E1E">
      <w:pPr>
        <w:keepNext/>
        <w:keepLines/>
        <w:spacing w:before="240" w:after="60"/>
        <w:ind w:right="238"/>
        <w:jc w:val="both"/>
        <w:rPr>
          <w:sz w:val="24"/>
          <w:szCs w:val="24"/>
        </w:rPr>
      </w:pPr>
      <w:r w:rsidRPr="00A55C67">
        <w:rPr>
          <w:sz w:val="24"/>
          <w:szCs w:val="24"/>
        </w:rPr>
        <w:lastRenderedPageBreak/>
        <w:t>Finn, T., 2013. Dealing with violent conflicts and mass victimisation: a human dignity approach. In Restoring Justice after Large-scale Violent Conflicts (pp. 46-69). Willan.</w:t>
      </w:r>
    </w:p>
    <w:p w14:paraId="459BD962" w14:textId="6BAD736D" w:rsidR="00BD5C01" w:rsidRDefault="00BD5C01" w:rsidP="00634E1E">
      <w:pPr>
        <w:keepNext/>
        <w:keepLines/>
        <w:spacing w:before="240" w:after="60"/>
        <w:ind w:right="238"/>
        <w:jc w:val="both"/>
        <w:rPr>
          <w:sz w:val="24"/>
          <w:szCs w:val="24"/>
        </w:rPr>
      </w:pPr>
      <w:r w:rsidRPr="00BD5C01">
        <w:rPr>
          <w:sz w:val="24"/>
          <w:szCs w:val="24"/>
        </w:rPr>
        <w:t>Flanagan, R.J., 2018. Cut costs at all costs!. Forensic science international, 290, pp.e26-e28.</w:t>
      </w:r>
    </w:p>
    <w:p w14:paraId="4D4170EE" w14:textId="4386490C" w:rsidR="00072A4A" w:rsidRDefault="00072A4A" w:rsidP="00634E1E">
      <w:pPr>
        <w:keepNext/>
        <w:keepLines/>
        <w:spacing w:before="240" w:after="60"/>
        <w:ind w:right="238"/>
        <w:jc w:val="both"/>
        <w:rPr>
          <w:sz w:val="24"/>
          <w:szCs w:val="24"/>
        </w:rPr>
      </w:pPr>
      <w:r w:rsidRPr="00072A4A">
        <w:rPr>
          <w:sz w:val="24"/>
          <w:szCs w:val="24"/>
        </w:rPr>
        <w:t>Fonneløp, A.E., Johannessen, H., Egeland, T. and Gill, P., 2016. Contamination during criminal investigation: Detecting police contamination and secondary DNA transfer from evidence bags. Forensic Science International: Genetics, 23, pp.121-129.</w:t>
      </w:r>
    </w:p>
    <w:p w14:paraId="0D0D179E" w14:textId="20A55B27" w:rsidR="00072A4A" w:rsidRDefault="00072A4A" w:rsidP="00634E1E">
      <w:pPr>
        <w:keepNext/>
        <w:keepLines/>
        <w:spacing w:before="240" w:after="60"/>
        <w:ind w:right="238"/>
        <w:jc w:val="both"/>
        <w:rPr>
          <w:sz w:val="24"/>
          <w:szCs w:val="24"/>
        </w:rPr>
      </w:pPr>
      <w:r w:rsidRPr="00072A4A">
        <w:rPr>
          <w:sz w:val="24"/>
          <w:szCs w:val="24"/>
        </w:rPr>
        <w:t>Garrett, B.L., 2019. The costs and benefits of forensics. HOuS. L. REv., 57, p.593.</w:t>
      </w:r>
    </w:p>
    <w:p w14:paraId="1045BDFD" w14:textId="61717792" w:rsidR="009A721A" w:rsidRDefault="009A721A" w:rsidP="00634E1E">
      <w:pPr>
        <w:keepNext/>
        <w:keepLines/>
        <w:spacing w:before="240" w:after="60"/>
        <w:ind w:right="238"/>
        <w:jc w:val="both"/>
        <w:rPr>
          <w:sz w:val="24"/>
          <w:szCs w:val="24"/>
        </w:rPr>
      </w:pPr>
      <w:r w:rsidRPr="009A721A">
        <w:rPr>
          <w:sz w:val="24"/>
          <w:szCs w:val="24"/>
        </w:rPr>
        <w:t>Garrett, B.L., Liu, A., Kafadar, K., Yaffe, J. and Dodson, C.S., 2020. Factoring the role of eyewitness evidence in the courtroom. Journal of Empirical Legal Studies, 17(3), pp.556-579.</w:t>
      </w:r>
    </w:p>
    <w:p w14:paraId="6BC400D9" w14:textId="751F1715" w:rsidR="008845E0" w:rsidRDefault="008845E0" w:rsidP="00634E1E">
      <w:pPr>
        <w:keepNext/>
        <w:keepLines/>
        <w:spacing w:before="240" w:after="60"/>
        <w:ind w:right="238"/>
        <w:jc w:val="both"/>
        <w:rPr>
          <w:sz w:val="24"/>
          <w:szCs w:val="24"/>
        </w:rPr>
      </w:pPr>
      <w:r w:rsidRPr="008845E0">
        <w:rPr>
          <w:sz w:val="24"/>
          <w:szCs w:val="24"/>
        </w:rPr>
        <w:t>Geurts, R., 2023. Identifying repeat victims: The utility of police data (Doctoral dissertation, Sl: sn).</w:t>
      </w:r>
    </w:p>
    <w:p w14:paraId="49D01C85" w14:textId="49AADC17" w:rsidR="00F01F40" w:rsidRDefault="00F01F40" w:rsidP="00634E1E">
      <w:pPr>
        <w:keepNext/>
        <w:keepLines/>
        <w:spacing w:before="240" w:after="60"/>
        <w:ind w:right="238"/>
        <w:jc w:val="both"/>
        <w:rPr>
          <w:sz w:val="24"/>
          <w:szCs w:val="24"/>
        </w:rPr>
      </w:pPr>
      <w:r w:rsidRPr="00F01F40">
        <w:rPr>
          <w:sz w:val="24"/>
          <w:szCs w:val="24"/>
        </w:rPr>
        <w:t>Guay, S., Beaulieu-Prévost, D., Sader, J. and Marchand, A., 2019. A systematic literature review of early posttraumatic interventions for victims of violent crime. Aggression and violent behavior, 46, pp.15-24.</w:t>
      </w:r>
    </w:p>
    <w:p w14:paraId="2F84FEA3" w14:textId="271FF89C" w:rsidR="00D07DDC" w:rsidRDefault="00D07DDC" w:rsidP="00634E1E">
      <w:pPr>
        <w:keepNext/>
        <w:keepLines/>
        <w:spacing w:before="240" w:after="60"/>
        <w:ind w:right="238"/>
        <w:jc w:val="both"/>
        <w:rPr>
          <w:sz w:val="24"/>
          <w:szCs w:val="24"/>
        </w:rPr>
      </w:pPr>
      <w:r w:rsidRPr="00D07DDC">
        <w:rPr>
          <w:sz w:val="24"/>
          <w:szCs w:val="24"/>
        </w:rPr>
        <w:t>Hedman, J., Akel, Y., Jansson, L., Hedell, R., Wallmark, N., Forsberg, C. and Ansell, R., 2021. Enhanced forensic DNA recovery with appropriate swabs and optimized swabbing technique. Forensic Science International: Genetics, 53, p.102491.</w:t>
      </w:r>
    </w:p>
    <w:p w14:paraId="09787909" w14:textId="37D92500" w:rsidR="003E2098" w:rsidRDefault="003E2098" w:rsidP="00634E1E">
      <w:pPr>
        <w:keepNext/>
        <w:keepLines/>
        <w:spacing w:before="240" w:after="60"/>
        <w:ind w:right="238"/>
        <w:jc w:val="both"/>
        <w:rPr>
          <w:sz w:val="24"/>
          <w:szCs w:val="24"/>
        </w:rPr>
      </w:pPr>
      <w:r w:rsidRPr="003E2098">
        <w:rPr>
          <w:sz w:val="24"/>
          <w:szCs w:val="24"/>
        </w:rPr>
        <w:t>Heimann, R., 2022. Victimology: The Process of Becoming a Victim. In Violence Prevention in Education, School, and Club (pp. 45-57). Wiesbaden: Springer Fachmedien Wiesbaden.</w:t>
      </w:r>
    </w:p>
    <w:p w14:paraId="49CCD86E" w14:textId="41C4D995" w:rsidR="00090169" w:rsidRDefault="00090169" w:rsidP="00634E1E">
      <w:pPr>
        <w:keepNext/>
        <w:keepLines/>
        <w:spacing w:before="240" w:after="60"/>
        <w:ind w:right="238"/>
        <w:jc w:val="both"/>
        <w:rPr>
          <w:sz w:val="24"/>
          <w:szCs w:val="24"/>
        </w:rPr>
      </w:pPr>
      <w:r w:rsidRPr="00090169">
        <w:rPr>
          <w:sz w:val="24"/>
          <w:szCs w:val="24"/>
        </w:rPr>
        <w:t>Hester, M. and Lilley, S.J., 2018. More than support to court: Rape victims and specialist sexual violence services. International review of victimology, 24(3), pp.313-328.</w:t>
      </w:r>
    </w:p>
    <w:p w14:paraId="2B2007E1" w14:textId="69752F38" w:rsidR="00634E1E" w:rsidRDefault="00634E1E" w:rsidP="00634E1E">
      <w:pPr>
        <w:keepNext/>
        <w:keepLines/>
        <w:spacing w:before="240" w:after="60"/>
        <w:ind w:right="238"/>
        <w:jc w:val="both"/>
        <w:rPr>
          <w:sz w:val="24"/>
          <w:szCs w:val="24"/>
        </w:rPr>
      </w:pPr>
      <w:r w:rsidRPr="00634E1E">
        <w:rPr>
          <w:sz w:val="24"/>
          <w:szCs w:val="24"/>
        </w:rPr>
        <w:t>Horton, C., 2023. Good practice and evaluating policing. In Coming to Terms with Policing (pp. 31-48). Routledge.</w:t>
      </w:r>
    </w:p>
    <w:p w14:paraId="79E2E228" w14:textId="3C98EB4B" w:rsidR="00841E35" w:rsidRDefault="00841E35" w:rsidP="00634E1E">
      <w:pPr>
        <w:keepNext/>
        <w:keepLines/>
        <w:spacing w:before="240" w:after="60"/>
        <w:ind w:right="238"/>
        <w:jc w:val="both"/>
        <w:rPr>
          <w:sz w:val="24"/>
          <w:szCs w:val="24"/>
        </w:rPr>
      </w:pPr>
      <w:r w:rsidRPr="00841E35">
        <w:rPr>
          <w:sz w:val="24"/>
          <w:szCs w:val="24"/>
        </w:rPr>
        <w:t>Keane, J.M. and Raganella, A.J., 2024. Protection of Citizens’ Rights, Public Safety &amp; Police Legitimacy: The Legal Equilibrium for Public Order. In Public Order</w:t>
      </w:r>
      <w:r w:rsidR="00634E1E">
        <w:rPr>
          <w:sz w:val="24"/>
          <w:szCs w:val="24"/>
        </w:rPr>
        <w:t xml:space="preserve"> </w:t>
      </w:r>
      <w:r w:rsidRPr="00841E35">
        <w:rPr>
          <w:sz w:val="24"/>
          <w:szCs w:val="24"/>
        </w:rPr>
        <w:t>Policing: A Professional's Guide to International Theories, Case Studies, and Best Practices (pp. 231-246). Cham: Springer International Publishing.</w:t>
      </w:r>
    </w:p>
    <w:p w14:paraId="12CCB14F" w14:textId="568A26C0" w:rsidR="00F01F40" w:rsidRDefault="00F01F40" w:rsidP="00634E1E">
      <w:pPr>
        <w:keepNext/>
        <w:keepLines/>
        <w:spacing w:before="240" w:after="60"/>
        <w:ind w:right="238"/>
        <w:jc w:val="both"/>
        <w:rPr>
          <w:sz w:val="24"/>
          <w:szCs w:val="24"/>
        </w:rPr>
      </w:pPr>
      <w:r w:rsidRPr="00F01F40">
        <w:rPr>
          <w:sz w:val="24"/>
          <w:szCs w:val="24"/>
        </w:rPr>
        <w:t>Kunst, M., Popelier, L. and Varekamp, E., 2015. Victim satisfaction with the criminal justice system and emotional recovery: A systematic and critical review of the literature. Trauma, Violence, &amp; Abuse, 16(3), pp.336-358.</w:t>
      </w:r>
    </w:p>
    <w:p w14:paraId="0B5DB758" w14:textId="36803A3D" w:rsidR="00192320" w:rsidRDefault="00192320" w:rsidP="00634E1E">
      <w:pPr>
        <w:keepNext/>
        <w:keepLines/>
        <w:spacing w:before="240" w:after="60"/>
        <w:ind w:right="238"/>
        <w:jc w:val="both"/>
        <w:rPr>
          <w:sz w:val="24"/>
          <w:szCs w:val="24"/>
        </w:rPr>
      </w:pPr>
      <w:r w:rsidRPr="00192320">
        <w:rPr>
          <w:sz w:val="24"/>
          <w:szCs w:val="24"/>
        </w:rPr>
        <w:lastRenderedPageBreak/>
        <w:t>Kushner, M. and Fagan, A.A., 2023. The effects of victimization on offending: An examination of General Strain Theory, criminal propensity, risk, protection, and resilience. Victims &amp; Offenders, 18(6), pp.1009-1029.</w:t>
      </w:r>
    </w:p>
    <w:p w14:paraId="7A06E2B0" w14:textId="090D820C" w:rsidR="00664FBD" w:rsidRDefault="00664FBD" w:rsidP="00634E1E">
      <w:pPr>
        <w:keepNext/>
        <w:keepLines/>
        <w:spacing w:before="240" w:after="60"/>
        <w:ind w:right="238"/>
        <w:jc w:val="both"/>
        <w:rPr>
          <w:sz w:val="24"/>
          <w:szCs w:val="24"/>
        </w:rPr>
      </w:pPr>
      <w:r w:rsidRPr="00664FBD">
        <w:rPr>
          <w:sz w:val="24"/>
          <w:szCs w:val="24"/>
        </w:rPr>
        <w:t>Lorenz, K. and Jacobsen, C., 2024. Sexual violence survivors’ experiences with the police and willingness to report future victimization. Women &amp; Criminal Justice, 34(2), pp.107-129.</w:t>
      </w:r>
    </w:p>
    <w:p w14:paraId="35EDFD3D" w14:textId="53DBE892" w:rsidR="009A721A" w:rsidRDefault="009A721A" w:rsidP="00634E1E">
      <w:pPr>
        <w:keepNext/>
        <w:keepLines/>
        <w:spacing w:before="240" w:after="60"/>
        <w:ind w:right="238"/>
        <w:jc w:val="both"/>
        <w:rPr>
          <w:sz w:val="24"/>
          <w:szCs w:val="24"/>
        </w:rPr>
      </w:pPr>
      <w:r w:rsidRPr="009A721A">
        <w:rPr>
          <w:sz w:val="24"/>
          <w:szCs w:val="24"/>
        </w:rPr>
        <w:t>Mackay, T.L. and Paterson, H.M., 2015. How does timing of recall affect eyewitness memory and psychological distress?. Journal of Police and Criminal Psychology, 30, pp.242-253.</w:t>
      </w:r>
    </w:p>
    <w:p w14:paraId="01038F4B" w14:textId="37C59EF7" w:rsidR="003C2489" w:rsidRDefault="003C2489" w:rsidP="00634E1E">
      <w:pPr>
        <w:keepNext/>
        <w:keepLines/>
        <w:spacing w:before="240" w:after="60"/>
        <w:ind w:right="238"/>
        <w:jc w:val="both"/>
        <w:rPr>
          <w:sz w:val="24"/>
          <w:szCs w:val="24"/>
        </w:rPr>
      </w:pPr>
      <w:r w:rsidRPr="003C2489">
        <w:rPr>
          <w:sz w:val="24"/>
          <w:szCs w:val="24"/>
        </w:rPr>
        <w:t>Macpherson, C., 2001. The Youth Justice and Criminal Evidence Act 1999: Achieving Best Evidence?. Medicine, Science and the Law, 41(3), pp.230-236.</w:t>
      </w:r>
    </w:p>
    <w:p w14:paraId="3B5B76B2" w14:textId="77777777" w:rsidR="0045046E" w:rsidRDefault="0045046E" w:rsidP="00634E1E">
      <w:pPr>
        <w:keepNext/>
        <w:keepLines/>
        <w:spacing w:before="240" w:after="60"/>
        <w:ind w:right="238"/>
        <w:jc w:val="both"/>
        <w:rPr>
          <w:sz w:val="24"/>
          <w:szCs w:val="24"/>
        </w:rPr>
      </w:pPr>
      <w:r w:rsidRPr="0045046E">
        <w:rPr>
          <w:sz w:val="24"/>
          <w:szCs w:val="24"/>
        </w:rPr>
        <w:t>Martin, D., 2022. Understanding the reconstruction of police professionalism in the UK. Policing and Society, 32(7), pp.931-946.</w:t>
      </w:r>
    </w:p>
    <w:p w14:paraId="3A55552C" w14:textId="77777777" w:rsidR="0045046E" w:rsidRDefault="0045046E" w:rsidP="00634E1E">
      <w:pPr>
        <w:keepNext/>
        <w:keepLines/>
        <w:spacing w:before="240" w:after="60"/>
        <w:ind w:right="238"/>
        <w:jc w:val="both"/>
        <w:rPr>
          <w:sz w:val="24"/>
          <w:szCs w:val="24"/>
        </w:rPr>
      </w:pPr>
      <w:r w:rsidRPr="0045046E">
        <w:rPr>
          <w:sz w:val="24"/>
          <w:szCs w:val="24"/>
        </w:rPr>
        <w:t>Metson, J. and Willmott, D., 2024. Victim Care or Defendant Rights? Assessing Public Attitudes towards Special Measures Designed to Support Vulnerable Witnesses at Trial. Social Sciences, 13(4), p.198.</w:t>
      </w:r>
    </w:p>
    <w:p w14:paraId="3CD4DB26" w14:textId="09B68692" w:rsidR="00D07DDC" w:rsidRDefault="00D07DDC" w:rsidP="00634E1E">
      <w:pPr>
        <w:keepNext/>
        <w:keepLines/>
        <w:spacing w:before="240" w:after="60"/>
        <w:ind w:right="238"/>
        <w:jc w:val="both"/>
        <w:rPr>
          <w:sz w:val="24"/>
          <w:szCs w:val="24"/>
        </w:rPr>
      </w:pPr>
      <w:r w:rsidRPr="00D07DDC">
        <w:rPr>
          <w:sz w:val="24"/>
          <w:szCs w:val="24"/>
        </w:rPr>
        <w:t>Mitchell, T.L., Haw, R.M., Pfeifer, J.E. and Meissner, C.A., 2005. Racial bias in mock juror decision-making: A meta-analytic review of defendant treatment. Law and human behavior, 29, pp.621-637.</w:t>
      </w:r>
    </w:p>
    <w:p w14:paraId="0D43C46C" w14:textId="1B51C86E" w:rsidR="00406683" w:rsidRDefault="00406683" w:rsidP="00634E1E">
      <w:pPr>
        <w:keepNext/>
        <w:keepLines/>
        <w:spacing w:before="240" w:after="60"/>
        <w:ind w:right="238"/>
        <w:jc w:val="both"/>
        <w:rPr>
          <w:sz w:val="24"/>
          <w:szCs w:val="24"/>
        </w:rPr>
      </w:pPr>
      <w:r w:rsidRPr="00406683">
        <w:rPr>
          <w:sz w:val="24"/>
          <w:szCs w:val="24"/>
        </w:rPr>
        <w:t>Mulla, S., 2014. The violence of care: Rape victims, forensic nurses, and sexual assault intervention. NYU Press.</w:t>
      </w:r>
    </w:p>
    <w:p w14:paraId="717ECA3B" w14:textId="039B23A6" w:rsidR="00841E35" w:rsidRDefault="00841E35" w:rsidP="00634E1E">
      <w:pPr>
        <w:keepNext/>
        <w:keepLines/>
        <w:spacing w:before="240" w:after="60"/>
        <w:ind w:right="238"/>
        <w:jc w:val="both"/>
        <w:rPr>
          <w:sz w:val="24"/>
          <w:szCs w:val="24"/>
        </w:rPr>
      </w:pPr>
      <w:r w:rsidRPr="00841E35">
        <w:rPr>
          <w:sz w:val="24"/>
          <w:szCs w:val="24"/>
        </w:rPr>
        <w:t>Nix, J. and Wolfe, S.E., 2017. The impact of negative publicity on police self-legitimacy. Justice quarterly, 34(1), pp.84-108.</w:t>
      </w:r>
    </w:p>
    <w:p w14:paraId="37F64AF0" w14:textId="13846C06" w:rsidR="00373A11" w:rsidRDefault="00373A11" w:rsidP="00634E1E">
      <w:pPr>
        <w:keepNext/>
        <w:keepLines/>
        <w:spacing w:before="240" w:after="60"/>
        <w:ind w:right="238"/>
        <w:jc w:val="both"/>
        <w:rPr>
          <w:sz w:val="24"/>
          <w:szCs w:val="24"/>
        </w:rPr>
      </w:pPr>
      <w:r w:rsidRPr="00373A11">
        <w:rPr>
          <w:sz w:val="24"/>
          <w:szCs w:val="24"/>
        </w:rPr>
        <w:t>Nurse, A., 2020. Justice for Some, Lawyers for All? Victim's Rights and Redress. In The Citizen and the State (pp. 53-63). Emerald Publishing Limited.</w:t>
      </w:r>
    </w:p>
    <w:p w14:paraId="46FD846B" w14:textId="05F87443" w:rsidR="00901B61" w:rsidRDefault="00901B61" w:rsidP="00634E1E">
      <w:pPr>
        <w:keepNext/>
        <w:keepLines/>
        <w:spacing w:before="240" w:after="60"/>
        <w:ind w:right="238"/>
        <w:jc w:val="both"/>
        <w:rPr>
          <w:sz w:val="24"/>
          <w:szCs w:val="24"/>
        </w:rPr>
      </w:pPr>
      <w:bookmarkStart w:id="0" w:name="_Hlk165034256"/>
      <w:r w:rsidRPr="00901B61">
        <w:rPr>
          <w:sz w:val="24"/>
          <w:szCs w:val="24"/>
        </w:rPr>
        <w:t>Oshodi, Y., Macharia, M., Lachman, A. and Seedat, S., 2020</w:t>
      </w:r>
      <w:bookmarkEnd w:id="0"/>
      <w:r w:rsidRPr="00901B61">
        <w:rPr>
          <w:sz w:val="24"/>
          <w:szCs w:val="24"/>
        </w:rPr>
        <w:t>. Immediate and long-term mental health outcomes in adolescent female rape survivors. Journal of interpersonal violence, 35(1-2), pp.252-267.</w:t>
      </w:r>
    </w:p>
    <w:p w14:paraId="66E9D06E" w14:textId="7E3B7545" w:rsidR="00406683" w:rsidRDefault="00406683" w:rsidP="00634E1E">
      <w:pPr>
        <w:keepNext/>
        <w:keepLines/>
        <w:spacing w:before="240" w:after="60"/>
        <w:ind w:right="238"/>
        <w:jc w:val="both"/>
        <w:rPr>
          <w:sz w:val="24"/>
          <w:szCs w:val="24"/>
        </w:rPr>
      </w:pPr>
      <w:r w:rsidRPr="00406683">
        <w:rPr>
          <w:sz w:val="24"/>
          <w:szCs w:val="24"/>
        </w:rPr>
        <w:t>Ozin, P. and Norton, H., 2019. PACE: A practical guide to the Police and Criminal Evidence Act 1984. Oxford University Press.</w:t>
      </w:r>
    </w:p>
    <w:p w14:paraId="639D516A" w14:textId="77663E85" w:rsidR="008A0963" w:rsidRDefault="008A0963" w:rsidP="00634E1E">
      <w:pPr>
        <w:keepNext/>
        <w:keepLines/>
        <w:spacing w:before="240" w:after="60"/>
        <w:ind w:right="238"/>
        <w:jc w:val="both"/>
        <w:rPr>
          <w:sz w:val="24"/>
          <w:szCs w:val="24"/>
        </w:rPr>
      </w:pPr>
      <w:r w:rsidRPr="008A0963">
        <w:rPr>
          <w:sz w:val="24"/>
          <w:szCs w:val="24"/>
        </w:rPr>
        <w:t>Parker, R.J., 2017. Forensic analysis and DNA in criminal investigations: including cold cases solved. RJ PARKER PUBLISHING, INC..</w:t>
      </w:r>
    </w:p>
    <w:p w14:paraId="2349ECFD" w14:textId="188B78C4" w:rsidR="00634E1E" w:rsidRDefault="00634E1E" w:rsidP="00634E1E">
      <w:pPr>
        <w:keepNext/>
        <w:keepLines/>
        <w:spacing w:before="240" w:after="60"/>
        <w:ind w:right="238"/>
        <w:jc w:val="both"/>
        <w:rPr>
          <w:sz w:val="24"/>
          <w:szCs w:val="24"/>
        </w:rPr>
      </w:pPr>
      <w:r w:rsidRPr="00634E1E">
        <w:rPr>
          <w:sz w:val="24"/>
          <w:szCs w:val="24"/>
        </w:rPr>
        <w:t>Paterson, C. and Williams, A., 2018. Towards victim-oriented police? Some reflections on the concept and purpose of policing and their implications for victim-oriented police reform. Journal of Victimology and Victim Justice, 1(1), pp.85-101.</w:t>
      </w:r>
    </w:p>
    <w:p w14:paraId="3498768E" w14:textId="2486AF4E" w:rsidR="00F01F40" w:rsidRDefault="00F01F40" w:rsidP="00634E1E">
      <w:pPr>
        <w:keepNext/>
        <w:keepLines/>
        <w:spacing w:before="240" w:after="60"/>
        <w:ind w:right="238"/>
        <w:jc w:val="both"/>
        <w:rPr>
          <w:sz w:val="24"/>
          <w:szCs w:val="24"/>
        </w:rPr>
      </w:pPr>
      <w:r w:rsidRPr="00F01F40">
        <w:rPr>
          <w:sz w:val="24"/>
          <w:szCs w:val="24"/>
        </w:rPr>
        <w:lastRenderedPageBreak/>
        <w:t>Peterson, J.K. and Silver, R.C., 2017. Developing an understanding of victims and violent offenders: The impact of fostering empathy. Journal of interpersonal violence, 32(3), pp.399-422.</w:t>
      </w:r>
    </w:p>
    <w:p w14:paraId="721117FD" w14:textId="174A7A77" w:rsidR="00192320" w:rsidRDefault="00192320" w:rsidP="00634E1E">
      <w:pPr>
        <w:keepNext/>
        <w:keepLines/>
        <w:spacing w:before="240" w:after="60"/>
        <w:ind w:right="238"/>
        <w:jc w:val="both"/>
        <w:rPr>
          <w:sz w:val="24"/>
          <w:szCs w:val="24"/>
        </w:rPr>
      </w:pPr>
      <w:r w:rsidRPr="00192320">
        <w:rPr>
          <w:sz w:val="24"/>
          <w:szCs w:val="24"/>
        </w:rPr>
        <w:t>Pooley, K., 2020. What are the characteristics of effective youth offender programs?. Trends and Issues in Crime and Criminal Justice, (604), pp.1-22.</w:t>
      </w:r>
    </w:p>
    <w:p w14:paraId="279E26E6" w14:textId="0D71B15C" w:rsidR="00664FBD" w:rsidRDefault="00664FBD" w:rsidP="00634E1E">
      <w:pPr>
        <w:keepNext/>
        <w:keepLines/>
        <w:spacing w:before="240" w:after="60"/>
        <w:ind w:right="238"/>
        <w:jc w:val="both"/>
        <w:rPr>
          <w:sz w:val="24"/>
          <w:szCs w:val="24"/>
        </w:rPr>
      </w:pPr>
      <w:r w:rsidRPr="00664FBD">
        <w:rPr>
          <w:sz w:val="24"/>
          <w:szCs w:val="24"/>
        </w:rPr>
        <w:t>Powers, R.A., Khachatryan, N. and Socia, K.M., 2020. Reporting victimisation to the police: The role of racial dyad and bias motivation. Policing and Society, 30(3), pp.310-326.</w:t>
      </w:r>
    </w:p>
    <w:p w14:paraId="025532F6" w14:textId="0B363FBE" w:rsidR="00634E1E" w:rsidRDefault="00634E1E" w:rsidP="00634E1E">
      <w:pPr>
        <w:keepNext/>
        <w:keepLines/>
        <w:spacing w:before="240" w:after="60"/>
        <w:ind w:right="238"/>
        <w:jc w:val="both"/>
        <w:rPr>
          <w:sz w:val="24"/>
          <w:szCs w:val="24"/>
        </w:rPr>
      </w:pPr>
      <w:r w:rsidRPr="00634E1E">
        <w:rPr>
          <w:sz w:val="24"/>
          <w:szCs w:val="24"/>
        </w:rPr>
        <w:t>Ricciardelli, R., Carbonell, M., Ferguson, L. and Huey, L., 2023. “It's frustrating… I didn’t join to sit behind a desk”: Police paperwork as a source of organizational stress. International Journal of Police Science &amp; Management, 25(4), pp.516-528.</w:t>
      </w:r>
    </w:p>
    <w:p w14:paraId="7BAF0559" w14:textId="180B8313" w:rsidR="00C25FE6" w:rsidRDefault="00C25FE6" w:rsidP="00634E1E">
      <w:pPr>
        <w:keepNext/>
        <w:keepLines/>
        <w:spacing w:before="240" w:after="60"/>
        <w:ind w:right="238"/>
        <w:jc w:val="both"/>
        <w:rPr>
          <w:sz w:val="24"/>
          <w:szCs w:val="24"/>
        </w:rPr>
      </w:pPr>
      <w:r w:rsidRPr="00C25FE6">
        <w:rPr>
          <w:sz w:val="24"/>
          <w:szCs w:val="24"/>
        </w:rPr>
        <w:t>Rose, A., 2021. Forensics: The Golden Hour. Modern Police Leadership: Operational Effectiveness at Every Level, pp.223-233.</w:t>
      </w:r>
    </w:p>
    <w:p w14:paraId="5BEB362D" w14:textId="1E3CED4F" w:rsidR="00C25FE6" w:rsidRDefault="00C25FE6" w:rsidP="00634E1E">
      <w:pPr>
        <w:keepNext/>
        <w:keepLines/>
        <w:spacing w:before="240" w:after="60"/>
        <w:ind w:right="238"/>
        <w:jc w:val="both"/>
        <w:rPr>
          <w:sz w:val="24"/>
          <w:szCs w:val="24"/>
        </w:rPr>
      </w:pPr>
      <w:r w:rsidRPr="00C25FE6">
        <w:rPr>
          <w:sz w:val="24"/>
          <w:szCs w:val="24"/>
        </w:rPr>
        <w:t>Roycroft, M., 2019. Why understanding police investigative decision making is important. Decision Making in Police Enquiries and Critical Incidents: What Really Works?, pp.1-13.</w:t>
      </w:r>
    </w:p>
    <w:p w14:paraId="6C456FE1" w14:textId="267720E9" w:rsidR="005D0878" w:rsidRDefault="005D0878" w:rsidP="00634E1E">
      <w:pPr>
        <w:keepNext/>
        <w:keepLines/>
        <w:spacing w:before="240" w:after="60"/>
        <w:ind w:right="238"/>
        <w:jc w:val="both"/>
        <w:rPr>
          <w:sz w:val="24"/>
          <w:szCs w:val="24"/>
        </w:rPr>
      </w:pPr>
      <w:r w:rsidRPr="005D0878">
        <w:rPr>
          <w:sz w:val="24"/>
          <w:szCs w:val="24"/>
        </w:rPr>
        <w:t>Sanders, A. and Jones, I., 2012. The victim in court. In Handbook of victims and victimology (pp. 298-324). Willan.</w:t>
      </w:r>
    </w:p>
    <w:p w14:paraId="152E08EE" w14:textId="3A570669" w:rsidR="00C07B81" w:rsidRDefault="00C07B81" w:rsidP="00634E1E">
      <w:pPr>
        <w:keepNext/>
        <w:keepLines/>
        <w:spacing w:before="240" w:after="60"/>
        <w:ind w:right="238"/>
        <w:jc w:val="both"/>
        <w:rPr>
          <w:sz w:val="24"/>
          <w:szCs w:val="24"/>
        </w:rPr>
      </w:pPr>
      <w:r w:rsidRPr="00C07B81">
        <w:rPr>
          <w:sz w:val="24"/>
          <w:szCs w:val="24"/>
        </w:rPr>
        <w:t>Schaefer, L., 2021. Routine activity theory. In Oxford Research Encyclopedia of Criminology and Criminal Justice.</w:t>
      </w:r>
    </w:p>
    <w:p w14:paraId="355773FF" w14:textId="2D32A251" w:rsidR="00F74B8F" w:rsidRDefault="00F74B8F" w:rsidP="00634E1E">
      <w:pPr>
        <w:keepNext/>
        <w:keepLines/>
        <w:spacing w:before="240" w:after="60"/>
        <w:ind w:right="238"/>
        <w:jc w:val="both"/>
        <w:rPr>
          <w:sz w:val="24"/>
          <w:szCs w:val="24"/>
        </w:rPr>
      </w:pPr>
      <w:r w:rsidRPr="00F74B8F">
        <w:rPr>
          <w:sz w:val="24"/>
          <w:szCs w:val="24"/>
        </w:rPr>
        <w:t>Søgaard, T.F., Kolind, T., Haller, M.B., Kammersgaard, T. and Hunt, G., 2023. ‘Filming Is Our Only Weapon Against the Police’: Ethnic Minorities and Police Encounters in the New Visibility Era. The British Journal of Criminology, 63(3), pp.553-569.</w:t>
      </w:r>
    </w:p>
    <w:p w14:paraId="35D62254" w14:textId="3BFB7646" w:rsidR="001A1138" w:rsidRDefault="001A1138" w:rsidP="00634E1E">
      <w:pPr>
        <w:keepNext/>
        <w:keepLines/>
        <w:spacing w:before="240" w:after="60"/>
        <w:ind w:right="238"/>
        <w:jc w:val="both"/>
        <w:rPr>
          <w:sz w:val="24"/>
          <w:szCs w:val="24"/>
        </w:rPr>
      </w:pPr>
      <w:r w:rsidRPr="001A1138">
        <w:rPr>
          <w:sz w:val="24"/>
          <w:szCs w:val="24"/>
        </w:rPr>
        <w:t>Spalek, B., 2017. Crime victims: Theory, policy and practice. Bloomsbury Publishing.</w:t>
      </w:r>
    </w:p>
    <w:p w14:paraId="5924AC1A" w14:textId="2F387190" w:rsidR="00406683" w:rsidRDefault="00406683" w:rsidP="00634E1E">
      <w:pPr>
        <w:keepNext/>
        <w:keepLines/>
        <w:spacing w:before="240" w:after="60"/>
        <w:ind w:right="238"/>
        <w:jc w:val="both"/>
        <w:rPr>
          <w:sz w:val="24"/>
          <w:szCs w:val="24"/>
        </w:rPr>
      </w:pPr>
      <w:r w:rsidRPr="00406683">
        <w:rPr>
          <w:sz w:val="24"/>
          <w:szCs w:val="24"/>
        </w:rPr>
        <w:t>Stewart, M.L., Shackel, R., Freedman, E. and Templeton, D.J., 2024. Adult Sexual Assault Patients’ Experience of the Physical Examination Component of the Medical Forensic Examination: A Scoping Review to Identify Gaps in the Research Literature. Trauma, Violence, &amp; Abuse, 25(1), pp.663-679.</w:t>
      </w:r>
    </w:p>
    <w:p w14:paraId="3FA3BF8F" w14:textId="45E63B58" w:rsidR="00D07DDC" w:rsidRDefault="00D07DDC" w:rsidP="00634E1E">
      <w:pPr>
        <w:keepNext/>
        <w:keepLines/>
        <w:spacing w:before="240" w:after="60"/>
        <w:ind w:right="238"/>
        <w:jc w:val="both"/>
        <w:rPr>
          <w:sz w:val="24"/>
          <w:szCs w:val="24"/>
        </w:rPr>
      </w:pPr>
      <w:r w:rsidRPr="00D07DDC">
        <w:rPr>
          <w:sz w:val="24"/>
          <w:szCs w:val="24"/>
        </w:rPr>
        <w:t>Tilley, N. and Townsley, M., 2013. Forensic science in UK policing: strategies, tactics and effectiveness. In Handbook of forensic science (pp. 359-379). Willan.</w:t>
      </w:r>
    </w:p>
    <w:p w14:paraId="0FFEBF65" w14:textId="23F5CE81" w:rsidR="001A1138" w:rsidRDefault="001A1138" w:rsidP="00634E1E">
      <w:pPr>
        <w:keepNext/>
        <w:keepLines/>
        <w:spacing w:before="240" w:after="60"/>
        <w:ind w:right="238"/>
        <w:jc w:val="both"/>
        <w:rPr>
          <w:sz w:val="24"/>
          <w:szCs w:val="24"/>
        </w:rPr>
      </w:pPr>
      <w:r w:rsidRPr="001A1138">
        <w:rPr>
          <w:sz w:val="24"/>
          <w:szCs w:val="24"/>
        </w:rPr>
        <w:t>Wedlock, E. and Tapley, J.D., 2016. What works in supporting victims of crime: A rapid evidence assessment.</w:t>
      </w:r>
    </w:p>
    <w:p w14:paraId="6FB5A305" w14:textId="1DAF91D7" w:rsidR="009A721A" w:rsidRDefault="009A721A" w:rsidP="00634E1E">
      <w:pPr>
        <w:keepNext/>
        <w:keepLines/>
        <w:spacing w:before="240" w:after="60"/>
        <w:ind w:right="238"/>
        <w:jc w:val="both"/>
        <w:rPr>
          <w:sz w:val="24"/>
          <w:szCs w:val="24"/>
        </w:rPr>
      </w:pPr>
      <w:r w:rsidRPr="009A721A">
        <w:rPr>
          <w:sz w:val="24"/>
          <w:szCs w:val="24"/>
        </w:rPr>
        <w:t>Wells, G.L., 2020. Psychological science on eyewitness identification and its impact on police practices and policies. American Psychologist, 75(9), p.1316.</w:t>
      </w:r>
    </w:p>
    <w:p w14:paraId="095A14FC" w14:textId="6AA12AB5" w:rsidR="009A721A" w:rsidRDefault="009A721A" w:rsidP="00634E1E">
      <w:pPr>
        <w:keepNext/>
        <w:keepLines/>
        <w:spacing w:before="240" w:after="60"/>
        <w:ind w:right="238"/>
        <w:jc w:val="both"/>
        <w:rPr>
          <w:sz w:val="24"/>
          <w:szCs w:val="24"/>
        </w:rPr>
      </w:pPr>
      <w:r w:rsidRPr="009A721A">
        <w:rPr>
          <w:sz w:val="24"/>
          <w:szCs w:val="24"/>
        </w:rPr>
        <w:lastRenderedPageBreak/>
        <w:t>Welner, M., 2001. The perpetrators and their modus operandi. Drug-Facilitated Sexual Assault—A Forensic Handbook, Academic Press, London, pp.39-71.</w:t>
      </w:r>
    </w:p>
    <w:p w14:paraId="1CC64ECA" w14:textId="47EF0817" w:rsidR="00970228" w:rsidRDefault="00970228" w:rsidP="00634E1E">
      <w:pPr>
        <w:keepNext/>
        <w:keepLines/>
        <w:spacing w:before="240" w:after="60"/>
        <w:ind w:right="238"/>
        <w:jc w:val="both"/>
        <w:rPr>
          <w:sz w:val="24"/>
          <w:szCs w:val="24"/>
        </w:rPr>
      </w:pPr>
      <w:r w:rsidRPr="00970228">
        <w:rPr>
          <w:sz w:val="24"/>
          <w:szCs w:val="24"/>
        </w:rPr>
        <w:t>Wemmers, J.A., Parent, I. and Lachance Quirion, M., 2023. Restoring victims’ confidence: Victim-centred restorative practices. International Review of Victimology, 29(3), pp.466-486.</w:t>
      </w:r>
    </w:p>
    <w:p w14:paraId="15766BD9" w14:textId="586CAEE7" w:rsidR="00E009EF" w:rsidRDefault="00E009EF" w:rsidP="00634E1E">
      <w:pPr>
        <w:keepNext/>
        <w:keepLines/>
        <w:spacing w:before="240" w:after="60"/>
        <w:ind w:right="238"/>
        <w:jc w:val="both"/>
        <w:rPr>
          <w:sz w:val="24"/>
          <w:szCs w:val="24"/>
        </w:rPr>
      </w:pPr>
      <w:r w:rsidRPr="00E009EF">
        <w:rPr>
          <w:sz w:val="24"/>
          <w:szCs w:val="24"/>
        </w:rPr>
        <w:t>Williams, A.J., Jones, C., Arcelus, J., Townsend, E., Lazaridou, A. and Michail, M., 2021. A systematic review and meta-analysis of victimisation and mental health prevalence among LGBTQ+ young people with experiences of self-harm and suicide. PloS one, 16(1), p.e0245268.</w:t>
      </w:r>
    </w:p>
    <w:p w14:paraId="19CCEF5E" w14:textId="2284710C" w:rsidR="00C25FE6" w:rsidRDefault="00C25FE6" w:rsidP="00634E1E">
      <w:pPr>
        <w:keepNext/>
        <w:keepLines/>
        <w:spacing w:before="240" w:after="60"/>
        <w:ind w:right="238"/>
        <w:jc w:val="both"/>
        <w:rPr>
          <w:sz w:val="24"/>
          <w:szCs w:val="24"/>
        </w:rPr>
      </w:pPr>
      <w:r w:rsidRPr="00C25FE6">
        <w:rPr>
          <w:sz w:val="24"/>
          <w:szCs w:val="24"/>
        </w:rPr>
        <w:t>Wüllenweber, S. and Giles, S., 2021. The effectiveness of forensic evidence in the investigation of volume crime scenes. Science &amp; Justice, 61(5), pp.542-554.</w:t>
      </w:r>
    </w:p>
    <w:p w14:paraId="553FBA26" w14:textId="4481EB96" w:rsidR="0051015C" w:rsidRDefault="0051015C" w:rsidP="00634E1E">
      <w:pPr>
        <w:keepNext/>
        <w:keepLines/>
        <w:spacing w:before="240" w:after="60"/>
        <w:ind w:right="238"/>
        <w:jc w:val="both"/>
        <w:rPr>
          <w:sz w:val="24"/>
          <w:szCs w:val="24"/>
        </w:rPr>
      </w:pPr>
      <w:r w:rsidRPr="0051015C">
        <w:rPr>
          <w:sz w:val="24"/>
          <w:szCs w:val="24"/>
        </w:rPr>
        <w:t>Xu, M., Macrynikola, N., Waseem, M. and Miranda, R., 2020. Racial and ethnic differences in bullying: Review and implications for intervention. Aggression and violent behavior, 50, p.101340.</w:t>
      </w:r>
    </w:p>
    <w:p w14:paraId="4F19C716" w14:textId="77777777" w:rsidR="00F01F40" w:rsidRDefault="00F01F40" w:rsidP="00634E1E">
      <w:pPr>
        <w:keepNext/>
        <w:keepLines/>
        <w:spacing w:before="240" w:after="60"/>
        <w:ind w:right="238"/>
        <w:jc w:val="both"/>
        <w:rPr>
          <w:sz w:val="24"/>
          <w:szCs w:val="24"/>
        </w:rPr>
      </w:pPr>
    </w:p>
    <w:p w14:paraId="68845513" w14:textId="5E0001AD" w:rsidR="00F01F40" w:rsidRDefault="00F01F40" w:rsidP="00EA28F1">
      <w:pPr>
        <w:keepNext/>
        <w:spacing w:before="240" w:after="60"/>
        <w:ind w:right="237"/>
        <w:jc w:val="both"/>
      </w:pPr>
    </w:p>
    <w:sectPr w:rsidR="00F01F40" w:rsidSect="008E20C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00E69F" w14:textId="77777777" w:rsidR="008E20C0" w:rsidRDefault="008E20C0">
      <w:r>
        <w:separator/>
      </w:r>
    </w:p>
  </w:endnote>
  <w:endnote w:type="continuationSeparator" w:id="0">
    <w:p w14:paraId="4B02F975" w14:textId="77777777" w:rsidR="008E20C0" w:rsidRDefault="008E2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5FB463" w14:textId="77777777" w:rsidR="008E20C0" w:rsidRDefault="008E20C0">
      <w:r>
        <w:separator/>
      </w:r>
    </w:p>
  </w:footnote>
  <w:footnote w:type="continuationSeparator" w:id="0">
    <w:p w14:paraId="590930DB" w14:textId="77777777" w:rsidR="008E20C0" w:rsidRDefault="008E20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51E"/>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408"/>
    <w:rsid w:val="00057751"/>
    <w:rsid w:val="000617FD"/>
    <w:rsid w:val="00062E39"/>
    <w:rsid w:val="0006580E"/>
    <w:rsid w:val="00072A4A"/>
    <w:rsid w:val="000735C2"/>
    <w:rsid w:val="00075665"/>
    <w:rsid w:val="00080E58"/>
    <w:rsid w:val="00083D99"/>
    <w:rsid w:val="00084EA6"/>
    <w:rsid w:val="00085699"/>
    <w:rsid w:val="00085F1D"/>
    <w:rsid w:val="00086CBC"/>
    <w:rsid w:val="00087891"/>
    <w:rsid w:val="00090169"/>
    <w:rsid w:val="00091F52"/>
    <w:rsid w:val="00092970"/>
    <w:rsid w:val="00092BC7"/>
    <w:rsid w:val="00093720"/>
    <w:rsid w:val="000938E6"/>
    <w:rsid w:val="00093B3C"/>
    <w:rsid w:val="0009488C"/>
    <w:rsid w:val="00095101"/>
    <w:rsid w:val="00095C1B"/>
    <w:rsid w:val="00096DEA"/>
    <w:rsid w:val="0009784E"/>
    <w:rsid w:val="000A4240"/>
    <w:rsid w:val="000A469A"/>
    <w:rsid w:val="000B1E96"/>
    <w:rsid w:val="000C378F"/>
    <w:rsid w:val="000C6892"/>
    <w:rsid w:val="000C6FFE"/>
    <w:rsid w:val="000D0BB6"/>
    <w:rsid w:val="000D15CC"/>
    <w:rsid w:val="000E26B0"/>
    <w:rsid w:val="000F1599"/>
    <w:rsid w:val="000F1769"/>
    <w:rsid w:val="000F6196"/>
    <w:rsid w:val="000F7ECD"/>
    <w:rsid w:val="00102E64"/>
    <w:rsid w:val="0010312C"/>
    <w:rsid w:val="00106DC7"/>
    <w:rsid w:val="00112391"/>
    <w:rsid w:val="001141EF"/>
    <w:rsid w:val="00114F52"/>
    <w:rsid w:val="0012135C"/>
    <w:rsid w:val="00130E83"/>
    <w:rsid w:val="001347F8"/>
    <w:rsid w:val="00135DD8"/>
    <w:rsid w:val="00137BB5"/>
    <w:rsid w:val="00137E05"/>
    <w:rsid w:val="001447F6"/>
    <w:rsid w:val="00147DE3"/>
    <w:rsid w:val="00150794"/>
    <w:rsid w:val="001508E0"/>
    <w:rsid w:val="00155030"/>
    <w:rsid w:val="001608C4"/>
    <w:rsid w:val="00171418"/>
    <w:rsid w:val="00190913"/>
    <w:rsid w:val="00192320"/>
    <w:rsid w:val="001961CF"/>
    <w:rsid w:val="001A1138"/>
    <w:rsid w:val="001A5719"/>
    <w:rsid w:val="001A59BB"/>
    <w:rsid w:val="001A6A51"/>
    <w:rsid w:val="001A79C4"/>
    <w:rsid w:val="001B331A"/>
    <w:rsid w:val="001C0E74"/>
    <w:rsid w:val="001C6CEC"/>
    <w:rsid w:val="001D229F"/>
    <w:rsid w:val="001D6162"/>
    <w:rsid w:val="001E6FAD"/>
    <w:rsid w:val="001E7592"/>
    <w:rsid w:val="001F3878"/>
    <w:rsid w:val="001F3976"/>
    <w:rsid w:val="001F4552"/>
    <w:rsid w:val="001F5601"/>
    <w:rsid w:val="00200AFB"/>
    <w:rsid w:val="002019EB"/>
    <w:rsid w:val="002030F2"/>
    <w:rsid w:val="00205051"/>
    <w:rsid w:val="00211695"/>
    <w:rsid w:val="00211F65"/>
    <w:rsid w:val="00213A97"/>
    <w:rsid w:val="00214AE9"/>
    <w:rsid w:val="0022001B"/>
    <w:rsid w:val="00220D06"/>
    <w:rsid w:val="002219BA"/>
    <w:rsid w:val="002246A0"/>
    <w:rsid w:val="00224AF9"/>
    <w:rsid w:val="00230439"/>
    <w:rsid w:val="00234BC3"/>
    <w:rsid w:val="00235176"/>
    <w:rsid w:val="00236061"/>
    <w:rsid w:val="0024100E"/>
    <w:rsid w:val="00241C1B"/>
    <w:rsid w:val="002423B2"/>
    <w:rsid w:val="0024288B"/>
    <w:rsid w:val="002440E0"/>
    <w:rsid w:val="002512A0"/>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B4B"/>
    <w:rsid w:val="002A5604"/>
    <w:rsid w:val="002A5699"/>
    <w:rsid w:val="002B1701"/>
    <w:rsid w:val="002B23C3"/>
    <w:rsid w:val="002B443A"/>
    <w:rsid w:val="002B5B35"/>
    <w:rsid w:val="002C256A"/>
    <w:rsid w:val="002C496D"/>
    <w:rsid w:val="002C49C4"/>
    <w:rsid w:val="002C782F"/>
    <w:rsid w:val="002D05EB"/>
    <w:rsid w:val="002D25E7"/>
    <w:rsid w:val="002D2F29"/>
    <w:rsid w:val="002D2FD3"/>
    <w:rsid w:val="002E7017"/>
    <w:rsid w:val="002F4F6E"/>
    <w:rsid w:val="003015C3"/>
    <w:rsid w:val="0030568A"/>
    <w:rsid w:val="0030698D"/>
    <w:rsid w:val="0031350A"/>
    <w:rsid w:val="00313F09"/>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3A11"/>
    <w:rsid w:val="0037490C"/>
    <w:rsid w:val="00375AF5"/>
    <w:rsid w:val="003761BD"/>
    <w:rsid w:val="003769F6"/>
    <w:rsid w:val="00385414"/>
    <w:rsid w:val="00390074"/>
    <w:rsid w:val="00392A5F"/>
    <w:rsid w:val="00394EC2"/>
    <w:rsid w:val="0039762B"/>
    <w:rsid w:val="003A0C37"/>
    <w:rsid w:val="003A1B6B"/>
    <w:rsid w:val="003A2F82"/>
    <w:rsid w:val="003A46C0"/>
    <w:rsid w:val="003A600E"/>
    <w:rsid w:val="003A6513"/>
    <w:rsid w:val="003B16C7"/>
    <w:rsid w:val="003C19F1"/>
    <w:rsid w:val="003C2489"/>
    <w:rsid w:val="003C4186"/>
    <w:rsid w:val="003C458C"/>
    <w:rsid w:val="003C6185"/>
    <w:rsid w:val="003D0D2D"/>
    <w:rsid w:val="003D4710"/>
    <w:rsid w:val="003E16D7"/>
    <w:rsid w:val="003E197E"/>
    <w:rsid w:val="003E2098"/>
    <w:rsid w:val="004046F0"/>
    <w:rsid w:val="00406683"/>
    <w:rsid w:val="0040668F"/>
    <w:rsid w:val="00412677"/>
    <w:rsid w:val="00417925"/>
    <w:rsid w:val="004348AE"/>
    <w:rsid w:val="00435E9A"/>
    <w:rsid w:val="004376C0"/>
    <w:rsid w:val="0044115F"/>
    <w:rsid w:val="0044223A"/>
    <w:rsid w:val="00446792"/>
    <w:rsid w:val="004467F4"/>
    <w:rsid w:val="00446F80"/>
    <w:rsid w:val="004501F6"/>
    <w:rsid w:val="0045046E"/>
    <w:rsid w:val="00450C83"/>
    <w:rsid w:val="00451851"/>
    <w:rsid w:val="00453343"/>
    <w:rsid w:val="004608B9"/>
    <w:rsid w:val="00460ADB"/>
    <w:rsid w:val="00465947"/>
    <w:rsid w:val="00465F90"/>
    <w:rsid w:val="004672C1"/>
    <w:rsid w:val="00470BB1"/>
    <w:rsid w:val="004718F7"/>
    <w:rsid w:val="00473153"/>
    <w:rsid w:val="004743AF"/>
    <w:rsid w:val="00482C17"/>
    <w:rsid w:val="004904FC"/>
    <w:rsid w:val="004911B4"/>
    <w:rsid w:val="0049196A"/>
    <w:rsid w:val="004923DA"/>
    <w:rsid w:val="00493434"/>
    <w:rsid w:val="004962F9"/>
    <w:rsid w:val="004968E2"/>
    <w:rsid w:val="004A07F1"/>
    <w:rsid w:val="004A14C4"/>
    <w:rsid w:val="004A2A49"/>
    <w:rsid w:val="004B328D"/>
    <w:rsid w:val="004B5138"/>
    <w:rsid w:val="004B600B"/>
    <w:rsid w:val="004B6822"/>
    <w:rsid w:val="004B69F6"/>
    <w:rsid w:val="004C2D3A"/>
    <w:rsid w:val="004C3114"/>
    <w:rsid w:val="004D03C4"/>
    <w:rsid w:val="004D0BF1"/>
    <w:rsid w:val="004D24D2"/>
    <w:rsid w:val="004D35A4"/>
    <w:rsid w:val="004D445F"/>
    <w:rsid w:val="004E087B"/>
    <w:rsid w:val="004E44A4"/>
    <w:rsid w:val="004E739F"/>
    <w:rsid w:val="004E7B8B"/>
    <w:rsid w:val="004E7BDD"/>
    <w:rsid w:val="004F1E21"/>
    <w:rsid w:val="004F740D"/>
    <w:rsid w:val="004F7B8F"/>
    <w:rsid w:val="00500748"/>
    <w:rsid w:val="005011D6"/>
    <w:rsid w:val="0050167A"/>
    <w:rsid w:val="005042F1"/>
    <w:rsid w:val="00506B23"/>
    <w:rsid w:val="0051015C"/>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3C6"/>
    <w:rsid w:val="00586D89"/>
    <w:rsid w:val="005916B8"/>
    <w:rsid w:val="00593D00"/>
    <w:rsid w:val="005A1B4C"/>
    <w:rsid w:val="005A1BA3"/>
    <w:rsid w:val="005A545C"/>
    <w:rsid w:val="005C1567"/>
    <w:rsid w:val="005C6CE5"/>
    <w:rsid w:val="005C76DE"/>
    <w:rsid w:val="005D0878"/>
    <w:rsid w:val="005D3F07"/>
    <w:rsid w:val="005D583E"/>
    <w:rsid w:val="005E13EA"/>
    <w:rsid w:val="005E53BD"/>
    <w:rsid w:val="00606E27"/>
    <w:rsid w:val="006108C9"/>
    <w:rsid w:val="00615C7E"/>
    <w:rsid w:val="0062158D"/>
    <w:rsid w:val="00630F39"/>
    <w:rsid w:val="006326D1"/>
    <w:rsid w:val="00632E0A"/>
    <w:rsid w:val="00633165"/>
    <w:rsid w:val="00634E1E"/>
    <w:rsid w:val="00636B6C"/>
    <w:rsid w:val="006447DE"/>
    <w:rsid w:val="0065276E"/>
    <w:rsid w:val="00654329"/>
    <w:rsid w:val="00654CEC"/>
    <w:rsid w:val="00655507"/>
    <w:rsid w:val="00664FBD"/>
    <w:rsid w:val="006712A7"/>
    <w:rsid w:val="006733CC"/>
    <w:rsid w:val="00674FC2"/>
    <w:rsid w:val="00677E42"/>
    <w:rsid w:val="00682334"/>
    <w:rsid w:val="00684B16"/>
    <w:rsid w:val="00694C00"/>
    <w:rsid w:val="00695B06"/>
    <w:rsid w:val="00696F65"/>
    <w:rsid w:val="006A7A6D"/>
    <w:rsid w:val="006B4CA8"/>
    <w:rsid w:val="006B5A73"/>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9D"/>
    <w:rsid w:val="007D78CC"/>
    <w:rsid w:val="007F3F7E"/>
    <w:rsid w:val="007F5497"/>
    <w:rsid w:val="008037AB"/>
    <w:rsid w:val="00813CEC"/>
    <w:rsid w:val="0081534C"/>
    <w:rsid w:val="008171E4"/>
    <w:rsid w:val="008208EA"/>
    <w:rsid w:val="00824E67"/>
    <w:rsid w:val="00825A64"/>
    <w:rsid w:val="00826F48"/>
    <w:rsid w:val="008308AE"/>
    <w:rsid w:val="0083166E"/>
    <w:rsid w:val="00831DC3"/>
    <w:rsid w:val="008322C7"/>
    <w:rsid w:val="00834F1D"/>
    <w:rsid w:val="00836FEC"/>
    <w:rsid w:val="00841E35"/>
    <w:rsid w:val="00841F9D"/>
    <w:rsid w:val="008420E1"/>
    <w:rsid w:val="00843D58"/>
    <w:rsid w:val="00843E9B"/>
    <w:rsid w:val="00843EBA"/>
    <w:rsid w:val="00844D98"/>
    <w:rsid w:val="00846D84"/>
    <w:rsid w:val="00850E8D"/>
    <w:rsid w:val="00851EF9"/>
    <w:rsid w:val="0085230E"/>
    <w:rsid w:val="0085355E"/>
    <w:rsid w:val="008550A1"/>
    <w:rsid w:val="00861035"/>
    <w:rsid w:val="00861038"/>
    <w:rsid w:val="00865008"/>
    <w:rsid w:val="00866B50"/>
    <w:rsid w:val="008708F1"/>
    <w:rsid w:val="00880539"/>
    <w:rsid w:val="008845E0"/>
    <w:rsid w:val="008859E8"/>
    <w:rsid w:val="0088737B"/>
    <w:rsid w:val="00892716"/>
    <w:rsid w:val="00893067"/>
    <w:rsid w:val="008933DE"/>
    <w:rsid w:val="008954B1"/>
    <w:rsid w:val="00895FCE"/>
    <w:rsid w:val="00897F3E"/>
    <w:rsid w:val="008A0093"/>
    <w:rsid w:val="008A0963"/>
    <w:rsid w:val="008A1BA8"/>
    <w:rsid w:val="008A21B4"/>
    <w:rsid w:val="008A2F5A"/>
    <w:rsid w:val="008A4576"/>
    <w:rsid w:val="008B07DE"/>
    <w:rsid w:val="008B28E7"/>
    <w:rsid w:val="008C00EC"/>
    <w:rsid w:val="008C14C7"/>
    <w:rsid w:val="008C2FFB"/>
    <w:rsid w:val="008C6EEA"/>
    <w:rsid w:val="008D5813"/>
    <w:rsid w:val="008D634E"/>
    <w:rsid w:val="008D778A"/>
    <w:rsid w:val="008E20C0"/>
    <w:rsid w:val="008E33A7"/>
    <w:rsid w:val="008F22BD"/>
    <w:rsid w:val="00901B61"/>
    <w:rsid w:val="009079BD"/>
    <w:rsid w:val="00912BD9"/>
    <w:rsid w:val="00916CFB"/>
    <w:rsid w:val="00920E5B"/>
    <w:rsid w:val="009249F8"/>
    <w:rsid w:val="00924F1D"/>
    <w:rsid w:val="00926436"/>
    <w:rsid w:val="0093018C"/>
    <w:rsid w:val="00932CCA"/>
    <w:rsid w:val="009370AE"/>
    <w:rsid w:val="009544C0"/>
    <w:rsid w:val="00954FA4"/>
    <w:rsid w:val="00956766"/>
    <w:rsid w:val="00956AE9"/>
    <w:rsid w:val="00964CC6"/>
    <w:rsid w:val="00970228"/>
    <w:rsid w:val="00991FDA"/>
    <w:rsid w:val="009927A1"/>
    <w:rsid w:val="0099774D"/>
    <w:rsid w:val="009A310E"/>
    <w:rsid w:val="009A5F3B"/>
    <w:rsid w:val="009A721A"/>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5C67"/>
    <w:rsid w:val="00A56BC4"/>
    <w:rsid w:val="00A57FE3"/>
    <w:rsid w:val="00A652F6"/>
    <w:rsid w:val="00A732EA"/>
    <w:rsid w:val="00A7489E"/>
    <w:rsid w:val="00A8015F"/>
    <w:rsid w:val="00A80BD2"/>
    <w:rsid w:val="00A85039"/>
    <w:rsid w:val="00A851F7"/>
    <w:rsid w:val="00A87714"/>
    <w:rsid w:val="00A906AA"/>
    <w:rsid w:val="00A9118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3F8"/>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1F5"/>
    <w:rsid w:val="00BB06CB"/>
    <w:rsid w:val="00BB261F"/>
    <w:rsid w:val="00BB2887"/>
    <w:rsid w:val="00BB5EAA"/>
    <w:rsid w:val="00BB5F11"/>
    <w:rsid w:val="00BC0401"/>
    <w:rsid w:val="00BC04FA"/>
    <w:rsid w:val="00BC1C22"/>
    <w:rsid w:val="00BC460B"/>
    <w:rsid w:val="00BC5725"/>
    <w:rsid w:val="00BD30B1"/>
    <w:rsid w:val="00BD5C01"/>
    <w:rsid w:val="00BE0F7B"/>
    <w:rsid w:val="00BE10C2"/>
    <w:rsid w:val="00BE1199"/>
    <w:rsid w:val="00BF40DA"/>
    <w:rsid w:val="00C01D14"/>
    <w:rsid w:val="00C025B4"/>
    <w:rsid w:val="00C0275F"/>
    <w:rsid w:val="00C07B81"/>
    <w:rsid w:val="00C11F61"/>
    <w:rsid w:val="00C161FD"/>
    <w:rsid w:val="00C23F17"/>
    <w:rsid w:val="00C25FE6"/>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6E62"/>
    <w:rsid w:val="00CD5D3F"/>
    <w:rsid w:val="00CF16F3"/>
    <w:rsid w:val="00CF1E90"/>
    <w:rsid w:val="00CF3DB3"/>
    <w:rsid w:val="00D052BC"/>
    <w:rsid w:val="00D07026"/>
    <w:rsid w:val="00D07BAB"/>
    <w:rsid w:val="00D07DDC"/>
    <w:rsid w:val="00D11C62"/>
    <w:rsid w:val="00D22C8F"/>
    <w:rsid w:val="00D308C8"/>
    <w:rsid w:val="00D33491"/>
    <w:rsid w:val="00D44F8E"/>
    <w:rsid w:val="00D44FD0"/>
    <w:rsid w:val="00D5733C"/>
    <w:rsid w:val="00D607EF"/>
    <w:rsid w:val="00D60F88"/>
    <w:rsid w:val="00D625E7"/>
    <w:rsid w:val="00D62D81"/>
    <w:rsid w:val="00D63304"/>
    <w:rsid w:val="00D646BD"/>
    <w:rsid w:val="00D70239"/>
    <w:rsid w:val="00D71201"/>
    <w:rsid w:val="00D720C7"/>
    <w:rsid w:val="00D77A04"/>
    <w:rsid w:val="00D81D06"/>
    <w:rsid w:val="00D8652C"/>
    <w:rsid w:val="00D876E6"/>
    <w:rsid w:val="00DA1025"/>
    <w:rsid w:val="00DA22EC"/>
    <w:rsid w:val="00DA5860"/>
    <w:rsid w:val="00DB2767"/>
    <w:rsid w:val="00DB7DFC"/>
    <w:rsid w:val="00DC08B3"/>
    <w:rsid w:val="00DC4729"/>
    <w:rsid w:val="00DC4A8B"/>
    <w:rsid w:val="00DC6DBC"/>
    <w:rsid w:val="00DD648E"/>
    <w:rsid w:val="00DE556F"/>
    <w:rsid w:val="00E009EF"/>
    <w:rsid w:val="00E03B6D"/>
    <w:rsid w:val="00E0649E"/>
    <w:rsid w:val="00E14476"/>
    <w:rsid w:val="00E17160"/>
    <w:rsid w:val="00E35BEC"/>
    <w:rsid w:val="00E50821"/>
    <w:rsid w:val="00E50EF8"/>
    <w:rsid w:val="00E51F91"/>
    <w:rsid w:val="00E6526E"/>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03AB"/>
    <w:rsid w:val="00F01F40"/>
    <w:rsid w:val="00F01F92"/>
    <w:rsid w:val="00F10A08"/>
    <w:rsid w:val="00F12F62"/>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4B8F"/>
    <w:rsid w:val="00F8610A"/>
    <w:rsid w:val="00F927A1"/>
    <w:rsid w:val="00F92E4D"/>
    <w:rsid w:val="00F94392"/>
    <w:rsid w:val="00FA3764"/>
    <w:rsid w:val="00FA3A29"/>
    <w:rsid w:val="00FA56ED"/>
    <w:rsid w:val="00FB386E"/>
    <w:rsid w:val="00FB4ABE"/>
    <w:rsid w:val="00FB5FA6"/>
    <w:rsid w:val="00FC1310"/>
    <w:rsid w:val="00FC1328"/>
    <w:rsid w:val="00FC2FF3"/>
    <w:rsid w:val="00FC3263"/>
    <w:rsid w:val="00FC51F9"/>
    <w:rsid w:val="00FC5B40"/>
    <w:rsid w:val="00FC5FF8"/>
    <w:rsid w:val="00FC702B"/>
    <w:rsid w:val="00FD3D7C"/>
    <w:rsid w:val="00FD4F8F"/>
    <w:rsid w:val="00FD4FF1"/>
    <w:rsid w:val="00FD52E0"/>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06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67081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637493">
      <w:bodyDiv w:val="1"/>
      <w:marLeft w:val="0"/>
      <w:marRight w:val="0"/>
      <w:marTop w:val="0"/>
      <w:marBottom w:val="0"/>
      <w:divBdr>
        <w:top w:val="none" w:sz="0" w:space="0" w:color="auto"/>
        <w:left w:val="none" w:sz="0" w:space="0" w:color="auto"/>
        <w:bottom w:val="none" w:sz="0" w:space="0" w:color="auto"/>
        <w:right w:val="none" w:sz="0" w:space="0" w:color="auto"/>
      </w:divBdr>
      <w:divsChild>
        <w:div w:id="141699204">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4991</TotalTime>
  <Pages>20</Pages>
  <Words>7050</Words>
  <Characters>40187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Christian L</cp:lastModifiedBy>
  <cp:revision>80</cp:revision>
  <cp:lastPrinted>2014-08-26T08:55:00Z</cp:lastPrinted>
  <dcterms:created xsi:type="dcterms:W3CDTF">2023-09-25T13:11:00Z</dcterms:created>
  <dcterms:modified xsi:type="dcterms:W3CDTF">2024-04-28T12:38:00Z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