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853A" w14:textId="77777777" w:rsidR="00952F7D" w:rsidRPr="008F6C7E" w:rsidRDefault="00DF198B" w:rsidP="00DF198B">
      <w:pPr>
        <w:pStyle w:val="GraphicAnchor"/>
        <w:rPr>
          <w:lang w:val="en-GB"/>
        </w:rPr>
      </w:pPr>
      <w:r w:rsidRPr="008F6C7E">
        <w:rPr>
          <w:noProof/>
          <w:lang w:val="en-GB" w:bidi="en-GB"/>
        </w:rPr>
        <w:drawing>
          <wp:anchor distT="0" distB="0" distL="114300" distR="114300" simplePos="0" relativeHeight="251658240" behindDoc="1" locked="0" layoutInCell="1" allowOverlap="1" wp14:anchorId="7D879E26" wp14:editId="56CB03DA">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8F6C7E" w14:paraId="39C46F87" w14:textId="77777777" w:rsidTr="00AD0497">
        <w:trPr>
          <w:trHeight w:val="1083"/>
        </w:trPr>
        <w:tc>
          <w:tcPr>
            <w:tcW w:w="10790" w:type="dxa"/>
            <w:gridSpan w:val="9"/>
          </w:tcPr>
          <w:p w14:paraId="2608C6EE" w14:textId="77777777" w:rsidR="00DF198B" w:rsidRPr="008F6C7E" w:rsidRDefault="00DF198B">
            <w:pPr>
              <w:rPr>
                <w:lang w:val="en-GB"/>
              </w:rPr>
            </w:pPr>
          </w:p>
        </w:tc>
      </w:tr>
      <w:tr w:rsidR="00DF198B" w:rsidRPr="008F6C7E" w14:paraId="069379E9" w14:textId="77777777" w:rsidTr="00AD0497">
        <w:trPr>
          <w:trHeight w:val="1068"/>
        </w:trPr>
        <w:tc>
          <w:tcPr>
            <w:tcW w:w="1198" w:type="dxa"/>
            <w:gridSpan w:val="2"/>
            <w:tcBorders>
              <w:right w:val="single" w:sz="18" w:space="0" w:color="476166" w:themeColor="accent1"/>
            </w:tcBorders>
          </w:tcPr>
          <w:p w14:paraId="3FF76A6E" w14:textId="77777777" w:rsidR="00DF198B" w:rsidRPr="008F6C7E" w:rsidRDefault="00DF198B">
            <w:pPr>
              <w:rPr>
                <w:lang w:val="en-GB"/>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1BAD661" w14:textId="2ECEDC6D" w:rsidR="00DF198B" w:rsidRPr="008F6C7E" w:rsidRDefault="00AD0497" w:rsidP="00874FE7">
            <w:pPr>
              <w:pStyle w:val="Heading1"/>
              <w:rPr>
                <w:lang w:val="en-GB"/>
              </w:rPr>
            </w:pPr>
            <w:r>
              <w:rPr>
                <w:lang w:val="en-GB"/>
              </w:rPr>
              <w:t>Artificial Intelligence and Machine Learning</w:t>
            </w:r>
          </w:p>
        </w:tc>
        <w:tc>
          <w:tcPr>
            <w:tcW w:w="1199" w:type="dxa"/>
            <w:gridSpan w:val="2"/>
            <w:tcBorders>
              <w:left w:val="single" w:sz="18" w:space="0" w:color="476166" w:themeColor="accent1"/>
            </w:tcBorders>
          </w:tcPr>
          <w:p w14:paraId="47BF079A" w14:textId="77777777" w:rsidR="00DF198B" w:rsidRPr="008F6C7E" w:rsidRDefault="00DF198B">
            <w:pPr>
              <w:rPr>
                <w:lang w:val="en-GB"/>
              </w:rPr>
            </w:pPr>
          </w:p>
        </w:tc>
      </w:tr>
      <w:tr w:rsidR="00DF198B" w:rsidRPr="008F6C7E" w14:paraId="0D5F6855" w14:textId="77777777" w:rsidTr="00AD0497">
        <w:trPr>
          <w:trHeight w:val="1837"/>
        </w:trPr>
        <w:tc>
          <w:tcPr>
            <w:tcW w:w="1170" w:type="dxa"/>
          </w:tcPr>
          <w:p w14:paraId="62B8A6C0" w14:textId="77777777" w:rsidR="00DF198B" w:rsidRPr="008F6C7E" w:rsidRDefault="00DF198B">
            <w:pPr>
              <w:rPr>
                <w:lang w:val="en-GB"/>
              </w:rPr>
            </w:pPr>
          </w:p>
        </w:tc>
        <w:tc>
          <w:tcPr>
            <w:tcW w:w="8460" w:type="dxa"/>
            <w:gridSpan w:val="7"/>
          </w:tcPr>
          <w:p w14:paraId="60E1FC0C" w14:textId="77777777" w:rsidR="00DF198B" w:rsidRPr="008F6C7E" w:rsidRDefault="00DF198B">
            <w:pPr>
              <w:rPr>
                <w:lang w:val="en-GB"/>
              </w:rPr>
            </w:pPr>
          </w:p>
        </w:tc>
        <w:tc>
          <w:tcPr>
            <w:tcW w:w="1160" w:type="dxa"/>
          </w:tcPr>
          <w:p w14:paraId="588F5291" w14:textId="77777777" w:rsidR="00DF198B" w:rsidRPr="008F6C7E" w:rsidRDefault="00DF198B">
            <w:pPr>
              <w:rPr>
                <w:lang w:val="en-GB"/>
              </w:rPr>
            </w:pPr>
          </w:p>
        </w:tc>
      </w:tr>
      <w:tr w:rsidR="00DF198B" w:rsidRPr="008F6C7E" w14:paraId="4105C9CD" w14:textId="77777777" w:rsidTr="00AD0497">
        <w:trPr>
          <w:trHeight w:val="929"/>
        </w:trPr>
        <w:tc>
          <w:tcPr>
            <w:tcW w:w="2397" w:type="dxa"/>
            <w:gridSpan w:val="4"/>
          </w:tcPr>
          <w:p w14:paraId="20324EAF" w14:textId="77777777" w:rsidR="00DF198B" w:rsidRPr="008F6C7E" w:rsidRDefault="00DF198B">
            <w:pPr>
              <w:rPr>
                <w:lang w:val="en-GB"/>
              </w:rPr>
            </w:pPr>
          </w:p>
        </w:tc>
        <w:tc>
          <w:tcPr>
            <w:tcW w:w="5995" w:type="dxa"/>
            <w:shd w:val="clear" w:color="auto" w:fill="FFFFFF" w:themeFill="background1"/>
          </w:tcPr>
          <w:p w14:paraId="45016631" w14:textId="77777777" w:rsidR="00DF198B" w:rsidRPr="008F6C7E" w:rsidRDefault="00DF198B" w:rsidP="00DF198B">
            <w:pPr>
              <w:jc w:val="center"/>
              <w:rPr>
                <w:rFonts w:ascii="Georgia" w:hAnsi="Georgia"/>
                <w:sz w:val="48"/>
                <w:szCs w:val="48"/>
                <w:lang w:val="en-GB"/>
              </w:rPr>
            </w:pPr>
          </w:p>
        </w:tc>
        <w:tc>
          <w:tcPr>
            <w:tcW w:w="2398" w:type="dxa"/>
            <w:gridSpan w:val="4"/>
          </w:tcPr>
          <w:p w14:paraId="61BA3EBD" w14:textId="77777777" w:rsidR="00DF198B" w:rsidRPr="008F6C7E" w:rsidRDefault="00DF198B">
            <w:pPr>
              <w:rPr>
                <w:lang w:val="en-GB"/>
              </w:rPr>
            </w:pPr>
          </w:p>
        </w:tc>
      </w:tr>
      <w:tr w:rsidR="00DF198B" w:rsidRPr="008F6C7E" w14:paraId="1E322CF5" w14:textId="77777777" w:rsidTr="00AD0497">
        <w:trPr>
          <w:trHeight w:val="1460"/>
        </w:trPr>
        <w:tc>
          <w:tcPr>
            <w:tcW w:w="2397" w:type="dxa"/>
            <w:gridSpan w:val="4"/>
          </w:tcPr>
          <w:p w14:paraId="161BA1F4" w14:textId="77777777" w:rsidR="00DF198B" w:rsidRPr="008F6C7E" w:rsidRDefault="00DF198B">
            <w:pPr>
              <w:rPr>
                <w:lang w:val="en-GB"/>
              </w:rPr>
            </w:pPr>
          </w:p>
        </w:tc>
        <w:tc>
          <w:tcPr>
            <w:tcW w:w="5995" w:type="dxa"/>
            <w:shd w:val="clear" w:color="auto" w:fill="FFFFFF" w:themeFill="background1"/>
          </w:tcPr>
          <w:p w14:paraId="3D20D75F" w14:textId="293CF720" w:rsidR="00DF198B" w:rsidRPr="008F6C7E" w:rsidRDefault="009F5FEC" w:rsidP="00874FE7">
            <w:pPr>
              <w:pStyle w:val="Heading2"/>
              <w:rPr>
                <w:lang w:val="en-GB"/>
              </w:rPr>
            </w:pPr>
            <w:bookmarkStart w:id="0" w:name="_Toc211851429"/>
            <w:bookmarkStart w:id="1" w:name="_Toc211851471"/>
            <w:bookmarkStart w:id="2" w:name="_Toc211851998"/>
            <w:bookmarkStart w:id="3" w:name="_Toc211852073"/>
            <w:bookmarkStart w:id="4" w:name="_Toc211852434"/>
            <w:bookmarkStart w:id="5" w:name="_Toc211852975"/>
            <w:bookmarkStart w:id="6" w:name="_Toc211853699"/>
            <w:r>
              <w:rPr>
                <w:lang w:val="en-GB"/>
              </w:rPr>
              <w:t>William Rowlands</w:t>
            </w:r>
            <w:bookmarkEnd w:id="0"/>
            <w:bookmarkEnd w:id="1"/>
            <w:bookmarkEnd w:id="2"/>
            <w:bookmarkEnd w:id="3"/>
            <w:bookmarkEnd w:id="4"/>
            <w:bookmarkEnd w:id="5"/>
            <w:bookmarkEnd w:id="6"/>
          </w:p>
        </w:tc>
        <w:tc>
          <w:tcPr>
            <w:tcW w:w="2398" w:type="dxa"/>
            <w:gridSpan w:val="4"/>
          </w:tcPr>
          <w:p w14:paraId="2FF32729" w14:textId="77777777" w:rsidR="00DF198B" w:rsidRPr="008F6C7E" w:rsidRDefault="00DF198B">
            <w:pPr>
              <w:rPr>
                <w:lang w:val="en-GB"/>
              </w:rPr>
            </w:pPr>
          </w:p>
        </w:tc>
      </w:tr>
      <w:tr w:rsidR="00DF198B" w:rsidRPr="008F6C7E" w14:paraId="2F63ADEB" w14:textId="77777777" w:rsidTr="00AD0497">
        <w:trPr>
          <w:trHeight w:val="8172"/>
        </w:trPr>
        <w:tc>
          <w:tcPr>
            <w:tcW w:w="2397" w:type="dxa"/>
            <w:gridSpan w:val="4"/>
            <w:vAlign w:val="bottom"/>
          </w:tcPr>
          <w:p w14:paraId="05F37D69" w14:textId="77777777" w:rsidR="00DF198B" w:rsidRPr="008F6C7E" w:rsidRDefault="00DF198B" w:rsidP="00DF198B">
            <w:pPr>
              <w:jc w:val="center"/>
              <w:rPr>
                <w:lang w:val="en-GB"/>
              </w:rPr>
            </w:pPr>
          </w:p>
        </w:tc>
        <w:tc>
          <w:tcPr>
            <w:tcW w:w="5995" w:type="dxa"/>
            <w:tcBorders>
              <w:bottom w:val="single" w:sz="18" w:space="0" w:color="476166" w:themeColor="accent1"/>
            </w:tcBorders>
            <w:shd w:val="clear" w:color="auto" w:fill="FFFFFF" w:themeFill="background1"/>
            <w:vAlign w:val="bottom"/>
          </w:tcPr>
          <w:p w14:paraId="691EE6C8" w14:textId="65D22458" w:rsidR="00DF198B" w:rsidRPr="008F6C7E" w:rsidRDefault="009F5FEC" w:rsidP="00874FE7">
            <w:pPr>
              <w:pStyle w:val="Heading3"/>
              <w:rPr>
                <w:lang w:val="en-GB"/>
              </w:rPr>
            </w:pPr>
            <w:bookmarkStart w:id="7" w:name="_Toc211851430"/>
            <w:bookmarkStart w:id="8" w:name="_Toc211851472"/>
            <w:bookmarkStart w:id="9" w:name="_Toc211851999"/>
            <w:bookmarkStart w:id="10" w:name="_Toc211852074"/>
            <w:bookmarkStart w:id="11" w:name="_Toc211852435"/>
            <w:bookmarkStart w:id="12" w:name="_Toc211852976"/>
            <w:bookmarkStart w:id="13" w:name="_Toc211853700"/>
            <w:r>
              <w:rPr>
                <w:lang w:val="en-GB"/>
              </w:rPr>
              <w:t>0</w:t>
            </w:r>
            <w:r w:rsidR="00AD0497">
              <w:rPr>
                <w:lang w:val="en-GB"/>
              </w:rPr>
              <w:t>8</w:t>
            </w:r>
            <w:r>
              <w:rPr>
                <w:lang w:val="en-GB"/>
              </w:rPr>
              <w:t>/1</w:t>
            </w:r>
            <w:r w:rsidR="00AD0497">
              <w:rPr>
                <w:lang w:val="en-GB"/>
              </w:rPr>
              <w:t>2</w:t>
            </w:r>
            <w:r>
              <w:rPr>
                <w:lang w:val="en-GB"/>
              </w:rPr>
              <w:t>/2025</w:t>
            </w:r>
            <w:bookmarkEnd w:id="7"/>
            <w:bookmarkEnd w:id="8"/>
            <w:bookmarkEnd w:id="9"/>
            <w:bookmarkEnd w:id="10"/>
            <w:bookmarkEnd w:id="11"/>
            <w:bookmarkEnd w:id="12"/>
            <w:bookmarkEnd w:id="13"/>
          </w:p>
          <w:bookmarkStart w:id="14" w:name="_Toc211851431"/>
          <w:bookmarkStart w:id="15" w:name="_Toc211851473"/>
          <w:bookmarkStart w:id="16" w:name="_Toc211852000"/>
          <w:bookmarkStart w:id="17" w:name="_Toc211852075"/>
          <w:bookmarkStart w:id="18" w:name="_Toc211852436"/>
          <w:bookmarkStart w:id="19" w:name="_Toc211852977"/>
          <w:bookmarkStart w:id="20" w:name="_Toc211853701"/>
          <w:p w14:paraId="618864FD" w14:textId="77777777" w:rsidR="00874FE7" w:rsidRPr="008F6C7E" w:rsidRDefault="00000000" w:rsidP="00874FE7">
            <w:pPr>
              <w:pStyle w:val="Heading3"/>
              <w:rPr>
                <w:lang w:val="en-GB"/>
              </w:rPr>
            </w:pPr>
            <w:sdt>
              <w:sdtPr>
                <w:rPr>
                  <w:lang w:val="en-GB"/>
                </w:rPr>
                <w:id w:val="-1516760087"/>
                <w:placeholder>
                  <w:docPart w:val="8F8678822EE44E1AB037ABF22F4F4231"/>
                </w:placeholder>
                <w:temporary/>
                <w:showingPlcHdr/>
                <w15:appearance w15:val="hidden"/>
              </w:sdtPr>
              <w:sdtContent>
                <w:r w:rsidR="00874FE7" w:rsidRPr="008F6C7E">
                  <w:rPr>
                    <w:lang w:val="en-GB" w:bidi="en-GB"/>
                  </w:rPr>
                  <w:t>—</w:t>
                </w:r>
              </w:sdtContent>
            </w:sdt>
            <w:bookmarkEnd w:id="14"/>
            <w:bookmarkEnd w:id="15"/>
            <w:bookmarkEnd w:id="16"/>
            <w:bookmarkEnd w:id="17"/>
            <w:bookmarkEnd w:id="18"/>
            <w:bookmarkEnd w:id="19"/>
            <w:bookmarkEnd w:id="20"/>
          </w:p>
          <w:p w14:paraId="4897320C" w14:textId="3C12BBF4" w:rsidR="00DF198B" w:rsidRPr="008F6C7E" w:rsidRDefault="009F5FEC" w:rsidP="00874FE7">
            <w:pPr>
              <w:pStyle w:val="Heading3"/>
              <w:rPr>
                <w:lang w:val="en-GB"/>
              </w:rPr>
            </w:pPr>
            <w:bookmarkStart w:id="21" w:name="_Toc211851432"/>
            <w:bookmarkStart w:id="22" w:name="_Toc211851474"/>
            <w:bookmarkStart w:id="23" w:name="_Toc211852001"/>
            <w:bookmarkStart w:id="24" w:name="_Toc211852076"/>
            <w:bookmarkStart w:id="25" w:name="_Toc211852437"/>
            <w:bookmarkStart w:id="26" w:name="_Toc211852978"/>
            <w:bookmarkStart w:id="27" w:name="_Toc211853702"/>
            <w:r>
              <w:rPr>
                <w:lang w:val="en-GB"/>
              </w:rPr>
              <w:t>BSc Applied Computing</w:t>
            </w:r>
            <w:bookmarkEnd w:id="21"/>
            <w:bookmarkEnd w:id="22"/>
            <w:bookmarkEnd w:id="23"/>
            <w:bookmarkEnd w:id="24"/>
            <w:bookmarkEnd w:id="25"/>
            <w:bookmarkEnd w:id="26"/>
            <w:bookmarkEnd w:id="27"/>
          </w:p>
          <w:bookmarkStart w:id="28" w:name="_Toc211851433"/>
          <w:bookmarkStart w:id="29" w:name="_Toc211851475"/>
          <w:bookmarkStart w:id="30" w:name="_Toc211852002"/>
          <w:bookmarkStart w:id="31" w:name="_Toc211852077"/>
          <w:bookmarkStart w:id="32" w:name="_Toc211852438"/>
          <w:bookmarkStart w:id="33" w:name="_Toc211852979"/>
          <w:bookmarkStart w:id="34" w:name="_Toc211853703"/>
          <w:p w14:paraId="6B67E507" w14:textId="77777777" w:rsidR="00DF198B" w:rsidRPr="008F6C7E" w:rsidRDefault="00000000" w:rsidP="00874FE7">
            <w:pPr>
              <w:pStyle w:val="Heading3"/>
              <w:rPr>
                <w:lang w:val="en-GB"/>
              </w:rPr>
            </w:pPr>
            <w:sdt>
              <w:sdtPr>
                <w:rPr>
                  <w:lang w:val="en-GB"/>
                </w:rPr>
                <w:id w:val="1492440299"/>
                <w:placeholder>
                  <w:docPart w:val="EDFC1A148B81488E898B4E2C4C5B4440"/>
                </w:placeholder>
                <w:temporary/>
                <w:showingPlcHdr/>
                <w15:appearance w15:val="hidden"/>
              </w:sdtPr>
              <w:sdtContent>
                <w:r w:rsidR="00874FE7" w:rsidRPr="008F6C7E">
                  <w:rPr>
                    <w:lang w:val="en-GB" w:bidi="en-GB"/>
                  </w:rPr>
                  <w:t>—</w:t>
                </w:r>
              </w:sdtContent>
            </w:sdt>
            <w:bookmarkEnd w:id="28"/>
            <w:bookmarkEnd w:id="29"/>
            <w:bookmarkEnd w:id="30"/>
            <w:bookmarkEnd w:id="31"/>
            <w:bookmarkEnd w:id="32"/>
            <w:bookmarkEnd w:id="33"/>
            <w:bookmarkEnd w:id="34"/>
          </w:p>
          <w:p w14:paraId="0BCA2240" w14:textId="2C7327E8" w:rsidR="00DF198B" w:rsidRPr="008F6C7E" w:rsidRDefault="00DF198B" w:rsidP="00874FE7">
            <w:pPr>
              <w:pStyle w:val="Heading3"/>
              <w:rPr>
                <w:lang w:val="en-GB"/>
              </w:rPr>
            </w:pPr>
          </w:p>
          <w:p w14:paraId="6490A985" w14:textId="77777777" w:rsidR="00DF198B" w:rsidRPr="008F6C7E" w:rsidRDefault="00DF198B" w:rsidP="00DF198B">
            <w:pPr>
              <w:rPr>
                <w:lang w:val="en-GB"/>
              </w:rPr>
            </w:pPr>
          </w:p>
        </w:tc>
        <w:tc>
          <w:tcPr>
            <w:tcW w:w="2398" w:type="dxa"/>
            <w:gridSpan w:val="4"/>
            <w:vAlign w:val="bottom"/>
          </w:tcPr>
          <w:p w14:paraId="1CC43CF8" w14:textId="77777777" w:rsidR="00DF198B" w:rsidRPr="008F6C7E" w:rsidRDefault="00DF198B" w:rsidP="00DF198B">
            <w:pPr>
              <w:jc w:val="center"/>
              <w:rPr>
                <w:lang w:val="en-GB"/>
              </w:rPr>
            </w:pPr>
          </w:p>
        </w:tc>
      </w:tr>
      <w:tr w:rsidR="00DF198B" w:rsidRPr="008F6C7E" w14:paraId="159C4873" w14:textId="77777777" w:rsidTr="00AD0497">
        <w:tc>
          <w:tcPr>
            <w:tcW w:w="2340" w:type="dxa"/>
            <w:gridSpan w:val="3"/>
          </w:tcPr>
          <w:p w14:paraId="1E13D036" w14:textId="77777777" w:rsidR="00DF198B" w:rsidRPr="008F6C7E" w:rsidRDefault="00DF198B">
            <w:pPr>
              <w:rPr>
                <w:lang w:val="en-GB"/>
              </w:rPr>
            </w:pPr>
          </w:p>
        </w:tc>
        <w:tc>
          <w:tcPr>
            <w:tcW w:w="6120" w:type="dxa"/>
            <w:gridSpan w:val="3"/>
          </w:tcPr>
          <w:p w14:paraId="79277829" w14:textId="77777777" w:rsidR="00DF198B" w:rsidRPr="008F6C7E" w:rsidRDefault="00DF198B">
            <w:pPr>
              <w:rPr>
                <w:lang w:val="en-GB"/>
              </w:rPr>
            </w:pPr>
          </w:p>
        </w:tc>
        <w:tc>
          <w:tcPr>
            <w:tcW w:w="2330" w:type="dxa"/>
            <w:gridSpan w:val="3"/>
          </w:tcPr>
          <w:p w14:paraId="7A39C735" w14:textId="77777777" w:rsidR="00DF198B" w:rsidRPr="008F6C7E" w:rsidRDefault="00DF198B">
            <w:pPr>
              <w:rPr>
                <w:lang w:val="en-GB"/>
              </w:rPr>
            </w:pPr>
          </w:p>
        </w:tc>
      </w:tr>
    </w:tbl>
    <w:p w14:paraId="051ED594" w14:textId="77777777" w:rsidR="00AD0497" w:rsidRPr="00AD0497" w:rsidRDefault="00AD0497" w:rsidP="00AD0497">
      <w:pPr>
        <w:pStyle w:val="TOCHeading"/>
        <w:rPr>
          <w:rFonts w:asciiTheme="minorHAnsi" w:hAnsiTheme="minorHAnsi"/>
          <w:color w:val="auto"/>
          <w:sz w:val="24"/>
          <w:szCs w:val="24"/>
        </w:rPr>
      </w:pPr>
      <w:r w:rsidRPr="00AD0497">
        <w:rPr>
          <w:rFonts w:asciiTheme="minorHAnsi" w:hAnsiTheme="minorHAnsi"/>
          <w:color w:val="auto"/>
          <w:sz w:val="24"/>
          <w:szCs w:val="24"/>
        </w:rPr>
        <w:lastRenderedPageBreak/>
        <w:t xml:space="preserve">Abstract </w:t>
      </w:r>
      <w:r w:rsidRPr="00AD0497">
        <w:rPr>
          <w:rFonts w:asciiTheme="minorHAnsi" w:hAnsiTheme="minorHAnsi"/>
          <w:color w:val="auto"/>
          <w:sz w:val="24"/>
          <w:szCs w:val="24"/>
        </w:rPr>
        <w:br/>
        <w:t>With yearly earnings topping billions of dollars, the online gaming industry is one of the fastest-growing entertainment sectors in the world. Maintaining income, reducing attrition, and enhancing the entire gaming experience all depend on player involvement. Developers may create targeted monetisation strategies, enhance in-game content, and tailor experiences by understanding player behaviour. This study utilises supervised and unsupervised machine learning techniques applied to the Predict Online Gaming Behaviour Dataset from Kaggle, which contains demographic, behavioural, and gameplay metrics, alongside engagement levels categorised as High, Medium, or Low. While K-Means clustering was used to identify latent behavioural segmentation among players, predictive models, namely Decision Tree and Support Vector Machine (SVM) classifiers, were trained to predict involvement levels.</w:t>
      </w:r>
    </w:p>
    <w:p w14:paraId="0010ECB9" w14:textId="77777777" w:rsidR="00AD0497" w:rsidRDefault="00AD0497" w:rsidP="00AD0497">
      <w:pPr>
        <w:rPr>
          <w:lang w:val="en-GB" w:eastAsia="en-GB"/>
        </w:rPr>
      </w:pPr>
    </w:p>
    <w:p w14:paraId="42E3E4E3" w14:textId="53A1C50A" w:rsidR="00AD0497" w:rsidRDefault="00AD0497" w:rsidP="00AD0497">
      <w:pPr>
        <w:rPr>
          <w:lang w:val="en-GB" w:eastAsia="en-GB"/>
        </w:rPr>
      </w:pPr>
      <w:r w:rsidRPr="00AD0497">
        <w:rPr>
          <w:lang w:val="en-GB" w:eastAsia="en-GB"/>
        </w:rPr>
        <w:t xml:space="preserve">Extensive cleaning, categorical variable encoding, feature scaling, and train-test splitting were all part of the preparation procedure. Distributions, relationships, and class balance were visualised as part of the exploratory data analysis. Accuracy, precision, recall, F1 score, and ROC-AUC were used to evaluate the models, while silhouette score and inertia were used to evaluate the clustering performance. </w:t>
      </w:r>
      <w:proofErr w:type="spellStart"/>
      <w:r w:rsidRPr="00AD0497">
        <w:rPr>
          <w:lang w:val="en-GB" w:eastAsia="en-GB"/>
        </w:rPr>
        <w:t>GridSearchCV</w:t>
      </w:r>
      <w:proofErr w:type="spellEnd"/>
      <w:r w:rsidRPr="00AD0497">
        <w:rPr>
          <w:lang w:val="en-GB" w:eastAsia="en-GB"/>
        </w:rPr>
        <w:t xml:space="preserve"> and cross-validation methods were used in hyperparameter tuning to maximise model performance. The findings show that both SVM and Decision Tree classifiers have good predictive power, with SVM doing somewhat better in high-dimensional feature spaces. Three separate player segments were identified by clustering, providing useful information for marketing, retention, and gameplay tactics.</w:t>
      </w:r>
      <w:r>
        <w:rPr>
          <w:lang w:val="en-GB" w:eastAsia="en-GB"/>
        </w:rPr>
        <w:t xml:space="preserve"> </w:t>
      </w:r>
      <w:r w:rsidRPr="00AD0497">
        <w:rPr>
          <w:lang w:val="en-GB" w:eastAsia="en-GB"/>
        </w:rPr>
        <w:t xml:space="preserve">Additionally, the study shows a fully documented Python workflow using </w:t>
      </w:r>
      <w:proofErr w:type="spellStart"/>
      <w:r w:rsidRPr="00AD0497">
        <w:rPr>
          <w:lang w:val="en-GB" w:eastAsia="en-GB"/>
        </w:rPr>
        <w:t>Jupyter</w:t>
      </w:r>
      <w:proofErr w:type="spellEnd"/>
      <w:r w:rsidRPr="00AD0497">
        <w:rPr>
          <w:lang w:val="en-GB" w:eastAsia="en-GB"/>
        </w:rPr>
        <w:t xml:space="preserve"> Notebook and modules like matplotlib, pandas, </w:t>
      </w:r>
      <w:proofErr w:type="spellStart"/>
      <w:r w:rsidRPr="00AD0497">
        <w:rPr>
          <w:lang w:val="en-GB" w:eastAsia="en-GB"/>
        </w:rPr>
        <w:t>numpy</w:t>
      </w:r>
      <w:proofErr w:type="spellEnd"/>
      <w:r w:rsidRPr="00AD0497">
        <w:rPr>
          <w:lang w:val="en-GB" w:eastAsia="en-GB"/>
        </w:rPr>
        <w:t>, scikit-learn, and seaborn. To ensure reproducibility, the code was converted to HTML and accompanied by a video tutorial that showed how to execute it step-by-step. This integrated strategy, which combines descriptive and predictive analytics, offers a thorough framework for data-driven decision-making in the online gaming industry, allowing stakeholders to successfully comprehend, forecast, and impact player engagement.</w:t>
      </w:r>
    </w:p>
    <w:p w14:paraId="19BF639A" w14:textId="77777777" w:rsidR="00AD0497" w:rsidRDefault="00AD0497" w:rsidP="00AD0497">
      <w:pPr>
        <w:rPr>
          <w:lang w:val="en-GB" w:eastAsia="en-GB"/>
        </w:rPr>
      </w:pPr>
    </w:p>
    <w:p w14:paraId="0D189818" w14:textId="77777777" w:rsidR="00AD0497" w:rsidRPr="00AD0497" w:rsidRDefault="00AD0497" w:rsidP="00AD0497">
      <w:pPr>
        <w:rPr>
          <w:lang w:val="en-GB" w:eastAsia="en-GB"/>
        </w:rPr>
      </w:pPr>
      <w:r w:rsidRPr="00AD0497">
        <w:rPr>
          <w:lang w:val="en-GB" w:eastAsia="en-GB"/>
        </w:rPr>
        <w:t xml:space="preserve">Introduction </w:t>
      </w:r>
      <w:r w:rsidRPr="00AD0497">
        <w:rPr>
          <w:lang w:val="en-GB" w:eastAsia="en-GB"/>
        </w:rPr>
        <w:br/>
        <w:t>Understanding player engagement is crucial for both retention and monetisation in the fiercely competitive and data-driven world of online gaming. A variety of elements, such as the frequency and length of sessions, in-game purchases, and social interactions, all contribute to player engagement. While low engagement frequently results in churn, which has a detrimental effect on profitability and brand reputation, high engagement typically correlates with higher revenue and long-term player retention.</w:t>
      </w:r>
      <w:r w:rsidRPr="00AD0497">
        <w:rPr>
          <w:lang w:val="en-GB" w:eastAsia="en-GB"/>
        </w:rPr>
        <w:br/>
        <w:t xml:space="preserve">A methodical foundation for analysing intricate behavioural data produced by online games is offered by machine learning. While unsupervised learning techniques, such clustering, assist in identifying latent behavioural segments that might not be immediately evident, supervised learning models allow the prediction of engagement levels based on past patterns. These sections enable developers to customise marketing campaigns, incentive schemes, and game mechanics to various kinds of players. </w:t>
      </w:r>
    </w:p>
    <w:p w14:paraId="177F950D" w14:textId="77777777" w:rsidR="00AD0497" w:rsidRDefault="00AD0497" w:rsidP="00AD0497">
      <w:pPr>
        <w:rPr>
          <w:lang w:val="en-GB" w:eastAsia="en-GB"/>
        </w:rPr>
      </w:pPr>
    </w:p>
    <w:p w14:paraId="5CC5616F" w14:textId="77777777" w:rsidR="00AD0497" w:rsidRDefault="00AD0497" w:rsidP="00AD0497">
      <w:pPr>
        <w:rPr>
          <w:lang w:val="en-GB" w:eastAsia="en-GB"/>
        </w:rPr>
      </w:pPr>
      <w:r w:rsidRPr="00AD0497">
        <w:rPr>
          <w:lang w:val="en-GB" w:eastAsia="en-GB"/>
        </w:rPr>
        <w:t>The purpose of this project is to: </w:t>
      </w:r>
      <w:r w:rsidRPr="00AD0497">
        <w:rPr>
          <w:lang w:val="en-GB" w:eastAsia="en-GB"/>
        </w:rPr>
        <w:br/>
        <w:t xml:space="preserve">1. Create predictive models for player engagement using SVM and Decision Tree classifiers. </w:t>
      </w:r>
      <w:r w:rsidRPr="00AD0497">
        <w:rPr>
          <w:lang w:val="en-GB" w:eastAsia="en-GB"/>
        </w:rPr>
        <w:br/>
        <w:t xml:space="preserve">2. Use cross-validation and hyperparameter adjustment to maximise model performance. </w:t>
      </w:r>
      <w:r w:rsidRPr="00AD0497">
        <w:rPr>
          <w:lang w:val="en-GB" w:eastAsia="en-GB"/>
        </w:rPr>
        <w:br/>
        <w:t xml:space="preserve">3. Use clustering techniques to divide participants into groups according to demographic and behavioural characteristics. </w:t>
      </w:r>
      <w:r w:rsidRPr="00AD0497">
        <w:rPr>
          <w:lang w:val="en-GB" w:eastAsia="en-GB"/>
        </w:rPr>
        <w:br/>
        <w:t xml:space="preserve">4. Combine knowledge from supervised and unsupervised learning to offer practical suggestions for enhancing monetisation and retention tactics. </w:t>
      </w:r>
      <w:r w:rsidRPr="00AD0497">
        <w:rPr>
          <w:lang w:val="en-GB" w:eastAsia="en-GB"/>
        </w:rPr>
        <w:br/>
      </w:r>
    </w:p>
    <w:p w14:paraId="0102F41B" w14:textId="00D3EA05" w:rsidR="00AD0497" w:rsidRDefault="00AD0497" w:rsidP="00AD0497">
      <w:pPr>
        <w:rPr>
          <w:lang w:val="en-GB" w:eastAsia="en-GB"/>
        </w:rPr>
      </w:pPr>
      <w:r w:rsidRPr="00AD0497">
        <w:rPr>
          <w:lang w:val="en-GB" w:eastAsia="en-GB"/>
        </w:rPr>
        <w:t xml:space="preserve">The study provides a thorough overview of the player base by identifying latent player categories and forecasting involvement levels using the combination of descriptive and predictive analytics. </w:t>
      </w:r>
    </w:p>
    <w:p w14:paraId="78EA586C" w14:textId="77777777" w:rsidR="00AD0497" w:rsidRDefault="00AD0497" w:rsidP="00AD0497">
      <w:pPr>
        <w:rPr>
          <w:lang w:val="en-GB" w:eastAsia="en-GB"/>
        </w:rPr>
      </w:pPr>
    </w:p>
    <w:p w14:paraId="4C277CD5" w14:textId="77777777" w:rsidR="00AD0497" w:rsidRDefault="00AD0497" w:rsidP="00AD0497">
      <w:pPr>
        <w:rPr>
          <w:lang w:val="en-GB" w:eastAsia="en-GB"/>
        </w:rPr>
      </w:pPr>
      <w:r w:rsidRPr="00AD0497">
        <w:rPr>
          <w:lang w:val="en-GB" w:eastAsia="en-GB"/>
        </w:rPr>
        <w:lastRenderedPageBreak/>
        <w:t xml:space="preserve">Problem Description </w:t>
      </w:r>
      <w:r w:rsidRPr="00AD0497">
        <w:rPr>
          <w:lang w:val="en-GB" w:eastAsia="en-GB"/>
        </w:rPr>
        <w:br/>
        <w:t>Numerous internal and external factors affect player participation in online gaming. Extrinsic factors include rewards, social contacts, and event-driven content, whereas intrinsic factors include competition, challenges, and achievement pleasure. There are several difficulties in predicting engagement:</w:t>
      </w:r>
    </w:p>
    <w:p w14:paraId="1A7B562A" w14:textId="2440258C" w:rsidR="00AD0497" w:rsidRDefault="00AD0497" w:rsidP="00AD0497">
      <w:pPr>
        <w:rPr>
          <w:lang w:val="en-GB" w:eastAsia="en-GB"/>
        </w:rPr>
      </w:pPr>
      <w:r w:rsidRPr="00AD0497">
        <w:rPr>
          <w:lang w:val="en-GB" w:eastAsia="en-GB"/>
        </w:rPr>
        <w:br/>
        <w:t>•Heterogeneity: There is a lot of variation among players due to differences in their motivation, skill levels, and demography.</w:t>
      </w:r>
      <w:r w:rsidRPr="00AD0497">
        <w:rPr>
          <w:lang w:val="en-GB" w:eastAsia="en-GB"/>
        </w:rPr>
        <w:br/>
        <w:t xml:space="preserve">• Dynamic Behaviour: Seasonal events, game updates, and player lifecycle stages all have an impact on engagement, which varies over time. </w:t>
      </w:r>
      <w:r w:rsidRPr="00AD0497">
        <w:rPr>
          <w:lang w:val="en-GB" w:eastAsia="en-GB"/>
        </w:rPr>
        <w:br/>
        <w:t xml:space="preserve">• High-Dimensionality: To prevent overfitting and enhance interpretability, behavioural datasets frequently contain a large number of numerical and categorical characteristics, necessitating thorough preprocessing and feature selection. </w:t>
      </w:r>
    </w:p>
    <w:p w14:paraId="27825868" w14:textId="77777777" w:rsidR="00AD0497" w:rsidRDefault="00AD0497" w:rsidP="00AD0497">
      <w:pPr>
        <w:rPr>
          <w:lang w:val="en-GB" w:eastAsia="en-GB"/>
        </w:rPr>
      </w:pPr>
    </w:p>
    <w:p w14:paraId="06072EBC" w14:textId="77777777" w:rsidR="00AD0497" w:rsidRPr="00AD0497" w:rsidRDefault="00AD0497" w:rsidP="00AD0497">
      <w:pPr>
        <w:rPr>
          <w:lang w:val="en-GB" w:eastAsia="en-GB"/>
        </w:rPr>
      </w:pPr>
      <w:r w:rsidRPr="00AD0497">
        <w:rPr>
          <w:lang w:val="en-GB" w:eastAsia="en-GB"/>
        </w:rPr>
        <w:t>Accurately predicting engagement levels (High, Medium, Low) and identifying underlying behavioural patterns that can direct focused interventions are the two goals of this study. Reaching these goals will ultimately lower attrition and increase income potential by offering practical information for resource allocation, tailored marketing, and game design enhancements.</w:t>
      </w:r>
    </w:p>
    <w:p w14:paraId="10262B48" w14:textId="77777777" w:rsidR="00AD0497" w:rsidRDefault="00AD0497" w:rsidP="00AD0497">
      <w:pPr>
        <w:rPr>
          <w:lang w:val="en-GB" w:eastAsia="en-GB"/>
        </w:rPr>
      </w:pPr>
    </w:p>
    <w:p w14:paraId="1304AAD5" w14:textId="77777777" w:rsidR="00AD0497" w:rsidRDefault="00AD0497" w:rsidP="00AD0497">
      <w:pPr>
        <w:rPr>
          <w:lang w:val="en-GB" w:eastAsia="en-GB"/>
        </w:rPr>
      </w:pPr>
    </w:p>
    <w:p w14:paraId="5D37BD25" w14:textId="77777777" w:rsidR="00AD0497" w:rsidRPr="00AD0497" w:rsidRDefault="00AD0497" w:rsidP="00AD0497">
      <w:pPr>
        <w:rPr>
          <w:lang w:val="en-GB" w:eastAsia="en-GB"/>
        </w:rPr>
      </w:pPr>
      <w:r w:rsidRPr="00AD0497">
        <w:rPr>
          <w:lang w:val="en-GB" w:eastAsia="en-GB"/>
        </w:rPr>
        <w:t xml:space="preserve">Literature Review </w:t>
      </w:r>
      <w:r w:rsidRPr="00AD0497">
        <w:rPr>
          <w:lang w:val="en-GB" w:eastAsia="en-GB"/>
        </w:rPr>
        <w:br/>
        <w:t>The use of machine learning in gaming analytics has grown significantly, with research concentrating on behavioural segmentation and predictive modelling.</w:t>
      </w:r>
    </w:p>
    <w:p w14:paraId="522A6A66" w14:textId="77777777" w:rsidR="00AD0497" w:rsidRDefault="00AD0497" w:rsidP="00AD0497">
      <w:pPr>
        <w:rPr>
          <w:lang w:val="en-GB" w:eastAsia="en-GB"/>
        </w:rPr>
      </w:pPr>
    </w:p>
    <w:p w14:paraId="64BCDD64" w14:textId="6E4649DB" w:rsidR="00AD0497" w:rsidRDefault="00AD0497" w:rsidP="00AD0497">
      <w:pPr>
        <w:rPr>
          <w:lang w:val="en-GB" w:eastAsia="en-GB"/>
        </w:rPr>
      </w:pPr>
      <w:r>
        <w:rPr>
          <w:lang w:val="en-GB" w:eastAsia="en-GB"/>
        </w:rPr>
        <w:t>Supervised Learning</w:t>
      </w:r>
    </w:p>
    <w:p w14:paraId="4C2B931E" w14:textId="1238512F" w:rsidR="00AD0497" w:rsidRPr="00AD0497" w:rsidRDefault="00AD0497" w:rsidP="00AD0497">
      <w:pPr>
        <w:rPr>
          <w:lang w:val="en-GB" w:eastAsia="en-GB"/>
        </w:rPr>
      </w:pPr>
      <w:r w:rsidRPr="00AD0497">
        <w:rPr>
          <w:lang w:val="en-GB" w:eastAsia="en-GB"/>
        </w:rPr>
        <w:t>Because of their interpretability and capacity to capture non-linear correlations between characteristics and goal variables, decision trees are frequently used. They assist developers determine which behaviours lead to engagement by giving a clear indicator of feature value. They are vulnerable to overfitting, though, which can be lessened via cross-validation, pruning, and hyperparameter adjustment.</w:t>
      </w:r>
      <w:r w:rsidRPr="00AD0497">
        <w:rPr>
          <w:lang w:val="en-GB" w:eastAsia="en-GB"/>
        </w:rPr>
        <w:br/>
        <w:t>For high-dimensional data, which is typical in gaming datasets, Support Vector Machines (SVMs) work well. SVMs can distinguish non-linear patterns in the feature space by using kernel functions, frequently outperforming more straightforward models in challenging situations. When engagement depends on the interaction of several behavioural parameters, such session frequency and in-game purchases, SVMs are especially useful.</w:t>
      </w:r>
    </w:p>
    <w:p w14:paraId="361A7D7C" w14:textId="77777777" w:rsidR="00AD0497" w:rsidRDefault="00AD0497" w:rsidP="00AD0497">
      <w:pPr>
        <w:rPr>
          <w:lang w:val="en-GB" w:eastAsia="en-GB"/>
        </w:rPr>
      </w:pPr>
    </w:p>
    <w:p w14:paraId="06BCE693" w14:textId="2E962CB3" w:rsidR="00AD0497" w:rsidRDefault="00AD0497" w:rsidP="00AD0497">
      <w:pPr>
        <w:rPr>
          <w:lang w:val="en-GB" w:eastAsia="en-GB"/>
        </w:rPr>
      </w:pPr>
      <w:r>
        <w:rPr>
          <w:lang w:val="en-GB" w:eastAsia="en-GB"/>
        </w:rPr>
        <w:t>Unsupervised Learning</w:t>
      </w:r>
    </w:p>
    <w:p w14:paraId="66005CCB" w14:textId="77777777" w:rsidR="00AD0497" w:rsidRPr="00AD0497" w:rsidRDefault="00AD0497" w:rsidP="00AD0497">
      <w:pPr>
        <w:rPr>
          <w:lang w:val="en-GB" w:eastAsia="en-GB"/>
        </w:rPr>
      </w:pPr>
      <w:r w:rsidRPr="00AD0497">
        <w:rPr>
          <w:lang w:val="en-GB" w:eastAsia="en-GB"/>
        </w:rPr>
        <w:t>Players can be divided into discrete behavioural groups using clustering techniques like K-Means. For instance, players can be divided into three categories: high-spending, casual, and competitive. Standard measures for evaluating the quality of clustering include silhouette scores and cluster inertia. Targeted strategies for engagement, retention, and monetisation are informed by effective segmentation.</w:t>
      </w:r>
    </w:p>
    <w:p w14:paraId="1E8A8C1B" w14:textId="77777777" w:rsidR="00AD0497" w:rsidRDefault="00AD0497" w:rsidP="00AD0497">
      <w:pPr>
        <w:rPr>
          <w:lang w:val="en-GB" w:eastAsia="en-GB"/>
        </w:rPr>
      </w:pPr>
    </w:p>
    <w:p w14:paraId="32555D13" w14:textId="2CE16085" w:rsidR="00D47662" w:rsidRDefault="00D47662" w:rsidP="00AD0497">
      <w:pPr>
        <w:rPr>
          <w:lang w:val="en-GB" w:eastAsia="en-GB"/>
        </w:rPr>
      </w:pPr>
      <w:r>
        <w:rPr>
          <w:lang w:val="en-GB" w:eastAsia="en-GB"/>
        </w:rPr>
        <w:t>Integrated Approaches</w:t>
      </w:r>
    </w:p>
    <w:p w14:paraId="2E13AE18" w14:textId="77777777" w:rsidR="00D47662" w:rsidRPr="00D47662" w:rsidRDefault="00D47662" w:rsidP="00D47662">
      <w:pPr>
        <w:rPr>
          <w:lang w:val="en-GB" w:eastAsia="en-GB"/>
        </w:rPr>
      </w:pPr>
      <w:r w:rsidRPr="00D47662">
        <w:rPr>
          <w:lang w:val="en-GB" w:eastAsia="en-GB"/>
        </w:rPr>
        <w:t>In gaming analytics, combining supervised and unsupervised techniques is becoming more and more popular. While clustering identifies underlying trends and subgroups that may need distinct approaches, predictive models offer precise predictions of player participation. Predictive and prescriptive decision-making tactics are informed by this integrated methodology, which guarantees a comprehensive understanding of player conduct.</w:t>
      </w:r>
    </w:p>
    <w:p w14:paraId="0FFC4C32" w14:textId="77777777" w:rsidR="00D47662" w:rsidRDefault="00D47662" w:rsidP="00AD0497">
      <w:pPr>
        <w:rPr>
          <w:lang w:val="en-GB" w:eastAsia="en-GB"/>
        </w:rPr>
      </w:pPr>
    </w:p>
    <w:p w14:paraId="60EE3AAC" w14:textId="77777777" w:rsidR="00D47662" w:rsidRDefault="00D47662" w:rsidP="00AD0497">
      <w:pPr>
        <w:rPr>
          <w:lang w:val="en-GB" w:eastAsia="en-GB"/>
        </w:rPr>
      </w:pPr>
    </w:p>
    <w:p w14:paraId="783FEEFB" w14:textId="059BC108" w:rsidR="00D47662" w:rsidRDefault="00D47662" w:rsidP="00AD0497">
      <w:pPr>
        <w:rPr>
          <w:lang w:val="en-GB" w:eastAsia="en-GB"/>
        </w:rPr>
      </w:pPr>
      <w:r>
        <w:rPr>
          <w:lang w:val="en-GB" w:eastAsia="en-GB"/>
        </w:rPr>
        <w:t>Methodology</w:t>
      </w:r>
    </w:p>
    <w:p w14:paraId="6261604A" w14:textId="740B5B8D" w:rsidR="00D47662" w:rsidRDefault="00D47662" w:rsidP="00AD0497">
      <w:pPr>
        <w:rPr>
          <w:lang w:val="en-GB" w:eastAsia="en-GB"/>
        </w:rPr>
      </w:pPr>
      <w:r>
        <w:rPr>
          <w:lang w:val="en-GB" w:eastAsia="en-GB"/>
        </w:rPr>
        <w:t>Dataset Description</w:t>
      </w:r>
    </w:p>
    <w:p w14:paraId="6DDCECB4" w14:textId="77777777" w:rsidR="00D47662" w:rsidRPr="00D47662" w:rsidRDefault="00D47662" w:rsidP="00D47662">
      <w:pPr>
        <w:rPr>
          <w:lang w:val="en-GB" w:eastAsia="en-GB"/>
        </w:rPr>
      </w:pPr>
      <w:r w:rsidRPr="00D47662">
        <w:rPr>
          <w:lang w:val="en-GB" w:eastAsia="en-GB"/>
        </w:rPr>
        <w:lastRenderedPageBreak/>
        <w:t xml:space="preserve">The Predict Online Gaming Behaviour Dataset includes features in three primary areas and comprises player records: </w:t>
      </w:r>
      <w:r w:rsidRPr="00D47662">
        <w:rPr>
          <w:lang w:val="en-GB" w:eastAsia="en-GB"/>
        </w:rPr>
        <w:br/>
        <w:t xml:space="preserve">• Demographics: location, age, and gender. </w:t>
      </w:r>
      <w:r w:rsidRPr="00D47662">
        <w:rPr>
          <w:lang w:val="en-GB" w:eastAsia="en-GB"/>
        </w:rPr>
        <w:br/>
        <w:t xml:space="preserve">• Playtime hours, weekly sessions, average session length, and in-game purchases are examples of behavioural metrics. </w:t>
      </w:r>
      <w:r w:rsidRPr="00D47662">
        <w:rPr>
          <w:lang w:val="en-GB" w:eastAsia="en-GB"/>
        </w:rPr>
        <w:br/>
        <w:t xml:space="preserve">• Engagement level (High, Medium, Low) is the target variable. </w:t>
      </w:r>
      <w:r w:rsidRPr="00D47662">
        <w:rPr>
          <w:lang w:val="en-GB" w:eastAsia="en-GB"/>
        </w:rPr>
        <w:br/>
        <w:t>The dataset offers enough granularity for both segmentation and prediction analysis, and it is characteristic of modern online gaming platforms.</w:t>
      </w:r>
    </w:p>
    <w:p w14:paraId="6A3DC608" w14:textId="77777777" w:rsidR="00D47662" w:rsidRDefault="00D47662" w:rsidP="00AD0497">
      <w:pPr>
        <w:rPr>
          <w:lang w:val="en-GB" w:eastAsia="en-GB"/>
        </w:rPr>
      </w:pPr>
    </w:p>
    <w:p w14:paraId="2DE8CA07" w14:textId="41D1495D" w:rsidR="00D47662" w:rsidRDefault="00D47662" w:rsidP="00AD0497">
      <w:pPr>
        <w:rPr>
          <w:lang w:val="en-GB" w:eastAsia="en-GB"/>
        </w:rPr>
      </w:pPr>
      <w:r>
        <w:rPr>
          <w:lang w:val="en-GB" w:eastAsia="en-GB"/>
        </w:rPr>
        <w:t>Software and Environment</w:t>
      </w:r>
    </w:p>
    <w:p w14:paraId="7BE10923" w14:textId="0B6B2D0B" w:rsidR="00D47662" w:rsidRDefault="00D47662" w:rsidP="00D47662">
      <w:pPr>
        <w:rPr>
          <w:lang w:val="en-GB" w:eastAsia="en-GB"/>
        </w:rPr>
      </w:pPr>
      <w:proofErr w:type="spellStart"/>
      <w:r w:rsidRPr="00D47662">
        <w:rPr>
          <w:lang w:val="en-GB" w:eastAsia="en-GB"/>
        </w:rPr>
        <w:t>Jupyter</w:t>
      </w:r>
      <w:proofErr w:type="spellEnd"/>
      <w:r w:rsidRPr="00D47662">
        <w:rPr>
          <w:lang w:val="en-GB" w:eastAsia="en-GB"/>
        </w:rPr>
        <w:t xml:space="preserve"> Notebook, which enables interactive development, visualisation, and documentation, was used to implement the study in Python 3.10. Anaconda was used to manage the environment, guaranteeing consistent package management and repeatability. Key libraries used include:</w:t>
      </w:r>
    </w:p>
    <w:p w14:paraId="23C6CC31" w14:textId="77777777" w:rsidR="00D47662" w:rsidRPr="00D47662" w:rsidRDefault="00D47662" w:rsidP="00D47662">
      <w:pPr>
        <w:rPr>
          <w:lang w:val="en-GB" w:eastAsia="en-GB"/>
        </w:rPr>
      </w:pPr>
    </w:p>
    <w:p w14:paraId="1C9428ED" w14:textId="34391AF7" w:rsidR="00D47662" w:rsidRPr="00D47662" w:rsidRDefault="00D47662" w:rsidP="00D47662">
      <w:pPr>
        <w:pStyle w:val="ListParagraph"/>
        <w:numPr>
          <w:ilvl w:val="0"/>
          <w:numId w:val="7"/>
        </w:numPr>
        <w:rPr>
          <w:lang w:val="en-GB" w:eastAsia="en-GB"/>
        </w:rPr>
      </w:pPr>
      <w:r w:rsidRPr="00D47662">
        <w:rPr>
          <w:lang w:val="en-GB" w:eastAsia="en-GB"/>
        </w:rPr>
        <w:t>pandas: Data manipulation and exploration.</w:t>
      </w:r>
    </w:p>
    <w:p w14:paraId="7AF2DD9E" w14:textId="72ECFC02" w:rsidR="00D47662" w:rsidRPr="00D47662" w:rsidRDefault="00D47662" w:rsidP="00D47662">
      <w:pPr>
        <w:pStyle w:val="ListParagraph"/>
        <w:numPr>
          <w:ilvl w:val="0"/>
          <w:numId w:val="7"/>
        </w:numPr>
        <w:rPr>
          <w:lang w:val="en-GB" w:eastAsia="en-GB"/>
        </w:rPr>
      </w:pPr>
      <w:proofErr w:type="spellStart"/>
      <w:r w:rsidRPr="00D47662">
        <w:rPr>
          <w:lang w:val="en-GB" w:eastAsia="en-GB"/>
        </w:rPr>
        <w:t>numpy</w:t>
      </w:r>
      <w:proofErr w:type="spellEnd"/>
      <w:r w:rsidRPr="00D47662">
        <w:rPr>
          <w:lang w:val="en-GB" w:eastAsia="en-GB"/>
        </w:rPr>
        <w:t>: Numerical computations.</w:t>
      </w:r>
    </w:p>
    <w:p w14:paraId="522CE837" w14:textId="1E0658A9" w:rsidR="00D47662" w:rsidRPr="00D47662" w:rsidRDefault="00D47662" w:rsidP="00D47662">
      <w:pPr>
        <w:pStyle w:val="ListParagraph"/>
        <w:numPr>
          <w:ilvl w:val="0"/>
          <w:numId w:val="7"/>
        </w:numPr>
        <w:rPr>
          <w:lang w:val="en-GB" w:eastAsia="en-GB"/>
        </w:rPr>
      </w:pPr>
      <w:r w:rsidRPr="00D47662">
        <w:rPr>
          <w:lang w:val="en-GB" w:eastAsia="en-GB"/>
        </w:rPr>
        <w:t xml:space="preserve">scikit-learn: Machine learning algorithms, preprocessing, hyperparameter tuning, and evaluation metrics. </w:t>
      </w:r>
    </w:p>
    <w:p w14:paraId="16BEDF9E" w14:textId="0B227128" w:rsidR="00D47662" w:rsidRDefault="00D47662" w:rsidP="00D47662">
      <w:pPr>
        <w:pStyle w:val="ListParagraph"/>
        <w:numPr>
          <w:ilvl w:val="0"/>
          <w:numId w:val="7"/>
        </w:numPr>
        <w:rPr>
          <w:lang w:val="en-GB" w:eastAsia="en-GB"/>
        </w:rPr>
      </w:pPr>
      <w:r w:rsidRPr="00D47662">
        <w:rPr>
          <w:lang w:val="en-GB" w:eastAsia="en-GB"/>
        </w:rPr>
        <w:t>matplotlib and seaborn: Visualisation of distributions, correlations, and clustering results.</w:t>
      </w:r>
    </w:p>
    <w:p w14:paraId="5EAB67AB" w14:textId="77777777" w:rsidR="00D47662" w:rsidRDefault="00D47662" w:rsidP="00D47662">
      <w:pPr>
        <w:rPr>
          <w:lang w:val="en-GB" w:eastAsia="en-GB"/>
        </w:rPr>
      </w:pPr>
    </w:p>
    <w:p w14:paraId="2A45FF37" w14:textId="77777777" w:rsidR="00D47662" w:rsidRDefault="00D47662" w:rsidP="00D47662">
      <w:pPr>
        <w:rPr>
          <w:lang w:val="en-GB" w:eastAsia="en-GB"/>
        </w:rPr>
      </w:pPr>
      <w:r w:rsidRPr="00D47662">
        <w:rPr>
          <w:lang w:val="en-GB" w:eastAsia="en-GB"/>
        </w:rPr>
        <w:t xml:space="preserve">Every stage, from data loading to model evaluation, may be carried out sequentially in </w:t>
      </w:r>
      <w:proofErr w:type="spellStart"/>
      <w:r w:rsidRPr="00D47662">
        <w:rPr>
          <w:lang w:val="en-GB" w:eastAsia="en-GB"/>
        </w:rPr>
        <w:t>Jupyter</w:t>
      </w:r>
      <w:proofErr w:type="spellEnd"/>
      <w:r w:rsidRPr="00D47662">
        <w:rPr>
          <w:lang w:val="en-GB" w:eastAsia="en-GB"/>
        </w:rPr>
        <w:t xml:space="preserve"> Notebook's iterative environment with instant visible feedback. This iterative procedure facilitates modelling method validation and experimentation.</w:t>
      </w:r>
    </w:p>
    <w:p w14:paraId="1C4DB8BB" w14:textId="77777777" w:rsidR="00D47662" w:rsidRDefault="00D47662" w:rsidP="00D47662">
      <w:pPr>
        <w:rPr>
          <w:lang w:val="en-GB" w:eastAsia="en-GB"/>
        </w:rPr>
      </w:pPr>
    </w:p>
    <w:p w14:paraId="65BFA060" w14:textId="614990B9" w:rsidR="00D47662" w:rsidRDefault="00D47662" w:rsidP="00D47662">
      <w:pPr>
        <w:rPr>
          <w:lang w:val="en-GB" w:eastAsia="en-GB"/>
        </w:rPr>
      </w:pPr>
      <w:r>
        <w:rPr>
          <w:lang w:val="en-GB" w:eastAsia="en-GB"/>
        </w:rPr>
        <w:t>Data Exploration and Preprocessing</w:t>
      </w:r>
    </w:p>
    <w:p w14:paraId="4B1FECDE" w14:textId="5E8ABD05" w:rsidR="00D366E2" w:rsidRPr="00D366E2" w:rsidRDefault="00D366E2" w:rsidP="00D366E2">
      <w:pPr>
        <w:rPr>
          <w:lang w:val="en-GB" w:eastAsia="en-GB"/>
        </w:rPr>
      </w:pPr>
      <w:r w:rsidRPr="00D366E2">
        <w:rPr>
          <w:lang w:val="en-GB" w:eastAsia="en-GB"/>
        </w:rPr>
        <w:t xml:space="preserve">There were several steps involved in data preprocessing: </w:t>
      </w:r>
      <w:r w:rsidRPr="00D366E2">
        <w:rPr>
          <w:lang w:val="en-GB" w:eastAsia="en-GB"/>
        </w:rPr>
        <w:br/>
        <w:t>1. Handling Missing Values: Median (numerical) or mode (categorical) values were used to impute features with low missingness. In order to prevent bias, features with excessive missingness were eliminated.</w:t>
      </w:r>
      <w:r w:rsidRPr="00D366E2">
        <w:rPr>
          <w:lang w:val="en-GB" w:eastAsia="en-GB"/>
        </w:rPr>
        <w:br/>
        <w:t>2. Categorical Variable Encoding:</w:t>
      </w:r>
      <w:r w:rsidRPr="00D366E2">
        <w:rPr>
          <w:lang w:val="en-GB" w:eastAsia="en-GB"/>
        </w:rPr>
        <w:br/>
        <w:t xml:space="preserve">The target variable High, Medium, and Low engagement labels were transformed into numerical classes via </w:t>
      </w:r>
      <w:proofErr w:type="spellStart"/>
      <w:r w:rsidRPr="00D366E2">
        <w:rPr>
          <w:lang w:val="en-GB" w:eastAsia="en-GB"/>
        </w:rPr>
        <w:t>LabelEncoder</w:t>
      </w:r>
      <w:proofErr w:type="spellEnd"/>
      <w:r w:rsidRPr="00D366E2">
        <w:rPr>
          <w:lang w:val="en-GB" w:eastAsia="en-GB"/>
        </w:rPr>
        <w:t xml:space="preserve">. </w:t>
      </w:r>
      <w:r w:rsidRPr="00D366E2">
        <w:rPr>
          <w:lang w:val="en-GB" w:eastAsia="en-GB"/>
        </w:rPr>
        <w:br/>
        <w:t xml:space="preserve">Feature variables: In order to avoid ordinal assumptions, One-Hot Encoding converted nominal categorical variables into binary indicators. </w:t>
      </w:r>
      <w:r w:rsidRPr="00D366E2">
        <w:rPr>
          <w:lang w:val="en-GB" w:eastAsia="en-GB"/>
        </w:rPr>
        <w:br/>
        <w:t xml:space="preserve">3. Feature Scaling: To ensure that all features contributed equally to distance-based algorithms like SVM and K-Means, </w:t>
      </w:r>
      <w:proofErr w:type="spellStart"/>
      <w:r w:rsidRPr="00D366E2">
        <w:rPr>
          <w:lang w:val="en-GB" w:eastAsia="en-GB"/>
        </w:rPr>
        <w:t>StandardScaler</w:t>
      </w:r>
      <w:proofErr w:type="spellEnd"/>
      <w:r w:rsidRPr="00D366E2">
        <w:rPr>
          <w:lang w:val="en-GB" w:eastAsia="en-GB"/>
        </w:rPr>
        <w:t xml:space="preserve"> standardised numerical features. </w:t>
      </w:r>
      <w:r w:rsidRPr="00D366E2">
        <w:rPr>
          <w:lang w:val="en-GB" w:eastAsia="en-GB"/>
        </w:rPr>
        <w:br/>
        <w:t xml:space="preserve">4. Train-Test Split: To verify generalisation performance, the dataset was split into 80% training and 20% testing sets. </w:t>
      </w:r>
    </w:p>
    <w:p w14:paraId="2220047B" w14:textId="77777777" w:rsidR="00D47662" w:rsidRPr="00D47662" w:rsidRDefault="00D47662" w:rsidP="00D47662">
      <w:pPr>
        <w:rPr>
          <w:lang w:val="en-GB" w:eastAsia="en-GB"/>
        </w:rPr>
      </w:pPr>
    </w:p>
    <w:p w14:paraId="14C9ADC7" w14:textId="77777777" w:rsidR="00D47662" w:rsidRPr="00D47662" w:rsidRDefault="00D47662" w:rsidP="00D47662">
      <w:pPr>
        <w:rPr>
          <w:lang w:val="en-GB" w:eastAsia="en-GB"/>
        </w:rPr>
      </w:pPr>
    </w:p>
    <w:p w14:paraId="145D6844" w14:textId="15E63C7E" w:rsidR="00D47662" w:rsidRDefault="00D366E2" w:rsidP="00AD0497">
      <w:pPr>
        <w:rPr>
          <w:lang w:val="en-GB" w:eastAsia="en-GB"/>
        </w:rPr>
      </w:pPr>
      <w:r>
        <w:rPr>
          <w:lang w:val="en-GB" w:eastAsia="en-GB"/>
        </w:rPr>
        <w:t>Exploratory data analysis included:</w:t>
      </w:r>
    </w:p>
    <w:p w14:paraId="531CB21B" w14:textId="77777777" w:rsidR="00D366E2" w:rsidRPr="00D366E2" w:rsidRDefault="00D366E2" w:rsidP="00D366E2">
      <w:pPr>
        <w:rPr>
          <w:lang w:val="en-GB" w:eastAsia="en-GB"/>
        </w:rPr>
      </w:pPr>
      <w:r w:rsidRPr="00D366E2">
        <w:rPr>
          <w:lang w:val="en-GB" w:eastAsia="en-GB"/>
        </w:rPr>
        <w:t>• Histograms: To see numerical distributions and identify outliers or skewness.</w:t>
      </w:r>
      <w:r w:rsidRPr="00D366E2">
        <w:rPr>
          <w:lang w:val="en-GB" w:eastAsia="en-GB"/>
        </w:rPr>
        <w:br/>
        <w:t>• Count Plots: To assess engagement levels and class balance.</w:t>
      </w:r>
      <w:r w:rsidRPr="00D366E2">
        <w:rPr>
          <w:lang w:val="en-GB" w:eastAsia="en-GB"/>
        </w:rPr>
        <w:br/>
        <w:t xml:space="preserve">• Correlation matrices: To evaluate multicollinearity and find strongly correlated characteristics that could need to be eliminated or their dimensionality reduced. </w:t>
      </w:r>
      <w:r w:rsidRPr="00D366E2">
        <w:rPr>
          <w:lang w:val="en-GB" w:eastAsia="en-GB"/>
        </w:rPr>
        <w:br/>
        <w:t>The dataset was prepared for both clustering and predictive modelling thanks to these preprocessing procedures.</w:t>
      </w:r>
    </w:p>
    <w:p w14:paraId="031837CF" w14:textId="77777777" w:rsidR="00D366E2" w:rsidRDefault="00D366E2" w:rsidP="00AD0497">
      <w:pPr>
        <w:rPr>
          <w:lang w:val="en-GB" w:eastAsia="en-GB"/>
        </w:rPr>
      </w:pPr>
    </w:p>
    <w:p w14:paraId="513E1D6B" w14:textId="7B92AAD0" w:rsidR="00D366E2" w:rsidRDefault="00D366E2" w:rsidP="00AD0497">
      <w:pPr>
        <w:rPr>
          <w:lang w:val="en-GB" w:eastAsia="en-GB"/>
        </w:rPr>
      </w:pPr>
      <w:r>
        <w:rPr>
          <w:lang w:val="en-GB" w:eastAsia="en-GB"/>
        </w:rPr>
        <w:t>Predictive Modelling</w:t>
      </w:r>
    </w:p>
    <w:p w14:paraId="2D63EC7A" w14:textId="77777777" w:rsidR="00D366E2" w:rsidRDefault="00D366E2" w:rsidP="00D366E2">
      <w:pPr>
        <w:rPr>
          <w:lang w:val="en-GB" w:eastAsia="en-GB"/>
        </w:rPr>
      </w:pPr>
      <w:r w:rsidRPr="00D366E2">
        <w:rPr>
          <w:lang w:val="en-GB" w:eastAsia="en-GB"/>
        </w:rPr>
        <w:t xml:space="preserve">1. Decision Tree Classifier </w:t>
      </w:r>
      <w:r w:rsidRPr="00D366E2">
        <w:rPr>
          <w:lang w:val="en-GB" w:eastAsia="en-GB"/>
        </w:rPr>
        <w:br/>
        <w:t xml:space="preserve">Because of its interpretability and ability to represent non-linear relationships, the Decision Tree model was chosen. To determine which behavioural factors—such as session frequency, average </w:t>
      </w:r>
      <w:r w:rsidRPr="00D366E2">
        <w:rPr>
          <w:lang w:val="en-GB" w:eastAsia="en-GB"/>
        </w:rPr>
        <w:lastRenderedPageBreak/>
        <w:t xml:space="preserve">session duration, and in-game purchases—are most predictive of engagement, feature significance scores were derived. </w:t>
      </w:r>
      <w:r w:rsidRPr="00D366E2">
        <w:rPr>
          <w:lang w:val="en-GB" w:eastAsia="en-GB"/>
        </w:rPr>
        <w:br/>
      </w:r>
    </w:p>
    <w:p w14:paraId="5254860B" w14:textId="6B8A22BF" w:rsidR="00D366E2" w:rsidRDefault="00D366E2" w:rsidP="00D366E2">
      <w:pPr>
        <w:rPr>
          <w:lang w:val="en-GB" w:eastAsia="en-GB"/>
        </w:rPr>
      </w:pPr>
      <w:r w:rsidRPr="00D366E2">
        <w:rPr>
          <w:lang w:val="en-GB" w:eastAsia="en-GB"/>
        </w:rPr>
        <w:t xml:space="preserve">2. Support Vector Machine (SVM) </w:t>
      </w:r>
      <w:r w:rsidRPr="00D366E2">
        <w:rPr>
          <w:lang w:val="en-GB" w:eastAsia="en-GB"/>
        </w:rPr>
        <w:br/>
        <w:t xml:space="preserve">Both linear and RBF kernels were used to train SVM. </w:t>
      </w:r>
      <w:proofErr w:type="spellStart"/>
      <w:r w:rsidRPr="00D366E2">
        <w:rPr>
          <w:lang w:val="en-GB" w:eastAsia="en-GB"/>
        </w:rPr>
        <w:t>GridSearchCV</w:t>
      </w:r>
      <w:proofErr w:type="spellEnd"/>
      <w:r w:rsidRPr="00D366E2">
        <w:rPr>
          <w:lang w:val="en-GB" w:eastAsia="en-GB"/>
        </w:rPr>
        <w:t xml:space="preserve"> was used to adjust the kernel coefficient (gamma) and regularisation parameter (C). To make ROC-AUC evaluation easier, probability estimations were enabled. Because SVM models are stable in high-dimensional feature spaces and can capture interactions between several behavioural characteristics that influence engagement, they are useful in this context. </w:t>
      </w:r>
      <w:r w:rsidRPr="00D366E2">
        <w:rPr>
          <w:lang w:val="en-GB" w:eastAsia="en-GB"/>
        </w:rPr>
        <w:br/>
        <w:t>Evaluation metrics include accuracy, precision, recall, weighted and macro F1 score, confusion matrix, and multi-class ROC-AUC.</w:t>
      </w:r>
    </w:p>
    <w:p w14:paraId="111E9C92" w14:textId="77777777" w:rsidR="00D366E2" w:rsidRDefault="00D366E2" w:rsidP="00D366E2">
      <w:pPr>
        <w:rPr>
          <w:lang w:val="en-GB" w:eastAsia="en-GB"/>
        </w:rPr>
      </w:pPr>
    </w:p>
    <w:p w14:paraId="06D15A25" w14:textId="7DF59E53" w:rsidR="00D366E2" w:rsidRDefault="00D366E2" w:rsidP="00D366E2">
      <w:pPr>
        <w:rPr>
          <w:lang w:val="en-GB" w:eastAsia="en-GB"/>
        </w:rPr>
      </w:pPr>
      <w:r>
        <w:rPr>
          <w:lang w:val="en-GB" w:eastAsia="en-GB"/>
        </w:rPr>
        <w:t>Hyperparameter Tuning</w:t>
      </w:r>
    </w:p>
    <w:p w14:paraId="7EF91760" w14:textId="77777777" w:rsidR="00D366E2" w:rsidRPr="00D366E2" w:rsidRDefault="00D366E2" w:rsidP="00D366E2">
      <w:pPr>
        <w:rPr>
          <w:lang w:val="en-GB" w:eastAsia="en-GB"/>
        </w:rPr>
      </w:pPr>
      <w:r w:rsidRPr="00D366E2">
        <w:rPr>
          <w:lang w:val="en-GB" w:eastAsia="en-GB"/>
        </w:rPr>
        <w:t xml:space="preserve">To avoid overfitting and improve predictive performance, hyperparameter optimisation was carried out: </w:t>
      </w:r>
      <w:r w:rsidRPr="00D366E2">
        <w:rPr>
          <w:lang w:val="en-GB" w:eastAsia="en-GB"/>
        </w:rPr>
        <w:br/>
        <w:t>• Decision Tree: Minimum samples per leaf, minimum samples per split, and maximum depth were adjusted.</w:t>
      </w:r>
      <w:r w:rsidRPr="00D366E2">
        <w:rPr>
          <w:lang w:val="en-GB" w:eastAsia="en-GB"/>
        </w:rPr>
        <w:br/>
        <w:t xml:space="preserve">• SVM: Gamma, C, and kernel type were optimised. </w:t>
      </w:r>
      <w:r w:rsidRPr="00D366E2">
        <w:rPr>
          <w:lang w:val="en-GB" w:eastAsia="en-GB"/>
        </w:rPr>
        <w:br/>
      </w:r>
      <w:r w:rsidRPr="00D366E2">
        <w:rPr>
          <w:lang w:val="en-GB" w:eastAsia="en-GB"/>
        </w:rPr>
        <w:br/>
        <w:t>To assess stability and avoid overfitting, cross-validation (3- or 5-fold) was used. Parallel processing (</w:t>
      </w:r>
      <w:proofErr w:type="spellStart"/>
      <w:r w:rsidRPr="00D366E2">
        <w:rPr>
          <w:lang w:val="en-GB" w:eastAsia="en-GB"/>
        </w:rPr>
        <w:t>n_jobs</w:t>
      </w:r>
      <w:proofErr w:type="spellEnd"/>
      <w:r w:rsidRPr="00D366E2">
        <w:rPr>
          <w:lang w:val="en-GB" w:eastAsia="en-GB"/>
        </w:rPr>
        <w:t>=-1) sped up tuning, especially for the Decision Tree.</w:t>
      </w:r>
    </w:p>
    <w:p w14:paraId="57AAF07A" w14:textId="77777777" w:rsidR="00D366E2" w:rsidRDefault="00D366E2" w:rsidP="00D366E2">
      <w:pPr>
        <w:rPr>
          <w:lang w:val="en-GB" w:eastAsia="en-GB"/>
        </w:rPr>
      </w:pPr>
    </w:p>
    <w:p w14:paraId="562C9617" w14:textId="2EA0C4F8" w:rsidR="00D366E2" w:rsidRDefault="00D366E2" w:rsidP="00D366E2">
      <w:pPr>
        <w:rPr>
          <w:lang w:val="en-GB" w:eastAsia="en-GB"/>
        </w:rPr>
      </w:pPr>
      <w:r>
        <w:rPr>
          <w:lang w:val="en-GB" w:eastAsia="en-GB"/>
        </w:rPr>
        <w:t>Clustering Analysis</w:t>
      </w:r>
    </w:p>
    <w:p w14:paraId="666BAECB" w14:textId="77777777" w:rsidR="001A7234" w:rsidRPr="001A7234" w:rsidRDefault="001A7234" w:rsidP="001A7234">
      <w:pPr>
        <w:rPr>
          <w:lang w:val="en-GB" w:eastAsia="en-GB"/>
        </w:rPr>
      </w:pPr>
      <w:r w:rsidRPr="001A7234">
        <w:rPr>
          <w:lang w:val="en-GB" w:eastAsia="en-GB"/>
        </w:rPr>
        <w:t>For unsupervised analysis:</w:t>
      </w:r>
      <w:r w:rsidRPr="001A7234">
        <w:rPr>
          <w:lang w:val="en-GB" w:eastAsia="en-GB"/>
        </w:rPr>
        <w:br/>
        <w:t>• Feature Selection: Playtime, weekly sessions, and in-game purchases were the only numerical behavioural features used.</w:t>
      </w:r>
      <w:r w:rsidRPr="001A7234">
        <w:rPr>
          <w:lang w:val="en-GB" w:eastAsia="en-GB"/>
        </w:rPr>
        <w:br/>
      </w:r>
      <w:proofErr w:type="spellStart"/>
      <w:r w:rsidRPr="001A7234">
        <w:rPr>
          <w:lang w:val="en-GB" w:eastAsia="en-GB"/>
        </w:rPr>
        <w:t>StandardScaler</w:t>
      </w:r>
      <w:proofErr w:type="spellEnd"/>
      <w:r w:rsidRPr="001A7234">
        <w:rPr>
          <w:lang w:val="en-GB" w:eastAsia="en-GB"/>
        </w:rPr>
        <w:t xml:space="preserve"> normalised features are used for scaling.</w:t>
      </w:r>
      <w:r w:rsidRPr="001A7234">
        <w:rPr>
          <w:lang w:val="en-GB" w:eastAsia="en-GB"/>
        </w:rPr>
        <w:br/>
        <w:t xml:space="preserve">K-Means Clustering: Based on silhouette score optimisation, three clusters were initially created. </w:t>
      </w:r>
      <w:r w:rsidRPr="001A7234">
        <w:rPr>
          <w:lang w:val="en-GB" w:eastAsia="en-GB"/>
        </w:rPr>
        <w:br/>
        <w:t xml:space="preserve">• Evaluation: Cluster separation and compactness were evaluated using the silhouette score and inertia. </w:t>
      </w:r>
      <w:r w:rsidRPr="001A7234">
        <w:rPr>
          <w:lang w:val="en-GB" w:eastAsia="en-GB"/>
        </w:rPr>
        <w:br/>
        <w:t>• Visualisation: To make clusters easier to understand, Principal Component Analysis (PCA) projected them into two dimensions.</w:t>
      </w:r>
    </w:p>
    <w:p w14:paraId="7C4AE69E" w14:textId="77777777" w:rsidR="001A7234" w:rsidRDefault="001A7234" w:rsidP="001A7234">
      <w:pPr>
        <w:rPr>
          <w:lang w:val="en-GB" w:eastAsia="en-GB"/>
        </w:rPr>
      </w:pPr>
    </w:p>
    <w:p w14:paraId="263CE323" w14:textId="67D1F257" w:rsidR="001A7234" w:rsidRDefault="001A7234" w:rsidP="001A7234">
      <w:pPr>
        <w:rPr>
          <w:lang w:val="en-GB" w:eastAsia="en-GB"/>
        </w:rPr>
      </w:pPr>
      <w:r w:rsidRPr="001A7234">
        <w:rPr>
          <w:lang w:val="en-GB" w:eastAsia="en-GB"/>
        </w:rPr>
        <w:t>Cluster Profiles: </w:t>
      </w:r>
      <w:r w:rsidRPr="001A7234">
        <w:rPr>
          <w:lang w:val="en-GB" w:eastAsia="en-GB"/>
        </w:rPr>
        <w:br/>
        <w:t>• Cluster 0: Low-engagement, low-spending casual players.</w:t>
      </w:r>
      <w:r w:rsidRPr="001A7234">
        <w:rPr>
          <w:lang w:val="en-GB" w:eastAsia="en-GB"/>
        </w:rPr>
        <w:br/>
        <w:t>• Cluster 1: Regular players who make modest in-game purchases.</w:t>
      </w:r>
      <w:r w:rsidRPr="001A7234">
        <w:rPr>
          <w:lang w:val="en-GB" w:eastAsia="en-GB"/>
        </w:rPr>
        <w:br/>
        <w:t xml:space="preserve">• Cluster 2: Players with high engagement who spend a lot of money and play for long periods of time. </w:t>
      </w:r>
      <w:r w:rsidRPr="001A7234">
        <w:rPr>
          <w:lang w:val="en-GB" w:eastAsia="en-GB"/>
        </w:rPr>
        <w:br/>
        <w:t>Targeted retention tactics, incentive programs, and customised content delivery can all benefit from these clusters.</w:t>
      </w:r>
    </w:p>
    <w:p w14:paraId="64B600CB" w14:textId="77777777" w:rsidR="001A7234" w:rsidRDefault="001A7234" w:rsidP="001A7234">
      <w:pPr>
        <w:rPr>
          <w:lang w:val="en-GB" w:eastAsia="en-GB"/>
        </w:rPr>
      </w:pPr>
    </w:p>
    <w:p w14:paraId="58F66688" w14:textId="503B2C76" w:rsidR="001A7234" w:rsidRDefault="001A7234" w:rsidP="001A7234">
      <w:pPr>
        <w:rPr>
          <w:lang w:val="en-GB" w:eastAsia="en-GB"/>
        </w:rPr>
      </w:pPr>
      <w:r>
        <w:rPr>
          <w:lang w:val="en-GB" w:eastAsia="en-GB"/>
        </w:rPr>
        <w:t>Code Documentation and Workflow</w:t>
      </w:r>
    </w:p>
    <w:p w14:paraId="0D32C1B3" w14:textId="77777777" w:rsidR="001A7234" w:rsidRPr="001A7234" w:rsidRDefault="001A7234" w:rsidP="001A7234">
      <w:pPr>
        <w:rPr>
          <w:lang w:val="en-GB" w:eastAsia="en-GB"/>
        </w:rPr>
      </w:pPr>
      <w:r w:rsidRPr="001A7234">
        <w:rPr>
          <w:lang w:val="en-GB" w:eastAsia="en-GB"/>
        </w:rPr>
        <w:t xml:space="preserve">The </w:t>
      </w:r>
      <w:proofErr w:type="spellStart"/>
      <w:r w:rsidRPr="001A7234">
        <w:rPr>
          <w:lang w:val="en-GB" w:eastAsia="en-GB"/>
        </w:rPr>
        <w:t>Jupyter</w:t>
      </w:r>
      <w:proofErr w:type="spellEnd"/>
      <w:r w:rsidRPr="001A7234">
        <w:rPr>
          <w:lang w:val="en-GB" w:eastAsia="en-GB"/>
        </w:rPr>
        <w:t xml:space="preserve"> Notebook contained comprehensive documentation of the analysis: </w:t>
      </w:r>
      <w:r w:rsidRPr="001A7234">
        <w:rPr>
          <w:lang w:val="en-GB" w:eastAsia="en-GB"/>
        </w:rPr>
        <w:br/>
        <w:t>• Each step has thorough comments outlining the methodology, parameters, and justification.</w:t>
      </w:r>
      <w:r w:rsidRPr="001A7234">
        <w:rPr>
          <w:lang w:val="en-GB" w:eastAsia="en-GB"/>
        </w:rPr>
        <w:br/>
        <w:t xml:space="preserve">• Plots, metrics, and the head of </w:t>
      </w:r>
      <w:proofErr w:type="spellStart"/>
      <w:r w:rsidRPr="001A7234">
        <w:rPr>
          <w:lang w:val="en-GB" w:eastAsia="en-GB"/>
        </w:rPr>
        <w:t>dataframes</w:t>
      </w:r>
      <w:proofErr w:type="spellEnd"/>
      <w:r w:rsidRPr="001A7234">
        <w:rPr>
          <w:lang w:val="en-GB" w:eastAsia="en-GB"/>
        </w:rPr>
        <w:t xml:space="preserve"> are examples of outputs that are shown inline.</w:t>
      </w:r>
      <w:r w:rsidRPr="001A7234">
        <w:rPr>
          <w:lang w:val="en-GB" w:eastAsia="en-GB"/>
        </w:rPr>
        <w:br/>
        <w:t xml:space="preserve">• For submission and reproducibility, the notebook was exported to HTML. </w:t>
      </w:r>
      <w:r w:rsidRPr="001A7234">
        <w:rPr>
          <w:lang w:val="en-GB" w:eastAsia="en-GB"/>
        </w:rPr>
        <w:br/>
        <w:t xml:space="preserve">• A video demonstration ensures clarity for reviewers by capturing step-by-step execution. </w:t>
      </w:r>
      <w:r w:rsidRPr="001A7234">
        <w:rPr>
          <w:lang w:val="en-GB" w:eastAsia="en-GB"/>
        </w:rPr>
        <w:br/>
        <w:t xml:space="preserve">A clear, repeatable methodology for evaluating player engagement and implementing data-driven interventions is offered by this workflow. </w:t>
      </w:r>
    </w:p>
    <w:p w14:paraId="0229C55B" w14:textId="77777777" w:rsidR="001A7234" w:rsidRDefault="001A7234" w:rsidP="001A7234">
      <w:pPr>
        <w:rPr>
          <w:lang w:val="en-GB" w:eastAsia="en-GB"/>
        </w:rPr>
      </w:pPr>
    </w:p>
    <w:p w14:paraId="68FDFC67" w14:textId="45F6CF92" w:rsidR="001A7234" w:rsidRDefault="001A7234" w:rsidP="001A7234">
      <w:pPr>
        <w:rPr>
          <w:lang w:val="en-GB" w:eastAsia="en-GB"/>
        </w:rPr>
      </w:pPr>
      <w:r>
        <w:rPr>
          <w:lang w:val="en-GB" w:eastAsia="en-GB"/>
        </w:rPr>
        <w:t>Discussion and Insights</w:t>
      </w:r>
    </w:p>
    <w:p w14:paraId="39E21B80" w14:textId="77777777" w:rsidR="001A7234" w:rsidRPr="001A7234" w:rsidRDefault="001A7234" w:rsidP="001A7234">
      <w:pPr>
        <w:rPr>
          <w:lang w:val="en-GB" w:eastAsia="en-GB"/>
        </w:rPr>
      </w:pPr>
      <w:r w:rsidRPr="001A7234">
        <w:rPr>
          <w:lang w:val="en-GB" w:eastAsia="en-GB"/>
        </w:rPr>
        <w:t xml:space="preserve">Actionable insights are produced when predictive and unsupervised analytics are combined: </w:t>
      </w:r>
      <w:r w:rsidRPr="001A7234">
        <w:rPr>
          <w:lang w:val="en-GB" w:eastAsia="en-GB"/>
        </w:rPr>
        <w:br/>
        <w:t xml:space="preserve">• In terms of overall accuracy, SVM fared somewhat better than Decision Tree, particularly in intricate feature interactions. </w:t>
      </w:r>
      <w:r w:rsidRPr="001A7234">
        <w:rPr>
          <w:lang w:val="en-GB" w:eastAsia="en-GB"/>
        </w:rPr>
        <w:br/>
      </w:r>
      <w:r w:rsidRPr="001A7234">
        <w:rPr>
          <w:lang w:val="en-GB" w:eastAsia="en-GB"/>
        </w:rPr>
        <w:lastRenderedPageBreak/>
        <w:t xml:space="preserve">• In-game purchases, session time, and frequency of sessions are important indicators of engagement; clustering reveals different player types, indicating that marketing and engagement tactics should be adjusted appropriately. </w:t>
      </w:r>
      <w:r w:rsidRPr="001A7234">
        <w:rPr>
          <w:lang w:val="en-GB" w:eastAsia="en-GB"/>
        </w:rPr>
        <w:br/>
        <w:t>By using these insights, game creators can create engagement campaigns, targeted in-game events, and customised reward systems that appeal to various player demographics. This two-pronged strategy—segmentation and prediction—offers tactical and strategic benefits.</w:t>
      </w:r>
    </w:p>
    <w:p w14:paraId="36C12E5E" w14:textId="77777777" w:rsidR="001A7234" w:rsidRDefault="001A7234" w:rsidP="001A7234">
      <w:pPr>
        <w:rPr>
          <w:lang w:val="en-GB" w:eastAsia="en-GB"/>
        </w:rPr>
      </w:pPr>
    </w:p>
    <w:p w14:paraId="007251F8" w14:textId="0E86EA17" w:rsidR="001A7234" w:rsidRDefault="001A7234" w:rsidP="001A7234">
      <w:pPr>
        <w:rPr>
          <w:lang w:val="en-GB" w:eastAsia="en-GB"/>
        </w:rPr>
      </w:pPr>
      <w:r>
        <w:rPr>
          <w:lang w:val="en-GB" w:eastAsia="en-GB"/>
        </w:rPr>
        <w:t>Conclusion</w:t>
      </w:r>
    </w:p>
    <w:p w14:paraId="01E094F6" w14:textId="77777777" w:rsidR="001A7234" w:rsidRPr="001A7234" w:rsidRDefault="001A7234" w:rsidP="001A7234">
      <w:pPr>
        <w:rPr>
          <w:lang w:val="en-GB" w:eastAsia="en-GB"/>
        </w:rPr>
      </w:pPr>
      <w:r w:rsidRPr="001A7234">
        <w:rPr>
          <w:lang w:val="en-GB" w:eastAsia="en-GB"/>
        </w:rPr>
        <w:t xml:space="preserve">This study shows that a strong framework for comprehending online player involvement may be obtained by integrating supervised and unsupervised machine learning techniques. While K-Means clustering reveals latent behavioural components, Decision Tree and SVM models are good at predicting engagement. Model performance depended on feature engineering, hyperparameter adjustment, and preprocessing. </w:t>
      </w:r>
      <w:r w:rsidRPr="001A7234">
        <w:rPr>
          <w:lang w:val="en-GB" w:eastAsia="en-GB"/>
        </w:rPr>
        <w:br/>
        <w:t xml:space="preserve">Reproducibility, transparency, and ease of demonstration are guaranteed by the thoroughly described approach that makes use of </w:t>
      </w:r>
      <w:proofErr w:type="spellStart"/>
      <w:r w:rsidRPr="001A7234">
        <w:rPr>
          <w:lang w:val="en-GB" w:eastAsia="en-GB"/>
        </w:rPr>
        <w:t>Jupyter</w:t>
      </w:r>
      <w:proofErr w:type="spellEnd"/>
      <w:r w:rsidRPr="001A7234">
        <w:rPr>
          <w:lang w:val="en-GB" w:eastAsia="en-GB"/>
        </w:rPr>
        <w:t xml:space="preserve"> Notebook and Python. Developers and analysts can apply data-driven techniques for game design enhancements, monetisation, and retention by combining predictive insights with behavioural segmentation.</w:t>
      </w:r>
    </w:p>
    <w:p w14:paraId="6CEA770D" w14:textId="77777777" w:rsidR="001A7234" w:rsidRPr="001A7234" w:rsidRDefault="001A7234" w:rsidP="001A7234">
      <w:pPr>
        <w:rPr>
          <w:lang w:val="en-GB" w:eastAsia="en-GB"/>
        </w:rPr>
      </w:pPr>
    </w:p>
    <w:p w14:paraId="3D10ABC2" w14:textId="09B5678F" w:rsidR="005952C0" w:rsidRDefault="005952C0" w:rsidP="005952C0">
      <w:pPr>
        <w:rPr>
          <w:lang w:val="en-GB" w:eastAsia="en-GB"/>
        </w:rPr>
      </w:pPr>
    </w:p>
    <w:p w14:paraId="439A0F83" w14:textId="77777777" w:rsidR="005952C0" w:rsidRDefault="005952C0" w:rsidP="005952C0">
      <w:pPr>
        <w:rPr>
          <w:lang w:val="en-GB" w:eastAsia="en-GB"/>
        </w:rPr>
      </w:pPr>
      <w:r>
        <w:rPr>
          <w:lang w:val="en-GB" w:eastAsia="en-GB"/>
        </w:rPr>
        <w:t>References</w:t>
      </w:r>
    </w:p>
    <w:p w14:paraId="0851ECDC" w14:textId="77777777" w:rsidR="005952C0" w:rsidRPr="00726341" w:rsidRDefault="005952C0" w:rsidP="005952C0">
      <w:pPr>
        <w:rPr>
          <w:lang w:val="en-GB" w:eastAsia="en-GB"/>
        </w:rPr>
      </w:pPr>
      <w:r w:rsidRPr="00726341">
        <w:rPr>
          <w:lang w:val="en-GB" w:eastAsia="en-GB"/>
        </w:rPr>
        <w:t>[1]</w:t>
      </w:r>
    </w:p>
    <w:p w14:paraId="49F86659" w14:textId="77777777" w:rsidR="005952C0" w:rsidRPr="00726341" w:rsidRDefault="005952C0" w:rsidP="005952C0">
      <w:pPr>
        <w:rPr>
          <w:lang w:val="en-GB" w:eastAsia="en-GB"/>
        </w:rPr>
      </w:pPr>
      <w:r w:rsidRPr="00726341">
        <w:rPr>
          <w:lang w:val="en-GB" w:eastAsia="en-GB"/>
        </w:rPr>
        <w:t xml:space="preserve">J. R. Quinlan, “Induction of Decision Trees,” </w:t>
      </w:r>
      <w:r w:rsidRPr="00726341">
        <w:rPr>
          <w:i/>
          <w:iCs/>
          <w:lang w:val="en-GB" w:eastAsia="en-GB"/>
        </w:rPr>
        <w:t>Machine Learning</w:t>
      </w:r>
      <w:r w:rsidRPr="00726341">
        <w:rPr>
          <w:lang w:val="en-GB" w:eastAsia="en-GB"/>
        </w:rPr>
        <w:t xml:space="preserve">, vol. 1, no. 1, pp. 81–106, 1986, </w:t>
      </w:r>
      <w:proofErr w:type="spellStart"/>
      <w:r w:rsidRPr="00726341">
        <w:rPr>
          <w:lang w:val="en-GB" w:eastAsia="en-GB"/>
        </w:rPr>
        <w:t>doi</w:t>
      </w:r>
      <w:proofErr w:type="spellEnd"/>
      <w:r w:rsidRPr="00726341">
        <w:rPr>
          <w:lang w:val="en-GB" w:eastAsia="en-GB"/>
        </w:rPr>
        <w:t>: https://doi.org/10.1023/a:1022643204877.</w:t>
      </w:r>
    </w:p>
    <w:p w14:paraId="597B4789" w14:textId="77777777" w:rsidR="005952C0" w:rsidRPr="00726341" w:rsidRDefault="005952C0" w:rsidP="005952C0">
      <w:pPr>
        <w:rPr>
          <w:lang w:val="en-GB" w:eastAsia="en-GB"/>
        </w:rPr>
      </w:pPr>
      <w:r w:rsidRPr="00726341">
        <w:rPr>
          <w:lang w:val="en-GB" w:eastAsia="en-GB"/>
        </w:rPr>
        <w:t>[2]</w:t>
      </w:r>
    </w:p>
    <w:p w14:paraId="69743F7D" w14:textId="77777777" w:rsidR="005952C0" w:rsidRPr="00726341" w:rsidRDefault="005952C0" w:rsidP="005952C0">
      <w:pPr>
        <w:rPr>
          <w:lang w:val="en-GB" w:eastAsia="en-GB"/>
        </w:rPr>
      </w:pPr>
      <w:r w:rsidRPr="00726341">
        <w:rPr>
          <w:lang w:val="en-GB" w:eastAsia="en-GB"/>
        </w:rPr>
        <w:t xml:space="preserve">W.-Y. Loh, “Classification and regression trees,” </w:t>
      </w:r>
      <w:r w:rsidRPr="00726341">
        <w:rPr>
          <w:i/>
          <w:iCs/>
          <w:lang w:val="en-GB" w:eastAsia="en-GB"/>
        </w:rPr>
        <w:t>Wiley Interdisciplinary Reviews: Data Mining and Knowledge Discovery</w:t>
      </w:r>
      <w:r w:rsidRPr="00726341">
        <w:rPr>
          <w:lang w:val="en-GB" w:eastAsia="en-GB"/>
        </w:rPr>
        <w:t xml:space="preserve">, vol. 1, no. 1, pp. 14–23, Jan. 2011, </w:t>
      </w:r>
      <w:proofErr w:type="spellStart"/>
      <w:r w:rsidRPr="00726341">
        <w:rPr>
          <w:lang w:val="en-GB" w:eastAsia="en-GB"/>
        </w:rPr>
        <w:t>doi</w:t>
      </w:r>
      <w:proofErr w:type="spellEnd"/>
      <w:r w:rsidRPr="00726341">
        <w:rPr>
          <w:lang w:val="en-GB" w:eastAsia="en-GB"/>
        </w:rPr>
        <w:t>: https://doi.org/10.1002/widm.8.</w:t>
      </w:r>
    </w:p>
    <w:p w14:paraId="2BB48DC1" w14:textId="77777777" w:rsidR="005952C0" w:rsidRPr="00726341" w:rsidRDefault="005952C0" w:rsidP="005952C0">
      <w:pPr>
        <w:rPr>
          <w:lang w:val="en-GB" w:eastAsia="en-GB"/>
        </w:rPr>
      </w:pPr>
      <w:r w:rsidRPr="00726341">
        <w:rPr>
          <w:lang w:val="en-GB" w:eastAsia="en-GB"/>
        </w:rPr>
        <w:t>[3]</w:t>
      </w:r>
    </w:p>
    <w:p w14:paraId="48AEFBCE" w14:textId="77777777" w:rsidR="005952C0" w:rsidRPr="00726341" w:rsidRDefault="005952C0" w:rsidP="005952C0">
      <w:pPr>
        <w:rPr>
          <w:lang w:val="en-GB" w:eastAsia="en-GB"/>
        </w:rPr>
      </w:pPr>
      <w:r w:rsidRPr="00726341">
        <w:rPr>
          <w:lang w:val="en-GB" w:eastAsia="en-GB"/>
        </w:rPr>
        <w:t xml:space="preserve">C. Cortes and V. </w:t>
      </w:r>
      <w:proofErr w:type="spellStart"/>
      <w:r w:rsidRPr="00726341">
        <w:rPr>
          <w:lang w:val="en-GB" w:eastAsia="en-GB"/>
        </w:rPr>
        <w:t>Vapnik</w:t>
      </w:r>
      <w:proofErr w:type="spellEnd"/>
      <w:r w:rsidRPr="00726341">
        <w:rPr>
          <w:lang w:val="en-GB" w:eastAsia="en-GB"/>
        </w:rPr>
        <w:t xml:space="preserve">, “Support-vector networks,” </w:t>
      </w:r>
      <w:r w:rsidRPr="00726341">
        <w:rPr>
          <w:i/>
          <w:iCs/>
          <w:lang w:val="en-GB" w:eastAsia="en-GB"/>
        </w:rPr>
        <w:t>Machine Learning</w:t>
      </w:r>
      <w:r w:rsidRPr="00726341">
        <w:rPr>
          <w:lang w:val="en-GB" w:eastAsia="en-GB"/>
        </w:rPr>
        <w:t xml:space="preserve">, vol. 20, no. 3, pp. 273–297, Sep. 1995, </w:t>
      </w:r>
      <w:proofErr w:type="spellStart"/>
      <w:r w:rsidRPr="00726341">
        <w:rPr>
          <w:lang w:val="en-GB" w:eastAsia="en-GB"/>
        </w:rPr>
        <w:t>doi</w:t>
      </w:r>
      <w:proofErr w:type="spellEnd"/>
      <w:r w:rsidRPr="00726341">
        <w:rPr>
          <w:lang w:val="en-GB" w:eastAsia="en-GB"/>
        </w:rPr>
        <w:t>: https://doi.org/10.1007/BF00994018.</w:t>
      </w:r>
    </w:p>
    <w:p w14:paraId="7BFEEDBE" w14:textId="77777777" w:rsidR="005952C0" w:rsidRPr="00726341" w:rsidRDefault="005952C0" w:rsidP="005952C0">
      <w:pPr>
        <w:rPr>
          <w:lang w:val="en-GB" w:eastAsia="en-GB"/>
        </w:rPr>
      </w:pPr>
      <w:r w:rsidRPr="00726341">
        <w:rPr>
          <w:lang w:val="en-GB" w:eastAsia="en-GB"/>
        </w:rPr>
        <w:t>[4]</w:t>
      </w:r>
    </w:p>
    <w:p w14:paraId="7DF37F0A" w14:textId="77777777" w:rsidR="005952C0" w:rsidRPr="00726341" w:rsidRDefault="005952C0" w:rsidP="005952C0">
      <w:pPr>
        <w:rPr>
          <w:lang w:val="en-GB" w:eastAsia="en-GB"/>
        </w:rPr>
      </w:pPr>
      <w:r w:rsidRPr="00726341">
        <w:rPr>
          <w:lang w:val="en-GB" w:eastAsia="en-GB"/>
        </w:rPr>
        <w:t>C.-W. Hsu, C.-C. Chang, and C.-J. Lin, “A Practical Guide to Support Vector Classification,” 2003. Available: https://www.csie.ntu.edu.tw/~cjlin/papers/guide/guide.pdf</w:t>
      </w:r>
    </w:p>
    <w:p w14:paraId="015DADEE" w14:textId="77777777" w:rsidR="005952C0" w:rsidRPr="00726341" w:rsidRDefault="005952C0" w:rsidP="005952C0">
      <w:pPr>
        <w:rPr>
          <w:lang w:val="en-GB" w:eastAsia="en-GB"/>
        </w:rPr>
      </w:pPr>
      <w:r w:rsidRPr="00726341">
        <w:rPr>
          <w:lang w:val="en-GB" w:eastAsia="en-GB"/>
        </w:rPr>
        <w:t>[5]</w:t>
      </w:r>
    </w:p>
    <w:p w14:paraId="01E62A5A" w14:textId="77777777" w:rsidR="005952C0" w:rsidRPr="00726341" w:rsidRDefault="005952C0" w:rsidP="005952C0">
      <w:pPr>
        <w:rPr>
          <w:lang w:val="en-GB" w:eastAsia="en-GB"/>
        </w:rPr>
      </w:pPr>
      <w:r w:rsidRPr="00726341">
        <w:rPr>
          <w:lang w:val="en-GB" w:eastAsia="en-GB"/>
        </w:rPr>
        <w:t xml:space="preserve">A. K. Jain, “Data clustering: 50 years beyond K-means,” </w:t>
      </w:r>
      <w:r w:rsidRPr="00726341">
        <w:rPr>
          <w:i/>
          <w:iCs/>
          <w:lang w:val="en-GB" w:eastAsia="en-GB"/>
        </w:rPr>
        <w:t>Pattern Recognition Letters</w:t>
      </w:r>
      <w:r w:rsidRPr="00726341">
        <w:rPr>
          <w:lang w:val="en-GB" w:eastAsia="en-GB"/>
        </w:rPr>
        <w:t xml:space="preserve">, vol. 31, no. 8, pp. 651–666, Jun. 2010, </w:t>
      </w:r>
      <w:proofErr w:type="spellStart"/>
      <w:r w:rsidRPr="00726341">
        <w:rPr>
          <w:lang w:val="en-GB" w:eastAsia="en-GB"/>
        </w:rPr>
        <w:t>doi</w:t>
      </w:r>
      <w:proofErr w:type="spellEnd"/>
      <w:r w:rsidRPr="00726341">
        <w:rPr>
          <w:lang w:val="en-GB" w:eastAsia="en-GB"/>
        </w:rPr>
        <w:t>: https://doi.org/10.1016/j.patrec.2009.09.011.</w:t>
      </w:r>
    </w:p>
    <w:p w14:paraId="75F37C96" w14:textId="77777777" w:rsidR="005952C0" w:rsidRPr="00726341" w:rsidRDefault="005952C0" w:rsidP="005952C0">
      <w:pPr>
        <w:rPr>
          <w:lang w:val="en-GB" w:eastAsia="en-GB"/>
        </w:rPr>
      </w:pPr>
      <w:r w:rsidRPr="00726341">
        <w:rPr>
          <w:lang w:val="en-GB" w:eastAsia="en-GB"/>
        </w:rPr>
        <w:t>[6]</w:t>
      </w:r>
    </w:p>
    <w:p w14:paraId="18FF6D2F" w14:textId="77777777" w:rsidR="005952C0" w:rsidRPr="00726341" w:rsidRDefault="005952C0" w:rsidP="005952C0">
      <w:pPr>
        <w:rPr>
          <w:lang w:val="en-GB" w:eastAsia="en-GB"/>
        </w:rPr>
      </w:pPr>
      <w:r w:rsidRPr="00726341">
        <w:rPr>
          <w:lang w:val="en-GB" w:eastAsia="en-GB"/>
        </w:rPr>
        <w:t xml:space="preserve">P. J. </w:t>
      </w:r>
      <w:proofErr w:type="spellStart"/>
      <w:r w:rsidRPr="00726341">
        <w:rPr>
          <w:lang w:val="en-GB" w:eastAsia="en-GB"/>
        </w:rPr>
        <w:t>Rousseeuw</w:t>
      </w:r>
      <w:proofErr w:type="spellEnd"/>
      <w:r w:rsidRPr="00726341">
        <w:rPr>
          <w:lang w:val="en-GB" w:eastAsia="en-GB"/>
        </w:rPr>
        <w:t xml:space="preserve">, “Silhouettes: a Graphical Aid to the Interpretation and Validation of Cluster Analysis,” </w:t>
      </w:r>
      <w:r w:rsidRPr="00726341">
        <w:rPr>
          <w:i/>
          <w:iCs/>
          <w:lang w:val="en-GB" w:eastAsia="en-GB"/>
        </w:rPr>
        <w:t>Journal of Computational and Applied Mathematics</w:t>
      </w:r>
      <w:r w:rsidRPr="00726341">
        <w:rPr>
          <w:lang w:val="en-GB" w:eastAsia="en-GB"/>
        </w:rPr>
        <w:t xml:space="preserve">, vol. 20, no. 0377–0427, pp. 53–65, Nov. 1987, </w:t>
      </w:r>
      <w:proofErr w:type="spellStart"/>
      <w:r w:rsidRPr="00726341">
        <w:rPr>
          <w:lang w:val="en-GB" w:eastAsia="en-GB"/>
        </w:rPr>
        <w:t>doi</w:t>
      </w:r>
      <w:proofErr w:type="spellEnd"/>
      <w:r w:rsidRPr="00726341">
        <w:rPr>
          <w:lang w:val="en-GB" w:eastAsia="en-GB"/>
        </w:rPr>
        <w:t>: https://doi.org/10.1016/0377-0427(87)90125-7.</w:t>
      </w:r>
    </w:p>
    <w:p w14:paraId="1A0C5169" w14:textId="77777777" w:rsidR="005952C0" w:rsidRPr="00726341" w:rsidRDefault="005952C0" w:rsidP="005952C0">
      <w:pPr>
        <w:rPr>
          <w:lang w:val="en-GB" w:eastAsia="en-GB"/>
        </w:rPr>
      </w:pPr>
      <w:r w:rsidRPr="00726341">
        <w:rPr>
          <w:lang w:val="en-GB" w:eastAsia="en-GB"/>
        </w:rPr>
        <w:t>[7]</w:t>
      </w:r>
    </w:p>
    <w:p w14:paraId="659BD87F" w14:textId="77777777" w:rsidR="005952C0" w:rsidRPr="00726341" w:rsidRDefault="005952C0" w:rsidP="005952C0">
      <w:pPr>
        <w:rPr>
          <w:lang w:val="en-GB" w:eastAsia="en-GB"/>
        </w:rPr>
      </w:pPr>
      <w:r w:rsidRPr="00726341">
        <w:rPr>
          <w:lang w:val="en-GB" w:eastAsia="en-GB"/>
        </w:rPr>
        <w:t xml:space="preserve">F. Pedregosa </w:t>
      </w:r>
      <w:r w:rsidRPr="00726341">
        <w:rPr>
          <w:i/>
          <w:iCs/>
          <w:lang w:val="en-GB" w:eastAsia="en-GB"/>
        </w:rPr>
        <w:t>et al.</w:t>
      </w:r>
      <w:r w:rsidRPr="00726341">
        <w:rPr>
          <w:lang w:val="en-GB" w:eastAsia="en-GB"/>
        </w:rPr>
        <w:t xml:space="preserve">, “Scikit-learn: Machine Learning in Python,” </w:t>
      </w:r>
      <w:r w:rsidRPr="00726341">
        <w:rPr>
          <w:i/>
          <w:iCs/>
          <w:lang w:val="en-GB" w:eastAsia="en-GB"/>
        </w:rPr>
        <w:t>Journal of Machine Learning Research</w:t>
      </w:r>
      <w:r w:rsidRPr="00726341">
        <w:rPr>
          <w:lang w:val="en-GB" w:eastAsia="en-GB"/>
        </w:rPr>
        <w:t>, vol. 12, no. 85, pp. 2825–2830, 2011, Available: https://jmlr.org/papers/v12/pedregosa11a.html</w:t>
      </w:r>
    </w:p>
    <w:p w14:paraId="26CD788C" w14:textId="77777777" w:rsidR="005952C0" w:rsidRPr="00726341" w:rsidRDefault="005952C0" w:rsidP="005952C0">
      <w:pPr>
        <w:rPr>
          <w:lang w:val="en-GB" w:eastAsia="en-GB"/>
        </w:rPr>
      </w:pPr>
      <w:r w:rsidRPr="00726341">
        <w:rPr>
          <w:lang w:val="en-GB" w:eastAsia="en-GB"/>
        </w:rPr>
        <w:t>[8]</w:t>
      </w:r>
    </w:p>
    <w:p w14:paraId="339668BA" w14:textId="77777777" w:rsidR="005952C0" w:rsidRPr="00726341" w:rsidRDefault="005952C0" w:rsidP="005952C0">
      <w:pPr>
        <w:rPr>
          <w:lang w:val="en-GB" w:eastAsia="en-GB"/>
        </w:rPr>
      </w:pPr>
      <w:r w:rsidRPr="00726341">
        <w:rPr>
          <w:lang w:val="en-GB" w:eastAsia="en-GB"/>
        </w:rPr>
        <w:t xml:space="preserve">J. VanderPlas, “Python Data Science Handbook | Python Data Science Handbook,” </w:t>
      </w:r>
      <w:r w:rsidRPr="00726341">
        <w:rPr>
          <w:i/>
          <w:iCs/>
          <w:lang w:val="en-GB" w:eastAsia="en-GB"/>
        </w:rPr>
        <w:t>Github.io</w:t>
      </w:r>
      <w:r w:rsidRPr="00726341">
        <w:rPr>
          <w:lang w:val="en-GB" w:eastAsia="en-GB"/>
        </w:rPr>
        <w:t>, 2019. https://jakevdp.github.io/PythonDataScienceHandbook/</w:t>
      </w:r>
    </w:p>
    <w:p w14:paraId="2C3C878E" w14:textId="77777777" w:rsidR="005952C0" w:rsidRPr="00726341" w:rsidRDefault="005952C0" w:rsidP="005952C0">
      <w:pPr>
        <w:rPr>
          <w:lang w:val="en-GB" w:eastAsia="en-GB"/>
        </w:rPr>
      </w:pPr>
      <w:r w:rsidRPr="00726341">
        <w:rPr>
          <w:lang w:val="en-GB" w:eastAsia="en-GB"/>
        </w:rPr>
        <w:t>[9]</w:t>
      </w:r>
    </w:p>
    <w:p w14:paraId="29292037" w14:textId="77777777" w:rsidR="005952C0" w:rsidRPr="00726341" w:rsidRDefault="005952C0" w:rsidP="005952C0">
      <w:pPr>
        <w:rPr>
          <w:lang w:val="en-GB" w:eastAsia="en-GB"/>
        </w:rPr>
      </w:pPr>
      <w:r w:rsidRPr="00726341">
        <w:rPr>
          <w:lang w:val="en-GB" w:eastAsia="en-GB"/>
        </w:rPr>
        <w:t xml:space="preserve">W. McKinney, “Data Structures for Statistical Computing in Python,” </w:t>
      </w:r>
      <w:r w:rsidRPr="00726341">
        <w:rPr>
          <w:i/>
          <w:iCs/>
          <w:lang w:val="en-GB" w:eastAsia="en-GB"/>
        </w:rPr>
        <w:t>Proceedings of the 9th Python in Science Conference</w:t>
      </w:r>
      <w:r w:rsidRPr="00726341">
        <w:rPr>
          <w:lang w:val="en-GB" w:eastAsia="en-GB"/>
        </w:rPr>
        <w:t xml:space="preserve">, vol. 445, 2010, </w:t>
      </w:r>
      <w:proofErr w:type="spellStart"/>
      <w:r w:rsidRPr="00726341">
        <w:rPr>
          <w:lang w:val="en-GB" w:eastAsia="en-GB"/>
        </w:rPr>
        <w:t>doi</w:t>
      </w:r>
      <w:proofErr w:type="spellEnd"/>
      <w:r w:rsidRPr="00726341">
        <w:rPr>
          <w:lang w:val="en-GB" w:eastAsia="en-GB"/>
        </w:rPr>
        <w:t>: https://doi.org/10.25080/majora-92bf1922-00a.</w:t>
      </w:r>
    </w:p>
    <w:p w14:paraId="29C5985A" w14:textId="77777777" w:rsidR="005952C0" w:rsidRPr="00726341" w:rsidRDefault="005952C0" w:rsidP="005952C0">
      <w:pPr>
        <w:rPr>
          <w:lang w:val="en-GB" w:eastAsia="en-GB"/>
        </w:rPr>
      </w:pPr>
      <w:r w:rsidRPr="00726341">
        <w:rPr>
          <w:lang w:val="en-GB" w:eastAsia="en-GB"/>
        </w:rPr>
        <w:t>[10]</w:t>
      </w:r>
    </w:p>
    <w:p w14:paraId="1C727B48" w14:textId="77777777" w:rsidR="005952C0" w:rsidRPr="00726341" w:rsidRDefault="005952C0" w:rsidP="005952C0">
      <w:pPr>
        <w:rPr>
          <w:lang w:val="en-GB" w:eastAsia="en-GB"/>
        </w:rPr>
      </w:pPr>
      <w:proofErr w:type="spellStart"/>
      <w:r w:rsidRPr="00726341">
        <w:rPr>
          <w:lang w:val="en-GB" w:eastAsia="en-GB"/>
        </w:rPr>
        <w:t>jupyter</w:t>
      </w:r>
      <w:proofErr w:type="spellEnd"/>
      <w:r w:rsidRPr="00726341">
        <w:rPr>
          <w:lang w:val="en-GB" w:eastAsia="en-GB"/>
        </w:rPr>
        <w:t xml:space="preserve">, “Project </w:t>
      </w:r>
      <w:proofErr w:type="spellStart"/>
      <w:r w:rsidRPr="00726341">
        <w:rPr>
          <w:lang w:val="en-GB" w:eastAsia="en-GB"/>
        </w:rPr>
        <w:t>Jupyter</w:t>
      </w:r>
      <w:proofErr w:type="spellEnd"/>
      <w:r w:rsidRPr="00726341">
        <w:rPr>
          <w:lang w:val="en-GB" w:eastAsia="en-GB"/>
        </w:rPr>
        <w:t xml:space="preserve">,” </w:t>
      </w:r>
      <w:r w:rsidRPr="00726341">
        <w:rPr>
          <w:i/>
          <w:iCs/>
          <w:lang w:val="en-GB" w:eastAsia="en-GB"/>
        </w:rPr>
        <w:t>Jupyter.org</w:t>
      </w:r>
      <w:r w:rsidRPr="00726341">
        <w:rPr>
          <w:lang w:val="en-GB" w:eastAsia="en-GB"/>
        </w:rPr>
        <w:t>, 2019. https://jupyter.org/</w:t>
      </w:r>
    </w:p>
    <w:p w14:paraId="6EF030AD" w14:textId="77777777" w:rsidR="005952C0" w:rsidRPr="00726341" w:rsidRDefault="005952C0" w:rsidP="005952C0">
      <w:pPr>
        <w:rPr>
          <w:lang w:val="en-GB" w:eastAsia="en-GB"/>
        </w:rPr>
      </w:pPr>
      <w:r w:rsidRPr="00726341">
        <w:rPr>
          <w:lang w:val="en-GB" w:eastAsia="en-GB"/>
        </w:rPr>
        <w:t>[11]</w:t>
      </w:r>
    </w:p>
    <w:p w14:paraId="0F884D8B" w14:textId="77777777" w:rsidR="005952C0" w:rsidRPr="00726341" w:rsidRDefault="005952C0" w:rsidP="005952C0">
      <w:pPr>
        <w:rPr>
          <w:lang w:val="en-GB" w:eastAsia="en-GB"/>
        </w:rPr>
      </w:pPr>
      <w:r w:rsidRPr="00726341">
        <w:rPr>
          <w:lang w:val="en-GB" w:eastAsia="en-GB"/>
        </w:rPr>
        <w:lastRenderedPageBreak/>
        <w:t xml:space="preserve">L. Galli, D. Loiacono, and P. L. Lanzi, “Learning a context-aware weapon selection policy for Unreal Tournament III,” </w:t>
      </w:r>
      <w:r w:rsidRPr="00726341">
        <w:rPr>
          <w:i/>
          <w:iCs/>
          <w:lang w:val="en-GB" w:eastAsia="en-GB"/>
        </w:rPr>
        <w:t>2009 IEEE Symposium on Computational Intelligence and Games</w:t>
      </w:r>
      <w:r w:rsidRPr="00726341">
        <w:rPr>
          <w:lang w:val="en-GB" w:eastAsia="en-GB"/>
        </w:rPr>
        <w:t xml:space="preserve">, pp. 310–316, Sep. 2009, </w:t>
      </w:r>
      <w:proofErr w:type="spellStart"/>
      <w:r w:rsidRPr="00726341">
        <w:rPr>
          <w:lang w:val="en-GB" w:eastAsia="en-GB"/>
        </w:rPr>
        <w:t>doi</w:t>
      </w:r>
      <w:proofErr w:type="spellEnd"/>
      <w:r w:rsidRPr="00726341">
        <w:rPr>
          <w:lang w:val="en-GB" w:eastAsia="en-GB"/>
        </w:rPr>
        <w:t>: https://doi.org/10.1109/cig.2009.5286461.</w:t>
      </w:r>
    </w:p>
    <w:p w14:paraId="7B138829" w14:textId="77777777" w:rsidR="005952C0" w:rsidRPr="00726341" w:rsidRDefault="005952C0" w:rsidP="005952C0">
      <w:pPr>
        <w:rPr>
          <w:lang w:val="en-GB" w:eastAsia="en-GB"/>
        </w:rPr>
      </w:pPr>
      <w:r w:rsidRPr="00726341">
        <w:rPr>
          <w:lang w:val="en-GB" w:eastAsia="en-GB"/>
        </w:rPr>
        <w:t>[12]</w:t>
      </w:r>
    </w:p>
    <w:p w14:paraId="375B95B7" w14:textId="77777777" w:rsidR="005952C0" w:rsidRPr="00726341" w:rsidRDefault="005952C0" w:rsidP="005952C0">
      <w:pPr>
        <w:rPr>
          <w:lang w:val="en-GB" w:eastAsia="en-GB"/>
        </w:rPr>
      </w:pPr>
      <w:r w:rsidRPr="00726341">
        <w:rPr>
          <w:lang w:val="en-GB" w:eastAsia="en-GB"/>
        </w:rPr>
        <w:t xml:space="preserve">L. A. Maglaras and D. Katsaros, “Social Clustering of Vehicles Based on Semi-Markov Processes,” </w:t>
      </w:r>
      <w:r w:rsidRPr="00726341">
        <w:rPr>
          <w:i/>
          <w:iCs/>
          <w:lang w:val="en-GB" w:eastAsia="en-GB"/>
        </w:rPr>
        <w:t>IEEE Transactions on Vehicular Technology</w:t>
      </w:r>
      <w:r w:rsidRPr="00726341">
        <w:rPr>
          <w:lang w:val="en-GB" w:eastAsia="en-GB"/>
        </w:rPr>
        <w:t xml:space="preserve">, vol. 65, no. 1, pp. 318–332, Jan. 2016, </w:t>
      </w:r>
      <w:proofErr w:type="spellStart"/>
      <w:r w:rsidRPr="00726341">
        <w:rPr>
          <w:lang w:val="en-GB" w:eastAsia="en-GB"/>
        </w:rPr>
        <w:t>doi</w:t>
      </w:r>
      <w:proofErr w:type="spellEnd"/>
      <w:r w:rsidRPr="00726341">
        <w:rPr>
          <w:lang w:val="en-GB" w:eastAsia="en-GB"/>
        </w:rPr>
        <w:t>: https://doi.org/10.1109/tvt.2015.2394367.</w:t>
      </w:r>
    </w:p>
    <w:p w14:paraId="4F8B5B08" w14:textId="77777777" w:rsidR="005952C0" w:rsidRPr="00726341" w:rsidRDefault="005952C0" w:rsidP="005952C0">
      <w:pPr>
        <w:rPr>
          <w:lang w:val="en-GB" w:eastAsia="en-GB"/>
        </w:rPr>
      </w:pPr>
      <w:r w:rsidRPr="00726341">
        <w:rPr>
          <w:lang w:val="en-GB" w:eastAsia="en-GB"/>
        </w:rPr>
        <w:t>[13]</w:t>
      </w:r>
    </w:p>
    <w:p w14:paraId="30301BAC" w14:textId="77777777" w:rsidR="005952C0" w:rsidRPr="00726341" w:rsidRDefault="005952C0" w:rsidP="005952C0">
      <w:pPr>
        <w:rPr>
          <w:lang w:val="en-GB" w:eastAsia="en-GB"/>
        </w:rPr>
      </w:pPr>
      <w:r w:rsidRPr="00726341">
        <w:rPr>
          <w:lang w:val="en-GB" w:eastAsia="en-GB"/>
        </w:rPr>
        <w:t>Maciej Swiechowski and Jacek Mandziuk, “</w:t>
      </w:r>
      <w:proofErr w:type="spellStart"/>
      <w:r w:rsidRPr="00726341">
        <w:rPr>
          <w:lang w:val="en-GB" w:eastAsia="en-GB"/>
        </w:rPr>
        <w:t>Prolog</w:t>
      </w:r>
      <w:proofErr w:type="spellEnd"/>
      <w:r w:rsidRPr="00726341">
        <w:rPr>
          <w:lang w:val="en-GB" w:eastAsia="en-GB"/>
        </w:rPr>
        <w:t xml:space="preserve"> versus specialized logic inference engine in General Game Playing,” </w:t>
      </w:r>
      <w:proofErr w:type="spellStart"/>
      <w:r w:rsidRPr="00726341">
        <w:rPr>
          <w:i/>
          <w:iCs/>
          <w:lang w:val="en-GB" w:eastAsia="en-GB"/>
        </w:rPr>
        <w:t>Prolog</w:t>
      </w:r>
      <w:proofErr w:type="spellEnd"/>
      <w:r w:rsidRPr="00726341">
        <w:rPr>
          <w:i/>
          <w:iCs/>
          <w:lang w:val="en-GB" w:eastAsia="en-GB"/>
        </w:rPr>
        <w:t xml:space="preserve"> versus specialized logic inference engine in General Game Playing</w:t>
      </w:r>
      <w:r w:rsidRPr="00726341">
        <w:rPr>
          <w:lang w:val="en-GB" w:eastAsia="en-GB"/>
        </w:rPr>
        <w:t xml:space="preserve">, pp. 1–8, Aug. 2014, </w:t>
      </w:r>
      <w:proofErr w:type="spellStart"/>
      <w:r w:rsidRPr="00726341">
        <w:rPr>
          <w:lang w:val="en-GB" w:eastAsia="en-GB"/>
        </w:rPr>
        <w:t>doi</w:t>
      </w:r>
      <w:proofErr w:type="spellEnd"/>
      <w:r w:rsidRPr="00726341">
        <w:rPr>
          <w:lang w:val="en-GB" w:eastAsia="en-GB"/>
        </w:rPr>
        <w:t>: https://doi.org/10.1109/cig.2014.6932864.</w:t>
      </w:r>
    </w:p>
    <w:p w14:paraId="40A26030" w14:textId="77777777" w:rsidR="005952C0" w:rsidRPr="00726341" w:rsidRDefault="005952C0" w:rsidP="005952C0">
      <w:pPr>
        <w:rPr>
          <w:lang w:val="en-GB" w:eastAsia="en-GB"/>
        </w:rPr>
      </w:pPr>
      <w:r w:rsidRPr="00726341">
        <w:rPr>
          <w:lang w:val="en-GB" w:eastAsia="en-GB"/>
        </w:rPr>
        <w:t>[14]</w:t>
      </w:r>
    </w:p>
    <w:p w14:paraId="3050EEF3" w14:textId="77777777" w:rsidR="005952C0" w:rsidRPr="00726341" w:rsidRDefault="005952C0" w:rsidP="005952C0">
      <w:pPr>
        <w:rPr>
          <w:lang w:val="en-GB" w:eastAsia="en-GB"/>
        </w:rPr>
      </w:pPr>
      <w:r w:rsidRPr="00726341">
        <w:rPr>
          <w:lang w:val="en-GB" w:eastAsia="en-GB"/>
        </w:rPr>
        <w:t xml:space="preserve">T. Fawcett, “An introduction to ROC analysis,” </w:t>
      </w:r>
      <w:r w:rsidRPr="00726341">
        <w:rPr>
          <w:i/>
          <w:iCs/>
          <w:lang w:val="en-GB" w:eastAsia="en-GB"/>
        </w:rPr>
        <w:t>Pattern Recognition Letters</w:t>
      </w:r>
      <w:r w:rsidRPr="00726341">
        <w:rPr>
          <w:lang w:val="en-GB" w:eastAsia="en-GB"/>
        </w:rPr>
        <w:t xml:space="preserve">, vol. 27, no. 8, pp. 861–874, Jun. 2006, </w:t>
      </w:r>
      <w:proofErr w:type="spellStart"/>
      <w:r w:rsidRPr="00726341">
        <w:rPr>
          <w:lang w:val="en-GB" w:eastAsia="en-GB"/>
        </w:rPr>
        <w:t>doi</w:t>
      </w:r>
      <w:proofErr w:type="spellEnd"/>
      <w:r w:rsidRPr="00726341">
        <w:rPr>
          <w:lang w:val="en-GB" w:eastAsia="en-GB"/>
        </w:rPr>
        <w:t>: https://doi.org/10.1016/j.patrec.2005.10.010.</w:t>
      </w:r>
    </w:p>
    <w:p w14:paraId="2BEBAE21" w14:textId="77777777" w:rsidR="005952C0" w:rsidRPr="00726341" w:rsidRDefault="005952C0" w:rsidP="005952C0">
      <w:pPr>
        <w:rPr>
          <w:lang w:val="en-GB" w:eastAsia="en-GB"/>
        </w:rPr>
      </w:pPr>
      <w:r w:rsidRPr="00726341">
        <w:rPr>
          <w:lang w:val="en-GB" w:eastAsia="en-GB"/>
        </w:rPr>
        <w:t>[15]</w:t>
      </w:r>
    </w:p>
    <w:p w14:paraId="0B83F744" w14:textId="77777777" w:rsidR="005952C0" w:rsidRPr="00726341" w:rsidRDefault="005952C0" w:rsidP="005952C0">
      <w:pPr>
        <w:rPr>
          <w:lang w:val="en-GB" w:eastAsia="en-GB"/>
        </w:rPr>
      </w:pPr>
      <w:r w:rsidRPr="00726341">
        <w:rPr>
          <w:lang w:val="en-GB" w:eastAsia="en-GB"/>
        </w:rPr>
        <w:t xml:space="preserve">D. M. W. Powers, “Evaluation: from precision, recall and F-measure to ROC, </w:t>
      </w:r>
      <w:proofErr w:type="spellStart"/>
      <w:r w:rsidRPr="00726341">
        <w:rPr>
          <w:lang w:val="en-GB" w:eastAsia="en-GB"/>
        </w:rPr>
        <w:t>informedness</w:t>
      </w:r>
      <w:proofErr w:type="spellEnd"/>
      <w:r w:rsidRPr="00726341">
        <w:rPr>
          <w:lang w:val="en-GB" w:eastAsia="en-GB"/>
        </w:rPr>
        <w:t xml:space="preserve">, markedness and correlation,” </w:t>
      </w:r>
      <w:r w:rsidRPr="00726341">
        <w:rPr>
          <w:i/>
          <w:iCs/>
          <w:lang w:val="en-GB" w:eastAsia="en-GB"/>
        </w:rPr>
        <w:t>arXiv:2010.16061 [cs, stat]</w:t>
      </w:r>
      <w:r w:rsidRPr="00726341">
        <w:rPr>
          <w:lang w:val="en-GB" w:eastAsia="en-GB"/>
        </w:rPr>
        <w:t>, Oct. 2020, Available: https://arxiv.org/abs/2010.16061</w:t>
      </w:r>
    </w:p>
    <w:p w14:paraId="60B1A5EC" w14:textId="77777777" w:rsidR="005952C0" w:rsidRPr="00726341" w:rsidRDefault="005952C0" w:rsidP="005952C0">
      <w:pPr>
        <w:rPr>
          <w:lang w:val="en-GB" w:eastAsia="en-GB"/>
        </w:rPr>
      </w:pPr>
      <w:r w:rsidRPr="00726341">
        <w:rPr>
          <w:lang w:val="en-GB" w:eastAsia="en-GB"/>
        </w:rPr>
        <w:t>[16]</w:t>
      </w:r>
    </w:p>
    <w:p w14:paraId="1A372DBF" w14:textId="77777777" w:rsidR="005952C0" w:rsidRPr="00726341" w:rsidRDefault="005952C0" w:rsidP="005952C0">
      <w:pPr>
        <w:rPr>
          <w:lang w:val="en-GB" w:eastAsia="en-GB"/>
        </w:rPr>
      </w:pPr>
      <w:r w:rsidRPr="00726341">
        <w:rPr>
          <w:lang w:val="en-GB" w:eastAsia="en-GB"/>
        </w:rPr>
        <w:t>Rabie El Kharoua, “</w:t>
      </w:r>
      <w:r w:rsidRPr="00726341">
        <w:rPr>
          <w:rFonts w:ascii="Segoe UI Emoji" w:hAnsi="Segoe UI Emoji" w:cs="Segoe UI Emoji"/>
          <w:lang w:val="en-GB" w:eastAsia="en-GB"/>
        </w:rPr>
        <w:t>🎮</w:t>
      </w:r>
      <w:r w:rsidRPr="00726341">
        <w:rPr>
          <w:lang w:val="en-GB" w:eastAsia="en-GB"/>
        </w:rPr>
        <w:t xml:space="preserve"> Predict Online Gaming </w:t>
      </w:r>
      <w:proofErr w:type="spellStart"/>
      <w:r w:rsidRPr="00726341">
        <w:rPr>
          <w:lang w:val="en-GB" w:eastAsia="en-GB"/>
        </w:rPr>
        <w:t>Behavior</w:t>
      </w:r>
      <w:proofErr w:type="spellEnd"/>
      <w:r w:rsidRPr="00726341">
        <w:rPr>
          <w:lang w:val="en-GB" w:eastAsia="en-GB"/>
        </w:rPr>
        <w:t xml:space="preserve"> Dataset,” </w:t>
      </w:r>
      <w:r w:rsidRPr="00726341">
        <w:rPr>
          <w:i/>
          <w:iCs/>
          <w:lang w:val="en-GB" w:eastAsia="en-GB"/>
        </w:rPr>
        <w:t>Kaggle.com</w:t>
      </w:r>
      <w:r w:rsidRPr="00726341">
        <w:rPr>
          <w:lang w:val="en-GB" w:eastAsia="en-GB"/>
        </w:rPr>
        <w:t>, 2024. https://www.kaggle.com/datasets/rabieelkharoua/predict-online-gaming-behavior-dataset?resource=download</w:t>
      </w:r>
    </w:p>
    <w:p w14:paraId="51E2B826" w14:textId="77777777" w:rsidR="005952C0" w:rsidRPr="00726341" w:rsidRDefault="005952C0" w:rsidP="005952C0">
      <w:pPr>
        <w:rPr>
          <w:lang w:val="en-GB" w:eastAsia="en-GB"/>
        </w:rPr>
      </w:pPr>
      <w:r w:rsidRPr="00726341">
        <w:rPr>
          <w:lang w:val="en-GB" w:eastAsia="en-GB"/>
        </w:rPr>
        <w:t>[17]</w:t>
      </w:r>
    </w:p>
    <w:p w14:paraId="01BF79C0" w14:textId="77777777" w:rsidR="005952C0" w:rsidRPr="00726341" w:rsidRDefault="005952C0" w:rsidP="005952C0">
      <w:pPr>
        <w:rPr>
          <w:lang w:val="en-GB" w:eastAsia="en-GB"/>
        </w:rPr>
      </w:pPr>
      <w:r w:rsidRPr="00726341">
        <w:rPr>
          <w:lang w:val="en-GB" w:eastAsia="en-GB"/>
        </w:rPr>
        <w:t>T. Mitchell, “Machine Learning,” 1997. Available: https://www.cs.cmu.edu/~tom/files/MachineLearningTomMitchell.pdf</w:t>
      </w:r>
    </w:p>
    <w:p w14:paraId="29AE7C77" w14:textId="77777777" w:rsidR="005952C0" w:rsidRPr="00726341" w:rsidRDefault="005952C0" w:rsidP="005952C0">
      <w:pPr>
        <w:rPr>
          <w:lang w:val="en-GB" w:eastAsia="en-GB"/>
        </w:rPr>
      </w:pPr>
      <w:r w:rsidRPr="00726341">
        <w:rPr>
          <w:lang w:val="en-GB" w:eastAsia="en-GB"/>
        </w:rPr>
        <w:t>[18]</w:t>
      </w:r>
    </w:p>
    <w:p w14:paraId="25E9A02D" w14:textId="77777777" w:rsidR="005952C0" w:rsidRPr="00726341" w:rsidRDefault="005952C0" w:rsidP="005952C0">
      <w:pPr>
        <w:rPr>
          <w:lang w:val="en-GB" w:eastAsia="en-GB"/>
        </w:rPr>
      </w:pPr>
      <w:r w:rsidRPr="00726341">
        <w:rPr>
          <w:lang w:val="en-GB" w:eastAsia="en-GB"/>
        </w:rPr>
        <w:t xml:space="preserve">“2.3. Clustering,” </w:t>
      </w:r>
      <w:r w:rsidRPr="00726341">
        <w:rPr>
          <w:i/>
          <w:iCs/>
          <w:lang w:val="en-GB" w:eastAsia="en-GB"/>
        </w:rPr>
        <w:t>scikit-learn</w:t>
      </w:r>
      <w:r w:rsidRPr="00726341">
        <w:rPr>
          <w:lang w:val="en-GB" w:eastAsia="en-GB"/>
        </w:rPr>
        <w:t>. https://scikit-learn.org/stable/modules/clustering.html#silhouette-coefficient</w:t>
      </w:r>
    </w:p>
    <w:p w14:paraId="0EB298A5" w14:textId="77777777" w:rsidR="005952C0" w:rsidRPr="00BE1CEB" w:rsidRDefault="005952C0" w:rsidP="005952C0">
      <w:pPr>
        <w:rPr>
          <w:lang w:val="en-GB" w:eastAsia="en-GB"/>
        </w:rPr>
      </w:pPr>
    </w:p>
    <w:p w14:paraId="7496B18D" w14:textId="77777777" w:rsidR="005952C0" w:rsidRPr="00BE1CEB" w:rsidRDefault="005952C0" w:rsidP="005952C0">
      <w:pPr>
        <w:rPr>
          <w:lang w:val="en-GB" w:eastAsia="en-GB"/>
        </w:rPr>
      </w:pPr>
    </w:p>
    <w:p w14:paraId="54267697" w14:textId="77777777" w:rsidR="005952C0" w:rsidRDefault="005952C0" w:rsidP="005952C0">
      <w:pPr>
        <w:rPr>
          <w:lang w:val="en-GB" w:eastAsia="en-GB"/>
        </w:rPr>
      </w:pPr>
    </w:p>
    <w:p w14:paraId="62A06F2C" w14:textId="77777777" w:rsidR="005952C0" w:rsidRPr="00EE1AC0" w:rsidRDefault="005952C0" w:rsidP="005952C0">
      <w:pPr>
        <w:rPr>
          <w:lang w:val="en-GB" w:eastAsia="en-GB"/>
        </w:rPr>
      </w:pPr>
    </w:p>
    <w:p w14:paraId="3FD5CF8A" w14:textId="77777777" w:rsidR="005952C0" w:rsidRPr="00EE1AC0" w:rsidRDefault="005952C0" w:rsidP="005952C0">
      <w:pPr>
        <w:rPr>
          <w:lang w:val="en-GB" w:eastAsia="en-GB"/>
        </w:rPr>
      </w:pPr>
    </w:p>
    <w:p w14:paraId="0887B1D6" w14:textId="77777777" w:rsidR="005952C0" w:rsidRPr="00EE1AC0" w:rsidRDefault="005952C0" w:rsidP="005952C0">
      <w:pPr>
        <w:pStyle w:val="TOCHeading"/>
      </w:pPr>
    </w:p>
    <w:p w14:paraId="58BE03E8" w14:textId="77777777" w:rsidR="005952C0" w:rsidRPr="00973080" w:rsidRDefault="005952C0" w:rsidP="005952C0">
      <w:pPr>
        <w:pStyle w:val="TOCHeading"/>
      </w:pPr>
    </w:p>
    <w:p w14:paraId="0CA8B8B8" w14:textId="77777777" w:rsidR="005952C0" w:rsidRPr="00C629F1" w:rsidRDefault="005952C0" w:rsidP="005952C0">
      <w:pPr>
        <w:pStyle w:val="TOCHeading"/>
      </w:pPr>
    </w:p>
    <w:p w14:paraId="3FC331BA" w14:textId="77777777" w:rsidR="005952C0" w:rsidRPr="002505EA" w:rsidRDefault="005952C0" w:rsidP="005952C0">
      <w:pPr>
        <w:pStyle w:val="TOCHeading"/>
      </w:pPr>
    </w:p>
    <w:p w14:paraId="3E577FF7" w14:textId="77777777" w:rsidR="005952C0" w:rsidRPr="00D21666" w:rsidRDefault="005952C0" w:rsidP="005952C0">
      <w:pPr>
        <w:pStyle w:val="TOCHeading"/>
      </w:pPr>
    </w:p>
    <w:p w14:paraId="3A56DBC7" w14:textId="77777777" w:rsidR="005952C0" w:rsidRDefault="005952C0" w:rsidP="00D366E2">
      <w:pPr>
        <w:rPr>
          <w:lang w:val="en-GB" w:eastAsia="en-GB"/>
        </w:rPr>
      </w:pPr>
    </w:p>
    <w:p w14:paraId="05E5ED21" w14:textId="77777777" w:rsidR="00D366E2" w:rsidRPr="00D366E2" w:rsidRDefault="00D366E2" w:rsidP="00D366E2">
      <w:pPr>
        <w:rPr>
          <w:lang w:val="en-GB" w:eastAsia="en-GB"/>
        </w:rPr>
      </w:pPr>
    </w:p>
    <w:p w14:paraId="2D3E3E92" w14:textId="77777777" w:rsidR="00D366E2" w:rsidRDefault="00D366E2" w:rsidP="00AD0497">
      <w:pPr>
        <w:rPr>
          <w:lang w:val="en-GB" w:eastAsia="en-GB"/>
        </w:rPr>
      </w:pPr>
    </w:p>
    <w:p w14:paraId="0D75A8C7" w14:textId="77777777" w:rsidR="00D47662" w:rsidRDefault="00D47662" w:rsidP="00AD0497">
      <w:pPr>
        <w:rPr>
          <w:lang w:val="en-GB" w:eastAsia="en-GB"/>
        </w:rPr>
      </w:pPr>
    </w:p>
    <w:p w14:paraId="5296DDF7" w14:textId="77777777" w:rsidR="00D47662" w:rsidRPr="00AD0497" w:rsidRDefault="00D47662" w:rsidP="00AD0497">
      <w:pPr>
        <w:rPr>
          <w:lang w:val="en-GB" w:eastAsia="en-GB"/>
        </w:rPr>
      </w:pPr>
    </w:p>
    <w:p w14:paraId="61E88531" w14:textId="77777777" w:rsidR="00AD0497" w:rsidRPr="00AD0497" w:rsidRDefault="00AD0497" w:rsidP="00AD0497">
      <w:pPr>
        <w:rPr>
          <w:lang w:val="en-GB" w:eastAsia="en-GB"/>
        </w:rPr>
      </w:pPr>
    </w:p>
    <w:p w14:paraId="28FED004" w14:textId="77777777" w:rsidR="00AD0497" w:rsidRPr="00AD0497" w:rsidRDefault="00AD0497" w:rsidP="00AD0497">
      <w:pPr>
        <w:rPr>
          <w:lang w:val="en-GB" w:eastAsia="en-GB"/>
        </w:rPr>
      </w:pPr>
    </w:p>
    <w:p w14:paraId="4B69CD01" w14:textId="77777777" w:rsidR="00AD0497" w:rsidRPr="00AD0497" w:rsidRDefault="00AD0497" w:rsidP="00AD0497">
      <w:pPr>
        <w:rPr>
          <w:lang w:val="en-GB" w:eastAsia="en-GB"/>
        </w:rPr>
      </w:pPr>
    </w:p>
    <w:p w14:paraId="3B105B34" w14:textId="182DAD1D" w:rsidR="0048120C" w:rsidRPr="00D21666" w:rsidRDefault="0048120C" w:rsidP="00D21666">
      <w:pPr>
        <w:pStyle w:val="TOCHeading"/>
      </w:pPr>
    </w:p>
    <w:sectPr w:rsidR="0048120C" w:rsidRPr="00D21666" w:rsidSect="00CD7613">
      <w:footerReference w:type="even" r:id="rId11"/>
      <w:footerReference w:type="default" r:id="rId12"/>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DDB74" w14:textId="77777777" w:rsidR="00260960" w:rsidRDefault="00260960" w:rsidP="00E74B29">
      <w:r>
        <w:separator/>
      </w:r>
    </w:p>
  </w:endnote>
  <w:endnote w:type="continuationSeparator" w:id="0">
    <w:p w14:paraId="7B64ACA4" w14:textId="77777777" w:rsidR="00260960" w:rsidRDefault="00260960"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egoe UI Emoji">
    <w:panose1 w:val="020B0502040204020203"/>
    <w:charset w:val="00"/>
    <w:family w:val="swiss"/>
    <w:pitch w:val="variable"/>
    <w:sig w:usb0="00000003" w:usb1="02000000" w:usb2="08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936648"/>
      <w:docPartObj>
        <w:docPartGallery w:val="Page Numbers (Bottom of Page)"/>
        <w:docPartUnique/>
      </w:docPartObj>
    </w:sdtPr>
    <w:sdtContent>
      <w:p w14:paraId="17B7E9B5"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058D8785"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CE3E4"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45E97573" w14:textId="77777777" w:rsidTr="006709F1">
      <w:tc>
        <w:tcPr>
          <w:tcW w:w="1079" w:type="dxa"/>
        </w:tcPr>
        <w:p w14:paraId="754F961D" w14:textId="77777777" w:rsidR="00E74B29" w:rsidRPr="00E74B29" w:rsidRDefault="00E74B29" w:rsidP="006709F1">
          <w:pPr>
            <w:pStyle w:val="Footer"/>
          </w:pPr>
        </w:p>
      </w:tc>
      <w:tc>
        <w:tcPr>
          <w:tcW w:w="5395" w:type="dxa"/>
        </w:tcPr>
        <w:p w14:paraId="093ED325" w14:textId="2CB9F1CA" w:rsidR="00E74B29" w:rsidRPr="00874FE7" w:rsidRDefault="009F5FEC" w:rsidP="006709F1">
          <w:pPr>
            <w:pStyle w:val="Footer"/>
          </w:pPr>
          <w:r>
            <w:t>Independent Project - Proposal</w:t>
          </w:r>
        </w:p>
      </w:tc>
      <w:tc>
        <w:tcPr>
          <w:tcW w:w="3237" w:type="dxa"/>
        </w:tcPr>
        <w:sdt>
          <w:sdtPr>
            <w:rPr>
              <w:rStyle w:val="PageNumber"/>
            </w:rPr>
            <w:id w:val="-1206949233"/>
            <w:docPartObj>
              <w:docPartGallery w:val="Page Numbers (Bottom of Page)"/>
              <w:docPartUnique/>
            </w:docPartObj>
          </w:sdtPr>
          <w:sdtContent>
            <w:p w14:paraId="4A36E89D"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9" w:type="dxa"/>
        </w:tcPr>
        <w:p w14:paraId="3786B563" w14:textId="77777777" w:rsidR="00E74B29" w:rsidRPr="00E74B29" w:rsidRDefault="00E74B29" w:rsidP="006709F1">
          <w:pPr>
            <w:pStyle w:val="Footer"/>
          </w:pPr>
        </w:p>
      </w:tc>
    </w:tr>
  </w:tbl>
  <w:p w14:paraId="284B987E"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A81DC" w14:textId="77777777" w:rsidR="00260960" w:rsidRDefault="00260960" w:rsidP="00E74B29">
      <w:r>
        <w:separator/>
      </w:r>
    </w:p>
  </w:footnote>
  <w:footnote w:type="continuationSeparator" w:id="0">
    <w:p w14:paraId="60B0D8F0" w14:textId="77777777" w:rsidR="00260960" w:rsidRDefault="00260960"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25011"/>
    <w:multiLevelType w:val="hybridMultilevel"/>
    <w:tmpl w:val="C2001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0AB0237"/>
    <w:multiLevelType w:val="multilevel"/>
    <w:tmpl w:val="D86E6B18"/>
    <w:lvl w:ilvl="0">
      <w:start w:val="7"/>
      <w:numFmt w:val="decimal"/>
      <w:lvlText w:val="%1."/>
      <w:lvlJc w:val="left"/>
      <w:pPr>
        <w:ind w:left="720" w:hanging="360"/>
      </w:pPr>
      <w:rPr>
        <w:rFonts w:hint="default"/>
        <w:b/>
        <w:u w:val="single"/>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0AB594F"/>
    <w:multiLevelType w:val="hybridMultilevel"/>
    <w:tmpl w:val="0282AFF4"/>
    <w:lvl w:ilvl="0" w:tplc="34A882E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24578"/>
    <w:multiLevelType w:val="multilevel"/>
    <w:tmpl w:val="D86E6B18"/>
    <w:styleLink w:val="CurrentList1"/>
    <w:lvl w:ilvl="0">
      <w:start w:val="7"/>
      <w:numFmt w:val="decimal"/>
      <w:lvlText w:val="%1."/>
      <w:lvlJc w:val="left"/>
      <w:pPr>
        <w:ind w:left="720" w:hanging="360"/>
      </w:pPr>
      <w:rPr>
        <w:rFonts w:hint="default"/>
        <w:b/>
        <w:u w:val="single"/>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D3D26D0"/>
    <w:multiLevelType w:val="multilevel"/>
    <w:tmpl w:val="B5142DEC"/>
    <w:lvl w:ilvl="0">
      <w:start w:val="1"/>
      <w:numFmt w:val="decimal"/>
      <w:pStyle w:val="Style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A71146A"/>
    <w:multiLevelType w:val="hybridMultilevel"/>
    <w:tmpl w:val="05200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7721078">
    <w:abstractNumId w:val="1"/>
  </w:num>
  <w:num w:numId="2" w16cid:durableId="1049917405">
    <w:abstractNumId w:val="5"/>
  </w:num>
  <w:num w:numId="3" w16cid:durableId="645203296">
    <w:abstractNumId w:val="2"/>
  </w:num>
  <w:num w:numId="4" w16cid:durableId="1160268794">
    <w:abstractNumId w:val="0"/>
  </w:num>
  <w:num w:numId="5" w16cid:durableId="1291666298">
    <w:abstractNumId w:val="4"/>
  </w:num>
  <w:num w:numId="6" w16cid:durableId="769206751">
    <w:abstractNumId w:val="3"/>
  </w:num>
  <w:num w:numId="7" w16cid:durableId="21448837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EC"/>
    <w:rsid w:val="00047DEA"/>
    <w:rsid w:val="00086FA5"/>
    <w:rsid w:val="000913BF"/>
    <w:rsid w:val="000D7D68"/>
    <w:rsid w:val="000E4641"/>
    <w:rsid w:val="00122ECF"/>
    <w:rsid w:val="00151F66"/>
    <w:rsid w:val="00177F8D"/>
    <w:rsid w:val="00185F4A"/>
    <w:rsid w:val="001A7234"/>
    <w:rsid w:val="001D6B73"/>
    <w:rsid w:val="00237376"/>
    <w:rsid w:val="00260960"/>
    <w:rsid w:val="00273B15"/>
    <w:rsid w:val="00290996"/>
    <w:rsid w:val="002D2200"/>
    <w:rsid w:val="002D7F86"/>
    <w:rsid w:val="002E288C"/>
    <w:rsid w:val="00333ED4"/>
    <w:rsid w:val="0040564B"/>
    <w:rsid w:val="004152A1"/>
    <w:rsid w:val="00440D03"/>
    <w:rsid w:val="0048120C"/>
    <w:rsid w:val="0048404D"/>
    <w:rsid w:val="004909D9"/>
    <w:rsid w:val="004B1FC7"/>
    <w:rsid w:val="00521481"/>
    <w:rsid w:val="00564639"/>
    <w:rsid w:val="005952C0"/>
    <w:rsid w:val="005E3497"/>
    <w:rsid w:val="0060191D"/>
    <w:rsid w:val="006450A9"/>
    <w:rsid w:val="00665110"/>
    <w:rsid w:val="006709F1"/>
    <w:rsid w:val="006C60E6"/>
    <w:rsid w:val="006D44A5"/>
    <w:rsid w:val="007B0301"/>
    <w:rsid w:val="00837914"/>
    <w:rsid w:val="00874EE2"/>
    <w:rsid w:val="00874FE7"/>
    <w:rsid w:val="00875574"/>
    <w:rsid w:val="00883F8A"/>
    <w:rsid w:val="008A1F53"/>
    <w:rsid w:val="008F6C7E"/>
    <w:rsid w:val="009245D4"/>
    <w:rsid w:val="009417D7"/>
    <w:rsid w:val="009475AA"/>
    <w:rsid w:val="00952F7D"/>
    <w:rsid w:val="0095496A"/>
    <w:rsid w:val="009633BA"/>
    <w:rsid w:val="009A38BA"/>
    <w:rsid w:val="009E345C"/>
    <w:rsid w:val="009F5FEC"/>
    <w:rsid w:val="00A11A7B"/>
    <w:rsid w:val="00A16275"/>
    <w:rsid w:val="00A8782D"/>
    <w:rsid w:val="00AD0497"/>
    <w:rsid w:val="00B43E11"/>
    <w:rsid w:val="00B93CBA"/>
    <w:rsid w:val="00BB0BD1"/>
    <w:rsid w:val="00C755AB"/>
    <w:rsid w:val="00C772CE"/>
    <w:rsid w:val="00CB1AD4"/>
    <w:rsid w:val="00CD7613"/>
    <w:rsid w:val="00D02B84"/>
    <w:rsid w:val="00D06B37"/>
    <w:rsid w:val="00D21666"/>
    <w:rsid w:val="00D366E2"/>
    <w:rsid w:val="00D42815"/>
    <w:rsid w:val="00D43125"/>
    <w:rsid w:val="00D47662"/>
    <w:rsid w:val="00D66A3A"/>
    <w:rsid w:val="00DB3EF5"/>
    <w:rsid w:val="00DF198B"/>
    <w:rsid w:val="00E0436E"/>
    <w:rsid w:val="00E40933"/>
    <w:rsid w:val="00E74B29"/>
    <w:rsid w:val="00EB41B1"/>
    <w:rsid w:val="00F50791"/>
    <w:rsid w:val="00FB2F1A"/>
    <w:rsid w:val="00FC4589"/>
    <w:rsid w:val="00FD06F6"/>
    <w:rsid w:val="00FD3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E9FAA"/>
  <w15:chartTrackingRefBased/>
  <w15:docId w15:val="{7D06DA15-4CCE-463F-B601-829D1D56F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290996"/>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link w:val="ListParagraphChar"/>
    <w:uiPriority w:val="34"/>
    <w:qFormat/>
    <w:rsid w:val="00D42815"/>
    <w:pPr>
      <w:ind w:left="720"/>
      <w:contextualSpacing/>
    </w:pPr>
  </w:style>
  <w:style w:type="numbering" w:customStyle="1" w:styleId="CurrentList1">
    <w:name w:val="Current List1"/>
    <w:uiPriority w:val="99"/>
    <w:rsid w:val="00122ECF"/>
    <w:pPr>
      <w:numPr>
        <w:numId w:val="5"/>
      </w:numPr>
    </w:pPr>
  </w:style>
  <w:style w:type="paragraph" w:styleId="TOCHeading">
    <w:name w:val="TOC Heading"/>
    <w:basedOn w:val="Heading1"/>
    <w:next w:val="Normal"/>
    <w:uiPriority w:val="39"/>
    <w:unhideWhenUsed/>
    <w:qFormat/>
    <w:rsid w:val="009245D4"/>
    <w:pPr>
      <w:keepNext/>
      <w:keepLines/>
      <w:spacing w:before="240" w:line="259" w:lineRule="auto"/>
      <w:jc w:val="left"/>
      <w:outlineLvl w:val="9"/>
    </w:pPr>
    <w:rPr>
      <w:rFonts w:eastAsiaTheme="majorEastAsia" w:cstheme="majorBidi"/>
      <w:b w:val="0"/>
      <w:color w:val="35484C" w:themeColor="accent1" w:themeShade="BF"/>
      <w:sz w:val="32"/>
      <w:szCs w:val="32"/>
      <w:lang w:val="en-GB" w:eastAsia="en-GB"/>
    </w:rPr>
  </w:style>
  <w:style w:type="paragraph" w:styleId="TOC1">
    <w:name w:val="toc 1"/>
    <w:basedOn w:val="Normal"/>
    <w:next w:val="Normal"/>
    <w:autoRedefine/>
    <w:uiPriority w:val="39"/>
    <w:rsid w:val="009245D4"/>
    <w:pPr>
      <w:spacing w:after="100"/>
    </w:pPr>
  </w:style>
  <w:style w:type="paragraph" w:styleId="TOC2">
    <w:name w:val="toc 2"/>
    <w:basedOn w:val="Normal"/>
    <w:next w:val="Normal"/>
    <w:autoRedefine/>
    <w:uiPriority w:val="39"/>
    <w:rsid w:val="009245D4"/>
    <w:pPr>
      <w:spacing w:after="100"/>
      <w:ind w:left="240"/>
    </w:pPr>
  </w:style>
  <w:style w:type="paragraph" w:styleId="TOC3">
    <w:name w:val="toc 3"/>
    <w:basedOn w:val="Normal"/>
    <w:next w:val="Normal"/>
    <w:autoRedefine/>
    <w:uiPriority w:val="39"/>
    <w:rsid w:val="009245D4"/>
    <w:pPr>
      <w:spacing w:after="100"/>
      <w:ind w:left="480"/>
    </w:pPr>
  </w:style>
  <w:style w:type="character" w:styleId="Hyperlink">
    <w:name w:val="Hyperlink"/>
    <w:basedOn w:val="DefaultParagraphFont"/>
    <w:uiPriority w:val="99"/>
    <w:unhideWhenUsed/>
    <w:rsid w:val="009245D4"/>
    <w:rPr>
      <w:color w:val="0000FF" w:themeColor="hyperlink"/>
      <w:u w:val="single"/>
    </w:rPr>
  </w:style>
  <w:style w:type="paragraph" w:customStyle="1" w:styleId="Style1">
    <w:name w:val="Style1"/>
    <w:basedOn w:val="ListParagraph"/>
    <w:link w:val="Style1Char"/>
    <w:uiPriority w:val="7"/>
    <w:qFormat/>
    <w:rsid w:val="00883F8A"/>
    <w:pPr>
      <w:numPr>
        <w:numId w:val="2"/>
      </w:numPr>
    </w:pPr>
    <w:rPr>
      <w:b/>
      <w:bCs/>
      <w:u w:val="single"/>
    </w:rPr>
  </w:style>
  <w:style w:type="character" w:customStyle="1" w:styleId="ListParagraphChar">
    <w:name w:val="List Paragraph Char"/>
    <w:basedOn w:val="DefaultParagraphFont"/>
    <w:link w:val="ListParagraph"/>
    <w:uiPriority w:val="34"/>
    <w:rsid w:val="00883F8A"/>
  </w:style>
  <w:style w:type="character" w:customStyle="1" w:styleId="Style1Char">
    <w:name w:val="Style1 Char"/>
    <w:basedOn w:val="ListParagraphChar"/>
    <w:link w:val="Style1"/>
    <w:uiPriority w:val="7"/>
    <w:rsid w:val="00883F8A"/>
    <w:rPr>
      <w:b/>
      <w:bCs/>
      <w:u w:val="single"/>
    </w:rPr>
  </w:style>
  <w:style w:type="paragraph" w:customStyle="1" w:styleId="Style2">
    <w:name w:val="Style2"/>
    <w:basedOn w:val="Normal"/>
    <w:link w:val="Style2Char"/>
    <w:uiPriority w:val="7"/>
    <w:qFormat/>
    <w:rsid w:val="00883F8A"/>
    <w:rPr>
      <w:u w:val="single"/>
    </w:rPr>
  </w:style>
  <w:style w:type="character" w:customStyle="1" w:styleId="Style2Char">
    <w:name w:val="Style2 Char"/>
    <w:basedOn w:val="DefaultParagraphFont"/>
    <w:link w:val="Style2"/>
    <w:uiPriority w:val="7"/>
    <w:rsid w:val="00883F8A"/>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F8678822EE44E1AB037ABF22F4F4231"/>
        <w:category>
          <w:name w:val="General"/>
          <w:gallery w:val="placeholder"/>
        </w:category>
        <w:types>
          <w:type w:val="bbPlcHdr"/>
        </w:types>
        <w:behaviors>
          <w:behavior w:val="content"/>
        </w:behaviors>
        <w:guid w:val="{3483DDC2-7DAA-454F-81C7-DEB6C0226ED7}"/>
      </w:docPartPr>
      <w:docPartBody>
        <w:p w:rsidR="00E165A4" w:rsidRDefault="00E165A4">
          <w:pPr>
            <w:pStyle w:val="8F8678822EE44E1AB037ABF22F4F4231"/>
          </w:pPr>
          <w:r w:rsidRPr="008F6C7E">
            <w:rPr>
              <w:lang w:bidi="en-GB"/>
            </w:rPr>
            <w:t>—</w:t>
          </w:r>
        </w:p>
      </w:docPartBody>
    </w:docPart>
    <w:docPart>
      <w:docPartPr>
        <w:name w:val="EDFC1A148B81488E898B4E2C4C5B4440"/>
        <w:category>
          <w:name w:val="General"/>
          <w:gallery w:val="placeholder"/>
        </w:category>
        <w:types>
          <w:type w:val="bbPlcHdr"/>
        </w:types>
        <w:behaviors>
          <w:behavior w:val="content"/>
        </w:behaviors>
        <w:guid w:val="{840E386E-E226-4710-9DD3-B2D45343D327}"/>
      </w:docPartPr>
      <w:docPartBody>
        <w:p w:rsidR="00E165A4" w:rsidRDefault="00E165A4">
          <w:pPr>
            <w:pStyle w:val="EDFC1A148B81488E898B4E2C4C5B4440"/>
          </w:pPr>
          <w:r w:rsidRPr="008F6C7E">
            <w:rPr>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egoe UI Emoji">
    <w:panose1 w:val="020B0502040204020203"/>
    <w:charset w:val="00"/>
    <w:family w:val="swiss"/>
    <w:pitch w:val="variable"/>
    <w:sig w:usb0="00000003" w:usb1="02000000" w:usb2="08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5A4"/>
    <w:rsid w:val="00273B15"/>
    <w:rsid w:val="00286A5F"/>
    <w:rsid w:val="004B1FC7"/>
    <w:rsid w:val="004C1CB3"/>
    <w:rsid w:val="00654172"/>
    <w:rsid w:val="00865DE1"/>
    <w:rsid w:val="00A8782D"/>
    <w:rsid w:val="00CB1AD4"/>
    <w:rsid w:val="00E0436E"/>
    <w:rsid w:val="00E16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8678822EE44E1AB037ABF22F4F4231">
    <w:name w:val="8F8678822EE44E1AB037ABF22F4F4231"/>
  </w:style>
  <w:style w:type="paragraph" w:customStyle="1" w:styleId="EDFC1A148B81488E898B4E2C4C5B4440">
    <w:name w:val="EDFC1A148B81488E898B4E2C4C5B44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47</TotalTime>
  <Pages>8</Pages>
  <Words>2629</Words>
  <Characters>14987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Rowlands</dc:creator>
  <cp:keywords/>
  <dc:description/>
  <cp:lastModifiedBy>William Rowlands</cp:lastModifiedBy>
  <cp:revision>4</cp:revision>
  <dcterms:created xsi:type="dcterms:W3CDTF">2025-12-06T12:16:00Z</dcterms:created>
  <dcterms:modified xsi:type="dcterms:W3CDTF">2025-12-07T20:32:00Z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