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jc w:val="both"/>
        <w:rPr>
          <w:rFonts w:ascii="Times New Roman" w:hAnsi="Times New Roman" w:cs="Times New Roman"/>
          <w:sz w:val="24"/>
          <w:szCs w:val="24"/>
        </w:rPr>
      </w:pPr>
      <w:r>
        <w:rPr>
          <w:rFonts w:ascii="宋体" w:hAnsi="宋体" w:eastAsia="宋体" w:cs="宋体"/>
          <w:sz w:val="24"/>
          <w:szCs w:val="24"/>
        </w:rPr>
        <w:drawing>
          <wp:inline distT="0" distB="0" distL="114300" distR="114300">
            <wp:extent cx="2219325" cy="889635"/>
            <wp:effectExtent l="0" t="0" r="3175" b="12065"/>
            <wp:docPr id="7"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IMG_256"/>
                    <pic:cNvPicPr>
                      <a:picLocks noChangeAspect="1"/>
                    </pic:cNvPicPr>
                  </pic:nvPicPr>
                  <pic:blipFill>
                    <a:blip r:embed="rId7"/>
                    <a:stretch>
                      <a:fillRect/>
                    </a:stretch>
                  </pic:blipFill>
                  <pic:spPr>
                    <a:xfrm>
                      <a:off x="0" y="0"/>
                      <a:ext cx="2219325" cy="889635"/>
                    </a:xfrm>
                    <a:prstGeom prst="rect">
                      <a:avLst/>
                    </a:prstGeom>
                    <a:noFill/>
                    <a:ln w="9525">
                      <a:noFill/>
                    </a:ln>
                  </pic:spPr>
                </pic:pic>
              </a:graphicData>
            </a:graphic>
          </wp:inline>
        </w:drawing>
      </w:r>
    </w:p>
    <w:p>
      <w:pPr>
        <w:spacing w:line="480" w:lineRule="auto"/>
        <w:jc w:val="center"/>
        <w:rPr>
          <w:rFonts w:ascii="Times New Roman" w:hAnsi="Times New Roman" w:cs="Times New Roman"/>
          <w:b/>
          <w:bCs/>
          <w:sz w:val="52"/>
          <w:szCs w:val="52"/>
        </w:rPr>
      </w:pPr>
      <w:r>
        <w:rPr>
          <w:rFonts w:ascii="Times New Roman" w:hAnsi="Times New Roman" w:cs="Times New Roman"/>
          <w:b/>
          <w:bCs/>
          <w:sz w:val="52"/>
          <w:szCs w:val="52"/>
        </w:rPr>
        <w:t>Strategic Management: A Case of Unilever</w:t>
      </w:r>
    </w:p>
    <w:p>
      <w:pPr>
        <w:spacing w:line="480" w:lineRule="auto"/>
        <w:jc w:val="center"/>
        <w:rPr>
          <w:rFonts w:ascii="Times New Roman" w:hAnsi="Times New Roman" w:cs="Times New Roman"/>
          <w:sz w:val="30"/>
          <w:szCs w:val="30"/>
        </w:rPr>
      </w:pPr>
    </w:p>
    <w:p>
      <w:pPr>
        <w:spacing w:line="480" w:lineRule="auto"/>
        <w:jc w:val="center"/>
        <w:rPr>
          <w:rFonts w:hint="eastAsia" w:ascii="Times New Roman" w:hAnsi="Times New Roman" w:eastAsia="宋体" w:cs="Times New Roman"/>
          <w:sz w:val="30"/>
          <w:szCs w:val="30"/>
          <w:lang w:val="en-US" w:eastAsia="zh-CN"/>
        </w:rPr>
      </w:pPr>
      <w:r>
        <w:rPr>
          <w:rFonts w:hint="eastAsia" w:ascii="Times New Roman" w:hAnsi="Times New Roman" w:eastAsia="宋体" w:cs="Times New Roman"/>
          <w:sz w:val="30"/>
          <w:szCs w:val="30"/>
          <w:lang w:val="en-US" w:eastAsia="zh-CN"/>
        </w:rPr>
        <w:t>Student n</w:t>
      </w:r>
      <w:r>
        <w:rPr>
          <w:rFonts w:ascii="Times New Roman" w:hAnsi="Times New Roman" w:cs="Times New Roman"/>
          <w:sz w:val="30"/>
          <w:szCs w:val="30"/>
        </w:rPr>
        <w:t>ame:</w:t>
      </w:r>
      <w:r>
        <w:rPr>
          <w:rFonts w:hint="eastAsia" w:ascii="Times New Roman" w:hAnsi="Times New Roman" w:eastAsia="宋体" w:cs="Times New Roman"/>
          <w:sz w:val="30"/>
          <w:szCs w:val="30"/>
          <w:lang w:val="en-US" w:eastAsia="zh-CN"/>
        </w:rPr>
        <w:t xml:space="preserve"> Yifan Liu</w:t>
      </w:r>
    </w:p>
    <w:p>
      <w:pPr>
        <w:spacing w:line="480" w:lineRule="auto"/>
        <w:jc w:val="center"/>
        <w:rPr>
          <w:rFonts w:hint="default" w:ascii="Times New Roman" w:hAnsi="Times New Roman" w:eastAsia="宋体" w:cs="Times New Roman"/>
          <w:sz w:val="30"/>
          <w:szCs w:val="30"/>
          <w:lang w:val="en-US" w:eastAsia="zh-CN"/>
        </w:rPr>
      </w:pPr>
      <w:r>
        <w:rPr>
          <w:rFonts w:hint="eastAsia" w:ascii="Times New Roman" w:hAnsi="Times New Roman" w:eastAsia="宋体" w:cs="Times New Roman"/>
          <w:sz w:val="30"/>
          <w:szCs w:val="30"/>
          <w:lang w:val="en-US" w:eastAsia="zh-CN"/>
        </w:rPr>
        <w:t>Student number:2206060</w:t>
      </w:r>
    </w:p>
    <w:p>
      <w:pPr>
        <w:spacing w:line="480" w:lineRule="auto"/>
        <w:jc w:val="center"/>
        <w:rPr>
          <w:rFonts w:hint="default" w:ascii="Times New Roman" w:hAnsi="Times New Roman" w:eastAsia="宋体" w:cs="Times New Roman"/>
          <w:sz w:val="30"/>
          <w:szCs w:val="30"/>
          <w:lang w:val="en-US" w:eastAsia="zh-CN"/>
        </w:rPr>
      </w:pPr>
      <w:r>
        <w:rPr>
          <w:rFonts w:ascii="Times New Roman" w:hAnsi="Times New Roman" w:cs="Times New Roman"/>
          <w:sz w:val="30"/>
          <w:szCs w:val="30"/>
        </w:rPr>
        <w:t>Tutor:Glenn</w:t>
      </w:r>
      <w:r>
        <w:rPr>
          <w:rFonts w:hint="eastAsia" w:ascii="Times New Roman" w:hAnsi="Times New Roman" w:eastAsia="宋体" w:cs="Times New Roman"/>
          <w:sz w:val="30"/>
          <w:szCs w:val="30"/>
          <w:lang w:val="en-US" w:eastAsia="zh-CN"/>
        </w:rPr>
        <w:t xml:space="preserve"> Behenna</w:t>
      </w:r>
    </w:p>
    <w:p>
      <w:pPr>
        <w:spacing w:line="480" w:lineRule="auto"/>
        <w:jc w:val="center"/>
        <w:rPr>
          <w:rFonts w:hint="default" w:ascii="Times New Roman" w:hAnsi="Times New Roman" w:eastAsia="宋体" w:cs="Times New Roman"/>
          <w:sz w:val="30"/>
          <w:szCs w:val="30"/>
          <w:lang w:val="en-US" w:eastAsia="zh-CN"/>
        </w:rPr>
      </w:pPr>
      <w:r>
        <w:rPr>
          <w:rFonts w:ascii="Times New Roman" w:hAnsi="Times New Roman" w:cs="Times New Roman"/>
          <w:sz w:val="30"/>
          <w:szCs w:val="30"/>
        </w:rPr>
        <w:t>Course/Class:Strategic Management</w:t>
      </w:r>
      <w:r>
        <w:rPr>
          <w:rFonts w:hint="eastAsia" w:ascii="Times New Roman" w:hAnsi="Times New Roman" w:eastAsia="宋体" w:cs="Times New Roman"/>
          <w:sz w:val="30"/>
          <w:szCs w:val="30"/>
          <w:lang w:val="en-US" w:eastAsia="zh-CN"/>
        </w:rPr>
        <w:t>(BMMB7013)</w:t>
      </w:r>
    </w:p>
    <w:p>
      <w:pPr>
        <w:spacing w:line="480" w:lineRule="auto"/>
        <w:jc w:val="center"/>
        <w:rPr>
          <w:rFonts w:ascii="Times New Roman" w:hAnsi="Times New Roman" w:cs="Times New Roman"/>
          <w:sz w:val="24"/>
          <w:szCs w:val="24"/>
        </w:rPr>
      </w:pPr>
    </w:p>
    <w:p>
      <w:pPr>
        <w:spacing w:line="480" w:lineRule="auto"/>
        <w:jc w:val="center"/>
        <w:rPr>
          <w:rFonts w:hint="default" w:ascii="Times New Roman" w:hAnsi="Times New Roman" w:eastAsia="宋体" w:cs="Times New Roman"/>
          <w:color w:val="auto"/>
          <w:sz w:val="24"/>
          <w:szCs w:val="24"/>
          <w:lang w:val="en-US" w:eastAsia="zh-CN"/>
        </w:rPr>
        <w:sectPr>
          <w:headerReference r:id="rId5" w:type="default"/>
          <w:pgSz w:w="11906" w:h="16838"/>
          <w:pgMar w:top="1440" w:right="1440" w:bottom="1440" w:left="1440" w:header="708" w:footer="708" w:gutter="0"/>
          <w:cols w:space="708" w:num="1"/>
          <w:docGrid w:linePitch="360" w:charSpace="0"/>
        </w:sectPr>
      </w:pPr>
      <w:r>
        <w:rPr>
          <w:rFonts w:ascii="Times New Roman" w:hAnsi="Times New Roman" w:cs="Times New Roman"/>
          <w:sz w:val="24"/>
          <w:szCs w:val="24"/>
        </w:rPr>
        <w:t>Date:</w:t>
      </w:r>
      <w:r>
        <w:rPr>
          <w:rFonts w:hint="eastAsia" w:ascii="Times New Roman" w:hAnsi="Times New Roman" w:eastAsia="宋体" w:cs="Times New Roman"/>
          <w:sz w:val="24"/>
          <w:szCs w:val="24"/>
          <w:lang w:val="en-US" w:eastAsia="zh-CN"/>
        </w:rPr>
        <w:t>03/12/2022</w:t>
      </w:r>
    </w:p>
    <w:p>
      <w:pPr>
        <w:pStyle w:val="2"/>
        <w:spacing w:line="480" w:lineRule="auto"/>
        <w:jc w:val="center"/>
        <w:rPr>
          <w:rFonts w:hint="default" w:ascii="Times New Roman" w:hAnsi="Times New Roman" w:eastAsia="宋体" w:cs="Times New Roman"/>
          <w:b/>
          <w:bCs/>
          <w:i w:val="0"/>
          <w:iCs w:val="0"/>
          <w:caps w:val="0"/>
          <w:color w:val="000000"/>
          <w:spacing w:val="0"/>
          <w:sz w:val="32"/>
          <w:szCs w:val="32"/>
          <w:shd w:val="clear" w:fill="FFFFFF"/>
        </w:rPr>
      </w:pPr>
      <w:bookmarkStart w:id="0" w:name="_Toc24298"/>
      <w:r>
        <w:rPr>
          <w:rFonts w:hint="default" w:ascii="Times New Roman" w:hAnsi="Times New Roman" w:eastAsia="宋体" w:cs="Times New Roman"/>
          <w:b/>
          <w:bCs/>
          <w:i w:val="0"/>
          <w:iCs w:val="0"/>
          <w:caps w:val="0"/>
          <w:color w:val="000000"/>
          <w:spacing w:val="0"/>
          <w:sz w:val="32"/>
          <w:szCs w:val="32"/>
          <w:shd w:val="clear" w:fill="FFFFFF"/>
        </w:rPr>
        <w:t>Table of contents</w:t>
      </w:r>
      <w:bookmarkEnd w:id="0"/>
    </w:p>
    <w:p>
      <w:pPr>
        <w:pStyle w:val="9"/>
        <w:tabs>
          <w:tab w:val="right" w:leader="dot" w:pos="9026"/>
        </w:tabs>
      </w:pPr>
      <w:r>
        <w:rPr>
          <w:rFonts w:hint="default"/>
        </w:rPr>
        <w:fldChar w:fldCharType="begin"/>
      </w:r>
      <w:r>
        <w:rPr>
          <w:rFonts w:hint="default"/>
        </w:rPr>
        <w:instrText xml:space="preserve">TOC \o "1-3" \h \u </w:instrText>
      </w:r>
      <w:r>
        <w:rPr>
          <w:rFonts w:hint="default"/>
        </w:rPr>
        <w:fldChar w:fldCharType="separate"/>
      </w:r>
    </w:p>
    <w:p>
      <w:pPr>
        <w:pStyle w:val="9"/>
        <w:tabs>
          <w:tab w:val="right" w:leader="dot" w:pos="9026"/>
        </w:tabs>
        <w:rPr>
          <w:sz w:val="32"/>
          <w:szCs w:val="32"/>
        </w:rPr>
      </w:pPr>
      <w:r>
        <w:rPr>
          <w:rFonts w:hint="default"/>
          <w:sz w:val="32"/>
          <w:szCs w:val="32"/>
        </w:rPr>
        <w:fldChar w:fldCharType="begin"/>
      </w:r>
      <w:r>
        <w:rPr>
          <w:rFonts w:hint="default"/>
          <w:sz w:val="32"/>
          <w:szCs w:val="32"/>
        </w:rPr>
        <w:instrText xml:space="preserve"> HYPERLINK \l _Toc29995 </w:instrText>
      </w:r>
      <w:r>
        <w:rPr>
          <w:rFonts w:hint="default"/>
          <w:sz w:val="32"/>
          <w:szCs w:val="32"/>
        </w:rPr>
        <w:fldChar w:fldCharType="separate"/>
      </w:r>
      <w:r>
        <w:rPr>
          <w:rFonts w:ascii="Times New Roman" w:hAnsi="Times New Roman" w:cs="Times New Roman"/>
          <w:sz w:val="32"/>
          <w:szCs w:val="32"/>
        </w:rPr>
        <w:t>Executive summary</w:t>
      </w:r>
      <w:r>
        <w:rPr>
          <w:sz w:val="32"/>
          <w:szCs w:val="32"/>
        </w:rPr>
        <w:tab/>
      </w:r>
      <w:r>
        <w:rPr>
          <w:sz w:val="32"/>
          <w:szCs w:val="32"/>
        </w:rPr>
        <w:fldChar w:fldCharType="begin"/>
      </w:r>
      <w:r>
        <w:rPr>
          <w:sz w:val="32"/>
          <w:szCs w:val="32"/>
        </w:rPr>
        <w:instrText xml:space="preserve"> PAGEREF _Toc29995 \h </w:instrText>
      </w:r>
      <w:r>
        <w:rPr>
          <w:sz w:val="32"/>
          <w:szCs w:val="32"/>
        </w:rPr>
        <w:fldChar w:fldCharType="separate"/>
      </w:r>
      <w:r>
        <w:rPr>
          <w:sz w:val="32"/>
          <w:szCs w:val="32"/>
        </w:rPr>
        <w:t>4</w:t>
      </w:r>
      <w:r>
        <w:rPr>
          <w:sz w:val="32"/>
          <w:szCs w:val="32"/>
        </w:rPr>
        <w:fldChar w:fldCharType="end"/>
      </w:r>
      <w:r>
        <w:rPr>
          <w:rFonts w:hint="default"/>
          <w:sz w:val="32"/>
          <w:szCs w:val="32"/>
        </w:rPr>
        <w:fldChar w:fldCharType="end"/>
      </w:r>
    </w:p>
    <w:p>
      <w:pPr>
        <w:pStyle w:val="9"/>
        <w:tabs>
          <w:tab w:val="right" w:leader="dot" w:pos="9026"/>
        </w:tabs>
        <w:rPr>
          <w:sz w:val="32"/>
          <w:szCs w:val="32"/>
        </w:rPr>
      </w:pPr>
      <w:r>
        <w:rPr>
          <w:rFonts w:hint="default"/>
          <w:sz w:val="32"/>
          <w:szCs w:val="32"/>
        </w:rPr>
        <w:fldChar w:fldCharType="begin"/>
      </w:r>
      <w:r>
        <w:rPr>
          <w:rFonts w:hint="default"/>
          <w:sz w:val="32"/>
          <w:szCs w:val="32"/>
        </w:rPr>
        <w:instrText xml:space="preserve"> HYPERLINK \l _Toc28012 </w:instrText>
      </w:r>
      <w:r>
        <w:rPr>
          <w:rFonts w:hint="default"/>
          <w:sz w:val="32"/>
          <w:szCs w:val="32"/>
        </w:rPr>
        <w:fldChar w:fldCharType="separate"/>
      </w:r>
      <w:r>
        <w:rPr>
          <w:rFonts w:ascii="Times New Roman" w:hAnsi="Times New Roman" w:cs="Times New Roman"/>
          <w:sz w:val="32"/>
          <w:szCs w:val="32"/>
        </w:rPr>
        <w:t>1. Introduction</w:t>
      </w:r>
      <w:r>
        <w:rPr>
          <w:sz w:val="32"/>
          <w:szCs w:val="32"/>
        </w:rPr>
        <w:tab/>
      </w:r>
      <w:r>
        <w:rPr>
          <w:sz w:val="32"/>
          <w:szCs w:val="32"/>
        </w:rPr>
        <w:fldChar w:fldCharType="begin"/>
      </w:r>
      <w:r>
        <w:rPr>
          <w:sz w:val="32"/>
          <w:szCs w:val="32"/>
        </w:rPr>
        <w:instrText xml:space="preserve"> PAGEREF _Toc28012 \h </w:instrText>
      </w:r>
      <w:r>
        <w:rPr>
          <w:sz w:val="32"/>
          <w:szCs w:val="32"/>
        </w:rPr>
        <w:fldChar w:fldCharType="separate"/>
      </w:r>
      <w:r>
        <w:rPr>
          <w:sz w:val="32"/>
          <w:szCs w:val="32"/>
        </w:rPr>
        <w:t>5</w:t>
      </w:r>
      <w:r>
        <w:rPr>
          <w:sz w:val="32"/>
          <w:szCs w:val="32"/>
        </w:rPr>
        <w:fldChar w:fldCharType="end"/>
      </w:r>
      <w:r>
        <w:rPr>
          <w:rFonts w:hint="default"/>
          <w:sz w:val="32"/>
          <w:szCs w:val="32"/>
        </w:rPr>
        <w:fldChar w:fldCharType="end"/>
      </w:r>
    </w:p>
    <w:p>
      <w:pPr>
        <w:pStyle w:val="9"/>
        <w:tabs>
          <w:tab w:val="right" w:leader="dot" w:pos="9026"/>
        </w:tabs>
        <w:rPr>
          <w:sz w:val="32"/>
          <w:szCs w:val="32"/>
        </w:rPr>
      </w:pPr>
      <w:r>
        <w:rPr>
          <w:rFonts w:hint="default"/>
          <w:sz w:val="32"/>
          <w:szCs w:val="32"/>
        </w:rPr>
        <w:fldChar w:fldCharType="begin"/>
      </w:r>
      <w:r>
        <w:rPr>
          <w:rFonts w:hint="default"/>
          <w:sz w:val="32"/>
          <w:szCs w:val="32"/>
        </w:rPr>
        <w:instrText xml:space="preserve"> HYPERLINK \l _Toc12111 </w:instrText>
      </w:r>
      <w:r>
        <w:rPr>
          <w:rFonts w:hint="default"/>
          <w:sz w:val="32"/>
          <w:szCs w:val="32"/>
        </w:rPr>
        <w:fldChar w:fldCharType="separate"/>
      </w:r>
      <w:r>
        <w:rPr>
          <w:rFonts w:ascii="Times New Roman" w:hAnsi="Times New Roman" w:cs="Times New Roman"/>
          <w:sz w:val="32"/>
          <w:szCs w:val="32"/>
        </w:rPr>
        <w:t>2. Company background</w:t>
      </w:r>
      <w:r>
        <w:rPr>
          <w:sz w:val="32"/>
          <w:szCs w:val="32"/>
        </w:rPr>
        <w:tab/>
      </w:r>
      <w:r>
        <w:rPr>
          <w:sz w:val="32"/>
          <w:szCs w:val="32"/>
        </w:rPr>
        <w:fldChar w:fldCharType="begin"/>
      </w:r>
      <w:r>
        <w:rPr>
          <w:sz w:val="32"/>
          <w:szCs w:val="32"/>
        </w:rPr>
        <w:instrText xml:space="preserve"> PAGEREF _Toc12111 \h </w:instrText>
      </w:r>
      <w:r>
        <w:rPr>
          <w:sz w:val="32"/>
          <w:szCs w:val="32"/>
        </w:rPr>
        <w:fldChar w:fldCharType="separate"/>
      </w:r>
      <w:r>
        <w:rPr>
          <w:sz w:val="32"/>
          <w:szCs w:val="32"/>
        </w:rPr>
        <w:t>6</w:t>
      </w:r>
      <w:r>
        <w:rPr>
          <w:sz w:val="32"/>
          <w:szCs w:val="32"/>
        </w:rPr>
        <w:fldChar w:fldCharType="end"/>
      </w:r>
      <w:r>
        <w:rPr>
          <w:rFonts w:hint="default"/>
          <w:sz w:val="32"/>
          <w:szCs w:val="32"/>
        </w:rPr>
        <w:fldChar w:fldCharType="end"/>
      </w:r>
    </w:p>
    <w:p>
      <w:pPr>
        <w:pStyle w:val="9"/>
        <w:tabs>
          <w:tab w:val="right" w:leader="dot" w:pos="9026"/>
        </w:tabs>
        <w:rPr>
          <w:sz w:val="32"/>
          <w:szCs w:val="32"/>
        </w:rPr>
      </w:pPr>
      <w:r>
        <w:rPr>
          <w:rFonts w:hint="default"/>
          <w:sz w:val="32"/>
          <w:szCs w:val="32"/>
        </w:rPr>
        <w:fldChar w:fldCharType="begin"/>
      </w:r>
      <w:r>
        <w:rPr>
          <w:rFonts w:hint="default"/>
          <w:sz w:val="32"/>
          <w:szCs w:val="32"/>
        </w:rPr>
        <w:instrText xml:space="preserve"> HYPERLINK \l _Toc5794 </w:instrText>
      </w:r>
      <w:r>
        <w:rPr>
          <w:rFonts w:hint="default"/>
          <w:sz w:val="32"/>
          <w:szCs w:val="32"/>
        </w:rPr>
        <w:fldChar w:fldCharType="separate"/>
      </w:r>
      <w:r>
        <w:rPr>
          <w:rFonts w:ascii="Times New Roman" w:hAnsi="Times New Roman" w:cs="Times New Roman"/>
          <w:sz w:val="32"/>
          <w:szCs w:val="32"/>
        </w:rPr>
        <w:t>3. Environmental analysis</w:t>
      </w:r>
      <w:r>
        <w:rPr>
          <w:sz w:val="32"/>
          <w:szCs w:val="32"/>
        </w:rPr>
        <w:tab/>
      </w:r>
      <w:r>
        <w:rPr>
          <w:sz w:val="32"/>
          <w:szCs w:val="32"/>
        </w:rPr>
        <w:fldChar w:fldCharType="begin"/>
      </w:r>
      <w:r>
        <w:rPr>
          <w:sz w:val="32"/>
          <w:szCs w:val="32"/>
        </w:rPr>
        <w:instrText xml:space="preserve"> PAGEREF _Toc5794 \h </w:instrText>
      </w:r>
      <w:r>
        <w:rPr>
          <w:sz w:val="32"/>
          <w:szCs w:val="32"/>
        </w:rPr>
        <w:fldChar w:fldCharType="separate"/>
      </w:r>
      <w:r>
        <w:rPr>
          <w:sz w:val="32"/>
          <w:szCs w:val="32"/>
        </w:rPr>
        <w:t>7</w:t>
      </w:r>
      <w:r>
        <w:rPr>
          <w:sz w:val="32"/>
          <w:szCs w:val="32"/>
        </w:rPr>
        <w:fldChar w:fldCharType="end"/>
      </w:r>
      <w:r>
        <w:rPr>
          <w:rFonts w:hint="default"/>
          <w:sz w:val="32"/>
          <w:szCs w:val="32"/>
        </w:rPr>
        <w:fldChar w:fldCharType="end"/>
      </w:r>
    </w:p>
    <w:p>
      <w:pPr>
        <w:pStyle w:val="10"/>
        <w:tabs>
          <w:tab w:val="right" w:leader="dot" w:pos="9026"/>
        </w:tabs>
        <w:ind w:left="0" w:leftChars="0" w:firstLine="320" w:firstLineChars="100"/>
        <w:rPr>
          <w:sz w:val="32"/>
          <w:szCs w:val="32"/>
        </w:rPr>
      </w:pPr>
      <w:r>
        <w:rPr>
          <w:rFonts w:hint="default"/>
          <w:sz w:val="32"/>
          <w:szCs w:val="32"/>
        </w:rPr>
        <w:fldChar w:fldCharType="begin"/>
      </w:r>
      <w:r>
        <w:rPr>
          <w:rFonts w:hint="default"/>
          <w:sz w:val="32"/>
          <w:szCs w:val="32"/>
        </w:rPr>
        <w:instrText xml:space="preserve"> HYPERLINK \l _Toc4835 </w:instrText>
      </w:r>
      <w:r>
        <w:rPr>
          <w:rFonts w:hint="default"/>
          <w:sz w:val="32"/>
          <w:szCs w:val="32"/>
        </w:rPr>
        <w:fldChar w:fldCharType="separate"/>
      </w:r>
      <w:r>
        <w:rPr>
          <w:rFonts w:hint="eastAsia" w:ascii="Times New Roman" w:hAnsi="Times New Roman" w:cs="Times New Roman"/>
          <w:sz w:val="32"/>
          <w:szCs w:val="32"/>
          <w:lang w:val="en-US" w:eastAsia="zh-CN"/>
        </w:rPr>
        <w:t xml:space="preserve">3.1 </w:t>
      </w:r>
      <w:r>
        <w:rPr>
          <w:rFonts w:ascii="Times New Roman" w:hAnsi="Times New Roman" w:cs="Times New Roman"/>
          <w:sz w:val="32"/>
          <w:szCs w:val="32"/>
        </w:rPr>
        <w:t>External analysis</w:t>
      </w:r>
      <w:r>
        <w:rPr>
          <w:sz w:val="32"/>
          <w:szCs w:val="32"/>
        </w:rPr>
        <w:tab/>
      </w:r>
      <w:r>
        <w:rPr>
          <w:sz w:val="32"/>
          <w:szCs w:val="32"/>
        </w:rPr>
        <w:fldChar w:fldCharType="begin"/>
      </w:r>
      <w:r>
        <w:rPr>
          <w:sz w:val="32"/>
          <w:szCs w:val="32"/>
        </w:rPr>
        <w:instrText xml:space="preserve"> PAGEREF _Toc4835 \h </w:instrText>
      </w:r>
      <w:r>
        <w:rPr>
          <w:sz w:val="32"/>
          <w:szCs w:val="32"/>
        </w:rPr>
        <w:fldChar w:fldCharType="separate"/>
      </w:r>
      <w:r>
        <w:rPr>
          <w:sz w:val="32"/>
          <w:szCs w:val="32"/>
        </w:rPr>
        <w:t>7</w:t>
      </w:r>
      <w:r>
        <w:rPr>
          <w:sz w:val="32"/>
          <w:szCs w:val="32"/>
        </w:rPr>
        <w:fldChar w:fldCharType="end"/>
      </w:r>
      <w:r>
        <w:rPr>
          <w:rFonts w:hint="default"/>
          <w:sz w:val="32"/>
          <w:szCs w:val="32"/>
        </w:rPr>
        <w:fldChar w:fldCharType="end"/>
      </w:r>
    </w:p>
    <w:p>
      <w:pPr>
        <w:pStyle w:val="5"/>
        <w:tabs>
          <w:tab w:val="right" w:leader="dot" w:pos="9026"/>
        </w:tabs>
        <w:ind w:left="0" w:leftChars="0" w:firstLine="0" w:firstLineChars="0"/>
        <w:rPr>
          <w:rFonts w:hint="default"/>
          <w:sz w:val="32"/>
          <w:szCs w:val="32"/>
        </w:rPr>
      </w:pPr>
      <w:r>
        <w:rPr>
          <w:rFonts w:hint="default"/>
          <w:sz w:val="32"/>
          <w:szCs w:val="32"/>
        </w:rPr>
        <w:fldChar w:fldCharType="begin"/>
      </w:r>
      <w:r>
        <w:rPr>
          <w:rFonts w:hint="default"/>
          <w:sz w:val="32"/>
          <w:szCs w:val="32"/>
        </w:rPr>
        <w:instrText xml:space="preserve"> HYPERLINK \l _Toc7138 </w:instrText>
      </w:r>
      <w:r>
        <w:rPr>
          <w:rFonts w:hint="default"/>
          <w:sz w:val="32"/>
          <w:szCs w:val="32"/>
        </w:rPr>
        <w:fldChar w:fldCharType="separate"/>
      </w:r>
      <w:r>
        <w:rPr>
          <w:rFonts w:ascii="Times New Roman" w:hAnsi="Times New Roman" w:cs="Times New Roman"/>
          <w:sz w:val="32"/>
          <w:szCs w:val="32"/>
        </w:rPr>
        <w:t>4. PESTEL Analysis</w:t>
      </w:r>
      <w:r>
        <w:rPr>
          <w:sz w:val="32"/>
          <w:szCs w:val="32"/>
        </w:rPr>
        <w:tab/>
      </w:r>
      <w:r>
        <w:rPr>
          <w:sz w:val="32"/>
          <w:szCs w:val="32"/>
        </w:rPr>
        <w:fldChar w:fldCharType="begin"/>
      </w:r>
      <w:r>
        <w:rPr>
          <w:sz w:val="32"/>
          <w:szCs w:val="32"/>
        </w:rPr>
        <w:instrText xml:space="preserve"> PAGEREF _Toc7138 \h </w:instrText>
      </w:r>
      <w:r>
        <w:rPr>
          <w:sz w:val="32"/>
          <w:szCs w:val="32"/>
        </w:rPr>
        <w:fldChar w:fldCharType="separate"/>
      </w:r>
      <w:r>
        <w:rPr>
          <w:sz w:val="32"/>
          <w:szCs w:val="32"/>
        </w:rPr>
        <w:t>8</w:t>
      </w:r>
      <w:r>
        <w:rPr>
          <w:sz w:val="32"/>
          <w:szCs w:val="32"/>
        </w:rPr>
        <w:fldChar w:fldCharType="end"/>
      </w:r>
      <w:r>
        <w:rPr>
          <w:rFonts w:hint="default"/>
          <w:sz w:val="32"/>
          <w:szCs w:val="32"/>
        </w:rPr>
        <w:fldChar w:fldCharType="end"/>
      </w:r>
    </w:p>
    <w:p>
      <w:pPr>
        <w:pStyle w:val="5"/>
        <w:tabs>
          <w:tab w:val="right" w:leader="dot" w:pos="9026"/>
        </w:tabs>
        <w:ind w:left="0" w:leftChars="0" w:firstLine="320" w:firstLineChars="100"/>
        <w:rPr>
          <w:sz w:val="32"/>
          <w:szCs w:val="32"/>
        </w:rPr>
      </w:pPr>
      <w:r>
        <w:rPr>
          <w:rFonts w:hint="default"/>
          <w:sz w:val="32"/>
          <w:szCs w:val="32"/>
        </w:rPr>
        <w:fldChar w:fldCharType="begin"/>
      </w:r>
      <w:r>
        <w:rPr>
          <w:rFonts w:hint="default"/>
          <w:sz w:val="32"/>
          <w:szCs w:val="32"/>
        </w:rPr>
        <w:instrText xml:space="preserve"> HYPERLINK \l _Toc7138 </w:instrText>
      </w:r>
      <w:r>
        <w:rPr>
          <w:rFonts w:hint="default"/>
          <w:sz w:val="32"/>
          <w:szCs w:val="32"/>
        </w:rPr>
        <w:fldChar w:fldCharType="separate"/>
      </w:r>
      <w:r>
        <w:rPr>
          <w:rFonts w:ascii="Times New Roman" w:hAnsi="Times New Roman" w:cs="Times New Roman"/>
          <w:sz w:val="32"/>
          <w:szCs w:val="32"/>
        </w:rPr>
        <w:t>4.</w:t>
      </w:r>
      <w:r>
        <w:rPr>
          <w:rFonts w:hint="eastAsia" w:ascii="Times New Roman" w:hAnsi="Times New Roman" w:eastAsia="宋体" w:cs="Times New Roman"/>
          <w:sz w:val="32"/>
          <w:szCs w:val="32"/>
          <w:lang w:val="en-US" w:eastAsia="zh-CN"/>
        </w:rPr>
        <w:t xml:space="preserve">1 Political Factors </w:t>
      </w:r>
      <w:r>
        <w:rPr>
          <w:sz w:val="32"/>
          <w:szCs w:val="32"/>
        </w:rPr>
        <w:tab/>
      </w:r>
      <w:r>
        <w:rPr>
          <w:sz w:val="32"/>
          <w:szCs w:val="32"/>
        </w:rPr>
        <w:fldChar w:fldCharType="begin"/>
      </w:r>
      <w:r>
        <w:rPr>
          <w:sz w:val="32"/>
          <w:szCs w:val="32"/>
        </w:rPr>
        <w:instrText xml:space="preserve"> PAGEREF _Toc7138 \h </w:instrText>
      </w:r>
      <w:r>
        <w:rPr>
          <w:sz w:val="32"/>
          <w:szCs w:val="32"/>
        </w:rPr>
        <w:fldChar w:fldCharType="separate"/>
      </w:r>
      <w:r>
        <w:rPr>
          <w:sz w:val="32"/>
          <w:szCs w:val="32"/>
        </w:rPr>
        <w:t>8</w:t>
      </w:r>
      <w:r>
        <w:rPr>
          <w:sz w:val="32"/>
          <w:szCs w:val="32"/>
        </w:rPr>
        <w:fldChar w:fldCharType="end"/>
      </w:r>
      <w:r>
        <w:rPr>
          <w:rFonts w:hint="default"/>
          <w:sz w:val="32"/>
          <w:szCs w:val="32"/>
        </w:rPr>
        <w:fldChar w:fldCharType="end"/>
      </w:r>
    </w:p>
    <w:p>
      <w:pPr>
        <w:pStyle w:val="5"/>
        <w:tabs>
          <w:tab w:val="right" w:leader="dot" w:pos="9026"/>
        </w:tabs>
        <w:ind w:left="0" w:leftChars="0" w:firstLine="320" w:firstLineChars="100"/>
        <w:rPr>
          <w:sz w:val="32"/>
          <w:szCs w:val="32"/>
        </w:rPr>
      </w:pPr>
      <w:r>
        <w:rPr>
          <w:rFonts w:hint="default"/>
          <w:sz w:val="32"/>
          <w:szCs w:val="32"/>
        </w:rPr>
        <w:fldChar w:fldCharType="begin"/>
      </w:r>
      <w:r>
        <w:rPr>
          <w:rFonts w:hint="default"/>
          <w:sz w:val="32"/>
          <w:szCs w:val="32"/>
        </w:rPr>
        <w:instrText xml:space="preserve"> HYPERLINK \l _Toc7138 </w:instrText>
      </w:r>
      <w:r>
        <w:rPr>
          <w:rFonts w:hint="default"/>
          <w:sz w:val="32"/>
          <w:szCs w:val="32"/>
        </w:rPr>
        <w:fldChar w:fldCharType="separate"/>
      </w:r>
      <w:r>
        <w:rPr>
          <w:rFonts w:ascii="Times New Roman" w:hAnsi="Times New Roman" w:cs="Times New Roman"/>
          <w:sz w:val="32"/>
          <w:szCs w:val="32"/>
        </w:rPr>
        <w:t>4.</w:t>
      </w:r>
      <w:r>
        <w:rPr>
          <w:rFonts w:hint="eastAsia" w:ascii="Times New Roman" w:hAnsi="Times New Roman" w:eastAsia="宋体" w:cs="Times New Roman"/>
          <w:sz w:val="32"/>
          <w:szCs w:val="32"/>
          <w:lang w:val="en-US" w:eastAsia="zh-CN"/>
        </w:rPr>
        <w:t>2 Economic Factors</w:t>
      </w:r>
      <w:r>
        <w:rPr>
          <w:sz w:val="32"/>
          <w:szCs w:val="32"/>
        </w:rPr>
        <w:tab/>
      </w:r>
      <w:r>
        <w:rPr>
          <w:rFonts w:hint="eastAsia" w:eastAsia="宋体"/>
          <w:sz w:val="32"/>
          <w:szCs w:val="32"/>
          <w:lang w:val="en-US" w:eastAsia="zh-CN"/>
        </w:rPr>
        <w:t>9</w:t>
      </w:r>
      <w:r>
        <w:rPr>
          <w:rFonts w:hint="default"/>
          <w:sz w:val="32"/>
          <w:szCs w:val="32"/>
        </w:rPr>
        <w:fldChar w:fldCharType="end"/>
      </w:r>
    </w:p>
    <w:p>
      <w:pPr>
        <w:pStyle w:val="5"/>
        <w:tabs>
          <w:tab w:val="right" w:leader="dot" w:pos="9026"/>
        </w:tabs>
        <w:ind w:left="0" w:leftChars="0" w:firstLine="320" w:firstLineChars="100"/>
        <w:rPr>
          <w:sz w:val="32"/>
          <w:szCs w:val="32"/>
        </w:rPr>
      </w:pPr>
      <w:r>
        <w:rPr>
          <w:rFonts w:hint="default"/>
          <w:sz w:val="32"/>
          <w:szCs w:val="32"/>
        </w:rPr>
        <w:fldChar w:fldCharType="begin"/>
      </w:r>
      <w:r>
        <w:rPr>
          <w:rFonts w:hint="default"/>
          <w:sz w:val="32"/>
          <w:szCs w:val="32"/>
        </w:rPr>
        <w:instrText xml:space="preserve"> HYPERLINK \l _Toc7138 </w:instrText>
      </w:r>
      <w:r>
        <w:rPr>
          <w:rFonts w:hint="default"/>
          <w:sz w:val="32"/>
          <w:szCs w:val="32"/>
        </w:rPr>
        <w:fldChar w:fldCharType="separate"/>
      </w:r>
      <w:r>
        <w:rPr>
          <w:rFonts w:ascii="Times New Roman" w:hAnsi="Times New Roman" w:cs="Times New Roman"/>
          <w:sz w:val="32"/>
          <w:szCs w:val="32"/>
        </w:rPr>
        <w:t>4.</w:t>
      </w:r>
      <w:r>
        <w:rPr>
          <w:rFonts w:hint="eastAsia" w:ascii="Times New Roman" w:hAnsi="Times New Roman" w:eastAsia="宋体" w:cs="Times New Roman"/>
          <w:sz w:val="32"/>
          <w:szCs w:val="32"/>
          <w:lang w:val="en-US" w:eastAsia="zh-CN"/>
        </w:rPr>
        <w:t>3Socio-Cultural Factors</w:t>
      </w:r>
      <w:r>
        <w:rPr>
          <w:sz w:val="32"/>
          <w:szCs w:val="32"/>
        </w:rPr>
        <w:tab/>
      </w:r>
      <w:r>
        <w:rPr>
          <w:rFonts w:hint="eastAsia" w:eastAsia="宋体"/>
          <w:sz w:val="32"/>
          <w:szCs w:val="32"/>
          <w:lang w:val="en-US" w:eastAsia="zh-CN"/>
        </w:rPr>
        <w:t>9</w:t>
      </w:r>
      <w:r>
        <w:rPr>
          <w:rFonts w:hint="default"/>
          <w:sz w:val="32"/>
          <w:szCs w:val="32"/>
        </w:rPr>
        <w:fldChar w:fldCharType="end"/>
      </w:r>
    </w:p>
    <w:p>
      <w:pPr>
        <w:pStyle w:val="5"/>
        <w:tabs>
          <w:tab w:val="right" w:leader="dot" w:pos="9026"/>
        </w:tabs>
        <w:ind w:left="0" w:leftChars="0" w:firstLine="320" w:firstLineChars="100"/>
        <w:rPr>
          <w:rFonts w:hint="eastAsia" w:eastAsia="宋体"/>
          <w:sz w:val="32"/>
          <w:szCs w:val="32"/>
          <w:lang w:val="en-US" w:eastAsia="zh-CN"/>
        </w:rPr>
      </w:pPr>
      <w:r>
        <w:rPr>
          <w:rFonts w:hint="default"/>
          <w:sz w:val="32"/>
          <w:szCs w:val="32"/>
        </w:rPr>
        <w:fldChar w:fldCharType="begin"/>
      </w:r>
      <w:r>
        <w:rPr>
          <w:rFonts w:hint="default"/>
          <w:sz w:val="32"/>
          <w:szCs w:val="32"/>
        </w:rPr>
        <w:instrText xml:space="preserve"> HYPERLINK \l _Toc7138 </w:instrText>
      </w:r>
      <w:r>
        <w:rPr>
          <w:rFonts w:hint="default"/>
          <w:sz w:val="32"/>
          <w:szCs w:val="32"/>
        </w:rPr>
        <w:fldChar w:fldCharType="separate"/>
      </w:r>
      <w:r>
        <w:rPr>
          <w:rFonts w:ascii="Times New Roman" w:hAnsi="Times New Roman" w:cs="Times New Roman"/>
          <w:sz w:val="32"/>
          <w:szCs w:val="32"/>
        </w:rPr>
        <w:t>4.</w:t>
      </w:r>
      <w:r>
        <w:rPr>
          <w:rFonts w:hint="eastAsia" w:ascii="Times New Roman" w:hAnsi="Times New Roman" w:eastAsia="宋体" w:cs="Times New Roman"/>
          <w:sz w:val="32"/>
          <w:szCs w:val="32"/>
          <w:lang w:val="en-US" w:eastAsia="zh-CN"/>
        </w:rPr>
        <w:t>4 Technological Factors</w:t>
      </w:r>
      <w:r>
        <w:rPr>
          <w:sz w:val="32"/>
          <w:szCs w:val="32"/>
        </w:rPr>
        <w:tab/>
      </w:r>
      <w:r>
        <w:rPr>
          <w:rFonts w:hint="eastAsia" w:eastAsia="宋体"/>
          <w:sz w:val="32"/>
          <w:szCs w:val="32"/>
          <w:lang w:val="en-US" w:eastAsia="zh-CN"/>
        </w:rPr>
        <w:t>1</w:t>
      </w:r>
      <w:r>
        <w:rPr>
          <w:rFonts w:hint="default"/>
          <w:sz w:val="32"/>
          <w:szCs w:val="32"/>
        </w:rPr>
        <w:fldChar w:fldCharType="end"/>
      </w:r>
      <w:r>
        <w:rPr>
          <w:rFonts w:hint="eastAsia" w:eastAsia="宋体"/>
          <w:sz w:val="32"/>
          <w:szCs w:val="32"/>
          <w:lang w:val="en-US" w:eastAsia="zh-CN"/>
        </w:rPr>
        <w:t>0</w:t>
      </w:r>
    </w:p>
    <w:p>
      <w:pPr>
        <w:pStyle w:val="5"/>
        <w:tabs>
          <w:tab w:val="right" w:leader="dot" w:pos="9026"/>
        </w:tabs>
        <w:ind w:left="0" w:leftChars="0" w:firstLine="320" w:firstLineChars="100"/>
        <w:rPr>
          <w:rFonts w:hint="eastAsia" w:eastAsia="宋体"/>
          <w:sz w:val="32"/>
          <w:szCs w:val="32"/>
          <w:lang w:val="en-US" w:eastAsia="zh-CN"/>
        </w:rPr>
      </w:pPr>
      <w:r>
        <w:rPr>
          <w:rFonts w:hint="default"/>
          <w:sz w:val="32"/>
          <w:szCs w:val="32"/>
        </w:rPr>
        <w:fldChar w:fldCharType="begin"/>
      </w:r>
      <w:r>
        <w:rPr>
          <w:rFonts w:hint="default"/>
          <w:sz w:val="32"/>
          <w:szCs w:val="32"/>
        </w:rPr>
        <w:instrText xml:space="preserve"> HYPERLINK \l _Toc7138 </w:instrText>
      </w:r>
      <w:r>
        <w:rPr>
          <w:rFonts w:hint="default"/>
          <w:sz w:val="32"/>
          <w:szCs w:val="32"/>
        </w:rPr>
        <w:fldChar w:fldCharType="separate"/>
      </w:r>
      <w:r>
        <w:rPr>
          <w:rFonts w:ascii="Times New Roman" w:hAnsi="Times New Roman" w:cs="Times New Roman"/>
          <w:sz w:val="32"/>
          <w:szCs w:val="32"/>
        </w:rPr>
        <w:t>4.</w:t>
      </w:r>
      <w:r>
        <w:rPr>
          <w:rFonts w:hint="eastAsia" w:ascii="Times New Roman" w:hAnsi="Times New Roman" w:eastAsia="宋体" w:cs="Times New Roman"/>
          <w:sz w:val="32"/>
          <w:szCs w:val="32"/>
          <w:lang w:val="en-US" w:eastAsia="zh-CN"/>
        </w:rPr>
        <w:t>5 Ecological/Environmental Factors</w:t>
      </w:r>
      <w:r>
        <w:rPr>
          <w:sz w:val="32"/>
          <w:szCs w:val="32"/>
        </w:rPr>
        <w:tab/>
      </w:r>
      <w:r>
        <w:rPr>
          <w:rFonts w:hint="eastAsia" w:eastAsia="宋体"/>
          <w:sz w:val="32"/>
          <w:szCs w:val="32"/>
          <w:lang w:val="en-US" w:eastAsia="zh-CN"/>
        </w:rPr>
        <w:t>1</w:t>
      </w:r>
      <w:r>
        <w:rPr>
          <w:rFonts w:hint="default"/>
          <w:sz w:val="32"/>
          <w:szCs w:val="32"/>
        </w:rPr>
        <w:fldChar w:fldCharType="end"/>
      </w:r>
      <w:r>
        <w:rPr>
          <w:rFonts w:hint="eastAsia" w:eastAsia="宋体"/>
          <w:sz w:val="32"/>
          <w:szCs w:val="32"/>
          <w:lang w:val="en-US" w:eastAsia="zh-CN"/>
        </w:rPr>
        <w:t>1</w:t>
      </w:r>
    </w:p>
    <w:p>
      <w:pPr>
        <w:pStyle w:val="5"/>
        <w:tabs>
          <w:tab w:val="right" w:leader="dot" w:pos="9026"/>
        </w:tabs>
        <w:ind w:left="0" w:leftChars="0" w:firstLine="320" w:firstLineChars="100"/>
        <w:rPr>
          <w:rFonts w:hint="default"/>
          <w:sz w:val="32"/>
          <w:szCs w:val="32"/>
        </w:rPr>
      </w:pPr>
      <w:r>
        <w:rPr>
          <w:rFonts w:hint="default"/>
          <w:sz w:val="32"/>
          <w:szCs w:val="32"/>
        </w:rPr>
        <w:fldChar w:fldCharType="begin"/>
      </w:r>
      <w:r>
        <w:rPr>
          <w:rFonts w:hint="default"/>
          <w:sz w:val="32"/>
          <w:szCs w:val="32"/>
        </w:rPr>
        <w:instrText xml:space="preserve"> HYPERLINK \l _Toc7138 </w:instrText>
      </w:r>
      <w:r>
        <w:rPr>
          <w:rFonts w:hint="default"/>
          <w:sz w:val="32"/>
          <w:szCs w:val="32"/>
        </w:rPr>
        <w:fldChar w:fldCharType="separate"/>
      </w:r>
      <w:r>
        <w:rPr>
          <w:rFonts w:ascii="Times New Roman" w:hAnsi="Times New Roman" w:cs="Times New Roman"/>
          <w:sz w:val="32"/>
          <w:szCs w:val="32"/>
        </w:rPr>
        <w:t>4.</w:t>
      </w:r>
      <w:r>
        <w:rPr>
          <w:rFonts w:hint="eastAsia" w:ascii="Times New Roman" w:hAnsi="Times New Roman" w:eastAsia="宋体" w:cs="Times New Roman"/>
          <w:sz w:val="32"/>
          <w:szCs w:val="32"/>
          <w:lang w:val="en-US" w:eastAsia="zh-CN"/>
        </w:rPr>
        <w:t>6</w:t>
      </w:r>
      <w:r>
        <w:rPr>
          <w:rFonts w:ascii="Times New Roman" w:hAnsi="Times New Roman" w:cs="Times New Roman"/>
          <w:sz w:val="32"/>
          <w:szCs w:val="32"/>
        </w:rPr>
        <w:t xml:space="preserve"> Legal/regulatory factors</w:t>
      </w:r>
      <w:r>
        <w:rPr>
          <w:sz w:val="32"/>
          <w:szCs w:val="32"/>
        </w:rPr>
        <w:tab/>
      </w:r>
      <w:r>
        <w:rPr>
          <w:rFonts w:hint="eastAsia" w:eastAsia="宋体"/>
          <w:sz w:val="32"/>
          <w:szCs w:val="32"/>
          <w:lang w:val="en-US" w:eastAsia="zh-CN"/>
        </w:rPr>
        <w:t>1</w:t>
      </w:r>
      <w:r>
        <w:rPr>
          <w:rFonts w:hint="default"/>
          <w:sz w:val="32"/>
          <w:szCs w:val="32"/>
        </w:rPr>
        <w:fldChar w:fldCharType="end"/>
      </w:r>
      <w:r>
        <w:rPr>
          <w:rFonts w:hint="eastAsia" w:eastAsia="宋体"/>
          <w:sz w:val="32"/>
          <w:szCs w:val="32"/>
          <w:lang w:val="en-US" w:eastAsia="zh-CN"/>
        </w:rPr>
        <w:t>1</w:t>
      </w:r>
    </w:p>
    <w:p>
      <w:pPr>
        <w:pStyle w:val="5"/>
        <w:tabs>
          <w:tab w:val="right" w:leader="dot" w:pos="9026"/>
        </w:tabs>
        <w:ind w:left="0" w:leftChars="0" w:firstLine="0" w:firstLineChars="0"/>
        <w:rPr>
          <w:rFonts w:hint="eastAsia" w:eastAsia="宋体"/>
          <w:sz w:val="32"/>
          <w:szCs w:val="32"/>
          <w:lang w:val="en-US" w:eastAsia="zh-CN"/>
        </w:rPr>
      </w:pPr>
      <w:r>
        <w:rPr>
          <w:rFonts w:hint="default"/>
          <w:sz w:val="32"/>
          <w:szCs w:val="32"/>
        </w:rPr>
        <w:fldChar w:fldCharType="begin"/>
      </w:r>
      <w:r>
        <w:rPr>
          <w:rFonts w:hint="default"/>
          <w:sz w:val="32"/>
          <w:szCs w:val="32"/>
        </w:rPr>
        <w:instrText xml:space="preserve"> HYPERLINK \l _Toc2643 </w:instrText>
      </w:r>
      <w:r>
        <w:rPr>
          <w:rFonts w:hint="default"/>
          <w:sz w:val="32"/>
          <w:szCs w:val="32"/>
        </w:rPr>
        <w:fldChar w:fldCharType="separate"/>
      </w:r>
      <w:r>
        <w:rPr>
          <w:rFonts w:ascii="Times New Roman" w:hAnsi="Times New Roman" w:cs="Times New Roman"/>
          <w:sz w:val="32"/>
          <w:szCs w:val="32"/>
        </w:rPr>
        <w:t>5. Porter’s Five Forces Analysis</w:t>
      </w:r>
      <w:r>
        <w:rPr>
          <w:sz w:val="32"/>
          <w:szCs w:val="32"/>
        </w:rPr>
        <w:tab/>
      </w:r>
      <w:r>
        <w:rPr>
          <w:rFonts w:hint="eastAsia" w:eastAsia="宋体"/>
          <w:sz w:val="32"/>
          <w:szCs w:val="32"/>
          <w:lang w:val="en-US" w:eastAsia="zh-CN"/>
        </w:rPr>
        <w:t>1</w:t>
      </w:r>
      <w:r>
        <w:rPr>
          <w:rFonts w:hint="default"/>
          <w:sz w:val="32"/>
          <w:szCs w:val="32"/>
        </w:rPr>
        <w:fldChar w:fldCharType="end"/>
      </w:r>
      <w:r>
        <w:rPr>
          <w:rFonts w:hint="eastAsia" w:eastAsia="宋体"/>
          <w:sz w:val="32"/>
          <w:szCs w:val="32"/>
          <w:lang w:val="en-US" w:eastAsia="zh-CN"/>
        </w:rPr>
        <w:t>3</w:t>
      </w:r>
    </w:p>
    <w:p>
      <w:pPr>
        <w:pStyle w:val="5"/>
        <w:tabs>
          <w:tab w:val="right" w:leader="dot" w:pos="9026"/>
        </w:tabs>
        <w:ind w:left="0" w:leftChars="0" w:firstLine="320" w:firstLineChars="100"/>
        <w:rPr>
          <w:rFonts w:hint="eastAsia" w:eastAsia="宋体"/>
          <w:sz w:val="32"/>
          <w:szCs w:val="32"/>
          <w:lang w:val="en-US" w:eastAsia="zh-CN"/>
        </w:rPr>
      </w:pPr>
      <w:r>
        <w:rPr>
          <w:rFonts w:hint="default"/>
          <w:sz w:val="32"/>
          <w:szCs w:val="32"/>
        </w:rPr>
        <w:fldChar w:fldCharType="begin"/>
      </w:r>
      <w:r>
        <w:rPr>
          <w:rFonts w:hint="default"/>
          <w:sz w:val="32"/>
          <w:szCs w:val="32"/>
        </w:rPr>
        <w:instrText xml:space="preserve"> HYPERLINK \l _Toc2643 </w:instrText>
      </w:r>
      <w:r>
        <w:rPr>
          <w:rFonts w:hint="default"/>
          <w:sz w:val="32"/>
          <w:szCs w:val="32"/>
        </w:rPr>
        <w:fldChar w:fldCharType="separate"/>
      </w:r>
      <w:r>
        <w:rPr>
          <w:rFonts w:ascii="Times New Roman" w:hAnsi="Times New Roman" w:cs="Times New Roman"/>
          <w:sz w:val="32"/>
          <w:szCs w:val="32"/>
        </w:rPr>
        <w:t>5.</w:t>
      </w:r>
      <w:r>
        <w:rPr>
          <w:rFonts w:hint="eastAsia" w:ascii="Times New Roman" w:hAnsi="Times New Roman" w:eastAsia="宋体" w:cs="Times New Roman"/>
          <w:sz w:val="32"/>
          <w:szCs w:val="32"/>
          <w:lang w:val="en-US" w:eastAsia="zh-CN"/>
        </w:rPr>
        <w:t>1 Threat of New Entry</w:t>
      </w:r>
      <w:r>
        <w:rPr>
          <w:sz w:val="32"/>
          <w:szCs w:val="32"/>
        </w:rPr>
        <w:tab/>
      </w:r>
      <w:r>
        <w:rPr>
          <w:rFonts w:hint="eastAsia" w:eastAsia="宋体"/>
          <w:sz w:val="32"/>
          <w:szCs w:val="32"/>
          <w:lang w:val="en-US" w:eastAsia="zh-CN"/>
        </w:rPr>
        <w:t>1</w:t>
      </w:r>
      <w:r>
        <w:rPr>
          <w:rFonts w:hint="default"/>
          <w:sz w:val="32"/>
          <w:szCs w:val="32"/>
        </w:rPr>
        <w:fldChar w:fldCharType="end"/>
      </w:r>
      <w:r>
        <w:rPr>
          <w:rFonts w:hint="eastAsia" w:eastAsia="宋体"/>
          <w:sz w:val="32"/>
          <w:szCs w:val="32"/>
          <w:lang w:val="en-US" w:eastAsia="zh-CN"/>
        </w:rPr>
        <w:t>3</w:t>
      </w:r>
    </w:p>
    <w:p>
      <w:pPr>
        <w:pStyle w:val="5"/>
        <w:tabs>
          <w:tab w:val="right" w:leader="dot" w:pos="9026"/>
        </w:tabs>
        <w:ind w:left="0" w:leftChars="0" w:firstLine="320" w:firstLineChars="100"/>
        <w:rPr>
          <w:rFonts w:hint="eastAsia" w:eastAsia="宋体"/>
          <w:sz w:val="32"/>
          <w:szCs w:val="32"/>
          <w:lang w:val="en-US" w:eastAsia="zh-CN"/>
        </w:rPr>
      </w:pPr>
      <w:r>
        <w:rPr>
          <w:rFonts w:hint="default"/>
          <w:sz w:val="32"/>
          <w:szCs w:val="32"/>
        </w:rPr>
        <w:fldChar w:fldCharType="begin"/>
      </w:r>
      <w:r>
        <w:rPr>
          <w:rFonts w:hint="default"/>
          <w:sz w:val="32"/>
          <w:szCs w:val="32"/>
        </w:rPr>
        <w:instrText xml:space="preserve"> HYPERLINK \l _Toc2643 </w:instrText>
      </w:r>
      <w:r>
        <w:rPr>
          <w:rFonts w:hint="default"/>
          <w:sz w:val="32"/>
          <w:szCs w:val="32"/>
        </w:rPr>
        <w:fldChar w:fldCharType="separate"/>
      </w:r>
      <w:r>
        <w:rPr>
          <w:rFonts w:ascii="Times New Roman" w:hAnsi="Times New Roman" w:cs="Times New Roman"/>
          <w:sz w:val="32"/>
          <w:szCs w:val="32"/>
        </w:rPr>
        <w:t>5.</w:t>
      </w:r>
      <w:r>
        <w:rPr>
          <w:rFonts w:hint="eastAsia" w:ascii="Times New Roman" w:hAnsi="Times New Roman" w:eastAsia="宋体" w:cs="Times New Roman"/>
          <w:sz w:val="32"/>
          <w:szCs w:val="32"/>
          <w:lang w:val="en-US" w:eastAsia="zh-CN"/>
        </w:rPr>
        <w:t>2 Threat of Substitution</w:t>
      </w:r>
      <w:r>
        <w:rPr>
          <w:sz w:val="32"/>
          <w:szCs w:val="32"/>
        </w:rPr>
        <w:tab/>
      </w:r>
      <w:r>
        <w:rPr>
          <w:rFonts w:hint="eastAsia" w:eastAsia="宋体"/>
          <w:sz w:val="32"/>
          <w:szCs w:val="32"/>
          <w:lang w:val="en-US" w:eastAsia="zh-CN"/>
        </w:rPr>
        <w:t>1</w:t>
      </w:r>
      <w:r>
        <w:rPr>
          <w:rFonts w:hint="default"/>
          <w:sz w:val="32"/>
          <w:szCs w:val="32"/>
        </w:rPr>
        <w:fldChar w:fldCharType="end"/>
      </w:r>
      <w:r>
        <w:rPr>
          <w:rFonts w:hint="eastAsia" w:eastAsia="宋体"/>
          <w:sz w:val="32"/>
          <w:szCs w:val="32"/>
          <w:lang w:val="en-US" w:eastAsia="zh-CN"/>
        </w:rPr>
        <w:t>3</w:t>
      </w:r>
    </w:p>
    <w:p>
      <w:pPr>
        <w:pStyle w:val="5"/>
        <w:tabs>
          <w:tab w:val="right" w:leader="dot" w:pos="9026"/>
        </w:tabs>
        <w:ind w:left="0" w:leftChars="0" w:firstLine="320" w:firstLineChars="100"/>
        <w:rPr>
          <w:rFonts w:hint="eastAsia" w:eastAsia="宋体"/>
          <w:sz w:val="32"/>
          <w:szCs w:val="32"/>
          <w:lang w:val="en-US" w:eastAsia="zh-CN"/>
        </w:rPr>
      </w:pPr>
      <w:r>
        <w:rPr>
          <w:rFonts w:hint="default"/>
          <w:sz w:val="32"/>
          <w:szCs w:val="32"/>
        </w:rPr>
        <w:fldChar w:fldCharType="begin"/>
      </w:r>
      <w:r>
        <w:rPr>
          <w:rFonts w:hint="default"/>
          <w:sz w:val="32"/>
          <w:szCs w:val="32"/>
        </w:rPr>
        <w:instrText xml:space="preserve"> HYPERLINK \l _Toc2643 </w:instrText>
      </w:r>
      <w:r>
        <w:rPr>
          <w:rFonts w:hint="default"/>
          <w:sz w:val="32"/>
          <w:szCs w:val="32"/>
        </w:rPr>
        <w:fldChar w:fldCharType="separate"/>
      </w:r>
      <w:r>
        <w:rPr>
          <w:rFonts w:ascii="Times New Roman" w:hAnsi="Times New Roman" w:cs="Times New Roman"/>
          <w:sz w:val="32"/>
          <w:szCs w:val="32"/>
        </w:rPr>
        <w:t>5.</w:t>
      </w:r>
      <w:r>
        <w:rPr>
          <w:rFonts w:hint="eastAsia" w:ascii="Times New Roman" w:hAnsi="Times New Roman" w:eastAsia="宋体" w:cs="Times New Roman"/>
          <w:sz w:val="32"/>
          <w:szCs w:val="32"/>
          <w:lang w:val="en-US" w:eastAsia="zh-CN"/>
        </w:rPr>
        <w:t>3 Bargaining Power of Suppliers</w:t>
      </w:r>
      <w:r>
        <w:rPr>
          <w:sz w:val="32"/>
          <w:szCs w:val="32"/>
        </w:rPr>
        <w:tab/>
      </w:r>
      <w:r>
        <w:rPr>
          <w:rFonts w:hint="eastAsia" w:eastAsia="宋体"/>
          <w:sz w:val="32"/>
          <w:szCs w:val="32"/>
          <w:lang w:val="en-US" w:eastAsia="zh-CN"/>
        </w:rPr>
        <w:t>1</w:t>
      </w:r>
      <w:r>
        <w:rPr>
          <w:rFonts w:hint="default"/>
          <w:sz w:val="32"/>
          <w:szCs w:val="32"/>
        </w:rPr>
        <w:fldChar w:fldCharType="end"/>
      </w:r>
      <w:r>
        <w:rPr>
          <w:rFonts w:hint="eastAsia" w:eastAsia="宋体"/>
          <w:sz w:val="32"/>
          <w:szCs w:val="32"/>
          <w:lang w:val="en-US" w:eastAsia="zh-CN"/>
        </w:rPr>
        <w:t>4</w:t>
      </w:r>
    </w:p>
    <w:p>
      <w:pPr>
        <w:pStyle w:val="5"/>
        <w:tabs>
          <w:tab w:val="right" w:leader="dot" w:pos="9026"/>
        </w:tabs>
        <w:ind w:left="0" w:leftChars="0" w:firstLine="320" w:firstLineChars="100"/>
        <w:rPr>
          <w:rFonts w:hint="eastAsia" w:eastAsia="宋体"/>
          <w:sz w:val="32"/>
          <w:szCs w:val="32"/>
          <w:lang w:val="en-US" w:eastAsia="zh-CN"/>
        </w:rPr>
      </w:pPr>
      <w:r>
        <w:rPr>
          <w:rFonts w:hint="default"/>
          <w:sz w:val="32"/>
          <w:szCs w:val="32"/>
        </w:rPr>
        <w:fldChar w:fldCharType="begin"/>
      </w:r>
      <w:r>
        <w:rPr>
          <w:rFonts w:hint="default"/>
          <w:sz w:val="32"/>
          <w:szCs w:val="32"/>
        </w:rPr>
        <w:instrText xml:space="preserve"> HYPERLINK \l _Toc2643 </w:instrText>
      </w:r>
      <w:r>
        <w:rPr>
          <w:rFonts w:hint="default"/>
          <w:sz w:val="32"/>
          <w:szCs w:val="32"/>
        </w:rPr>
        <w:fldChar w:fldCharType="separate"/>
      </w:r>
      <w:r>
        <w:rPr>
          <w:rFonts w:ascii="Times New Roman" w:hAnsi="Times New Roman" w:cs="Times New Roman"/>
          <w:sz w:val="32"/>
          <w:szCs w:val="32"/>
        </w:rPr>
        <w:t>5.</w:t>
      </w:r>
      <w:r>
        <w:rPr>
          <w:rFonts w:hint="eastAsia" w:ascii="Times New Roman" w:hAnsi="Times New Roman" w:eastAsia="宋体" w:cs="Times New Roman"/>
          <w:sz w:val="32"/>
          <w:szCs w:val="32"/>
          <w:lang w:val="en-US" w:eastAsia="zh-CN"/>
        </w:rPr>
        <w:t>4 Bargaining Power of Buyers</w:t>
      </w:r>
      <w:r>
        <w:rPr>
          <w:sz w:val="32"/>
          <w:szCs w:val="32"/>
        </w:rPr>
        <w:tab/>
      </w:r>
      <w:r>
        <w:rPr>
          <w:rFonts w:hint="eastAsia" w:eastAsia="宋体"/>
          <w:sz w:val="32"/>
          <w:szCs w:val="32"/>
          <w:lang w:val="en-US" w:eastAsia="zh-CN"/>
        </w:rPr>
        <w:t>1</w:t>
      </w:r>
      <w:r>
        <w:rPr>
          <w:rFonts w:hint="default"/>
          <w:sz w:val="32"/>
          <w:szCs w:val="32"/>
        </w:rPr>
        <w:fldChar w:fldCharType="end"/>
      </w:r>
      <w:r>
        <w:rPr>
          <w:rFonts w:hint="eastAsia" w:eastAsia="宋体"/>
          <w:sz w:val="32"/>
          <w:szCs w:val="32"/>
          <w:lang w:val="en-US" w:eastAsia="zh-CN"/>
        </w:rPr>
        <w:t>4</w:t>
      </w:r>
    </w:p>
    <w:p>
      <w:pPr>
        <w:pStyle w:val="5"/>
        <w:tabs>
          <w:tab w:val="right" w:leader="dot" w:pos="9026"/>
        </w:tabs>
        <w:ind w:left="0" w:leftChars="0" w:firstLine="320" w:firstLineChars="100"/>
        <w:rPr>
          <w:rFonts w:hint="eastAsia" w:eastAsia="宋体"/>
          <w:sz w:val="32"/>
          <w:szCs w:val="32"/>
          <w:lang w:val="en-US" w:eastAsia="zh-CN"/>
        </w:rPr>
      </w:pPr>
      <w:r>
        <w:rPr>
          <w:rFonts w:hint="default"/>
          <w:sz w:val="32"/>
          <w:szCs w:val="32"/>
        </w:rPr>
        <w:fldChar w:fldCharType="begin"/>
      </w:r>
      <w:r>
        <w:rPr>
          <w:rFonts w:hint="default"/>
          <w:sz w:val="32"/>
          <w:szCs w:val="32"/>
        </w:rPr>
        <w:instrText xml:space="preserve"> HYPERLINK \l _Toc2643 </w:instrText>
      </w:r>
      <w:r>
        <w:rPr>
          <w:rFonts w:hint="default"/>
          <w:sz w:val="32"/>
          <w:szCs w:val="32"/>
        </w:rPr>
        <w:fldChar w:fldCharType="separate"/>
      </w:r>
      <w:r>
        <w:rPr>
          <w:rFonts w:ascii="Times New Roman" w:hAnsi="Times New Roman" w:cs="Times New Roman"/>
          <w:sz w:val="32"/>
          <w:szCs w:val="32"/>
        </w:rPr>
        <w:t>5.</w:t>
      </w:r>
      <w:r>
        <w:rPr>
          <w:rFonts w:hint="eastAsia" w:ascii="Times New Roman" w:hAnsi="Times New Roman" w:eastAsia="宋体" w:cs="Times New Roman"/>
          <w:sz w:val="32"/>
          <w:szCs w:val="32"/>
          <w:lang w:val="en-US" w:eastAsia="zh-CN"/>
        </w:rPr>
        <w:t>5 Industry Rivalry</w:t>
      </w:r>
      <w:r>
        <w:rPr>
          <w:sz w:val="32"/>
          <w:szCs w:val="32"/>
        </w:rPr>
        <w:tab/>
      </w:r>
      <w:r>
        <w:rPr>
          <w:rFonts w:hint="eastAsia" w:eastAsia="宋体"/>
          <w:sz w:val="32"/>
          <w:szCs w:val="32"/>
          <w:lang w:val="en-US" w:eastAsia="zh-CN"/>
        </w:rPr>
        <w:t>1</w:t>
      </w:r>
      <w:r>
        <w:rPr>
          <w:rFonts w:hint="default"/>
          <w:sz w:val="32"/>
          <w:szCs w:val="32"/>
        </w:rPr>
        <w:fldChar w:fldCharType="end"/>
      </w:r>
      <w:r>
        <w:rPr>
          <w:rFonts w:hint="eastAsia" w:eastAsia="宋体"/>
          <w:sz w:val="32"/>
          <w:szCs w:val="32"/>
          <w:lang w:val="en-US" w:eastAsia="zh-CN"/>
        </w:rPr>
        <w:t>5</w:t>
      </w:r>
    </w:p>
    <w:p/>
    <w:p>
      <w:pPr>
        <w:pStyle w:val="10"/>
        <w:tabs>
          <w:tab w:val="right" w:leader="dot" w:pos="9026"/>
        </w:tabs>
        <w:ind w:left="0" w:leftChars="0" w:firstLine="0" w:firstLineChars="0"/>
        <w:rPr>
          <w:sz w:val="32"/>
          <w:szCs w:val="32"/>
        </w:rPr>
      </w:pPr>
      <w:r>
        <w:rPr>
          <w:rFonts w:hint="default"/>
          <w:sz w:val="32"/>
          <w:szCs w:val="32"/>
        </w:rPr>
        <w:fldChar w:fldCharType="begin"/>
      </w:r>
      <w:r>
        <w:rPr>
          <w:rFonts w:hint="default"/>
          <w:sz w:val="32"/>
          <w:szCs w:val="32"/>
        </w:rPr>
        <w:instrText xml:space="preserve"> HYPERLINK \l _Toc23207 </w:instrText>
      </w:r>
      <w:r>
        <w:rPr>
          <w:rFonts w:hint="default"/>
          <w:sz w:val="32"/>
          <w:szCs w:val="32"/>
        </w:rPr>
        <w:fldChar w:fldCharType="separate"/>
      </w:r>
      <w:r>
        <w:rPr>
          <w:rFonts w:ascii="Times New Roman" w:hAnsi="Times New Roman" w:cs="Times New Roman"/>
          <w:sz w:val="32"/>
          <w:szCs w:val="32"/>
        </w:rPr>
        <w:t>6. Internal analysis</w:t>
      </w:r>
      <w:r>
        <w:rPr>
          <w:sz w:val="32"/>
          <w:szCs w:val="32"/>
        </w:rPr>
        <w:tab/>
      </w:r>
      <w:r>
        <w:rPr>
          <w:sz w:val="32"/>
          <w:szCs w:val="32"/>
        </w:rPr>
        <w:fldChar w:fldCharType="begin"/>
      </w:r>
      <w:r>
        <w:rPr>
          <w:sz w:val="32"/>
          <w:szCs w:val="32"/>
        </w:rPr>
        <w:instrText xml:space="preserve"> PAGEREF _Toc23207 \h </w:instrText>
      </w:r>
      <w:r>
        <w:rPr>
          <w:sz w:val="32"/>
          <w:szCs w:val="32"/>
        </w:rPr>
        <w:fldChar w:fldCharType="separate"/>
      </w:r>
      <w:r>
        <w:rPr>
          <w:sz w:val="32"/>
          <w:szCs w:val="32"/>
        </w:rPr>
        <w:t>18</w:t>
      </w:r>
      <w:r>
        <w:rPr>
          <w:sz w:val="32"/>
          <w:szCs w:val="32"/>
        </w:rPr>
        <w:fldChar w:fldCharType="end"/>
      </w:r>
      <w:r>
        <w:rPr>
          <w:rFonts w:hint="default"/>
          <w:sz w:val="32"/>
          <w:szCs w:val="32"/>
        </w:rPr>
        <w:fldChar w:fldCharType="end"/>
      </w:r>
    </w:p>
    <w:p>
      <w:pPr>
        <w:pStyle w:val="5"/>
        <w:tabs>
          <w:tab w:val="right" w:leader="dot" w:pos="9026"/>
        </w:tabs>
        <w:ind w:left="0" w:leftChars="0" w:firstLine="320" w:firstLineChars="100"/>
        <w:rPr>
          <w:sz w:val="32"/>
          <w:szCs w:val="32"/>
        </w:rPr>
      </w:pPr>
      <w:r>
        <w:rPr>
          <w:rFonts w:hint="default"/>
          <w:sz w:val="32"/>
          <w:szCs w:val="32"/>
        </w:rPr>
        <w:fldChar w:fldCharType="begin"/>
      </w:r>
      <w:r>
        <w:rPr>
          <w:rFonts w:hint="default"/>
          <w:sz w:val="32"/>
          <w:szCs w:val="32"/>
        </w:rPr>
        <w:instrText xml:space="preserve"> HYPERLINK \l _Toc12001 </w:instrText>
      </w:r>
      <w:r>
        <w:rPr>
          <w:rFonts w:hint="default"/>
          <w:sz w:val="32"/>
          <w:szCs w:val="32"/>
        </w:rPr>
        <w:fldChar w:fldCharType="separate"/>
      </w:r>
      <w:r>
        <w:rPr>
          <w:rFonts w:hint="eastAsia" w:ascii="Times New Roman" w:hAnsi="Times New Roman" w:cs="Times New Roman"/>
          <w:sz w:val="32"/>
          <w:szCs w:val="32"/>
          <w:lang w:val="en-US" w:eastAsia="zh-CN"/>
        </w:rPr>
        <w:t xml:space="preserve">6.1 </w:t>
      </w:r>
      <w:r>
        <w:rPr>
          <w:rFonts w:ascii="Times New Roman" w:hAnsi="Times New Roman" w:cs="Times New Roman"/>
          <w:sz w:val="32"/>
          <w:szCs w:val="32"/>
        </w:rPr>
        <w:t>VRIO analysis of Unilever</w:t>
      </w:r>
      <w:r>
        <w:rPr>
          <w:sz w:val="32"/>
          <w:szCs w:val="32"/>
        </w:rPr>
        <w:tab/>
      </w:r>
      <w:r>
        <w:rPr>
          <w:sz w:val="32"/>
          <w:szCs w:val="32"/>
        </w:rPr>
        <w:fldChar w:fldCharType="begin"/>
      </w:r>
      <w:r>
        <w:rPr>
          <w:sz w:val="32"/>
          <w:szCs w:val="32"/>
        </w:rPr>
        <w:instrText xml:space="preserve"> PAGEREF _Toc12001 \h </w:instrText>
      </w:r>
      <w:r>
        <w:rPr>
          <w:sz w:val="32"/>
          <w:szCs w:val="32"/>
        </w:rPr>
        <w:fldChar w:fldCharType="separate"/>
      </w:r>
      <w:r>
        <w:rPr>
          <w:sz w:val="32"/>
          <w:szCs w:val="32"/>
        </w:rPr>
        <w:t>18</w:t>
      </w:r>
      <w:r>
        <w:rPr>
          <w:sz w:val="32"/>
          <w:szCs w:val="32"/>
        </w:rPr>
        <w:fldChar w:fldCharType="end"/>
      </w:r>
      <w:r>
        <w:rPr>
          <w:rFonts w:hint="default"/>
          <w:sz w:val="32"/>
          <w:szCs w:val="32"/>
        </w:rPr>
        <w:fldChar w:fldCharType="end"/>
      </w:r>
    </w:p>
    <w:p>
      <w:pPr>
        <w:pStyle w:val="5"/>
        <w:tabs>
          <w:tab w:val="right" w:leader="dot" w:pos="9026"/>
        </w:tabs>
        <w:ind w:left="0" w:leftChars="0" w:firstLine="320" w:firstLineChars="100"/>
        <w:rPr>
          <w:sz w:val="32"/>
          <w:szCs w:val="32"/>
        </w:rPr>
      </w:pPr>
      <w:r>
        <w:rPr>
          <w:rFonts w:hint="default"/>
          <w:sz w:val="32"/>
          <w:szCs w:val="32"/>
        </w:rPr>
        <w:fldChar w:fldCharType="begin"/>
      </w:r>
      <w:r>
        <w:rPr>
          <w:rFonts w:hint="default"/>
          <w:sz w:val="32"/>
          <w:szCs w:val="32"/>
        </w:rPr>
        <w:instrText xml:space="preserve"> HYPERLINK \l _Toc23037 </w:instrText>
      </w:r>
      <w:r>
        <w:rPr>
          <w:rFonts w:hint="default"/>
          <w:sz w:val="32"/>
          <w:szCs w:val="32"/>
        </w:rPr>
        <w:fldChar w:fldCharType="separate"/>
      </w:r>
      <w:r>
        <w:rPr>
          <w:rFonts w:hint="eastAsia" w:ascii="Times New Roman" w:hAnsi="Times New Roman" w:cs="Times New Roman"/>
          <w:sz w:val="32"/>
          <w:szCs w:val="32"/>
          <w:lang w:val="en-US" w:eastAsia="zh-CN"/>
        </w:rPr>
        <w:t>6.2</w:t>
      </w:r>
      <w:r>
        <w:rPr>
          <w:rFonts w:ascii="Times New Roman" w:hAnsi="Times New Roman" w:cs="Times New Roman"/>
          <w:sz w:val="32"/>
          <w:szCs w:val="32"/>
        </w:rPr>
        <w:t>Porter’s generic strategies</w:t>
      </w:r>
      <w:r>
        <w:rPr>
          <w:sz w:val="32"/>
          <w:szCs w:val="32"/>
        </w:rPr>
        <w:tab/>
      </w:r>
      <w:r>
        <w:rPr>
          <w:sz w:val="32"/>
          <w:szCs w:val="32"/>
        </w:rPr>
        <w:fldChar w:fldCharType="begin"/>
      </w:r>
      <w:r>
        <w:rPr>
          <w:sz w:val="32"/>
          <w:szCs w:val="32"/>
        </w:rPr>
        <w:instrText xml:space="preserve"> PAGEREF _Toc23037 \h </w:instrText>
      </w:r>
      <w:r>
        <w:rPr>
          <w:sz w:val="32"/>
          <w:szCs w:val="32"/>
        </w:rPr>
        <w:fldChar w:fldCharType="separate"/>
      </w:r>
      <w:r>
        <w:rPr>
          <w:sz w:val="32"/>
          <w:szCs w:val="32"/>
        </w:rPr>
        <w:t>19</w:t>
      </w:r>
      <w:r>
        <w:rPr>
          <w:sz w:val="32"/>
          <w:szCs w:val="32"/>
        </w:rPr>
        <w:fldChar w:fldCharType="end"/>
      </w:r>
      <w:r>
        <w:rPr>
          <w:rFonts w:hint="default"/>
          <w:sz w:val="32"/>
          <w:szCs w:val="32"/>
        </w:rPr>
        <w:fldChar w:fldCharType="end"/>
      </w:r>
    </w:p>
    <w:p>
      <w:pPr>
        <w:pStyle w:val="9"/>
        <w:tabs>
          <w:tab w:val="right" w:leader="dot" w:pos="9026"/>
        </w:tabs>
        <w:rPr>
          <w:rFonts w:hint="default"/>
          <w:sz w:val="32"/>
          <w:szCs w:val="32"/>
        </w:rPr>
      </w:pPr>
      <w:r>
        <w:rPr>
          <w:rFonts w:hint="default"/>
          <w:sz w:val="32"/>
          <w:szCs w:val="32"/>
        </w:rPr>
        <w:fldChar w:fldCharType="begin"/>
      </w:r>
      <w:r>
        <w:rPr>
          <w:rFonts w:hint="default"/>
          <w:sz w:val="32"/>
          <w:szCs w:val="32"/>
        </w:rPr>
        <w:instrText xml:space="preserve"> HYPERLINK \l _Toc15097 </w:instrText>
      </w:r>
      <w:r>
        <w:rPr>
          <w:rFonts w:hint="default"/>
          <w:sz w:val="32"/>
          <w:szCs w:val="32"/>
        </w:rPr>
        <w:fldChar w:fldCharType="separate"/>
      </w:r>
      <w:r>
        <w:rPr>
          <w:rFonts w:ascii="Times New Roman" w:hAnsi="Times New Roman" w:cs="Times New Roman"/>
          <w:sz w:val="32"/>
          <w:szCs w:val="32"/>
        </w:rPr>
        <w:t>7. Conclusions</w:t>
      </w:r>
      <w:r>
        <w:rPr>
          <w:sz w:val="32"/>
          <w:szCs w:val="32"/>
        </w:rPr>
        <w:tab/>
      </w:r>
      <w:r>
        <w:rPr>
          <w:sz w:val="32"/>
          <w:szCs w:val="32"/>
        </w:rPr>
        <w:fldChar w:fldCharType="begin"/>
      </w:r>
      <w:r>
        <w:rPr>
          <w:sz w:val="32"/>
          <w:szCs w:val="32"/>
        </w:rPr>
        <w:instrText xml:space="preserve"> PAGEREF _Toc15097 \h </w:instrText>
      </w:r>
      <w:r>
        <w:rPr>
          <w:sz w:val="32"/>
          <w:szCs w:val="32"/>
        </w:rPr>
        <w:fldChar w:fldCharType="separate"/>
      </w:r>
      <w:r>
        <w:rPr>
          <w:sz w:val="32"/>
          <w:szCs w:val="32"/>
        </w:rPr>
        <w:t>22</w:t>
      </w:r>
      <w:r>
        <w:rPr>
          <w:sz w:val="32"/>
          <w:szCs w:val="32"/>
        </w:rPr>
        <w:fldChar w:fldCharType="end"/>
      </w:r>
      <w:r>
        <w:rPr>
          <w:rFonts w:hint="default"/>
          <w:sz w:val="32"/>
          <w:szCs w:val="32"/>
        </w:rPr>
        <w:fldChar w:fldCharType="end"/>
      </w:r>
    </w:p>
    <w:p>
      <w:pPr>
        <w:pStyle w:val="9"/>
        <w:tabs>
          <w:tab w:val="right" w:leader="dot" w:pos="9026"/>
        </w:tabs>
        <w:rPr>
          <w:rFonts w:hint="default"/>
          <w:sz w:val="32"/>
          <w:szCs w:val="32"/>
        </w:rPr>
      </w:pPr>
      <w:r>
        <w:rPr>
          <w:rFonts w:hint="eastAsia" w:eastAsia="宋体"/>
          <w:sz w:val="32"/>
          <w:szCs w:val="32"/>
          <w:lang w:val="en-US" w:eastAsia="zh-CN"/>
        </w:rPr>
        <w:t xml:space="preserve">8. </w:t>
      </w:r>
      <w:r>
        <w:rPr>
          <w:rFonts w:hint="default"/>
          <w:sz w:val="32"/>
          <w:szCs w:val="32"/>
        </w:rPr>
        <w:fldChar w:fldCharType="begin"/>
      </w:r>
      <w:r>
        <w:rPr>
          <w:rFonts w:hint="default"/>
          <w:sz w:val="32"/>
          <w:szCs w:val="32"/>
        </w:rPr>
        <w:instrText xml:space="preserve"> HYPERLINK \l _Toc9221 </w:instrText>
      </w:r>
      <w:r>
        <w:rPr>
          <w:rFonts w:hint="default"/>
          <w:sz w:val="32"/>
          <w:szCs w:val="32"/>
        </w:rPr>
        <w:fldChar w:fldCharType="separate"/>
      </w:r>
      <w:r>
        <w:rPr>
          <w:rFonts w:hint="default"/>
          <w:sz w:val="32"/>
          <w:szCs w:val="32"/>
        </w:rPr>
        <w:t>Recommendations</w:t>
      </w:r>
      <w:r>
        <w:rPr>
          <w:sz w:val="32"/>
          <w:szCs w:val="32"/>
        </w:rPr>
        <w:tab/>
      </w:r>
      <w:r>
        <w:rPr>
          <w:sz w:val="32"/>
          <w:szCs w:val="32"/>
        </w:rPr>
        <w:fldChar w:fldCharType="begin"/>
      </w:r>
      <w:r>
        <w:rPr>
          <w:sz w:val="32"/>
          <w:szCs w:val="32"/>
        </w:rPr>
        <w:instrText xml:space="preserve"> PAGEREF _Toc9221 \h </w:instrText>
      </w:r>
      <w:r>
        <w:rPr>
          <w:sz w:val="32"/>
          <w:szCs w:val="32"/>
        </w:rPr>
        <w:fldChar w:fldCharType="separate"/>
      </w:r>
      <w:r>
        <w:rPr>
          <w:sz w:val="32"/>
          <w:szCs w:val="32"/>
        </w:rPr>
        <w:t>2</w:t>
      </w:r>
      <w:r>
        <w:rPr>
          <w:rFonts w:hint="eastAsia" w:eastAsia="宋体"/>
          <w:sz w:val="32"/>
          <w:szCs w:val="32"/>
          <w:lang w:val="en-US" w:eastAsia="zh-CN"/>
        </w:rPr>
        <w:t>5</w:t>
      </w:r>
      <w:r>
        <w:rPr>
          <w:sz w:val="32"/>
          <w:szCs w:val="32"/>
        </w:rPr>
        <w:fldChar w:fldCharType="end"/>
      </w:r>
      <w:r>
        <w:rPr>
          <w:rFonts w:hint="default"/>
          <w:sz w:val="32"/>
          <w:szCs w:val="32"/>
        </w:rPr>
        <w:fldChar w:fldCharType="end"/>
      </w:r>
    </w:p>
    <w:p>
      <w:pPr>
        <w:pStyle w:val="9"/>
        <w:tabs>
          <w:tab w:val="right" w:leader="dot" w:pos="9026"/>
        </w:tabs>
        <w:rPr>
          <w:sz w:val="32"/>
          <w:szCs w:val="32"/>
        </w:rPr>
      </w:pPr>
      <w:r>
        <w:rPr>
          <w:rFonts w:hint="default"/>
          <w:sz w:val="32"/>
          <w:szCs w:val="32"/>
        </w:rPr>
        <w:fldChar w:fldCharType="begin"/>
      </w:r>
      <w:r>
        <w:rPr>
          <w:rFonts w:hint="default"/>
          <w:sz w:val="32"/>
          <w:szCs w:val="32"/>
        </w:rPr>
        <w:instrText xml:space="preserve"> HYPERLINK \l _Toc9221 </w:instrText>
      </w:r>
      <w:r>
        <w:rPr>
          <w:rFonts w:hint="default"/>
          <w:sz w:val="32"/>
          <w:szCs w:val="32"/>
        </w:rPr>
        <w:fldChar w:fldCharType="separate"/>
      </w:r>
      <w:r>
        <w:rPr>
          <w:rFonts w:ascii="Times New Roman" w:hAnsi="Times New Roman" w:cs="Times New Roman"/>
          <w:sz w:val="32"/>
          <w:szCs w:val="32"/>
        </w:rPr>
        <w:t>References</w:t>
      </w:r>
      <w:r>
        <w:rPr>
          <w:sz w:val="32"/>
          <w:szCs w:val="32"/>
        </w:rPr>
        <w:tab/>
      </w:r>
      <w:r>
        <w:rPr>
          <w:sz w:val="32"/>
          <w:szCs w:val="32"/>
        </w:rPr>
        <w:fldChar w:fldCharType="begin"/>
      </w:r>
      <w:r>
        <w:rPr>
          <w:sz w:val="32"/>
          <w:szCs w:val="32"/>
        </w:rPr>
        <w:instrText xml:space="preserve"> PAGEREF _Toc9221 \h </w:instrText>
      </w:r>
      <w:r>
        <w:rPr>
          <w:sz w:val="32"/>
          <w:szCs w:val="32"/>
        </w:rPr>
        <w:fldChar w:fldCharType="separate"/>
      </w:r>
      <w:r>
        <w:rPr>
          <w:sz w:val="32"/>
          <w:szCs w:val="32"/>
        </w:rPr>
        <w:t>27</w:t>
      </w:r>
      <w:r>
        <w:rPr>
          <w:sz w:val="32"/>
          <w:szCs w:val="32"/>
        </w:rPr>
        <w:fldChar w:fldCharType="end"/>
      </w:r>
      <w:r>
        <w:rPr>
          <w:rFonts w:hint="default"/>
          <w:sz w:val="32"/>
          <w:szCs w:val="32"/>
        </w:rPr>
        <w:fldChar w:fldCharType="end"/>
      </w:r>
    </w:p>
    <w:p>
      <w:pPr>
        <w:rPr>
          <w:rFonts w:hint="default"/>
        </w:rPr>
      </w:pPr>
      <w:r>
        <w:rPr>
          <w:rFonts w:hint="default"/>
        </w:rPr>
        <w:fldChar w:fldCharType="end"/>
      </w:r>
    </w:p>
    <w:p>
      <w:pPr>
        <w:rPr>
          <w:rFonts w:hint="default"/>
        </w:rPr>
      </w:pPr>
    </w:p>
    <w:p>
      <w:pPr>
        <w:rPr>
          <w:rFonts w:hint="default"/>
        </w:rPr>
      </w:pPr>
    </w:p>
    <w:p>
      <w:pPr>
        <w:pStyle w:val="2"/>
        <w:spacing w:line="480" w:lineRule="auto"/>
        <w:jc w:val="center"/>
        <w:rPr>
          <w:rFonts w:ascii="Times New Roman" w:hAnsi="Times New Roman" w:cs="Times New Roman"/>
          <w:color w:val="auto"/>
          <w:sz w:val="24"/>
          <w:szCs w:val="24"/>
        </w:rPr>
      </w:pPr>
    </w:p>
    <w:p>
      <w:pPr>
        <w:pStyle w:val="2"/>
        <w:spacing w:line="480" w:lineRule="auto"/>
        <w:jc w:val="center"/>
        <w:rPr>
          <w:rFonts w:ascii="Times New Roman" w:hAnsi="Times New Roman" w:cs="Times New Roman"/>
          <w:color w:val="auto"/>
          <w:sz w:val="24"/>
          <w:szCs w:val="24"/>
        </w:rPr>
      </w:pPr>
    </w:p>
    <w:p>
      <w:pPr>
        <w:pStyle w:val="2"/>
        <w:spacing w:line="480" w:lineRule="auto"/>
        <w:jc w:val="center"/>
        <w:rPr>
          <w:rFonts w:ascii="Times New Roman" w:hAnsi="Times New Roman" w:cs="Times New Roman"/>
          <w:color w:val="auto"/>
          <w:sz w:val="24"/>
          <w:szCs w:val="24"/>
        </w:rPr>
      </w:pPr>
    </w:p>
    <w:p>
      <w:pPr>
        <w:pStyle w:val="2"/>
        <w:spacing w:line="480" w:lineRule="auto"/>
        <w:jc w:val="center"/>
        <w:rPr>
          <w:rFonts w:ascii="Times New Roman" w:hAnsi="Times New Roman" w:cs="Times New Roman"/>
          <w:color w:val="auto"/>
          <w:sz w:val="24"/>
          <w:szCs w:val="24"/>
        </w:rPr>
      </w:pPr>
    </w:p>
    <w:p>
      <w:pPr>
        <w:pStyle w:val="2"/>
        <w:spacing w:line="480" w:lineRule="auto"/>
        <w:jc w:val="both"/>
        <w:rPr>
          <w:rFonts w:ascii="Times New Roman" w:hAnsi="Times New Roman" w:cs="Times New Roman"/>
          <w:color w:val="auto"/>
          <w:sz w:val="24"/>
          <w:szCs w:val="24"/>
        </w:rPr>
      </w:pPr>
    </w:p>
    <w:p>
      <w:pPr>
        <w:pStyle w:val="2"/>
        <w:spacing w:line="480" w:lineRule="auto"/>
        <w:jc w:val="center"/>
        <w:rPr>
          <w:rFonts w:ascii="Times New Roman" w:hAnsi="Times New Roman" w:cs="Times New Roman"/>
          <w:color w:val="auto"/>
          <w:sz w:val="24"/>
          <w:szCs w:val="24"/>
        </w:rPr>
      </w:pPr>
    </w:p>
    <w:p>
      <w:pPr>
        <w:rPr>
          <w:rFonts w:ascii="Times New Roman" w:hAnsi="Times New Roman" w:cs="Times New Roman"/>
          <w:color w:val="auto"/>
          <w:sz w:val="24"/>
          <w:szCs w:val="24"/>
        </w:rPr>
      </w:pPr>
    </w:p>
    <w:p>
      <w:pPr>
        <w:rPr>
          <w:rFonts w:ascii="Times New Roman" w:hAnsi="Times New Roman" w:cs="Times New Roman"/>
          <w:color w:val="auto"/>
          <w:sz w:val="24"/>
          <w:szCs w:val="24"/>
        </w:rPr>
      </w:pPr>
    </w:p>
    <w:p>
      <w:pPr>
        <w:rPr>
          <w:rFonts w:ascii="Times New Roman" w:hAnsi="Times New Roman" w:cs="Times New Roman"/>
          <w:color w:val="auto"/>
          <w:sz w:val="24"/>
          <w:szCs w:val="24"/>
        </w:rPr>
      </w:pPr>
    </w:p>
    <w:p>
      <w:pPr>
        <w:rPr>
          <w:rFonts w:ascii="Times New Roman" w:hAnsi="Times New Roman" w:cs="Times New Roman"/>
          <w:color w:val="auto"/>
          <w:sz w:val="24"/>
          <w:szCs w:val="24"/>
        </w:rPr>
      </w:pPr>
    </w:p>
    <w:p>
      <w:pPr>
        <w:rPr>
          <w:rFonts w:ascii="Times New Roman" w:hAnsi="Times New Roman" w:cs="Times New Roman"/>
          <w:color w:val="auto"/>
          <w:sz w:val="24"/>
          <w:szCs w:val="24"/>
        </w:rPr>
      </w:pPr>
    </w:p>
    <w:p>
      <w:pPr>
        <w:spacing w:line="480" w:lineRule="auto"/>
        <w:ind w:firstLine="720"/>
        <w:rPr>
          <w:rFonts w:ascii="Times New Roman" w:hAnsi="Times New Roman" w:cs="Times New Roman"/>
          <w:sz w:val="24"/>
          <w:szCs w:val="24"/>
        </w:rPr>
      </w:pPr>
    </w:p>
    <w:p>
      <w:pPr>
        <w:pStyle w:val="2"/>
        <w:spacing w:line="480" w:lineRule="auto"/>
        <w:jc w:val="center"/>
        <w:rPr>
          <w:rFonts w:ascii="Times New Roman" w:hAnsi="Times New Roman" w:cs="Times New Roman"/>
          <w:sz w:val="24"/>
          <w:szCs w:val="24"/>
        </w:rPr>
      </w:pPr>
      <w:bookmarkStart w:id="1" w:name="_Toc29995"/>
      <w:r>
        <w:rPr>
          <w:rFonts w:ascii="Times New Roman" w:hAnsi="Times New Roman" w:cs="Times New Roman"/>
          <w:color w:val="auto"/>
          <w:sz w:val="24"/>
          <w:szCs w:val="24"/>
        </w:rPr>
        <w:t>Executive summary</w:t>
      </w:r>
      <w:bookmarkEnd w:id="1"/>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This report explored Unilever's strategic position in the FMCG industry. The key aim was to help the company reshape its strategy and gain a sustainable competitive advantage. The strategic analysis showed that Unilever is exposed to various threats and opportunities. For example, the company faces subdued economic growth, increased competition, slow population growth, and increasing acceptance of sustainable living. The company must leverage industry opportunities and address challenges to ensure its long-term survival. It should leverage the increased acceptance of sustainability by embedding sustainability into its corporate strategy. The analysis also showed that the company's core competencies and resources do not offer sustainable competitive advantages. For example, the company's strong logistics system is common, meaning that it cannot deliver superior performance in the future. In addition, the adopted differentiation strategy is quite expensive since it requires heavy investment. The strategy has also not helped the company deliver superior performance. Sales volumes have risen by an average of 1% between 2018 and 2021. This means that the pursuance of the product differentiation strategy does not guarantee high sales volumes. The company should therefore develop and implement other innovative strategies to gain a sustainable competitive advantage. In particular, the company should leverage technology to streamline operations and deliver products at competitively low prices. Such a strategy would enhance performance and reposition the company as a cost leader in the FMCG industry. This is specifically important since subdued economic growth is likely to reduce the consumption of high-priced products. In addition, the company should deliver hyper-personalised customer service. This is because a vast majority of customers commit to brands that offer personalised services. Therefore, the provision of hyper-personalised customer services would provide Unilever with an opportunity to reduce buyer power and consequently enhance its competitiveness in the FMCG industry. </w:t>
      </w:r>
    </w:p>
    <w:p>
      <w:pPr>
        <w:pStyle w:val="2"/>
        <w:spacing w:line="480" w:lineRule="auto"/>
        <w:jc w:val="center"/>
        <w:rPr>
          <w:rFonts w:ascii="Times New Roman" w:hAnsi="Times New Roman" w:cs="Times New Roman"/>
          <w:color w:val="auto"/>
          <w:sz w:val="24"/>
          <w:szCs w:val="24"/>
        </w:rPr>
        <w:sectPr>
          <w:pgSz w:w="11906" w:h="16838"/>
          <w:pgMar w:top="1440" w:right="1440" w:bottom="1440" w:left="1440" w:header="708" w:footer="708" w:gutter="0"/>
          <w:cols w:space="708" w:num="1"/>
          <w:docGrid w:linePitch="360" w:charSpace="0"/>
        </w:sectPr>
      </w:pPr>
    </w:p>
    <w:p>
      <w:pPr>
        <w:pStyle w:val="2"/>
        <w:numPr>
          <w:ilvl w:val="0"/>
          <w:numId w:val="1"/>
        </w:numPr>
        <w:spacing w:line="480" w:lineRule="auto"/>
        <w:jc w:val="left"/>
        <w:rPr>
          <w:rFonts w:ascii="Times New Roman" w:hAnsi="Times New Roman" w:cs="Times New Roman"/>
          <w:color w:val="auto"/>
          <w:sz w:val="24"/>
          <w:szCs w:val="24"/>
        </w:rPr>
      </w:pPr>
      <w:bookmarkStart w:id="2" w:name="_Toc28012"/>
      <w:r>
        <w:rPr>
          <w:rFonts w:ascii="Times New Roman" w:hAnsi="Times New Roman" w:cs="Times New Roman"/>
          <w:color w:val="auto"/>
          <w:sz w:val="24"/>
          <w:szCs w:val="24"/>
        </w:rPr>
        <w:t>Introduction</w:t>
      </w:r>
      <w:bookmarkEnd w:id="2"/>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Today, firms conduct strategic analysis to understand the key forces that could influence their long-term growth (</w:t>
      </w:r>
      <w:r>
        <w:rPr>
          <w:rFonts w:ascii="Times New Roman" w:hAnsi="Times New Roman" w:cs="Times New Roman"/>
          <w:sz w:val="24"/>
          <w:szCs w:val="24"/>
          <w:shd w:val="clear" w:color="auto" w:fill="FFFFFF"/>
        </w:rPr>
        <w:t>Henry, 2021)</w:t>
      </w:r>
      <w:r>
        <w:rPr>
          <w:rFonts w:ascii="Times New Roman" w:hAnsi="Times New Roman" w:cs="Times New Roman"/>
          <w:sz w:val="24"/>
          <w:szCs w:val="24"/>
        </w:rPr>
        <w:t>. The analysis is often carried out from both corporate and long-term perspectives. From a corporate perspective, strategic analysis allows firms to gain insights that inform strategic decision-making. For example, strategic analysis allows firms to determine their strengths and weaknesses in relation to the industry (</w:t>
      </w:r>
      <w:r>
        <w:rPr>
          <w:rFonts w:ascii="Times New Roman" w:hAnsi="Times New Roman" w:cs="Times New Roman"/>
          <w:sz w:val="24"/>
          <w:szCs w:val="24"/>
          <w:shd w:val="clear" w:color="auto" w:fill="FFFFFF"/>
        </w:rPr>
        <w:t>Henry, 2021)</w:t>
      </w:r>
      <w:r>
        <w:rPr>
          <w:rFonts w:ascii="Times New Roman" w:hAnsi="Times New Roman" w:cs="Times New Roman"/>
          <w:sz w:val="24"/>
          <w:szCs w:val="24"/>
        </w:rPr>
        <w:t>. The analysis also reveals possible opportunities and threats that need to be considered in decision-making. The analysis is particularly important for firms that seek to improve their competitiveness in the industry. Therefore, a company like Unilever can leverage strategic analysis to reshape its strategic direction and gain a sustainable competitive advantage. This report aims to help the company position itself as a customer-centric brand that delivers innovative customer care. The report conducts both internal and external analysis to determine the company's strategic options for more personalised customer care.</w:t>
      </w:r>
    </w:p>
    <w:p>
      <w:pPr>
        <w:pStyle w:val="2"/>
        <w:spacing w:line="480" w:lineRule="auto"/>
        <w:jc w:val="both"/>
        <w:rPr>
          <w:rFonts w:ascii="Times New Roman" w:hAnsi="Times New Roman" w:cs="Times New Roman"/>
          <w:color w:val="auto"/>
          <w:sz w:val="24"/>
          <w:szCs w:val="24"/>
        </w:rPr>
      </w:pPr>
    </w:p>
    <w:p>
      <w:pPr>
        <w:pStyle w:val="2"/>
        <w:spacing w:line="480" w:lineRule="auto"/>
        <w:jc w:val="center"/>
        <w:rPr>
          <w:rFonts w:ascii="Times New Roman" w:hAnsi="Times New Roman" w:cs="Times New Roman"/>
          <w:color w:val="auto"/>
          <w:sz w:val="24"/>
          <w:szCs w:val="24"/>
        </w:rPr>
      </w:pPr>
    </w:p>
    <w:p>
      <w:pPr>
        <w:pStyle w:val="2"/>
        <w:spacing w:line="480" w:lineRule="auto"/>
        <w:jc w:val="center"/>
        <w:rPr>
          <w:rFonts w:ascii="Times New Roman" w:hAnsi="Times New Roman" w:cs="Times New Roman"/>
          <w:color w:val="auto"/>
          <w:sz w:val="24"/>
          <w:szCs w:val="24"/>
        </w:rPr>
      </w:pPr>
    </w:p>
    <w:p>
      <w:pPr>
        <w:pStyle w:val="2"/>
        <w:spacing w:line="480" w:lineRule="auto"/>
        <w:jc w:val="both"/>
        <w:rPr>
          <w:rFonts w:ascii="Times New Roman" w:hAnsi="Times New Roman" w:cs="Times New Roman"/>
          <w:color w:val="auto"/>
          <w:sz w:val="24"/>
          <w:szCs w:val="24"/>
        </w:rPr>
      </w:pPr>
    </w:p>
    <w:p>
      <w:pPr>
        <w:spacing w:line="480" w:lineRule="auto"/>
        <w:ind w:firstLine="720"/>
        <w:rPr>
          <w:rFonts w:ascii="Times New Roman" w:hAnsi="Times New Roman" w:cs="Times New Roman"/>
          <w:sz w:val="24"/>
          <w:szCs w:val="24"/>
        </w:rPr>
      </w:pPr>
    </w:p>
    <w:p>
      <w:pPr>
        <w:spacing w:line="480" w:lineRule="auto"/>
        <w:ind w:firstLine="720"/>
        <w:rPr>
          <w:rFonts w:ascii="Times New Roman" w:hAnsi="Times New Roman" w:cs="Times New Roman"/>
          <w:sz w:val="24"/>
          <w:szCs w:val="24"/>
        </w:rPr>
      </w:pPr>
    </w:p>
    <w:p>
      <w:pPr>
        <w:pStyle w:val="2"/>
        <w:numPr>
          <w:ilvl w:val="0"/>
          <w:numId w:val="2"/>
        </w:numPr>
        <w:spacing w:line="480" w:lineRule="auto"/>
        <w:jc w:val="left"/>
        <w:rPr>
          <w:rFonts w:ascii="Times New Roman" w:hAnsi="Times New Roman" w:cs="Times New Roman"/>
          <w:sz w:val="24"/>
          <w:szCs w:val="24"/>
        </w:rPr>
      </w:pPr>
      <w:bookmarkStart w:id="3" w:name="_Toc12111"/>
      <w:r>
        <w:rPr>
          <w:rFonts w:ascii="Times New Roman" w:hAnsi="Times New Roman" w:cs="Times New Roman"/>
          <w:color w:val="auto"/>
          <w:sz w:val="24"/>
          <w:szCs w:val="24"/>
        </w:rPr>
        <w:t>Company background</w:t>
      </w:r>
      <w:bookmarkEnd w:id="3"/>
    </w:p>
    <w:p>
      <w:pPr>
        <w:spacing w:line="480" w:lineRule="auto"/>
        <w:ind w:firstLine="1024" w:firstLineChars="427"/>
        <w:rPr>
          <w:rFonts w:ascii="Times New Roman" w:hAnsi="Times New Roman" w:cs="Times New Roman"/>
          <w:sz w:val="24"/>
          <w:szCs w:val="24"/>
        </w:rPr>
      </w:pPr>
      <w:r>
        <w:rPr>
          <w:rFonts w:ascii="Times New Roman" w:hAnsi="Times New Roman" w:cs="Times New Roman"/>
          <w:sz w:val="24"/>
          <w:szCs w:val="24"/>
        </w:rPr>
        <w:t xml:space="preserve">Unilever plc. is a consumer goods multinational headquartered in London, UK. The company was established in 1929 through a merger of two companies: Margarine Unie and Lever Brothers (Unilever, 2022). Since the merger, the company has grown to become a diversified brand. It engages in the manufacture, marketing, and sale of fast-moving consumer goods including beauty products, washing products, and skin care (Reuters, 2022). The firm operates through three segments: home care, beauty &amp; personal care, and foods &amp; refreshments. The beauty and personal care segment is responsible for the sales of hair care, deodorising, skin care, and skin cleansing products. The home care and foods &amp; refreshment segments are engaged in the provision of fabric care, cleaning products, ice cream, savoury, dressings, and tea (Unilever, 2022). The company generates much of its revenue from the beauty &amp; personal care and food &amp; refreshment segments. For example, the beauty and personal care segment generated €21,901 million (or 42%) of the total revenue for 2021 (Yahoo finance, 2022). The company should, however, focus on improving its performance in the long term. This is because overall performance has been dismal over the last five years. In particular, the sales growth rate has averaged 1% in the last four years (Yahoo finance, 2022). This report will assist the firm gain a competitive edge and enhance its performance. </w:t>
      </w:r>
    </w:p>
    <w:p>
      <w:pPr>
        <w:pStyle w:val="2"/>
        <w:spacing w:line="480" w:lineRule="auto"/>
        <w:jc w:val="center"/>
        <w:rPr>
          <w:rFonts w:ascii="Times New Roman" w:hAnsi="Times New Roman" w:cs="Times New Roman"/>
          <w:color w:val="auto"/>
          <w:sz w:val="24"/>
          <w:szCs w:val="24"/>
        </w:rPr>
      </w:pPr>
    </w:p>
    <w:p>
      <w:pPr>
        <w:pStyle w:val="2"/>
        <w:spacing w:line="480" w:lineRule="auto"/>
        <w:jc w:val="center"/>
        <w:rPr>
          <w:rFonts w:ascii="Times New Roman" w:hAnsi="Times New Roman" w:cs="Times New Roman"/>
          <w:color w:val="auto"/>
          <w:sz w:val="24"/>
          <w:szCs w:val="24"/>
        </w:rPr>
      </w:pPr>
    </w:p>
    <w:p>
      <w:pPr>
        <w:pStyle w:val="2"/>
        <w:spacing w:line="480" w:lineRule="auto"/>
        <w:jc w:val="center"/>
        <w:rPr>
          <w:rFonts w:ascii="Times New Roman" w:hAnsi="Times New Roman" w:cs="Times New Roman"/>
          <w:color w:val="auto"/>
          <w:sz w:val="24"/>
          <w:szCs w:val="24"/>
        </w:rPr>
      </w:pPr>
    </w:p>
    <w:p>
      <w:pPr>
        <w:spacing w:line="480" w:lineRule="auto"/>
        <w:ind w:firstLine="720"/>
        <w:rPr>
          <w:rFonts w:ascii="Times New Roman" w:hAnsi="Times New Roman" w:cs="Times New Roman"/>
          <w:sz w:val="24"/>
          <w:szCs w:val="24"/>
        </w:rPr>
      </w:pPr>
    </w:p>
    <w:p>
      <w:pPr>
        <w:spacing w:line="480" w:lineRule="auto"/>
        <w:ind w:firstLine="720"/>
        <w:rPr>
          <w:rFonts w:ascii="Times New Roman" w:hAnsi="Times New Roman" w:cs="Times New Roman"/>
          <w:sz w:val="24"/>
          <w:szCs w:val="24"/>
        </w:rPr>
      </w:pPr>
    </w:p>
    <w:p>
      <w:pPr>
        <w:pStyle w:val="2"/>
        <w:numPr>
          <w:ilvl w:val="0"/>
          <w:numId w:val="2"/>
        </w:numPr>
        <w:spacing w:line="480" w:lineRule="auto"/>
        <w:ind w:left="0" w:leftChars="0" w:firstLine="0" w:firstLineChars="0"/>
        <w:jc w:val="left"/>
        <w:rPr>
          <w:rFonts w:ascii="Times New Roman" w:hAnsi="Times New Roman" w:cs="Times New Roman"/>
          <w:sz w:val="24"/>
          <w:szCs w:val="24"/>
        </w:rPr>
      </w:pPr>
      <w:bookmarkStart w:id="4" w:name="_Toc5794"/>
      <w:r>
        <w:rPr>
          <w:rFonts w:ascii="Times New Roman" w:hAnsi="Times New Roman" w:cs="Times New Roman"/>
          <w:color w:val="auto"/>
          <w:sz w:val="24"/>
          <w:szCs w:val="24"/>
        </w:rPr>
        <w:t>Environmental analysis</w:t>
      </w:r>
      <w:bookmarkEnd w:id="4"/>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Environmental analysis is a strategic tool used to determine the external and internal factors affecting a company (</w:t>
      </w:r>
      <w:r>
        <w:rPr>
          <w:rFonts w:ascii="Times New Roman" w:hAnsi="Times New Roman" w:cs="Times New Roman"/>
          <w:sz w:val="24"/>
          <w:szCs w:val="24"/>
          <w:shd w:val="clear" w:color="auto" w:fill="FFFFFF"/>
        </w:rPr>
        <w:t>Wheelen et al., 2017)</w:t>
      </w:r>
      <w:r>
        <w:rPr>
          <w:rFonts w:ascii="Times New Roman" w:hAnsi="Times New Roman" w:cs="Times New Roman"/>
          <w:sz w:val="24"/>
          <w:szCs w:val="24"/>
        </w:rPr>
        <w:t>. It assists firms in evaluating the potential opportunities and threats in their industry. It also assists firms in increasing their effectiveness and predicting and planning for the future. Therefore, the analysis will help Unilever determine how it should position itself to gain a sustained competitive advantage. Below is a review of the consumer goods market. The review is targeted at helping Unilever identify the key opportunities, threats, weaknesses, and strengths.</w:t>
      </w:r>
    </w:p>
    <w:p>
      <w:pPr>
        <w:pStyle w:val="3"/>
        <w:spacing w:line="480" w:lineRule="auto"/>
        <w:jc w:val="left"/>
        <w:rPr>
          <w:rFonts w:ascii="Times New Roman" w:hAnsi="Times New Roman" w:cs="Times New Roman"/>
          <w:color w:val="auto"/>
          <w:sz w:val="24"/>
          <w:szCs w:val="24"/>
        </w:rPr>
      </w:pPr>
      <w:bookmarkStart w:id="5" w:name="_Toc4835"/>
      <w:r>
        <w:rPr>
          <w:rFonts w:hint="eastAsia" w:ascii="Times New Roman" w:hAnsi="Times New Roman" w:cs="Times New Roman"/>
          <w:color w:val="auto"/>
          <w:sz w:val="24"/>
          <w:szCs w:val="24"/>
          <w:lang w:val="en-US" w:eastAsia="zh-CN"/>
        </w:rPr>
        <w:t xml:space="preserve">3.1 </w:t>
      </w:r>
      <w:r>
        <w:rPr>
          <w:rFonts w:ascii="Times New Roman" w:hAnsi="Times New Roman" w:cs="Times New Roman"/>
          <w:color w:val="auto"/>
          <w:sz w:val="24"/>
          <w:szCs w:val="24"/>
        </w:rPr>
        <w:t>External analysis</w:t>
      </w:r>
      <w:bookmarkEnd w:id="5"/>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external strategic analysis is an objective assessment of the changes in an organisation's industry (</w:t>
      </w:r>
      <w:r>
        <w:rPr>
          <w:rFonts w:ascii="Times New Roman" w:hAnsi="Times New Roman" w:cs="Times New Roman"/>
          <w:sz w:val="24"/>
          <w:szCs w:val="24"/>
          <w:shd w:val="clear" w:color="auto" w:fill="FFFFFF"/>
        </w:rPr>
        <w:t>Wheelen et al., 2017)</w:t>
      </w:r>
      <w:r>
        <w:rPr>
          <w:rFonts w:ascii="Times New Roman" w:hAnsi="Times New Roman" w:cs="Times New Roman"/>
          <w:sz w:val="24"/>
          <w:szCs w:val="24"/>
        </w:rPr>
        <w:t>. It seeks to identify the broader factors that impact a business's operations. It entails examining an industry as a whole to identify factors that positively or negatively impact an organisation. The analysis uses different models and frameworks, including Porter's five forces, PESTEL analysis, and SWOT analysis. This report examines Unilever's industry forces using the PESTEL and Porter's five forces.</w:t>
      </w:r>
    </w:p>
    <w:p>
      <w:pPr>
        <w:pStyle w:val="4"/>
        <w:spacing w:line="480" w:lineRule="auto"/>
        <w:jc w:val="center"/>
        <w:rPr>
          <w:rFonts w:ascii="Times New Roman" w:hAnsi="Times New Roman" w:cs="Times New Roman"/>
          <w:color w:val="auto"/>
          <w:sz w:val="24"/>
          <w:szCs w:val="24"/>
        </w:rPr>
      </w:pPr>
    </w:p>
    <w:p>
      <w:pPr>
        <w:pStyle w:val="4"/>
        <w:spacing w:line="480" w:lineRule="auto"/>
        <w:jc w:val="center"/>
        <w:rPr>
          <w:rFonts w:ascii="Times New Roman" w:hAnsi="Times New Roman" w:cs="Times New Roman"/>
          <w:color w:val="auto"/>
          <w:sz w:val="24"/>
          <w:szCs w:val="24"/>
        </w:rPr>
      </w:pPr>
    </w:p>
    <w:p>
      <w:pPr>
        <w:pStyle w:val="4"/>
        <w:spacing w:line="480" w:lineRule="auto"/>
        <w:jc w:val="center"/>
        <w:rPr>
          <w:rFonts w:ascii="Times New Roman" w:hAnsi="Times New Roman" w:cs="Times New Roman"/>
          <w:color w:val="auto"/>
          <w:sz w:val="24"/>
          <w:szCs w:val="24"/>
        </w:rPr>
      </w:pPr>
    </w:p>
    <w:p>
      <w:pPr>
        <w:pStyle w:val="4"/>
        <w:spacing w:line="480" w:lineRule="auto"/>
        <w:jc w:val="center"/>
        <w:rPr>
          <w:rFonts w:ascii="Times New Roman" w:hAnsi="Times New Roman" w:cs="Times New Roman"/>
          <w:color w:val="auto"/>
          <w:sz w:val="24"/>
          <w:szCs w:val="24"/>
        </w:rPr>
      </w:pPr>
    </w:p>
    <w:p>
      <w:pPr>
        <w:pStyle w:val="4"/>
        <w:spacing w:line="480" w:lineRule="auto"/>
        <w:jc w:val="center"/>
        <w:rPr>
          <w:rFonts w:ascii="Times New Roman" w:hAnsi="Times New Roman" w:cs="Times New Roman"/>
          <w:color w:val="auto"/>
          <w:sz w:val="24"/>
          <w:szCs w:val="24"/>
        </w:rPr>
      </w:pPr>
    </w:p>
    <w:p>
      <w:pPr>
        <w:spacing w:line="480" w:lineRule="auto"/>
        <w:ind w:firstLine="720"/>
        <w:rPr>
          <w:rFonts w:ascii="Times New Roman" w:hAnsi="Times New Roman" w:cs="Times New Roman"/>
          <w:sz w:val="24"/>
          <w:szCs w:val="24"/>
        </w:rPr>
      </w:pPr>
    </w:p>
    <w:p>
      <w:pPr>
        <w:spacing w:line="480" w:lineRule="auto"/>
        <w:ind w:firstLine="720"/>
        <w:rPr>
          <w:rFonts w:ascii="Times New Roman" w:hAnsi="Times New Roman" w:cs="Times New Roman"/>
          <w:sz w:val="24"/>
          <w:szCs w:val="24"/>
        </w:rPr>
      </w:pPr>
    </w:p>
    <w:p>
      <w:pPr>
        <w:pStyle w:val="4"/>
        <w:numPr>
          <w:ilvl w:val="0"/>
          <w:numId w:val="2"/>
        </w:numPr>
        <w:spacing w:line="480" w:lineRule="auto"/>
        <w:ind w:left="0" w:leftChars="0" w:firstLine="0" w:firstLineChars="0"/>
        <w:jc w:val="left"/>
        <w:rPr>
          <w:rFonts w:ascii="Times New Roman" w:hAnsi="Times New Roman" w:cs="Times New Roman"/>
          <w:sz w:val="24"/>
          <w:szCs w:val="24"/>
        </w:rPr>
      </w:pPr>
      <w:bookmarkStart w:id="6" w:name="_Toc7138"/>
      <w:r>
        <w:rPr>
          <w:rFonts w:ascii="Times New Roman" w:hAnsi="Times New Roman" w:cs="Times New Roman"/>
          <w:color w:val="auto"/>
          <w:sz w:val="24"/>
          <w:szCs w:val="24"/>
        </w:rPr>
        <w:t>PESTEL Analysis</w:t>
      </w:r>
      <w:bookmarkEnd w:id="6"/>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Unilever is a consumer goods brand. It focuses on fast-moving consumer goods such as beauty products. Therefore, the firm can be said to operate in the FMCG industry, which is currently valued at $15.40 billion. The market is projected to register a CAGR of 5.4% between 2018 and 2025 (Allied Market Research, 2022). The key drivers of growth include population growth, changing consumer habits &amp; lifestyles, increased consumer demand, increasing diffusion of e-commerce, and rising disposable income (Allied Market Research, 2022). Each of these factors is likely to boost the demand for consumer goods. For example, rising disposable income will drive the consumption of consumer goods and result in higher industry sales. However, firms need to consider other factors that could adversely influence performance, including the covid-19 pandemic, slow economic growth, and inflation. The PESTLE analysis below assists determines the positive and negative forces influencing the FMCG market.</w:t>
      </w:r>
    </w:p>
    <w:p>
      <w:pPr>
        <w:spacing w:after="0" w:line="480" w:lineRule="auto"/>
        <w:rPr>
          <w:rFonts w:ascii="Times New Roman" w:hAnsi="Times New Roman" w:cs="Times New Roman"/>
          <w:b/>
          <w:bCs/>
          <w:sz w:val="24"/>
          <w:szCs w:val="24"/>
        </w:rPr>
      </w:pPr>
      <w:r>
        <w:rPr>
          <w:rFonts w:hint="eastAsia" w:ascii="Times New Roman" w:hAnsi="Times New Roman" w:eastAsia="宋体" w:cs="Times New Roman"/>
          <w:b/>
          <w:bCs/>
          <w:sz w:val="24"/>
          <w:szCs w:val="24"/>
          <w:lang w:val="en-US" w:eastAsia="zh-CN"/>
        </w:rPr>
        <w:t xml:space="preserve">4.1 </w:t>
      </w:r>
      <w:r>
        <w:rPr>
          <w:rFonts w:ascii="Times New Roman" w:hAnsi="Times New Roman" w:cs="Times New Roman"/>
          <w:b/>
          <w:bCs/>
          <w:sz w:val="24"/>
          <w:szCs w:val="24"/>
        </w:rPr>
        <w:t xml:space="preserve">Political Factors </w:t>
      </w:r>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outstanding political forces influencing the FMCG industry include trade relations, political stability, and political issues. Each of these factors presents an opportunity or a threat to Unilever's long-term success. For example, political stability in the UK represents an opportunity for the company to grow without political interference. However, Brexit and the Russia-Ukraine war represent a threat to the company (</w:t>
      </w:r>
      <w:r>
        <w:rPr>
          <w:rFonts w:ascii="Times New Roman" w:hAnsi="Times New Roman" w:cs="Times New Roman"/>
          <w:sz w:val="24"/>
          <w:szCs w:val="24"/>
          <w:shd w:val="clear" w:color="auto" w:fill="FFFFFF"/>
        </w:rPr>
        <w:t>Korn &amp; Stemmler, 2022)</w:t>
      </w:r>
      <w:r>
        <w:rPr>
          <w:rFonts w:ascii="Times New Roman" w:hAnsi="Times New Roman" w:cs="Times New Roman"/>
          <w:sz w:val="24"/>
          <w:szCs w:val="24"/>
        </w:rPr>
        <w:t>. The two forces are likely to increase the cost of doing business. For example, Russia-Ukraine will increase the price of supplies, making it difficult for Unilever to operate profitably (</w:t>
      </w:r>
      <w:r>
        <w:rPr>
          <w:rFonts w:ascii="Times New Roman" w:hAnsi="Times New Roman" w:cs="Times New Roman"/>
          <w:sz w:val="24"/>
          <w:szCs w:val="24"/>
          <w:shd w:val="clear" w:color="auto" w:fill="FFFFFF"/>
        </w:rPr>
        <w:t>Korn &amp; Stemmler, 2022)</w:t>
      </w:r>
      <w:r>
        <w:rPr>
          <w:rFonts w:ascii="Times New Roman" w:hAnsi="Times New Roman" w:cs="Times New Roman"/>
          <w:sz w:val="24"/>
          <w:szCs w:val="24"/>
        </w:rPr>
        <w:t>. The Brexit uncertainty is also likely to slow down private investment, which is critical to business growth (</w:t>
      </w:r>
      <w:r>
        <w:rPr>
          <w:rFonts w:ascii="Times New Roman" w:hAnsi="Times New Roman" w:cs="Times New Roman"/>
          <w:sz w:val="24"/>
          <w:szCs w:val="24"/>
          <w:shd w:val="clear" w:color="auto" w:fill="FFFFFF"/>
        </w:rPr>
        <w:t>Pettifor, 2017)</w:t>
      </w:r>
      <w:r>
        <w:rPr>
          <w:rFonts w:ascii="Times New Roman" w:hAnsi="Times New Roman" w:cs="Times New Roman"/>
          <w:sz w:val="24"/>
          <w:szCs w:val="24"/>
        </w:rPr>
        <w:t xml:space="preserve">. Therefore, Unilever needs to leverage its strengths to address the threats posed by Brexit and political issues in Eastern Europe. </w:t>
      </w:r>
    </w:p>
    <w:p>
      <w:pPr>
        <w:spacing w:after="0" w:line="480" w:lineRule="auto"/>
        <w:rPr>
          <w:rFonts w:ascii="Times New Roman" w:hAnsi="Times New Roman" w:cs="Times New Roman"/>
          <w:b/>
          <w:bCs/>
          <w:sz w:val="24"/>
          <w:szCs w:val="24"/>
        </w:rPr>
      </w:pPr>
      <w:r>
        <w:rPr>
          <w:rFonts w:hint="eastAsia" w:ascii="Times New Roman" w:hAnsi="Times New Roman" w:eastAsia="宋体" w:cs="Times New Roman"/>
          <w:b/>
          <w:bCs/>
          <w:sz w:val="24"/>
          <w:szCs w:val="24"/>
          <w:lang w:val="en-US" w:eastAsia="zh-CN"/>
        </w:rPr>
        <w:t xml:space="preserve">4.2 </w:t>
      </w:r>
      <w:r>
        <w:rPr>
          <w:rFonts w:ascii="Times New Roman" w:hAnsi="Times New Roman" w:cs="Times New Roman"/>
          <w:b/>
          <w:bCs/>
          <w:sz w:val="24"/>
          <w:szCs w:val="24"/>
        </w:rPr>
        <w:t>Economic Factors</w:t>
      </w:r>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Economic growth is essential to the success of any given company. It encourages private investment and consumption. However, the global economy is facing subdued growth post-Covid. In particular, most economies are experiencing low GDP growth rates. The UK real GDP growth rate, for example, is anticipated to reduce from 7.44% in 2021 to 1.2% in 2023 (O'Neill, 2022). This means that the economy will expand by a slower margin in 2023 than in 2021. The subdued economic growth will reduce consumer confidence and consequently reduce Unilever's sales growth rate. The inflation rate is, however, anticipated to decline from 7.41% in 2022 to 2.6% in 2024 (O'Neill, 2022). The reduction will assist lower the cost of doing business making it possible for consumer goods brands to generate profits. Increasing wages in developing economies such as Brazil and India also represents an opportunity for Unilever. The rise in wages will allow the company to sell more of its products as its target consumers' disposable incomes rise. However, the company’s payroll costs are likely to rise as the demand for high wages soars. The company is also likely to find it expensive to attract and retain top talent. Therefore, rising wages represent both a threat and an opportunity for Unilever. </w:t>
      </w:r>
    </w:p>
    <w:p>
      <w:pPr>
        <w:spacing w:after="0" w:line="480" w:lineRule="auto"/>
        <w:rPr>
          <w:rFonts w:ascii="Times New Roman" w:hAnsi="Times New Roman" w:cs="Times New Roman"/>
          <w:b/>
          <w:bCs/>
          <w:sz w:val="24"/>
          <w:szCs w:val="24"/>
        </w:rPr>
      </w:pPr>
      <w:r>
        <w:rPr>
          <w:rFonts w:hint="eastAsia" w:ascii="Times New Roman" w:hAnsi="Times New Roman" w:eastAsia="宋体" w:cs="Times New Roman"/>
          <w:b/>
          <w:bCs/>
          <w:sz w:val="24"/>
          <w:szCs w:val="24"/>
          <w:lang w:val="en-US" w:eastAsia="zh-CN"/>
        </w:rPr>
        <w:t xml:space="preserve">4.3 </w:t>
      </w:r>
      <w:r>
        <w:rPr>
          <w:rFonts w:ascii="Times New Roman" w:hAnsi="Times New Roman" w:cs="Times New Roman"/>
          <w:b/>
          <w:bCs/>
          <w:sz w:val="24"/>
          <w:szCs w:val="24"/>
        </w:rPr>
        <w:t>Socio-Cultural Factors</w:t>
      </w:r>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Unilever is also influenced by social-cultural trends and issues. For example, population growth is likely to determine how much the company makes in sales. Usually, a higher population is necessary to achieve high sales growth. However, the global population is anticipated to grow at a slow rate of 0.84% relative to the 1.08% achieved in 2019 (Worldometers, 2022). The slow population growth rate implies that it could be difficult for Unilever to gain new customers. The company will also be affected by the rising health consciousness among consumers. Such a factor suggests that the company should offer healthy products. In particular, the company should provide foods &amp; refreshments that are safe, nutritious, and 100% organic. This is because a vast majority of customers are seeking organic and toxic-free food products. The company must also consider the rising sustainability concerns among consumers. It should leverage such opportunities by engaging in ethical and sustainable operations. For example, the company should source its supplies from fair trade-certified suppliers. Such suppliers produce their foods and other supplies in a sustainable manner. Lastly, the company will have to address the need for hyper-personalised customer care. McKinsey &amp; Company (2020) indicate that modern customers expect firms to offer highly personalised services. Therefore, providing such a service can allow Unilever to gain a competitive advantage and deepen consumer trust and loyalty (McKinsey &amp; Company, 2020). </w:t>
      </w:r>
    </w:p>
    <w:p>
      <w:pPr>
        <w:spacing w:after="0" w:line="480" w:lineRule="auto"/>
        <w:rPr>
          <w:rFonts w:ascii="Times New Roman" w:hAnsi="Times New Roman" w:cs="Times New Roman"/>
          <w:b/>
          <w:bCs/>
          <w:sz w:val="24"/>
          <w:szCs w:val="24"/>
        </w:rPr>
      </w:pPr>
      <w:r>
        <w:rPr>
          <w:rFonts w:hint="eastAsia" w:ascii="Times New Roman" w:hAnsi="Times New Roman" w:eastAsia="宋体" w:cs="Times New Roman"/>
          <w:b/>
          <w:bCs/>
          <w:sz w:val="24"/>
          <w:szCs w:val="24"/>
          <w:lang w:val="en-US" w:eastAsia="zh-CN"/>
        </w:rPr>
        <w:t xml:space="preserve">4.4 </w:t>
      </w:r>
      <w:r>
        <w:rPr>
          <w:rFonts w:ascii="Times New Roman" w:hAnsi="Times New Roman" w:cs="Times New Roman"/>
          <w:b/>
          <w:bCs/>
          <w:sz w:val="24"/>
          <w:szCs w:val="24"/>
        </w:rPr>
        <w:t>Technological Factors</w:t>
      </w:r>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Technology is a key determinant of success (</w:t>
      </w:r>
      <w:r>
        <w:rPr>
          <w:rFonts w:ascii="Times New Roman" w:hAnsi="Times New Roman" w:cs="Times New Roman"/>
          <w:sz w:val="24"/>
          <w:szCs w:val="24"/>
          <w:shd w:val="clear" w:color="auto" w:fill="FFFFFF"/>
        </w:rPr>
        <w:t>Lee et al., 2019)</w:t>
      </w:r>
      <w:r>
        <w:rPr>
          <w:rFonts w:ascii="Times New Roman" w:hAnsi="Times New Roman" w:cs="Times New Roman"/>
          <w:sz w:val="24"/>
          <w:szCs w:val="24"/>
        </w:rPr>
        <w:t>. Firms leverage advanced technologies such as predictive analytics and machine learning to streamline their processes and enhance their profitability. Rising business automation presents an opportunity for Unilever to streamline its business processes (</w:t>
      </w:r>
      <w:r>
        <w:rPr>
          <w:rFonts w:ascii="Times New Roman" w:hAnsi="Times New Roman" w:cs="Times New Roman"/>
          <w:sz w:val="24"/>
          <w:szCs w:val="24"/>
          <w:shd w:val="clear" w:color="auto" w:fill="FFFFFF"/>
        </w:rPr>
        <w:t>Lee et al., 2019).</w:t>
      </w:r>
      <w:r>
        <w:rPr>
          <w:rFonts w:ascii="Times New Roman" w:hAnsi="Times New Roman" w:cs="Times New Roman"/>
          <w:sz w:val="24"/>
          <w:szCs w:val="24"/>
        </w:rPr>
        <w:t xml:space="preserve"> The company can also leverage business automation to reduce costs and enhance its profit margins. However, the same factor can be considered a threat since it can increase the level of competition in the FMCG sector. On the other hand, the availability of advanced technologies such as IoT presents an opportunity for the company to improve its performance. For example, the company can use predictive and prescriptive analytics to predict customer needs and find effective ways of addressing them before they occur (</w:t>
      </w:r>
      <w:r>
        <w:rPr>
          <w:rFonts w:ascii="Times New Roman" w:hAnsi="Times New Roman" w:cs="Times New Roman"/>
          <w:sz w:val="24"/>
          <w:szCs w:val="24"/>
          <w:shd w:val="clear" w:color="auto" w:fill="FFFFFF"/>
        </w:rPr>
        <w:t>Lee et al., 2019)</w:t>
      </w:r>
      <w:r>
        <w:rPr>
          <w:rFonts w:ascii="Times New Roman" w:hAnsi="Times New Roman" w:cs="Times New Roman"/>
          <w:sz w:val="24"/>
          <w:szCs w:val="24"/>
        </w:rPr>
        <w:t xml:space="preserve">. Therefore, available advanced technologies and innovations can help Unilever gain customer insights and improve its competitiveness by offering personalised customer service. However, rising investment in research and development can be a threat to the company. In particular, firms investing in research and development are likely to gain a competitive edge over Unilever. Therefore, the company needs to fund and support its R&amp;D team to assist in countering competitive forces in the FMCG market. </w:t>
      </w:r>
    </w:p>
    <w:p>
      <w:pPr>
        <w:spacing w:after="0" w:line="480" w:lineRule="auto"/>
        <w:rPr>
          <w:rFonts w:ascii="Times New Roman" w:hAnsi="Times New Roman" w:cs="Times New Roman"/>
          <w:b/>
          <w:bCs/>
          <w:sz w:val="24"/>
          <w:szCs w:val="24"/>
        </w:rPr>
      </w:pPr>
      <w:r>
        <w:rPr>
          <w:rFonts w:hint="eastAsia" w:ascii="Times New Roman" w:hAnsi="Times New Roman" w:eastAsia="宋体" w:cs="Times New Roman"/>
          <w:b/>
          <w:bCs/>
          <w:sz w:val="24"/>
          <w:szCs w:val="24"/>
          <w:lang w:val="en-US" w:eastAsia="zh-CN"/>
        </w:rPr>
        <w:t xml:space="preserve">4.5 </w:t>
      </w:r>
      <w:r>
        <w:rPr>
          <w:rFonts w:ascii="Times New Roman" w:hAnsi="Times New Roman" w:cs="Times New Roman"/>
          <w:b/>
          <w:bCs/>
          <w:sz w:val="24"/>
          <w:szCs w:val="24"/>
        </w:rPr>
        <w:t>Ecological/Environmental Factors</w:t>
      </w:r>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main ecological conditions and trends likely to influence Unilever include rising interest in environmentalism, increasing complexity of environmental programs, climate change, and increasing sustainability concerns (</w:t>
      </w:r>
      <w:r>
        <w:rPr>
          <w:rFonts w:ascii="Times New Roman" w:hAnsi="Times New Roman" w:cs="Times New Roman"/>
          <w:sz w:val="24"/>
          <w:szCs w:val="24"/>
          <w:shd w:val="clear" w:color="auto" w:fill="FFFFFF"/>
        </w:rPr>
        <w:t>Szabo &amp; Webster, 2021)</w:t>
      </w:r>
      <w:r>
        <w:rPr>
          <w:rFonts w:ascii="Times New Roman" w:hAnsi="Times New Roman" w:cs="Times New Roman"/>
          <w:sz w:val="24"/>
          <w:szCs w:val="24"/>
        </w:rPr>
        <w:t>. Each of these factors represents either an opportunity or a threat to Unilever. For example, increasing investment in sustainability represents an opportunity for the company to position itself as a sustainable brand. In doing so, the firm should integrate sustainability into everything it does. However, concerns about greenwashing are likely to threaten the company's performance. Notably, the firm is likely to be accused of greenwashing if it fails to switch completely to sustainable products (</w:t>
      </w:r>
      <w:r>
        <w:rPr>
          <w:rFonts w:ascii="Times New Roman" w:hAnsi="Times New Roman" w:cs="Times New Roman"/>
          <w:sz w:val="24"/>
          <w:szCs w:val="24"/>
          <w:shd w:val="clear" w:color="auto" w:fill="FFFFFF"/>
        </w:rPr>
        <w:t>Szabo &amp; Webster, 2021)</w:t>
      </w:r>
      <w:r>
        <w:rPr>
          <w:rFonts w:ascii="Times New Roman" w:hAnsi="Times New Roman" w:cs="Times New Roman"/>
          <w:sz w:val="24"/>
          <w:szCs w:val="24"/>
        </w:rPr>
        <w:t xml:space="preserve">. The increased uptake of business environmentalism represents the company an opportunity to attract more customers. The company only needs to implement programs that preserve biodiversity and reduce climate change to incentivise customers to purchase its customers. Business Wire (2021) indicates that 85% of modern customers consider environmental focus when making purchase decisions. The report adds that more than a third of customers are willing to pay more for sustainability. Such insights suggest that firms can grow their sales volumes and customer loyalty by engaging in environmentalism and sustainability.  </w:t>
      </w:r>
    </w:p>
    <w:p>
      <w:pPr>
        <w:spacing w:line="480" w:lineRule="auto"/>
        <w:rPr>
          <w:rFonts w:ascii="Times New Roman" w:hAnsi="Times New Roman" w:cs="Times New Roman"/>
          <w:b/>
          <w:bCs/>
          <w:sz w:val="24"/>
          <w:szCs w:val="24"/>
        </w:rPr>
      </w:pPr>
      <w:r>
        <w:rPr>
          <w:rFonts w:hint="eastAsia" w:ascii="Times New Roman" w:hAnsi="Times New Roman" w:eastAsia="宋体" w:cs="Times New Roman"/>
          <w:b/>
          <w:bCs/>
          <w:sz w:val="24"/>
          <w:szCs w:val="24"/>
          <w:lang w:val="en-US" w:eastAsia="zh-CN"/>
        </w:rPr>
        <w:t xml:space="preserve">4.6 </w:t>
      </w:r>
      <w:r>
        <w:rPr>
          <w:rFonts w:ascii="Times New Roman" w:hAnsi="Times New Roman" w:cs="Times New Roman"/>
          <w:b/>
          <w:bCs/>
          <w:sz w:val="24"/>
          <w:szCs w:val="24"/>
        </w:rPr>
        <w:t>Legal/regulatory factors</w:t>
      </w:r>
    </w:p>
    <w:p>
      <w:pPr>
        <w:spacing w:line="480" w:lineRule="auto"/>
        <w:ind w:firstLine="720"/>
        <w:rPr>
          <w:rFonts w:ascii="Times New Roman" w:hAnsi="Times New Roman" w:cs="Times New Roman"/>
          <w:bCs/>
          <w:sz w:val="24"/>
          <w:szCs w:val="24"/>
        </w:rPr>
      </w:pPr>
      <w:r>
        <w:rPr>
          <w:rFonts w:ascii="Times New Roman" w:hAnsi="Times New Roman" w:cs="Times New Roman"/>
          <w:bCs/>
          <w:sz w:val="24"/>
          <w:szCs w:val="24"/>
        </w:rPr>
        <w:t>The legal environment in the FMCG sector is uncertain. New laws and regulations are enacted every day to regulate the FMCG industry. For example, the high fat, salt, and sugar (HFSS) law was introduced in 2022 to restrict advertisements of certain foods and drinks considered to be less healthy (Gov.UK, 2022). The law implies that firms such as Unilever should be on the lookout to ensure compliance. This is because noncompliance can result in fines and penalties as well as reputation damage. In addition, the company needs to consider strengthening international patent laws and consumer rights laws as opportunities. For example, the company should leverage strengthening consumer rights laws by improving its customer service quality and product quality. Overall, Unilever should take measures to leverage industry opportunities and minimise threats in the industry.</w:t>
      </w:r>
    </w:p>
    <w:p>
      <w:pPr>
        <w:pStyle w:val="4"/>
        <w:spacing w:line="480" w:lineRule="auto"/>
        <w:jc w:val="center"/>
        <w:rPr>
          <w:rFonts w:ascii="Times New Roman" w:hAnsi="Times New Roman" w:cs="Times New Roman"/>
          <w:color w:val="auto"/>
          <w:sz w:val="24"/>
          <w:szCs w:val="24"/>
        </w:rPr>
      </w:pPr>
    </w:p>
    <w:p>
      <w:pPr>
        <w:pStyle w:val="4"/>
        <w:spacing w:line="480" w:lineRule="auto"/>
        <w:jc w:val="center"/>
        <w:rPr>
          <w:rFonts w:ascii="Times New Roman" w:hAnsi="Times New Roman" w:cs="Times New Roman"/>
          <w:color w:val="auto"/>
          <w:sz w:val="24"/>
          <w:szCs w:val="24"/>
        </w:rPr>
      </w:pPr>
    </w:p>
    <w:p>
      <w:pPr>
        <w:pStyle w:val="4"/>
        <w:spacing w:line="480" w:lineRule="auto"/>
        <w:jc w:val="center"/>
        <w:rPr>
          <w:rFonts w:ascii="Times New Roman" w:hAnsi="Times New Roman" w:cs="Times New Roman"/>
          <w:color w:val="auto"/>
          <w:sz w:val="24"/>
          <w:szCs w:val="24"/>
        </w:rPr>
      </w:pPr>
    </w:p>
    <w:p>
      <w:pPr>
        <w:pStyle w:val="4"/>
        <w:spacing w:line="480" w:lineRule="auto"/>
        <w:jc w:val="center"/>
        <w:rPr>
          <w:rFonts w:ascii="Times New Roman" w:hAnsi="Times New Roman" w:cs="Times New Roman"/>
          <w:color w:val="auto"/>
          <w:sz w:val="24"/>
          <w:szCs w:val="24"/>
        </w:rPr>
      </w:pPr>
    </w:p>
    <w:p>
      <w:pPr>
        <w:pStyle w:val="4"/>
        <w:spacing w:line="480" w:lineRule="auto"/>
        <w:jc w:val="center"/>
        <w:rPr>
          <w:rFonts w:ascii="Times New Roman" w:hAnsi="Times New Roman" w:cs="Times New Roman"/>
          <w:color w:val="auto"/>
          <w:sz w:val="24"/>
          <w:szCs w:val="24"/>
        </w:rPr>
      </w:pPr>
    </w:p>
    <w:p>
      <w:pPr>
        <w:pStyle w:val="4"/>
        <w:spacing w:line="480" w:lineRule="auto"/>
        <w:jc w:val="center"/>
        <w:rPr>
          <w:rFonts w:ascii="Times New Roman" w:hAnsi="Times New Roman" w:cs="Times New Roman"/>
          <w:color w:val="auto"/>
          <w:sz w:val="24"/>
          <w:szCs w:val="24"/>
        </w:rPr>
      </w:pPr>
    </w:p>
    <w:p>
      <w:pPr>
        <w:pStyle w:val="4"/>
        <w:spacing w:line="480" w:lineRule="auto"/>
        <w:jc w:val="center"/>
        <w:rPr>
          <w:rFonts w:ascii="Times New Roman" w:hAnsi="Times New Roman" w:cs="Times New Roman"/>
          <w:color w:val="auto"/>
          <w:sz w:val="24"/>
          <w:szCs w:val="24"/>
        </w:rPr>
      </w:pPr>
    </w:p>
    <w:p>
      <w:pPr>
        <w:pStyle w:val="4"/>
        <w:spacing w:line="480" w:lineRule="auto"/>
        <w:jc w:val="center"/>
        <w:rPr>
          <w:rFonts w:ascii="Times New Roman" w:hAnsi="Times New Roman" w:cs="Times New Roman"/>
          <w:color w:val="auto"/>
          <w:sz w:val="24"/>
          <w:szCs w:val="24"/>
        </w:rPr>
      </w:pPr>
    </w:p>
    <w:p>
      <w:pPr>
        <w:pStyle w:val="4"/>
        <w:spacing w:line="480" w:lineRule="auto"/>
        <w:jc w:val="center"/>
        <w:rPr>
          <w:rFonts w:ascii="Times New Roman" w:hAnsi="Times New Roman" w:cs="Times New Roman"/>
          <w:color w:val="auto"/>
          <w:sz w:val="24"/>
          <w:szCs w:val="24"/>
        </w:rPr>
      </w:pPr>
    </w:p>
    <w:p>
      <w:pPr>
        <w:pStyle w:val="4"/>
        <w:spacing w:line="480" w:lineRule="auto"/>
        <w:jc w:val="center"/>
        <w:rPr>
          <w:rFonts w:ascii="Times New Roman" w:hAnsi="Times New Roman" w:cs="Times New Roman"/>
          <w:color w:val="auto"/>
          <w:sz w:val="24"/>
          <w:szCs w:val="24"/>
        </w:rPr>
      </w:pPr>
    </w:p>
    <w:p>
      <w:pPr>
        <w:pStyle w:val="4"/>
        <w:spacing w:line="480" w:lineRule="auto"/>
        <w:jc w:val="center"/>
        <w:rPr>
          <w:rFonts w:ascii="Times New Roman" w:hAnsi="Times New Roman" w:cs="Times New Roman"/>
          <w:color w:val="auto"/>
          <w:sz w:val="24"/>
          <w:szCs w:val="24"/>
        </w:rPr>
      </w:pPr>
    </w:p>
    <w:p>
      <w:pPr>
        <w:spacing w:line="480" w:lineRule="auto"/>
        <w:ind w:firstLine="720"/>
        <w:rPr>
          <w:rFonts w:ascii="Times New Roman" w:hAnsi="Times New Roman" w:cs="Times New Roman"/>
          <w:sz w:val="24"/>
          <w:szCs w:val="24"/>
        </w:rPr>
      </w:pPr>
    </w:p>
    <w:p>
      <w:pPr>
        <w:spacing w:line="480" w:lineRule="auto"/>
        <w:ind w:firstLine="720"/>
        <w:rPr>
          <w:rFonts w:ascii="Times New Roman" w:hAnsi="Times New Roman" w:cs="Times New Roman"/>
          <w:sz w:val="24"/>
          <w:szCs w:val="24"/>
        </w:rPr>
      </w:pPr>
    </w:p>
    <w:p>
      <w:pPr>
        <w:spacing w:line="480" w:lineRule="auto"/>
        <w:ind w:firstLine="720"/>
        <w:rPr>
          <w:rFonts w:ascii="Times New Roman" w:hAnsi="Times New Roman" w:cs="Times New Roman"/>
          <w:sz w:val="24"/>
          <w:szCs w:val="24"/>
        </w:rPr>
      </w:pPr>
    </w:p>
    <w:p>
      <w:pPr>
        <w:pStyle w:val="4"/>
        <w:numPr>
          <w:ilvl w:val="0"/>
          <w:numId w:val="2"/>
        </w:numPr>
        <w:spacing w:line="480" w:lineRule="auto"/>
        <w:ind w:left="0" w:leftChars="0" w:firstLine="0" w:firstLineChars="0"/>
        <w:jc w:val="both"/>
        <w:rPr>
          <w:rFonts w:ascii="Times New Roman" w:hAnsi="Times New Roman" w:cs="Times New Roman"/>
          <w:sz w:val="24"/>
          <w:szCs w:val="24"/>
        </w:rPr>
      </w:pPr>
      <w:bookmarkStart w:id="7" w:name="_Toc2643"/>
      <w:r>
        <w:rPr>
          <w:rFonts w:ascii="Times New Roman" w:hAnsi="Times New Roman" w:cs="Times New Roman"/>
          <w:color w:val="auto"/>
          <w:sz w:val="24"/>
          <w:szCs w:val="24"/>
        </w:rPr>
        <w:t>Porter’s Five Forces Analysis</w:t>
      </w:r>
      <w:bookmarkEnd w:id="7"/>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Porter's five forces model is used to determine the competitive forces in the FMCG industry. The model was developed to assist firms in determining the attractiveness of their industries. The model comprises five factors, namely, buyer power, supplier power, the threat of new entrants, level of substitution, and industry rivalry. Each of these factors is analysed below to determine the profitability of the FMCG industry.  </w:t>
      </w:r>
    </w:p>
    <w:p>
      <w:pPr>
        <w:spacing w:after="0" w:line="480" w:lineRule="auto"/>
        <w:rPr>
          <w:rFonts w:ascii="Times New Roman" w:hAnsi="Times New Roman" w:cs="Times New Roman"/>
          <w:b/>
          <w:bCs/>
          <w:sz w:val="24"/>
          <w:szCs w:val="24"/>
        </w:rPr>
      </w:pPr>
      <w:r>
        <w:rPr>
          <w:rFonts w:hint="eastAsia" w:ascii="Times New Roman" w:hAnsi="Times New Roman" w:eastAsia="宋体" w:cs="Times New Roman"/>
          <w:b/>
          <w:bCs/>
          <w:sz w:val="24"/>
          <w:szCs w:val="24"/>
          <w:lang w:val="en-US" w:eastAsia="zh-CN"/>
        </w:rPr>
        <w:t xml:space="preserve">5.1 </w:t>
      </w:r>
      <w:r>
        <w:rPr>
          <w:rFonts w:ascii="Times New Roman" w:hAnsi="Times New Roman" w:cs="Times New Roman"/>
          <w:b/>
          <w:bCs/>
          <w:sz w:val="24"/>
          <w:szCs w:val="24"/>
        </w:rPr>
        <w:t>Threat of New Entry</w:t>
      </w:r>
    </w:p>
    <w:p>
      <w:pPr>
        <w:keepNext w:val="0"/>
        <w:keepLines w:val="0"/>
        <w:pageBreakBefore w:val="0"/>
        <w:widowControl/>
        <w:kinsoku/>
        <w:wordWrap/>
        <w:overflowPunct/>
        <w:topLinePunct w:val="0"/>
        <w:autoSpaceDE/>
        <w:autoSpaceDN/>
        <w:bidi w:val="0"/>
        <w:adjustRightInd/>
        <w:snapToGrid/>
        <w:spacing w:line="480" w:lineRule="auto"/>
        <w:ind w:firstLine="720"/>
        <w:textAlignment w:val="auto"/>
        <w:rPr>
          <w:rFonts w:ascii="Times New Roman" w:hAnsi="Times New Roman" w:cs="Times New Roman"/>
          <w:sz w:val="24"/>
          <w:szCs w:val="24"/>
        </w:rPr>
      </w:pPr>
      <w:r>
        <w:rPr>
          <w:rFonts w:ascii="Times New Roman" w:hAnsi="Times New Roman" w:cs="Times New Roman"/>
          <w:sz w:val="24"/>
          <w:szCs w:val="24"/>
        </w:rPr>
        <w:t>Unilever competes with established industry players in the FMCG industry. However, the threat can be high if new firms enter the highly saturated market. The threat of such an entry is relatively low due to existing barriers such as high economies of scale, high capital requirements, and the need for a strong distribution network (</w:t>
      </w:r>
      <w:r>
        <w:rPr>
          <w:rFonts w:ascii="Times New Roman" w:hAnsi="Times New Roman" w:cs="Times New Roman"/>
          <w:sz w:val="24"/>
          <w:szCs w:val="24"/>
          <w:shd w:val="clear" w:color="auto" w:fill="FFFFFF"/>
        </w:rPr>
        <w:t>Hasan, 2015)</w:t>
      </w:r>
      <w:r>
        <w:rPr>
          <w:rFonts w:ascii="Times New Roman" w:hAnsi="Times New Roman" w:cs="Times New Roman"/>
          <w:sz w:val="24"/>
          <w:szCs w:val="24"/>
        </w:rPr>
        <w:t>. Existing players take advantage of their economies of scale to reduce costs and bar new entrants. This works because consumer goods brands are profit-oriented and cannot enter or continue operating in a loss-making industry. In addition, brands in the FMCG market require a strong distribution network to succeed (</w:t>
      </w:r>
      <w:r>
        <w:rPr>
          <w:rFonts w:ascii="Times New Roman" w:hAnsi="Times New Roman" w:cs="Times New Roman"/>
          <w:sz w:val="24"/>
          <w:szCs w:val="24"/>
          <w:shd w:val="clear" w:color="auto" w:fill="FFFFFF"/>
        </w:rPr>
        <w:t>Hasan, 2015)</w:t>
      </w:r>
      <w:r>
        <w:rPr>
          <w:rFonts w:ascii="Times New Roman" w:hAnsi="Times New Roman" w:cs="Times New Roman"/>
          <w:sz w:val="24"/>
          <w:szCs w:val="24"/>
        </w:rPr>
        <w:t>. Such a network acts as a barrier for new entrants into the market. However, new firms are leveraging technology to overcome the distribution hurdle. For example, small firms are providing selling goods via eCommerce websites. Improved transportation and communication sectors across the EU drive the eCommerce business model. Besides, the FMCG industry is characterised by low switching costs (</w:t>
      </w:r>
      <w:r>
        <w:rPr>
          <w:rFonts w:ascii="Times New Roman" w:hAnsi="Times New Roman" w:cs="Times New Roman"/>
          <w:sz w:val="24"/>
          <w:szCs w:val="24"/>
          <w:shd w:val="clear" w:color="auto" w:fill="FFFFFF"/>
        </w:rPr>
        <w:t>Hasan, 2015)</w:t>
      </w:r>
      <w:r>
        <w:rPr>
          <w:rFonts w:ascii="Times New Roman" w:hAnsi="Times New Roman" w:cs="Times New Roman"/>
          <w:sz w:val="24"/>
          <w:szCs w:val="24"/>
        </w:rPr>
        <w:t xml:space="preserve">. This means that consumers can easily switch to new brands that cater to their needs. Therefore, Unilever needs to leverage technology and innovation to personalise its offers and contain the threat of new entrants. </w:t>
      </w:r>
    </w:p>
    <w:p>
      <w:pPr>
        <w:spacing w:after="0" w:line="480" w:lineRule="auto"/>
        <w:rPr>
          <w:rFonts w:ascii="Times New Roman" w:hAnsi="Times New Roman" w:cs="Times New Roman"/>
          <w:b/>
          <w:bCs/>
          <w:sz w:val="24"/>
          <w:szCs w:val="24"/>
        </w:rPr>
      </w:pPr>
      <w:r>
        <w:rPr>
          <w:rFonts w:hint="eastAsia" w:ascii="Times New Roman" w:hAnsi="Times New Roman" w:eastAsia="宋体" w:cs="Times New Roman"/>
          <w:b/>
          <w:bCs/>
          <w:sz w:val="24"/>
          <w:szCs w:val="24"/>
          <w:lang w:val="en-US" w:eastAsia="zh-CN"/>
        </w:rPr>
        <w:t xml:space="preserve">5.2 </w:t>
      </w:r>
      <w:r>
        <w:rPr>
          <w:rFonts w:ascii="Times New Roman" w:hAnsi="Times New Roman" w:cs="Times New Roman"/>
          <w:b/>
          <w:bCs/>
          <w:sz w:val="24"/>
          <w:szCs w:val="24"/>
        </w:rPr>
        <w:t>Threat of Substitution</w:t>
      </w:r>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availability of substitutes reduces a company’s revenue. This is because customers tend to switch to substitutes, especially when a substitutable product becomes expensive or unreliable (</w:t>
      </w:r>
      <w:r>
        <w:rPr>
          <w:rFonts w:ascii="Times New Roman" w:hAnsi="Times New Roman" w:cs="Times New Roman"/>
          <w:sz w:val="24"/>
          <w:szCs w:val="24"/>
          <w:shd w:val="clear" w:color="auto" w:fill="FFFFFF"/>
        </w:rPr>
        <w:t>Hasan, 2015)</w:t>
      </w:r>
      <w:r>
        <w:rPr>
          <w:rFonts w:ascii="Times New Roman" w:hAnsi="Times New Roman" w:cs="Times New Roman"/>
          <w:sz w:val="24"/>
          <w:szCs w:val="24"/>
        </w:rPr>
        <w:t>. In Unilever’s case, the company products have few substitutes. In particular, customers can substitute the company’s toothpaste with homemade organic dentifrice. However, it is easier for a customer to obtain close-up toothpaste than to make an organic alternative (</w:t>
      </w:r>
      <w:r>
        <w:rPr>
          <w:rFonts w:ascii="Times New Roman" w:hAnsi="Times New Roman" w:cs="Times New Roman"/>
          <w:sz w:val="24"/>
          <w:szCs w:val="24"/>
          <w:shd w:val="clear" w:color="auto" w:fill="FFFFFF"/>
        </w:rPr>
        <w:t>Hasan, 2015)</w:t>
      </w:r>
      <w:r>
        <w:rPr>
          <w:rFonts w:ascii="Times New Roman" w:hAnsi="Times New Roman" w:cs="Times New Roman"/>
          <w:sz w:val="24"/>
          <w:szCs w:val="24"/>
        </w:rPr>
        <w:t>. In addition, the substitute products are low quality when compared to Unilever’s products (</w:t>
      </w:r>
      <w:r>
        <w:rPr>
          <w:rFonts w:ascii="Times New Roman" w:hAnsi="Times New Roman" w:cs="Times New Roman"/>
          <w:sz w:val="24"/>
          <w:szCs w:val="24"/>
          <w:shd w:val="clear" w:color="auto" w:fill="FFFFFF"/>
        </w:rPr>
        <w:t>Sar, 2018)</w:t>
      </w:r>
      <w:r>
        <w:rPr>
          <w:rFonts w:ascii="Times New Roman" w:hAnsi="Times New Roman" w:cs="Times New Roman"/>
          <w:sz w:val="24"/>
          <w:szCs w:val="24"/>
        </w:rPr>
        <w:t xml:space="preserve">. Therefore, the threat of substitutes is low. However, Unilever does not need to relax since there are low switching costs in the FMCG industry. Therefore, consumers can easily switch from Unilever to competitor brands. The company should leverage its innovative capabilities to differentiate its products to counter the threat of substitution. </w:t>
      </w:r>
    </w:p>
    <w:p>
      <w:pPr>
        <w:spacing w:after="0" w:line="480" w:lineRule="auto"/>
        <w:rPr>
          <w:rFonts w:ascii="Times New Roman" w:hAnsi="Times New Roman" w:cs="Times New Roman"/>
          <w:b/>
          <w:bCs/>
          <w:sz w:val="24"/>
          <w:szCs w:val="24"/>
        </w:rPr>
      </w:pPr>
      <w:r>
        <w:rPr>
          <w:rFonts w:hint="eastAsia" w:ascii="Times New Roman" w:hAnsi="Times New Roman" w:eastAsia="宋体" w:cs="Times New Roman"/>
          <w:b/>
          <w:bCs/>
          <w:sz w:val="24"/>
          <w:szCs w:val="24"/>
          <w:lang w:val="en-US" w:eastAsia="zh-CN"/>
        </w:rPr>
        <w:t xml:space="preserve">5.3 </w:t>
      </w:r>
      <w:r>
        <w:rPr>
          <w:rFonts w:ascii="Times New Roman" w:hAnsi="Times New Roman" w:cs="Times New Roman"/>
          <w:b/>
          <w:bCs/>
          <w:sz w:val="24"/>
          <w:szCs w:val="24"/>
        </w:rPr>
        <w:t>Bargaining Power of Suppliers</w:t>
      </w:r>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Unilever depends on a number of suppliers. For instance, it depends on farmers to provide high-quality foods and refreshments (</w:t>
      </w:r>
      <w:r>
        <w:rPr>
          <w:rFonts w:ascii="Times New Roman" w:hAnsi="Times New Roman" w:cs="Times New Roman"/>
          <w:sz w:val="24"/>
          <w:szCs w:val="24"/>
          <w:shd w:val="clear" w:color="auto" w:fill="FFFFFF"/>
        </w:rPr>
        <w:t>Sar, 2018)</w:t>
      </w:r>
      <w:r>
        <w:rPr>
          <w:rFonts w:ascii="Times New Roman" w:hAnsi="Times New Roman" w:cs="Times New Roman"/>
          <w:sz w:val="24"/>
          <w:szCs w:val="24"/>
        </w:rPr>
        <w:t xml:space="preserve">. The suppliers do not, however, have a strong power since they are many. In addition, the suppliers are usually small in size, meaning that they cannot influence prices. However, the focus on sustainability means that Unilever has to work closely with suppliers to offer sustainable products. In particular, the need to become a sustainable brand gives suppliers a significant influence over Unilever. The company has to meet supplier demands for it to achieve its sustainability ambitions. For example, the company has to pay high prices and ensure that the suppliers integrate sustainability into their corporate strategies. This implies that supplier power is moderate for Unilever.  </w:t>
      </w:r>
    </w:p>
    <w:p>
      <w:pPr>
        <w:spacing w:after="0" w:line="480" w:lineRule="auto"/>
        <w:rPr>
          <w:rFonts w:ascii="Times New Roman" w:hAnsi="Times New Roman" w:cs="Times New Roman"/>
          <w:b/>
          <w:bCs/>
          <w:sz w:val="24"/>
          <w:szCs w:val="24"/>
        </w:rPr>
      </w:pPr>
      <w:r>
        <w:rPr>
          <w:rFonts w:hint="eastAsia" w:ascii="Times New Roman" w:hAnsi="Times New Roman" w:eastAsia="宋体" w:cs="Times New Roman"/>
          <w:b/>
          <w:bCs/>
          <w:sz w:val="24"/>
          <w:szCs w:val="24"/>
          <w:lang w:val="en-US" w:eastAsia="zh-CN"/>
        </w:rPr>
        <w:t xml:space="preserve">5.4 </w:t>
      </w:r>
      <w:r>
        <w:rPr>
          <w:rFonts w:ascii="Times New Roman" w:hAnsi="Times New Roman" w:cs="Times New Roman"/>
          <w:b/>
          <w:bCs/>
          <w:sz w:val="24"/>
          <w:szCs w:val="24"/>
        </w:rPr>
        <w:t>Bargaining Power of Buyers</w:t>
      </w:r>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Buyers in the FMCG industry include retailers, wholesalers, and end consumers. The buyers can exert pressure on prices by demanding quality and low-priced consumer goods (</w:t>
      </w:r>
      <w:r>
        <w:rPr>
          <w:rFonts w:ascii="Times New Roman" w:hAnsi="Times New Roman" w:cs="Times New Roman"/>
          <w:sz w:val="24"/>
          <w:szCs w:val="24"/>
          <w:shd w:val="clear" w:color="auto" w:fill="FFFFFF"/>
        </w:rPr>
        <w:t>Bruijl &amp; Gerard, 2018)</w:t>
      </w:r>
      <w:r>
        <w:rPr>
          <w:rFonts w:ascii="Times New Roman" w:hAnsi="Times New Roman" w:cs="Times New Roman"/>
          <w:sz w:val="24"/>
          <w:szCs w:val="24"/>
        </w:rPr>
        <w:t xml:space="preserve">. Their power is particularly high because of low switching costs and the presence of high-quality information. The low switching cost makes it easy for a buyer to switch between brands, while the presence of high-quality information makes it easy for customers to determine competitors selling at low costs. For example, buyers can use the internet to search for consumer goods brands offering high-quality products at low prices. This makes it difficult for Unilever to increase its prices or lower quality to improve margins. Therefore, buyer power is quite high in the FMCG industry. Unilever will thus need to understand its customers, differentiate its products, and cater to the customers’ needs to remain competitive in the industry.   </w:t>
      </w:r>
    </w:p>
    <w:p>
      <w:pPr>
        <w:spacing w:after="0" w:line="480" w:lineRule="auto"/>
        <w:rPr>
          <w:rFonts w:ascii="Times New Roman" w:hAnsi="Times New Roman" w:cs="Times New Roman"/>
          <w:b/>
          <w:bCs/>
          <w:sz w:val="24"/>
          <w:szCs w:val="24"/>
        </w:rPr>
      </w:pPr>
      <w:r>
        <w:rPr>
          <w:rFonts w:hint="eastAsia" w:ascii="Times New Roman" w:hAnsi="Times New Roman" w:eastAsia="宋体" w:cs="Times New Roman"/>
          <w:b/>
          <w:bCs/>
          <w:sz w:val="24"/>
          <w:szCs w:val="24"/>
          <w:lang w:val="en-US" w:eastAsia="zh-CN"/>
        </w:rPr>
        <w:t xml:space="preserve">5.5 </w:t>
      </w:r>
      <w:r>
        <w:rPr>
          <w:rFonts w:ascii="Times New Roman" w:hAnsi="Times New Roman" w:cs="Times New Roman"/>
          <w:b/>
          <w:bCs/>
          <w:sz w:val="24"/>
          <w:szCs w:val="24"/>
        </w:rPr>
        <w:t>Industry Rivalry</w:t>
      </w:r>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level of rivalry in the FMCG industry is quite high. This is due to a high number of firms, low switching costs, high aggressiveness of firms, and moderate market growth rate (</w:t>
      </w:r>
      <w:r>
        <w:rPr>
          <w:rFonts w:ascii="Times New Roman" w:hAnsi="Times New Roman" w:cs="Times New Roman"/>
          <w:sz w:val="24"/>
          <w:szCs w:val="24"/>
          <w:shd w:val="clear" w:color="auto" w:fill="FFFFFF"/>
        </w:rPr>
        <w:t>Bruijl &amp; Gerard, 2018)</w:t>
      </w:r>
      <w:r>
        <w:rPr>
          <w:rFonts w:ascii="Times New Roman" w:hAnsi="Times New Roman" w:cs="Times New Roman"/>
          <w:sz w:val="24"/>
          <w:szCs w:val="24"/>
        </w:rPr>
        <w:t xml:space="preserve">. The major competitors include Colgate Palmolive, Proctor &amp; Gamble, Edgewell Personal Care, Johnson &amp; Johnson, L'OREAL, and Nestle, Mondelez International. Each of these competitors competes for the same customers. For example, Colgate Palmolive markets and promotes its toothpaste as being the best. This means that Unilever has to position itself in a distinct manner to compete against the company. Failure to do so can be disadvantageous since switching costs are low. The competitive forces are summarised in the diagram shown below. </w:t>
      </w:r>
    </w:p>
    <w:p>
      <w:pPr>
        <w:spacing w:line="480" w:lineRule="auto"/>
        <w:rPr>
          <w:rFonts w:ascii="Times New Roman" w:hAnsi="Times New Roman" w:cs="Times New Roman"/>
          <w:sz w:val="24"/>
          <w:szCs w:val="24"/>
        </w:rPr>
        <w:sectPr>
          <w:pgSz w:w="11906" w:h="16838"/>
          <w:pgMar w:top="1440" w:right="1440" w:bottom="1440" w:left="1440" w:header="708" w:footer="708" w:gutter="0"/>
          <w:cols w:space="708" w:num="1"/>
          <w:docGrid w:linePitch="360" w:charSpace="0"/>
        </w:sectPr>
      </w:pPr>
    </w:p>
    <w:p>
      <w:pPr>
        <w:spacing w:line="480" w:lineRule="auto"/>
        <w:rPr>
          <w:rFonts w:ascii="Times New Roman" w:hAnsi="Times New Roman" w:cs="Times New Roman"/>
          <w:sz w:val="24"/>
          <w:szCs w:val="24"/>
        </w:rPr>
      </w:pPr>
      <w:r>
        <w:rPr>
          <w:rFonts w:ascii="Times New Roman" w:hAnsi="Times New Roman" w:cs="Times New Roman"/>
          <w:sz w:val="24"/>
          <w:szCs w:val="24"/>
        </w:rPr>
        <mc:AlternateContent>
          <mc:Choice Requires="wps">
            <w:drawing>
              <wp:anchor distT="0" distB="0" distL="114300" distR="114300" simplePos="0" relativeHeight="251663360" behindDoc="0" locked="0" layoutInCell="1" allowOverlap="1">
                <wp:simplePos x="0" y="0"/>
                <wp:positionH relativeFrom="column">
                  <wp:posOffset>1933575</wp:posOffset>
                </wp:positionH>
                <wp:positionV relativeFrom="paragraph">
                  <wp:posOffset>104140</wp:posOffset>
                </wp:positionV>
                <wp:extent cx="5000625" cy="1971675"/>
                <wp:effectExtent l="38100" t="0" r="28575" b="47625"/>
                <wp:wrapNone/>
                <wp:docPr id="5" name="Arrow: Down 5"/>
                <wp:cNvGraphicFramePr/>
                <a:graphic xmlns:a="http://schemas.openxmlformats.org/drawingml/2006/main">
                  <a:graphicData uri="http://schemas.microsoft.com/office/word/2010/wordprocessingShape">
                    <wps:wsp>
                      <wps:cNvSpPr/>
                      <wps:spPr>
                        <a:xfrm>
                          <a:off x="0" y="0"/>
                          <a:ext cx="5000625" cy="1971675"/>
                        </a:xfrm>
                        <a:prstGeom prst="downArrow">
                          <a:avLst/>
                        </a:prstGeom>
                      </wps:spPr>
                      <wps:style>
                        <a:lnRef idx="2">
                          <a:schemeClr val="accent6"/>
                        </a:lnRef>
                        <a:fillRef idx="1">
                          <a:schemeClr val="lt1"/>
                        </a:fillRef>
                        <a:effectRef idx="0">
                          <a:schemeClr val="accent6"/>
                        </a:effectRef>
                        <a:fontRef idx="minor">
                          <a:schemeClr val="dk1"/>
                        </a:fontRef>
                      </wps:style>
                      <wps:txbx>
                        <w:txbxContent>
                          <w:p>
                            <w:pPr>
                              <w:jc w:val="center"/>
                              <w:rPr>
                                <w:b/>
                                <w:bCs/>
                              </w:rPr>
                            </w:pPr>
                            <w:r>
                              <w:rPr>
                                <w:b/>
                                <w:bCs/>
                              </w:rPr>
                              <w:t>BUYER POWER-QUITE HIGH</w:t>
                            </w:r>
                          </w:p>
                          <w:p>
                            <w:pPr>
                              <w:pStyle w:val="17"/>
                              <w:numPr>
                                <w:ilvl w:val="0"/>
                                <w:numId w:val="3"/>
                              </w:numPr>
                              <w:spacing w:line="240" w:lineRule="auto"/>
                            </w:pPr>
                            <w:r>
                              <w:t>Low switching costs (low)</w:t>
                            </w:r>
                          </w:p>
                          <w:p>
                            <w:pPr>
                              <w:pStyle w:val="17"/>
                              <w:numPr>
                                <w:ilvl w:val="0"/>
                                <w:numId w:val="3"/>
                              </w:numPr>
                              <w:spacing w:line="240" w:lineRule="auto"/>
                            </w:pPr>
                            <w:r>
                              <w:t>High quality of information(high)</w:t>
                            </w:r>
                          </w:p>
                          <w:p>
                            <w:pPr>
                              <w:pStyle w:val="17"/>
                              <w:numPr>
                                <w:ilvl w:val="0"/>
                                <w:numId w:val="3"/>
                              </w:numPr>
                              <w:spacing w:line="240" w:lineRule="auto"/>
                            </w:pPr>
                            <w:r>
                              <w:t>Small-size individual buyers (low)</w:t>
                            </w:r>
                          </w:p>
                        </w:txbxContent>
                      </wps:txbx>
                      <wps:bodyPr rot="0" spcFirstLastPara="0" vertOverflow="overflow" horzOverflow="overflow" vert="horz" wrap="square" lIns="91440" tIns="45720" rIns="91440" bIns="45720" numCol="1" spcCol="0" rtlCol="0" fromWordArt="0" anchor="ctr" anchorCtr="0" forceAA="0" compatLnSpc="1"/>
                    </wps:wsp>
                  </a:graphicData>
                </a:graphic>
              </wp:anchor>
            </w:drawing>
          </mc:Choice>
          <mc:Fallback>
            <w:pict>
              <v:shape id="Arrow: Down 5" o:spid="_x0000_s1026" o:spt="67" type="#_x0000_t67" style="position:absolute;left:0pt;margin-left:152.25pt;margin-top:8.2pt;height:155.25pt;width:393.75pt;z-index:251663360;v-text-anchor:middle;mso-width-relative:page;mso-height-relative:page;" fillcolor="#FFFFFF [3201]" filled="t" stroked="t" coordsize="21600,21600" o:gfxdata="UEsDBAoAAAAAAIdO4kAAAAAAAAAAAAAAAAAEAAAAZHJzL1BLAwQUAAAACACHTuJAp0OPV9gAAAAL&#10;AQAADwAAAGRycy9kb3ducmV2LnhtbE2PwU7DMBBE70j8g7VI3KidUCKaxqkEggMcKJT27sYmiWqv&#10;o9hO279ne4Ljap5m31Srk7NsMmPoPUrIZgKYwcbrHlsJ2+/Xu0dgISrUyno0Es4mwKq+vqpUqf0R&#10;v8y0iS2jEgylktDFOJSch6YzToWZHwxS9uNHpyKdY8v1qI5U7izPhSi4Uz3Sh04N5rkzzWGTnIS3&#10;w/v0tFvnKWW7dfo8K/vx4jMpb28ysQQWzSn+wXDRJ3WoyWnvE+rArIR7MX8glIJiDuwCiEVO6/YU&#10;5cUCeF3x/xvqX1BLAwQUAAAACACHTuJACOoGCFoCAADZBAAADgAAAGRycy9lMm9Eb2MueG1srVRL&#10;b9swDL4P2H8QdF+dBHmsQZ0iaJBhQLEWaIedFVmODeg1SonT/fp9kt3neuhhOSikSX0kP5K6uDwZ&#10;zY6KQutsycdnI86Ula5q7b7kP++3X75yFqKwldDOqpI/qMAvV58/XXR+qSaucbpSxABiw7LzJW9i&#10;9MuiCLJRRoQz55WFsXZkRIRK+6Ii0QHd6GIyGs2LzlHlyUkVAr5ueiMfEOkjgK6uW6k2Th6MsrFH&#10;JaVFREmhaX3gq5xtXSsZb+o6qMh0yVFpzCeCQN6ls1hdiOWehG9aOaQgPpLCm5qMaC2CPkFtRBTs&#10;QO0/UKaV5IKr45l0pugLyYygivHoDTd3jfAq1wKqg38iPfw/WPnjeEusrUo+48wKg4aviVy3ZBvX&#10;WTZLBHU+LOF3529p0ALEVO2pJpP+UQc7ZVIfnkhVp8gkPs5GaPoE6BK28fliPF9k1OL5uqcQvyln&#10;WBJKXiFyTiIzKo7XISIu/B/9UsjgdFttW62zQvvdlSZ2FGjzNv9S4rjyyk1b1pV8MpuO0H4pMLw1&#10;hgai8SAg2D1nQu+xFTJSjv3qdngVZHE+n87fC5KS3IjQ9MlkhMFNW6SUyOzpS1I87U4DpztXPaAV&#10;5PoZDV5uW0BdixBvBWEokTPWNt7gqLVDIW6QOGsc/Xnve/LHrMDKWYchR5G/D4IUZ/q7xRSdj6fT&#10;tBVZmc4WEyj00rJ7abEHc+VA8BgPhJdZTP5RP4o1OfML271OUWESViJ2T+egXMV++fA+SLVeZzds&#10;ghfx2t55mcBT4xI3mPjcwmE700q91LPX84u0+gt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DLBAAAW0NvbnRlbnRfVHlwZXNdLnhtbFBLAQIUAAoA&#10;AAAAAIdO4kAAAAAAAAAAAAAAAAAGAAAAAAAAAAAAEAAAAK0DAABfcmVscy9QSwECFAAUAAAACACH&#10;TuJAihRmPNEAAACUAQAACwAAAAAAAAABACAAAADRAwAAX3JlbHMvLnJlbHNQSwECFAAKAAAAAACH&#10;TuJAAAAAAAAAAAAAAAAABAAAAAAAAAAAABAAAAAAAAAAZHJzL1BLAQIUABQAAAAIAIdO4kCnQ49X&#10;2AAAAAsBAAAPAAAAAAAAAAEAIAAAACIAAABkcnMvZG93bnJldi54bWxQSwECFAAUAAAACACHTuJA&#10;COoGCFoCAADZBAAADgAAAAAAAAABACAAAAAnAQAAZHJzL2Uyb0RvYy54bWxQSwUGAAAAAAYABgBZ&#10;AQAA8wUAAAAA&#10;" adj="10800,5400">
                <v:fill on="t" focussize="0,0"/>
                <v:stroke weight="2pt" color="#F79646 [3209]" joinstyle="round"/>
                <v:imagedata o:title=""/>
                <o:lock v:ext="edit" aspectratio="f"/>
                <v:textbox>
                  <w:txbxContent>
                    <w:p>
                      <w:pPr>
                        <w:jc w:val="center"/>
                        <w:rPr>
                          <w:b/>
                          <w:bCs/>
                        </w:rPr>
                      </w:pPr>
                      <w:r>
                        <w:rPr>
                          <w:b/>
                          <w:bCs/>
                        </w:rPr>
                        <w:t>BUYER POWER-QUITE HIGH</w:t>
                      </w:r>
                    </w:p>
                    <w:p>
                      <w:pPr>
                        <w:pStyle w:val="17"/>
                        <w:numPr>
                          <w:ilvl w:val="0"/>
                          <w:numId w:val="3"/>
                        </w:numPr>
                        <w:spacing w:line="240" w:lineRule="auto"/>
                      </w:pPr>
                      <w:r>
                        <w:t>Low switching costs (low)</w:t>
                      </w:r>
                    </w:p>
                    <w:p>
                      <w:pPr>
                        <w:pStyle w:val="17"/>
                        <w:numPr>
                          <w:ilvl w:val="0"/>
                          <w:numId w:val="3"/>
                        </w:numPr>
                        <w:spacing w:line="240" w:lineRule="auto"/>
                      </w:pPr>
                      <w:r>
                        <w:t>High quality of information(high)</w:t>
                      </w:r>
                    </w:p>
                    <w:p>
                      <w:pPr>
                        <w:pStyle w:val="17"/>
                        <w:numPr>
                          <w:ilvl w:val="0"/>
                          <w:numId w:val="3"/>
                        </w:numPr>
                        <w:spacing w:line="240" w:lineRule="auto"/>
                      </w:pPr>
                      <w:r>
                        <w:t>Small-size individual buyers (low)</w:t>
                      </w:r>
                    </w:p>
                  </w:txbxContent>
                </v:textbox>
              </v:shape>
            </w:pict>
          </mc:Fallback>
        </mc:AlternateContent>
      </w:r>
    </w:p>
    <w:p>
      <w:pPr>
        <w:spacing w:line="480" w:lineRule="auto"/>
        <w:rPr>
          <w:rFonts w:ascii="Times New Roman" w:hAnsi="Times New Roman" w:cs="Times New Roman"/>
          <w:sz w:val="24"/>
          <w:szCs w:val="24"/>
        </w:rPr>
      </w:pPr>
    </w:p>
    <w:p>
      <w:pPr>
        <w:spacing w:line="480" w:lineRule="auto"/>
        <w:rPr>
          <w:rFonts w:ascii="Times New Roman" w:hAnsi="Times New Roman" w:cs="Times New Roman"/>
          <w:sz w:val="24"/>
          <w:szCs w:val="24"/>
        </w:rPr>
      </w:pPr>
    </w:p>
    <w:p>
      <w:pPr>
        <w:spacing w:line="480" w:lineRule="auto"/>
        <w:rPr>
          <w:rFonts w:ascii="Times New Roman" w:hAnsi="Times New Roman" w:cs="Times New Roman"/>
          <w:sz w:val="24"/>
          <w:szCs w:val="24"/>
        </w:rPr>
      </w:pPr>
      <w:r>
        <w:rPr>
          <w:rFonts w:ascii="Times New Roman" w:hAnsi="Times New Roman" w:cs="Times New Roman"/>
          <w:sz w:val="24"/>
          <w:szCs w:val="24"/>
        </w:rPr>
        <mc:AlternateContent>
          <mc:Choice Requires="wps">
            <w:drawing>
              <wp:anchor distT="0" distB="0" distL="114300" distR="114300" simplePos="0" relativeHeight="251661312" behindDoc="0" locked="0" layoutInCell="1" allowOverlap="1">
                <wp:simplePos x="0" y="0"/>
                <wp:positionH relativeFrom="column">
                  <wp:posOffset>6105525</wp:posOffset>
                </wp:positionH>
                <wp:positionV relativeFrom="paragraph">
                  <wp:posOffset>25400</wp:posOffset>
                </wp:positionV>
                <wp:extent cx="3390900" cy="3057525"/>
                <wp:effectExtent l="19050" t="19050" r="19050" b="47625"/>
                <wp:wrapNone/>
                <wp:docPr id="3" name="Arrow: Left 3"/>
                <wp:cNvGraphicFramePr/>
                <a:graphic xmlns:a="http://schemas.openxmlformats.org/drawingml/2006/main">
                  <a:graphicData uri="http://schemas.microsoft.com/office/word/2010/wordprocessingShape">
                    <wps:wsp>
                      <wps:cNvSpPr/>
                      <wps:spPr>
                        <a:xfrm>
                          <a:off x="0" y="0"/>
                          <a:ext cx="3390900" cy="3057525"/>
                        </a:xfrm>
                        <a:prstGeom prst="leftArrow">
                          <a:avLst/>
                        </a:prstGeom>
                      </wps:spPr>
                      <wps:style>
                        <a:lnRef idx="2">
                          <a:schemeClr val="accent6"/>
                        </a:lnRef>
                        <a:fillRef idx="1">
                          <a:schemeClr val="lt1"/>
                        </a:fillRef>
                        <a:effectRef idx="0">
                          <a:schemeClr val="accent6"/>
                        </a:effectRef>
                        <a:fontRef idx="minor">
                          <a:schemeClr val="dk1"/>
                        </a:fontRef>
                      </wps:style>
                      <wps:txbx>
                        <w:txbxContent>
                          <w:p>
                            <w:pPr>
                              <w:jc w:val="center"/>
                              <w:rPr>
                                <w:b/>
                                <w:bCs/>
                              </w:rPr>
                            </w:pPr>
                            <w:r>
                              <w:rPr>
                                <w:b/>
                                <w:bCs/>
                              </w:rPr>
                              <w:t>SUPPLIER POWER-MODERATE</w:t>
                            </w:r>
                          </w:p>
                          <w:p>
                            <w:pPr>
                              <w:pStyle w:val="17"/>
                              <w:numPr>
                                <w:ilvl w:val="0"/>
                                <w:numId w:val="4"/>
                              </w:numPr>
                            </w:pPr>
                            <w:r>
                              <w:t>Small sized suppliers</w:t>
                            </w:r>
                          </w:p>
                          <w:p>
                            <w:pPr>
                              <w:pStyle w:val="17"/>
                              <w:numPr>
                                <w:ilvl w:val="0"/>
                                <w:numId w:val="4"/>
                              </w:numPr>
                            </w:pPr>
                            <w:r>
                              <w:t>A large number of suppliers</w:t>
                            </w:r>
                          </w:p>
                          <w:p>
                            <w:pPr>
                              <w:pStyle w:val="17"/>
                              <w:numPr>
                                <w:ilvl w:val="0"/>
                                <w:numId w:val="4"/>
                              </w:numPr>
                            </w:pPr>
                            <w:r>
                              <w:t>A low number of sustainability-focused suppliers</w:t>
                            </w:r>
                          </w:p>
                        </w:txbxContent>
                      </wps:txbx>
                      <wps:bodyPr rot="0" spcFirstLastPara="0" vertOverflow="overflow" horzOverflow="overflow" vert="horz" wrap="square" lIns="91440" tIns="45720" rIns="91440" bIns="45720" numCol="1" spcCol="0" rtlCol="0" fromWordArt="0" anchor="ctr" anchorCtr="0" forceAA="0" compatLnSpc="1"/>
                    </wps:wsp>
                  </a:graphicData>
                </a:graphic>
              </wp:anchor>
            </w:drawing>
          </mc:Choice>
          <mc:Fallback>
            <w:pict>
              <v:shape id="Arrow: Left 3" o:spid="_x0000_s1026" o:spt="66" type="#_x0000_t66" style="position:absolute;left:0pt;margin-left:480.75pt;margin-top:2pt;height:240.75pt;width:267pt;z-index:251661312;v-text-anchor:middle;mso-width-relative:page;mso-height-relative:page;" fillcolor="#FFFFFF [3201]" filled="t" stroked="t" coordsize="21600,21600" o:gfxdata="UEsDBAoAAAAAAIdO4kAAAAAAAAAAAAAAAAAEAAAAZHJzL1BLAwQUAAAACACHTuJAo769rNYAAAAK&#10;AQAADwAAAGRycy9kb3ducmV2LnhtbE1PPW/CMBDdK/EfrEPqUhUnFBBJ4zBQdexAUrXrEbtJRHyO&#10;YpNQfn2PqWz3PvTuvWx3sZ0YzeBbRwriRQTCUOV0S7WCz/L9eQvCBySNnSOj4Nd42OWzhwxT7SY6&#10;mLEIteAQ8ikqaELoUyl91RiLfuF6Q6z9uMFiYDjUUg84cbjt5DKKNtJiS/yhwd7sG1OdirNVcJi+&#10;nuLxWmmavsuPl2T5VpR4VepxHkevIIK5hH8z3Opzdci509GdSXvRKUg28ZqtClY86aavkjUTRya2&#10;fMg8k/cT8j9QSwMEFAAAAAgAh07iQCQhqlNZAgAA2QQAAA4AAABkcnMvZTJvRG9jLnhtbK1UTW/b&#10;MAy9D9h/EHRf7Xy2CeoUQYMMA4I1QDbsrMhSbEBfo5TY2a8fJbtt0vXQw3JwSJN+5Hsidf/QakVO&#10;AnxtTUEHNzklwnBb1uZQ0J8/1l/uKPGBmZIpa0RBz8LTh8XnT/eNm4uhrawqBRAEMX7euIJWIbh5&#10;lnleCc38jXXCYFBa0CygC4esBNYgulbZMM+nWWOhdGC58B7frrog7RHhI4BWypqLleVHLUzoUEEo&#10;FpCSr2rn6SJ1K6Xg4UlKLwJRBUWmIT2xCNr7+MwW92x+AOaqmvctsI+08IaTZrXBoi9QKxYYOUL9&#10;D5SuOVhvZbjhVmcdkaQIshjkb7TZVcyJxAWl9u5FdP//YPn30xZIXRZ0RIlhGg98CWCbOdkIGcgo&#10;CtQ4P8e8ndtC73k0I9tWgo7/yIO0SdTzi6iiDYTjy9Fols9y1JtjbJRPbifDSUTNXj934MNXYTWJ&#10;RkEVVk5NJEXZaeNDl/+cF0t6q+pyXSuVHDjsHxWQE8NjXqdfX+IqTRnSFHQ4Gad2GA6vxKHBzrRD&#10;Abw5UMLUAbeCB0i1r772V0VuZ9Px9L0isckV81XXTELo05RB1lHMTr5ohXbf9prubXnGowDbzah3&#10;fF0j1Ib5sGWAQ4kS4tqGJ3xIZZGI7S1KKgt/3nsf83FWMEpJg0OOJH8fGQhK1DeDUzQbjMdxK5Iz&#10;ntwO0YHLyP4yYo760aLAA7wgHE9mzA/q2ZRg9S/c7mWsiiFmONbu5Oydx9AtH94PXCyXKQ03wbGw&#10;MTvHI3g866gNTnyakn4740pd+inr9UZa/AV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DIBAAAW0NvbnRlbnRfVHlwZXNdLnhtbFBLAQIUAAoAAAAA&#10;AIdO4kAAAAAAAAAAAAAAAAAGAAAAAAAAAAAAEAAAAKoDAABfcmVscy9QSwECFAAUAAAACACHTuJA&#10;ihRmPNEAAACUAQAACwAAAAAAAAABACAAAADOAwAAX3JlbHMvLnJlbHNQSwECFAAKAAAAAACHTuJA&#10;AAAAAAAAAAAAAAAABAAAAAAAAAAAABAAAAAAAAAAZHJzL1BLAQIUABQAAAAIAIdO4kCjvr2s1gAA&#10;AAoBAAAPAAAAAAAAAAEAIAAAACIAAABkcnMvZG93bnJldi54bWxQSwECFAAUAAAACACHTuJAJCGq&#10;U1kCAADZBAAADgAAAAAAAAABACAAAAAlAQAAZHJzL2Uyb0RvYy54bWxQSwUGAAAAAAYABgBZAQAA&#10;8AUAAAAA&#10;" adj="9738,5400">
                <v:fill on="t" focussize="0,0"/>
                <v:stroke weight="2pt" color="#F79646 [3209]" joinstyle="round"/>
                <v:imagedata o:title=""/>
                <o:lock v:ext="edit" aspectratio="f"/>
                <v:textbox>
                  <w:txbxContent>
                    <w:p>
                      <w:pPr>
                        <w:jc w:val="center"/>
                        <w:rPr>
                          <w:b/>
                          <w:bCs/>
                        </w:rPr>
                      </w:pPr>
                      <w:r>
                        <w:rPr>
                          <w:b/>
                          <w:bCs/>
                        </w:rPr>
                        <w:t>SUPPLIER POWER-MODERATE</w:t>
                      </w:r>
                    </w:p>
                    <w:p>
                      <w:pPr>
                        <w:pStyle w:val="17"/>
                        <w:numPr>
                          <w:ilvl w:val="0"/>
                          <w:numId w:val="4"/>
                        </w:numPr>
                      </w:pPr>
                      <w:r>
                        <w:t>Small sized suppliers</w:t>
                      </w:r>
                    </w:p>
                    <w:p>
                      <w:pPr>
                        <w:pStyle w:val="17"/>
                        <w:numPr>
                          <w:ilvl w:val="0"/>
                          <w:numId w:val="4"/>
                        </w:numPr>
                      </w:pPr>
                      <w:r>
                        <w:t>A large number of suppliers</w:t>
                      </w:r>
                    </w:p>
                    <w:p>
                      <w:pPr>
                        <w:pStyle w:val="17"/>
                        <w:numPr>
                          <w:ilvl w:val="0"/>
                          <w:numId w:val="4"/>
                        </w:numPr>
                      </w:pPr>
                      <w:r>
                        <w:t>A low number of sustainability-focused suppliers</w:t>
                      </w:r>
                    </w:p>
                  </w:txbxContent>
                </v:textbox>
              </v:shape>
            </w:pict>
          </mc:Fallback>
        </mc:AlternateContent>
      </w:r>
    </w:p>
    <w:p>
      <w:pPr>
        <w:spacing w:line="480" w:lineRule="auto"/>
        <w:rPr>
          <w:rFonts w:ascii="Times New Roman" w:hAnsi="Times New Roman" w:cs="Times New Roman"/>
          <w:sz w:val="24"/>
          <w:szCs w:val="24"/>
        </w:rPr>
      </w:pPr>
      <w:r>
        <w:rPr>
          <w:rFonts w:ascii="Times New Roman" w:hAnsi="Times New Roman" w:cs="Times New Roman"/>
          <w:sz w:val="24"/>
          <w:szCs w:val="24"/>
        </w:rPr>
        <mc:AlternateContent>
          <mc:Choice Requires="wps">
            <w:drawing>
              <wp:anchor distT="0" distB="0" distL="114300" distR="114300" simplePos="0" relativeHeight="251660288" behindDoc="0" locked="0" layoutInCell="1" allowOverlap="1">
                <wp:simplePos x="0" y="0"/>
                <wp:positionH relativeFrom="column">
                  <wp:posOffset>666115</wp:posOffset>
                </wp:positionH>
                <wp:positionV relativeFrom="paragraph">
                  <wp:posOffset>105410</wp:posOffset>
                </wp:positionV>
                <wp:extent cx="2714625" cy="1914525"/>
                <wp:effectExtent l="0" t="0" r="47625" b="28575"/>
                <wp:wrapNone/>
                <wp:docPr id="2" name="Arrow: Pentagon 2"/>
                <wp:cNvGraphicFramePr/>
                <a:graphic xmlns:a="http://schemas.openxmlformats.org/drawingml/2006/main">
                  <a:graphicData uri="http://schemas.microsoft.com/office/word/2010/wordprocessingShape">
                    <wps:wsp>
                      <wps:cNvSpPr/>
                      <wps:spPr>
                        <a:xfrm>
                          <a:off x="0" y="0"/>
                          <a:ext cx="2714625" cy="1914525"/>
                        </a:xfrm>
                        <a:prstGeom prst="homePlate">
                          <a:avLst/>
                        </a:prstGeom>
                      </wps:spPr>
                      <wps:style>
                        <a:lnRef idx="2">
                          <a:schemeClr val="accent6"/>
                        </a:lnRef>
                        <a:fillRef idx="1">
                          <a:schemeClr val="lt1"/>
                        </a:fillRef>
                        <a:effectRef idx="0">
                          <a:schemeClr val="accent6"/>
                        </a:effectRef>
                        <a:fontRef idx="minor">
                          <a:schemeClr val="dk1"/>
                        </a:fontRef>
                      </wps:style>
                      <wps:txbx>
                        <w:txbxContent>
                          <w:p>
                            <w:pPr>
                              <w:jc w:val="center"/>
                              <w:rPr>
                                <w:b/>
                                <w:bCs/>
                              </w:rPr>
                            </w:pPr>
                            <w:r>
                              <w:rPr>
                                <w:b/>
                                <w:bCs/>
                              </w:rPr>
                              <w:t>THREAT OF SUBSTITUTION-LOW</w:t>
                            </w:r>
                          </w:p>
                          <w:p>
                            <w:pPr>
                              <w:pStyle w:val="17"/>
                              <w:numPr>
                                <w:ilvl w:val="0"/>
                                <w:numId w:val="5"/>
                              </w:numPr>
                            </w:pPr>
                            <w:r>
                              <w:t xml:space="preserve">Few substitutes </w:t>
                            </w:r>
                          </w:p>
                          <w:p>
                            <w:pPr>
                              <w:pStyle w:val="17"/>
                              <w:numPr>
                                <w:ilvl w:val="0"/>
                                <w:numId w:val="5"/>
                              </w:numPr>
                            </w:pPr>
                            <w:r>
                              <w:t>Low switching cost</w:t>
                            </w:r>
                          </w:p>
                          <w:p>
                            <w:pPr>
                              <w:pStyle w:val="17"/>
                              <w:numPr>
                                <w:ilvl w:val="0"/>
                                <w:numId w:val="5"/>
                              </w:numPr>
                            </w:pPr>
                            <w:r>
                              <w:t xml:space="preserve">Low performance of substitutes </w:t>
                            </w:r>
                          </w:p>
                        </w:txbxContent>
                      </wps:txbx>
                      <wps:bodyPr rot="0" spcFirstLastPara="0" vertOverflow="overflow" horzOverflow="overflow" vert="horz" wrap="square" lIns="91440" tIns="45720" rIns="91440" bIns="45720" numCol="1" spcCol="0" rtlCol="0" fromWordArt="0" anchor="ctr" anchorCtr="0" forceAA="0" compatLnSpc="1"/>
                    </wps:wsp>
                  </a:graphicData>
                </a:graphic>
              </wp:anchor>
            </w:drawing>
          </mc:Choice>
          <mc:Fallback>
            <w:pict>
              <v:shape id="Arrow: Pentagon 2" o:spid="_x0000_s1026" o:spt="15" type="#_x0000_t15" style="position:absolute;left:0pt;margin-left:52.45pt;margin-top:8.3pt;height:150.75pt;width:213.75pt;z-index:251660288;v-text-anchor:middle;mso-width-relative:page;mso-height-relative:page;" fillcolor="#FFFFFF [3201]" filled="t" stroked="t" coordsize="21600,21600" o:gfxdata="UEsDBAoAAAAAAIdO4kAAAAAAAAAAAAAAAAAEAAAAZHJzL1BLAwQUAAAACACHTuJA3v1KiNkAAAAK&#10;AQAADwAAAGRycy9kb3ducmV2LnhtbE2Py07DMBBF90j8gzVIbBC1k6ZRG+JUCMGKDQREWbrx5CFi&#10;O7KdNvw9wwp2czVHd86U+8WM7IQ+DM5KSFYCGNrG6cF2Et7fnm63wEJUVqvRWZTwjQH21eVFqQrt&#10;zvYVT3XsGJXYUCgJfYxTwXloejQqrNyElnat80ZFir7j2qszlZuRp0Lk3KjB0oVeTfjQY/NVz0YC&#10;Zo/1/Ue9zO2mPfjPQ+p3LzfPUl5fJeIOWMQl/sHwq0/qUJHT0c1WBzZSFtmOUBryHBgBm3WaATtK&#10;WCfbBHhV8v8vVD9QSwMEFAAAAAgAh07iQBqSj35cAgAA3QQAAA4AAABkcnMvZTJvRG9jLnhtbK1U&#10;S2/bMAy+D9h/EHRfnRh5rEaTImiQYUCxBuiGnRlZfgB6jVLipL9+lOymTddDD8tBIUWa5PeR1M3t&#10;USt2kOhbaxZ8fDXiTBphy9bUC/7r5+bLV858AFOCskYu+El6frv8/Ommc4XMbWNVKZFREOOLzi14&#10;E4IrssyLRmrwV9ZJQ8bKooZAKtZZidBRdK2yfDSaZZ3F0qEV0nu6XfdGPkTEjwS0VdUKubZir6UJ&#10;fVSUCgJB8k3rPF+maqtKivBQVV4GphackIZ0UhKSd/HMljdQ1AiuacVQAnykhDeYNLSGkp5DrSEA&#10;22P7TyjdCrTeVuFKWJ31QBIjhGI8esPNYwNOJixEtXdn0v3/Cyt+HLbI2nLBc84MaGr4CtF2BdsS&#10;tVBbw/JIUud8Qb6PbouD5kmMiI8V6vhPWNgxEXs6EyuPgQm6zOfjySyfcibINr4eT6akUJzs5XOH&#10;PnyTVrMoED6r5ZY6GuFDAYd7H3r/Z7947a1qy02rVFKw3t0pZAegVm/Sb0hx4aYM66ig6WREIyCA&#10;BriiNCRqRyR4U3MGqqbNEAFT7ouv/UWS+fVsMnsvSSxyDb7pi0kRBjdlCHUks6cvSuG4Ow6c7mx5&#10;onag7efUO7FpKdQ9+LAFpMGkmml1wwMdlbIExA4SZ43Fp/fuo3/kE58462jQCeSfPaDkTH03NEnU&#10;jUncjKRMpvOcFHxt2b22mL2+s0TwmB4JJ5IY/YN6Fiu0+jdt+CpmJRMYQbl7OgflLvQLSG+EkKtV&#10;cqNtcBDuzaMTMXjsdeSGpj5NybChca1e68nr5VVa/gV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e&#10;/UqI2QAAAAoBAAAPAAAAAAAAAAEAIAAAACIAAABkcnMvZG93bnJldi54bWxQSwECFAAUAAAACACH&#10;TuJAGpKPflwCAADdBAAADgAAAAAAAAABACAAAAAoAQAAZHJzL2Uyb0RvYy54bWxQSwUGAAAAAAYA&#10;BgBZAQAA9gUAAAAA&#10;" adj="13984">
                <v:fill on="t" focussize="0,0"/>
                <v:stroke weight="2pt" color="#F79646 [3209]" joinstyle="round"/>
                <v:imagedata o:title=""/>
                <o:lock v:ext="edit" aspectratio="f"/>
                <v:textbox>
                  <w:txbxContent>
                    <w:p>
                      <w:pPr>
                        <w:jc w:val="center"/>
                        <w:rPr>
                          <w:b/>
                          <w:bCs/>
                        </w:rPr>
                      </w:pPr>
                      <w:r>
                        <w:rPr>
                          <w:b/>
                          <w:bCs/>
                        </w:rPr>
                        <w:t>THREAT OF SUBSTITUTION-LOW</w:t>
                      </w:r>
                    </w:p>
                    <w:p>
                      <w:pPr>
                        <w:pStyle w:val="17"/>
                        <w:numPr>
                          <w:ilvl w:val="0"/>
                          <w:numId w:val="5"/>
                        </w:numPr>
                      </w:pPr>
                      <w:r>
                        <w:t xml:space="preserve">Few substitutes </w:t>
                      </w:r>
                    </w:p>
                    <w:p>
                      <w:pPr>
                        <w:pStyle w:val="17"/>
                        <w:numPr>
                          <w:ilvl w:val="0"/>
                          <w:numId w:val="5"/>
                        </w:numPr>
                      </w:pPr>
                      <w:r>
                        <w:t>Low switching cost</w:t>
                      </w:r>
                    </w:p>
                    <w:p>
                      <w:pPr>
                        <w:pStyle w:val="17"/>
                        <w:numPr>
                          <w:ilvl w:val="0"/>
                          <w:numId w:val="5"/>
                        </w:numPr>
                      </w:pPr>
                      <w:r>
                        <w:t xml:space="preserve">Low performance of substitutes </w:t>
                      </w:r>
                    </w:p>
                  </w:txbxContent>
                </v:textbox>
              </v:shape>
            </w:pict>
          </mc:Fallback>
        </mc:AlternateContent>
      </w:r>
    </w:p>
    <w:p>
      <w:pPr>
        <w:spacing w:line="480" w:lineRule="auto"/>
        <w:rPr>
          <w:rFonts w:ascii="Times New Roman" w:hAnsi="Times New Roman" w:cs="Times New Roman"/>
          <w:sz w:val="24"/>
          <w:szCs w:val="24"/>
        </w:rPr>
      </w:pPr>
      <w:r>
        <w:rPr>
          <w:rFonts w:ascii="Times New Roman" w:hAnsi="Times New Roman" w:cs="Times New Roman"/>
          <w:sz w:val="24"/>
          <w:szCs w:val="24"/>
        </w:rPr>
        <mc:AlternateContent>
          <mc:Choice Requires="wps">
            <w:drawing>
              <wp:anchor distT="0" distB="0" distL="114300" distR="114300" simplePos="0" relativeHeight="251659264" behindDoc="0" locked="0" layoutInCell="1" allowOverlap="1">
                <wp:simplePos x="0" y="0"/>
                <wp:positionH relativeFrom="column">
                  <wp:posOffset>3448050</wp:posOffset>
                </wp:positionH>
                <wp:positionV relativeFrom="paragraph">
                  <wp:posOffset>6985</wp:posOffset>
                </wp:positionV>
                <wp:extent cx="2867025" cy="1362075"/>
                <wp:effectExtent l="0" t="0" r="28575" b="28575"/>
                <wp:wrapNone/>
                <wp:docPr id="1" name="Rectangle 1"/>
                <wp:cNvGraphicFramePr/>
                <a:graphic xmlns:a="http://schemas.openxmlformats.org/drawingml/2006/main">
                  <a:graphicData uri="http://schemas.microsoft.com/office/word/2010/wordprocessingShape">
                    <wps:wsp>
                      <wps:cNvSpPr/>
                      <wps:spPr>
                        <a:xfrm>
                          <a:off x="0" y="0"/>
                          <a:ext cx="2867025" cy="1362075"/>
                        </a:xfrm>
                        <a:prstGeom prst="rect">
                          <a:avLst/>
                        </a:prstGeom>
                      </wps:spPr>
                      <wps:style>
                        <a:lnRef idx="2">
                          <a:schemeClr val="accent6"/>
                        </a:lnRef>
                        <a:fillRef idx="1">
                          <a:schemeClr val="lt1"/>
                        </a:fillRef>
                        <a:effectRef idx="0">
                          <a:schemeClr val="accent6"/>
                        </a:effectRef>
                        <a:fontRef idx="minor">
                          <a:schemeClr val="dk1"/>
                        </a:fontRef>
                      </wps:style>
                      <wps:txbx>
                        <w:txbxContent>
                          <w:p>
                            <w:pPr>
                              <w:jc w:val="center"/>
                              <w:rPr>
                                <w:b/>
                                <w:bCs/>
                              </w:rPr>
                            </w:pPr>
                            <w:r>
                              <w:rPr>
                                <w:b/>
                                <w:bCs/>
                              </w:rPr>
                              <w:t>INDUSTRY RIVALRY-QUITE HIGH</w:t>
                            </w:r>
                          </w:p>
                          <w:p>
                            <w:pPr>
                              <w:pStyle w:val="17"/>
                              <w:numPr>
                                <w:ilvl w:val="0"/>
                                <w:numId w:val="6"/>
                              </w:numPr>
                            </w:pPr>
                            <w:r>
                              <w:t>A large number of competitors (low)</w:t>
                            </w:r>
                          </w:p>
                          <w:p>
                            <w:pPr>
                              <w:pStyle w:val="17"/>
                              <w:numPr>
                                <w:ilvl w:val="0"/>
                                <w:numId w:val="6"/>
                              </w:numPr>
                            </w:pPr>
                            <w:r>
                              <w:t>Low switching cost (high)</w:t>
                            </w:r>
                          </w:p>
                          <w:p>
                            <w:pPr>
                              <w:pStyle w:val="17"/>
                              <w:numPr>
                                <w:ilvl w:val="0"/>
                                <w:numId w:val="6"/>
                              </w:numPr>
                            </w:pPr>
                            <w:r>
                              <w:t>Moderate industry growth (moderate)</w:t>
                            </w:r>
                          </w:p>
                        </w:txbxContent>
                      </wps:txbx>
                      <wps:bodyPr rot="0" spcFirstLastPara="0" vertOverflow="overflow" horzOverflow="overflow" vert="horz" wrap="square" lIns="91440" tIns="45720" rIns="91440" bIns="45720" numCol="1" spcCol="0" rtlCol="0" fromWordArt="0" anchor="ctr" anchorCtr="0" forceAA="0" compatLnSpc="1"/>
                    </wps:wsp>
                  </a:graphicData>
                </a:graphic>
              </wp:anchor>
            </w:drawing>
          </mc:Choice>
          <mc:Fallback>
            <w:pict>
              <v:rect id="Rectangle 1" o:spid="_x0000_s1026" o:spt="1" style="position:absolute;left:0pt;margin-left:271.5pt;margin-top:0.55pt;height:107.25pt;width:225.75pt;z-index:251659264;v-text-anchor:middle;mso-width-relative:page;mso-height-relative:page;" fillcolor="#FFFFFF [3201]" filled="t" stroked="t" coordsize="21600,21600" o:gfxdata="UEsDBAoAAAAAAIdO4kAAAAAAAAAAAAAAAAAEAAAAZHJzL1BLAwQUAAAACACHTuJAMN8WcdgAAAAJ&#10;AQAADwAAAGRycy9kb3ducmV2LnhtbE2PQU+DQBCF7yb+h82YeLMLtRBBlkZNPBgTE6pNr1t2BFJ2&#10;lrBbwH/veKrHyTd573vFdrG9mHD0nSMF8SoCgVQ701Gj4Ovz9e4BhA+ajO4doYIf9LAtr68KnRs3&#10;U4XTLjSCQ8jnWkEbwpBL6esWrfYrNyAx+3aj1YHPsZFm1DOH216uoyiVVnfEDa0e8KXF+rQ7WwVz&#10;Vx3ecHLp8PSxnJq9qbL35lmp25s4egQRcAmXZ/jTZ3Uo2enozmS86BUkm3veEhjEIJhn2SYBcVSw&#10;jpMUZFnI/wvKX1BLAwQUAAAACACHTuJAFWPKOlUCAADSBAAADgAAAGRycy9lMm9Eb2MueG1srVTJ&#10;btswEL0X6D8QvDeyXS+JETsIYrgoEDRB06JnmqIWgFuHtOX06/tIKWtzyKE+0DOa0Zt5jzM6vzga&#10;zQ6KQuvsio9PRpwpK13Z2nrFf/7YfjrlLERhS6GdVSt+rwK/WH/8cN75pZq4xulSEQOIDcvOr3gT&#10;o18WRZCNMiKcOK8sgpUjIyJcqouSRAd0o4vJaDQvOkelJydVCHi66YN8QKT3ALqqaqXaOLk3ysYe&#10;lZQWEZRC0/rA17nbqlIy3lRVUJHpFQfTmE8Ugb1LZ7E+F8uahG9aObQg3tPCK05GtBZFH6E2Igq2&#10;p/YfKNNKcsFV8UQ6U/REsiJgMR690uauEV5lLpA6+EfRw/+Dld8Ot8TaEpPAmRUGF/4doglba8XG&#10;SZ7OhyWy7vwtDV6AmbgeKzLpHyzYMUt6/yipOkYm8XByOl+MJjPOJGLjz/PJaDFLqMXT655C/KKc&#10;YclYcUL5LKU4XIfYpz6kpGrB6bbctlpnh+rdlSZ2ELjfbf4N6C/StGUdeplNR7h3KTC1FaYFpvFg&#10;HmzNmdA11kFGyrVfvB1eFFmczafzt4qkJjciNH0zGWFI0xaEk469csmKx91xkHPnynvcAbl+OIOX&#10;2xZQ1yLEW0GYRvSMfY03OCrtQMQNFmeNoz9vPU/5GBJEOesw3SD5ey9Icaa/WozP2Xg6TeuQnels&#10;MYFDzyO75xG7N1cOAmNE0F02U37UD2ZFzvzCWl+mqggJK1G7l3NwrmK/dfgwSHV5mdOwAl7Ea3vn&#10;ZQJPd520wajnARnWMu3Scz9nPX2K1n8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MN8WcdgAAAAJ&#10;AQAADwAAAAAAAAABACAAAAAiAAAAZHJzL2Rvd25yZXYueG1sUEsBAhQAFAAAAAgAh07iQBVjyjpV&#10;AgAA0gQAAA4AAAAAAAAAAQAgAAAAJwEAAGRycy9lMm9Eb2MueG1sUEsFBgAAAAAGAAYAWQEAAO4F&#10;AAAAAA==&#10;">
                <v:fill on="t" focussize="0,0"/>
                <v:stroke weight="2pt" color="#F79646 [3209]" joinstyle="round"/>
                <v:imagedata o:title=""/>
                <o:lock v:ext="edit" aspectratio="f"/>
                <v:textbox>
                  <w:txbxContent>
                    <w:p>
                      <w:pPr>
                        <w:jc w:val="center"/>
                        <w:rPr>
                          <w:b/>
                          <w:bCs/>
                        </w:rPr>
                      </w:pPr>
                      <w:r>
                        <w:rPr>
                          <w:b/>
                          <w:bCs/>
                        </w:rPr>
                        <w:t>INDUSTRY RIVALRY-QUITE HIGH</w:t>
                      </w:r>
                    </w:p>
                    <w:p>
                      <w:pPr>
                        <w:pStyle w:val="17"/>
                        <w:numPr>
                          <w:ilvl w:val="0"/>
                          <w:numId w:val="6"/>
                        </w:numPr>
                      </w:pPr>
                      <w:r>
                        <w:t>A large number of competitors (low)</w:t>
                      </w:r>
                    </w:p>
                    <w:p>
                      <w:pPr>
                        <w:pStyle w:val="17"/>
                        <w:numPr>
                          <w:ilvl w:val="0"/>
                          <w:numId w:val="6"/>
                        </w:numPr>
                      </w:pPr>
                      <w:r>
                        <w:t>Low switching cost (high)</w:t>
                      </w:r>
                    </w:p>
                    <w:p>
                      <w:pPr>
                        <w:pStyle w:val="17"/>
                        <w:numPr>
                          <w:ilvl w:val="0"/>
                          <w:numId w:val="6"/>
                        </w:numPr>
                      </w:pPr>
                      <w:r>
                        <w:t>Moderate industry growth (moderate)</w:t>
                      </w:r>
                    </w:p>
                  </w:txbxContent>
                </v:textbox>
              </v:rect>
            </w:pict>
          </mc:Fallback>
        </mc:AlternateContent>
      </w:r>
    </w:p>
    <w:p>
      <w:pPr>
        <w:spacing w:line="480" w:lineRule="auto"/>
        <w:rPr>
          <w:rFonts w:ascii="Times New Roman" w:hAnsi="Times New Roman" w:cs="Times New Roman"/>
          <w:sz w:val="24"/>
          <w:szCs w:val="24"/>
        </w:rPr>
      </w:pPr>
    </w:p>
    <w:p>
      <w:pPr>
        <w:spacing w:line="480" w:lineRule="auto"/>
        <w:rPr>
          <w:rFonts w:ascii="Times New Roman" w:hAnsi="Times New Roman" w:cs="Times New Roman"/>
          <w:sz w:val="24"/>
          <w:szCs w:val="24"/>
        </w:rPr>
      </w:pPr>
    </w:p>
    <w:p>
      <w:pPr>
        <w:spacing w:line="480" w:lineRule="auto"/>
        <w:rPr>
          <w:rFonts w:ascii="Times New Roman" w:hAnsi="Times New Roman" w:cs="Times New Roman"/>
          <w:sz w:val="24"/>
          <w:szCs w:val="24"/>
        </w:rPr>
      </w:pPr>
      <w:r>
        <w:rPr>
          <w:rFonts w:ascii="Times New Roman" w:hAnsi="Times New Roman" w:cs="Times New Roman"/>
          <w:sz w:val="24"/>
          <w:szCs w:val="24"/>
        </w:rPr>
        <mc:AlternateContent>
          <mc:Choice Requires="wps">
            <w:drawing>
              <wp:anchor distT="0" distB="0" distL="114300" distR="114300" simplePos="0" relativeHeight="251662336" behindDoc="0" locked="0" layoutInCell="1" allowOverlap="1">
                <wp:simplePos x="0" y="0"/>
                <wp:positionH relativeFrom="column">
                  <wp:posOffset>2409825</wp:posOffset>
                </wp:positionH>
                <wp:positionV relativeFrom="paragraph">
                  <wp:posOffset>31750</wp:posOffset>
                </wp:positionV>
                <wp:extent cx="5086350" cy="1962150"/>
                <wp:effectExtent l="38100" t="19050" r="0" b="19050"/>
                <wp:wrapNone/>
                <wp:docPr id="4" name="Arrow: Up 4"/>
                <wp:cNvGraphicFramePr/>
                <a:graphic xmlns:a="http://schemas.openxmlformats.org/drawingml/2006/main">
                  <a:graphicData uri="http://schemas.microsoft.com/office/word/2010/wordprocessingShape">
                    <wps:wsp>
                      <wps:cNvSpPr/>
                      <wps:spPr>
                        <a:xfrm>
                          <a:off x="0" y="0"/>
                          <a:ext cx="5086350" cy="1962150"/>
                        </a:xfrm>
                        <a:prstGeom prst="upArrow">
                          <a:avLst/>
                        </a:prstGeom>
                      </wps:spPr>
                      <wps:style>
                        <a:lnRef idx="2">
                          <a:schemeClr val="accent6"/>
                        </a:lnRef>
                        <a:fillRef idx="1">
                          <a:schemeClr val="lt1"/>
                        </a:fillRef>
                        <a:effectRef idx="0">
                          <a:schemeClr val="accent6"/>
                        </a:effectRef>
                        <a:fontRef idx="minor">
                          <a:schemeClr val="dk1"/>
                        </a:fontRef>
                      </wps:style>
                      <wps:txbx>
                        <w:txbxContent>
                          <w:p>
                            <w:pPr>
                              <w:jc w:val="center"/>
                              <w:rPr>
                                <w:b/>
                                <w:bCs/>
                              </w:rPr>
                            </w:pPr>
                            <w:r>
                              <w:rPr>
                                <w:b/>
                                <w:bCs/>
                              </w:rPr>
                              <w:t>THREAT OF ENTRY-LOW</w:t>
                            </w:r>
                          </w:p>
                          <w:p>
                            <w:pPr>
                              <w:pStyle w:val="17"/>
                              <w:numPr>
                                <w:ilvl w:val="0"/>
                                <w:numId w:val="7"/>
                              </w:numPr>
                            </w:pPr>
                            <w:r>
                              <w:t>Low switching costs</w:t>
                            </w:r>
                          </w:p>
                          <w:p>
                            <w:pPr>
                              <w:pStyle w:val="17"/>
                              <w:numPr>
                                <w:ilvl w:val="0"/>
                                <w:numId w:val="7"/>
                              </w:numPr>
                            </w:pPr>
                            <w:r>
                              <w:t xml:space="preserve">Need for a strong distribution network </w:t>
                            </w:r>
                          </w:p>
                          <w:p>
                            <w:pPr>
                              <w:pStyle w:val="17"/>
                              <w:numPr>
                                <w:ilvl w:val="0"/>
                                <w:numId w:val="7"/>
                              </w:numPr>
                            </w:pPr>
                            <w:r>
                              <w:t>High economies of scale</w:t>
                            </w:r>
                          </w:p>
                          <w:p>
                            <w:pPr>
                              <w:pStyle w:val="17"/>
                              <w:numPr>
                                <w:ilvl w:val="0"/>
                                <w:numId w:val="7"/>
                              </w:numPr>
                            </w:pPr>
                            <w:r>
                              <w:t>High capital requirement</w:t>
                            </w:r>
                          </w:p>
                        </w:txbxContent>
                      </wps:txbx>
                      <wps:bodyPr rot="0" spcFirstLastPara="0" vertOverflow="overflow" horzOverflow="overflow" vert="horz" wrap="square" lIns="91440" tIns="45720" rIns="91440" bIns="45720" numCol="1" spcCol="0" rtlCol="0" fromWordArt="0" anchor="ctr" anchorCtr="0" forceAA="0" compatLnSpc="1"/>
                    </wps:wsp>
                  </a:graphicData>
                </a:graphic>
              </wp:anchor>
            </w:drawing>
          </mc:Choice>
          <mc:Fallback>
            <w:pict>
              <v:shape id="Arrow: Up 4" o:spid="_x0000_s1026" o:spt="68" type="#_x0000_t68" style="position:absolute;left:0pt;margin-left:189.75pt;margin-top:2.5pt;height:154.5pt;width:400.5pt;z-index:251662336;v-text-anchor:middle;mso-width-relative:page;mso-height-relative:page;" fillcolor="#FFFFFF [3201]" filled="t" stroked="t" coordsize="21600,21600" o:gfxdata="UEsDBAoAAAAAAIdO4kAAAAAAAAAAAAAAAAAEAAAAZHJzL1BLAwQUAAAACACHTuJAXbZKI9gAAAAK&#10;AQAADwAAAGRycy9kb3ducmV2LnhtbE2PzW7CMBCE75V4B2uReit2KGlpiMMBqYeq5UCaA0cTL0lE&#10;vI5i89O373JqjzvfaHYmX99cLy44hs6ThmSmQCDV3nbUaKi+35+WIEI0ZE3vCTX8YIB1MXnITWb9&#10;lXZ4KWMjOIRCZjS0MQ6ZlKFu0Zkw8wMSs6MfnYl8jo20o7lyuOvlXKkX6UxH/KE1A25arE/l2XHK&#10;olMy/agr95VW27I8bT/3+6j14zRRKxARb/HPDPf6XB0K7nTwZ7JB9BqeX99StmpIedKdJ0vFwoFJ&#10;slAgi1z+n1D8AlBLAwQUAAAACACHTuJAC7hbL1YCAADVBAAADgAAAGRycy9lMm9Eb2MueG1srVRN&#10;b9swDL0P2H8QdF+dZEnaBnWKoEGGAcVaoCt2VmQ5NqCvUUqc7tfvSXY/10MPy8EhTfqR74nUxeXR&#10;aHZQFFpnSz4+GXGmrHRVa3clv/+5+XLGWYjCVkI7q0r+oAK/XH7+dNH5hZq4xulKEQOIDYvOl7yJ&#10;0S+KIshGGRFOnFcWwdqREREu7YqKRAd0o4vJaDQvOkeVJydVCHi77oN8QKSPALq6bqVaO7k3ysYe&#10;lZQWEZRC0/rAl7nbulYy3tR1UJHpkoNpzE8Ugb1Nz2J5IRY7Er5p5dCC+EgLbzgZ0VoUfYJaiyjY&#10;ntp/oEwryQVXxxPpTNETyYqAxXj0Rpu7RniVuUDq4J9ED/8PVv443BJrq5JPObPC4MBXRK5bsHvP&#10;pkmezocFsu78LQ1egJm4Hmsy6R8s2DFL+vAkqTpGJvFyNjqbf51BbYnY+Hw+GcMBTvH8uacQvyln&#10;WDJKvve5gaymOFyH2Gc/ZqWCwem22rRaZ4d22ytN7CBwxJv8Gwq8StOWdSWfzKaj1IzA4NYYGJjG&#10;g3ywO86E3mEjZKRc+9XX4VWR0/P5dP5ekdTkWoSmbyYjDGnagnOSshcvWfG4PQ6Kbl31gGMg189n&#10;8HLTAupahHgrCAOJnrGy8QaPWjsQcYPFWePoz3vvUz7mBFHOOgw4SP7eC1Kc6e8WE3Q+nk4BG7Mz&#10;nZ1O4NDLyPZlxO7NlYPAY1wOXmYz5Uf9aNbkzC9s9ipVRUhYidq9nINzFfvFw90g1WqV07AFXsRr&#10;e+dlAk9nnbTBtOcZGTYzrdNLP2c930bLv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McEAABbQ29udGVudF9UeXBlc10ueG1sUEsBAhQACgAAAAAA&#10;h07iQAAAAAAAAAAAAAAAAAYAAAAAAAAAAAAQAAAAqQMAAF9yZWxzL1BLAQIUABQAAAAIAIdO4kCK&#10;FGY80QAAAJQBAAALAAAAAAAAAAEAIAAAAM0DAABfcmVscy8ucmVsc1BLAQIUAAoAAAAAAIdO4kAA&#10;AAAAAAAAAAAAAAAEAAAAAAAAAAAAEAAAAAAAAABkcnMvUEsBAhQAFAAAAAgAh07iQF22SiPYAAAA&#10;CgEAAA8AAAAAAAAAAQAgAAAAIgAAAGRycy9kb3ducmV2LnhtbFBLAQIUABQAAAAIAIdO4kALuFsv&#10;VgIAANUEAAAOAAAAAAAAAAEAIAAAACcBAABkcnMvZTJvRG9jLnhtbFBLBQYAAAAABgAGAFkBAADv&#10;BQAAAAA=&#10;" adj="10800,5400">
                <v:fill on="t" focussize="0,0"/>
                <v:stroke weight="2pt" color="#F79646 [3209]" joinstyle="round"/>
                <v:imagedata o:title=""/>
                <o:lock v:ext="edit" aspectratio="f"/>
                <v:textbox>
                  <w:txbxContent>
                    <w:p>
                      <w:pPr>
                        <w:jc w:val="center"/>
                        <w:rPr>
                          <w:b/>
                          <w:bCs/>
                        </w:rPr>
                      </w:pPr>
                      <w:r>
                        <w:rPr>
                          <w:b/>
                          <w:bCs/>
                        </w:rPr>
                        <w:t>THREAT OF ENTRY-LOW</w:t>
                      </w:r>
                    </w:p>
                    <w:p>
                      <w:pPr>
                        <w:pStyle w:val="17"/>
                        <w:numPr>
                          <w:ilvl w:val="0"/>
                          <w:numId w:val="7"/>
                        </w:numPr>
                      </w:pPr>
                      <w:r>
                        <w:t>Low switching costs</w:t>
                      </w:r>
                    </w:p>
                    <w:p>
                      <w:pPr>
                        <w:pStyle w:val="17"/>
                        <w:numPr>
                          <w:ilvl w:val="0"/>
                          <w:numId w:val="7"/>
                        </w:numPr>
                      </w:pPr>
                      <w:r>
                        <w:t xml:space="preserve">Need for a strong distribution network </w:t>
                      </w:r>
                    </w:p>
                    <w:p>
                      <w:pPr>
                        <w:pStyle w:val="17"/>
                        <w:numPr>
                          <w:ilvl w:val="0"/>
                          <w:numId w:val="7"/>
                        </w:numPr>
                      </w:pPr>
                      <w:r>
                        <w:t>High economies of scale</w:t>
                      </w:r>
                    </w:p>
                    <w:p>
                      <w:pPr>
                        <w:pStyle w:val="17"/>
                        <w:numPr>
                          <w:ilvl w:val="0"/>
                          <w:numId w:val="7"/>
                        </w:numPr>
                      </w:pPr>
                      <w:r>
                        <w:t>High capital requirement</w:t>
                      </w:r>
                    </w:p>
                  </w:txbxContent>
                </v:textbox>
              </v:shape>
            </w:pict>
          </mc:Fallback>
        </mc:AlternateContent>
      </w:r>
    </w:p>
    <w:p>
      <w:pPr>
        <w:spacing w:line="480" w:lineRule="auto"/>
        <w:rPr>
          <w:rFonts w:ascii="Times New Roman" w:hAnsi="Times New Roman" w:cs="Times New Roman"/>
          <w:sz w:val="24"/>
          <w:szCs w:val="24"/>
        </w:rPr>
      </w:pPr>
    </w:p>
    <w:p>
      <w:pPr>
        <w:spacing w:line="480" w:lineRule="auto"/>
        <w:rPr>
          <w:rFonts w:ascii="Times New Roman" w:hAnsi="Times New Roman" w:cs="Times New Roman"/>
          <w:sz w:val="24"/>
          <w:szCs w:val="24"/>
        </w:rPr>
      </w:pPr>
    </w:p>
    <w:p>
      <w:pPr>
        <w:spacing w:line="480" w:lineRule="auto"/>
        <w:rPr>
          <w:rFonts w:ascii="Times New Roman" w:hAnsi="Times New Roman" w:cs="Times New Roman"/>
          <w:sz w:val="24"/>
          <w:szCs w:val="24"/>
        </w:rPr>
        <w:sectPr>
          <w:pgSz w:w="16838" w:h="11906" w:orient="landscape"/>
          <w:pgMar w:top="1440" w:right="1440" w:bottom="1440" w:left="1440" w:header="708" w:footer="708" w:gutter="0"/>
          <w:cols w:space="708" w:num="1"/>
          <w:docGrid w:linePitch="360" w:charSpace="0"/>
        </w:sectPr>
      </w:pPr>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presented diagram summarises the competitive forces in the FMCG industry. It shows that buyer power and industry rivalry are quite high. This implies that Unilever may not sustain its profit-generating capacity if it does not differentiate itself. The diagram also shows that supplier power is moderate due to the low number of sustainability-conscious suppliers. Therefore, the company needs to empower its suppliers to embrace sustainability. Such an action would help improve the company's image as a sustainable brand. Overall, the five forces analysis suggests that Unilever needs to offer innovative and differentiated products and services to gain a competitive edge in the FMCG industry. </w:t>
      </w:r>
    </w:p>
    <w:p>
      <w:pPr>
        <w:pStyle w:val="3"/>
        <w:spacing w:line="480" w:lineRule="auto"/>
        <w:jc w:val="both"/>
        <w:rPr>
          <w:rFonts w:ascii="Times New Roman" w:hAnsi="Times New Roman" w:cs="Times New Roman"/>
          <w:color w:val="auto"/>
          <w:sz w:val="24"/>
          <w:szCs w:val="24"/>
        </w:rPr>
      </w:pPr>
    </w:p>
    <w:p>
      <w:pPr>
        <w:pStyle w:val="3"/>
        <w:spacing w:line="480" w:lineRule="auto"/>
        <w:jc w:val="both"/>
        <w:rPr>
          <w:rFonts w:ascii="Times New Roman" w:hAnsi="Times New Roman" w:cs="Times New Roman"/>
          <w:color w:val="auto"/>
          <w:sz w:val="24"/>
          <w:szCs w:val="24"/>
        </w:rPr>
      </w:pPr>
    </w:p>
    <w:p>
      <w:pPr>
        <w:pStyle w:val="3"/>
        <w:spacing w:line="480" w:lineRule="auto"/>
        <w:jc w:val="both"/>
        <w:rPr>
          <w:rFonts w:ascii="Times New Roman" w:hAnsi="Times New Roman" w:cs="Times New Roman"/>
          <w:color w:val="auto"/>
          <w:sz w:val="24"/>
          <w:szCs w:val="24"/>
        </w:rPr>
      </w:pPr>
    </w:p>
    <w:p>
      <w:pPr>
        <w:pStyle w:val="3"/>
        <w:spacing w:line="480" w:lineRule="auto"/>
        <w:jc w:val="both"/>
        <w:rPr>
          <w:rFonts w:ascii="Times New Roman" w:hAnsi="Times New Roman" w:cs="Times New Roman"/>
          <w:color w:val="auto"/>
          <w:sz w:val="24"/>
          <w:szCs w:val="24"/>
        </w:rPr>
      </w:pPr>
    </w:p>
    <w:p>
      <w:pPr>
        <w:pStyle w:val="3"/>
        <w:spacing w:line="480" w:lineRule="auto"/>
        <w:jc w:val="both"/>
        <w:rPr>
          <w:rFonts w:ascii="Times New Roman" w:hAnsi="Times New Roman" w:cs="Times New Roman"/>
          <w:color w:val="auto"/>
          <w:sz w:val="24"/>
          <w:szCs w:val="24"/>
        </w:rPr>
      </w:pPr>
    </w:p>
    <w:p>
      <w:pPr>
        <w:pStyle w:val="3"/>
        <w:spacing w:line="480" w:lineRule="auto"/>
        <w:jc w:val="both"/>
        <w:rPr>
          <w:rFonts w:ascii="Times New Roman" w:hAnsi="Times New Roman" w:cs="Times New Roman"/>
          <w:color w:val="auto"/>
          <w:sz w:val="24"/>
          <w:szCs w:val="24"/>
        </w:rPr>
      </w:pPr>
    </w:p>
    <w:p>
      <w:pPr>
        <w:pStyle w:val="3"/>
        <w:spacing w:line="480" w:lineRule="auto"/>
        <w:jc w:val="both"/>
        <w:rPr>
          <w:rFonts w:ascii="Times New Roman" w:hAnsi="Times New Roman" w:cs="Times New Roman"/>
          <w:color w:val="auto"/>
          <w:sz w:val="24"/>
          <w:szCs w:val="24"/>
        </w:rPr>
      </w:pPr>
    </w:p>
    <w:p>
      <w:pPr>
        <w:pStyle w:val="3"/>
        <w:spacing w:line="480" w:lineRule="auto"/>
        <w:jc w:val="both"/>
        <w:rPr>
          <w:rFonts w:ascii="Times New Roman" w:hAnsi="Times New Roman" w:cs="Times New Roman"/>
          <w:color w:val="auto"/>
          <w:sz w:val="24"/>
          <w:szCs w:val="24"/>
        </w:rPr>
      </w:pPr>
    </w:p>
    <w:p>
      <w:pPr>
        <w:pStyle w:val="3"/>
        <w:spacing w:line="480" w:lineRule="auto"/>
        <w:jc w:val="both"/>
        <w:rPr>
          <w:rFonts w:ascii="Times New Roman" w:hAnsi="Times New Roman" w:cs="Times New Roman"/>
          <w:color w:val="auto"/>
          <w:sz w:val="24"/>
          <w:szCs w:val="24"/>
        </w:rPr>
      </w:pPr>
    </w:p>
    <w:p>
      <w:pPr>
        <w:spacing w:line="480" w:lineRule="auto"/>
        <w:ind w:firstLine="720"/>
        <w:rPr>
          <w:rFonts w:ascii="Times New Roman" w:hAnsi="Times New Roman" w:cs="Times New Roman"/>
          <w:sz w:val="24"/>
          <w:szCs w:val="24"/>
        </w:rPr>
      </w:pPr>
    </w:p>
    <w:p>
      <w:pPr>
        <w:spacing w:line="480" w:lineRule="auto"/>
        <w:ind w:firstLine="720"/>
        <w:rPr>
          <w:rFonts w:ascii="Times New Roman" w:hAnsi="Times New Roman" w:cs="Times New Roman"/>
          <w:sz w:val="24"/>
          <w:szCs w:val="24"/>
        </w:rPr>
      </w:pPr>
    </w:p>
    <w:p>
      <w:pPr>
        <w:pStyle w:val="3"/>
        <w:numPr>
          <w:ilvl w:val="0"/>
          <w:numId w:val="2"/>
        </w:numPr>
        <w:spacing w:line="480" w:lineRule="auto"/>
        <w:ind w:left="0" w:leftChars="0" w:firstLine="0" w:firstLineChars="0"/>
        <w:jc w:val="both"/>
        <w:rPr>
          <w:rFonts w:ascii="Times New Roman" w:hAnsi="Times New Roman" w:cs="Times New Roman"/>
          <w:sz w:val="24"/>
          <w:szCs w:val="24"/>
        </w:rPr>
      </w:pPr>
      <w:bookmarkStart w:id="8" w:name="_Toc23207"/>
      <w:r>
        <w:rPr>
          <w:rFonts w:ascii="Times New Roman" w:hAnsi="Times New Roman" w:cs="Times New Roman"/>
          <w:color w:val="auto"/>
          <w:sz w:val="24"/>
          <w:szCs w:val="24"/>
        </w:rPr>
        <w:t>Internal analysis</w:t>
      </w:r>
      <w:bookmarkEnd w:id="8"/>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Internal strategic analysis is the process of examining an organisation's internal components, such as capabilities, characteristics, assets, resources, and competitive advantage (</w:t>
      </w:r>
      <w:r>
        <w:rPr>
          <w:rFonts w:ascii="Times New Roman" w:hAnsi="Times New Roman" w:cs="Times New Roman"/>
          <w:sz w:val="24"/>
          <w:szCs w:val="24"/>
          <w:shd w:val="clear" w:color="auto" w:fill="FFFFFF"/>
        </w:rPr>
        <w:t>Hitt et al., 2016)</w:t>
      </w:r>
      <w:r>
        <w:rPr>
          <w:rFonts w:ascii="Times New Roman" w:hAnsi="Times New Roman" w:cs="Times New Roman"/>
          <w:sz w:val="24"/>
          <w:szCs w:val="24"/>
        </w:rPr>
        <w:t>. It assists highlights an organisation's weaknesses and strengths. The internal analysis can be evaluated using several tools, such as VRIO analysis, Porter's generic strategies, SWOT analysis, and Bowman's Strategy Clock (</w:t>
      </w:r>
      <w:r>
        <w:rPr>
          <w:rFonts w:ascii="Times New Roman" w:hAnsi="Times New Roman" w:cs="Times New Roman"/>
          <w:sz w:val="24"/>
          <w:szCs w:val="24"/>
          <w:shd w:val="clear" w:color="auto" w:fill="FFFFFF"/>
        </w:rPr>
        <w:t>Hitt et al., 2016).</w:t>
      </w:r>
      <w:r>
        <w:rPr>
          <w:rFonts w:ascii="Times New Roman" w:hAnsi="Times New Roman" w:cs="Times New Roman"/>
          <w:sz w:val="24"/>
          <w:szCs w:val="24"/>
        </w:rPr>
        <w:t xml:space="preserve"> The internal analysis of Unilever is evaluated using the VRIO analysis and Porter’s generic strategies. The aim is to determine the company’s key competencies, resources, and strategies. </w:t>
      </w:r>
    </w:p>
    <w:p>
      <w:pPr>
        <w:pStyle w:val="4"/>
        <w:spacing w:line="480" w:lineRule="auto"/>
        <w:jc w:val="left"/>
        <w:rPr>
          <w:rFonts w:ascii="Times New Roman" w:hAnsi="Times New Roman" w:cs="Times New Roman"/>
          <w:color w:val="auto"/>
          <w:sz w:val="24"/>
          <w:szCs w:val="24"/>
        </w:rPr>
      </w:pPr>
      <w:bookmarkStart w:id="9" w:name="_Toc12001"/>
      <w:r>
        <w:rPr>
          <w:rFonts w:hint="eastAsia" w:ascii="Times New Roman" w:hAnsi="Times New Roman" w:cs="Times New Roman"/>
          <w:color w:val="auto"/>
          <w:sz w:val="24"/>
          <w:szCs w:val="24"/>
          <w:lang w:val="en-US" w:eastAsia="zh-CN"/>
        </w:rPr>
        <w:t xml:space="preserve">6.1 </w:t>
      </w:r>
      <w:r>
        <w:rPr>
          <w:rFonts w:ascii="Times New Roman" w:hAnsi="Times New Roman" w:cs="Times New Roman"/>
          <w:color w:val="auto"/>
          <w:sz w:val="24"/>
          <w:szCs w:val="24"/>
        </w:rPr>
        <w:t>VRIO analysis of Unilever</w:t>
      </w:r>
      <w:bookmarkEnd w:id="9"/>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resource-based theory (RBT) suggests that an organisation's resources are critical to achieving sustainable competitive advantage (</w:t>
      </w:r>
      <w:r>
        <w:rPr>
          <w:rFonts w:ascii="Times New Roman" w:hAnsi="Times New Roman" w:cs="Times New Roman"/>
          <w:sz w:val="24"/>
          <w:szCs w:val="24"/>
          <w:shd w:val="clear" w:color="auto" w:fill="FFFFFF"/>
        </w:rPr>
        <w:t>Alvarez &amp; Barney, 2017).</w:t>
      </w:r>
      <w:r>
        <w:rPr>
          <w:rFonts w:ascii="Times New Roman" w:hAnsi="Times New Roman" w:cs="Times New Roman"/>
          <w:sz w:val="24"/>
          <w:szCs w:val="24"/>
        </w:rPr>
        <w:t xml:space="preserve"> This means that Unilever can only achieve a sustainable competitive advantage if it develops key resources and capabilities. The diagram below summarises the company's core competencies and resources. </w:t>
      </w:r>
    </w:p>
    <w:p>
      <w:pPr>
        <w:spacing w:line="480" w:lineRule="auto"/>
        <w:ind w:firstLine="720"/>
        <w:rPr>
          <w:rFonts w:ascii="Times New Roman" w:hAnsi="Times New Roman" w:cs="Times New Roman"/>
          <w:sz w:val="24"/>
          <w:szCs w:val="24"/>
        </w:rPr>
      </w:pPr>
    </w:p>
    <w:tbl>
      <w:tblPr>
        <w:tblStyle w:val="13"/>
        <w:tblW w:w="0" w:type="auto"/>
        <w:tblInd w:w="0" w:type="dxa"/>
        <w:tblBorders>
          <w:top w:val="single" w:color="4BACC6" w:themeColor="accent5" w:sz="8" w:space="0"/>
          <w:left w:val="none" w:color="auto" w:sz="0" w:space="0"/>
          <w:bottom w:val="single" w:color="4BACC6" w:themeColor="accent5" w:sz="8"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140"/>
        <w:gridCol w:w="977"/>
        <w:gridCol w:w="845"/>
        <w:gridCol w:w="1297"/>
        <w:gridCol w:w="1485"/>
        <w:gridCol w:w="2832"/>
      </w:tblGrid>
      <w:tr>
        <w:tblPrEx>
          <w:tblBorders>
            <w:top w:val="single" w:color="4BACC6" w:themeColor="accent5" w:sz="8" w:space="0"/>
            <w:left w:val="none" w:color="auto" w:sz="0" w:space="0"/>
            <w:bottom w:val="single" w:color="4BACC6" w:themeColor="accent5"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560" w:type="dxa"/>
            <w:vMerge w:val="restart"/>
            <w:tcBorders>
              <w:top w:val="single" w:color="4BACC6" w:themeColor="accent5" w:sz="8" w:space="0"/>
              <w:left w:val="nil"/>
              <w:bottom w:val="single" w:color="4BACC6" w:themeColor="accent5" w:sz="8" w:space="0"/>
              <w:right w:val="nil"/>
              <w:insideH w:val="single" w:sz="8" w:space="0"/>
              <w:insideV w:val="nil"/>
            </w:tcBorders>
            <w:noWrap/>
          </w:tcPr>
          <w:p>
            <w:pPr>
              <w:spacing w:before="0" w:after="0" w:line="276" w:lineRule="auto"/>
              <w:rPr>
                <w:rFonts w:ascii="Times New Roman" w:hAnsi="Times New Roman" w:cs="Times New Roman"/>
                <w:b/>
                <w:bCs/>
                <w:color w:val="auto"/>
                <w:sz w:val="24"/>
                <w:szCs w:val="24"/>
              </w:rPr>
            </w:pPr>
            <w:r>
              <w:rPr>
                <w:rFonts w:ascii="Times New Roman" w:hAnsi="Times New Roman" w:cs="Times New Roman"/>
                <w:b/>
                <w:bCs/>
                <w:color w:val="auto"/>
                <w:sz w:val="24"/>
                <w:szCs w:val="24"/>
              </w:rPr>
              <w:t xml:space="preserve">Key resources/capabilities </w:t>
            </w:r>
          </w:p>
        </w:tc>
        <w:tc>
          <w:tcPr>
            <w:tcW w:w="4940" w:type="dxa"/>
            <w:gridSpan w:val="3"/>
            <w:tcBorders>
              <w:top w:val="single" w:color="4BACC6" w:themeColor="accent5" w:sz="8" w:space="0"/>
              <w:bottom w:val="single" w:color="4BACC6" w:themeColor="accent5" w:sz="8" w:space="0"/>
              <w:right w:val="nil"/>
              <w:insideH w:val="single" w:sz="8" w:space="0"/>
              <w:insideV w:val="nil"/>
            </w:tcBorders>
            <w:noWrap/>
          </w:tcPr>
          <w:p>
            <w:pPr>
              <w:spacing w:before="0" w:after="0" w:line="276" w:lineRule="auto"/>
              <w:rPr>
                <w:rFonts w:ascii="Times New Roman" w:hAnsi="Times New Roman" w:cs="Times New Roman"/>
                <w:b/>
                <w:bCs/>
                <w:color w:val="auto"/>
                <w:sz w:val="24"/>
                <w:szCs w:val="24"/>
              </w:rPr>
            </w:pPr>
            <w:r>
              <w:rPr>
                <w:rFonts w:ascii="Times New Roman" w:hAnsi="Times New Roman" w:cs="Times New Roman"/>
                <w:b/>
                <w:bCs/>
                <w:color w:val="auto"/>
                <w:sz w:val="24"/>
                <w:szCs w:val="24"/>
              </w:rPr>
              <w:t>Is the key resource/capability___?</w:t>
            </w:r>
          </w:p>
        </w:tc>
        <w:tc>
          <w:tcPr>
            <w:tcW w:w="2420" w:type="dxa"/>
            <w:tcBorders>
              <w:top w:val="single" w:color="4BACC6" w:themeColor="accent5" w:sz="8" w:space="0"/>
              <w:bottom w:val="single" w:color="4BACC6" w:themeColor="accent5" w:sz="8" w:space="0"/>
              <w:right w:val="nil"/>
              <w:insideH w:val="single" w:sz="8" w:space="0"/>
              <w:insideV w:val="nil"/>
            </w:tcBorders>
            <w:noWrap/>
          </w:tcPr>
          <w:p>
            <w:pPr>
              <w:spacing w:before="0" w:after="0" w:line="276" w:lineRule="auto"/>
              <w:rPr>
                <w:rFonts w:ascii="Times New Roman" w:hAnsi="Times New Roman" w:cs="Times New Roman"/>
                <w:b/>
                <w:bCs/>
                <w:color w:val="auto"/>
                <w:sz w:val="24"/>
                <w:szCs w:val="24"/>
              </w:rPr>
            </w:pPr>
            <w:r>
              <w:rPr>
                <w:rFonts w:ascii="Times New Roman" w:hAnsi="Times New Roman" w:cs="Times New Roman"/>
                <w:b/>
                <w:bCs/>
                <w:color w:val="auto"/>
                <w:sz w:val="24"/>
                <w:szCs w:val="24"/>
              </w:rPr>
              <w:t>Is the company well___?</w:t>
            </w:r>
          </w:p>
        </w:tc>
        <w:tc>
          <w:tcPr>
            <w:tcW w:w="4760" w:type="dxa"/>
            <w:tcBorders>
              <w:top w:val="single" w:color="4BACC6" w:themeColor="accent5" w:sz="8" w:space="0"/>
              <w:bottom w:val="single" w:color="4BACC6" w:themeColor="accent5" w:sz="8" w:space="0"/>
              <w:right w:val="nil"/>
              <w:insideH w:val="single" w:sz="8" w:space="0"/>
              <w:insideV w:val="nil"/>
            </w:tcBorders>
            <w:noWrap/>
          </w:tcPr>
          <w:p>
            <w:pPr>
              <w:spacing w:before="0" w:after="0" w:line="276" w:lineRule="auto"/>
              <w:rPr>
                <w:rFonts w:ascii="Times New Roman" w:hAnsi="Times New Roman" w:cs="Times New Roman"/>
                <w:b/>
                <w:bCs/>
                <w:color w:val="auto"/>
                <w:sz w:val="24"/>
                <w:szCs w:val="24"/>
              </w:rPr>
            </w:pPr>
            <w:r>
              <w:rPr>
                <w:rFonts w:ascii="Times New Roman" w:hAnsi="Times New Roman" w:cs="Times New Roman"/>
                <w:b/>
                <w:bCs/>
                <w:color w:val="auto"/>
                <w:sz w:val="24"/>
                <w:szCs w:val="24"/>
              </w:rPr>
              <w:t>What is the result?</w:t>
            </w:r>
          </w:p>
        </w:tc>
      </w:tr>
      <w:tr>
        <w:tblPrEx>
          <w:tblBorders>
            <w:top w:val="single" w:color="4BACC6" w:themeColor="accent5" w:sz="8" w:space="0"/>
            <w:left w:val="none" w:color="auto" w:sz="0" w:space="0"/>
            <w:bottom w:val="single" w:color="4BACC6" w:themeColor="accent5"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560" w:type="dxa"/>
            <w:vMerge w:val="continue"/>
            <w:tcBorders>
              <w:left w:val="nil"/>
              <w:right w:val="nil"/>
              <w:insideV w:val="nil"/>
            </w:tcBorders>
            <w:shd w:val="clear" w:color="auto" w:fill="D2EAF0" w:themeFill="accent5" w:themeFillTint="3F"/>
          </w:tcPr>
          <w:p>
            <w:pPr>
              <w:spacing w:after="0" w:line="276" w:lineRule="auto"/>
              <w:rPr>
                <w:rFonts w:ascii="Times New Roman" w:hAnsi="Times New Roman" w:cs="Times New Roman"/>
                <w:b/>
                <w:bCs/>
                <w:color w:val="auto"/>
                <w:sz w:val="24"/>
                <w:szCs w:val="24"/>
              </w:rPr>
            </w:pPr>
          </w:p>
        </w:tc>
        <w:tc>
          <w:tcPr>
            <w:tcW w:w="1538" w:type="dxa"/>
            <w:tcBorders>
              <w:right w:val="nil"/>
              <w:insideV w:val="nil"/>
            </w:tcBorders>
            <w:shd w:val="clear" w:color="auto" w:fill="D2EAF0" w:themeFill="accent5" w:themeFillTint="3F"/>
            <w:noWrap/>
          </w:tcPr>
          <w:p>
            <w:pPr>
              <w:spacing w:after="0" w:line="276" w:lineRule="auto"/>
              <w:rPr>
                <w:rFonts w:ascii="Times New Roman" w:hAnsi="Times New Roman" w:cs="Times New Roman"/>
                <w:color w:val="auto"/>
                <w:sz w:val="24"/>
                <w:szCs w:val="24"/>
              </w:rPr>
            </w:pPr>
            <w:r>
              <w:rPr>
                <w:rFonts w:ascii="Times New Roman" w:hAnsi="Times New Roman" w:cs="Times New Roman"/>
                <w:color w:val="auto"/>
                <w:sz w:val="24"/>
                <w:szCs w:val="24"/>
              </w:rPr>
              <w:t>Value?</w:t>
            </w:r>
          </w:p>
        </w:tc>
        <w:tc>
          <w:tcPr>
            <w:tcW w:w="1308" w:type="dxa"/>
            <w:tcBorders>
              <w:right w:val="nil"/>
              <w:insideV w:val="nil"/>
            </w:tcBorders>
            <w:shd w:val="clear" w:color="auto" w:fill="D2EAF0" w:themeFill="accent5" w:themeFillTint="3F"/>
            <w:noWrap/>
          </w:tcPr>
          <w:p>
            <w:pPr>
              <w:spacing w:after="0" w:line="276" w:lineRule="auto"/>
              <w:rPr>
                <w:rFonts w:ascii="Times New Roman" w:hAnsi="Times New Roman" w:cs="Times New Roman"/>
                <w:color w:val="auto"/>
                <w:sz w:val="24"/>
                <w:szCs w:val="24"/>
              </w:rPr>
            </w:pPr>
            <w:r>
              <w:rPr>
                <w:rFonts w:ascii="Times New Roman" w:hAnsi="Times New Roman" w:cs="Times New Roman"/>
                <w:color w:val="auto"/>
                <w:sz w:val="24"/>
                <w:szCs w:val="24"/>
              </w:rPr>
              <w:t>Rare?</w:t>
            </w:r>
          </w:p>
        </w:tc>
        <w:tc>
          <w:tcPr>
            <w:tcW w:w="2094" w:type="dxa"/>
            <w:tcBorders>
              <w:right w:val="nil"/>
              <w:insideV w:val="nil"/>
            </w:tcBorders>
            <w:shd w:val="clear" w:color="auto" w:fill="D2EAF0" w:themeFill="accent5" w:themeFillTint="3F"/>
            <w:noWrap/>
          </w:tcPr>
          <w:p>
            <w:pPr>
              <w:spacing w:after="0" w:line="276"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Imitable? </w:t>
            </w:r>
          </w:p>
        </w:tc>
        <w:tc>
          <w:tcPr>
            <w:tcW w:w="2420" w:type="dxa"/>
            <w:tcBorders>
              <w:right w:val="nil"/>
              <w:insideV w:val="nil"/>
            </w:tcBorders>
            <w:shd w:val="clear" w:color="auto" w:fill="D2EAF0" w:themeFill="accent5" w:themeFillTint="3F"/>
            <w:noWrap/>
          </w:tcPr>
          <w:p>
            <w:pPr>
              <w:spacing w:after="0" w:line="276" w:lineRule="auto"/>
              <w:rPr>
                <w:rFonts w:ascii="Times New Roman" w:hAnsi="Times New Roman" w:cs="Times New Roman"/>
                <w:color w:val="auto"/>
                <w:sz w:val="24"/>
                <w:szCs w:val="24"/>
              </w:rPr>
            </w:pPr>
            <w:r>
              <w:rPr>
                <w:rFonts w:ascii="Times New Roman" w:hAnsi="Times New Roman" w:cs="Times New Roman"/>
                <w:color w:val="auto"/>
                <w:sz w:val="24"/>
                <w:szCs w:val="24"/>
              </w:rPr>
              <w:t>Organised?</w:t>
            </w:r>
          </w:p>
        </w:tc>
        <w:tc>
          <w:tcPr>
            <w:tcW w:w="4760" w:type="dxa"/>
            <w:tcBorders>
              <w:right w:val="nil"/>
              <w:insideV w:val="nil"/>
            </w:tcBorders>
            <w:shd w:val="clear" w:color="auto" w:fill="D2EAF0" w:themeFill="accent5" w:themeFillTint="3F"/>
            <w:noWrap/>
          </w:tcPr>
          <w:p>
            <w:pPr>
              <w:spacing w:after="0" w:line="276"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Competitive superiority, parity or disadvantage? </w:t>
            </w:r>
          </w:p>
        </w:tc>
      </w:tr>
      <w:tr>
        <w:tblPrEx>
          <w:tblBorders>
            <w:top w:val="single" w:color="4BACC6" w:themeColor="accent5" w:sz="8" w:space="0"/>
            <w:left w:val="none" w:color="auto" w:sz="0" w:space="0"/>
            <w:bottom w:val="single" w:color="4BACC6" w:themeColor="accent5"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560" w:type="dxa"/>
            <w:noWrap/>
          </w:tcPr>
          <w:p>
            <w:pPr>
              <w:spacing w:after="0" w:line="276" w:lineRule="auto"/>
              <w:rPr>
                <w:rFonts w:ascii="Times New Roman" w:hAnsi="Times New Roman" w:cs="Times New Roman"/>
                <w:b/>
                <w:bCs/>
                <w:color w:val="auto"/>
                <w:sz w:val="24"/>
                <w:szCs w:val="24"/>
              </w:rPr>
            </w:pPr>
            <w:r>
              <w:rPr>
                <w:rFonts w:ascii="Times New Roman" w:hAnsi="Times New Roman" w:cs="Times New Roman"/>
                <w:b/>
                <w:bCs/>
                <w:color w:val="auto"/>
                <w:sz w:val="24"/>
                <w:szCs w:val="24"/>
              </w:rPr>
              <w:t>Talented and dedicated workforce</w:t>
            </w:r>
          </w:p>
        </w:tc>
        <w:tc>
          <w:tcPr>
            <w:tcW w:w="1538" w:type="dxa"/>
            <w:noWrap/>
          </w:tcPr>
          <w:p>
            <w:pPr>
              <w:spacing w:after="0" w:line="276" w:lineRule="auto"/>
              <w:rPr>
                <w:rFonts w:ascii="Times New Roman" w:hAnsi="Times New Roman" w:cs="Times New Roman"/>
                <w:color w:val="auto"/>
                <w:sz w:val="24"/>
                <w:szCs w:val="24"/>
              </w:rPr>
            </w:pPr>
            <w:r>
              <w:rPr>
                <w:rFonts w:ascii="Times New Roman" w:hAnsi="Times New Roman" w:cs="Times New Roman"/>
                <w:color w:val="auto"/>
                <w:sz w:val="24"/>
                <w:szCs w:val="24"/>
              </w:rPr>
              <w:t>Yes</w:t>
            </w:r>
          </w:p>
        </w:tc>
        <w:tc>
          <w:tcPr>
            <w:tcW w:w="1308" w:type="dxa"/>
            <w:noWrap/>
          </w:tcPr>
          <w:p>
            <w:pPr>
              <w:spacing w:after="0" w:line="276" w:lineRule="auto"/>
              <w:rPr>
                <w:rFonts w:ascii="Times New Roman" w:hAnsi="Times New Roman" w:cs="Times New Roman"/>
                <w:color w:val="auto"/>
                <w:sz w:val="24"/>
                <w:szCs w:val="24"/>
              </w:rPr>
            </w:pPr>
            <w:r>
              <w:rPr>
                <w:rFonts w:ascii="Times New Roman" w:hAnsi="Times New Roman" w:cs="Times New Roman"/>
                <w:color w:val="auto"/>
                <w:sz w:val="24"/>
                <w:szCs w:val="24"/>
              </w:rPr>
              <w:t>No</w:t>
            </w:r>
          </w:p>
        </w:tc>
        <w:tc>
          <w:tcPr>
            <w:tcW w:w="2094" w:type="dxa"/>
            <w:noWrap/>
          </w:tcPr>
          <w:p>
            <w:pPr>
              <w:spacing w:after="0" w:line="276" w:lineRule="auto"/>
              <w:rPr>
                <w:rFonts w:ascii="Times New Roman" w:hAnsi="Times New Roman" w:cs="Times New Roman"/>
                <w:color w:val="auto"/>
                <w:sz w:val="24"/>
                <w:szCs w:val="24"/>
              </w:rPr>
            </w:pPr>
            <w:r>
              <w:rPr>
                <w:rFonts w:ascii="Times New Roman" w:hAnsi="Times New Roman" w:cs="Times New Roman"/>
                <w:color w:val="auto"/>
                <w:sz w:val="24"/>
                <w:szCs w:val="24"/>
              </w:rPr>
              <w:t>Yes</w:t>
            </w:r>
          </w:p>
        </w:tc>
        <w:tc>
          <w:tcPr>
            <w:tcW w:w="2420" w:type="dxa"/>
            <w:noWrap/>
          </w:tcPr>
          <w:p>
            <w:pPr>
              <w:spacing w:after="0" w:line="276" w:lineRule="auto"/>
              <w:rPr>
                <w:rFonts w:ascii="Times New Roman" w:hAnsi="Times New Roman" w:cs="Times New Roman"/>
                <w:color w:val="auto"/>
                <w:sz w:val="24"/>
                <w:szCs w:val="24"/>
              </w:rPr>
            </w:pPr>
            <w:r>
              <w:rPr>
                <w:rFonts w:ascii="Times New Roman" w:hAnsi="Times New Roman" w:cs="Times New Roman"/>
                <w:color w:val="auto"/>
                <w:sz w:val="24"/>
                <w:szCs w:val="24"/>
              </w:rPr>
              <w:t>Yes</w:t>
            </w:r>
          </w:p>
        </w:tc>
        <w:tc>
          <w:tcPr>
            <w:tcW w:w="4760" w:type="dxa"/>
            <w:noWrap/>
          </w:tcPr>
          <w:p>
            <w:pPr>
              <w:spacing w:after="0" w:line="276"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Competitive parity </w:t>
            </w:r>
          </w:p>
        </w:tc>
      </w:tr>
      <w:tr>
        <w:tblPrEx>
          <w:tblBorders>
            <w:top w:val="single" w:color="4BACC6" w:themeColor="accent5" w:sz="8" w:space="0"/>
            <w:left w:val="none" w:color="auto" w:sz="0" w:space="0"/>
            <w:bottom w:val="single" w:color="4BACC6" w:themeColor="accent5"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560" w:type="dxa"/>
            <w:tcBorders>
              <w:left w:val="nil"/>
              <w:right w:val="nil"/>
              <w:insideV w:val="nil"/>
            </w:tcBorders>
            <w:shd w:val="clear" w:color="auto" w:fill="D2EAF0" w:themeFill="accent5" w:themeFillTint="3F"/>
            <w:noWrap/>
          </w:tcPr>
          <w:p>
            <w:pPr>
              <w:spacing w:after="0" w:line="276" w:lineRule="auto"/>
              <w:rPr>
                <w:rFonts w:ascii="Times New Roman" w:hAnsi="Times New Roman" w:cs="Times New Roman"/>
                <w:b/>
                <w:bCs/>
                <w:color w:val="auto"/>
                <w:sz w:val="24"/>
                <w:szCs w:val="24"/>
              </w:rPr>
            </w:pPr>
            <w:r>
              <w:rPr>
                <w:rFonts w:ascii="Times New Roman" w:hAnsi="Times New Roman" w:cs="Times New Roman"/>
                <w:b/>
                <w:bCs/>
                <w:color w:val="auto"/>
                <w:sz w:val="24"/>
                <w:szCs w:val="24"/>
              </w:rPr>
              <w:t>Efficient inbound logistics system</w:t>
            </w:r>
          </w:p>
        </w:tc>
        <w:tc>
          <w:tcPr>
            <w:tcW w:w="1538" w:type="dxa"/>
            <w:tcBorders>
              <w:right w:val="nil"/>
              <w:insideV w:val="nil"/>
            </w:tcBorders>
            <w:shd w:val="clear" w:color="auto" w:fill="D2EAF0" w:themeFill="accent5" w:themeFillTint="3F"/>
            <w:noWrap/>
          </w:tcPr>
          <w:p>
            <w:pPr>
              <w:spacing w:after="0" w:line="276"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Yes </w:t>
            </w:r>
          </w:p>
        </w:tc>
        <w:tc>
          <w:tcPr>
            <w:tcW w:w="1308" w:type="dxa"/>
            <w:tcBorders>
              <w:right w:val="nil"/>
              <w:insideV w:val="nil"/>
            </w:tcBorders>
            <w:shd w:val="clear" w:color="auto" w:fill="D2EAF0" w:themeFill="accent5" w:themeFillTint="3F"/>
            <w:noWrap/>
          </w:tcPr>
          <w:p>
            <w:pPr>
              <w:spacing w:after="0" w:line="276" w:lineRule="auto"/>
              <w:rPr>
                <w:rFonts w:ascii="Times New Roman" w:hAnsi="Times New Roman" w:cs="Times New Roman"/>
                <w:color w:val="auto"/>
                <w:sz w:val="24"/>
                <w:szCs w:val="24"/>
              </w:rPr>
            </w:pPr>
            <w:r>
              <w:rPr>
                <w:rFonts w:ascii="Times New Roman" w:hAnsi="Times New Roman" w:cs="Times New Roman"/>
                <w:color w:val="auto"/>
                <w:sz w:val="24"/>
                <w:szCs w:val="24"/>
              </w:rPr>
              <w:t>No</w:t>
            </w:r>
          </w:p>
        </w:tc>
        <w:tc>
          <w:tcPr>
            <w:tcW w:w="2094" w:type="dxa"/>
            <w:tcBorders>
              <w:right w:val="nil"/>
              <w:insideV w:val="nil"/>
            </w:tcBorders>
            <w:shd w:val="clear" w:color="auto" w:fill="D2EAF0" w:themeFill="accent5" w:themeFillTint="3F"/>
            <w:noWrap/>
          </w:tcPr>
          <w:p>
            <w:pPr>
              <w:spacing w:after="0" w:line="276" w:lineRule="auto"/>
              <w:rPr>
                <w:rFonts w:ascii="Times New Roman" w:hAnsi="Times New Roman" w:cs="Times New Roman"/>
                <w:color w:val="auto"/>
                <w:sz w:val="24"/>
                <w:szCs w:val="24"/>
              </w:rPr>
            </w:pPr>
            <w:r>
              <w:rPr>
                <w:rFonts w:ascii="Times New Roman" w:hAnsi="Times New Roman" w:cs="Times New Roman"/>
                <w:color w:val="auto"/>
                <w:sz w:val="24"/>
                <w:szCs w:val="24"/>
              </w:rPr>
              <w:t>Yes</w:t>
            </w:r>
          </w:p>
        </w:tc>
        <w:tc>
          <w:tcPr>
            <w:tcW w:w="2420" w:type="dxa"/>
            <w:tcBorders>
              <w:right w:val="nil"/>
              <w:insideV w:val="nil"/>
            </w:tcBorders>
            <w:shd w:val="clear" w:color="auto" w:fill="D2EAF0" w:themeFill="accent5" w:themeFillTint="3F"/>
            <w:noWrap/>
          </w:tcPr>
          <w:p>
            <w:pPr>
              <w:spacing w:after="0" w:line="276" w:lineRule="auto"/>
              <w:rPr>
                <w:rFonts w:ascii="Times New Roman" w:hAnsi="Times New Roman" w:cs="Times New Roman"/>
                <w:color w:val="auto"/>
                <w:sz w:val="24"/>
                <w:szCs w:val="24"/>
              </w:rPr>
            </w:pPr>
            <w:r>
              <w:rPr>
                <w:rFonts w:ascii="Times New Roman" w:hAnsi="Times New Roman" w:cs="Times New Roman"/>
                <w:color w:val="auto"/>
                <w:sz w:val="24"/>
                <w:szCs w:val="24"/>
              </w:rPr>
              <w:t>Yes</w:t>
            </w:r>
          </w:p>
        </w:tc>
        <w:tc>
          <w:tcPr>
            <w:tcW w:w="4760" w:type="dxa"/>
            <w:tcBorders>
              <w:right w:val="nil"/>
              <w:insideV w:val="nil"/>
            </w:tcBorders>
            <w:shd w:val="clear" w:color="auto" w:fill="D2EAF0" w:themeFill="accent5" w:themeFillTint="3F"/>
            <w:noWrap/>
          </w:tcPr>
          <w:p>
            <w:pPr>
              <w:spacing w:after="0" w:line="276"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Competitive parity </w:t>
            </w:r>
          </w:p>
        </w:tc>
      </w:tr>
      <w:tr>
        <w:tblPrEx>
          <w:tblBorders>
            <w:top w:val="single" w:color="4BACC6" w:themeColor="accent5" w:sz="8" w:space="0"/>
            <w:left w:val="none" w:color="auto" w:sz="0" w:space="0"/>
            <w:bottom w:val="single" w:color="4BACC6" w:themeColor="accent5"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560" w:type="dxa"/>
            <w:noWrap/>
          </w:tcPr>
          <w:p>
            <w:pPr>
              <w:spacing w:after="0" w:line="276" w:lineRule="auto"/>
              <w:rPr>
                <w:rFonts w:ascii="Times New Roman" w:hAnsi="Times New Roman" w:cs="Times New Roman"/>
                <w:b/>
                <w:bCs/>
                <w:color w:val="auto"/>
                <w:sz w:val="24"/>
                <w:szCs w:val="24"/>
              </w:rPr>
            </w:pPr>
            <w:r>
              <w:rPr>
                <w:rFonts w:ascii="Times New Roman" w:hAnsi="Times New Roman" w:cs="Times New Roman"/>
                <w:b/>
                <w:bCs/>
                <w:color w:val="auto"/>
                <w:sz w:val="24"/>
                <w:szCs w:val="24"/>
              </w:rPr>
              <w:t>Product innovation</w:t>
            </w:r>
          </w:p>
        </w:tc>
        <w:tc>
          <w:tcPr>
            <w:tcW w:w="1538" w:type="dxa"/>
            <w:noWrap/>
          </w:tcPr>
          <w:p>
            <w:pPr>
              <w:spacing w:after="0" w:line="276" w:lineRule="auto"/>
              <w:rPr>
                <w:rFonts w:ascii="Times New Roman" w:hAnsi="Times New Roman" w:cs="Times New Roman"/>
                <w:color w:val="auto"/>
                <w:sz w:val="24"/>
                <w:szCs w:val="24"/>
              </w:rPr>
            </w:pPr>
            <w:r>
              <w:rPr>
                <w:rFonts w:ascii="Times New Roman" w:hAnsi="Times New Roman" w:cs="Times New Roman"/>
                <w:color w:val="auto"/>
                <w:sz w:val="24"/>
                <w:szCs w:val="24"/>
              </w:rPr>
              <w:t>Yes</w:t>
            </w:r>
          </w:p>
        </w:tc>
        <w:tc>
          <w:tcPr>
            <w:tcW w:w="1308" w:type="dxa"/>
            <w:noWrap/>
          </w:tcPr>
          <w:p>
            <w:pPr>
              <w:spacing w:after="0" w:line="276"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Yes </w:t>
            </w:r>
          </w:p>
        </w:tc>
        <w:tc>
          <w:tcPr>
            <w:tcW w:w="2094" w:type="dxa"/>
            <w:noWrap/>
          </w:tcPr>
          <w:p>
            <w:pPr>
              <w:spacing w:after="0" w:line="276" w:lineRule="auto"/>
              <w:rPr>
                <w:rFonts w:ascii="Times New Roman" w:hAnsi="Times New Roman" w:cs="Times New Roman"/>
                <w:color w:val="auto"/>
                <w:sz w:val="24"/>
                <w:szCs w:val="24"/>
              </w:rPr>
            </w:pPr>
            <w:r>
              <w:rPr>
                <w:rFonts w:ascii="Times New Roman" w:hAnsi="Times New Roman" w:cs="Times New Roman"/>
                <w:color w:val="auto"/>
                <w:sz w:val="24"/>
                <w:szCs w:val="24"/>
              </w:rPr>
              <w:t>Yes</w:t>
            </w:r>
          </w:p>
        </w:tc>
        <w:tc>
          <w:tcPr>
            <w:tcW w:w="2420" w:type="dxa"/>
            <w:noWrap/>
          </w:tcPr>
          <w:p>
            <w:pPr>
              <w:spacing w:after="0" w:line="276" w:lineRule="auto"/>
              <w:rPr>
                <w:rFonts w:ascii="Times New Roman" w:hAnsi="Times New Roman" w:cs="Times New Roman"/>
                <w:color w:val="auto"/>
                <w:sz w:val="24"/>
                <w:szCs w:val="24"/>
              </w:rPr>
            </w:pPr>
            <w:r>
              <w:rPr>
                <w:rFonts w:ascii="Times New Roman" w:hAnsi="Times New Roman" w:cs="Times New Roman"/>
                <w:color w:val="auto"/>
                <w:sz w:val="24"/>
                <w:szCs w:val="24"/>
              </w:rPr>
              <w:t>Yes</w:t>
            </w:r>
          </w:p>
        </w:tc>
        <w:tc>
          <w:tcPr>
            <w:tcW w:w="4760" w:type="dxa"/>
            <w:noWrap/>
          </w:tcPr>
          <w:p>
            <w:pPr>
              <w:spacing w:after="0" w:line="276"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Competitive advantage </w:t>
            </w:r>
          </w:p>
        </w:tc>
      </w:tr>
      <w:tr>
        <w:tblPrEx>
          <w:tblBorders>
            <w:top w:val="single" w:color="4BACC6" w:themeColor="accent5" w:sz="8" w:space="0"/>
            <w:left w:val="none" w:color="auto" w:sz="0" w:space="0"/>
            <w:bottom w:val="single" w:color="4BACC6" w:themeColor="accent5"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560" w:type="dxa"/>
            <w:tcBorders>
              <w:left w:val="nil"/>
              <w:right w:val="nil"/>
              <w:insideV w:val="nil"/>
            </w:tcBorders>
            <w:shd w:val="clear" w:color="auto" w:fill="D2EAF0" w:themeFill="accent5" w:themeFillTint="3F"/>
            <w:noWrap/>
          </w:tcPr>
          <w:p>
            <w:pPr>
              <w:spacing w:after="0" w:line="276" w:lineRule="auto"/>
              <w:rPr>
                <w:rFonts w:ascii="Times New Roman" w:hAnsi="Times New Roman" w:cs="Times New Roman"/>
                <w:b/>
                <w:bCs/>
                <w:color w:val="auto"/>
                <w:sz w:val="24"/>
                <w:szCs w:val="24"/>
              </w:rPr>
            </w:pPr>
            <w:r>
              <w:rPr>
                <w:rFonts w:ascii="Times New Roman" w:hAnsi="Times New Roman" w:cs="Times New Roman"/>
                <w:b/>
                <w:bCs/>
                <w:color w:val="auto"/>
                <w:sz w:val="24"/>
                <w:szCs w:val="24"/>
              </w:rPr>
              <w:t>Strong distribution network</w:t>
            </w:r>
          </w:p>
        </w:tc>
        <w:tc>
          <w:tcPr>
            <w:tcW w:w="1538" w:type="dxa"/>
            <w:tcBorders>
              <w:right w:val="nil"/>
              <w:insideV w:val="nil"/>
            </w:tcBorders>
            <w:shd w:val="clear" w:color="auto" w:fill="D2EAF0" w:themeFill="accent5" w:themeFillTint="3F"/>
            <w:noWrap/>
          </w:tcPr>
          <w:p>
            <w:pPr>
              <w:spacing w:after="0" w:line="276" w:lineRule="auto"/>
              <w:rPr>
                <w:rFonts w:ascii="Times New Roman" w:hAnsi="Times New Roman" w:cs="Times New Roman"/>
                <w:color w:val="auto"/>
                <w:sz w:val="24"/>
                <w:szCs w:val="24"/>
              </w:rPr>
            </w:pPr>
            <w:r>
              <w:rPr>
                <w:rFonts w:ascii="Times New Roman" w:hAnsi="Times New Roman" w:cs="Times New Roman"/>
                <w:color w:val="auto"/>
                <w:sz w:val="24"/>
                <w:szCs w:val="24"/>
              </w:rPr>
              <w:t>Yes</w:t>
            </w:r>
          </w:p>
        </w:tc>
        <w:tc>
          <w:tcPr>
            <w:tcW w:w="1308" w:type="dxa"/>
            <w:tcBorders>
              <w:right w:val="nil"/>
              <w:insideV w:val="nil"/>
            </w:tcBorders>
            <w:shd w:val="clear" w:color="auto" w:fill="D2EAF0" w:themeFill="accent5" w:themeFillTint="3F"/>
            <w:noWrap/>
          </w:tcPr>
          <w:p>
            <w:pPr>
              <w:spacing w:after="0" w:line="276"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No </w:t>
            </w:r>
          </w:p>
        </w:tc>
        <w:tc>
          <w:tcPr>
            <w:tcW w:w="2094" w:type="dxa"/>
            <w:tcBorders>
              <w:right w:val="nil"/>
              <w:insideV w:val="nil"/>
            </w:tcBorders>
            <w:shd w:val="clear" w:color="auto" w:fill="D2EAF0" w:themeFill="accent5" w:themeFillTint="3F"/>
            <w:noWrap/>
          </w:tcPr>
          <w:p>
            <w:pPr>
              <w:spacing w:after="0" w:line="276"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Yes </w:t>
            </w:r>
          </w:p>
        </w:tc>
        <w:tc>
          <w:tcPr>
            <w:tcW w:w="2420" w:type="dxa"/>
            <w:tcBorders>
              <w:right w:val="nil"/>
              <w:insideV w:val="nil"/>
            </w:tcBorders>
            <w:shd w:val="clear" w:color="auto" w:fill="D2EAF0" w:themeFill="accent5" w:themeFillTint="3F"/>
            <w:noWrap/>
          </w:tcPr>
          <w:p>
            <w:pPr>
              <w:spacing w:after="0" w:line="276" w:lineRule="auto"/>
              <w:rPr>
                <w:rFonts w:ascii="Times New Roman" w:hAnsi="Times New Roman" w:cs="Times New Roman"/>
                <w:color w:val="auto"/>
                <w:sz w:val="24"/>
                <w:szCs w:val="24"/>
              </w:rPr>
            </w:pPr>
            <w:r>
              <w:rPr>
                <w:rFonts w:ascii="Times New Roman" w:hAnsi="Times New Roman" w:cs="Times New Roman"/>
                <w:color w:val="auto"/>
                <w:sz w:val="24"/>
                <w:szCs w:val="24"/>
              </w:rPr>
              <w:t>Yes</w:t>
            </w:r>
          </w:p>
        </w:tc>
        <w:tc>
          <w:tcPr>
            <w:tcW w:w="4760" w:type="dxa"/>
            <w:tcBorders>
              <w:right w:val="nil"/>
              <w:insideV w:val="nil"/>
            </w:tcBorders>
            <w:shd w:val="clear" w:color="auto" w:fill="D2EAF0" w:themeFill="accent5" w:themeFillTint="3F"/>
            <w:noWrap/>
          </w:tcPr>
          <w:p>
            <w:pPr>
              <w:spacing w:after="0" w:line="276"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Competitive parity </w:t>
            </w:r>
          </w:p>
        </w:tc>
      </w:tr>
      <w:tr>
        <w:tblPrEx>
          <w:tblBorders>
            <w:top w:val="single" w:color="4BACC6" w:themeColor="accent5" w:sz="8" w:space="0"/>
            <w:left w:val="none" w:color="auto" w:sz="0" w:space="0"/>
            <w:bottom w:val="single" w:color="4BACC6" w:themeColor="accent5"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560" w:type="dxa"/>
            <w:noWrap/>
          </w:tcPr>
          <w:p>
            <w:pPr>
              <w:spacing w:after="0" w:line="276" w:lineRule="auto"/>
              <w:rPr>
                <w:rFonts w:ascii="Times New Roman" w:hAnsi="Times New Roman" w:cs="Times New Roman"/>
                <w:b/>
                <w:bCs/>
                <w:color w:val="auto"/>
                <w:sz w:val="24"/>
                <w:szCs w:val="24"/>
              </w:rPr>
            </w:pPr>
            <w:r>
              <w:rPr>
                <w:rFonts w:ascii="Times New Roman" w:hAnsi="Times New Roman" w:cs="Times New Roman"/>
                <w:b/>
                <w:bCs/>
                <w:color w:val="auto"/>
                <w:sz w:val="24"/>
                <w:szCs w:val="24"/>
              </w:rPr>
              <w:t>Unique brand image</w:t>
            </w:r>
          </w:p>
        </w:tc>
        <w:tc>
          <w:tcPr>
            <w:tcW w:w="1538" w:type="dxa"/>
            <w:noWrap/>
          </w:tcPr>
          <w:p>
            <w:pPr>
              <w:spacing w:after="0" w:line="276" w:lineRule="auto"/>
              <w:rPr>
                <w:rFonts w:ascii="Times New Roman" w:hAnsi="Times New Roman" w:cs="Times New Roman"/>
                <w:color w:val="auto"/>
                <w:sz w:val="24"/>
                <w:szCs w:val="24"/>
              </w:rPr>
            </w:pPr>
            <w:r>
              <w:rPr>
                <w:rFonts w:ascii="Times New Roman" w:hAnsi="Times New Roman" w:cs="Times New Roman"/>
                <w:color w:val="auto"/>
                <w:sz w:val="24"/>
                <w:szCs w:val="24"/>
              </w:rPr>
              <w:t>Yes</w:t>
            </w:r>
          </w:p>
        </w:tc>
        <w:tc>
          <w:tcPr>
            <w:tcW w:w="1308" w:type="dxa"/>
            <w:noWrap/>
          </w:tcPr>
          <w:p>
            <w:pPr>
              <w:spacing w:after="0" w:line="276"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No  </w:t>
            </w:r>
          </w:p>
        </w:tc>
        <w:tc>
          <w:tcPr>
            <w:tcW w:w="2094" w:type="dxa"/>
            <w:noWrap/>
          </w:tcPr>
          <w:p>
            <w:pPr>
              <w:spacing w:after="0" w:line="276" w:lineRule="auto"/>
              <w:rPr>
                <w:rFonts w:ascii="Times New Roman" w:hAnsi="Times New Roman" w:cs="Times New Roman"/>
                <w:color w:val="auto"/>
                <w:sz w:val="24"/>
                <w:szCs w:val="24"/>
              </w:rPr>
            </w:pPr>
            <w:r>
              <w:rPr>
                <w:rFonts w:ascii="Times New Roman" w:hAnsi="Times New Roman" w:cs="Times New Roman"/>
                <w:color w:val="auto"/>
                <w:sz w:val="24"/>
                <w:szCs w:val="24"/>
              </w:rPr>
              <w:t>Yes</w:t>
            </w:r>
          </w:p>
        </w:tc>
        <w:tc>
          <w:tcPr>
            <w:tcW w:w="2420" w:type="dxa"/>
            <w:noWrap/>
          </w:tcPr>
          <w:p>
            <w:pPr>
              <w:spacing w:after="0" w:line="276" w:lineRule="auto"/>
              <w:rPr>
                <w:rFonts w:ascii="Times New Roman" w:hAnsi="Times New Roman" w:cs="Times New Roman"/>
                <w:color w:val="auto"/>
                <w:sz w:val="24"/>
                <w:szCs w:val="24"/>
              </w:rPr>
            </w:pPr>
            <w:r>
              <w:rPr>
                <w:rFonts w:ascii="Times New Roman" w:hAnsi="Times New Roman" w:cs="Times New Roman"/>
                <w:color w:val="auto"/>
                <w:sz w:val="24"/>
                <w:szCs w:val="24"/>
              </w:rPr>
              <w:t>Yes</w:t>
            </w:r>
          </w:p>
        </w:tc>
        <w:tc>
          <w:tcPr>
            <w:tcW w:w="4760" w:type="dxa"/>
            <w:noWrap/>
          </w:tcPr>
          <w:p>
            <w:pPr>
              <w:spacing w:after="0" w:line="276"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Competitive parity </w:t>
            </w:r>
          </w:p>
        </w:tc>
      </w:tr>
      <w:tr>
        <w:tblPrEx>
          <w:tblBorders>
            <w:top w:val="single" w:color="4BACC6" w:themeColor="accent5" w:sz="8" w:space="0"/>
            <w:left w:val="none" w:color="auto" w:sz="0" w:space="0"/>
            <w:bottom w:val="single" w:color="4BACC6" w:themeColor="accent5"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560" w:type="dxa"/>
            <w:tcBorders>
              <w:left w:val="nil"/>
              <w:right w:val="nil"/>
              <w:insideV w:val="nil"/>
            </w:tcBorders>
            <w:shd w:val="clear" w:color="auto" w:fill="D2EAF0" w:themeFill="accent5" w:themeFillTint="3F"/>
            <w:noWrap/>
          </w:tcPr>
          <w:p>
            <w:pPr>
              <w:spacing w:after="0" w:line="276" w:lineRule="auto"/>
              <w:rPr>
                <w:rFonts w:ascii="Times New Roman" w:hAnsi="Times New Roman" w:cs="Times New Roman"/>
                <w:b/>
                <w:bCs/>
                <w:color w:val="auto"/>
                <w:sz w:val="24"/>
                <w:szCs w:val="24"/>
              </w:rPr>
            </w:pPr>
            <w:r>
              <w:rPr>
                <w:rFonts w:ascii="Times New Roman" w:hAnsi="Times New Roman" w:cs="Times New Roman"/>
                <w:b/>
                <w:bCs/>
                <w:color w:val="auto"/>
                <w:sz w:val="24"/>
                <w:szCs w:val="24"/>
              </w:rPr>
              <w:t>Strong ability to raise capital</w:t>
            </w:r>
          </w:p>
        </w:tc>
        <w:tc>
          <w:tcPr>
            <w:tcW w:w="1538" w:type="dxa"/>
            <w:tcBorders>
              <w:right w:val="nil"/>
              <w:insideV w:val="nil"/>
            </w:tcBorders>
            <w:shd w:val="clear" w:color="auto" w:fill="D2EAF0" w:themeFill="accent5" w:themeFillTint="3F"/>
            <w:noWrap/>
          </w:tcPr>
          <w:p>
            <w:pPr>
              <w:spacing w:after="0" w:line="276" w:lineRule="auto"/>
              <w:rPr>
                <w:rFonts w:ascii="Times New Roman" w:hAnsi="Times New Roman" w:cs="Times New Roman"/>
                <w:color w:val="auto"/>
                <w:sz w:val="24"/>
                <w:szCs w:val="24"/>
              </w:rPr>
            </w:pPr>
            <w:r>
              <w:rPr>
                <w:rFonts w:ascii="Times New Roman" w:hAnsi="Times New Roman" w:cs="Times New Roman"/>
                <w:color w:val="auto"/>
                <w:sz w:val="24"/>
                <w:szCs w:val="24"/>
              </w:rPr>
              <w:t>Yes</w:t>
            </w:r>
          </w:p>
        </w:tc>
        <w:tc>
          <w:tcPr>
            <w:tcW w:w="1308" w:type="dxa"/>
            <w:tcBorders>
              <w:right w:val="nil"/>
              <w:insideV w:val="nil"/>
            </w:tcBorders>
            <w:shd w:val="clear" w:color="auto" w:fill="D2EAF0" w:themeFill="accent5" w:themeFillTint="3F"/>
            <w:noWrap/>
          </w:tcPr>
          <w:p>
            <w:pPr>
              <w:spacing w:after="0" w:line="276" w:lineRule="auto"/>
              <w:rPr>
                <w:rFonts w:ascii="Times New Roman" w:hAnsi="Times New Roman" w:cs="Times New Roman"/>
                <w:color w:val="auto"/>
                <w:sz w:val="24"/>
                <w:szCs w:val="24"/>
              </w:rPr>
            </w:pPr>
            <w:r>
              <w:rPr>
                <w:rFonts w:ascii="Times New Roman" w:hAnsi="Times New Roman" w:cs="Times New Roman"/>
                <w:color w:val="auto"/>
                <w:sz w:val="24"/>
                <w:szCs w:val="24"/>
              </w:rPr>
              <w:t>No</w:t>
            </w:r>
          </w:p>
        </w:tc>
        <w:tc>
          <w:tcPr>
            <w:tcW w:w="2094" w:type="dxa"/>
            <w:tcBorders>
              <w:right w:val="nil"/>
              <w:insideV w:val="nil"/>
            </w:tcBorders>
            <w:shd w:val="clear" w:color="auto" w:fill="D2EAF0" w:themeFill="accent5" w:themeFillTint="3F"/>
            <w:noWrap/>
          </w:tcPr>
          <w:p>
            <w:pPr>
              <w:spacing w:after="0" w:line="276" w:lineRule="auto"/>
              <w:rPr>
                <w:rFonts w:ascii="Times New Roman" w:hAnsi="Times New Roman" w:cs="Times New Roman"/>
                <w:color w:val="auto"/>
                <w:sz w:val="24"/>
                <w:szCs w:val="24"/>
              </w:rPr>
            </w:pPr>
            <w:r>
              <w:rPr>
                <w:rFonts w:ascii="Times New Roman" w:hAnsi="Times New Roman" w:cs="Times New Roman"/>
                <w:color w:val="auto"/>
                <w:sz w:val="24"/>
                <w:szCs w:val="24"/>
              </w:rPr>
              <w:t>Yes</w:t>
            </w:r>
          </w:p>
        </w:tc>
        <w:tc>
          <w:tcPr>
            <w:tcW w:w="2420" w:type="dxa"/>
            <w:tcBorders>
              <w:right w:val="nil"/>
              <w:insideV w:val="nil"/>
            </w:tcBorders>
            <w:shd w:val="clear" w:color="auto" w:fill="D2EAF0" w:themeFill="accent5" w:themeFillTint="3F"/>
            <w:noWrap/>
          </w:tcPr>
          <w:p>
            <w:pPr>
              <w:spacing w:after="0" w:line="276" w:lineRule="auto"/>
              <w:rPr>
                <w:rFonts w:ascii="Times New Roman" w:hAnsi="Times New Roman" w:cs="Times New Roman"/>
                <w:color w:val="auto"/>
                <w:sz w:val="24"/>
                <w:szCs w:val="24"/>
              </w:rPr>
            </w:pPr>
            <w:r>
              <w:rPr>
                <w:rFonts w:ascii="Times New Roman" w:hAnsi="Times New Roman" w:cs="Times New Roman"/>
                <w:color w:val="auto"/>
                <w:sz w:val="24"/>
                <w:szCs w:val="24"/>
              </w:rPr>
              <w:t>Yes</w:t>
            </w:r>
          </w:p>
        </w:tc>
        <w:tc>
          <w:tcPr>
            <w:tcW w:w="4760" w:type="dxa"/>
            <w:tcBorders>
              <w:right w:val="nil"/>
              <w:insideV w:val="nil"/>
            </w:tcBorders>
            <w:shd w:val="clear" w:color="auto" w:fill="D2EAF0" w:themeFill="accent5" w:themeFillTint="3F"/>
            <w:noWrap/>
          </w:tcPr>
          <w:p>
            <w:pPr>
              <w:spacing w:after="0" w:line="276"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Competitive parity </w:t>
            </w:r>
          </w:p>
        </w:tc>
      </w:tr>
    </w:tbl>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above table summarises Unilever’s core competencies and resources. It shows that the company has a talented and dedicated workforce, an efficient inbound logistics system, a strong ability to innovate, a strong distribution network, a unique brand image, and a strong ability to raise capital. For example, the company has a lean inbound logistics system that increases cost-effectiveness, efficiency, and standardisation. Such a resource is necessary for achieving cost leadership and sustained competitive advantage. The company is also highly innovative in its product offerings. It has invested heavily in research and innovation to deliver innovative products. For example, the company spends over €1 billion in R&amp;D to help identify opportunities, evolving science-based trends, and deliver strong growth (Unilever, 2022). Such a capacity can allow the company to differentiate its products and services and compete effectively in the FMCG industry. However, most of the company’s core competencies and resources are not rare. For example, a strong distribution network is not rare. Competitor firm such as Procter and Gamble and Johnson and Johnson can leverage their strengths to strengthen their distribution systems. This means that Unilever is unlikely to sustain its competitive position in the FMCG industry. </w:t>
      </w:r>
    </w:p>
    <w:p>
      <w:pPr>
        <w:pStyle w:val="4"/>
        <w:spacing w:line="480" w:lineRule="auto"/>
        <w:jc w:val="left"/>
        <w:rPr>
          <w:rFonts w:ascii="Times New Roman" w:hAnsi="Times New Roman" w:cs="Times New Roman"/>
          <w:color w:val="auto"/>
          <w:sz w:val="24"/>
          <w:szCs w:val="24"/>
        </w:rPr>
      </w:pPr>
      <w:bookmarkStart w:id="10" w:name="_Toc23037"/>
      <w:r>
        <w:rPr>
          <w:rFonts w:hint="eastAsia" w:ascii="Times New Roman" w:hAnsi="Times New Roman" w:cs="Times New Roman"/>
          <w:color w:val="auto"/>
          <w:sz w:val="24"/>
          <w:szCs w:val="24"/>
          <w:lang w:val="en-US" w:eastAsia="zh-CN"/>
        </w:rPr>
        <w:t>6.2</w:t>
      </w:r>
      <w:r>
        <w:rPr>
          <w:rFonts w:ascii="Times New Roman" w:hAnsi="Times New Roman" w:cs="Times New Roman"/>
          <w:color w:val="auto"/>
          <w:sz w:val="24"/>
          <w:szCs w:val="24"/>
        </w:rPr>
        <w:t>Porter’s generic strategies</w:t>
      </w:r>
      <w:bookmarkEnd w:id="10"/>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Porter's generic strategies are a four-strategy framework that determines the strategies pursued by the firm (</w:t>
      </w:r>
      <w:r>
        <w:rPr>
          <w:rFonts w:ascii="Times New Roman" w:hAnsi="Times New Roman" w:cs="Times New Roman"/>
          <w:sz w:val="24"/>
          <w:szCs w:val="24"/>
          <w:shd w:val="clear" w:color="auto" w:fill="FFFFFF"/>
        </w:rPr>
        <w:t>Islami et al., 2020)</w:t>
      </w:r>
      <w:r>
        <w:rPr>
          <w:rFonts w:ascii="Times New Roman" w:hAnsi="Times New Roman" w:cs="Times New Roman"/>
          <w:sz w:val="24"/>
          <w:szCs w:val="24"/>
        </w:rPr>
        <w:t xml:space="preserve">. The framework is depicted below. </w:t>
      </w:r>
    </w:p>
    <w:p>
      <w:pPr>
        <w:spacing w:line="480" w:lineRule="auto"/>
        <w:rPr>
          <w:rFonts w:ascii="Times New Roman" w:hAnsi="Times New Roman" w:cs="Times New Roman"/>
          <w:sz w:val="24"/>
          <w:szCs w:val="24"/>
        </w:rPr>
      </w:pPr>
      <w:r>
        <w:rPr>
          <w:rFonts w:ascii="Times New Roman" w:hAnsi="Times New Roman" w:cs="Times New Roman"/>
          <w:sz w:val="24"/>
          <w:szCs w:val="24"/>
        </w:rPr>
        <w:drawing>
          <wp:inline distT="0" distB="0" distL="0" distR="0">
            <wp:extent cx="5172075" cy="24003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8"/>
                    <a:stretch>
                      <a:fillRect/>
                    </a:stretch>
                  </pic:blipFill>
                  <pic:spPr>
                    <a:xfrm>
                      <a:off x="0" y="0"/>
                      <a:ext cx="5172797" cy="2400635"/>
                    </a:xfrm>
                    <a:prstGeom prst="rect">
                      <a:avLst/>
                    </a:prstGeom>
                  </pic:spPr>
                </pic:pic>
              </a:graphicData>
            </a:graphic>
          </wp:inline>
        </w:drawing>
      </w:r>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above diagram shows that firms can achieve competitive advantage by pursuing three strategies: focus, cost leadership, and differentiation. The focus strategy has two variants, namely, the differentiation focus and the cost focus (</w:t>
      </w:r>
      <w:r>
        <w:rPr>
          <w:rFonts w:ascii="Times New Roman" w:hAnsi="Times New Roman" w:cs="Times New Roman"/>
          <w:sz w:val="24"/>
          <w:szCs w:val="24"/>
          <w:shd w:val="clear" w:color="auto" w:fill="FFFFFF"/>
        </w:rPr>
        <w:t>Islami et al., 2020).</w:t>
      </w:r>
      <w:r>
        <w:rPr>
          <w:rFonts w:ascii="Times New Roman" w:hAnsi="Times New Roman" w:cs="Times New Roman"/>
          <w:sz w:val="24"/>
          <w:szCs w:val="24"/>
        </w:rPr>
        <w:t xml:space="preserve"> Firms may choose to pursue one or more of the generic strategies. However, Unilever has been pursuing a broad differentiation strategy. The strategy entails developing products that stand out against the competition (</w:t>
      </w:r>
      <w:r>
        <w:rPr>
          <w:rFonts w:ascii="Times New Roman" w:hAnsi="Times New Roman" w:cs="Times New Roman"/>
          <w:sz w:val="24"/>
          <w:szCs w:val="24"/>
          <w:shd w:val="clear" w:color="auto" w:fill="FFFFFF"/>
        </w:rPr>
        <w:t>Zehir et al., 2015)</w:t>
      </w:r>
      <w:r>
        <w:rPr>
          <w:rFonts w:ascii="Times New Roman" w:hAnsi="Times New Roman" w:cs="Times New Roman"/>
          <w:sz w:val="24"/>
          <w:szCs w:val="24"/>
        </w:rPr>
        <w:t>. For instance, the company produces unique personal care products such as Dove Cream Bars. The products stand out in that they meet customers' needs for innovative products. The company is also investing in research and development to strengthen its product differentiation strategy. However, intense competition from rivals is likely to threaten the company’s survival. In particular, more firms are adopting product differentiation as a key strategic option. This means that the company must continue investing in innovations to gain a sustainable competitive advantage. Such investment can strain resources and increase operating costs (</w:t>
      </w:r>
      <w:r>
        <w:rPr>
          <w:rFonts w:ascii="Times New Roman" w:hAnsi="Times New Roman" w:cs="Times New Roman"/>
          <w:sz w:val="24"/>
          <w:szCs w:val="24"/>
          <w:shd w:val="clear" w:color="auto" w:fill="FFFFFF"/>
        </w:rPr>
        <w:t>Block et al., 2015)</w:t>
      </w:r>
      <w:r>
        <w:rPr>
          <w:rFonts w:ascii="Times New Roman" w:hAnsi="Times New Roman" w:cs="Times New Roman"/>
          <w:sz w:val="24"/>
          <w:szCs w:val="24"/>
        </w:rPr>
        <w:t>. In particular, pursuing product differentiation can put a burden on the product manufacturers, R&amp;D teams, and profit margins (</w:t>
      </w:r>
      <w:r>
        <w:rPr>
          <w:rFonts w:ascii="Times New Roman" w:hAnsi="Times New Roman" w:cs="Times New Roman"/>
          <w:sz w:val="24"/>
          <w:szCs w:val="24"/>
          <w:shd w:val="clear" w:color="auto" w:fill="FFFFFF"/>
        </w:rPr>
        <w:t>Zehir et al., 2015)</w:t>
      </w:r>
      <w:r>
        <w:rPr>
          <w:rFonts w:ascii="Times New Roman" w:hAnsi="Times New Roman" w:cs="Times New Roman"/>
          <w:sz w:val="24"/>
          <w:szCs w:val="24"/>
        </w:rPr>
        <w:t xml:space="preserve">. Therefore, the company should leverage technology and innovation to drive down costs and improve profitability. In addition, product differentiation does not guarantee revenue growth. This is shown by the fact that the company’s revenue growth rate has remained relatively stable over the last five years. The revenue has grown by an average of 1% between 2018 and 2021 (Yahoo finance, 2022). This means that the pursuance of the product differentiation strategy does not guarantee high sales volumes. The company should therefore develop and implement other innovative strategies to gain a sustainable competitive advantage. For example, the firm should focus on service innovation since personalised service is critical to gaining a loyal customer base (McKinsey &amp; Company, 2020).  </w:t>
      </w:r>
    </w:p>
    <w:p>
      <w:pPr>
        <w:pStyle w:val="2"/>
        <w:numPr>
          <w:ilvl w:val="0"/>
          <w:numId w:val="0"/>
        </w:numPr>
        <w:spacing w:line="480" w:lineRule="auto"/>
        <w:ind w:leftChars="0"/>
        <w:jc w:val="left"/>
        <w:rPr>
          <w:rFonts w:ascii="Times New Roman" w:hAnsi="Times New Roman" w:cs="Times New Roman"/>
          <w:color w:val="auto"/>
          <w:sz w:val="24"/>
          <w:szCs w:val="24"/>
        </w:rPr>
      </w:pPr>
    </w:p>
    <w:p>
      <w:pPr>
        <w:pStyle w:val="2"/>
        <w:numPr>
          <w:ilvl w:val="0"/>
          <w:numId w:val="0"/>
        </w:numPr>
        <w:spacing w:line="480" w:lineRule="auto"/>
        <w:ind w:leftChars="0"/>
        <w:jc w:val="left"/>
        <w:rPr>
          <w:rFonts w:ascii="Times New Roman" w:hAnsi="Times New Roman" w:cs="Times New Roman"/>
          <w:color w:val="auto"/>
          <w:sz w:val="24"/>
          <w:szCs w:val="24"/>
        </w:rPr>
      </w:pPr>
    </w:p>
    <w:p>
      <w:pPr>
        <w:pStyle w:val="2"/>
        <w:numPr>
          <w:ilvl w:val="0"/>
          <w:numId w:val="0"/>
        </w:numPr>
        <w:spacing w:line="480" w:lineRule="auto"/>
        <w:ind w:leftChars="0"/>
        <w:jc w:val="left"/>
        <w:rPr>
          <w:rFonts w:ascii="Times New Roman" w:hAnsi="Times New Roman" w:cs="Times New Roman"/>
          <w:color w:val="auto"/>
          <w:sz w:val="24"/>
          <w:szCs w:val="24"/>
        </w:rPr>
      </w:pPr>
    </w:p>
    <w:p>
      <w:pPr>
        <w:pStyle w:val="2"/>
        <w:numPr>
          <w:ilvl w:val="0"/>
          <w:numId w:val="0"/>
        </w:numPr>
        <w:spacing w:line="480" w:lineRule="auto"/>
        <w:ind w:leftChars="0"/>
        <w:jc w:val="left"/>
        <w:rPr>
          <w:rFonts w:ascii="Times New Roman" w:hAnsi="Times New Roman" w:cs="Times New Roman"/>
          <w:color w:val="auto"/>
          <w:sz w:val="24"/>
          <w:szCs w:val="24"/>
        </w:rPr>
      </w:pPr>
    </w:p>
    <w:p>
      <w:pPr>
        <w:pStyle w:val="2"/>
        <w:numPr>
          <w:ilvl w:val="0"/>
          <w:numId w:val="0"/>
        </w:numPr>
        <w:spacing w:line="480" w:lineRule="auto"/>
        <w:ind w:leftChars="0"/>
        <w:jc w:val="left"/>
        <w:rPr>
          <w:rFonts w:ascii="Times New Roman" w:hAnsi="Times New Roman" w:cs="Times New Roman"/>
          <w:color w:val="auto"/>
          <w:sz w:val="24"/>
          <w:szCs w:val="24"/>
        </w:rPr>
      </w:pPr>
    </w:p>
    <w:p>
      <w:pPr>
        <w:pStyle w:val="2"/>
        <w:numPr>
          <w:ilvl w:val="0"/>
          <w:numId w:val="0"/>
        </w:numPr>
        <w:spacing w:line="480" w:lineRule="auto"/>
        <w:ind w:leftChars="0"/>
        <w:jc w:val="left"/>
        <w:rPr>
          <w:rFonts w:ascii="Times New Roman" w:hAnsi="Times New Roman" w:cs="Times New Roman"/>
          <w:color w:val="auto"/>
          <w:sz w:val="24"/>
          <w:szCs w:val="24"/>
        </w:rPr>
      </w:pPr>
    </w:p>
    <w:p>
      <w:pPr>
        <w:pStyle w:val="2"/>
        <w:numPr>
          <w:ilvl w:val="0"/>
          <w:numId w:val="0"/>
        </w:numPr>
        <w:spacing w:line="480" w:lineRule="auto"/>
        <w:ind w:leftChars="0"/>
        <w:jc w:val="left"/>
        <w:rPr>
          <w:rFonts w:ascii="Times New Roman" w:hAnsi="Times New Roman" w:cs="Times New Roman"/>
          <w:color w:val="auto"/>
          <w:sz w:val="24"/>
          <w:szCs w:val="24"/>
        </w:rPr>
      </w:pPr>
    </w:p>
    <w:p>
      <w:pPr>
        <w:pStyle w:val="2"/>
        <w:numPr>
          <w:ilvl w:val="0"/>
          <w:numId w:val="0"/>
        </w:numPr>
        <w:spacing w:line="480" w:lineRule="auto"/>
        <w:ind w:leftChars="0"/>
        <w:jc w:val="left"/>
        <w:rPr>
          <w:rFonts w:ascii="Times New Roman" w:hAnsi="Times New Roman" w:cs="Times New Roman"/>
          <w:color w:val="auto"/>
          <w:sz w:val="24"/>
          <w:szCs w:val="24"/>
        </w:rPr>
      </w:pPr>
    </w:p>
    <w:p>
      <w:pPr>
        <w:spacing w:line="480" w:lineRule="auto"/>
        <w:ind w:firstLine="720"/>
        <w:rPr>
          <w:rFonts w:ascii="Times New Roman" w:hAnsi="Times New Roman" w:cs="Times New Roman"/>
          <w:sz w:val="24"/>
          <w:szCs w:val="24"/>
        </w:rPr>
      </w:pPr>
    </w:p>
    <w:p>
      <w:pPr>
        <w:pStyle w:val="2"/>
        <w:numPr>
          <w:ilvl w:val="0"/>
          <w:numId w:val="2"/>
        </w:numPr>
        <w:spacing w:line="480" w:lineRule="auto"/>
        <w:ind w:left="0" w:leftChars="0" w:firstLine="0" w:firstLineChars="0"/>
        <w:jc w:val="left"/>
        <w:rPr>
          <w:rFonts w:ascii="Times New Roman" w:hAnsi="Times New Roman" w:cs="Times New Roman"/>
          <w:sz w:val="24"/>
          <w:szCs w:val="24"/>
        </w:rPr>
      </w:pPr>
      <w:bookmarkStart w:id="11" w:name="_Toc15097"/>
      <w:r>
        <w:rPr>
          <w:rFonts w:ascii="Times New Roman" w:hAnsi="Times New Roman" w:cs="Times New Roman"/>
          <w:color w:val="auto"/>
          <w:sz w:val="24"/>
          <w:szCs w:val="24"/>
        </w:rPr>
        <w:t>Conclusions</w:t>
      </w:r>
      <w:bookmarkEnd w:id="11"/>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This report examined Unilever's strategic position in the FMCG industry. The key aim was to help the company reshape its strategy and gain a sustainable competitive advantage by delivering exceptional customer experience. The strategic analysis employed different strategic frameworks to understand the key opportunities, threats, weaknesses, and strengths of the company. For example, porter's five forces analysis was used to determine the level of competition in the FMCG industry. The results of the analysis showed that the FMCG industry presents various threats and opportunities to Unilever. For example, subdued economic growth in the UK represents a threat to Unilever's performance. Such a factor is likely to reduce consumer confidence and consequently reduce sales. However, increased acceptance of eCommerce and sustainability offers the company an opportunity to enhance its performance and reputation. The company must, however, integrate sustainability into its corporate strategy to succeed as a sustainable brand. The analysis also showed that technology is a major determinant of success. In particular, the company can leverage advanced technologies and innovations to streamline its operations and improve profit margins.</w:t>
      </w:r>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analysis porter's five forces analysis indicated that the FMCG industry is somewhat attractive. The industry is characterised by a low threat of substitution, low threat of new entry, moderate supplier power, high buyer power, and intense industry rivalry. The industry players compete aggressively due to the low switching costs and moderate industry growth rate. Unilever has been making money by suppressing buyer power. It does this by differentiating its products and offering a diverse product portfolio. However, product differentiation is not a sustainable strategy. This is because the strategy places a heavy burden on manufacturing and R&amp;D teams as well as profit margins. The review of Unilever's internal environment indicated that the company has several core competencies. These include a lean inbound logistics system that increases cost-effectiveness, efficiency, and standardisation. The core competencies and resources allow the company to build a strong position in the FMCG market. For example, the company is highly innovative in its product offerings. Such resources have been developed through heavy investment in research and innovation to deliver innovative products. For example, the company spends over €1 billion in R&amp;D to help identify opportunities, evolving science-based trends, and deliver strong growth. Such a capacity can allow the company to differentiate its products and services and compete effectively in the FMCG industry. However, most of the company's core competencies and resources are not rare. For example, a strong distribution network is not rare. The capacity can be imitated by competitor firms such as Procter and Gamble and Johnson and Johnson. Therefore, Unilever is unlikely to sustain its competitive position in the FMCG industry if it does not develop new and valuable core competencies and resources. Lastly, the analysis showed that Unilever relies heavily on the differentiation strategy. The strategy entails the development of products that stand out against the competition. The strategy enables the firm to develop unique products that align with customer needs. However, the company must continue investing in innovations to gain a sustainable competitive advantage.  </w:t>
      </w:r>
    </w:p>
    <w:p>
      <w:pPr>
        <w:pStyle w:val="2"/>
        <w:spacing w:line="480" w:lineRule="auto"/>
        <w:jc w:val="center"/>
        <w:rPr>
          <w:rFonts w:ascii="Times New Roman" w:hAnsi="Times New Roman" w:cs="Times New Roman"/>
          <w:color w:val="auto"/>
          <w:sz w:val="24"/>
          <w:szCs w:val="24"/>
        </w:rPr>
      </w:pPr>
    </w:p>
    <w:p>
      <w:pPr>
        <w:rPr>
          <w:rFonts w:ascii="Times New Roman" w:hAnsi="Times New Roman" w:cs="Times New Roman"/>
          <w:color w:val="auto"/>
          <w:sz w:val="24"/>
          <w:szCs w:val="24"/>
        </w:rPr>
      </w:pPr>
    </w:p>
    <w:p>
      <w:pPr>
        <w:rPr>
          <w:rFonts w:ascii="Times New Roman" w:hAnsi="Times New Roman" w:cs="Times New Roman"/>
          <w:color w:val="auto"/>
          <w:sz w:val="24"/>
          <w:szCs w:val="24"/>
        </w:rPr>
      </w:pPr>
    </w:p>
    <w:p>
      <w:pPr>
        <w:rPr>
          <w:rFonts w:ascii="Times New Roman" w:hAnsi="Times New Roman" w:cs="Times New Roman"/>
          <w:color w:val="auto"/>
          <w:sz w:val="24"/>
          <w:szCs w:val="24"/>
        </w:rPr>
      </w:pPr>
    </w:p>
    <w:p>
      <w:pPr>
        <w:rPr>
          <w:rFonts w:ascii="Times New Roman" w:hAnsi="Times New Roman" w:cs="Times New Roman"/>
          <w:color w:val="auto"/>
          <w:sz w:val="24"/>
          <w:szCs w:val="24"/>
        </w:rPr>
      </w:pPr>
    </w:p>
    <w:p>
      <w:pPr>
        <w:rPr>
          <w:rFonts w:ascii="Times New Roman" w:hAnsi="Times New Roman" w:cs="Times New Roman"/>
          <w:color w:val="auto"/>
          <w:sz w:val="24"/>
          <w:szCs w:val="24"/>
        </w:rPr>
      </w:pPr>
    </w:p>
    <w:p>
      <w:pPr>
        <w:spacing w:line="480" w:lineRule="auto"/>
        <w:ind w:firstLine="720"/>
        <w:rPr>
          <w:rFonts w:ascii="Times New Roman" w:hAnsi="Times New Roman" w:cs="Times New Roman"/>
          <w:sz w:val="24"/>
          <w:szCs w:val="24"/>
        </w:rPr>
      </w:pPr>
    </w:p>
    <w:p>
      <w:pPr>
        <w:numPr>
          <w:ilvl w:val="0"/>
          <w:numId w:val="2"/>
        </w:numPr>
        <w:spacing w:line="480" w:lineRule="auto"/>
        <w:ind w:left="0" w:leftChars="0" w:firstLine="0" w:firstLineChars="0"/>
        <w:rPr>
          <w:rFonts w:ascii="Times New Roman" w:hAnsi="Times New Roman" w:cs="Times New Roman"/>
          <w:b/>
          <w:bCs/>
          <w:sz w:val="24"/>
          <w:szCs w:val="24"/>
        </w:rPr>
      </w:pPr>
      <w:r>
        <w:rPr>
          <w:rFonts w:ascii="Times New Roman" w:hAnsi="Times New Roman" w:cs="Times New Roman"/>
          <w:b/>
          <w:bCs/>
          <w:color w:val="auto"/>
          <w:sz w:val="24"/>
          <w:szCs w:val="24"/>
        </w:rPr>
        <w:t>Recommendations</w:t>
      </w:r>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strategic analysis indicated that Unilever needs to create a sustainable competitive advantage. This is because its core resources and competencies are not rare. In addition, the company is facing strong buyer power in the FMCG industry. The company should focus on enhancing customer services to reduce buyer power and increase switching costs. In doing so, the firm needs to invest in advanced technologies and innovation. This is because technology helps streamline operations and reduce costs. Therefore, the company would be able to reduce operational costs and offer its products at low costs. This is critical to enhancing sales performance, especially at a time when economic growth is declining. However, technology is not limited to reducing costs. It can help the company enhance several aspects. For example, the use of predictive and prescriptive analytics can assist the company in identifying problems before they materialise. Such technologies can also recommend solutions to help the firm effectively address the identified issues. For example, prescriptive analytics allows firms to examine historical customer data and identify solutions to future customer issues. Therefore, Unilever should invest in advanced technologies to help predict and address customer issues before they occur. The company should, however, focus on developing its own technologies and innovations to gain a competitive advantage. This is because all firms have access to technologies such as big data, IoT, and predictive analytics, which are readily available. Developing in-house technologies and innovations would allow the firm an opportunity to keep competition at bay. The technologies would, however, need to be protected through a patent or copyright.  </w:t>
      </w:r>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McKinsey &amp; Company (2020) predict that hyper-personalised customer care will be a major determinant of success by 2025. Such a prediction is premised on the fact that customers remain loyal to brands that show care for them. In particular, nearly three out of five customers report that good customer service makes them commit to a brand (American, 2022). Therefore, the company should offer good customer service to increase customer loyalty and sales. In particular, the company should consider delivering hyper-personalised customer care. Such type of care requires the company to do more than what it has currently been doing. It needs to first understand its target customers. This is because the company can only deliver personalised care if it understands customer needs, pains, and concerns. The company should invest in technologies that aggregate customer data and provide insights from the data. For example, it should consider advanced CRM tools to assist in understanding customer behaviours, attributes, and past interactions. Such information would allow the company to engage more effectively with the target customers. Second, the company must consider reacting to the target customers before they need help. It should use data and analytics to ensure that its call centres can predict and provide opportunities that delight customers and pre-emptively address concerns based on personalised needs (McKinsey &amp; Company, 2020). Thirdly, the firm should consider delivering a seamless customer experience throughout the customer purchase journey. This would require the firm to focus on ensuring that the interaction with the target customers is started in one channel and picked up in the next. Therefore, the firm must ensure collaboration and alignment of customer care, operations, marketing, and product development functions (McKinsey &amp; Company, 2020). The firms should also implement real-time agent tools to eliminate the barriers that stand in the way of addressing customer issues. Real-time agents should be freed and motivated to show empathy and make decisions while interacting with customers. Put simply, Unilever should consider delivering hyper-personalised customer care to enhance its competitive position in the FMCG market. </w:t>
      </w:r>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Unilever should reimage its contact centre. It should do so by hiring top talent for the contact centre functions. This is because top talent is able to effectively handle customer issues. The company should first understand what skills, experiences, and knowledge is needed to deliver satisfactory customer service. It should then hire people and motivate top talent to ensure that the contact centre roles are effectively discharged. The main advantage of top talent is that it enhances an organisation's efficiency. This is because talented people are more productive and effective when compared to less talented people. Most importantly, the company should create an innovative workplace culture. Such culture includes recognising and rewarding innovative behaviours from employees. The main advantage of an innovative culture is that it allows firms to develop novel ideas and innovations that improve their competitive advantage. Therefore, creating and nurturing an innovative culture would provide Unilever with an opportunity to deliver innovative and differentiated products. In other words, an innovative culture would enable Unilever to stand out through differentiation. Overall, Unilever should enhance its competitive position by leveraging technology and innovation. The company should also hire top talent and deliver hyper-personalised customer care to stand out from the competition. </w:t>
      </w:r>
    </w:p>
    <w:p>
      <w:pPr>
        <w:spacing w:line="480" w:lineRule="auto"/>
        <w:rPr>
          <w:rFonts w:ascii="Times New Roman" w:hAnsi="Times New Roman" w:cs="Times New Roman"/>
          <w:sz w:val="24"/>
          <w:szCs w:val="24"/>
        </w:rPr>
      </w:pPr>
    </w:p>
    <w:p>
      <w:pPr>
        <w:spacing w:line="480" w:lineRule="auto"/>
        <w:rPr>
          <w:rFonts w:ascii="Times New Roman" w:hAnsi="Times New Roman" w:cs="Times New Roman"/>
          <w:sz w:val="24"/>
          <w:szCs w:val="24"/>
        </w:rPr>
        <w:sectPr>
          <w:pgSz w:w="12240" w:h="15840"/>
          <w:pgMar w:top="1440" w:right="1440" w:bottom="1440" w:left="1440" w:header="720" w:footer="720" w:gutter="0"/>
          <w:cols w:space="720" w:num="1"/>
          <w:docGrid w:linePitch="360" w:charSpace="0"/>
        </w:sectPr>
      </w:pPr>
    </w:p>
    <w:p>
      <w:pPr>
        <w:pStyle w:val="2"/>
        <w:spacing w:line="480" w:lineRule="auto"/>
        <w:jc w:val="center"/>
        <w:rPr>
          <w:rFonts w:ascii="Times New Roman" w:hAnsi="Times New Roman" w:cs="Times New Roman"/>
          <w:color w:val="auto"/>
          <w:sz w:val="24"/>
          <w:szCs w:val="24"/>
        </w:rPr>
      </w:pPr>
      <w:bookmarkStart w:id="12" w:name="_Toc9221"/>
      <w:r>
        <w:rPr>
          <w:rFonts w:ascii="Times New Roman" w:hAnsi="Times New Roman" w:cs="Times New Roman"/>
          <w:color w:val="auto"/>
          <w:sz w:val="24"/>
          <w:szCs w:val="24"/>
        </w:rPr>
        <w:t>References</w:t>
      </w:r>
      <w:bookmarkEnd w:id="12"/>
    </w:p>
    <w:p>
      <w:pPr>
        <w:keepNext w:val="0"/>
        <w:keepLines w:val="0"/>
        <w:pageBreakBefore w:val="0"/>
        <w:widowControl/>
        <w:kinsoku/>
        <w:wordWrap w:val="0"/>
        <w:overflowPunct/>
        <w:topLinePunct w:val="0"/>
        <w:autoSpaceDE/>
        <w:autoSpaceDN/>
        <w:bidi w:val="0"/>
        <w:adjustRightInd/>
        <w:snapToGrid/>
        <w:spacing w:line="480" w:lineRule="auto"/>
        <w:jc w:val="left"/>
        <w:textAlignment w:val="auto"/>
        <w:rPr>
          <w:rFonts w:hint="default" w:ascii="Times New Roman" w:hAnsi="Times New Roman" w:eastAsia="宋体" w:cs="Times New Roman"/>
          <w:sz w:val="24"/>
          <w:szCs w:val="24"/>
          <w:lang w:val="en-US" w:eastAsia="zh-CN"/>
        </w:rPr>
      </w:pPr>
      <w:r>
        <w:rPr>
          <w:rFonts w:ascii="Times New Roman" w:hAnsi="Times New Roman" w:cs="Times New Roman"/>
          <w:sz w:val="24"/>
          <w:szCs w:val="24"/>
        </w:rPr>
        <w:t xml:space="preserve">Allied Market Research </w:t>
      </w:r>
      <w:r>
        <w:rPr>
          <w:rFonts w:hint="eastAsia" w:ascii="Times New Roman" w:hAnsi="Times New Roman" w:eastAsia="宋体" w:cs="Times New Roman"/>
          <w:sz w:val="24"/>
          <w:szCs w:val="24"/>
          <w:lang w:val="en-US" w:eastAsia="zh-CN"/>
        </w:rPr>
        <w:t>(</w:t>
      </w:r>
      <w:r>
        <w:rPr>
          <w:rFonts w:ascii="Times New Roman" w:hAnsi="Times New Roman" w:cs="Times New Roman"/>
          <w:sz w:val="24"/>
          <w:szCs w:val="24"/>
        </w:rPr>
        <w:t>2022</w:t>
      </w:r>
      <w:r>
        <w:rPr>
          <w:rFonts w:hint="eastAsia" w:ascii="Times New Roman" w:hAnsi="Times New Roman" w:eastAsia="宋体" w:cs="Times New Roman"/>
          <w:sz w:val="24"/>
          <w:szCs w:val="24"/>
          <w:lang w:val="en-US" w:eastAsia="zh-CN"/>
        </w:rPr>
        <w:t xml:space="preserve">) </w:t>
      </w:r>
      <w:r>
        <w:rPr>
          <w:rFonts w:ascii="Times New Roman" w:hAnsi="Times New Roman" w:cs="Times New Roman"/>
          <w:i/>
          <w:iCs/>
          <w:sz w:val="24"/>
          <w:szCs w:val="24"/>
        </w:rPr>
        <w:t>FMCG industry.</w:t>
      </w:r>
      <w:r>
        <w:rPr>
          <w:rFonts w:ascii="Times New Roman" w:hAnsi="Times New Roman" w:cs="Times New Roman"/>
          <w:sz w:val="24"/>
          <w:szCs w:val="24"/>
        </w:rPr>
        <w:t xml:space="preserve"> </w:t>
      </w:r>
      <w:r>
        <w:rPr>
          <w:rFonts w:hint="eastAsia" w:ascii="Times New Roman" w:hAnsi="Times New Roman" w:eastAsia="宋体" w:cs="Times New Roman"/>
          <w:sz w:val="24"/>
          <w:szCs w:val="24"/>
          <w:lang w:val="en-US" w:eastAsia="zh-CN"/>
        </w:rPr>
        <w:t>Available at:</w:t>
      </w:r>
      <w:r>
        <w:fldChar w:fldCharType="begin"/>
      </w:r>
      <w:r>
        <w:instrText xml:space="preserve"> HYPERLINK "https://www.alliedmarketresearch.com/fmcg-market" </w:instrText>
      </w:r>
      <w:r>
        <w:fldChar w:fldCharType="separate"/>
      </w:r>
      <w:r>
        <w:rPr>
          <w:rStyle w:val="15"/>
          <w:rFonts w:ascii="Times New Roman" w:hAnsi="Times New Roman" w:cs="Times New Roman"/>
          <w:color w:val="auto"/>
          <w:sz w:val="24"/>
          <w:szCs w:val="24"/>
          <w:u w:val="none"/>
        </w:rPr>
        <w:t>https://www.alliedmarketresearch.com/fmcg-market</w:t>
      </w:r>
      <w:r>
        <w:rPr>
          <w:rStyle w:val="15"/>
          <w:rFonts w:ascii="Times New Roman" w:hAnsi="Times New Roman" w:cs="Times New Roman"/>
          <w:color w:val="auto"/>
          <w:sz w:val="24"/>
          <w:szCs w:val="24"/>
          <w:u w:val="none"/>
        </w:rPr>
        <w:fldChar w:fldCharType="end"/>
      </w:r>
      <w:r>
        <w:rPr>
          <w:rFonts w:ascii="Times New Roman" w:hAnsi="Times New Roman" w:cs="Times New Roman"/>
          <w:sz w:val="24"/>
          <w:szCs w:val="24"/>
        </w:rPr>
        <w:t xml:space="preserve"> </w:t>
      </w:r>
      <w:r>
        <w:rPr>
          <w:rFonts w:hint="eastAsia" w:ascii="Times New Roman" w:hAnsi="Times New Roman" w:eastAsia="宋体" w:cs="Times New Roman"/>
          <w:sz w:val="24"/>
          <w:szCs w:val="24"/>
          <w:lang w:val="en-US" w:eastAsia="zh-CN"/>
        </w:rPr>
        <w:t>(A</w:t>
      </w:r>
      <w:r>
        <w:rPr>
          <w:rFonts w:ascii="Times New Roman" w:hAnsi="Times New Roman" w:cs="Times New Roman"/>
          <w:sz w:val="24"/>
          <w:szCs w:val="24"/>
        </w:rPr>
        <w:t xml:space="preserve">ccessed: </w:t>
      </w:r>
      <w:r>
        <w:rPr>
          <w:rFonts w:hint="eastAsia" w:ascii="Times New Roman" w:hAnsi="Times New Roman" w:eastAsia="宋体" w:cs="Times New Roman"/>
          <w:sz w:val="24"/>
          <w:szCs w:val="24"/>
          <w:lang w:val="en-US" w:eastAsia="zh-CN"/>
        </w:rPr>
        <w:t xml:space="preserve">16 </w:t>
      </w:r>
      <w:r>
        <w:rPr>
          <w:rFonts w:ascii="Times New Roman" w:hAnsi="Times New Roman" w:cs="Times New Roman"/>
          <w:sz w:val="24"/>
          <w:szCs w:val="24"/>
        </w:rPr>
        <w:t>November</w:t>
      </w:r>
      <w:r>
        <w:rPr>
          <w:rFonts w:hint="eastAsia" w:ascii="Times New Roman" w:hAnsi="Times New Roman" w:eastAsia="宋体" w:cs="Times New Roman"/>
          <w:sz w:val="24"/>
          <w:szCs w:val="24"/>
          <w:lang w:val="en-US" w:eastAsia="zh-CN"/>
        </w:rPr>
        <w:t xml:space="preserve"> </w:t>
      </w:r>
      <w:r>
        <w:rPr>
          <w:rFonts w:ascii="Times New Roman" w:hAnsi="Times New Roman" w:cs="Times New Roman"/>
          <w:sz w:val="24"/>
          <w:szCs w:val="24"/>
        </w:rPr>
        <w:t>2022</w:t>
      </w:r>
      <w:r>
        <w:rPr>
          <w:rFonts w:hint="eastAsia" w:ascii="Times New Roman" w:hAnsi="Times New Roman" w:eastAsia="宋体" w:cs="Times New Roman"/>
          <w:sz w:val="24"/>
          <w:szCs w:val="24"/>
          <w:lang w:val="en-US" w:eastAsia="zh-CN"/>
        </w:rPr>
        <w:t>).</w:t>
      </w:r>
    </w:p>
    <w:p>
      <w:pPr>
        <w:keepNext w:val="0"/>
        <w:keepLines w:val="0"/>
        <w:pageBreakBefore w:val="0"/>
        <w:widowControl/>
        <w:kinsoku/>
        <w:wordWrap w:val="0"/>
        <w:overflowPunct/>
        <w:topLinePunct w:val="0"/>
        <w:autoSpaceDE/>
        <w:autoSpaceDN/>
        <w:bidi w:val="0"/>
        <w:adjustRightInd/>
        <w:snapToGrid/>
        <w:spacing w:line="480" w:lineRule="auto"/>
        <w:ind w:left="0" w:leftChars="0" w:firstLine="0" w:firstLineChars="0"/>
        <w:jc w:val="left"/>
        <w:textAlignment w:val="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Alvarez, S.A. and Barney, J.B.</w:t>
      </w:r>
      <w:r>
        <w:rPr>
          <w:rFonts w:hint="eastAsia" w:ascii="Times New Roman" w:hAnsi="Times New Roman" w:eastAsia="宋体" w:cs="Times New Roman"/>
          <w:sz w:val="24"/>
          <w:szCs w:val="24"/>
          <w:shd w:val="clear" w:color="auto" w:fill="FFFFFF"/>
          <w:lang w:val="en-US" w:eastAsia="zh-CN"/>
        </w:rPr>
        <w:t>(</w:t>
      </w:r>
      <w:r>
        <w:rPr>
          <w:rFonts w:ascii="Times New Roman" w:hAnsi="Times New Roman" w:cs="Times New Roman"/>
          <w:sz w:val="24"/>
          <w:szCs w:val="24"/>
          <w:shd w:val="clear" w:color="auto" w:fill="FFFFFF"/>
        </w:rPr>
        <w:t>2017</w:t>
      </w:r>
      <w:r>
        <w:rPr>
          <w:rFonts w:hint="eastAsia" w:ascii="Times New Roman" w:hAnsi="Times New Roman" w:eastAsia="宋体" w:cs="Times New Roman"/>
          <w:sz w:val="24"/>
          <w:szCs w:val="24"/>
          <w:shd w:val="clear" w:color="auto" w:fill="FFFFFF"/>
          <w:lang w:val="en-US" w:eastAsia="zh-CN"/>
        </w:rPr>
        <w:t xml:space="preserve">) </w:t>
      </w:r>
      <w:r>
        <w:rPr>
          <w:rFonts w:ascii="Times New Roman" w:hAnsi="Times New Roman" w:cs="Times New Roman"/>
          <w:sz w:val="24"/>
          <w:szCs w:val="24"/>
          <w:shd w:val="clear" w:color="auto" w:fill="FFFFFF"/>
        </w:rPr>
        <w:t xml:space="preserve"> Resource‐based theory and the entrepreneurial firm. </w:t>
      </w:r>
      <w:r>
        <w:rPr>
          <w:rFonts w:ascii="Times New Roman" w:hAnsi="Times New Roman" w:cs="Times New Roman"/>
          <w:i/>
          <w:iCs/>
          <w:sz w:val="24"/>
          <w:szCs w:val="24"/>
          <w:shd w:val="clear" w:color="auto" w:fill="FFFFFF"/>
        </w:rPr>
        <w:t>Strategic entrepreneurship: Creating a new mindset</w:t>
      </w:r>
      <w:r>
        <w:rPr>
          <w:rFonts w:ascii="Times New Roman" w:hAnsi="Times New Roman" w:cs="Times New Roman"/>
          <w:sz w:val="24"/>
          <w:szCs w:val="24"/>
          <w:shd w:val="clear" w:color="auto" w:fill="FFFFFF"/>
        </w:rPr>
        <w:t>, pp.87-105.</w:t>
      </w:r>
    </w:p>
    <w:p>
      <w:pPr>
        <w:keepNext w:val="0"/>
        <w:keepLines w:val="0"/>
        <w:pageBreakBefore w:val="0"/>
        <w:widowControl/>
        <w:kinsoku/>
        <w:wordWrap w:val="0"/>
        <w:overflowPunct/>
        <w:topLinePunct w:val="0"/>
        <w:autoSpaceDE/>
        <w:autoSpaceDN/>
        <w:bidi w:val="0"/>
        <w:adjustRightInd/>
        <w:snapToGrid/>
        <w:spacing w:line="480" w:lineRule="auto"/>
        <w:jc w:val="left"/>
        <w:textAlignment w:val="auto"/>
        <w:rPr>
          <w:rFonts w:hint="eastAsia" w:ascii="Times New Roman" w:hAnsi="Times New Roman" w:eastAsia="宋体" w:cs="Times New Roman"/>
          <w:sz w:val="24"/>
          <w:szCs w:val="24"/>
          <w:lang w:val="en-US" w:eastAsia="zh-CN"/>
        </w:rPr>
      </w:pPr>
      <w:r>
        <w:rPr>
          <w:rFonts w:ascii="Times New Roman" w:hAnsi="Times New Roman" w:cs="Times New Roman"/>
          <w:sz w:val="24"/>
          <w:szCs w:val="24"/>
        </w:rPr>
        <w:t>American, S.</w:t>
      </w:r>
      <w:r>
        <w:rPr>
          <w:rFonts w:hint="eastAsia" w:ascii="Times New Roman" w:hAnsi="Times New Roman" w:eastAsia="宋体" w:cs="Times New Roman"/>
          <w:sz w:val="24"/>
          <w:szCs w:val="24"/>
          <w:lang w:val="en-US" w:eastAsia="zh-CN"/>
        </w:rPr>
        <w:t xml:space="preserve"> (</w:t>
      </w:r>
      <w:r>
        <w:rPr>
          <w:rFonts w:ascii="Times New Roman" w:hAnsi="Times New Roman" w:cs="Times New Roman"/>
          <w:sz w:val="24"/>
          <w:szCs w:val="24"/>
        </w:rPr>
        <w:t>2022</w:t>
      </w:r>
      <w:r>
        <w:rPr>
          <w:rFonts w:hint="eastAsia" w:ascii="Times New Roman" w:hAnsi="Times New Roman" w:eastAsia="宋体" w:cs="Times New Roman"/>
          <w:sz w:val="24"/>
          <w:szCs w:val="24"/>
          <w:lang w:val="en-US" w:eastAsia="zh-CN"/>
        </w:rPr>
        <w:t>)</w:t>
      </w:r>
      <w:r>
        <w:rPr>
          <w:rFonts w:ascii="Times New Roman" w:hAnsi="Times New Roman" w:cs="Times New Roman"/>
          <w:sz w:val="24"/>
          <w:szCs w:val="24"/>
        </w:rPr>
        <w:t xml:space="preserve"> </w:t>
      </w:r>
      <w:r>
        <w:rPr>
          <w:rFonts w:ascii="Times New Roman" w:hAnsi="Times New Roman" w:cs="Times New Roman"/>
          <w:i/>
          <w:iCs/>
          <w:sz w:val="24"/>
          <w:szCs w:val="24"/>
        </w:rPr>
        <w:t>Why Customer Service is Important: 16 Data-Backed Facts to</w:t>
      </w:r>
      <w:r>
        <w:rPr>
          <w:rFonts w:hint="eastAsia" w:ascii="Times New Roman" w:hAnsi="Times New Roman" w:eastAsia="宋体" w:cs="Times New Roman"/>
          <w:i/>
          <w:iCs/>
          <w:sz w:val="24"/>
          <w:szCs w:val="24"/>
          <w:lang w:val="en-US" w:eastAsia="zh-CN"/>
        </w:rPr>
        <w:t xml:space="preserve"> </w:t>
      </w:r>
      <w:r>
        <w:rPr>
          <w:rFonts w:ascii="Times New Roman" w:hAnsi="Times New Roman" w:cs="Times New Roman"/>
          <w:i/>
          <w:iCs/>
          <w:sz w:val="24"/>
          <w:szCs w:val="24"/>
        </w:rPr>
        <w:t>Know.</w:t>
      </w:r>
      <w:r>
        <w:rPr>
          <w:rFonts w:hint="eastAsia" w:ascii="Times New Roman" w:hAnsi="Times New Roman" w:eastAsia="宋体" w:cs="Times New Roman"/>
          <w:sz w:val="24"/>
          <w:szCs w:val="24"/>
          <w:lang w:val="en-US" w:eastAsia="zh-CN"/>
        </w:rPr>
        <w:t>Available at:</w:t>
      </w:r>
      <w:r>
        <w:fldChar w:fldCharType="begin"/>
      </w:r>
      <w:r>
        <w:instrText xml:space="preserve"> HYPERLINK "https://blog.hubspot.com/service/importance-customer-service" \l ":~:text=They%20are%20responsible%20for%20representing,return%20and%20make%20another%20purchase" </w:instrText>
      </w:r>
      <w:r>
        <w:fldChar w:fldCharType="separate"/>
      </w:r>
      <w:r>
        <w:rPr>
          <w:rStyle w:val="15"/>
          <w:rFonts w:ascii="Times New Roman" w:hAnsi="Times New Roman" w:cs="Times New Roman"/>
          <w:color w:val="auto"/>
          <w:sz w:val="24"/>
          <w:szCs w:val="24"/>
          <w:u w:val="none"/>
        </w:rPr>
        <w:t>https://blog.hubspot.com/service/importance-customer-service#:~:text=They%20are%20responsible%20for%20representing,return%20and%20make%20another%20purchase</w:t>
      </w:r>
      <w:r>
        <w:rPr>
          <w:rStyle w:val="15"/>
          <w:rFonts w:ascii="Times New Roman" w:hAnsi="Times New Roman" w:cs="Times New Roman"/>
          <w:color w:val="auto"/>
          <w:sz w:val="24"/>
          <w:szCs w:val="24"/>
          <w:u w:val="none"/>
        </w:rPr>
        <w:fldChar w:fldCharType="end"/>
      </w:r>
      <w:r>
        <w:rPr>
          <w:rStyle w:val="15"/>
          <w:rFonts w:hint="eastAsia" w:ascii="Times New Roman" w:hAnsi="Times New Roman" w:eastAsia="宋体" w:cs="Times New Roman"/>
          <w:color w:val="auto"/>
          <w:sz w:val="24"/>
          <w:szCs w:val="24"/>
          <w:u w:val="none"/>
          <w:lang w:val="en-US" w:eastAsia="zh-CN"/>
        </w:rPr>
        <w:t>/</w:t>
      </w:r>
      <w:r>
        <w:rPr>
          <w:rFonts w:hint="eastAsia" w:ascii="Times New Roman" w:hAnsi="Times New Roman" w:eastAsia="宋体" w:cs="Times New Roman"/>
          <w:sz w:val="24"/>
          <w:szCs w:val="24"/>
          <w:lang w:val="en-US" w:eastAsia="zh-CN"/>
        </w:rPr>
        <w:t>(A</w:t>
      </w:r>
      <w:r>
        <w:rPr>
          <w:rFonts w:ascii="Times New Roman" w:hAnsi="Times New Roman" w:cs="Times New Roman"/>
          <w:sz w:val="24"/>
          <w:szCs w:val="24"/>
        </w:rPr>
        <w:t xml:space="preserve">ccessed: </w:t>
      </w:r>
      <w:r>
        <w:rPr>
          <w:rFonts w:hint="eastAsia" w:ascii="Times New Roman" w:hAnsi="Times New Roman" w:eastAsia="宋体" w:cs="Times New Roman"/>
          <w:sz w:val="24"/>
          <w:szCs w:val="24"/>
          <w:lang w:val="en-US" w:eastAsia="zh-CN"/>
        </w:rPr>
        <w:t xml:space="preserve">18 </w:t>
      </w:r>
      <w:r>
        <w:rPr>
          <w:rFonts w:ascii="Times New Roman" w:hAnsi="Times New Roman" w:cs="Times New Roman"/>
          <w:sz w:val="24"/>
          <w:szCs w:val="24"/>
        </w:rPr>
        <w:t>November</w:t>
      </w:r>
      <w:r>
        <w:rPr>
          <w:rFonts w:hint="eastAsia" w:ascii="Times New Roman" w:hAnsi="Times New Roman" w:eastAsia="宋体" w:cs="Times New Roman"/>
          <w:sz w:val="24"/>
          <w:szCs w:val="24"/>
          <w:lang w:val="en-US" w:eastAsia="zh-CN"/>
        </w:rPr>
        <w:t xml:space="preserve"> </w:t>
      </w:r>
      <w:r>
        <w:rPr>
          <w:rFonts w:ascii="Times New Roman" w:hAnsi="Times New Roman" w:cs="Times New Roman"/>
          <w:sz w:val="24"/>
          <w:szCs w:val="24"/>
        </w:rPr>
        <w:t>2022</w:t>
      </w:r>
      <w:r>
        <w:rPr>
          <w:rFonts w:hint="eastAsia" w:ascii="Times New Roman" w:hAnsi="Times New Roman" w:eastAsia="宋体" w:cs="Times New Roman"/>
          <w:sz w:val="24"/>
          <w:szCs w:val="24"/>
          <w:lang w:val="en-US" w:eastAsia="zh-CN"/>
        </w:rPr>
        <w:t>).</w:t>
      </w:r>
    </w:p>
    <w:p>
      <w:pPr>
        <w:keepNext w:val="0"/>
        <w:keepLines w:val="0"/>
        <w:pageBreakBefore w:val="0"/>
        <w:widowControl/>
        <w:kinsoku/>
        <w:wordWrap w:val="0"/>
        <w:overflowPunct/>
        <w:topLinePunct w:val="0"/>
        <w:autoSpaceDE/>
        <w:autoSpaceDN/>
        <w:bidi w:val="0"/>
        <w:adjustRightInd/>
        <w:snapToGrid/>
        <w:spacing w:line="480" w:lineRule="auto"/>
        <w:jc w:val="left"/>
        <w:textAlignment w:val="auto"/>
        <w:rPr>
          <w:rFonts w:ascii="Times New Roman" w:hAnsi="Times New Roman" w:cs="Times New Roman"/>
          <w:sz w:val="24"/>
          <w:szCs w:val="24"/>
        </w:rPr>
      </w:pPr>
      <w:r>
        <w:rPr>
          <w:rFonts w:ascii="Times New Roman" w:hAnsi="Times New Roman" w:cs="Times New Roman"/>
          <w:sz w:val="24"/>
          <w:szCs w:val="24"/>
          <w:shd w:val="clear" w:color="auto" w:fill="FFFFFF"/>
        </w:rPr>
        <w:t>Block, J.H., Kohn, K., Miller, D. and Ullrich, K.</w:t>
      </w:r>
      <w:r>
        <w:rPr>
          <w:rFonts w:hint="eastAsia" w:ascii="Times New Roman" w:hAnsi="Times New Roman" w:eastAsia="宋体" w:cs="Times New Roman"/>
          <w:sz w:val="24"/>
          <w:szCs w:val="24"/>
          <w:shd w:val="clear" w:color="auto" w:fill="FFFFFF"/>
          <w:lang w:val="en-US" w:eastAsia="zh-CN"/>
        </w:rPr>
        <w:t>(</w:t>
      </w:r>
      <w:r>
        <w:rPr>
          <w:rFonts w:ascii="Times New Roman" w:hAnsi="Times New Roman" w:cs="Times New Roman"/>
          <w:sz w:val="24"/>
          <w:szCs w:val="24"/>
          <w:shd w:val="clear" w:color="auto" w:fill="FFFFFF"/>
        </w:rPr>
        <w:t>2015</w:t>
      </w:r>
      <w:r>
        <w:rPr>
          <w:rFonts w:hint="eastAsia" w:ascii="Times New Roman" w:hAnsi="Times New Roman" w:eastAsia="宋体" w:cs="Times New Roman"/>
          <w:sz w:val="24"/>
          <w:szCs w:val="24"/>
          <w:shd w:val="clear" w:color="auto" w:fill="FFFFFF"/>
          <w:lang w:val="en-US" w:eastAsia="zh-CN"/>
        </w:rPr>
        <w:t>)</w:t>
      </w:r>
      <w:r>
        <w:rPr>
          <w:rFonts w:ascii="Times New Roman" w:hAnsi="Times New Roman" w:cs="Times New Roman"/>
          <w:sz w:val="24"/>
          <w:szCs w:val="24"/>
          <w:shd w:val="clear" w:color="auto" w:fill="FFFFFF"/>
        </w:rPr>
        <w:t xml:space="preserve"> </w:t>
      </w:r>
      <w:r>
        <w:rPr>
          <w:rFonts w:hint="eastAsia" w:ascii="Times New Roman" w:hAnsi="Times New Roman" w:eastAsia="宋体" w:cs="Times New Roman"/>
          <w:sz w:val="24"/>
          <w:szCs w:val="24"/>
          <w:shd w:val="clear" w:color="auto" w:fill="FFFFFF"/>
          <w:lang w:val="en-US" w:eastAsia="zh-CN"/>
        </w:rPr>
        <w:t xml:space="preserve"> </w:t>
      </w:r>
      <w:r>
        <w:rPr>
          <w:rFonts w:ascii="Times New Roman" w:hAnsi="Times New Roman" w:cs="Times New Roman"/>
          <w:sz w:val="24"/>
          <w:szCs w:val="24"/>
          <w:shd w:val="clear" w:color="auto" w:fill="FFFFFF"/>
        </w:rPr>
        <w:t>Necessity entrepreneurship and competitive strategy. </w:t>
      </w:r>
      <w:r>
        <w:rPr>
          <w:rFonts w:ascii="Times New Roman" w:hAnsi="Times New Roman" w:cs="Times New Roman"/>
          <w:i/>
          <w:iCs/>
          <w:sz w:val="24"/>
          <w:szCs w:val="24"/>
          <w:shd w:val="clear" w:color="auto" w:fill="FFFFFF"/>
        </w:rPr>
        <w:t>Small Business Economics</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44</w:t>
      </w:r>
      <w:r>
        <w:rPr>
          <w:rFonts w:ascii="Times New Roman" w:hAnsi="Times New Roman" w:cs="Times New Roman"/>
          <w:sz w:val="24"/>
          <w:szCs w:val="24"/>
          <w:shd w:val="clear" w:color="auto" w:fill="FFFFFF"/>
        </w:rPr>
        <w:t>(1), pp.37-54.</w:t>
      </w:r>
    </w:p>
    <w:p>
      <w:pPr>
        <w:keepNext w:val="0"/>
        <w:keepLines w:val="0"/>
        <w:pageBreakBefore w:val="0"/>
        <w:widowControl/>
        <w:kinsoku/>
        <w:wordWrap w:val="0"/>
        <w:overflowPunct/>
        <w:topLinePunct w:val="0"/>
        <w:autoSpaceDE/>
        <w:autoSpaceDN/>
        <w:bidi w:val="0"/>
        <w:adjustRightInd/>
        <w:snapToGrid/>
        <w:spacing w:line="480" w:lineRule="auto"/>
        <w:jc w:val="left"/>
        <w:textAlignment w:val="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Bruijl, D. and Gerard, H.T.</w:t>
      </w:r>
      <w:r>
        <w:rPr>
          <w:rFonts w:hint="eastAsia" w:ascii="Times New Roman" w:hAnsi="Times New Roman" w:eastAsia="宋体" w:cs="Times New Roman"/>
          <w:sz w:val="24"/>
          <w:szCs w:val="24"/>
          <w:shd w:val="clear" w:color="auto" w:fill="FFFFFF"/>
          <w:lang w:val="en-US" w:eastAsia="zh-CN"/>
        </w:rPr>
        <w:t>(</w:t>
      </w:r>
      <w:r>
        <w:rPr>
          <w:rFonts w:ascii="Times New Roman" w:hAnsi="Times New Roman" w:cs="Times New Roman"/>
          <w:sz w:val="24"/>
          <w:szCs w:val="24"/>
          <w:shd w:val="clear" w:color="auto" w:fill="FFFFFF"/>
        </w:rPr>
        <w:t>2018</w:t>
      </w:r>
      <w:r>
        <w:rPr>
          <w:rFonts w:hint="eastAsia" w:ascii="Times New Roman" w:hAnsi="Times New Roman" w:eastAsia="宋体" w:cs="Times New Roman"/>
          <w:sz w:val="24"/>
          <w:szCs w:val="24"/>
          <w:shd w:val="clear" w:color="auto" w:fill="FFFFFF"/>
          <w:lang w:val="en-US" w:eastAsia="zh-CN"/>
        </w:rPr>
        <w:t>)</w:t>
      </w:r>
      <w:r>
        <w:rPr>
          <w:rFonts w:ascii="Times New Roman" w:hAnsi="Times New Roman" w:cs="Times New Roman"/>
          <w:sz w:val="24"/>
          <w:szCs w:val="24"/>
          <w:shd w:val="clear" w:color="auto" w:fill="FFFFFF"/>
        </w:rPr>
        <w:t xml:space="preserve"> The relevance of Porter's five forces in today's innovative and changing business environment. </w:t>
      </w:r>
      <w:r>
        <w:rPr>
          <w:rFonts w:ascii="Times New Roman" w:hAnsi="Times New Roman" w:cs="Times New Roman"/>
          <w:i/>
          <w:iCs/>
          <w:sz w:val="24"/>
          <w:szCs w:val="24"/>
          <w:shd w:val="clear" w:color="auto" w:fill="FFFFFF"/>
        </w:rPr>
        <w:t>Available at SSRN 3192207</w:t>
      </w:r>
      <w:r>
        <w:rPr>
          <w:rFonts w:ascii="Times New Roman" w:hAnsi="Times New Roman" w:cs="Times New Roman"/>
          <w:sz w:val="24"/>
          <w:szCs w:val="24"/>
          <w:shd w:val="clear" w:color="auto" w:fill="FFFFFF"/>
        </w:rPr>
        <w:t>.</w:t>
      </w:r>
    </w:p>
    <w:p>
      <w:pPr>
        <w:keepNext w:val="0"/>
        <w:keepLines w:val="0"/>
        <w:pageBreakBefore w:val="0"/>
        <w:widowControl/>
        <w:kinsoku/>
        <w:wordWrap w:val="0"/>
        <w:overflowPunct/>
        <w:topLinePunct w:val="0"/>
        <w:autoSpaceDE/>
        <w:autoSpaceDN/>
        <w:bidi w:val="0"/>
        <w:adjustRightInd/>
        <w:snapToGrid/>
        <w:spacing w:line="480" w:lineRule="auto"/>
        <w:jc w:val="left"/>
        <w:textAlignment w:val="auto"/>
        <w:rPr>
          <w:rFonts w:ascii="Times New Roman" w:hAnsi="Times New Roman" w:cs="Times New Roman"/>
          <w:sz w:val="24"/>
          <w:szCs w:val="24"/>
        </w:rPr>
      </w:pPr>
      <w:r>
        <w:rPr>
          <w:rFonts w:ascii="Times New Roman" w:hAnsi="Times New Roman" w:cs="Times New Roman"/>
          <w:sz w:val="24"/>
          <w:szCs w:val="24"/>
        </w:rPr>
        <w:t>Business Wire</w:t>
      </w:r>
      <w:r>
        <w:rPr>
          <w:rFonts w:hint="eastAsia" w:ascii="Times New Roman" w:hAnsi="Times New Roman" w:eastAsia="宋体" w:cs="Times New Roman"/>
          <w:sz w:val="24"/>
          <w:szCs w:val="24"/>
          <w:lang w:val="en-US" w:eastAsia="zh-CN"/>
        </w:rPr>
        <w:t xml:space="preserve"> (</w:t>
      </w:r>
      <w:r>
        <w:rPr>
          <w:rFonts w:ascii="Times New Roman" w:hAnsi="Times New Roman" w:cs="Times New Roman"/>
          <w:sz w:val="24"/>
          <w:szCs w:val="24"/>
        </w:rPr>
        <w:t>2021</w:t>
      </w:r>
      <w:r>
        <w:rPr>
          <w:rFonts w:hint="eastAsia" w:ascii="Times New Roman" w:hAnsi="Times New Roman" w:eastAsia="宋体" w:cs="Times New Roman"/>
          <w:sz w:val="24"/>
          <w:szCs w:val="24"/>
          <w:lang w:val="en-US" w:eastAsia="zh-CN"/>
        </w:rPr>
        <w:t xml:space="preserve">) </w:t>
      </w:r>
      <w:r>
        <w:rPr>
          <w:rFonts w:ascii="Times New Roman" w:hAnsi="Times New Roman" w:cs="Times New Roman"/>
          <w:i/>
          <w:iCs/>
          <w:sz w:val="24"/>
          <w:szCs w:val="24"/>
        </w:rPr>
        <w:t>Recent Study Reveals More Than a Third of Global Consumers Are Willing to Pay More for Sustainability as Demand Grows for Environmentally-Friendly Alternatives.</w:t>
      </w:r>
      <w:r>
        <w:rPr>
          <w:rFonts w:hint="eastAsia" w:ascii="Times New Roman" w:hAnsi="Times New Roman" w:eastAsia="宋体" w:cs="Times New Roman"/>
          <w:sz w:val="24"/>
          <w:szCs w:val="24"/>
          <w:lang w:val="en-US" w:eastAsia="zh-CN"/>
        </w:rPr>
        <w:t>Available at:</w:t>
      </w:r>
      <w:r>
        <w:rPr>
          <w:rFonts w:ascii="Times New Roman" w:hAnsi="Times New Roman" w:cs="Times New Roman"/>
          <w:sz w:val="24"/>
          <w:szCs w:val="24"/>
        </w:rPr>
        <w:t xml:space="preserve"> </w:t>
      </w:r>
      <w:r>
        <w:fldChar w:fldCharType="begin"/>
      </w:r>
      <w:r>
        <w:instrText xml:space="preserve"> HYPERLINK "https://www.businesswire.com/news/home/20211014005090/en/Recent-Study-Reveals-More-Than-a-Third-of-Global-Consumers-Are-Willing-to-Pay-More-for-Sustainability-as-Demand-Grows-for-Environmentally-Friendly-Alternatives" </w:instrText>
      </w:r>
      <w:r>
        <w:fldChar w:fldCharType="separate"/>
      </w:r>
      <w:r>
        <w:rPr>
          <w:rStyle w:val="15"/>
          <w:rFonts w:ascii="Times New Roman" w:hAnsi="Times New Roman" w:cs="Times New Roman"/>
          <w:color w:val="auto"/>
          <w:sz w:val="24"/>
          <w:szCs w:val="24"/>
          <w:u w:val="none"/>
        </w:rPr>
        <w:t>https://www.businesswire.com/news/home/20211014005090/en/Recent-Study-Reveals-More-Than-a-Third-of-Global-Consumers-Are-Willing-to-Pay-More-for-Sustainability-as-Demand-Grows-for-Environmentally-Friendly-Alternatives</w:t>
      </w:r>
      <w:r>
        <w:rPr>
          <w:rStyle w:val="15"/>
          <w:rFonts w:ascii="Times New Roman" w:hAnsi="Times New Roman" w:cs="Times New Roman"/>
          <w:color w:val="auto"/>
          <w:sz w:val="24"/>
          <w:szCs w:val="24"/>
          <w:u w:val="none"/>
        </w:rPr>
        <w:fldChar w:fldCharType="end"/>
      </w:r>
      <w:r>
        <w:rPr>
          <w:rFonts w:ascii="Times New Roman" w:hAnsi="Times New Roman" w:cs="Times New Roman"/>
          <w:sz w:val="24"/>
          <w:szCs w:val="24"/>
        </w:rPr>
        <w:t xml:space="preserve"> </w:t>
      </w:r>
      <w:r>
        <w:rPr>
          <w:rFonts w:hint="eastAsia" w:ascii="Times New Roman" w:hAnsi="Times New Roman" w:eastAsia="宋体" w:cs="Times New Roman"/>
          <w:sz w:val="24"/>
          <w:szCs w:val="24"/>
          <w:lang w:val="en-US" w:eastAsia="zh-CN"/>
        </w:rPr>
        <w:t>(A</w:t>
      </w:r>
      <w:r>
        <w:rPr>
          <w:rFonts w:ascii="Times New Roman" w:hAnsi="Times New Roman" w:cs="Times New Roman"/>
          <w:sz w:val="24"/>
          <w:szCs w:val="24"/>
        </w:rPr>
        <w:t xml:space="preserve">ccessed: </w:t>
      </w:r>
      <w:r>
        <w:rPr>
          <w:rFonts w:hint="eastAsia" w:ascii="Times New Roman" w:hAnsi="Times New Roman" w:eastAsia="宋体" w:cs="Times New Roman"/>
          <w:sz w:val="24"/>
          <w:szCs w:val="24"/>
          <w:lang w:val="en-US" w:eastAsia="zh-CN"/>
        </w:rPr>
        <w:t xml:space="preserve">16 </w:t>
      </w:r>
      <w:r>
        <w:rPr>
          <w:rFonts w:ascii="Times New Roman" w:hAnsi="Times New Roman" w:cs="Times New Roman"/>
          <w:sz w:val="24"/>
          <w:szCs w:val="24"/>
        </w:rPr>
        <w:t>November</w:t>
      </w:r>
      <w:r>
        <w:rPr>
          <w:rFonts w:hint="eastAsia" w:ascii="Times New Roman" w:hAnsi="Times New Roman" w:eastAsia="宋体" w:cs="Times New Roman"/>
          <w:sz w:val="24"/>
          <w:szCs w:val="24"/>
          <w:lang w:val="en-US" w:eastAsia="zh-CN"/>
        </w:rPr>
        <w:t xml:space="preserve"> </w:t>
      </w:r>
      <w:r>
        <w:rPr>
          <w:rFonts w:ascii="Times New Roman" w:hAnsi="Times New Roman" w:cs="Times New Roman"/>
          <w:sz w:val="24"/>
          <w:szCs w:val="24"/>
        </w:rPr>
        <w:t>2022</w:t>
      </w:r>
      <w:r>
        <w:rPr>
          <w:rFonts w:hint="eastAsia" w:ascii="Times New Roman" w:hAnsi="Times New Roman" w:eastAsia="宋体" w:cs="Times New Roman"/>
          <w:sz w:val="24"/>
          <w:szCs w:val="24"/>
          <w:lang w:val="en-US" w:eastAsia="zh-CN"/>
        </w:rPr>
        <w:t>).</w:t>
      </w:r>
    </w:p>
    <w:p>
      <w:pPr>
        <w:keepNext w:val="0"/>
        <w:keepLines w:val="0"/>
        <w:pageBreakBefore w:val="0"/>
        <w:widowControl/>
        <w:kinsoku/>
        <w:wordWrap w:val="0"/>
        <w:overflowPunct/>
        <w:topLinePunct w:val="0"/>
        <w:autoSpaceDE/>
        <w:autoSpaceDN/>
        <w:bidi w:val="0"/>
        <w:adjustRightInd/>
        <w:snapToGrid/>
        <w:spacing w:line="480" w:lineRule="auto"/>
        <w:jc w:val="left"/>
        <w:textAlignment w:val="auto"/>
        <w:rPr>
          <w:rFonts w:ascii="Times New Roman" w:hAnsi="Times New Roman" w:cs="Times New Roman"/>
          <w:sz w:val="24"/>
          <w:szCs w:val="24"/>
        </w:rPr>
      </w:pPr>
      <w:r>
        <w:rPr>
          <w:rFonts w:ascii="Times New Roman" w:hAnsi="Times New Roman" w:cs="Times New Roman"/>
          <w:sz w:val="24"/>
          <w:szCs w:val="24"/>
        </w:rPr>
        <w:t>Gov. UK</w:t>
      </w:r>
      <w:r>
        <w:rPr>
          <w:rFonts w:hint="eastAsia" w:ascii="Times New Roman" w:hAnsi="Times New Roman" w:eastAsia="宋体" w:cs="Times New Roman"/>
          <w:sz w:val="24"/>
          <w:szCs w:val="24"/>
          <w:lang w:val="en-US" w:eastAsia="zh-CN"/>
        </w:rPr>
        <w:t xml:space="preserve"> (</w:t>
      </w:r>
      <w:r>
        <w:rPr>
          <w:rFonts w:ascii="Times New Roman" w:hAnsi="Times New Roman" w:cs="Times New Roman"/>
          <w:sz w:val="24"/>
          <w:szCs w:val="24"/>
        </w:rPr>
        <w:t>2022</w:t>
      </w:r>
      <w:r>
        <w:rPr>
          <w:rFonts w:hint="eastAsia" w:ascii="Times New Roman" w:hAnsi="Times New Roman" w:eastAsia="宋体" w:cs="Times New Roman"/>
          <w:sz w:val="24"/>
          <w:szCs w:val="24"/>
          <w:lang w:val="en-US" w:eastAsia="zh-CN"/>
        </w:rPr>
        <w:t>)</w:t>
      </w:r>
      <w:r>
        <w:rPr>
          <w:rFonts w:ascii="Times New Roman" w:hAnsi="Times New Roman" w:cs="Times New Roman"/>
          <w:sz w:val="24"/>
          <w:szCs w:val="24"/>
        </w:rPr>
        <w:t xml:space="preserve"> </w:t>
      </w:r>
      <w:r>
        <w:rPr>
          <w:rFonts w:ascii="Times New Roman" w:hAnsi="Times New Roman" w:cs="Times New Roman"/>
          <w:i/>
          <w:iCs/>
          <w:sz w:val="24"/>
          <w:szCs w:val="24"/>
        </w:rPr>
        <w:t>Restricting promotions of products high in fat, sugar or salt by location and by volume price: implementation guidance.</w:t>
      </w:r>
      <w:r>
        <w:rPr>
          <w:rFonts w:hint="eastAsia" w:ascii="Times New Roman" w:hAnsi="Times New Roman" w:eastAsia="宋体" w:cs="Times New Roman"/>
          <w:sz w:val="24"/>
          <w:szCs w:val="24"/>
          <w:lang w:val="en-US" w:eastAsia="zh-CN"/>
        </w:rPr>
        <w:t>Available at:</w:t>
      </w:r>
      <w:r>
        <w:fldChar w:fldCharType="begin"/>
      </w:r>
      <w:r>
        <w:instrText xml:space="preserve"> HYPERLINK "https://www.gov.uk/government/publications/restricting-promotions-of-products-high-in-fat-sugar-or-salt-by-location-and-by-volume-price/restricting-promotions-of-products-high-in-fat-sugar-or-salt-by-location-and-by-volume-price-implementation-guidance" \l ":~:text=(%20HFSS%20is%20otherwise%20known%20as,force%20on%201%20October%202023" </w:instrText>
      </w:r>
      <w:r>
        <w:fldChar w:fldCharType="separate"/>
      </w:r>
      <w:r>
        <w:rPr>
          <w:rStyle w:val="15"/>
          <w:rFonts w:ascii="Times New Roman" w:hAnsi="Times New Roman" w:cs="Times New Roman"/>
          <w:color w:val="auto"/>
          <w:sz w:val="24"/>
          <w:szCs w:val="24"/>
          <w:u w:val="none"/>
        </w:rPr>
        <w:t>https://www.gov.uk/government/publications/restricting-promotions-of-products-high-in-fat-sugar-or-salt-by-location-and-by-volume-price/restricting-promotions-of-products-high-in-fat-sugar-or-salt-by-location-and-by-volume-price-implementationguidance#:~:text=(%20HFSS%20is%20otherwise%20known%20as,force%20on%201%20October%202023</w:t>
      </w:r>
      <w:r>
        <w:rPr>
          <w:rStyle w:val="15"/>
          <w:rFonts w:ascii="Times New Roman" w:hAnsi="Times New Roman" w:cs="Times New Roman"/>
          <w:color w:val="auto"/>
          <w:sz w:val="24"/>
          <w:szCs w:val="24"/>
          <w:u w:val="none"/>
        </w:rPr>
        <w:fldChar w:fldCharType="end"/>
      </w:r>
      <w:r>
        <w:rPr>
          <w:rStyle w:val="15"/>
          <w:rFonts w:hint="eastAsia" w:ascii="Times New Roman" w:hAnsi="Times New Roman" w:eastAsia="宋体" w:cs="Times New Roman"/>
          <w:color w:val="auto"/>
          <w:sz w:val="24"/>
          <w:szCs w:val="24"/>
          <w:u w:val="none"/>
          <w:lang w:val="en-US" w:eastAsia="zh-CN"/>
        </w:rPr>
        <w:t>/</w:t>
      </w:r>
      <w:r>
        <w:rPr>
          <w:rFonts w:hint="eastAsia" w:ascii="Times New Roman" w:hAnsi="Times New Roman" w:eastAsia="宋体" w:cs="Times New Roman"/>
          <w:sz w:val="24"/>
          <w:szCs w:val="24"/>
          <w:lang w:val="en-US" w:eastAsia="zh-CN"/>
        </w:rPr>
        <w:t>(A</w:t>
      </w:r>
      <w:r>
        <w:rPr>
          <w:rFonts w:ascii="Times New Roman" w:hAnsi="Times New Roman" w:cs="Times New Roman"/>
          <w:sz w:val="24"/>
          <w:szCs w:val="24"/>
        </w:rPr>
        <w:t xml:space="preserve">ccessed: </w:t>
      </w:r>
      <w:r>
        <w:rPr>
          <w:rFonts w:hint="eastAsia" w:ascii="Times New Roman" w:hAnsi="Times New Roman" w:eastAsia="宋体" w:cs="Times New Roman"/>
          <w:sz w:val="24"/>
          <w:szCs w:val="24"/>
          <w:lang w:val="en-US" w:eastAsia="zh-CN"/>
        </w:rPr>
        <w:t xml:space="preserve">16 </w:t>
      </w:r>
      <w:r>
        <w:rPr>
          <w:rFonts w:ascii="Times New Roman" w:hAnsi="Times New Roman" w:cs="Times New Roman"/>
          <w:sz w:val="24"/>
          <w:szCs w:val="24"/>
        </w:rPr>
        <w:t>November</w:t>
      </w:r>
      <w:r>
        <w:rPr>
          <w:rFonts w:hint="eastAsia" w:ascii="Times New Roman" w:hAnsi="Times New Roman" w:eastAsia="宋体" w:cs="Times New Roman"/>
          <w:sz w:val="24"/>
          <w:szCs w:val="24"/>
          <w:lang w:val="en-US" w:eastAsia="zh-CN"/>
        </w:rPr>
        <w:t xml:space="preserve"> </w:t>
      </w:r>
      <w:r>
        <w:rPr>
          <w:rFonts w:ascii="Times New Roman" w:hAnsi="Times New Roman" w:cs="Times New Roman"/>
          <w:sz w:val="24"/>
          <w:szCs w:val="24"/>
        </w:rPr>
        <w:t>2022</w:t>
      </w:r>
      <w:r>
        <w:rPr>
          <w:rFonts w:hint="eastAsia" w:ascii="Times New Roman" w:hAnsi="Times New Roman" w:eastAsia="宋体" w:cs="Times New Roman"/>
          <w:sz w:val="24"/>
          <w:szCs w:val="24"/>
          <w:lang w:val="en-US" w:eastAsia="zh-CN"/>
        </w:rPr>
        <w:t>).</w:t>
      </w:r>
    </w:p>
    <w:p>
      <w:pPr>
        <w:keepNext w:val="0"/>
        <w:keepLines w:val="0"/>
        <w:pageBreakBefore w:val="0"/>
        <w:widowControl/>
        <w:kinsoku/>
        <w:wordWrap w:val="0"/>
        <w:overflowPunct/>
        <w:topLinePunct w:val="0"/>
        <w:autoSpaceDE/>
        <w:autoSpaceDN/>
        <w:bidi w:val="0"/>
        <w:adjustRightInd/>
        <w:snapToGrid/>
        <w:spacing w:line="480" w:lineRule="auto"/>
        <w:textAlignment w:val="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Hasan, M.M.</w:t>
      </w:r>
      <w:r>
        <w:rPr>
          <w:rFonts w:hint="eastAsia" w:ascii="Times New Roman" w:hAnsi="Times New Roman" w:eastAsia="宋体" w:cs="Times New Roman"/>
          <w:sz w:val="24"/>
          <w:szCs w:val="24"/>
          <w:shd w:val="clear" w:color="auto" w:fill="FFFFFF"/>
          <w:lang w:val="en-US" w:eastAsia="zh-CN"/>
        </w:rPr>
        <w:t>(</w:t>
      </w:r>
      <w:r>
        <w:rPr>
          <w:rFonts w:ascii="Times New Roman" w:hAnsi="Times New Roman" w:cs="Times New Roman"/>
          <w:sz w:val="24"/>
          <w:szCs w:val="24"/>
          <w:shd w:val="clear" w:color="auto" w:fill="FFFFFF"/>
        </w:rPr>
        <w:t>2015</w:t>
      </w:r>
      <w:r>
        <w:rPr>
          <w:rFonts w:hint="eastAsia" w:ascii="Times New Roman" w:hAnsi="Times New Roman" w:eastAsia="宋体" w:cs="Times New Roman"/>
          <w:sz w:val="24"/>
          <w:szCs w:val="24"/>
          <w:shd w:val="clear" w:color="auto" w:fill="FFFFFF"/>
          <w:lang w:val="en-US" w:eastAsia="zh-CN"/>
        </w:rPr>
        <w:t>)</w:t>
      </w:r>
      <w:r>
        <w:rPr>
          <w:rFonts w:ascii="Times New Roman" w:hAnsi="Times New Roman" w:cs="Times New Roman"/>
          <w:sz w:val="24"/>
          <w:szCs w:val="24"/>
          <w:shd w:val="clear" w:color="auto" w:fill="FFFFFF"/>
        </w:rPr>
        <w:t xml:space="preserve"> Marketing Analysis of Unilever. </w:t>
      </w:r>
      <w:r>
        <w:rPr>
          <w:rFonts w:ascii="Times New Roman" w:hAnsi="Times New Roman" w:cs="Times New Roman"/>
          <w:i/>
          <w:iCs/>
          <w:sz w:val="24"/>
          <w:szCs w:val="24"/>
          <w:shd w:val="clear" w:color="auto" w:fill="FFFFFF"/>
        </w:rPr>
        <w:t>Total Quality Management</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11</w:t>
      </w:r>
      <w:r>
        <w:rPr>
          <w:rFonts w:ascii="Times New Roman" w:hAnsi="Times New Roman" w:cs="Times New Roman"/>
          <w:sz w:val="24"/>
          <w:szCs w:val="24"/>
          <w:shd w:val="clear" w:color="auto" w:fill="FFFFFF"/>
        </w:rPr>
        <w:t>(1), pp.13-24.</w:t>
      </w:r>
    </w:p>
    <w:p>
      <w:pPr>
        <w:keepNext w:val="0"/>
        <w:keepLines w:val="0"/>
        <w:pageBreakBefore w:val="0"/>
        <w:widowControl/>
        <w:kinsoku/>
        <w:wordWrap w:val="0"/>
        <w:overflowPunct/>
        <w:topLinePunct w:val="0"/>
        <w:autoSpaceDE/>
        <w:autoSpaceDN/>
        <w:bidi w:val="0"/>
        <w:adjustRightInd/>
        <w:snapToGrid/>
        <w:spacing w:line="480" w:lineRule="auto"/>
        <w:ind w:left="720" w:hanging="720"/>
        <w:textAlignment w:val="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Henry, A.</w:t>
      </w:r>
      <w:r>
        <w:rPr>
          <w:rFonts w:hint="eastAsia" w:ascii="Times New Roman" w:hAnsi="Times New Roman" w:eastAsia="宋体" w:cs="Times New Roman"/>
          <w:sz w:val="24"/>
          <w:szCs w:val="24"/>
          <w:shd w:val="clear" w:color="auto" w:fill="FFFFFF"/>
          <w:lang w:val="en-US" w:eastAsia="zh-CN"/>
        </w:rPr>
        <w:t>(</w:t>
      </w:r>
      <w:r>
        <w:rPr>
          <w:rFonts w:ascii="Times New Roman" w:hAnsi="Times New Roman" w:cs="Times New Roman"/>
          <w:sz w:val="24"/>
          <w:szCs w:val="24"/>
          <w:shd w:val="clear" w:color="auto" w:fill="FFFFFF"/>
        </w:rPr>
        <w:t>2021</w:t>
      </w:r>
      <w:r>
        <w:rPr>
          <w:rFonts w:hint="eastAsia" w:ascii="Times New Roman" w:hAnsi="Times New Roman" w:eastAsia="宋体" w:cs="Times New Roman"/>
          <w:sz w:val="24"/>
          <w:szCs w:val="24"/>
          <w:shd w:val="clear" w:color="auto" w:fill="FFFFFF"/>
          <w:lang w:val="en-US" w:eastAsia="zh-CN"/>
        </w:rPr>
        <w:t xml:space="preserve">) </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Understanding strategic management</w:t>
      </w:r>
      <w:r>
        <w:rPr>
          <w:rFonts w:ascii="Times New Roman" w:hAnsi="Times New Roman" w:cs="Times New Roman"/>
          <w:sz w:val="24"/>
          <w:szCs w:val="24"/>
          <w:shd w:val="clear" w:color="auto" w:fill="FFFFFF"/>
        </w:rPr>
        <w:t>. Oxford University Press.</w:t>
      </w:r>
    </w:p>
    <w:p>
      <w:pPr>
        <w:keepNext w:val="0"/>
        <w:keepLines w:val="0"/>
        <w:pageBreakBefore w:val="0"/>
        <w:widowControl/>
        <w:kinsoku/>
        <w:wordWrap w:val="0"/>
        <w:overflowPunct/>
        <w:topLinePunct w:val="0"/>
        <w:autoSpaceDE/>
        <w:autoSpaceDN/>
        <w:bidi w:val="0"/>
        <w:adjustRightInd/>
        <w:snapToGrid/>
        <w:spacing w:line="480" w:lineRule="auto"/>
        <w:textAlignment w:val="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Hitt, M.A., Ireland, R.D. and Hoskisson, R.E.</w:t>
      </w:r>
      <w:r>
        <w:rPr>
          <w:rFonts w:hint="eastAsia" w:ascii="Times New Roman" w:hAnsi="Times New Roman" w:eastAsia="宋体" w:cs="Times New Roman"/>
          <w:sz w:val="24"/>
          <w:szCs w:val="24"/>
          <w:shd w:val="clear" w:color="auto" w:fill="FFFFFF"/>
          <w:lang w:val="en-US" w:eastAsia="zh-CN"/>
        </w:rPr>
        <w:t>(</w:t>
      </w:r>
      <w:r>
        <w:rPr>
          <w:rFonts w:ascii="Times New Roman" w:hAnsi="Times New Roman" w:cs="Times New Roman"/>
          <w:sz w:val="24"/>
          <w:szCs w:val="24"/>
          <w:shd w:val="clear" w:color="auto" w:fill="FFFFFF"/>
        </w:rPr>
        <w:t>2016</w:t>
      </w:r>
      <w:r>
        <w:rPr>
          <w:rFonts w:hint="eastAsia" w:ascii="Times New Roman" w:hAnsi="Times New Roman" w:eastAsia="宋体" w:cs="Times New Roman"/>
          <w:sz w:val="24"/>
          <w:szCs w:val="24"/>
          <w:shd w:val="clear" w:color="auto" w:fill="FFFFFF"/>
          <w:lang w:val="en-US" w:eastAsia="zh-CN"/>
        </w:rPr>
        <w:t xml:space="preserve">) </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Strategic management: Concepts and cases: Competitiveness and globalisation</w:t>
      </w:r>
      <w:r>
        <w:rPr>
          <w:rFonts w:ascii="Times New Roman" w:hAnsi="Times New Roman" w:cs="Times New Roman"/>
          <w:sz w:val="24"/>
          <w:szCs w:val="24"/>
          <w:shd w:val="clear" w:color="auto" w:fill="FFFFFF"/>
        </w:rPr>
        <w:t>. Cengage Learning.</w:t>
      </w:r>
    </w:p>
    <w:p>
      <w:pPr>
        <w:keepNext w:val="0"/>
        <w:keepLines w:val="0"/>
        <w:pageBreakBefore w:val="0"/>
        <w:widowControl/>
        <w:kinsoku/>
        <w:wordWrap w:val="0"/>
        <w:overflowPunct/>
        <w:topLinePunct w:val="0"/>
        <w:autoSpaceDE/>
        <w:autoSpaceDN/>
        <w:bidi w:val="0"/>
        <w:adjustRightInd/>
        <w:snapToGrid/>
        <w:spacing w:line="480" w:lineRule="auto"/>
        <w:textAlignment w:val="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Islami, X., Mustafa, N. and Topuzovska Latkovikj, M.</w:t>
      </w:r>
      <w:r>
        <w:rPr>
          <w:rFonts w:hint="eastAsia" w:ascii="Times New Roman" w:hAnsi="Times New Roman" w:eastAsia="宋体" w:cs="Times New Roman"/>
          <w:sz w:val="24"/>
          <w:szCs w:val="24"/>
          <w:shd w:val="clear" w:color="auto" w:fill="FFFFFF"/>
          <w:lang w:val="en-US" w:eastAsia="zh-CN"/>
        </w:rPr>
        <w:t>(</w:t>
      </w:r>
      <w:r>
        <w:rPr>
          <w:rFonts w:ascii="Times New Roman" w:hAnsi="Times New Roman" w:cs="Times New Roman"/>
          <w:sz w:val="24"/>
          <w:szCs w:val="24"/>
          <w:shd w:val="clear" w:color="auto" w:fill="FFFFFF"/>
        </w:rPr>
        <w:t>2020</w:t>
      </w:r>
      <w:r>
        <w:rPr>
          <w:rFonts w:hint="eastAsia" w:ascii="Times New Roman" w:hAnsi="Times New Roman" w:eastAsia="宋体" w:cs="Times New Roman"/>
          <w:sz w:val="24"/>
          <w:szCs w:val="24"/>
          <w:shd w:val="clear" w:color="auto" w:fill="FFFFFF"/>
          <w:lang w:val="en-US" w:eastAsia="zh-CN"/>
        </w:rPr>
        <w:t xml:space="preserve">) </w:t>
      </w:r>
      <w:r>
        <w:rPr>
          <w:rFonts w:ascii="Times New Roman" w:hAnsi="Times New Roman" w:cs="Times New Roman"/>
          <w:sz w:val="24"/>
          <w:szCs w:val="24"/>
          <w:shd w:val="clear" w:color="auto" w:fill="FFFFFF"/>
        </w:rPr>
        <w:t>Linking Porter’s generic strategies to firm performance. </w:t>
      </w:r>
      <w:r>
        <w:rPr>
          <w:rFonts w:ascii="Times New Roman" w:hAnsi="Times New Roman" w:cs="Times New Roman"/>
          <w:i/>
          <w:iCs/>
          <w:sz w:val="24"/>
          <w:szCs w:val="24"/>
          <w:shd w:val="clear" w:color="auto" w:fill="FFFFFF"/>
        </w:rPr>
        <w:t>Future Business Journal</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6</w:t>
      </w:r>
      <w:r>
        <w:rPr>
          <w:rFonts w:ascii="Times New Roman" w:hAnsi="Times New Roman" w:cs="Times New Roman"/>
          <w:sz w:val="24"/>
          <w:szCs w:val="24"/>
          <w:shd w:val="clear" w:color="auto" w:fill="FFFFFF"/>
        </w:rPr>
        <w:t>(1), pp.1-15.</w:t>
      </w:r>
    </w:p>
    <w:p>
      <w:pPr>
        <w:keepNext w:val="0"/>
        <w:keepLines w:val="0"/>
        <w:pageBreakBefore w:val="0"/>
        <w:widowControl/>
        <w:kinsoku/>
        <w:wordWrap w:val="0"/>
        <w:overflowPunct/>
        <w:topLinePunct w:val="0"/>
        <w:autoSpaceDE/>
        <w:autoSpaceDN/>
        <w:bidi w:val="0"/>
        <w:adjustRightInd/>
        <w:snapToGrid/>
        <w:spacing w:line="480" w:lineRule="auto"/>
        <w:textAlignment w:val="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Korn, T. and Stemmler, H.</w:t>
      </w:r>
      <w:r>
        <w:rPr>
          <w:rFonts w:hint="eastAsia" w:ascii="Times New Roman" w:hAnsi="Times New Roman" w:eastAsia="宋体" w:cs="Times New Roman"/>
          <w:sz w:val="24"/>
          <w:szCs w:val="24"/>
          <w:shd w:val="clear" w:color="auto" w:fill="FFFFFF"/>
          <w:lang w:val="en-US" w:eastAsia="zh-CN"/>
        </w:rPr>
        <w:t>(</w:t>
      </w:r>
      <w:r>
        <w:rPr>
          <w:rFonts w:ascii="Times New Roman" w:hAnsi="Times New Roman" w:cs="Times New Roman"/>
          <w:sz w:val="24"/>
          <w:szCs w:val="24"/>
          <w:shd w:val="clear" w:color="auto" w:fill="FFFFFF"/>
        </w:rPr>
        <w:t>2022</w:t>
      </w:r>
      <w:r>
        <w:rPr>
          <w:rFonts w:hint="eastAsia" w:ascii="Times New Roman" w:hAnsi="Times New Roman" w:eastAsia="宋体" w:cs="Times New Roman"/>
          <w:sz w:val="24"/>
          <w:szCs w:val="24"/>
          <w:shd w:val="clear" w:color="auto" w:fill="FFFFFF"/>
          <w:lang w:val="en-US" w:eastAsia="zh-CN"/>
        </w:rPr>
        <w:t xml:space="preserve">) </w:t>
      </w:r>
      <w:r>
        <w:rPr>
          <w:rFonts w:ascii="Times New Roman" w:hAnsi="Times New Roman" w:cs="Times New Roman"/>
          <w:sz w:val="24"/>
          <w:szCs w:val="24"/>
          <w:shd w:val="clear" w:color="auto" w:fill="FFFFFF"/>
        </w:rPr>
        <w:t xml:space="preserve"> Russia’s war against Ukraine might persistently shift global supply chains. </w:t>
      </w:r>
      <w:r>
        <w:rPr>
          <w:rFonts w:ascii="Times New Roman" w:hAnsi="Times New Roman" w:cs="Times New Roman"/>
          <w:i/>
          <w:iCs/>
          <w:sz w:val="24"/>
          <w:szCs w:val="24"/>
          <w:shd w:val="clear" w:color="auto" w:fill="FFFFFF"/>
        </w:rPr>
        <w:t>VoxEU. Org</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31</w:t>
      </w:r>
      <w:r>
        <w:rPr>
          <w:rFonts w:ascii="Times New Roman" w:hAnsi="Times New Roman" w:cs="Times New Roman"/>
          <w:sz w:val="24"/>
          <w:szCs w:val="24"/>
          <w:shd w:val="clear" w:color="auto" w:fill="FFFFFF"/>
        </w:rPr>
        <w:t>.</w:t>
      </w:r>
    </w:p>
    <w:p>
      <w:pPr>
        <w:keepNext w:val="0"/>
        <w:keepLines w:val="0"/>
        <w:pageBreakBefore w:val="0"/>
        <w:widowControl/>
        <w:kinsoku/>
        <w:wordWrap w:val="0"/>
        <w:overflowPunct/>
        <w:topLinePunct w:val="0"/>
        <w:autoSpaceDE/>
        <w:autoSpaceDN/>
        <w:bidi w:val="0"/>
        <w:adjustRightInd/>
        <w:snapToGrid/>
        <w:spacing w:line="480" w:lineRule="auto"/>
        <w:textAlignment w:val="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Lee, J., Suh, T., Roy, D. and Baucus, M.</w:t>
      </w:r>
      <w:r>
        <w:rPr>
          <w:rFonts w:hint="eastAsia" w:ascii="Times New Roman" w:hAnsi="Times New Roman" w:eastAsia="宋体" w:cs="Times New Roman"/>
          <w:sz w:val="24"/>
          <w:szCs w:val="24"/>
          <w:shd w:val="clear" w:color="auto" w:fill="FFFFFF"/>
          <w:lang w:val="en-US" w:eastAsia="zh-CN"/>
        </w:rPr>
        <w:t>(</w:t>
      </w:r>
      <w:r>
        <w:rPr>
          <w:rFonts w:ascii="Times New Roman" w:hAnsi="Times New Roman" w:cs="Times New Roman"/>
          <w:sz w:val="24"/>
          <w:szCs w:val="24"/>
          <w:shd w:val="clear" w:color="auto" w:fill="FFFFFF"/>
        </w:rPr>
        <w:t>2019</w:t>
      </w:r>
      <w:r>
        <w:rPr>
          <w:rFonts w:hint="eastAsia" w:ascii="Times New Roman" w:hAnsi="Times New Roman" w:eastAsia="宋体" w:cs="Times New Roman"/>
          <w:sz w:val="24"/>
          <w:szCs w:val="24"/>
          <w:shd w:val="clear" w:color="auto" w:fill="FFFFFF"/>
          <w:lang w:val="en-US" w:eastAsia="zh-CN"/>
        </w:rPr>
        <w:t>)</w:t>
      </w:r>
      <w:r>
        <w:rPr>
          <w:rFonts w:ascii="Times New Roman" w:hAnsi="Times New Roman" w:cs="Times New Roman"/>
          <w:sz w:val="24"/>
          <w:szCs w:val="24"/>
          <w:shd w:val="clear" w:color="auto" w:fill="FFFFFF"/>
        </w:rPr>
        <w:t xml:space="preserve"> Emerging technology and business model innovation: The case of artificial intelligence. </w:t>
      </w:r>
      <w:r>
        <w:rPr>
          <w:rFonts w:ascii="Times New Roman" w:hAnsi="Times New Roman" w:cs="Times New Roman"/>
          <w:i/>
          <w:iCs/>
          <w:sz w:val="24"/>
          <w:szCs w:val="24"/>
          <w:shd w:val="clear" w:color="auto" w:fill="FFFFFF"/>
        </w:rPr>
        <w:t>Journal of Open Innovation: Technology, Market, and Complexity</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5</w:t>
      </w:r>
      <w:r>
        <w:rPr>
          <w:rFonts w:ascii="Times New Roman" w:hAnsi="Times New Roman" w:cs="Times New Roman"/>
          <w:sz w:val="24"/>
          <w:szCs w:val="24"/>
          <w:shd w:val="clear" w:color="auto" w:fill="FFFFFF"/>
        </w:rPr>
        <w:t>(3), p.44.</w:t>
      </w:r>
    </w:p>
    <w:p>
      <w:pPr>
        <w:keepNext w:val="0"/>
        <w:keepLines w:val="0"/>
        <w:pageBreakBefore w:val="0"/>
        <w:widowControl/>
        <w:kinsoku/>
        <w:wordWrap w:val="0"/>
        <w:overflowPunct/>
        <w:topLinePunct w:val="0"/>
        <w:autoSpaceDE/>
        <w:autoSpaceDN/>
        <w:bidi w:val="0"/>
        <w:adjustRightInd/>
        <w:snapToGrid/>
        <w:spacing w:line="480" w:lineRule="auto"/>
        <w:textAlignment w:val="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McKinsey &amp; Company</w:t>
      </w:r>
      <w:r>
        <w:rPr>
          <w:rFonts w:hint="eastAsia" w:ascii="Times New Roman" w:hAnsi="Times New Roman" w:eastAsia="宋体" w:cs="Times New Roman"/>
          <w:sz w:val="24"/>
          <w:szCs w:val="24"/>
          <w:shd w:val="clear" w:color="auto" w:fill="FFFFFF"/>
          <w:lang w:val="en-US" w:eastAsia="zh-CN"/>
        </w:rPr>
        <w:t xml:space="preserve"> (</w:t>
      </w:r>
      <w:r>
        <w:rPr>
          <w:rFonts w:ascii="Times New Roman" w:hAnsi="Times New Roman" w:cs="Times New Roman"/>
          <w:sz w:val="24"/>
          <w:szCs w:val="24"/>
          <w:shd w:val="clear" w:color="auto" w:fill="FFFFFF"/>
        </w:rPr>
        <w:t>2020</w:t>
      </w:r>
      <w:r>
        <w:rPr>
          <w:rFonts w:hint="eastAsia" w:ascii="Times New Roman" w:hAnsi="Times New Roman" w:eastAsia="宋体" w:cs="Times New Roman"/>
          <w:sz w:val="24"/>
          <w:szCs w:val="24"/>
          <w:shd w:val="clear" w:color="auto" w:fill="FFFFFF"/>
          <w:lang w:val="en-US" w:eastAsia="zh-CN"/>
        </w:rPr>
        <w:t>)</w:t>
      </w:r>
      <w:r>
        <w:rPr>
          <w:rFonts w:ascii="Times New Roman" w:hAnsi="Times New Roman" w:cs="Times New Roman"/>
          <w:sz w:val="24"/>
          <w:szCs w:val="24"/>
          <w:shd w:val="clear" w:color="auto" w:fill="FFFFFF"/>
        </w:rPr>
        <w:t xml:space="preserve"> </w:t>
      </w:r>
      <w:r>
        <w:rPr>
          <w:rFonts w:ascii="Times New Roman" w:hAnsi="Times New Roman" w:cs="Times New Roman"/>
          <w:i/>
          <w:iCs/>
          <w:sz w:val="24"/>
          <w:szCs w:val="24"/>
          <w:shd w:val="clear" w:color="auto" w:fill="FFFFFF"/>
        </w:rPr>
        <w:t>The care of one: Hyperpersonalization of customer care.</w:t>
      </w:r>
      <w:r>
        <w:rPr>
          <w:rFonts w:ascii="Times New Roman" w:hAnsi="Times New Roman" w:cs="Times New Roman"/>
          <w:sz w:val="24"/>
          <w:szCs w:val="24"/>
          <w:shd w:val="clear" w:color="auto" w:fill="FFFFFF"/>
        </w:rPr>
        <w:t xml:space="preserve"> </w:t>
      </w:r>
      <w:r>
        <w:rPr>
          <w:rFonts w:hint="eastAsia" w:ascii="Times New Roman" w:hAnsi="Times New Roman" w:eastAsia="宋体" w:cs="Times New Roman"/>
          <w:sz w:val="24"/>
          <w:szCs w:val="24"/>
          <w:lang w:val="en-US" w:eastAsia="zh-CN"/>
        </w:rPr>
        <w:t>Available at:</w:t>
      </w:r>
      <w:r>
        <w:fldChar w:fldCharType="begin"/>
      </w:r>
      <w:r>
        <w:instrText xml:space="preserve"> HYPERLINK "https://www.mckinsey.com/capabilities/operations/our-insights/the-care-of-one-hyperpersonalization-of-customer-care" </w:instrText>
      </w:r>
      <w:r>
        <w:fldChar w:fldCharType="separate"/>
      </w:r>
      <w:r>
        <w:rPr>
          <w:rStyle w:val="15"/>
          <w:rFonts w:ascii="Times New Roman" w:hAnsi="Times New Roman" w:cs="Times New Roman"/>
          <w:color w:val="auto"/>
          <w:sz w:val="24"/>
          <w:szCs w:val="24"/>
          <w:u w:val="none"/>
          <w:shd w:val="clear" w:color="auto" w:fill="FFFFFF"/>
        </w:rPr>
        <w:t>https://www.mckinsey.com/capabilities/operations/our-insights/the-care-of-one-hyperpersonalization-of-customer-care</w:t>
      </w:r>
      <w:r>
        <w:rPr>
          <w:rStyle w:val="15"/>
          <w:rFonts w:ascii="Times New Roman" w:hAnsi="Times New Roman" w:cs="Times New Roman"/>
          <w:color w:val="auto"/>
          <w:sz w:val="24"/>
          <w:szCs w:val="24"/>
          <w:u w:val="none"/>
          <w:shd w:val="clear" w:color="auto" w:fill="FFFFFF"/>
        </w:rPr>
        <w:fldChar w:fldCharType="end"/>
      </w:r>
      <w:r>
        <w:rPr>
          <w:rFonts w:ascii="Times New Roman" w:hAnsi="Times New Roman" w:cs="Times New Roman"/>
          <w:sz w:val="24"/>
          <w:szCs w:val="24"/>
          <w:shd w:val="clear" w:color="auto" w:fill="FFFFFF"/>
        </w:rPr>
        <w:t xml:space="preserve"> </w:t>
      </w:r>
      <w:r>
        <w:rPr>
          <w:rFonts w:hint="eastAsia" w:ascii="Times New Roman" w:hAnsi="Times New Roman" w:eastAsia="宋体" w:cs="Times New Roman"/>
          <w:sz w:val="24"/>
          <w:szCs w:val="24"/>
          <w:lang w:val="en-US" w:eastAsia="zh-CN"/>
        </w:rPr>
        <w:t>(A</w:t>
      </w:r>
      <w:r>
        <w:rPr>
          <w:rFonts w:ascii="Times New Roman" w:hAnsi="Times New Roman" w:cs="Times New Roman"/>
          <w:sz w:val="24"/>
          <w:szCs w:val="24"/>
        </w:rPr>
        <w:t xml:space="preserve">ccessed: </w:t>
      </w:r>
      <w:r>
        <w:rPr>
          <w:rFonts w:hint="eastAsia" w:ascii="Times New Roman" w:hAnsi="Times New Roman" w:eastAsia="宋体" w:cs="Times New Roman"/>
          <w:sz w:val="24"/>
          <w:szCs w:val="24"/>
          <w:lang w:val="en-US" w:eastAsia="zh-CN"/>
        </w:rPr>
        <w:t xml:space="preserve">18 </w:t>
      </w:r>
      <w:r>
        <w:rPr>
          <w:rFonts w:ascii="Times New Roman" w:hAnsi="Times New Roman" w:cs="Times New Roman"/>
          <w:sz w:val="24"/>
          <w:szCs w:val="24"/>
        </w:rPr>
        <w:t>November</w:t>
      </w:r>
      <w:r>
        <w:rPr>
          <w:rFonts w:hint="eastAsia" w:ascii="Times New Roman" w:hAnsi="Times New Roman" w:eastAsia="宋体" w:cs="Times New Roman"/>
          <w:sz w:val="24"/>
          <w:szCs w:val="24"/>
          <w:lang w:val="en-US" w:eastAsia="zh-CN"/>
        </w:rPr>
        <w:t xml:space="preserve"> </w:t>
      </w:r>
      <w:r>
        <w:rPr>
          <w:rFonts w:ascii="Times New Roman" w:hAnsi="Times New Roman" w:cs="Times New Roman"/>
          <w:sz w:val="24"/>
          <w:szCs w:val="24"/>
        </w:rPr>
        <w:t>2022</w:t>
      </w:r>
      <w:r>
        <w:rPr>
          <w:rFonts w:hint="eastAsia" w:ascii="Times New Roman" w:hAnsi="Times New Roman" w:eastAsia="宋体" w:cs="Times New Roman"/>
          <w:sz w:val="24"/>
          <w:szCs w:val="24"/>
          <w:lang w:val="en-US" w:eastAsia="zh-CN"/>
        </w:rPr>
        <w:t>).</w:t>
      </w:r>
    </w:p>
    <w:p>
      <w:pPr>
        <w:keepNext w:val="0"/>
        <w:keepLines w:val="0"/>
        <w:pageBreakBefore w:val="0"/>
        <w:widowControl/>
        <w:kinsoku/>
        <w:wordWrap w:val="0"/>
        <w:overflowPunct/>
        <w:topLinePunct w:val="0"/>
        <w:autoSpaceDE/>
        <w:autoSpaceDN/>
        <w:bidi w:val="0"/>
        <w:adjustRightInd/>
        <w:snapToGrid/>
        <w:spacing w:line="480" w:lineRule="auto"/>
        <w:textAlignment w:val="auto"/>
        <w:rPr>
          <w:rFonts w:ascii="Times New Roman" w:hAnsi="Times New Roman" w:cs="Times New Roman"/>
          <w:sz w:val="24"/>
          <w:szCs w:val="24"/>
        </w:rPr>
      </w:pPr>
      <w:r>
        <w:rPr>
          <w:rFonts w:ascii="Times New Roman" w:hAnsi="Times New Roman" w:cs="Times New Roman"/>
          <w:sz w:val="24"/>
          <w:szCs w:val="24"/>
        </w:rPr>
        <w:t>O'Neill, A</w:t>
      </w:r>
      <w:r>
        <w:rPr>
          <w:rFonts w:hint="eastAsia" w:ascii="Times New Roman" w:hAnsi="Times New Roman" w:eastAsia="宋体" w:cs="Times New Roman"/>
          <w:sz w:val="24"/>
          <w:szCs w:val="24"/>
          <w:lang w:val="en-US" w:eastAsia="zh-CN"/>
        </w:rPr>
        <w:t xml:space="preserve"> (</w:t>
      </w:r>
      <w:r>
        <w:rPr>
          <w:rFonts w:ascii="Times New Roman" w:hAnsi="Times New Roman" w:cs="Times New Roman"/>
          <w:sz w:val="24"/>
          <w:szCs w:val="24"/>
        </w:rPr>
        <w:t>2022</w:t>
      </w:r>
      <w:r>
        <w:rPr>
          <w:rFonts w:hint="eastAsia" w:ascii="Times New Roman" w:hAnsi="Times New Roman" w:eastAsia="宋体" w:cs="Times New Roman"/>
          <w:sz w:val="24"/>
          <w:szCs w:val="24"/>
          <w:lang w:val="en-US" w:eastAsia="zh-CN"/>
        </w:rPr>
        <w:t>)</w:t>
      </w:r>
      <w:r>
        <w:rPr>
          <w:rFonts w:ascii="Times New Roman" w:hAnsi="Times New Roman" w:cs="Times New Roman"/>
          <w:sz w:val="24"/>
          <w:szCs w:val="24"/>
        </w:rPr>
        <w:t xml:space="preserve"> Gross domestic product (GDP) growth rate in the United Kingdom 2027.</w:t>
      </w:r>
      <w:r>
        <w:rPr>
          <w:rFonts w:hint="eastAsia" w:ascii="Times New Roman" w:hAnsi="Times New Roman" w:eastAsia="宋体" w:cs="Times New Roman"/>
          <w:sz w:val="24"/>
          <w:szCs w:val="24"/>
          <w:lang w:val="en-US" w:eastAsia="zh-CN"/>
        </w:rPr>
        <w:t>Available at:</w:t>
      </w:r>
      <w:r>
        <w:rPr>
          <w:rFonts w:ascii="Times New Roman" w:hAnsi="Times New Roman" w:cs="Times New Roman"/>
          <w:sz w:val="24"/>
          <w:szCs w:val="24"/>
        </w:rPr>
        <w:t xml:space="preserve"> </w:t>
      </w:r>
      <w:r>
        <w:fldChar w:fldCharType="begin"/>
      </w:r>
      <w:r>
        <w:instrText xml:space="preserve"> HYPERLINK "https://www.statista.com/statistics/263613/gross-domestic-product-gdp-growth-rate-in-the-united-kingdom/" </w:instrText>
      </w:r>
      <w:r>
        <w:fldChar w:fldCharType="separate"/>
      </w:r>
      <w:r>
        <w:rPr>
          <w:rStyle w:val="15"/>
          <w:rFonts w:ascii="Times New Roman" w:hAnsi="Times New Roman" w:cs="Times New Roman"/>
          <w:color w:val="auto"/>
          <w:sz w:val="24"/>
          <w:szCs w:val="24"/>
          <w:u w:val="none"/>
        </w:rPr>
        <w:t>https://www.statista.com/statistics/263613/gross-domestic-product-gdp-growth-rate-in-the-united-kingdom/</w:t>
      </w:r>
      <w:r>
        <w:rPr>
          <w:rStyle w:val="15"/>
          <w:rFonts w:ascii="Times New Roman" w:hAnsi="Times New Roman" w:cs="Times New Roman"/>
          <w:color w:val="auto"/>
          <w:sz w:val="24"/>
          <w:szCs w:val="24"/>
          <w:u w:val="none"/>
        </w:rPr>
        <w:fldChar w:fldCharType="end"/>
      </w:r>
      <w:r>
        <w:rPr>
          <w:rFonts w:ascii="Times New Roman" w:hAnsi="Times New Roman" w:cs="Times New Roman"/>
          <w:sz w:val="24"/>
          <w:szCs w:val="24"/>
        </w:rPr>
        <w:t xml:space="preserve"> </w:t>
      </w:r>
      <w:r>
        <w:rPr>
          <w:rFonts w:hint="eastAsia" w:ascii="Times New Roman" w:hAnsi="Times New Roman" w:eastAsia="宋体" w:cs="Times New Roman"/>
          <w:sz w:val="24"/>
          <w:szCs w:val="24"/>
          <w:lang w:val="en-US" w:eastAsia="zh-CN"/>
        </w:rPr>
        <w:t>(A</w:t>
      </w:r>
      <w:r>
        <w:rPr>
          <w:rFonts w:ascii="Times New Roman" w:hAnsi="Times New Roman" w:cs="Times New Roman"/>
          <w:sz w:val="24"/>
          <w:szCs w:val="24"/>
        </w:rPr>
        <w:t xml:space="preserve">ccessed: </w:t>
      </w:r>
      <w:r>
        <w:rPr>
          <w:rFonts w:hint="eastAsia" w:ascii="Times New Roman" w:hAnsi="Times New Roman" w:eastAsia="宋体" w:cs="Times New Roman"/>
          <w:sz w:val="24"/>
          <w:szCs w:val="24"/>
          <w:lang w:val="en-US" w:eastAsia="zh-CN"/>
        </w:rPr>
        <w:t xml:space="preserve">16 </w:t>
      </w:r>
      <w:r>
        <w:rPr>
          <w:rFonts w:ascii="Times New Roman" w:hAnsi="Times New Roman" w:cs="Times New Roman"/>
          <w:sz w:val="24"/>
          <w:szCs w:val="24"/>
        </w:rPr>
        <w:t>November</w:t>
      </w:r>
      <w:r>
        <w:rPr>
          <w:rFonts w:hint="eastAsia" w:ascii="Times New Roman" w:hAnsi="Times New Roman" w:eastAsia="宋体" w:cs="Times New Roman"/>
          <w:sz w:val="24"/>
          <w:szCs w:val="24"/>
          <w:lang w:val="en-US" w:eastAsia="zh-CN"/>
        </w:rPr>
        <w:t xml:space="preserve"> </w:t>
      </w:r>
      <w:r>
        <w:rPr>
          <w:rFonts w:ascii="Times New Roman" w:hAnsi="Times New Roman" w:cs="Times New Roman"/>
          <w:sz w:val="24"/>
          <w:szCs w:val="24"/>
        </w:rPr>
        <w:t>2022</w:t>
      </w:r>
      <w:r>
        <w:rPr>
          <w:rFonts w:hint="eastAsia" w:ascii="Times New Roman" w:hAnsi="Times New Roman" w:eastAsia="宋体" w:cs="Times New Roman"/>
          <w:sz w:val="24"/>
          <w:szCs w:val="24"/>
          <w:lang w:val="en-US" w:eastAsia="zh-CN"/>
        </w:rPr>
        <w:t>).</w:t>
      </w:r>
    </w:p>
    <w:p>
      <w:pPr>
        <w:keepNext w:val="0"/>
        <w:keepLines w:val="0"/>
        <w:pageBreakBefore w:val="0"/>
        <w:widowControl/>
        <w:kinsoku/>
        <w:wordWrap w:val="0"/>
        <w:overflowPunct/>
        <w:topLinePunct w:val="0"/>
        <w:autoSpaceDE/>
        <w:autoSpaceDN/>
        <w:bidi w:val="0"/>
        <w:adjustRightInd/>
        <w:snapToGrid/>
        <w:spacing w:line="480" w:lineRule="auto"/>
        <w:textAlignment w:val="auto"/>
        <w:rPr>
          <w:rFonts w:ascii="Times New Roman" w:hAnsi="Times New Roman" w:cs="Times New Roman"/>
          <w:sz w:val="24"/>
          <w:szCs w:val="24"/>
        </w:rPr>
      </w:pPr>
      <w:r>
        <w:rPr>
          <w:rFonts w:ascii="Times New Roman" w:hAnsi="Times New Roman" w:cs="Times New Roman"/>
          <w:sz w:val="24"/>
          <w:szCs w:val="24"/>
        </w:rPr>
        <w:t>O'Neill, A.</w:t>
      </w:r>
      <w:r>
        <w:rPr>
          <w:rFonts w:hint="eastAsia" w:ascii="Times New Roman" w:hAnsi="Times New Roman" w:eastAsia="宋体" w:cs="Times New Roman"/>
          <w:sz w:val="24"/>
          <w:szCs w:val="24"/>
          <w:lang w:val="en-US" w:eastAsia="zh-CN"/>
        </w:rPr>
        <w:t xml:space="preserve"> (</w:t>
      </w:r>
      <w:r>
        <w:rPr>
          <w:rFonts w:ascii="Times New Roman" w:hAnsi="Times New Roman" w:cs="Times New Roman"/>
          <w:sz w:val="24"/>
          <w:szCs w:val="24"/>
        </w:rPr>
        <w:t>2022</w:t>
      </w:r>
      <w:r>
        <w:rPr>
          <w:rFonts w:hint="eastAsia" w:ascii="Times New Roman" w:hAnsi="Times New Roman" w:eastAsia="宋体" w:cs="Times New Roman"/>
          <w:sz w:val="24"/>
          <w:szCs w:val="24"/>
          <w:lang w:val="en-US" w:eastAsia="zh-CN"/>
        </w:rPr>
        <w:t>)</w:t>
      </w:r>
      <w:r>
        <w:rPr>
          <w:rFonts w:ascii="Times New Roman" w:hAnsi="Times New Roman" w:cs="Times New Roman"/>
          <w:sz w:val="24"/>
          <w:szCs w:val="24"/>
        </w:rPr>
        <w:t xml:space="preserve"> </w:t>
      </w:r>
      <w:r>
        <w:rPr>
          <w:rFonts w:ascii="Times New Roman" w:hAnsi="Times New Roman" w:cs="Times New Roman"/>
          <w:i/>
          <w:iCs/>
          <w:sz w:val="24"/>
          <w:szCs w:val="24"/>
        </w:rPr>
        <w:t>United Kingdom: Inflation rate from 1987 to 2027.</w:t>
      </w:r>
      <w:r>
        <w:rPr>
          <w:rFonts w:ascii="Times New Roman" w:hAnsi="Times New Roman" w:cs="Times New Roman"/>
          <w:sz w:val="24"/>
          <w:szCs w:val="24"/>
        </w:rPr>
        <w:t xml:space="preserve"> </w:t>
      </w:r>
      <w:r>
        <w:rPr>
          <w:rFonts w:hint="eastAsia" w:ascii="Times New Roman" w:hAnsi="Times New Roman" w:eastAsia="宋体" w:cs="Times New Roman"/>
          <w:sz w:val="24"/>
          <w:szCs w:val="24"/>
          <w:lang w:val="en-US" w:eastAsia="zh-CN"/>
        </w:rPr>
        <w:t>Available at:</w:t>
      </w:r>
      <w:r>
        <w:fldChar w:fldCharType="begin"/>
      </w:r>
      <w:r>
        <w:instrText xml:space="preserve"> HYPERLINK "https://www.statista.com/statistics/270384/inflation-rate-in-the-united-kingdom/" </w:instrText>
      </w:r>
      <w:r>
        <w:fldChar w:fldCharType="separate"/>
      </w:r>
      <w:r>
        <w:rPr>
          <w:rStyle w:val="15"/>
          <w:rFonts w:ascii="Times New Roman" w:hAnsi="Times New Roman" w:cs="Times New Roman"/>
          <w:color w:val="auto"/>
          <w:sz w:val="24"/>
          <w:szCs w:val="24"/>
          <w:u w:val="none"/>
        </w:rPr>
        <w:t>https://www.statista.com/statistics/270384/inflation-rate-in-the-united-kingdom/</w:t>
      </w:r>
      <w:r>
        <w:rPr>
          <w:rStyle w:val="15"/>
          <w:rFonts w:ascii="Times New Roman" w:hAnsi="Times New Roman" w:cs="Times New Roman"/>
          <w:color w:val="auto"/>
          <w:sz w:val="24"/>
          <w:szCs w:val="24"/>
          <w:u w:val="none"/>
        </w:rPr>
        <w:fldChar w:fldCharType="end"/>
      </w:r>
      <w:r>
        <w:rPr>
          <w:rFonts w:ascii="Times New Roman" w:hAnsi="Times New Roman" w:cs="Times New Roman"/>
          <w:sz w:val="24"/>
          <w:szCs w:val="24"/>
        </w:rPr>
        <w:t xml:space="preserve"> </w:t>
      </w:r>
      <w:r>
        <w:rPr>
          <w:rFonts w:hint="eastAsia" w:ascii="Times New Roman" w:hAnsi="Times New Roman" w:eastAsia="宋体" w:cs="Times New Roman"/>
          <w:sz w:val="24"/>
          <w:szCs w:val="24"/>
          <w:lang w:val="en-US" w:eastAsia="zh-CN"/>
        </w:rPr>
        <w:t>(A</w:t>
      </w:r>
      <w:r>
        <w:rPr>
          <w:rFonts w:ascii="Times New Roman" w:hAnsi="Times New Roman" w:cs="Times New Roman"/>
          <w:sz w:val="24"/>
          <w:szCs w:val="24"/>
        </w:rPr>
        <w:t xml:space="preserve">ccessed: </w:t>
      </w:r>
      <w:r>
        <w:rPr>
          <w:rFonts w:hint="eastAsia" w:ascii="Times New Roman" w:hAnsi="Times New Roman" w:eastAsia="宋体" w:cs="Times New Roman"/>
          <w:sz w:val="24"/>
          <w:szCs w:val="24"/>
          <w:lang w:val="en-US" w:eastAsia="zh-CN"/>
        </w:rPr>
        <w:t xml:space="preserve">16 </w:t>
      </w:r>
      <w:r>
        <w:rPr>
          <w:rFonts w:ascii="Times New Roman" w:hAnsi="Times New Roman" w:cs="Times New Roman"/>
          <w:sz w:val="24"/>
          <w:szCs w:val="24"/>
        </w:rPr>
        <w:t>November</w:t>
      </w:r>
      <w:r>
        <w:rPr>
          <w:rFonts w:hint="eastAsia" w:ascii="Times New Roman" w:hAnsi="Times New Roman" w:eastAsia="宋体" w:cs="Times New Roman"/>
          <w:sz w:val="24"/>
          <w:szCs w:val="24"/>
          <w:lang w:val="en-US" w:eastAsia="zh-CN"/>
        </w:rPr>
        <w:t xml:space="preserve"> </w:t>
      </w:r>
      <w:r>
        <w:rPr>
          <w:rFonts w:ascii="Times New Roman" w:hAnsi="Times New Roman" w:cs="Times New Roman"/>
          <w:sz w:val="24"/>
          <w:szCs w:val="24"/>
        </w:rPr>
        <w:t>2022</w:t>
      </w:r>
      <w:r>
        <w:rPr>
          <w:rFonts w:hint="eastAsia" w:ascii="Times New Roman" w:hAnsi="Times New Roman" w:eastAsia="宋体" w:cs="Times New Roman"/>
          <w:sz w:val="24"/>
          <w:szCs w:val="24"/>
          <w:lang w:val="en-US" w:eastAsia="zh-CN"/>
        </w:rPr>
        <w:t>).</w:t>
      </w:r>
    </w:p>
    <w:p>
      <w:pPr>
        <w:keepNext w:val="0"/>
        <w:keepLines w:val="0"/>
        <w:pageBreakBefore w:val="0"/>
        <w:widowControl/>
        <w:kinsoku/>
        <w:wordWrap w:val="0"/>
        <w:overflowPunct/>
        <w:topLinePunct w:val="0"/>
        <w:autoSpaceDE/>
        <w:autoSpaceDN/>
        <w:bidi w:val="0"/>
        <w:adjustRightInd/>
        <w:snapToGrid/>
        <w:spacing w:line="480" w:lineRule="auto"/>
        <w:ind w:left="720" w:hanging="720"/>
        <w:textAlignment w:val="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Pettifor, A.</w:t>
      </w:r>
      <w:r>
        <w:rPr>
          <w:rFonts w:hint="eastAsia" w:ascii="Times New Roman" w:hAnsi="Times New Roman" w:eastAsia="宋体" w:cs="Times New Roman"/>
          <w:sz w:val="24"/>
          <w:szCs w:val="24"/>
          <w:shd w:val="clear" w:color="auto" w:fill="FFFFFF"/>
          <w:lang w:val="en-US" w:eastAsia="zh-CN"/>
        </w:rPr>
        <w:t>(</w:t>
      </w:r>
      <w:r>
        <w:rPr>
          <w:rFonts w:ascii="Times New Roman" w:hAnsi="Times New Roman" w:cs="Times New Roman"/>
          <w:sz w:val="24"/>
          <w:szCs w:val="24"/>
          <w:shd w:val="clear" w:color="auto" w:fill="FFFFFF"/>
        </w:rPr>
        <w:t>2017</w:t>
      </w:r>
      <w:r>
        <w:rPr>
          <w:rFonts w:hint="eastAsia" w:ascii="Times New Roman" w:hAnsi="Times New Roman" w:eastAsia="宋体" w:cs="Times New Roman"/>
          <w:sz w:val="24"/>
          <w:szCs w:val="24"/>
          <w:shd w:val="clear" w:color="auto" w:fill="FFFFFF"/>
          <w:lang w:val="en-US" w:eastAsia="zh-CN"/>
        </w:rPr>
        <w:t>)</w:t>
      </w:r>
      <w:r>
        <w:rPr>
          <w:rFonts w:ascii="Times New Roman" w:hAnsi="Times New Roman" w:cs="Times New Roman"/>
          <w:sz w:val="24"/>
          <w:szCs w:val="24"/>
          <w:shd w:val="clear" w:color="auto" w:fill="FFFFFF"/>
        </w:rPr>
        <w:t xml:space="preserve"> Brexit and its consequences. </w:t>
      </w:r>
      <w:r>
        <w:rPr>
          <w:rFonts w:ascii="Times New Roman" w:hAnsi="Times New Roman" w:cs="Times New Roman"/>
          <w:i/>
          <w:iCs/>
          <w:sz w:val="24"/>
          <w:szCs w:val="24"/>
          <w:shd w:val="clear" w:color="auto" w:fill="FFFFFF"/>
        </w:rPr>
        <w:t>Globalizations</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14</w:t>
      </w:r>
      <w:r>
        <w:rPr>
          <w:rFonts w:ascii="Times New Roman" w:hAnsi="Times New Roman" w:cs="Times New Roman"/>
          <w:sz w:val="24"/>
          <w:szCs w:val="24"/>
          <w:shd w:val="clear" w:color="auto" w:fill="FFFFFF"/>
        </w:rPr>
        <w:t>(1), pp.127–132.</w:t>
      </w:r>
    </w:p>
    <w:p>
      <w:pPr>
        <w:keepNext w:val="0"/>
        <w:keepLines w:val="0"/>
        <w:pageBreakBefore w:val="0"/>
        <w:widowControl/>
        <w:kinsoku/>
        <w:wordWrap w:val="0"/>
        <w:overflowPunct/>
        <w:topLinePunct w:val="0"/>
        <w:autoSpaceDE/>
        <w:autoSpaceDN/>
        <w:bidi w:val="0"/>
        <w:adjustRightInd/>
        <w:snapToGrid/>
        <w:spacing w:line="480" w:lineRule="auto"/>
        <w:textAlignment w:val="auto"/>
        <w:rPr>
          <w:rFonts w:ascii="Times New Roman" w:hAnsi="Times New Roman" w:cs="Times New Roman"/>
          <w:sz w:val="24"/>
          <w:szCs w:val="24"/>
        </w:rPr>
      </w:pPr>
      <w:r>
        <w:rPr>
          <w:rFonts w:ascii="Times New Roman" w:hAnsi="Times New Roman" w:cs="Times New Roman"/>
          <w:sz w:val="24"/>
          <w:szCs w:val="24"/>
        </w:rPr>
        <w:t>Reuters</w:t>
      </w:r>
      <w:r>
        <w:rPr>
          <w:rFonts w:hint="eastAsia" w:ascii="Times New Roman" w:hAnsi="Times New Roman" w:eastAsia="宋体" w:cs="Times New Roman"/>
          <w:sz w:val="24"/>
          <w:szCs w:val="24"/>
          <w:lang w:val="en-US" w:eastAsia="zh-CN"/>
        </w:rPr>
        <w:t xml:space="preserve"> (</w:t>
      </w:r>
      <w:r>
        <w:rPr>
          <w:rFonts w:ascii="Times New Roman" w:hAnsi="Times New Roman" w:cs="Times New Roman"/>
          <w:sz w:val="24"/>
          <w:szCs w:val="24"/>
        </w:rPr>
        <w:t>2022</w:t>
      </w:r>
      <w:r>
        <w:rPr>
          <w:rFonts w:hint="eastAsia" w:ascii="Times New Roman" w:hAnsi="Times New Roman" w:eastAsia="宋体" w:cs="Times New Roman"/>
          <w:sz w:val="24"/>
          <w:szCs w:val="24"/>
          <w:lang w:val="en-US" w:eastAsia="zh-CN"/>
        </w:rPr>
        <w:t xml:space="preserve">) </w:t>
      </w:r>
      <w:r>
        <w:rPr>
          <w:rFonts w:ascii="Times New Roman" w:hAnsi="Times New Roman" w:cs="Times New Roman"/>
          <w:i/>
          <w:iCs/>
          <w:sz w:val="24"/>
          <w:szCs w:val="24"/>
        </w:rPr>
        <w:t>About Unilever.</w:t>
      </w:r>
      <w:r>
        <w:rPr>
          <w:rFonts w:ascii="Times New Roman" w:hAnsi="Times New Roman" w:cs="Times New Roman"/>
          <w:sz w:val="24"/>
          <w:szCs w:val="24"/>
        </w:rPr>
        <w:t xml:space="preserve"> </w:t>
      </w:r>
      <w:r>
        <w:rPr>
          <w:rFonts w:hint="eastAsia" w:ascii="Times New Roman" w:hAnsi="Times New Roman" w:eastAsia="宋体" w:cs="Times New Roman"/>
          <w:sz w:val="24"/>
          <w:szCs w:val="24"/>
          <w:lang w:val="en-US" w:eastAsia="zh-CN"/>
        </w:rPr>
        <w:t>Available at:</w:t>
      </w:r>
      <w:r>
        <w:fldChar w:fldCharType="begin"/>
      </w:r>
      <w:r>
        <w:instrText xml:space="preserve"> HYPERLINK "https://www.reuters.com/markets/companies/ULVR.L/" </w:instrText>
      </w:r>
      <w:r>
        <w:fldChar w:fldCharType="separate"/>
      </w:r>
      <w:r>
        <w:rPr>
          <w:rStyle w:val="15"/>
          <w:rFonts w:ascii="Times New Roman" w:hAnsi="Times New Roman" w:cs="Times New Roman"/>
          <w:color w:val="auto"/>
          <w:sz w:val="24"/>
          <w:szCs w:val="24"/>
          <w:u w:val="none"/>
        </w:rPr>
        <w:t>https://www.reuters.com/markets/companies/ULVR.L/</w:t>
      </w:r>
      <w:r>
        <w:rPr>
          <w:rStyle w:val="15"/>
          <w:rFonts w:ascii="Times New Roman" w:hAnsi="Times New Roman" w:cs="Times New Roman"/>
          <w:color w:val="auto"/>
          <w:sz w:val="24"/>
          <w:szCs w:val="24"/>
          <w:u w:val="none"/>
        </w:rPr>
        <w:fldChar w:fldCharType="end"/>
      </w:r>
      <w:r>
        <w:rPr>
          <w:rFonts w:hint="eastAsia" w:ascii="Times New Roman" w:hAnsi="Times New Roman" w:eastAsia="宋体" w:cs="Times New Roman"/>
          <w:sz w:val="24"/>
          <w:szCs w:val="24"/>
          <w:lang w:val="en-US" w:eastAsia="zh-CN"/>
        </w:rPr>
        <w:t>(A</w:t>
      </w:r>
      <w:r>
        <w:rPr>
          <w:rFonts w:ascii="Times New Roman" w:hAnsi="Times New Roman" w:cs="Times New Roman"/>
          <w:sz w:val="24"/>
          <w:szCs w:val="24"/>
        </w:rPr>
        <w:t xml:space="preserve">ccessed: </w:t>
      </w:r>
      <w:r>
        <w:rPr>
          <w:rFonts w:hint="eastAsia" w:ascii="Times New Roman" w:hAnsi="Times New Roman" w:eastAsia="宋体" w:cs="Times New Roman"/>
          <w:sz w:val="24"/>
          <w:szCs w:val="24"/>
          <w:lang w:val="en-US" w:eastAsia="zh-CN"/>
        </w:rPr>
        <w:t xml:space="preserve">16 </w:t>
      </w:r>
      <w:r>
        <w:rPr>
          <w:rFonts w:ascii="Times New Roman" w:hAnsi="Times New Roman" w:cs="Times New Roman"/>
          <w:sz w:val="24"/>
          <w:szCs w:val="24"/>
        </w:rPr>
        <w:t>November</w:t>
      </w:r>
      <w:r>
        <w:rPr>
          <w:rFonts w:hint="eastAsia" w:ascii="Times New Roman" w:hAnsi="Times New Roman" w:eastAsia="宋体" w:cs="Times New Roman"/>
          <w:sz w:val="24"/>
          <w:szCs w:val="24"/>
          <w:lang w:val="en-US" w:eastAsia="zh-CN"/>
        </w:rPr>
        <w:t xml:space="preserve"> </w:t>
      </w:r>
      <w:r>
        <w:rPr>
          <w:rFonts w:ascii="Times New Roman" w:hAnsi="Times New Roman" w:cs="Times New Roman"/>
          <w:sz w:val="24"/>
          <w:szCs w:val="24"/>
        </w:rPr>
        <w:t>2022</w:t>
      </w:r>
      <w:r>
        <w:rPr>
          <w:rFonts w:hint="eastAsia" w:ascii="Times New Roman" w:hAnsi="Times New Roman" w:eastAsia="宋体" w:cs="Times New Roman"/>
          <w:sz w:val="24"/>
          <w:szCs w:val="24"/>
          <w:lang w:val="en-US" w:eastAsia="zh-CN"/>
        </w:rPr>
        <w:t>).</w:t>
      </w:r>
    </w:p>
    <w:p>
      <w:pPr>
        <w:keepNext w:val="0"/>
        <w:keepLines w:val="0"/>
        <w:pageBreakBefore w:val="0"/>
        <w:widowControl/>
        <w:kinsoku/>
        <w:wordWrap w:val="0"/>
        <w:overflowPunct/>
        <w:topLinePunct w:val="0"/>
        <w:autoSpaceDE/>
        <w:autoSpaceDN/>
        <w:bidi w:val="0"/>
        <w:adjustRightInd/>
        <w:snapToGrid/>
        <w:spacing w:line="480" w:lineRule="auto"/>
        <w:textAlignment w:val="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Sar, A.K.</w:t>
      </w:r>
      <w:r>
        <w:rPr>
          <w:rFonts w:hint="eastAsia" w:ascii="Times New Roman" w:hAnsi="Times New Roman" w:eastAsia="宋体" w:cs="Times New Roman"/>
          <w:sz w:val="24"/>
          <w:szCs w:val="24"/>
          <w:shd w:val="clear" w:color="auto" w:fill="FFFFFF"/>
          <w:lang w:val="en-US" w:eastAsia="zh-CN"/>
        </w:rPr>
        <w:t>(</w:t>
      </w:r>
      <w:r>
        <w:rPr>
          <w:rFonts w:ascii="Times New Roman" w:hAnsi="Times New Roman" w:cs="Times New Roman"/>
          <w:sz w:val="24"/>
          <w:szCs w:val="24"/>
          <w:shd w:val="clear" w:color="auto" w:fill="FFFFFF"/>
        </w:rPr>
        <w:t>2018</w:t>
      </w:r>
      <w:r>
        <w:rPr>
          <w:rFonts w:hint="eastAsia" w:ascii="Times New Roman" w:hAnsi="Times New Roman" w:eastAsia="宋体" w:cs="Times New Roman"/>
          <w:sz w:val="24"/>
          <w:szCs w:val="24"/>
          <w:shd w:val="clear" w:color="auto" w:fill="FFFFFF"/>
          <w:lang w:val="en-US" w:eastAsia="zh-CN"/>
        </w:rPr>
        <w:t>)</w:t>
      </w:r>
      <w:r>
        <w:rPr>
          <w:rFonts w:ascii="Times New Roman" w:hAnsi="Times New Roman" w:cs="Times New Roman"/>
          <w:sz w:val="24"/>
          <w:szCs w:val="24"/>
          <w:shd w:val="clear" w:color="auto" w:fill="FFFFFF"/>
        </w:rPr>
        <w:t xml:space="preserve"> Competitive advantage and performance: An analysis of Indian FMCG industry. </w:t>
      </w:r>
      <w:r>
        <w:rPr>
          <w:rFonts w:ascii="Times New Roman" w:hAnsi="Times New Roman" w:cs="Times New Roman"/>
          <w:i/>
          <w:iCs/>
          <w:sz w:val="24"/>
          <w:szCs w:val="24"/>
          <w:shd w:val="clear" w:color="auto" w:fill="FFFFFF"/>
        </w:rPr>
        <w:t>Academy of Accounting and Financial Studies Journal</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22</w:t>
      </w:r>
      <w:r>
        <w:rPr>
          <w:rFonts w:ascii="Times New Roman" w:hAnsi="Times New Roman" w:cs="Times New Roman"/>
          <w:sz w:val="24"/>
          <w:szCs w:val="24"/>
          <w:shd w:val="clear" w:color="auto" w:fill="FFFFFF"/>
        </w:rPr>
        <w:t>(1), pp.1-8.</w:t>
      </w:r>
    </w:p>
    <w:p>
      <w:pPr>
        <w:keepNext w:val="0"/>
        <w:keepLines w:val="0"/>
        <w:pageBreakBefore w:val="0"/>
        <w:widowControl/>
        <w:kinsoku/>
        <w:wordWrap w:val="0"/>
        <w:overflowPunct/>
        <w:topLinePunct w:val="0"/>
        <w:autoSpaceDE/>
        <w:autoSpaceDN/>
        <w:bidi w:val="0"/>
        <w:adjustRightInd/>
        <w:snapToGrid/>
        <w:spacing w:line="480" w:lineRule="auto"/>
        <w:textAlignment w:val="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Szabo, S. and Webster, J.</w:t>
      </w:r>
      <w:r>
        <w:rPr>
          <w:rFonts w:hint="eastAsia" w:ascii="Times New Roman" w:hAnsi="Times New Roman" w:eastAsia="宋体" w:cs="Times New Roman"/>
          <w:sz w:val="24"/>
          <w:szCs w:val="24"/>
          <w:shd w:val="clear" w:color="auto" w:fill="FFFFFF"/>
          <w:lang w:val="en-US" w:eastAsia="zh-CN"/>
        </w:rPr>
        <w:t>(</w:t>
      </w:r>
      <w:r>
        <w:rPr>
          <w:rFonts w:ascii="Times New Roman" w:hAnsi="Times New Roman" w:cs="Times New Roman"/>
          <w:sz w:val="24"/>
          <w:szCs w:val="24"/>
          <w:shd w:val="clear" w:color="auto" w:fill="FFFFFF"/>
        </w:rPr>
        <w:t>2021</w:t>
      </w:r>
      <w:r>
        <w:rPr>
          <w:rFonts w:hint="eastAsia" w:ascii="Times New Roman" w:hAnsi="Times New Roman" w:eastAsia="宋体" w:cs="Times New Roman"/>
          <w:sz w:val="24"/>
          <w:szCs w:val="24"/>
          <w:shd w:val="clear" w:color="auto" w:fill="FFFFFF"/>
          <w:lang w:val="en-US" w:eastAsia="zh-CN"/>
        </w:rPr>
        <w:t>)</w:t>
      </w:r>
      <w:r>
        <w:rPr>
          <w:rFonts w:ascii="Times New Roman" w:hAnsi="Times New Roman" w:cs="Times New Roman"/>
          <w:sz w:val="24"/>
          <w:szCs w:val="24"/>
          <w:shd w:val="clear" w:color="auto" w:fill="FFFFFF"/>
        </w:rPr>
        <w:t xml:space="preserve"> Perceived greenwashing: the effects of green marketing on environmental and product perceptions. </w:t>
      </w:r>
      <w:r>
        <w:rPr>
          <w:rFonts w:ascii="Times New Roman" w:hAnsi="Times New Roman" w:cs="Times New Roman"/>
          <w:i/>
          <w:iCs/>
          <w:sz w:val="24"/>
          <w:szCs w:val="24"/>
          <w:shd w:val="clear" w:color="auto" w:fill="FFFFFF"/>
        </w:rPr>
        <w:t>Journal of Business Ethics</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171</w:t>
      </w:r>
      <w:r>
        <w:rPr>
          <w:rFonts w:ascii="Times New Roman" w:hAnsi="Times New Roman" w:cs="Times New Roman"/>
          <w:sz w:val="24"/>
          <w:szCs w:val="24"/>
          <w:shd w:val="clear" w:color="auto" w:fill="FFFFFF"/>
        </w:rPr>
        <w:t>(4), pp.719-739.</w:t>
      </w:r>
      <w:bookmarkStart w:id="13" w:name="_GoBack"/>
      <w:bookmarkEnd w:id="13"/>
    </w:p>
    <w:p>
      <w:pPr>
        <w:keepNext w:val="0"/>
        <w:keepLines w:val="0"/>
        <w:pageBreakBefore w:val="0"/>
        <w:widowControl/>
        <w:kinsoku/>
        <w:wordWrap w:val="0"/>
        <w:overflowPunct/>
        <w:topLinePunct w:val="0"/>
        <w:autoSpaceDE/>
        <w:autoSpaceDN/>
        <w:bidi w:val="0"/>
        <w:adjustRightInd/>
        <w:snapToGrid/>
        <w:spacing w:line="480" w:lineRule="auto"/>
        <w:textAlignment w:val="auto"/>
        <w:rPr>
          <w:rFonts w:hint="eastAsia" w:ascii="Times New Roman" w:hAnsi="Times New Roman" w:eastAsia="宋体" w:cs="Times New Roman"/>
          <w:sz w:val="24"/>
          <w:szCs w:val="24"/>
          <w:lang w:val="en-US" w:eastAsia="zh-CN"/>
        </w:rPr>
      </w:pPr>
      <w:r>
        <w:rPr>
          <w:rFonts w:ascii="Times New Roman" w:hAnsi="Times New Roman" w:cs="Times New Roman"/>
          <w:sz w:val="24"/>
          <w:szCs w:val="24"/>
          <w:shd w:val="clear" w:color="auto" w:fill="FFFFFF"/>
        </w:rPr>
        <w:t>Unilever</w:t>
      </w:r>
      <w:r>
        <w:rPr>
          <w:rFonts w:hint="eastAsia" w:ascii="Times New Roman" w:hAnsi="Times New Roman" w:eastAsia="宋体" w:cs="Times New Roman"/>
          <w:sz w:val="24"/>
          <w:szCs w:val="24"/>
          <w:shd w:val="clear" w:color="auto" w:fill="FFFFFF"/>
          <w:lang w:val="en-US" w:eastAsia="zh-CN"/>
        </w:rPr>
        <w:t xml:space="preserve"> (</w:t>
      </w:r>
      <w:r>
        <w:rPr>
          <w:rFonts w:ascii="Times New Roman" w:hAnsi="Times New Roman" w:cs="Times New Roman"/>
          <w:sz w:val="24"/>
          <w:szCs w:val="24"/>
          <w:shd w:val="clear" w:color="auto" w:fill="FFFFFF"/>
        </w:rPr>
        <w:t>2022</w:t>
      </w:r>
      <w:r>
        <w:rPr>
          <w:rFonts w:hint="eastAsia" w:ascii="Times New Roman" w:hAnsi="Times New Roman" w:eastAsia="宋体" w:cs="Times New Roman"/>
          <w:sz w:val="24"/>
          <w:szCs w:val="24"/>
          <w:shd w:val="clear" w:color="auto" w:fill="FFFFFF"/>
          <w:lang w:val="en-US" w:eastAsia="zh-CN"/>
        </w:rPr>
        <w:t>)</w:t>
      </w:r>
      <w:r>
        <w:rPr>
          <w:rFonts w:ascii="Times New Roman" w:hAnsi="Times New Roman" w:cs="Times New Roman"/>
          <w:sz w:val="24"/>
          <w:szCs w:val="24"/>
          <w:shd w:val="clear" w:color="auto" w:fill="FFFFFF"/>
        </w:rPr>
        <w:t xml:space="preserve"> </w:t>
      </w:r>
      <w:r>
        <w:rPr>
          <w:rFonts w:ascii="Times New Roman" w:hAnsi="Times New Roman" w:cs="Times New Roman"/>
          <w:i/>
          <w:iCs/>
          <w:sz w:val="24"/>
          <w:szCs w:val="24"/>
          <w:shd w:val="clear" w:color="auto" w:fill="FFFFFF"/>
        </w:rPr>
        <w:t>About our company.</w:t>
      </w:r>
      <w:r>
        <w:rPr>
          <w:rFonts w:ascii="Times New Roman" w:hAnsi="Times New Roman" w:cs="Times New Roman"/>
          <w:sz w:val="24"/>
          <w:szCs w:val="24"/>
          <w:shd w:val="clear" w:color="auto" w:fill="FFFFFF"/>
        </w:rPr>
        <w:t xml:space="preserve"> </w:t>
      </w:r>
      <w:r>
        <w:rPr>
          <w:rFonts w:hint="eastAsia" w:ascii="Times New Roman" w:hAnsi="Times New Roman" w:eastAsia="宋体" w:cs="Times New Roman"/>
          <w:sz w:val="24"/>
          <w:szCs w:val="24"/>
          <w:lang w:val="en-US" w:eastAsia="zh-CN"/>
        </w:rPr>
        <w:t>Available at:</w:t>
      </w:r>
      <w:r>
        <w:fldChar w:fldCharType="begin"/>
      </w:r>
      <w:r>
        <w:instrText xml:space="preserve"> HYPERLINK "https://www.unilever-ewa.com/our-company/" \l ":~:text=We%20want%20to%20do%20more,plan%20to%20continue%20doing%20that" </w:instrText>
      </w:r>
      <w:r>
        <w:fldChar w:fldCharType="separate"/>
      </w:r>
      <w:r>
        <w:rPr>
          <w:rStyle w:val="15"/>
          <w:rFonts w:ascii="Times New Roman" w:hAnsi="Times New Roman" w:cs="Times New Roman"/>
          <w:color w:val="auto"/>
          <w:sz w:val="24"/>
          <w:szCs w:val="24"/>
          <w:u w:val="none"/>
          <w:shd w:val="clear" w:color="auto" w:fill="FFFFFF"/>
        </w:rPr>
        <w:t>https://www.unilever-ewa.com/our</w:t>
      </w:r>
      <w:r>
        <w:rPr>
          <w:rStyle w:val="15"/>
          <w:rFonts w:hint="eastAsia" w:ascii="Times New Roman" w:hAnsi="Times New Roman" w:eastAsia="宋体" w:cs="Times New Roman"/>
          <w:color w:val="auto"/>
          <w:sz w:val="24"/>
          <w:szCs w:val="24"/>
          <w:u w:val="none"/>
          <w:shd w:val="clear" w:color="auto" w:fill="FFFFFF"/>
          <w:lang w:val="en-US" w:eastAsia="zh-CN"/>
        </w:rPr>
        <w:t xml:space="preserve"> </w:t>
      </w:r>
      <w:r>
        <w:rPr>
          <w:rStyle w:val="15"/>
          <w:rFonts w:ascii="Times New Roman" w:hAnsi="Times New Roman" w:cs="Times New Roman"/>
          <w:color w:val="auto"/>
          <w:sz w:val="24"/>
          <w:szCs w:val="24"/>
          <w:u w:val="none"/>
          <w:shd w:val="clear" w:color="auto" w:fill="FFFFFF"/>
        </w:rPr>
        <w:t>company/#:~:text=We%20want%20to%20do%20more,plan%20to%20continue%20doing%20that</w:t>
      </w:r>
      <w:r>
        <w:rPr>
          <w:rStyle w:val="15"/>
          <w:rFonts w:ascii="Times New Roman" w:hAnsi="Times New Roman" w:cs="Times New Roman"/>
          <w:color w:val="auto"/>
          <w:sz w:val="24"/>
          <w:szCs w:val="24"/>
          <w:u w:val="none"/>
          <w:shd w:val="clear" w:color="auto" w:fill="FFFFFF"/>
        </w:rPr>
        <w:fldChar w:fldCharType="end"/>
      </w:r>
      <w:r>
        <w:rPr>
          <w:rFonts w:ascii="Times New Roman" w:hAnsi="Times New Roman" w:cs="Times New Roman"/>
          <w:sz w:val="24"/>
          <w:szCs w:val="24"/>
          <w:shd w:val="clear" w:color="auto" w:fill="FFFFFF"/>
        </w:rPr>
        <w:t xml:space="preserve">. </w:t>
      </w:r>
      <w:r>
        <w:rPr>
          <w:rFonts w:hint="eastAsia" w:ascii="Times New Roman" w:hAnsi="Times New Roman" w:eastAsia="宋体" w:cs="Times New Roman"/>
          <w:sz w:val="24"/>
          <w:szCs w:val="24"/>
          <w:lang w:val="en-US" w:eastAsia="zh-CN"/>
        </w:rPr>
        <w:t>(A</w:t>
      </w:r>
      <w:r>
        <w:rPr>
          <w:rFonts w:ascii="Times New Roman" w:hAnsi="Times New Roman" w:cs="Times New Roman"/>
          <w:sz w:val="24"/>
          <w:szCs w:val="24"/>
        </w:rPr>
        <w:t xml:space="preserve">ccessed: </w:t>
      </w:r>
      <w:r>
        <w:rPr>
          <w:rFonts w:hint="eastAsia" w:ascii="Times New Roman" w:hAnsi="Times New Roman" w:eastAsia="宋体" w:cs="Times New Roman"/>
          <w:sz w:val="24"/>
          <w:szCs w:val="24"/>
          <w:lang w:val="en-US" w:eastAsia="zh-CN"/>
        </w:rPr>
        <w:t xml:space="preserve">16 </w:t>
      </w:r>
      <w:r>
        <w:rPr>
          <w:rFonts w:ascii="Times New Roman" w:hAnsi="Times New Roman" w:cs="Times New Roman"/>
          <w:sz w:val="24"/>
          <w:szCs w:val="24"/>
        </w:rPr>
        <w:t>November</w:t>
      </w:r>
      <w:r>
        <w:rPr>
          <w:rFonts w:hint="eastAsia" w:ascii="Times New Roman" w:hAnsi="Times New Roman" w:eastAsia="宋体" w:cs="Times New Roman"/>
          <w:sz w:val="24"/>
          <w:szCs w:val="24"/>
          <w:lang w:val="en-US" w:eastAsia="zh-CN"/>
        </w:rPr>
        <w:t xml:space="preserve"> </w:t>
      </w:r>
      <w:r>
        <w:rPr>
          <w:rFonts w:ascii="Times New Roman" w:hAnsi="Times New Roman" w:cs="Times New Roman"/>
          <w:sz w:val="24"/>
          <w:szCs w:val="24"/>
        </w:rPr>
        <w:t>2022</w:t>
      </w:r>
      <w:r>
        <w:rPr>
          <w:rFonts w:hint="eastAsia" w:ascii="Times New Roman" w:hAnsi="Times New Roman" w:eastAsia="宋体" w:cs="Times New Roman"/>
          <w:sz w:val="24"/>
          <w:szCs w:val="24"/>
          <w:lang w:val="en-US" w:eastAsia="zh-CN"/>
        </w:rPr>
        <w:t>).</w:t>
      </w:r>
    </w:p>
    <w:p>
      <w:pPr>
        <w:keepNext w:val="0"/>
        <w:keepLines w:val="0"/>
        <w:pageBreakBefore w:val="0"/>
        <w:widowControl/>
        <w:kinsoku/>
        <w:wordWrap w:val="0"/>
        <w:overflowPunct/>
        <w:topLinePunct w:val="0"/>
        <w:autoSpaceDE/>
        <w:autoSpaceDN/>
        <w:bidi w:val="0"/>
        <w:adjustRightInd/>
        <w:snapToGrid/>
        <w:spacing w:line="480" w:lineRule="auto"/>
        <w:textAlignment w:val="auto"/>
        <w:rPr>
          <w:rFonts w:hint="eastAsia" w:ascii="Times New Roman" w:hAnsi="Times New Roman" w:eastAsia="宋体" w:cs="Times New Roman"/>
          <w:sz w:val="24"/>
          <w:szCs w:val="24"/>
          <w:lang w:val="en-US" w:eastAsia="zh-CN"/>
        </w:rPr>
      </w:pPr>
      <w:r>
        <w:rPr>
          <w:rFonts w:ascii="Times New Roman" w:hAnsi="Times New Roman" w:cs="Times New Roman"/>
          <w:sz w:val="24"/>
          <w:szCs w:val="24"/>
          <w:shd w:val="clear" w:color="auto" w:fill="FFFFFF"/>
        </w:rPr>
        <w:t>Unilever</w:t>
      </w:r>
      <w:r>
        <w:rPr>
          <w:rFonts w:hint="eastAsia" w:ascii="Times New Roman" w:hAnsi="Times New Roman" w:eastAsia="宋体" w:cs="Times New Roman"/>
          <w:sz w:val="24"/>
          <w:szCs w:val="24"/>
          <w:shd w:val="clear" w:color="auto" w:fill="FFFFFF"/>
          <w:lang w:val="en-US" w:eastAsia="zh-CN"/>
        </w:rPr>
        <w:t xml:space="preserve"> (</w:t>
      </w:r>
      <w:r>
        <w:rPr>
          <w:rFonts w:ascii="Times New Roman" w:hAnsi="Times New Roman" w:cs="Times New Roman"/>
          <w:sz w:val="24"/>
          <w:szCs w:val="24"/>
          <w:shd w:val="clear" w:color="auto" w:fill="FFFFFF"/>
        </w:rPr>
        <w:t>2022</w:t>
      </w:r>
      <w:r>
        <w:rPr>
          <w:rFonts w:hint="eastAsia" w:ascii="Times New Roman" w:hAnsi="Times New Roman" w:eastAsia="宋体" w:cs="Times New Roman"/>
          <w:sz w:val="24"/>
          <w:szCs w:val="24"/>
          <w:shd w:val="clear" w:color="auto" w:fill="FFFFFF"/>
          <w:lang w:val="en-US" w:eastAsia="zh-CN"/>
        </w:rPr>
        <w:t xml:space="preserve">) </w:t>
      </w:r>
      <w:r>
        <w:rPr>
          <w:rFonts w:ascii="Times New Roman" w:hAnsi="Times New Roman" w:cs="Times New Roman"/>
          <w:sz w:val="24"/>
          <w:szCs w:val="24"/>
        </w:rPr>
        <w:t xml:space="preserve"> </w:t>
      </w:r>
      <w:r>
        <w:rPr>
          <w:rFonts w:ascii="Times New Roman" w:hAnsi="Times New Roman" w:cs="Times New Roman"/>
          <w:i/>
          <w:iCs/>
          <w:sz w:val="24"/>
          <w:szCs w:val="24"/>
        </w:rPr>
        <w:t>Annual report: 2021.</w:t>
      </w:r>
      <w:r>
        <w:rPr>
          <w:rFonts w:hint="eastAsia" w:ascii="Times New Roman" w:hAnsi="Times New Roman" w:eastAsia="宋体" w:cs="Times New Roman"/>
          <w:sz w:val="24"/>
          <w:szCs w:val="24"/>
          <w:lang w:val="en-US" w:eastAsia="zh-CN"/>
        </w:rPr>
        <w:t>Available at:</w:t>
      </w:r>
      <w:r>
        <w:rPr>
          <w:rFonts w:ascii="Times New Roman" w:hAnsi="Times New Roman" w:cs="Times New Roman"/>
          <w:sz w:val="24"/>
          <w:szCs w:val="24"/>
        </w:rPr>
        <w:t xml:space="preserve"> </w:t>
      </w:r>
      <w:r>
        <w:fldChar w:fldCharType="begin"/>
      </w:r>
      <w:r>
        <w:instrText xml:space="preserve"> HYPERLINK "https://www.unilever.com/investors/annual-report-and-accounts/" </w:instrText>
      </w:r>
      <w:r>
        <w:fldChar w:fldCharType="separate"/>
      </w:r>
      <w:r>
        <w:rPr>
          <w:rStyle w:val="15"/>
          <w:rFonts w:ascii="Times New Roman" w:hAnsi="Times New Roman" w:cs="Times New Roman"/>
          <w:color w:val="auto"/>
          <w:sz w:val="24"/>
          <w:szCs w:val="24"/>
          <w:u w:val="none"/>
        </w:rPr>
        <w:t>https://www.unilever.com/investors/annual-report-and-accounts/</w:t>
      </w:r>
      <w:r>
        <w:rPr>
          <w:rStyle w:val="15"/>
          <w:rFonts w:ascii="Times New Roman" w:hAnsi="Times New Roman" w:cs="Times New Roman"/>
          <w:color w:val="auto"/>
          <w:sz w:val="24"/>
          <w:szCs w:val="24"/>
          <w:u w:val="none"/>
        </w:rPr>
        <w:fldChar w:fldCharType="end"/>
      </w:r>
      <w:r>
        <w:rPr>
          <w:rFonts w:ascii="Times New Roman" w:hAnsi="Times New Roman" w:cs="Times New Roman"/>
          <w:sz w:val="24"/>
          <w:szCs w:val="24"/>
        </w:rPr>
        <w:t xml:space="preserve"> </w:t>
      </w:r>
      <w:r>
        <w:rPr>
          <w:rFonts w:hint="eastAsia" w:ascii="Times New Roman" w:hAnsi="Times New Roman" w:eastAsia="宋体" w:cs="Times New Roman"/>
          <w:sz w:val="24"/>
          <w:szCs w:val="24"/>
          <w:lang w:val="en-US" w:eastAsia="zh-CN"/>
        </w:rPr>
        <w:t>(A</w:t>
      </w:r>
      <w:r>
        <w:rPr>
          <w:rFonts w:ascii="Times New Roman" w:hAnsi="Times New Roman" w:cs="Times New Roman"/>
          <w:sz w:val="24"/>
          <w:szCs w:val="24"/>
        </w:rPr>
        <w:t xml:space="preserve">ccessed: </w:t>
      </w:r>
      <w:r>
        <w:rPr>
          <w:rFonts w:hint="eastAsia" w:ascii="Times New Roman" w:hAnsi="Times New Roman" w:eastAsia="宋体" w:cs="Times New Roman"/>
          <w:sz w:val="24"/>
          <w:szCs w:val="24"/>
          <w:lang w:val="en-US" w:eastAsia="zh-CN"/>
        </w:rPr>
        <w:t xml:space="preserve">16 </w:t>
      </w:r>
      <w:r>
        <w:rPr>
          <w:rFonts w:ascii="Times New Roman" w:hAnsi="Times New Roman" w:cs="Times New Roman"/>
          <w:sz w:val="24"/>
          <w:szCs w:val="24"/>
        </w:rPr>
        <w:t>November</w:t>
      </w:r>
      <w:r>
        <w:rPr>
          <w:rFonts w:hint="eastAsia" w:ascii="Times New Roman" w:hAnsi="Times New Roman" w:eastAsia="宋体" w:cs="Times New Roman"/>
          <w:sz w:val="24"/>
          <w:szCs w:val="24"/>
          <w:lang w:val="en-US" w:eastAsia="zh-CN"/>
        </w:rPr>
        <w:t xml:space="preserve"> </w:t>
      </w:r>
      <w:r>
        <w:rPr>
          <w:rFonts w:ascii="Times New Roman" w:hAnsi="Times New Roman" w:cs="Times New Roman"/>
          <w:sz w:val="24"/>
          <w:szCs w:val="24"/>
        </w:rPr>
        <w:t>2022</w:t>
      </w:r>
      <w:r>
        <w:rPr>
          <w:rFonts w:hint="eastAsia" w:ascii="Times New Roman" w:hAnsi="Times New Roman" w:eastAsia="宋体" w:cs="Times New Roman"/>
          <w:sz w:val="24"/>
          <w:szCs w:val="24"/>
          <w:lang w:val="en-US" w:eastAsia="zh-CN"/>
        </w:rPr>
        <w:t>).</w:t>
      </w:r>
    </w:p>
    <w:p>
      <w:pPr>
        <w:keepNext w:val="0"/>
        <w:keepLines w:val="0"/>
        <w:pageBreakBefore w:val="0"/>
        <w:widowControl/>
        <w:kinsoku/>
        <w:wordWrap w:val="0"/>
        <w:overflowPunct/>
        <w:topLinePunct w:val="0"/>
        <w:autoSpaceDE/>
        <w:autoSpaceDN/>
        <w:bidi w:val="0"/>
        <w:adjustRightInd/>
        <w:snapToGrid/>
        <w:spacing w:line="480" w:lineRule="auto"/>
        <w:textAlignment w:val="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Wheelen, T.L., Hunger, J.D., Hoffman, A.N. and Bamford, C.E.</w:t>
      </w:r>
      <w:r>
        <w:rPr>
          <w:rFonts w:hint="eastAsia" w:ascii="Times New Roman" w:hAnsi="Times New Roman" w:eastAsia="宋体" w:cs="Times New Roman"/>
          <w:sz w:val="24"/>
          <w:szCs w:val="24"/>
          <w:shd w:val="clear" w:color="auto" w:fill="FFFFFF"/>
          <w:lang w:val="en-US" w:eastAsia="zh-CN"/>
        </w:rPr>
        <w:t>(</w:t>
      </w:r>
      <w:r>
        <w:rPr>
          <w:rFonts w:ascii="Times New Roman" w:hAnsi="Times New Roman" w:cs="Times New Roman"/>
          <w:sz w:val="24"/>
          <w:szCs w:val="24"/>
          <w:shd w:val="clear" w:color="auto" w:fill="FFFFFF"/>
        </w:rPr>
        <w:t>2017</w:t>
      </w:r>
      <w:r>
        <w:rPr>
          <w:rFonts w:hint="eastAsia" w:ascii="Times New Roman" w:hAnsi="Times New Roman" w:eastAsia="宋体" w:cs="Times New Roman"/>
          <w:sz w:val="24"/>
          <w:szCs w:val="24"/>
          <w:shd w:val="clear" w:color="auto" w:fill="FFFFFF"/>
          <w:lang w:val="en-US" w:eastAsia="zh-CN"/>
        </w:rPr>
        <w:t xml:space="preserve">) </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Strategic management and business policy</w:t>
      </w:r>
      <w:r>
        <w:rPr>
          <w:rFonts w:ascii="Times New Roman" w:hAnsi="Times New Roman" w:cs="Times New Roman"/>
          <w:sz w:val="24"/>
          <w:szCs w:val="24"/>
          <w:shd w:val="clear" w:color="auto" w:fill="FFFFFF"/>
        </w:rPr>
        <w:t> (Vol. 55). Boston: Pearson.</w:t>
      </w:r>
    </w:p>
    <w:p>
      <w:pPr>
        <w:keepNext w:val="0"/>
        <w:keepLines w:val="0"/>
        <w:pageBreakBefore w:val="0"/>
        <w:widowControl/>
        <w:kinsoku/>
        <w:wordWrap w:val="0"/>
        <w:overflowPunct/>
        <w:topLinePunct w:val="0"/>
        <w:autoSpaceDE/>
        <w:autoSpaceDN/>
        <w:bidi w:val="0"/>
        <w:adjustRightInd/>
        <w:snapToGrid/>
        <w:spacing w:line="480" w:lineRule="auto"/>
        <w:textAlignment w:val="auto"/>
        <w:rPr>
          <w:rFonts w:hint="eastAsia" w:ascii="Times New Roman" w:hAnsi="Times New Roman" w:eastAsia="宋体" w:cs="Times New Roman"/>
          <w:sz w:val="24"/>
          <w:szCs w:val="24"/>
          <w:lang w:val="en-US" w:eastAsia="zh-CN"/>
        </w:rPr>
      </w:pPr>
      <w:r>
        <w:rPr>
          <w:rFonts w:ascii="Times New Roman" w:hAnsi="Times New Roman" w:cs="Times New Roman"/>
          <w:sz w:val="24"/>
          <w:szCs w:val="24"/>
        </w:rPr>
        <w:t>Worldometers</w:t>
      </w:r>
      <w:r>
        <w:rPr>
          <w:rFonts w:hint="eastAsia" w:ascii="Times New Roman" w:hAnsi="Times New Roman" w:eastAsia="宋体" w:cs="Times New Roman"/>
          <w:sz w:val="24"/>
          <w:szCs w:val="24"/>
          <w:lang w:val="en-US" w:eastAsia="zh-CN"/>
        </w:rPr>
        <w:t xml:space="preserve"> (</w:t>
      </w:r>
      <w:r>
        <w:rPr>
          <w:rFonts w:ascii="Times New Roman" w:hAnsi="Times New Roman" w:cs="Times New Roman"/>
          <w:sz w:val="24"/>
          <w:szCs w:val="24"/>
        </w:rPr>
        <w:t>2022</w:t>
      </w:r>
      <w:r>
        <w:rPr>
          <w:rFonts w:hint="eastAsia" w:ascii="Times New Roman" w:hAnsi="Times New Roman" w:eastAsia="宋体" w:cs="Times New Roman"/>
          <w:sz w:val="24"/>
          <w:szCs w:val="24"/>
          <w:lang w:val="en-US" w:eastAsia="zh-CN"/>
        </w:rPr>
        <w:t>)</w:t>
      </w:r>
      <w:r>
        <w:rPr>
          <w:rFonts w:ascii="Times New Roman" w:hAnsi="Times New Roman" w:cs="Times New Roman"/>
          <w:sz w:val="24"/>
          <w:szCs w:val="24"/>
        </w:rPr>
        <w:t xml:space="preserve"> </w:t>
      </w:r>
      <w:r>
        <w:rPr>
          <w:rFonts w:ascii="Times New Roman" w:hAnsi="Times New Roman" w:cs="Times New Roman"/>
          <w:i/>
          <w:iCs/>
          <w:sz w:val="24"/>
          <w:szCs w:val="24"/>
        </w:rPr>
        <w:t>World Population: Past, Present, and Future.</w:t>
      </w:r>
      <w:r>
        <w:rPr>
          <w:rFonts w:hint="eastAsia" w:ascii="Times New Roman" w:hAnsi="Times New Roman" w:eastAsia="宋体" w:cs="Times New Roman"/>
          <w:i/>
          <w:iCs/>
          <w:sz w:val="24"/>
          <w:szCs w:val="24"/>
          <w:lang w:val="en-US" w:eastAsia="zh-CN"/>
        </w:rPr>
        <w:t xml:space="preserve"> </w:t>
      </w:r>
      <w:r>
        <w:rPr>
          <w:rFonts w:hint="eastAsia" w:ascii="Times New Roman" w:hAnsi="Times New Roman" w:eastAsia="宋体" w:cs="Times New Roman"/>
          <w:sz w:val="24"/>
          <w:szCs w:val="24"/>
          <w:lang w:val="en-US" w:eastAsia="zh-CN"/>
        </w:rPr>
        <w:t>Available at:</w:t>
      </w:r>
      <w:r>
        <w:fldChar w:fldCharType="begin"/>
      </w:r>
      <w:r>
        <w:instrText xml:space="preserve"> HYPERLINK "https://www.worldometers.info/world-population/" \l ":~:text=Population%20in%20the%20world%20is,it%20was%20at%20around%202%25" </w:instrText>
      </w:r>
      <w:r>
        <w:fldChar w:fldCharType="separate"/>
      </w:r>
      <w:r>
        <w:rPr>
          <w:rStyle w:val="15"/>
          <w:rFonts w:ascii="Times New Roman" w:hAnsi="Times New Roman" w:cs="Times New Roman"/>
          <w:color w:val="auto"/>
          <w:sz w:val="24"/>
          <w:szCs w:val="24"/>
          <w:u w:val="none"/>
        </w:rPr>
        <w:t>https://www.worldometers.info/worldpopulation/#:~:text=Population%20in%20the%20world%20is,it%20was%20at%20around%202%25</w:t>
      </w:r>
      <w:r>
        <w:rPr>
          <w:rStyle w:val="15"/>
          <w:rFonts w:ascii="Times New Roman" w:hAnsi="Times New Roman" w:cs="Times New Roman"/>
          <w:color w:val="auto"/>
          <w:sz w:val="24"/>
          <w:szCs w:val="24"/>
          <w:u w:val="none"/>
        </w:rPr>
        <w:fldChar w:fldCharType="end"/>
      </w:r>
      <w:r>
        <w:rPr>
          <w:rStyle w:val="15"/>
          <w:rFonts w:hint="eastAsia" w:ascii="Times New Roman" w:hAnsi="Times New Roman" w:eastAsia="宋体" w:cs="Times New Roman"/>
          <w:color w:val="auto"/>
          <w:sz w:val="24"/>
          <w:szCs w:val="24"/>
          <w:u w:val="none"/>
          <w:lang w:val="en-US" w:eastAsia="zh-CN"/>
        </w:rPr>
        <w:t>/</w:t>
      </w:r>
      <w:r>
        <w:rPr>
          <w:rFonts w:hint="eastAsia" w:ascii="Times New Roman" w:hAnsi="Times New Roman" w:eastAsia="宋体" w:cs="Times New Roman"/>
          <w:sz w:val="24"/>
          <w:szCs w:val="24"/>
          <w:lang w:val="en-US" w:eastAsia="zh-CN"/>
        </w:rPr>
        <w:t>(A</w:t>
      </w:r>
      <w:r>
        <w:rPr>
          <w:rFonts w:ascii="Times New Roman" w:hAnsi="Times New Roman" w:cs="Times New Roman"/>
          <w:sz w:val="24"/>
          <w:szCs w:val="24"/>
        </w:rPr>
        <w:t xml:space="preserve">ccessed: </w:t>
      </w:r>
      <w:r>
        <w:rPr>
          <w:rFonts w:hint="eastAsia" w:ascii="Times New Roman" w:hAnsi="Times New Roman" w:eastAsia="宋体" w:cs="Times New Roman"/>
          <w:sz w:val="24"/>
          <w:szCs w:val="24"/>
          <w:lang w:val="en-US" w:eastAsia="zh-CN"/>
        </w:rPr>
        <w:t xml:space="preserve">16 </w:t>
      </w:r>
      <w:r>
        <w:rPr>
          <w:rFonts w:ascii="Times New Roman" w:hAnsi="Times New Roman" w:cs="Times New Roman"/>
          <w:sz w:val="24"/>
          <w:szCs w:val="24"/>
        </w:rPr>
        <w:t>November</w:t>
      </w:r>
      <w:r>
        <w:rPr>
          <w:rFonts w:hint="eastAsia" w:ascii="Times New Roman" w:hAnsi="Times New Roman" w:eastAsia="宋体" w:cs="Times New Roman"/>
          <w:sz w:val="24"/>
          <w:szCs w:val="24"/>
          <w:lang w:val="en-US" w:eastAsia="zh-CN"/>
        </w:rPr>
        <w:t xml:space="preserve"> </w:t>
      </w:r>
      <w:r>
        <w:rPr>
          <w:rFonts w:ascii="Times New Roman" w:hAnsi="Times New Roman" w:cs="Times New Roman"/>
          <w:sz w:val="24"/>
          <w:szCs w:val="24"/>
        </w:rPr>
        <w:t>2022</w:t>
      </w:r>
      <w:r>
        <w:rPr>
          <w:rFonts w:hint="eastAsia" w:ascii="Times New Roman" w:hAnsi="Times New Roman" w:eastAsia="宋体" w:cs="Times New Roman"/>
          <w:sz w:val="24"/>
          <w:szCs w:val="24"/>
          <w:lang w:val="en-US" w:eastAsia="zh-CN"/>
        </w:rPr>
        <w:t>).</w:t>
      </w:r>
    </w:p>
    <w:p>
      <w:pPr>
        <w:keepNext w:val="0"/>
        <w:keepLines w:val="0"/>
        <w:pageBreakBefore w:val="0"/>
        <w:widowControl/>
        <w:kinsoku/>
        <w:wordWrap w:val="0"/>
        <w:overflowPunct/>
        <w:topLinePunct w:val="0"/>
        <w:autoSpaceDE/>
        <w:autoSpaceDN/>
        <w:bidi w:val="0"/>
        <w:adjustRightInd/>
        <w:snapToGrid/>
        <w:spacing w:line="480" w:lineRule="auto"/>
        <w:textAlignment w:val="auto"/>
        <w:rPr>
          <w:rFonts w:ascii="Times New Roman" w:hAnsi="Times New Roman" w:cs="Times New Roman"/>
          <w:sz w:val="24"/>
          <w:szCs w:val="24"/>
        </w:rPr>
      </w:pPr>
    </w:p>
    <w:p>
      <w:pPr>
        <w:keepNext w:val="0"/>
        <w:keepLines w:val="0"/>
        <w:pageBreakBefore w:val="0"/>
        <w:widowControl/>
        <w:kinsoku/>
        <w:wordWrap w:val="0"/>
        <w:overflowPunct/>
        <w:topLinePunct w:val="0"/>
        <w:autoSpaceDE/>
        <w:autoSpaceDN/>
        <w:bidi w:val="0"/>
        <w:adjustRightInd/>
        <w:snapToGrid/>
        <w:spacing w:line="480" w:lineRule="auto"/>
        <w:textAlignment w:val="auto"/>
        <w:rPr>
          <w:rFonts w:hint="eastAsia" w:ascii="Times New Roman" w:hAnsi="Times New Roman" w:eastAsia="宋体" w:cs="Times New Roman"/>
          <w:sz w:val="24"/>
          <w:szCs w:val="24"/>
          <w:lang w:val="en-US" w:eastAsia="zh-CN"/>
        </w:rPr>
      </w:pPr>
      <w:r>
        <w:rPr>
          <w:rFonts w:ascii="Times New Roman" w:hAnsi="Times New Roman" w:cs="Times New Roman"/>
          <w:sz w:val="24"/>
          <w:szCs w:val="24"/>
        </w:rPr>
        <w:t>Yahoo finance</w:t>
      </w:r>
      <w:r>
        <w:rPr>
          <w:rFonts w:hint="eastAsia" w:ascii="Times New Roman" w:hAnsi="Times New Roman" w:eastAsia="宋体" w:cs="Times New Roman"/>
          <w:sz w:val="24"/>
          <w:szCs w:val="24"/>
          <w:lang w:val="en-US" w:eastAsia="zh-CN"/>
        </w:rPr>
        <w:t xml:space="preserve"> (</w:t>
      </w:r>
      <w:r>
        <w:rPr>
          <w:rFonts w:ascii="Times New Roman" w:hAnsi="Times New Roman" w:cs="Times New Roman"/>
          <w:sz w:val="24"/>
          <w:szCs w:val="24"/>
        </w:rPr>
        <w:t>2022</w:t>
      </w:r>
      <w:r>
        <w:rPr>
          <w:rFonts w:hint="eastAsia" w:ascii="Times New Roman" w:hAnsi="Times New Roman" w:eastAsia="宋体" w:cs="Times New Roman"/>
          <w:sz w:val="24"/>
          <w:szCs w:val="24"/>
          <w:lang w:val="en-US" w:eastAsia="zh-CN"/>
        </w:rPr>
        <w:t xml:space="preserve">) </w:t>
      </w:r>
      <w:r>
        <w:rPr>
          <w:rFonts w:ascii="Times New Roman" w:hAnsi="Times New Roman" w:cs="Times New Roman"/>
          <w:i/>
          <w:iCs/>
          <w:sz w:val="24"/>
          <w:szCs w:val="24"/>
        </w:rPr>
        <w:t xml:space="preserve">Unilever Plc. </w:t>
      </w:r>
      <w:r>
        <w:rPr>
          <w:rFonts w:hint="eastAsia" w:ascii="Times New Roman" w:hAnsi="Times New Roman" w:eastAsia="宋体" w:cs="Times New Roman"/>
          <w:sz w:val="24"/>
          <w:szCs w:val="24"/>
          <w:lang w:val="en-US" w:eastAsia="zh-CN"/>
        </w:rPr>
        <w:t>Available at:</w:t>
      </w:r>
      <w:r>
        <w:fldChar w:fldCharType="begin"/>
      </w:r>
      <w:r>
        <w:instrText xml:space="preserve"> HYPERLINK "https://finance.yahoo.com/quote/UL/financials?p=UL" </w:instrText>
      </w:r>
      <w:r>
        <w:fldChar w:fldCharType="separate"/>
      </w:r>
      <w:r>
        <w:rPr>
          <w:rStyle w:val="15"/>
          <w:rFonts w:ascii="Times New Roman" w:hAnsi="Times New Roman" w:cs="Times New Roman"/>
          <w:color w:val="auto"/>
          <w:sz w:val="24"/>
          <w:szCs w:val="24"/>
          <w:u w:val="none"/>
        </w:rPr>
        <w:t>https://finance.yahoo.com/quote/UL/financials?p=UL</w:t>
      </w:r>
      <w:r>
        <w:rPr>
          <w:rStyle w:val="15"/>
          <w:rFonts w:ascii="Times New Roman" w:hAnsi="Times New Roman" w:cs="Times New Roman"/>
          <w:color w:val="auto"/>
          <w:sz w:val="24"/>
          <w:szCs w:val="24"/>
          <w:u w:val="none"/>
        </w:rPr>
        <w:fldChar w:fldCharType="end"/>
      </w:r>
      <w:r>
        <w:rPr>
          <w:rFonts w:hint="eastAsia" w:ascii="Times New Roman" w:hAnsi="Times New Roman" w:eastAsia="宋体" w:cs="Times New Roman"/>
          <w:sz w:val="24"/>
          <w:szCs w:val="24"/>
          <w:lang w:val="en-US" w:eastAsia="zh-CN"/>
        </w:rPr>
        <w:t>(A</w:t>
      </w:r>
      <w:r>
        <w:rPr>
          <w:rFonts w:ascii="Times New Roman" w:hAnsi="Times New Roman" w:cs="Times New Roman"/>
          <w:sz w:val="24"/>
          <w:szCs w:val="24"/>
        </w:rPr>
        <w:t xml:space="preserve">ccessed: </w:t>
      </w:r>
      <w:r>
        <w:rPr>
          <w:rFonts w:hint="eastAsia" w:ascii="Times New Roman" w:hAnsi="Times New Roman" w:eastAsia="宋体" w:cs="Times New Roman"/>
          <w:sz w:val="24"/>
          <w:szCs w:val="24"/>
          <w:lang w:val="en-US" w:eastAsia="zh-CN"/>
        </w:rPr>
        <w:t xml:space="preserve">16 </w:t>
      </w:r>
      <w:r>
        <w:rPr>
          <w:rFonts w:ascii="Times New Roman" w:hAnsi="Times New Roman" w:cs="Times New Roman"/>
          <w:sz w:val="24"/>
          <w:szCs w:val="24"/>
        </w:rPr>
        <w:t>November</w:t>
      </w:r>
      <w:r>
        <w:rPr>
          <w:rFonts w:hint="eastAsia" w:ascii="Times New Roman" w:hAnsi="Times New Roman" w:eastAsia="宋体" w:cs="Times New Roman"/>
          <w:sz w:val="24"/>
          <w:szCs w:val="24"/>
          <w:lang w:val="en-US" w:eastAsia="zh-CN"/>
        </w:rPr>
        <w:t xml:space="preserve"> </w:t>
      </w:r>
      <w:r>
        <w:rPr>
          <w:rFonts w:ascii="Times New Roman" w:hAnsi="Times New Roman" w:cs="Times New Roman"/>
          <w:sz w:val="24"/>
          <w:szCs w:val="24"/>
        </w:rPr>
        <w:t>2022</w:t>
      </w:r>
      <w:r>
        <w:rPr>
          <w:rFonts w:hint="eastAsia" w:ascii="Times New Roman" w:hAnsi="Times New Roman" w:eastAsia="宋体" w:cs="Times New Roman"/>
          <w:sz w:val="24"/>
          <w:szCs w:val="24"/>
          <w:lang w:val="en-US" w:eastAsia="zh-CN"/>
        </w:rPr>
        <w:t>).</w:t>
      </w:r>
    </w:p>
    <w:p>
      <w:pPr>
        <w:keepNext w:val="0"/>
        <w:keepLines w:val="0"/>
        <w:pageBreakBefore w:val="0"/>
        <w:widowControl/>
        <w:kinsoku/>
        <w:wordWrap w:val="0"/>
        <w:overflowPunct/>
        <w:topLinePunct w:val="0"/>
        <w:autoSpaceDE/>
        <w:autoSpaceDN/>
        <w:bidi w:val="0"/>
        <w:adjustRightInd/>
        <w:snapToGrid/>
        <w:spacing w:line="480" w:lineRule="auto"/>
        <w:textAlignment w:val="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Zehir, C., Can, E. and Karaboga, T.</w:t>
      </w:r>
      <w:r>
        <w:rPr>
          <w:rFonts w:hint="eastAsia" w:ascii="Times New Roman" w:hAnsi="Times New Roman" w:eastAsia="宋体" w:cs="Times New Roman"/>
          <w:sz w:val="24"/>
          <w:szCs w:val="24"/>
          <w:shd w:val="clear" w:color="auto" w:fill="FFFFFF"/>
          <w:lang w:val="en-US" w:eastAsia="zh-CN"/>
        </w:rPr>
        <w:t>(</w:t>
      </w:r>
      <w:r>
        <w:rPr>
          <w:rFonts w:ascii="Times New Roman" w:hAnsi="Times New Roman" w:cs="Times New Roman"/>
          <w:sz w:val="24"/>
          <w:szCs w:val="24"/>
          <w:shd w:val="clear" w:color="auto" w:fill="FFFFFF"/>
        </w:rPr>
        <w:t>2015</w:t>
      </w:r>
      <w:r>
        <w:rPr>
          <w:rFonts w:hint="eastAsia" w:ascii="Times New Roman" w:hAnsi="Times New Roman" w:eastAsia="宋体" w:cs="Times New Roman"/>
          <w:sz w:val="24"/>
          <w:szCs w:val="24"/>
          <w:shd w:val="clear" w:color="auto" w:fill="FFFFFF"/>
          <w:lang w:val="en-US" w:eastAsia="zh-CN"/>
        </w:rPr>
        <w:t>)</w:t>
      </w:r>
      <w:r>
        <w:rPr>
          <w:rFonts w:ascii="Times New Roman" w:hAnsi="Times New Roman" w:cs="Times New Roman"/>
          <w:sz w:val="24"/>
          <w:szCs w:val="24"/>
          <w:shd w:val="clear" w:color="auto" w:fill="FFFFFF"/>
        </w:rPr>
        <w:t xml:space="preserve"> Linking entrepreneurial orientation to firm performance: the role of differentiation strategy and innovation performance. </w:t>
      </w:r>
      <w:r>
        <w:rPr>
          <w:rFonts w:ascii="Times New Roman" w:hAnsi="Times New Roman" w:cs="Times New Roman"/>
          <w:i/>
          <w:iCs/>
          <w:sz w:val="24"/>
          <w:szCs w:val="24"/>
          <w:shd w:val="clear" w:color="auto" w:fill="FFFFFF"/>
        </w:rPr>
        <w:t>Procedia-Social and Behavioral Sciences</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210</w:t>
      </w:r>
      <w:r>
        <w:rPr>
          <w:rFonts w:ascii="Times New Roman" w:hAnsi="Times New Roman" w:cs="Times New Roman"/>
          <w:sz w:val="24"/>
          <w:szCs w:val="24"/>
          <w:shd w:val="clear" w:color="auto" w:fill="FFFFFF"/>
        </w:rPr>
        <w:t xml:space="preserve">, pp.358-367. </w:t>
      </w:r>
    </w:p>
    <w:p>
      <w:pPr>
        <w:spacing w:line="480" w:lineRule="auto"/>
        <w:ind w:left="720" w:hanging="720"/>
        <w:rPr>
          <w:rFonts w:ascii="Times New Roman" w:hAnsi="Times New Roman" w:cs="Times New Roman"/>
          <w:sz w:val="24"/>
          <w:szCs w:val="24"/>
          <w:shd w:val="clear" w:color="auto" w:fill="FFFFFF"/>
        </w:rPr>
      </w:pPr>
    </w:p>
    <w:p>
      <w:pPr>
        <w:spacing w:line="480" w:lineRule="auto"/>
        <w:ind w:left="720" w:hanging="720"/>
        <w:rPr>
          <w:rFonts w:ascii="Times New Roman" w:hAnsi="Times New Roman" w:cs="Times New Roman"/>
          <w:sz w:val="24"/>
          <w:szCs w:val="24"/>
          <w:shd w:val="clear" w:color="auto" w:fill="FFFFFF"/>
        </w:rPr>
      </w:pPr>
    </w:p>
    <w:p>
      <w:pPr>
        <w:spacing w:line="480" w:lineRule="auto"/>
        <w:ind w:left="720" w:hanging="720"/>
        <w:rPr>
          <w:rFonts w:ascii="Times New Roman" w:hAnsi="Times New Roman" w:cs="Times New Roman"/>
          <w:sz w:val="24"/>
          <w:szCs w:val="24"/>
          <w:shd w:val="clear" w:color="auto" w:fill="FFFFFF"/>
        </w:rPr>
      </w:pPr>
    </w:p>
    <w:p>
      <w:pPr>
        <w:spacing w:line="480" w:lineRule="auto"/>
        <w:ind w:left="720" w:hanging="720"/>
        <w:rPr>
          <w:rFonts w:ascii="Times New Roman" w:hAnsi="Times New Roman" w:cs="Times New Roman"/>
          <w:sz w:val="24"/>
          <w:szCs w:val="24"/>
          <w:shd w:val="clear" w:color="auto" w:fill="FFFFFF"/>
        </w:rPr>
      </w:pPr>
    </w:p>
    <w:p>
      <w:pPr>
        <w:spacing w:line="480" w:lineRule="auto"/>
        <w:ind w:left="720" w:hanging="720"/>
        <w:rPr>
          <w:rFonts w:ascii="Times New Roman" w:hAnsi="Times New Roman" w:cs="Times New Roman"/>
          <w:sz w:val="24"/>
          <w:szCs w:val="24"/>
          <w:shd w:val="clear" w:color="auto" w:fill="FFFFFF"/>
        </w:rPr>
      </w:pPr>
    </w:p>
    <w:p>
      <w:pPr>
        <w:spacing w:line="480" w:lineRule="auto"/>
        <w:rPr>
          <w:rFonts w:ascii="Times New Roman" w:hAnsi="Times New Roman" w:cs="Times New Roman"/>
          <w:sz w:val="24"/>
          <w:szCs w:val="24"/>
        </w:rPr>
      </w:pPr>
    </w:p>
    <w:p>
      <w:pPr>
        <w:spacing w:line="480" w:lineRule="auto"/>
        <w:rPr>
          <w:rFonts w:ascii="Times New Roman" w:hAnsi="Times New Roman" w:cs="Times New Roman"/>
          <w:sz w:val="24"/>
          <w:szCs w:val="24"/>
        </w:rPr>
      </w:pPr>
    </w:p>
    <w:p>
      <w:pPr>
        <w:spacing w:line="480" w:lineRule="auto"/>
        <w:rPr>
          <w:rFonts w:ascii="Times New Roman" w:hAnsi="Times New Roman" w:cs="Times New Roman"/>
          <w:sz w:val="24"/>
          <w:szCs w:val="24"/>
        </w:rPr>
      </w:pPr>
    </w:p>
    <w:p>
      <w:pPr>
        <w:spacing w:line="480" w:lineRule="auto"/>
        <w:rPr>
          <w:rFonts w:ascii="Times New Roman" w:hAnsi="Times New Roman" w:cs="Times New Roman"/>
          <w:sz w:val="24"/>
          <w:szCs w:val="24"/>
        </w:rPr>
      </w:pPr>
    </w:p>
    <w:p>
      <w:pPr>
        <w:spacing w:line="480" w:lineRule="auto"/>
        <w:rPr>
          <w:rFonts w:ascii="Times New Roman" w:hAnsi="Times New Roman" w:cs="Times New Roman"/>
          <w:sz w:val="24"/>
          <w:szCs w:val="24"/>
        </w:rPr>
      </w:pPr>
    </w:p>
    <w:sectPr>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34884002"/>
      <w:docPartObj>
        <w:docPartGallery w:val="autotext"/>
      </w:docPartObj>
    </w:sdtPr>
    <w:sdtContent>
      <w:p>
        <w:pPr>
          <w:pStyle w:val="8"/>
          <w:jc w:val="right"/>
        </w:pPr>
        <w:r>
          <w:fldChar w:fldCharType="begin"/>
        </w:r>
        <w:r>
          <w:instrText xml:space="preserve"> PAGE   \* MERGEFORMAT </w:instrText>
        </w:r>
        <w:r>
          <w:fldChar w:fldCharType="separate"/>
        </w:r>
        <w:r>
          <w:t>20</w:t>
        </w:r>
        <w:r>
          <w:fldChar w:fldCharType="end"/>
        </w:r>
      </w:p>
    </w:sdtContent>
  </w:sdt>
  <w:p>
    <w:pPr>
      <w:pStyle w:val="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8DA78F"/>
    <w:multiLevelType w:val="singleLevel"/>
    <w:tmpl w:val="978DA78F"/>
    <w:lvl w:ilvl="0" w:tentative="0">
      <w:start w:val="2"/>
      <w:numFmt w:val="decimal"/>
      <w:suff w:val="space"/>
      <w:lvlText w:val="%1."/>
      <w:lvlJc w:val="left"/>
    </w:lvl>
  </w:abstractNum>
  <w:abstractNum w:abstractNumId="1">
    <w:nsid w:val="FB49ACF1"/>
    <w:multiLevelType w:val="singleLevel"/>
    <w:tmpl w:val="FB49ACF1"/>
    <w:lvl w:ilvl="0" w:tentative="0">
      <w:start w:val="1"/>
      <w:numFmt w:val="decimal"/>
      <w:suff w:val="space"/>
      <w:lvlText w:val="%1."/>
      <w:lvlJc w:val="left"/>
    </w:lvl>
  </w:abstractNum>
  <w:abstractNum w:abstractNumId="2">
    <w:nsid w:val="18B87347"/>
    <w:multiLevelType w:val="multilevel"/>
    <w:tmpl w:val="18B87347"/>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1A6A1D2C"/>
    <w:multiLevelType w:val="multilevel"/>
    <w:tmpl w:val="1A6A1D2C"/>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1CB16FB1"/>
    <w:multiLevelType w:val="multilevel"/>
    <w:tmpl w:val="1CB16FB1"/>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683F7455"/>
    <w:multiLevelType w:val="multilevel"/>
    <w:tmpl w:val="683F7455"/>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73D32C0C"/>
    <w:multiLevelType w:val="multilevel"/>
    <w:tmpl w:val="73D32C0C"/>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
  </w:num>
  <w:num w:numId="2">
    <w:abstractNumId w:val="0"/>
  </w:num>
  <w:num w:numId="3">
    <w:abstractNumId w:val="3"/>
  </w:num>
  <w:num w:numId="4">
    <w:abstractNumId w:val="5"/>
  </w:num>
  <w:num w:numId="5">
    <w:abstractNumId w:val="6"/>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WMyMThjZTllOGM3Y2RkYjE5MDliM2E4MzNkOGM1MWUifQ=="/>
  </w:docVars>
  <w:rsids>
    <w:rsidRoot w:val="0041736F"/>
    <w:rsid w:val="000018AE"/>
    <w:rsid w:val="00003C73"/>
    <w:rsid w:val="00026E4E"/>
    <w:rsid w:val="000348AA"/>
    <w:rsid w:val="000569FE"/>
    <w:rsid w:val="00074685"/>
    <w:rsid w:val="00085FD4"/>
    <w:rsid w:val="001032B1"/>
    <w:rsid w:val="001203B9"/>
    <w:rsid w:val="00155FC3"/>
    <w:rsid w:val="00161C4E"/>
    <w:rsid w:val="00173772"/>
    <w:rsid w:val="001C644D"/>
    <w:rsid w:val="001D6812"/>
    <w:rsid w:val="00244EB8"/>
    <w:rsid w:val="00250326"/>
    <w:rsid w:val="00255800"/>
    <w:rsid w:val="00255ADA"/>
    <w:rsid w:val="002711A5"/>
    <w:rsid w:val="002736E0"/>
    <w:rsid w:val="002908E5"/>
    <w:rsid w:val="00291E5D"/>
    <w:rsid w:val="00295C2D"/>
    <w:rsid w:val="002A153F"/>
    <w:rsid w:val="002B76C5"/>
    <w:rsid w:val="00341169"/>
    <w:rsid w:val="003618EF"/>
    <w:rsid w:val="00362F03"/>
    <w:rsid w:val="00371B67"/>
    <w:rsid w:val="00374951"/>
    <w:rsid w:val="00383545"/>
    <w:rsid w:val="003911DD"/>
    <w:rsid w:val="003A2741"/>
    <w:rsid w:val="003A580F"/>
    <w:rsid w:val="003A6B47"/>
    <w:rsid w:val="003B4D77"/>
    <w:rsid w:val="003D7D5C"/>
    <w:rsid w:val="004075E1"/>
    <w:rsid w:val="00407F68"/>
    <w:rsid w:val="0041736F"/>
    <w:rsid w:val="0042002A"/>
    <w:rsid w:val="00427A46"/>
    <w:rsid w:val="0045004C"/>
    <w:rsid w:val="004B4A2F"/>
    <w:rsid w:val="004C77D0"/>
    <w:rsid w:val="004D6141"/>
    <w:rsid w:val="004E440C"/>
    <w:rsid w:val="00517AFD"/>
    <w:rsid w:val="00523554"/>
    <w:rsid w:val="00575837"/>
    <w:rsid w:val="00590F54"/>
    <w:rsid w:val="005A7717"/>
    <w:rsid w:val="005C76BD"/>
    <w:rsid w:val="005D4B13"/>
    <w:rsid w:val="005E0487"/>
    <w:rsid w:val="0061215C"/>
    <w:rsid w:val="00644825"/>
    <w:rsid w:val="00653832"/>
    <w:rsid w:val="00665260"/>
    <w:rsid w:val="006B4E5C"/>
    <w:rsid w:val="006C4969"/>
    <w:rsid w:val="006D6592"/>
    <w:rsid w:val="006E7604"/>
    <w:rsid w:val="007232B2"/>
    <w:rsid w:val="007629A9"/>
    <w:rsid w:val="00783A61"/>
    <w:rsid w:val="00791445"/>
    <w:rsid w:val="00791635"/>
    <w:rsid w:val="007F0B10"/>
    <w:rsid w:val="0084139C"/>
    <w:rsid w:val="008439BE"/>
    <w:rsid w:val="008577A6"/>
    <w:rsid w:val="008712A7"/>
    <w:rsid w:val="008814CE"/>
    <w:rsid w:val="008B6C15"/>
    <w:rsid w:val="008C4EF2"/>
    <w:rsid w:val="00922DC0"/>
    <w:rsid w:val="009276F5"/>
    <w:rsid w:val="009B3918"/>
    <w:rsid w:val="00A07134"/>
    <w:rsid w:val="00A12527"/>
    <w:rsid w:val="00A35232"/>
    <w:rsid w:val="00A37745"/>
    <w:rsid w:val="00A6684D"/>
    <w:rsid w:val="00A82D14"/>
    <w:rsid w:val="00AA3014"/>
    <w:rsid w:val="00AA5DC1"/>
    <w:rsid w:val="00B13269"/>
    <w:rsid w:val="00B446FB"/>
    <w:rsid w:val="00B83A2C"/>
    <w:rsid w:val="00BA4A6F"/>
    <w:rsid w:val="00BC64C3"/>
    <w:rsid w:val="00BF3836"/>
    <w:rsid w:val="00C41129"/>
    <w:rsid w:val="00C50D36"/>
    <w:rsid w:val="00C6169F"/>
    <w:rsid w:val="00D40B65"/>
    <w:rsid w:val="00D55852"/>
    <w:rsid w:val="00D725CA"/>
    <w:rsid w:val="00D94E2E"/>
    <w:rsid w:val="00DC1FE7"/>
    <w:rsid w:val="00DD43C7"/>
    <w:rsid w:val="00DF3A23"/>
    <w:rsid w:val="00E51BCB"/>
    <w:rsid w:val="00E56211"/>
    <w:rsid w:val="00E60444"/>
    <w:rsid w:val="00EC1780"/>
    <w:rsid w:val="00ED22F2"/>
    <w:rsid w:val="00EE61AC"/>
    <w:rsid w:val="00F33A66"/>
    <w:rsid w:val="00F45A27"/>
    <w:rsid w:val="00F5318F"/>
    <w:rsid w:val="00F63DB7"/>
    <w:rsid w:val="00F8112C"/>
    <w:rsid w:val="00F81DBB"/>
    <w:rsid w:val="00FB4F4F"/>
    <w:rsid w:val="00FC3680"/>
    <w:rsid w:val="00FC786D"/>
    <w:rsid w:val="00FD4370"/>
    <w:rsid w:val="00FD7CBF"/>
    <w:rsid w:val="00FE38CF"/>
    <w:rsid w:val="2B287735"/>
    <w:rsid w:val="37320524"/>
    <w:rsid w:val="3CFE38CA"/>
    <w:rsid w:val="60A30D33"/>
    <w:rsid w:val="60AA611E"/>
    <w:rsid w:val="66BE4AD4"/>
    <w:rsid w:val="67881B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qFormat="1"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qFormat="1"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paragraph" w:styleId="2">
    <w:name w:val="heading 1"/>
    <w:basedOn w:val="1"/>
    <w:next w:val="1"/>
    <w:link w:val="18"/>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9"/>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4">
    <w:name w:val="heading 3"/>
    <w:basedOn w:val="1"/>
    <w:next w:val="1"/>
    <w:link w:val="20"/>
    <w:unhideWhenUsed/>
    <w:qFormat/>
    <w:uiPriority w:val="9"/>
    <w:pPr>
      <w:keepNext/>
      <w:keepLines/>
      <w:spacing w:before="200" w:after="0"/>
      <w:outlineLvl w:val="2"/>
    </w:pPr>
    <w:rPr>
      <w:rFonts w:asciiTheme="majorHAnsi" w:hAnsiTheme="majorHAnsi" w:eastAsiaTheme="majorEastAsia" w:cstheme="majorBidi"/>
      <w:b/>
      <w:bCs/>
      <w:color w:val="4F81BD" w:themeColor="accent1"/>
      <w14:textFill>
        <w14:solidFill>
          <w14:schemeClr w14:val="accent1"/>
        </w14:solidFill>
      </w14:textFill>
    </w:rPr>
  </w:style>
  <w:style w:type="character" w:default="1" w:styleId="14">
    <w:name w:val="Default Paragraph Font"/>
    <w:semiHidden/>
    <w:unhideWhenUsed/>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5">
    <w:name w:val="toc 3"/>
    <w:basedOn w:val="1"/>
    <w:next w:val="1"/>
    <w:semiHidden/>
    <w:unhideWhenUsed/>
    <w:uiPriority w:val="39"/>
    <w:pPr>
      <w:ind w:left="840" w:leftChars="400"/>
    </w:pPr>
  </w:style>
  <w:style w:type="paragraph" w:styleId="6">
    <w:name w:val="Balloon Text"/>
    <w:basedOn w:val="1"/>
    <w:link w:val="16"/>
    <w:semiHidden/>
    <w:unhideWhenUsed/>
    <w:uiPriority w:val="99"/>
    <w:pPr>
      <w:spacing w:after="0" w:line="240" w:lineRule="auto"/>
    </w:pPr>
    <w:rPr>
      <w:rFonts w:ascii="Tahoma" w:hAnsi="Tahoma" w:cs="Tahoma"/>
      <w:sz w:val="16"/>
      <w:szCs w:val="16"/>
    </w:rPr>
  </w:style>
  <w:style w:type="paragraph" w:styleId="7">
    <w:name w:val="footer"/>
    <w:basedOn w:val="1"/>
    <w:link w:val="22"/>
    <w:unhideWhenUsed/>
    <w:uiPriority w:val="99"/>
    <w:pPr>
      <w:tabs>
        <w:tab w:val="center" w:pos="4680"/>
        <w:tab w:val="right" w:pos="9360"/>
      </w:tabs>
      <w:spacing w:after="0" w:line="240" w:lineRule="auto"/>
    </w:pPr>
  </w:style>
  <w:style w:type="paragraph" w:styleId="8">
    <w:name w:val="header"/>
    <w:basedOn w:val="1"/>
    <w:link w:val="21"/>
    <w:unhideWhenUsed/>
    <w:qFormat/>
    <w:uiPriority w:val="99"/>
    <w:pPr>
      <w:tabs>
        <w:tab w:val="center" w:pos="4680"/>
        <w:tab w:val="right" w:pos="9360"/>
      </w:tabs>
      <w:spacing w:after="0" w:line="240" w:lineRule="auto"/>
    </w:pPr>
  </w:style>
  <w:style w:type="paragraph" w:styleId="9">
    <w:name w:val="toc 1"/>
    <w:basedOn w:val="1"/>
    <w:next w:val="1"/>
    <w:semiHidden/>
    <w:unhideWhenUsed/>
    <w:qFormat/>
    <w:uiPriority w:val="39"/>
  </w:style>
  <w:style w:type="paragraph" w:styleId="10">
    <w:name w:val="toc 2"/>
    <w:basedOn w:val="1"/>
    <w:next w:val="1"/>
    <w:semiHidden/>
    <w:unhideWhenUsed/>
    <w:qFormat/>
    <w:uiPriority w:val="39"/>
    <w:pPr>
      <w:ind w:left="420" w:leftChars="200"/>
    </w:pPr>
  </w:style>
  <w:style w:type="table" w:styleId="12">
    <w:name w:val="Table Grid"/>
    <w:basedOn w:val="11"/>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3">
    <w:name w:val="Light Shading Accent 5"/>
    <w:basedOn w:val="11"/>
    <w:qFormat/>
    <w:uiPriority w:val="60"/>
    <w:pPr>
      <w:spacing w:after="0" w:line="240" w:lineRule="auto"/>
    </w:pPr>
    <w:rPr>
      <w:color w:val="31859C" w:themeColor="accent5" w:themeShade="BF"/>
    </w:rPr>
    <w:tblPr>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left w:val="nil"/>
          <w:right w:val="nil"/>
          <w:insideH w:val="nil"/>
          <w:insideV w:val="nil"/>
        </w:tcBorders>
        <w:shd w:val="clear" w:color="auto" w:fill="D2EAF0" w:themeFill="accent5" w:themeFillTint="3F"/>
      </w:tcPr>
    </w:tblStylePr>
  </w:style>
  <w:style w:type="character" w:styleId="15">
    <w:name w:val="Hyperlink"/>
    <w:basedOn w:val="14"/>
    <w:unhideWhenUsed/>
    <w:qFormat/>
    <w:uiPriority w:val="99"/>
    <w:rPr>
      <w:color w:val="0000FF" w:themeColor="hyperlink"/>
      <w:u w:val="single"/>
      <w14:textFill>
        <w14:solidFill>
          <w14:schemeClr w14:val="hlink"/>
        </w14:solidFill>
      </w14:textFill>
    </w:rPr>
  </w:style>
  <w:style w:type="character" w:customStyle="1" w:styleId="16">
    <w:name w:val="Balloon Text Char"/>
    <w:basedOn w:val="14"/>
    <w:link w:val="6"/>
    <w:semiHidden/>
    <w:qFormat/>
    <w:uiPriority w:val="99"/>
    <w:rPr>
      <w:rFonts w:ascii="Tahoma" w:hAnsi="Tahoma" w:cs="Tahoma"/>
      <w:sz w:val="16"/>
      <w:szCs w:val="16"/>
    </w:rPr>
  </w:style>
  <w:style w:type="paragraph" w:styleId="17">
    <w:name w:val="List Paragraph"/>
    <w:basedOn w:val="1"/>
    <w:qFormat/>
    <w:uiPriority w:val="34"/>
    <w:pPr>
      <w:spacing w:after="160" w:line="259" w:lineRule="auto"/>
      <w:ind w:left="720"/>
      <w:contextualSpacing/>
    </w:pPr>
  </w:style>
  <w:style w:type="character" w:customStyle="1" w:styleId="18">
    <w:name w:val="Heading 1 Char"/>
    <w:basedOn w:val="14"/>
    <w:link w:val="2"/>
    <w:qFormat/>
    <w:uiPriority w:val="9"/>
    <w:rPr>
      <w:rFonts w:asciiTheme="majorHAnsi" w:hAnsiTheme="majorHAnsi" w:eastAsiaTheme="majorEastAsia" w:cstheme="majorBidi"/>
      <w:b/>
      <w:bCs/>
      <w:color w:val="376092" w:themeColor="accent1" w:themeShade="BF"/>
      <w:sz w:val="28"/>
      <w:szCs w:val="28"/>
    </w:rPr>
  </w:style>
  <w:style w:type="character" w:customStyle="1" w:styleId="19">
    <w:name w:val="Heading 2 Char"/>
    <w:basedOn w:val="14"/>
    <w:link w:val="3"/>
    <w:qFormat/>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20">
    <w:name w:val="Heading 3 Char"/>
    <w:basedOn w:val="14"/>
    <w:link w:val="4"/>
    <w:qFormat/>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21">
    <w:name w:val="Header Char"/>
    <w:basedOn w:val="14"/>
    <w:link w:val="8"/>
    <w:qFormat/>
    <w:uiPriority w:val="99"/>
  </w:style>
  <w:style w:type="character" w:customStyle="1" w:styleId="22">
    <w:name w:val="Footer Char"/>
    <w:basedOn w:val="14"/>
    <w:link w:val="7"/>
    <w:qFormat/>
    <w:uiPriority w:val="99"/>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31</Pages>
  <Words>5684</Words>
  <Characters>34594</Characters>
  <Lines>291</Lines>
  <Paragraphs>82</Paragraphs>
  <TotalTime>26</TotalTime>
  <ScaleCrop>false</ScaleCrop>
  <LinksUpToDate>false</LinksUpToDate>
  <CharactersWithSpaces>40179</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2022-11-18T17:45:00Z</dcterms:created>
  <dc:creator>lenovo</dc:creator>
  <cp:lastModifiedBy>WPS_1604321163</cp:lastModifiedBy>
  <dcterms:modified xsi:type="dcterms:W3CDTF">2022-12-15T15:16:51Z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E6E9C661F506451A9D12AF5C158D291D</vt:lpwstr>
  </property>
</Properties>
</file>