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899A6" w14:textId="77777777" w:rsidR="005E755E" w:rsidRDefault="005E755E" w:rsidP="005E755E">
      <w:pPr>
        <w:pStyle w:val="ydpafea7f63x-scope"/>
        <w:spacing w:before="0" w:beforeAutospacing="0" w:after="0" w:afterAutospacing="0"/>
        <w:jc w:val="center"/>
      </w:pPr>
      <w:r>
        <w:rPr>
          <w:rStyle w:val="ydpafea7f63qowt-font8-tahoma"/>
          <w:color w:val="000000"/>
          <w:sz w:val="40"/>
          <w:szCs w:val="40"/>
        </w:rPr>
        <w:t>Skills for the Workplace</w:t>
      </w:r>
      <w:r>
        <w:rPr>
          <w:color w:val="000000"/>
          <w:sz w:val="40"/>
          <w:szCs w:val="40"/>
        </w:rPr>
        <w:br/>
        <w:t xml:space="preserve">Module Assignment Submission </w:t>
      </w:r>
      <w:r>
        <w:br/>
      </w:r>
    </w:p>
    <w:tbl>
      <w:tblPr>
        <w:tblW w:w="9493" w:type="dxa"/>
        <w:tblLook w:val="04A0" w:firstRow="1" w:lastRow="0" w:firstColumn="1" w:lastColumn="0" w:noHBand="0" w:noVBand="1"/>
      </w:tblPr>
      <w:tblGrid>
        <w:gridCol w:w="2616"/>
        <w:gridCol w:w="6877"/>
      </w:tblGrid>
      <w:tr w:rsidR="005E755E" w14:paraId="0ADC3537" w14:textId="77777777" w:rsidTr="007A7D2E">
        <w:tc>
          <w:tcPr>
            <w:tcW w:w="0" w:type="auto"/>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708B62EC" w14:textId="77777777" w:rsidR="005E755E" w:rsidRDefault="005E755E" w:rsidP="007A7D2E">
            <w:pPr>
              <w:pStyle w:val="ydpafea7f63x-scope"/>
              <w:spacing w:before="0" w:beforeAutospacing="0" w:after="0" w:afterAutospacing="0"/>
            </w:pPr>
            <w:r>
              <w:rPr>
                <w:rStyle w:val="ydpafea7f63qowt-font8-tahoma"/>
                <w:sz w:val="28"/>
                <w:szCs w:val="28"/>
              </w:rPr>
              <w:t>Student Name:</w:t>
            </w:r>
          </w:p>
        </w:tc>
        <w:tc>
          <w:tcPr>
            <w:tcW w:w="0" w:type="auto"/>
            <w:tcBorders>
              <w:top w:val="single" w:sz="8" w:space="0" w:color="000000"/>
              <w:left w:val="nil"/>
              <w:bottom w:val="single" w:sz="8" w:space="0" w:color="000000"/>
              <w:right w:val="single" w:sz="8" w:space="0" w:color="000000"/>
            </w:tcBorders>
            <w:tcMar>
              <w:top w:w="15" w:type="dxa"/>
              <w:left w:w="15" w:type="dxa"/>
              <w:bottom w:w="15" w:type="dxa"/>
              <w:right w:w="15" w:type="dxa"/>
            </w:tcMar>
            <w:hideMark/>
          </w:tcPr>
          <w:p w14:paraId="2E5EEDF9" w14:textId="47978BB9" w:rsidR="005E755E" w:rsidRDefault="005E755E" w:rsidP="007A7D2E">
            <w:pPr>
              <w:pStyle w:val="ydpafea7f63x-scope"/>
              <w:spacing w:before="0" w:beforeAutospacing="0" w:after="0" w:afterAutospacing="0"/>
            </w:pPr>
            <w:r>
              <w:rPr>
                <w:rStyle w:val="ydpafea7f63qowt-font8-tahoma"/>
                <w:sz w:val="28"/>
                <w:szCs w:val="28"/>
              </w:rPr>
              <w:t>Nicola Dacosta</w:t>
            </w:r>
          </w:p>
        </w:tc>
      </w:tr>
      <w:tr w:rsidR="005E755E" w14:paraId="3CA705F7" w14:textId="77777777" w:rsidTr="007A7D2E">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3CF22498" w14:textId="77777777" w:rsidR="005E755E" w:rsidRDefault="005E755E" w:rsidP="007A7D2E">
            <w:pPr>
              <w:pStyle w:val="ydpafea7f63x-scope"/>
              <w:spacing w:before="0" w:beforeAutospacing="0" w:after="0" w:afterAutospacing="0"/>
            </w:pPr>
            <w:r>
              <w:rPr>
                <w:rStyle w:val="ydpafea7f63qowt-font8-tahoma"/>
                <w:sz w:val="28"/>
                <w:szCs w:val="28"/>
              </w:rPr>
              <w:t>Student Number:</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3072BC1A" w14:textId="4D07F336" w:rsidR="005E755E" w:rsidRPr="005E4BCD" w:rsidRDefault="005E755E" w:rsidP="007A7D2E">
            <w:pPr>
              <w:pStyle w:val="ydpafea7f63x-scope"/>
              <w:spacing w:before="0" w:beforeAutospacing="0" w:after="0" w:afterAutospacing="0"/>
              <w:rPr>
                <w:sz w:val="28"/>
                <w:szCs w:val="28"/>
              </w:rPr>
            </w:pPr>
            <w:r w:rsidRPr="005E4BCD">
              <w:rPr>
                <w:sz w:val="28"/>
                <w:szCs w:val="28"/>
              </w:rPr>
              <w:br/>
              <w:t>201682</w:t>
            </w:r>
            <w:r>
              <w:rPr>
                <w:sz w:val="28"/>
                <w:szCs w:val="28"/>
              </w:rPr>
              <w:t>1</w:t>
            </w:r>
          </w:p>
        </w:tc>
      </w:tr>
      <w:tr w:rsidR="005E755E" w14:paraId="55423DC7" w14:textId="77777777" w:rsidTr="007A7D2E">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6E9CAA5F" w14:textId="77777777" w:rsidR="005E755E" w:rsidRDefault="005E755E" w:rsidP="007A7D2E">
            <w:pPr>
              <w:pStyle w:val="ydpafea7f63x-scope"/>
              <w:spacing w:before="0" w:beforeAutospacing="0" w:after="0" w:afterAutospacing="0"/>
            </w:pPr>
            <w:r>
              <w:rPr>
                <w:rStyle w:val="ydpafea7f63qowt-font8-tahoma"/>
                <w:sz w:val="28"/>
                <w:szCs w:val="28"/>
              </w:rPr>
              <w:t>Module No:</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0B40EFF5" w14:textId="5A709949" w:rsidR="005E755E" w:rsidRDefault="005E755E" w:rsidP="007A7D2E">
            <w:pPr>
              <w:pStyle w:val="ydpafea7f63x-scope"/>
              <w:spacing w:before="0" w:beforeAutospacing="0" w:after="0" w:afterAutospacing="0"/>
            </w:pPr>
            <w:r>
              <w:rPr>
                <w:rStyle w:val="ydpafea7f63qowt-font8-tahoma"/>
                <w:color w:val="FF0000"/>
                <w:sz w:val="28"/>
                <w:szCs w:val="28"/>
              </w:rPr>
              <w:t>BMSK600</w:t>
            </w:r>
            <w:r w:rsidR="008721CE">
              <w:rPr>
                <w:rStyle w:val="ydpafea7f63qowt-font8-tahoma"/>
                <w:color w:val="FF0000"/>
                <w:sz w:val="28"/>
                <w:szCs w:val="28"/>
              </w:rPr>
              <w:t>3</w:t>
            </w:r>
          </w:p>
        </w:tc>
      </w:tr>
      <w:tr w:rsidR="005E755E" w14:paraId="3E12C7D0" w14:textId="77777777" w:rsidTr="007A7D2E">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6948E8D6" w14:textId="77777777" w:rsidR="005E755E" w:rsidRDefault="005E755E" w:rsidP="007A7D2E">
            <w:pPr>
              <w:pStyle w:val="ydpafea7f63x-scope"/>
              <w:spacing w:before="0" w:beforeAutospacing="0" w:after="0" w:afterAutospacing="0"/>
            </w:pPr>
            <w:r>
              <w:rPr>
                <w:rStyle w:val="ydpafea7f63qowt-font8-tahoma"/>
                <w:sz w:val="28"/>
                <w:szCs w:val="28"/>
              </w:rPr>
              <w:t>Module Title:</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2D194903" w14:textId="1FDA4A02" w:rsidR="005E755E" w:rsidRDefault="008721CE" w:rsidP="007A7D2E">
            <w:pPr>
              <w:pStyle w:val="ydpafea7f63x-scope"/>
              <w:spacing w:before="0" w:beforeAutospacing="0" w:after="0" w:afterAutospacing="0"/>
            </w:pPr>
            <w:r>
              <w:rPr>
                <w:rStyle w:val="ydpafea7f63qowt-font8-tahoma"/>
                <w:color w:val="FF0000"/>
                <w:sz w:val="28"/>
                <w:szCs w:val="28"/>
              </w:rPr>
              <w:t>Leading and Implementing Workplace Change</w:t>
            </w:r>
          </w:p>
        </w:tc>
      </w:tr>
    </w:tbl>
    <w:p w14:paraId="71885A97" w14:textId="77777777" w:rsidR="005E755E" w:rsidRDefault="005E755E" w:rsidP="005E755E">
      <w:pPr>
        <w:pStyle w:val="ydpafea7f63x-scope"/>
        <w:spacing w:before="0" w:beforeAutospacing="0" w:after="0" w:afterAutospacing="0"/>
      </w:pPr>
      <w:r>
        <w:rPr>
          <w:color w:val="FF0000"/>
          <w:sz w:val="24"/>
          <w:szCs w:val="24"/>
        </w:rPr>
        <w:br/>
      </w:r>
    </w:p>
    <w:p w14:paraId="17083F81" w14:textId="77777777" w:rsidR="005E755E" w:rsidRDefault="005E755E" w:rsidP="005E755E">
      <w:pPr>
        <w:pStyle w:val="ydpafea7f63x-scope"/>
        <w:spacing w:before="0" w:beforeAutospacing="0" w:after="0" w:afterAutospacing="0"/>
        <w:rPr>
          <w:color w:val="000000"/>
        </w:rPr>
      </w:pPr>
      <w:r>
        <w:rPr>
          <w:rStyle w:val="ydpafea7f63qowt-font8-tahoma"/>
          <w:b/>
          <w:bCs/>
          <w:color w:val="000000"/>
          <w:sz w:val="24"/>
          <w:szCs w:val="24"/>
        </w:rPr>
        <w:t>Statement of Confirmation of Authenticity</w:t>
      </w:r>
    </w:p>
    <w:p w14:paraId="3278FA07" w14:textId="77777777" w:rsidR="005E755E" w:rsidRDefault="005E755E" w:rsidP="005E755E">
      <w:pPr>
        <w:pStyle w:val="ydpafea7f63x-scope"/>
        <w:spacing w:before="0" w:beforeAutospacing="0" w:after="0" w:afterAutospacing="0"/>
        <w:rPr>
          <w:color w:val="000000"/>
        </w:rPr>
      </w:pPr>
      <w:r>
        <w:rPr>
          <w:rStyle w:val="ydpafea7f63qowt-font8-tahoma"/>
          <w:color w:val="000000"/>
          <w:sz w:val="24"/>
          <w:szCs w:val="24"/>
        </w:rPr>
        <w:t>By the act of making this submission, the student declares that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61CA0ED" w14:textId="77777777" w:rsidR="005E755E" w:rsidRDefault="005E755E" w:rsidP="005E755E">
      <w:pPr>
        <w:pStyle w:val="ydpafea7f63x-scope"/>
        <w:spacing w:before="0" w:beforeAutospacing="0" w:after="0" w:afterAutospacing="0"/>
        <w:rPr>
          <w:color w:val="000000"/>
        </w:rPr>
      </w:pPr>
      <w:r>
        <w:rPr>
          <w:rStyle w:val="ydpafea7f63qowt-font8-tahoma"/>
          <w:color w:val="000000"/>
          <w:sz w:val="24"/>
          <w:szCs w:val="24"/>
        </w:rPr>
        <w:t>Attention is drawn to the plagiarism and unfair practice policies of U</w:t>
      </w:r>
      <w:r>
        <w:rPr>
          <w:rStyle w:val="ydpafea7f63qowt-font8-tahoma"/>
        </w:rPr>
        <w:t>WTSD.</w:t>
      </w:r>
    </w:p>
    <w:p w14:paraId="7356A1C0" w14:textId="77777777" w:rsidR="005E755E" w:rsidRDefault="005E755E" w:rsidP="005E755E"/>
    <w:p w14:paraId="5D88340A" w14:textId="3F49892E" w:rsidR="005E755E" w:rsidRDefault="005E755E" w:rsidP="005E755E"/>
    <w:p w14:paraId="03207B89" w14:textId="102FF7BC" w:rsidR="00E23982" w:rsidRDefault="00E23982" w:rsidP="005E755E"/>
    <w:p w14:paraId="1B3FAD49" w14:textId="74E786A8" w:rsidR="00E23982" w:rsidRDefault="00E23982" w:rsidP="005E755E"/>
    <w:p w14:paraId="7125E39F" w14:textId="559A500F" w:rsidR="00E23982" w:rsidRDefault="00E23982" w:rsidP="005E755E"/>
    <w:p w14:paraId="1BFE2EB0" w14:textId="0151C43F" w:rsidR="00E23982" w:rsidRDefault="00E23982" w:rsidP="005E755E"/>
    <w:p w14:paraId="38E2621B" w14:textId="5FDA68A5" w:rsidR="00E23982" w:rsidRDefault="00E23982" w:rsidP="005E755E"/>
    <w:p w14:paraId="58ED6824" w14:textId="26C123FE" w:rsidR="00E23982" w:rsidRDefault="00E23982" w:rsidP="005E755E"/>
    <w:p w14:paraId="5A8E84DD" w14:textId="288BF7F7" w:rsidR="00E23982" w:rsidRDefault="00E23982" w:rsidP="005E755E"/>
    <w:p w14:paraId="1CB484DE" w14:textId="5459ECB9" w:rsidR="00E23982" w:rsidRDefault="00E23982" w:rsidP="005E755E"/>
    <w:p w14:paraId="18DB5844" w14:textId="31D5E120" w:rsidR="00E23982" w:rsidRDefault="00E23982" w:rsidP="005E755E"/>
    <w:p w14:paraId="752A59D8" w14:textId="74C5AFC6" w:rsidR="00E23982" w:rsidRDefault="00E23982" w:rsidP="005E755E"/>
    <w:p w14:paraId="5EF525F4" w14:textId="7DBDF88C" w:rsidR="00E23982" w:rsidRDefault="00E23982" w:rsidP="005E755E"/>
    <w:p w14:paraId="7BF51D2C" w14:textId="056D2D2E" w:rsidR="00E23982" w:rsidRDefault="00E23982" w:rsidP="005E755E"/>
    <w:p w14:paraId="486AEB7E" w14:textId="48D919F0" w:rsidR="00E23982" w:rsidRDefault="00E23982" w:rsidP="005E755E"/>
    <w:p w14:paraId="4BC4EBDF" w14:textId="5C99A220" w:rsidR="00E23982" w:rsidRDefault="00E23982" w:rsidP="005E755E"/>
    <w:p w14:paraId="0CED96D8" w14:textId="77777777" w:rsidR="00E23982" w:rsidRDefault="00E23982" w:rsidP="005E755E"/>
    <w:sdt>
      <w:sdtPr>
        <w:id w:val="-27825664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C070C1B" w14:textId="03BEFF2A" w:rsidR="00E23982" w:rsidRDefault="00E23982">
          <w:pPr>
            <w:pStyle w:val="TOCHeading"/>
          </w:pPr>
          <w:r>
            <w:t>Contents</w:t>
          </w:r>
        </w:p>
        <w:p w14:paraId="062D2E51" w14:textId="26028A32" w:rsidR="00E23982" w:rsidRDefault="00E23982">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4317886" w:history="1">
            <w:r w:rsidRPr="00C22EA9">
              <w:rPr>
                <w:rStyle w:val="Hyperlink"/>
                <w:noProof/>
              </w:rPr>
              <w:t>Introduction</w:t>
            </w:r>
            <w:r>
              <w:rPr>
                <w:noProof/>
                <w:webHidden/>
              </w:rPr>
              <w:tab/>
            </w:r>
            <w:r>
              <w:rPr>
                <w:noProof/>
                <w:webHidden/>
              </w:rPr>
              <w:fldChar w:fldCharType="begin"/>
            </w:r>
            <w:r>
              <w:rPr>
                <w:noProof/>
                <w:webHidden/>
              </w:rPr>
              <w:instrText xml:space="preserve"> PAGEREF _Toc144317886 \h </w:instrText>
            </w:r>
            <w:r>
              <w:rPr>
                <w:noProof/>
                <w:webHidden/>
              </w:rPr>
            </w:r>
            <w:r>
              <w:rPr>
                <w:noProof/>
                <w:webHidden/>
              </w:rPr>
              <w:fldChar w:fldCharType="separate"/>
            </w:r>
            <w:r>
              <w:rPr>
                <w:noProof/>
                <w:webHidden/>
              </w:rPr>
              <w:t>3</w:t>
            </w:r>
            <w:r>
              <w:rPr>
                <w:noProof/>
                <w:webHidden/>
              </w:rPr>
              <w:fldChar w:fldCharType="end"/>
            </w:r>
          </w:hyperlink>
        </w:p>
        <w:p w14:paraId="0E5681F7" w14:textId="22E8BAFB" w:rsidR="00E23982" w:rsidRDefault="00E23982">
          <w:pPr>
            <w:pStyle w:val="TOC2"/>
            <w:tabs>
              <w:tab w:val="right" w:leader="dot" w:pos="9016"/>
            </w:tabs>
            <w:rPr>
              <w:rFonts w:eastAsiaTheme="minorEastAsia"/>
              <w:noProof/>
              <w:lang w:eastAsia="en-GB"/>
            </w:rPr>
          </w:pPr>
          <w:hyperlink w:anchor="_Toc144317887" w:history="1">
            <w:r w:rsidRPr="00C22EA9">
              <w:rPr>
                <w:rStyle w:val="Hyperlink"/>
                <w:noProof/>
              </w:rPr>
              <w:t>Why is Workplace Change Necessary?</w:t>
            </w:r>
            <w:r>
              <w:rPr>
                <w:noProof/>
                <w:webHidden/>
              </w:rPr>
              <w:tab/>
            </w:r>
            <w:r>
              <w:rPr>
                <w:noProof/>
                <w:webHidden/>
              </w:rPr>
              <w:fldChar w:fldCharType="begin"/>
            </w:r>
            <w:r>
              <w:rPr>
                <w:noProof/>
                <w:webHidden/>
              </w:rPr>
              <w:instrText xml:space="preserve"> PAGEREF _Toc144317887 \h </w:instrText>
            </w:r>
            <w:r>
              <w:rPr>
                <w:noProof/>
                <w:webHidden/>
              </w:rPr>
            </w:r>
            <w:r>
              <w:rPr>
                <w:noProof/>
                <w:webHidden/>
              </w:rPr>
              <w:fldChar w:fldCharType="separate"/>
            </w:r>
            <w:r>
              <w:rPr>
                <w:noProof/>
                <w:webHidden/>
              </w:rPr>
              <w:t>3</w:t>
            </w:r>
            <w:r>
              <w:rPr>
                <w:noProof/>
                <w:webHidden/>
              </w:rPr>
              <w:fldChar w:fldCharType="end"/>
            </w:r>
          </w:hyperlink>
        </w:p>
        <w:p w14:paraId="27C49E79" w14:textId="74B25B0E" w:rsidR="00E23982" w:rsidRDefault="00E23982">
          <w:pPr>
            <w:pStyle w:val="TOC2"/>
            <w:tabs>
              <w:tab w:val="right" w:leader="dot" w:pos="9016"/>
            </w:tabs>
            <w:rPr>
              <w:rFonts w:eastAsiaTheme="minorEastAsia"/>
              <w:noProof/>
              <w:lang w:eastAsia="en-GB"/>
            </w:rPr>
          </w:pPr>
          <w:hyperlink w:anchor="_Toc144317888" w:history="1">
            <w:r w:rsidRPr="00C22EA9">
              <w:rPr>
                <w:rStyle w:val="Hyperlink"/>
                <w:noProof/>
              </w:rPr>
              <w:t>Change Perception and its Effect on Workplace Culture</w:t>
            </w:r>
            <w:r>
              <w:rPr>
                <w:noProof/>
                <w:webHidden/>
              </w:rPr>
              <w:tab/>
            </w:r>
            <w:r>
              <w:rPr>
                <w:noProof/>
                <w:webHidden/>
              </w:rPr>
              <w:fldChar w:fldCharType="begin"/>
            </w:r>
            <w:r>
              <w:rPr>
                <w:noProof/>
                <w:webHidden/>
              </w:rPr>
              <w:instrText xml:space="preserve"> PAGEREF _Toc144317888 \h </w:instrText>
            </w:r>
            <w:r>
              <w:rPr>
                <w:noProof/>
                <w:webHidden/>
              </w:rPr>
            </w:r>
            <w:r>
              <w:rPr>
                <w:noProof/>
                <w:webHidden/>
              </w:rPr>
              <w:fldChar w:fldCharType="separate"/>
            </w:r>
            <w:r>
              <w:rPr>
                <w:noProof/>
                <w:webHidden/>
              </w:rPr>
              <w:t>4</w:t>
            </w:r>
            <w:r>
              <w:rPr>
                <w:noProof/>
                <w:webHidden/>
              </w:rPr>
              <w:fldChar w:fldCharType="end"/>
            </w:r>
          </w:hyperlink>
        </w:p>
        <w:p w14:paraId="3D005535" w14:textId="5D8B672F" w:rsidR="00E23982" w:rsidRDefault="00E23982">
          <w:pPr>
            <w:pStyle w:val="TOC2"/>
            <w:tabs>
              <w:tab w:val="right" w:leader="dot" w:pos="9016"/>
            </w:tabs>
            <w:rPr>
              <w:rFonts w:eastAsiaTheme="minorEastAsia"/>
              <w:noProof/>
              <w:lang w:eastAsia="en-GB"/>
            </w:rPr>
          </w:pPr>
          <w:hyperlink w:anchor="_Toc144317889" w:history="1">
            <w:r w:rsidRPr="00C22EA9">
              <w:rPr>
                <w:rStyle w:val="Hyperlink"/>
                <w:noProof/>
              </w:rPr>
              <w:t>Macro and Micro Environmental Forces</w:t>
            </w:r>
            <w:r>
              <w:rPr>
                <w:noProof/>
                <w:webHidden/>
              </w:rPr>
              <w:tab/>
            </w:r>
            <w:r>
              <w:rPr>
                <w:noProof/>
                <w:webHidden/>
              </w:rPr>
              <w:fldChar w:fldCharType="begin"/>
            </w:r>
            <w:r>
              <w:rPr>
                <w:noProof/>
                <w:webHidden/>
              </w:rPr>
              <w:instrText xml:space="preserve"> PAGEREF _Toc144317889 \h </w:instrText>
            </w:r>
            <w:r>
              <w:rPr>
                <w:noProof/>
                <w:webHidden/>
              </w:rPr>
            </w:r>
            <w:r>
              <w:rPr>
                <w:noProof/>
                <w:webHidden/>
              </w:rPr>
              <w:fldChar w:fldCharType="separate"/>
            </w:r>
            <w:r>
              <w:rPr>
                <w:noProof/>
                <w:webHidden/>
              </w:rPr>
              <w:t>5</w:t>
            </w:r>
            <w:r>
              <w:rPr>
                <w:noProof/>
                <w:webHidden/>
              </w:rPr>
              <w:fldChar w:fldCharType="end"/>
            </w:r>
          </w:hyperlink>
        </w:p>
        <w:p w14:paraId="50D1B682" w14:textId="2049E16F" w:rsidR="00E23982" w:rsidRDefault="00E23982">
          <w:pPr>
            <w:pStyle w:val="TOC2"/>
            <w:tabs>
              <w:tab w:val="right" w:leader="dot" w:pos="9016"/>
            </w:tabs>
            <w:rPr>
              <w:rFonts w:eastAsiaTheme="minorEastAsia"/>
              <w:noProof/>
              <w:lang w:eastAsia="en-GB"/>
            </w:rPr>
          </w:pPr>
          <w:hyperlink w:anchor="_Toc144317890" w:history="1">
            <w:r w:rsidRPr="00C22EA9">
              <w:rPr>
                <w:rStyle w:val="Hyperlink"/>
                <w:noProof/>
              </w:rPr>
              <w:t>Some examples of Microenvironment Forces:</w:t>
            </w:r>
            <w:r>
              <w:rPr>
                <w:noProof/>
                <w:webHidden/>
              </w:rPr>
              <w:tab/>
            </w:r>
            <w:r>
              <w:rPr>
                <w:noProof/>
                <w:webHidden/>
              </w:rPr>
              <w:fldChar w:fldCharType="begin"/>
            </w:r>
            <w:r>
              <w:rPr>
                <w:noProof/>
                <w:webHidden/>
              </w:rPr>
              <w:instrText xml:space="preserve"> PAGEREF _Toc144317890 \h </w:instrText>
            </w:r>
            <w:r>
              <w:rPr>
                <w:noProof/>
                <w:webHidden/>
              </w:rPr>
            </w:r>
            <w:r>
              <w:rPr>
                <w:noProof/>
                <w:webHidden/>
              </w:rPr>
              <w:fldChar w:fldCharType="separate"/>
            </w:r>
            <w:r>
              <w:rPr>
                <w:noProof/>
                <w:webHidden/>
              </w:rPr>
              <w:t>5</w:t>
            </w:r>
            <w:r>
              <w:rPr>
                <w:noProof/>
                <w:webHidden/>
              </w:rPr>
              <w:fldChar w:fldCharType="end"/>
            </w:r>
          </w:hyperlink>
        </w:p>
        <w:p w14:paraId="1853746B" w14:textId="16F42D17" w:rsidR="00E23982" w:rsidRDefault="00E23982">
          <w:pPr>
            <w:pStyle w:val="TOC2"/>
            <w:tabs>
              <w:tab w:val="right" w:leader="dot" w:pos="9016"/>
            </w:tabs>
            <w:rPr>
              <w:rFonts w:eastAsiaTheme="minorEastAsia"/>
              <w:noProof/>
              <w:lang w:eastAsia="en-GB"/>
            </w:rPr>
          </w:pPr>
          <w:hyperlink w:anchor="_Toc144317891" w:history="1">
            <w:r w:rsidRPr="00C22EA9">
              <w:rPr>
                <w:rStyle w:val="Hyperlink"/>
                <w:noProof/>
              </w:rPr>
              <w:t>Some Examples of Macro Environment Forces:</w:t>
            </w:r>
            <w:r>
              <w:rPr>
                <w:noProof/>
                <w:webHidden/>
              </w:rPr>
              <w:tab/>
            </w:r>
            <w:r>
              <w:rPr>
                <w:noProof/>
                <w:webHidden/>
              </w:rPr>
              <w:fldChar w:fldCharType="begin"/>
            </w:r>
            <w:r>
              <w:rPr>
                <w:noProof/>
                <w:webHidden/>
              </w:rPr>
              <w:instrText xml:space="preserve"> PAGEREF _Toc144317891 \h </w:instrText>
            </w:r>
            <w:r>
              <w:rPr>
                <w:noProof/>
                <w:webHidden/>
              </w:rPr>
            </w:r>
            <w:r>
              <w:rPr>
                <w:noProof/>
                <w:webHidden/>
              </w:rPr>
              <w:fldChar w:fldCharType="separate"/>
            </w:r>
            <w:r>
              <w:rPr>
                <w:noProof/>
                <w:webHidden/>
              </w:rPr>
              <w:t>5</w:t>
            </w:r>
            <w:r>
              <w:rPr>
                <w:noProof/>
                <w:webHidden/>
              </w:rPr>
              <w:fldChar w:fldCharType="end"/>
            </w:r>
          </w:hyperlink>
        </w:p>
        <w:p w14:paraId="54A5E285" w14:textId="369D5ED7" w:rsidR="00E23982" w:rsidRDefault="00E23982">
          <w:pPr>
            <w:pStyle w:val="TOC2"/>
            <w:tabs>
              <w:tab w:val="right" w:leader="dot" w:pos="9016"/>
            </w:tabs>
            <w:rPr>
              <w:rFonts w:eastAsiaTheme="minorEastAsia"/>
              <w:noProof/>
              <w:lang w:eastAsia="en-GB"/>
            </w:rPr>
          </w:pPr>
          <w:hyperlink w:anchor="_Toc144317892" w:history="1">
            <w:r w:rsidRPr="00C22EA9">
              <w:rPr>
                <w:rStyle w:val="Hyperlink"/>
                <w:noProof/>
              </w:rPr>
              <w:t>Case Study: Impact of Regulatory Changes on Companies House UK</w:t>
            </w:r>
            <w:r>
              <w:rPr>
                <w:noProof/>
                <w:webHidden/>
              </w:rPr>
              <w:tab/>
            </w:r>
            <w:r>
              <w:rPr>
                <w:noProof/>
                <w:webHidden/>
              </w:rPr>
              <w:fldChar w:fldCharType="begin"/>
            </w:r>
            <w:r>
              <w:rPr>
                <w:noProof/>
                <w:webHidden/>
              </w:rPr>
              <w:instrText xml:space="preserve"> PAGEREF _Toc144317892 \h </w:instrText>
            </w:r>
            <w:r>
              <w:rPr>
                <w:noProof/>
                <w:webHidden/>
              </w:rPr>
            </w:r>
            <w:r>
              <w:rPr>
                <w:noProof/>
                <w:webHidden/>
              </w:rPr>
              <w:fldChar w:fldCharType="separate"/>
            </w:r>
            <w:r>
              <w:rPr>
                <w:noProof/>
                <w:webHidden/>
              </w:rPr>
              <w:t>6</w:t>
            </w:r>
            <w:r>
              <w:rPr>
                <w:noProof/>
                <w:webHidden/>
              </w:rPr>
              <w:fldChar w:fldCharType="end"/>
            </w:r>
          </w:hyperlink>
        </w:p>
        <w:p w14:paraId="7AEFE440" w14:textId="5C86D689" w:rsidR="00E23982" w:rsidRDefault="00E23982">
          <w:pPr>
            <w:pStyle w:val="TOC2"/>
            <w:tabs>
              <w:tab w:val="right" w:leader="dot" w:pos="9016"/>
            </w:tabs>
            <w:rPr>
              <w:rFonts w:eastAsiaTheme="minorEastAsia"/>
              <w:noProof/>
              <w:lang w:eastAsia="en-GB"/>
            </w:rPr>
          </w:pPr>
          <w:hyperlink w:anchor="_Toc144317893" w:history="1">
            <w:r w:rsidRPr="00C22EA9">
              <w:rPr>
                <w:rStyle w:val="Hyperlink"/>
                <w:noProof/>
              </w:rPr>
              <w:t>What is a stakeholder</w:t>
            </w:r>
            <w:r>
              <w:rPr>
                <w:noProof/>
                <w:webHidden/>
              </w:rPr>
              <w:tab/>
            </w:r>
            <w:r>
              <w:rPr>
                <w:noProof/>
                <w:webHidden/>
              </w:rPr>
              <w:fldChar w:fldCharType="begin"/>
            </w:r>
            <w:r>
              <w:rPr>
                <w:noProof/>
                <w:webHidden/>
              </w:rPr>
              <w:instrText xml:space="preserve"> PAGEREF _Toc144317893 \h </w:instrText>
            </w:r>
            <w:r>
              <w:rPr>
                <w:noProof/>
                <w:webHidden/>
              </w:rPr>
            </w:r>
            <w:r>
              <w:rPr>
                <w:noProof/>
                <w:webHidden/>
              </w:rPr>
              <w:fldChar w:fldCharType="separate"/>
            </w:r>
            <w:r>
              <w:rPr>
                <w:noProof/>
                <w:webHidden/>
              </w:rPr>
              <w:t>7</w:t>
            </w:r>
            <w:r>
              <w:rPr>
                <w:noProof/>
                <w:webHidden/>
              </w:rPr>
              <w:fldChar w:fldCharType="end"/>
            </w:r>
          </w:hyperlink>
        </w:p>
        <w:p w14:paraId="60146695" w14:textId="461EFA00" w:rsidR="00E23982" w:rsidRDefault="00E23982">
          <w:pPr>
            <w:pStyle w:val="TOC2"/>
            <w:tabs>
              <w:tab w:val="right" w:leader="dot" w:pos="9016"/>
            </w:tabs>
            <w:rPr>
              <w:rFonts w:eastAsiaTheme="minorEastAsia"/>
              <w:noProof/>
              <w:lang w:eastAsia="en-GB"/>
            </w:rPr>
          </w:pPr>
          <w:hyperlink w:anchor="_Toc144317894" w:history="1">
            <w:r w:rsidRPr="00C22EA9">
              <w:rPr>
                <w:rStyle w:val="Hyperlink"/>
                <w:noProof/>
              </w:rPr>
              <w:t>Why is having stakeholder support is crucial?</w:t>
            </w:r>
            <w:r>
              <w:rPr>
                <w:noProof/>
                <w:webHidden/>
              </w:rPr>
              <w:tab/>
            </w:r>
            <w:r>
              <w:rPr>
                <w:noProof/>
                <w:webHidden/>
              </w:rPr>
              <w:fldChar w:fldCharType="begin"/>
            </w:r>
            <w:r>
              <w:rPr>
                <w:noProof/>
                <w:webHidden/>
              </w:rPr>
              <w:instrText xml:space="preserve"> PAGEREF _Toc144317894 \h </w:instrText>
            </w:r>
            <w:r>
              <w:rPr>
                <w:noProof/>
                <w:webHidden/>
              </w:rPr>
            </w:r>
            <w:r>
              <w:rPr>
                <w:noProof/>
                <w:webHidden/>
              </w:rPr>
              <w:fldChar w:fldCharType="separate"/>
            </w:r>
            <w:r>
              <w:rPr>
                <w:noProof/>
                <w:webHidden/>
              </w:rPr>
              <w:t>8</w:t>
            </w:r>
            <w:r>
              <w:rPr>
                <w:noProof/>
                <w:webHidden/>
              </w:rPr>
              <w:fldChar w:fldCharType="end"/>
            </w:r>
          </w:hyperlink>
        </w:p>
        <w:p w14:paraId="09B03B5F" w14:textId="491D7259" w:rsidR="00E23982" w:rsidRDefault="00E23982">
          <w:pPr>
            <w:pStyle w:val="TOC2"/>
            <w:tabs>
              <w:tab w:val="right" w:leader="dot" w:pos="9016"/>
            </w:tabs>
            <w:rPr>
              <w:rFonts w:eastAsiaTheme="minorEastAsia"/>
              <w:noProof/>
              <w:lang w:eastAsia="en-GB"/>
            </w:rPr>
          </w:pPr>
          <w:hyperlink w:anchor="_Toc144317895" w:history="1">
            <w:r w:rsidRPr="00C22EA9">
              <w:rPr>
                <w:rStyle w:val="Hyperlink"/>
                <w:noProof/>
              </w:rPr>
              <w:t>Prioritising Stakeholders</w:t>
            </w:r>
            <w:r>
              <w:rPr>
                <w:noProof/>
                <w:webHidden/>
              </w:rPr>
              <w:tab/>
            </w:r>
            <w:r>
              <w:rPr>
                <w:noProof/>
                <w:webHidden/>
              </w:rPr>
              <w:fldChar w:fldCharType="begin"/>
            </w:r>
            <w:r>
              <w:rPr>
                <w:noProof/>
                <w:webHidden/>
              </w:rPr>
              <w:instrText xml:space="preserve"> PAGEREF _Toc144317895 \h </w:instrText>
            </w:r>
            <w:r>
              <w:rPr>
                <w:noProof/>
                <w:webHidden/>
              </w:rPr>
            </w:r>
            <w:r>
              <w:rPr>
                <w:noProof/>
                <w:webHidden/>
              </w:rPr>
              <w:fldChar w:fldCharType="separate"/>
            </w:r>
            <w:r>
              <w:rPr>
                <w:noProof/>
                <w:webHidden/>
              </w:rPr>
              <w:t>9</w:t>
            </w:r>
            <w:r>
              <w:rPr>
                <w:noProof/>
                <w:webHidden/>
              </w:rPr>
              <w:fldChar w:fldCharType="end"/>
            </w:r>
          </w:hyperlink>
        </w:p>
        <w:p w14:paraId="48E26BCD" w14:textId="09A35FCC" w:rsidR="00E23982" w:rsidRDefault="00E23982">
          <w:pPr>
            <w:pStyle w:val="TOC2"/>
            <w:tabs>
              <w:tab w:val="right" w:leader="dot" w:pos="9016"/>
            </w:tabs>
            <w:rPr>
              <w:rFonts w:eastAsiaTheme="minorEastAsia"/>
              <w:noProof/>
              <w:lang w:eastAsia="en-GB"/>
            </w:rPr>
          </w:pPr>
          <w:hyperlink w:anchor="_Toc144317896" w:history="1">
            <w:r w:rsidRPr="00C22EA9">
              <w:rPr>
                <w:rStyle w:val="Hyperlink"/>
                <w:noProof/>
              </w:rPr>
              <w:t>The Politics, Conflict and Resistance of Change</w:t>
            </w:r>
            <w:r>
              <w:rPr>
                <w:noProof/>
                <w:webHidden/>
              </w:rPr>
              <w:tab/>
            </w:r>
            <w:r>
              <w:rPr>
                <w:noProof/>
                <w:webHidden/>
              </w:rPr>
              <w:fldChar w:fldCharType="begin"/>
            </w:r>
            <w:r>
              <w:rPr>
                <w:noProof/>
                <w:webHidden/>
              </w:rPr>
              <w:instrText xml:space="preserve"> PAGEREF _Toc144317896 \h </w:instrText>
            </w:r>
            <w:r>
              <w:rPr>
                <w:noProof/>
                <w:webHidden/>
              </w:rPr>
            </w:r>
            <w:r>
              <w:rPr>
                <w:noProof/>
                <w:webHidden/>
              </w:rPr>
              <w:fldChar w:fldCharType="separate"/>
            </w:r>
            <w:r>
              <w:rPr>
                <w:noProof/>
                <w:webHidden/>
              </w:rPr>
              <w:t>10</w:t>
            </w:r>
            <w:r>
              <w:rPr>
                <w:noProof/>
                <w:webHidden/>
              </w:rPr>
              <w:fldChar w:fldCharType="end"/>
            </w:r>
          </w:hyperlink>
        </w:p>
        <w:p w14:paraId="314E6B78" w14:textId="77F497F8" w:rsidR="00E23982" w:rsidRDefault="00E23982">
          <w:pPr>
            <w:pStyle w:val="TOC2"/>
            <w:tabs>
              <w:tab w:val="right" w:leader="dot" w:pos="9016"/>
            </w:tabs>
            <w:rPr>
              <w:rFonts w:eastAsiaTheme="minorEastAsia"/>
              <w:noProof/>
              <w:lang w:eastAsia="en-GB"/>
            </w:rPr>
          </w:pPr>
          <w:hyperlink w:anchor="_Toc144317897" w:history="1">
            <w:r w:rsidRPr="00C22EA9">
              <w:rPr>
                <w:rStyle w:val="Hyperlink"/>
                <w:noProof/>
              </w:rPr>
              <w:t>Strategies to Address Politics, Conflict, and Resistance</w:t>
            </w:r>
            <w:r>
              <w:rPr>
                <w:noProof/>
                <w:webHidden/>
              </w:rPr>
              <w:tab/>
            </w:r>
            <w:r>
              <w:rPr>
                <w:noProof/>
                <w:webHidden/>
              </w:rPr>
              <w:fldChar w:fldCharType="begin"/>
            </w:r>
            <w:r>
              <w:rPr>
                <w:noProof/>
                <w:webHidden/>
              </w:rPr>
              <w:instrText xml:space="preserve"> PAGEREF _Toc144317897 \h </w:instrText>
            </w:r>
            <w:r>
              <w:rPr>
                <w:noProof/>
                <w:webHidden/>
              </w:rPr>
            </w:r>
            <w:r>
              <w:rPr>
                <w:noProof/>
                <w:webHidden/>
              </w:rPr>
              <w:fldChar w:fldCharType="separate"/>
            </w:r>
            <w:r>
              <w:rPr>
                <w:noProof/>
                <w:webHidden/>
              </w:rPr>
              <w:t>10</w:t>
            </w:r>
            <w:r>
              <w:rPr>
                <w:noProof/>
                <w:webHidden/>
              </w:rPr>
              <w:fldChar w:fldCharType="end"/>
            </w:r>
          </w:hyperlink>
        </w:p>
        <w:p w14:paraId="287DA5D3" w14:textId="579AA2CF" w:rsidR="00E23982" w:rsidRDefault="00E23982">
          <w:pPr>
            <w:pStyle w:val="TOC2"/>
            <w:tabs>
              <w:tab w:val="right" w:leader="dot" w:pos="9016"/>
            </w:tabs>
            <w:rPr>
              <w:rFonts w:eastAsiaTheme="minorEastAsia"/>
              <w:noProof/>
              <w:lang w:eastAsia="en-GB"/>
            </w:rPr>
          </w:pPr>
          <w:hyperlink w:anchor="_Toc144317898" w:history="1">
            <w:r w:rsidRPr="00C22EA9">
              <w:rPr>
                <w:rStyle w:val="Hyperlink"/>
                <w:noProof/>
              </w:rPr>
              <w:t>Leading Organizational Stakeholders through Complex Workplace Change</w:t>
            </w:r>
            <w:r>
              <w:rPr>
                <w:noProof/>
                <w:webHidden/>
              </w:rPr>
              <w:tab/>
            </w:r>
            <w:r>
              <w:rPr>
                <w:noProof/>
                <w:webHidden/>
              </w:rPr>
              <w:fldChar w:fldCharType="begin"/>
            </w:r>
            <w:r>
              <w:rPr>
                <w:noProof/>
                <w:webHidden/>
              </w:rPr>
              <w:instrText xml:space="preserve"> PAGEREF _Toc144317898 \h </w:instrText>
            </w:r>
            <w:r>
              <w:rPr>
                <w:noProof/>
                <w:webHidden/>
              </w:rPr>
            </w:r>
            <w:r>
              <w:rPr>
                <w:noProof/>
                <w:webHidden/>
              </w:rPr>
              <w:fldChar w:fldCharType="separate"/>
            </w:r>
            <w:r>
              <w:rPr>
                <w:noProof/>
                <w:webHidden/>
              </w:rPr>
              <w:t>11</w:t>
            </w:r>
            <w:r>
              <w:rPr>
                <w:noProof/>
                <w:webHidden/>
              </w:rPr>
              <w:fldChar w:fldCharType="end"/>
            </w:r>
          </w:hyperlink>
        </w:p>
        <w:p w14:paraId="774F5136" w14:textId="4BFC133D" w:rsidR="00E23982" w:rsidRDefault="00E23982">
          <w:pPr>
            <w:pStyle w:val="TOC2"/>
            <w:tabs>
              <w:tab w:val="right" w:leader="dot" w:pos="9016"/>
            </w:tabs>
            <w:rPr>
              <w:rFonts w:eastAsiaTheme="minorEastAsia"/>
              <w:noProof/>
              <w:lang w:eastAsia="en-GB"/>
            </w:rPr>
          </w:pPr>
          <w:hyperlink w:anchor="_Toc144317899" w:history="1">
            <w:r w:rsidRPr="00C22EA9">
              <w:rPr>
                <w:rStyle w:val="Hyperlink"/>
                <w:noProof/>
              </w:rPr>
              <w:t>References</w:t>
            </w:r>
            <w:r>
              <w:rPr>
                <w:noProof/>
                <w:webHidden/>
              </w:rPr>
              <w:tab/>
            </w:r>
            <w:r>
              <w:rPr>
                <w:noProof/>
                <w:webHidden/>
              </w:rPr>
              <w:fldChar w:fldCharType="begin"/>
            </w:r>
            <w:r>
              <w:rPr>
                <w:noProof/>
                <w:webHidden/>
              </w:rPr>
              <w:instrText xml:space="preserve"> PAGEREF _Toc144317899 \h </w:instrText>
            </w:r>
            <w:r>
              <w:rPr>
                <w:noProof/>
                <w:webHidden/>
              </w:rPr>
            </w:r>
            <w:r>
              <w:rPr>
                <w:noProof/>
                <w:webHidden/>
              </w:rPr>
              <w:fldChar w:fldCharType="separate"/>
            </w:r>
            <w:r>
              <w:rPr>
                <w:noProof/>
                <w:webHidden/>
              </w:rPr>
              <w:t>14</w:t>
            </w:r>
            <w:r>
              <w:rPr>
                <w:noProof/>
                <w:webHidden/>
              </w:rPr>
              <w:fldChar w:fldCharType="end"/>
            </w:r>
          </w:hyperlink>
        </w:p>
        <w:p w14:paraId="3568743A" w14:textId="16A64558" w:rsidR="00E23982" w:rsidRDefault="00E23982">
          <w:r>
            <w:rPr>
              <w:b/>
              <w:bCs/>
              <w:noProof/>
            </w:rPr>
            <w:fldChar w:fldCharType="end"/>
          </w:r>
        </w:p>
      </w:sdtContent>
    </w:sdt>
    <w:p w14:paraId="607E5664" w14:textId="450A2CB1" w:rsidR="00900AF8" w:rsidRDefault="00900AF8"/>
    <w:p w14:paraId="3261667B" w14:textId="5DA550E7" w:rsidR="005E755E" w:rsidRDefault="005E755E"/>
    <w:p w14:paraId="2A1D8E0D" w14:textId="10FB0260" w:rsidR="00C4108F" w:rsidRDefault="00C4108F"/>
    <w:p w14:paraId="0896C80A" w14:textId="091FDC9D" w:rsidR="00C4108F" w:rsidRDefault="00C4108F" w:rsidP="00E23982">
      <w:pPr>
        <w:pStyle w:val="Heading2"/>
      </w:pPr>
      <w:r>
        <w:br w:type="page"/>
      </w:r>
      <w:bookmarkStart w:id="0" w:name="_Toc144317886"/>
      <w:r w:rsidR="008721CE">
        <w:lastRenderedPageBreak/>
        <w:t>Introduction</w:t>
      </w:r>
      <w:bookmarkEnd w:id="0"/>
    </w:p>
    <w:p w14:paraId="265F33A0" w14:textId="77DCFC71" w:rsidR="008721CE" w:rsidRDefault="008721CE">
      <w:r>
        <w:t>Most people want things to change but most people don’t want to change</w:t>
      </w:r>
      <w:r w:rsidR="00401AEB">
        <w:t xml:space="preserve"> themselves</w:t>
      </w:r>
      <w:r>
        <w:t>. This is the oxymoron that plagues modern society</w:t>
      </w:r>
      <w:r w:rsidR="00576FB0">
        <w:t xml:space="preserve"> and one that is present in the workplace. Employees often moan about the way their company is run, we have all done it at times, but most are resistant to change at the same time. This is human nature; we are creatures of habit who feel comfortable when things are familiar.</w:t>
      </w:r>
    </w:p>
    <w:p w14:paraId="00D8D583" w14:textId="21B35969" w:rsidR="00401AEB" w:rsidRDefault="00576FB0">
      <w:r>
        <w:t>Unfortunately, the world is in constant change especially in the working environment, so it is important that organisations continually change to stay relevant and competitive.</w:t>
      </w:r>
      <w:r w:rsidR="00401AEB">
        <w:t xml:space="preserve"> It is often necessary for an organisation to move out of a collective comfort zone in order to establish a new way of working.</w:t>
      </w:r>
    </w:p>
    <w:p w14:paraId="35BCC0AB" w14:textId="381A78FA" w:rsidR="00576FB0" w:rsidRDefault="00576FB0">
      <w:r>
        <w:t xml:space="preserve"> This report will look at current forces for change and how they impact workplace culture and capability in order to evaluate how </w:t>
      </w:r>
      <w:r w:rsidR="00401AEB">
        <w:t>organisational</w:t>
      </w:r>
      <w:r>
        <w:t xml:space="preserve"> stakeholders can be effecti</w:t>
      </w:r>
      <w:r w:rsidR="00401AEB">
        <w:t>vely led through complex workplace change.</w:t>
      </w:r>
    </w:p>
    <w:p w14:paraId="6A9FE18A" w14:textId="77777777" w:rsidR="00E23982" w:rsidRDefault="00E23982"/>
    <w:p w14:paraId="1793B993" w14:textId="01EC02B9" w:rsidR="00401AEB" w:rsidRDefault="004103F2" w:rsidP="00E23982">
      <w:pPr>
        <w:pStyle w:val="Heading2"/>
      </w:pPr>
      <w:bookmarkStart w:id="1" w:name="_Toc144317887"/>
      <w:r>
        <w:t>Why is Workplace Change Necessary?</w:t>
      </w:r>
      <w:bookmarkEnd w:id="1"/>
    </w:p>
    <w:p w14:paraId="0CE86D3C" w14:textId="562F590C" w:rsidR="004103F2" w:rsidRDefault="004103F2" w:rsidP="004103F2">
      <w:r>
        <w:t xml:space="preserve">Workplace change is necessary for organizations to remain competitive, adapt to evolving business environments, improve efficiency, and drive innovation. Several factors highlight the importance of workplace change. </w:t>
      </w:r>
    </w:p>
    <w:p w14:paraId="3B6B4C1D" w14:textId="15355677" w:rsidR="004103F2" w:rsidRDefault="004103F2" w:rsidP="004103F2">
      <w:r>
        <w:t>Businesses operate in dynamic and ever-changing environments due to factors such as technological advancements, economic fluctuations, and market trends. Adapting to these changes is essential for long-term survival</w:t>
      </w:r>
      <w:r w:rsidR="00BA3324">
        <w:t xml:space="preserve"> (</w:t>
      </w:r>
      <w:r>
        <w:t xml:space="preserve">Kotter, 2012). </w:t>
      </w:r>
      <w:r w:rsidR="00BA3324">
        <w:t xml:space="preserve">Not only does change help with business survival, </w:t>
      </w:r>
      <w:proofErr w:type="gramStart"/>
      <w:r w:rsidR="00BA3324">
        <w:t>it</w:t>
      </w:r>
      <w:proofErr w:type="gramEnd"/>
      <w:r w:rsidR="00BA3324">
        <w:t xml:space="preserve"> also </w:t>
      </w:r>
      <w:r>
        <w:t>enables organizations to innovate, develop new products or services, and explore new markets. Stagnation can lead to a decline in competitiveness</w:t>
      </w:r>
      <w:r w:rsidR="00BA3324">
        <w:t xml:space="preserve"> (</w:t>
      </w:r>
      <w:r>
        <w:t xml:space="preserve">Damanpour, 2014). </w:t>
      </w:r>
    </w:p>
    <w:p w14:paraId="11A7F8F6" w14:textId="3604E900" w:rsidR="004103F2" w:rsidRDefault="004103F2" w:rsidP="004103F2">
      <w:r>
        <w:t xml:space="preserve">Implementing positive changes can also improve employee engagement, job satisfaction, and morale by addressing workplace challenges and enhancing the work environment. </w:t>
      </w:r>
      <w:r w:rsidR="00BA3324">
        <w:t>(</w:t>
      </w:r>
      <w:r>
        <w:t>Harter, Schmidt, &amp; Hayes, 2002). Changes in processes, workflows, and technologies can also lead to increased operational efficiency, reduced costs, and improved productivity</w:t>
      </w:r>
      <w:r w:rsidR="00BA3324">
        <w:t xml:space="preserve"> (</w:t>
      </w:r>
      <w:r>
        <w:t xml:space="preserve">Hammer &amp; Champy, 2009). </w:t>
      </w:r>
    </w:p>
    <w:p w14:paraId="7406B760" w14:textId="5108959E" w:rsidR="004103F2" w:rsidRDefault="004103F2" w:rsidP="004103F2">
      <w:r>
        <w:t xml:space="preserve">Customer expectations always change over time due competition and “Wow” features becoming expected </w:t>
      </w:r>
      <w:r w:rsidR="006E1153">
        <w:t xml:space="preserve">features </w:t>
      </w:r>
      <w:r>
        <w:t>after a while. Meeting changing customer expectations is crucial for maintaining customer loyalty and sustaining business growth</w:t>
      </w:r>
      <w:r w:rsidR="006E1153">
        <w:t xml:space="preserve"> (</w:t>
      </w:r>
      <w:r>
        <w:t xml:space="preserve">Ulaga &amp; Reinartz, 2011). </w:t>
      </w:r>
    </w:p>
    <w:p w14:paraId="40B5DF0D" w14:textId="482904CE" w:rsidR="004103F2" w:rsidRDefault="004103F2" w:rsidP="004103F2">
      <w:r>
        <w:t>Organizations that embrace change can gain a competitive advantage by responding faster to market shifts and adopting innovative strategies</w:t>
      </w:r>
      <w:r w:rsidR="006E1153">
        <w:t xml:space="preserve"> (</w:t>
      </w:r>
      <w:r>
        <w:t xml:space="preserve">Porter, 1985). </w:t>
      </w:r>
    </w:p>
    <w:p w14:paraId="1C3AD542" w14:textId="2B3D7F3C" w:rsidR="004103F2" w:rsidRDefault="006E1153" w:rsidP="004103F2">
      <w:r>
        <w:t>Technology is always changing so k</w:t>
      </w:r>
      <w:r w:rsidR="004103F2">
        <w:t>eeping up with technological advancements is crucial for staying relevant and competitive in a rapidly changing digital landscape</w:t>
      </w:r>
      <w:r>
        <w:t xml:space="preserve"> (</w:t>
      </w:r>
      <w:r w:rsidR="004103F2">
        <w:t>Brynjolfsson</w:t>
      </w:r>
      <w:r>
        <w:t xml:space="preserve"> </w:t>
      </w:r>
      <w:r w:rsidR="004103F2">
        <w:t xml:space="preserve">&amp; McAfee, 2014). </w:t>
      </w:r>
    </w:p>
    <w:p w14:paraId="18140F29" w14:textId="1CD8F8F7" w:rsidR="004103F2" w:rsidRDefault="004103F2" w:rsidP="004103F2">
      <w:r>
        <w:t xml:space="preserve">Regulatory and </w:t>
      </w:r>
      <w:r w:rsidR="006E1153">
        <w:t>l</w:t>
      </w:r>
      <w:r>
        <w:t xml:space="preserve">egal </w:t>
      </w:r>
      <w:r w:rsidR="006E1153">
        <w:t>c</w:t>
      </w:r>
      <w:r>
        <w:t>ompliance</w:t>
      </w:r>
      <w:r w:rsidR="006E1153">
        <w:t xml:space="preserve"> can often change with time therefore,</w:t>
      </w:r>
      <w:r>
        <w:t xml:space="preserve"> </w:t>
      </w:r>
      <w:r w:rsidR="006E1153">
        <w:t>c</w:t>
      </w:r>
      <w:r>
        <w:t>hanges in regulations and legal requirements necessitate adjustments in processes and operations to ensure compliance and avoid legal risks</w:t>
      </w:r>
      <w:r w:rsidR="006E1153">
        <w:t xml:space="preserve"> (</w:t>
      </w:r>
      <w:r>
        <w:t xml:space="preserve">Gilliland &amp; Beckstein, 2017). </w:t>
      </w:r>
    </w:p>
    <w:p w14:paraId="549644A0" w14:textId="59B296F0" w:rsidR="004103F2" w:rsidRDefault="006E1153" w:rsidP="004103F2">
      <w:r>
        <w:t>With the world becoming smaller through advance of international communication</w:t>
      </w:r>
      <w:r w:rsidR="004103F2">
        <w:t>s</w:t>
      </w:r>
      <w:r w:rsidR="00254965">
        <w:t>,</w:t>
      </w:r>
      <w:r w:rsidR="004103F2">
        <w:t xml:space="preserve"> </w:t>
      </w:r>
      <w:r>
        <w:t xml:space="preserve">it has made it easier for businesses to expand globally. When a </w:t>
      </w:r>
      <w:r w:rsidR="004103F2">
        <w:t>busines</w:t>
      </w:r>
      <w:r>
        <w:t>s</w:t>
      </w:r>
      <w:r w:rsidR="004103F2">
        <w:t xml:space="preserve"> expand</w:t>
      </w:r>
      <w:r>
        <w:t>s</w:t>
      </w:r>
      <w:r w:rsidR="004103F2">
        <w:t xml:space="preserve"> globally, </w:t>
      </w:r>
      <w:r>
        <w:t>it</w:t>
      </w:r>
      <w:r w:rsidR="004103F2">
        <w:t xml:space="preserve"> encounter</w:t>
      </w:r>
      <w:r>
        <w:t>s</w:t>
      </w:r>
      <w:r w:rsidR="004103F2">
        <w:t xml:space="preserve"> diverse markets, cultures, and regulatory environments that require changes to their strategies and operations</w:t>
      </w:r>
      <w:r w:rsidR="00254965">
        <w:t xml:space="preserve"> (</w:t>
      </w:r>
      <w:r w:rsidR="004103F2">
        <w:t xml:space="preserve">Levitt, 1983). </w:t>
      </w:r>
    </w:p>
    <w:p w14:paraId="1099071D" w14:textId="77777777" w:rsidR="00BA7255" w:rsidRDefault="00BA7255" w:rsidP="004103F2"/>
    <w:p w14:paraId="23D398D3" w14:textId="2960CA85" w:rsidR="004103F2" w:rsidRDefault="004103F2" w:rsidP="004103F2">
      <w:r>
        <w:t xml:space="preserve">Employee </w:t>
      </w:r>
      <w:r w:rsidR="00254965">
        <w:t>d</w:t>
      </w:r>
      <w:r>
        <w:t>evelopment</w:t>
      </w:r>
      <w:r w:rsidR="00254965">
        <w:t xml:space="preserve"> is also affected, as</w:t>
      </w:r>
      <w:r>
        <w:t xml:space="preserve"> </w:t>
      </w:r>
      <w:r w:rsidR="00254965">
        <w:t>c</w:t>
      </w:r>
      <w:r>
        <w:t>hange can create opportunities for skill development and career growth, enhancing employee capabilities and increasing their value to the organization</w:t>
      </w:r>
      <w:r w:rsidR="00254965">
        <w:t xml:space="preserve"> </w:t>
      </w:r>
      <w:r w:rsidR="001D31C7">
        <w:t>(</w:t>
      </w:r>
      <w:r>
        <w:t>Noe</w:t>
      </w:r>
      <w:r w:rsidR="001D31C7">
        <w:t xml:space="preserve"> et al., </w:t>
      </w:r>
      <w:r>
        <w:t xml:space="preserve">2017). </w:t>
      </w:r>
    </w:p>
    <w:p w14:paraId="079AA34F" w14:textId="4AE4EF49" w:rsidR="004103F2" w:rsidRDefault="004103F2" w:rsidP="004103F2">
      <w:r>
        <w:t xml:space="preserve">In summary, workplace change is necessary to ensure an organization's survival, growth, and competitiveness in a rapidly changing business landscape. </w:t>
      </w:r>
    </w:p>
    <w:p w14:paraId="4BBCAD3E" w14:textId="204F08AE" w:rsidR="00BA7255" w:rsidRDefault="00BA7255" w:rsidP="004103F2"/>
    <w:p w14:paraId="69D29962" w14:textId="77777777" w:rsidR="00BA7255" w:rsidRDefault="00BA7255" w:rsidP="00E23982">
      <w:pPr>
        <w:pStyle w:val="Heading2"/>
      </w:pPr>
      <w:bookmarkStart w:id="2" w:name="_Toc144317888"/>
      <w:r>
        <w:t>Change Perception and its Effect on Workplace Culture</w:t>
      </w:r>
      <w:bookmarkEnd w:id="2"/>
    </w:p>
    <w:p w14:paraId="170CBEFE" w14:textId="1661ACA2" w:rsidR="00BA7255" w:rsidRDefault="00BA7255" w:rsidP="00BA7255">
      <w:r>
        <w:t xml:space="preserve">Different perceptions of change can have a significant impact on workplace culture. People within an organization may have varying attitudes, beliefs, and reactions to change, which can influence the overall culture in several ways. </w:t>
      </w:r>
    </w:p>
    <w:p w14:paraId="5F07C22E" w14:textId="1F9E48F5" w:rsidR="00BA7255" w:rsidRDefault="00BA7255" w:rsidP="00BA7255">
      <w:r>
        <w:t>Employees who perceive change negatively and resist it can create a culture of resistance, slowing down the change process. On the other hand, those who accept change positively contribute to a culture of adaptability and openness.</w:t>
      </w:r>
    </w:p>
    <w:p w14:paraId="775CEDAA" w14:textId="02969EC2" w:rsidR="00BA7255" w:rsidRDefault="00BA7255" w:rsidP="00BA7255">
      <w:r>
        <w:t>If employees perceive change as being poorly communicated or imposed without consideration for their input, it can erode trust in leadership. This can lead to decreased engagement and a culture of scepticism. When some employees perceive change as an opportunity for collaboration and teamwork, it can foster a culture of collaboration and shared responsibility. Conversely, if individuals isolate themselves due to apprehensions about change, it can lead to a fragmented culture.</w:t>
      </w:r>
    </w:p>
    <w:p w14:paraId="52674C41" w14:textId="1105B638" w:rsidR="00BA7255" w:rsidRDefault="00BA7255" w:rsidP="00BA7255">
      <w:r>
        <w:t>Positive perceptions of change can drive a culture of innovation and creativity, where employees are encouraged to think outside the box and explore new ideas. Negative perceptions might stifle innovation due to fear of the unknown. Different perceptions of change can impact communication dynamics. A culture of open communication and transparency can emerge if change is communicated effectively. Conversely, poor communication can lead to a culture of rumours and misinformation.</w:t>
      </w:r>
    </w:p>
    <w:p w14:paraId="5FE53613" w14:textId="232C2E1B" w:rsidR="00BA7255" w:rsidRDefault="00BA7255" w:rsidP="00BA7255">
      <w:r>
        <w:t>Positive perceptions of change can boost employee morale and reduce stress, contributing to a positive culture. Negative perceptions, such as feelings of uncertainty or job insecurity, can lead to low morale and a stressed work environment.</w:t>
      </w:r>
    </w:p>
    <w:p w14:paraId="77585648" w14:textId="707813F7" w:rsidR="00BA7255" w:rsidRDefault="00BA7255" w:rsidP="00BA7255">
      <w:r>
        <w:t>Leadership Style: Leaders' perceptions of change can influence their leadership style. Leaders who embrace change may adopt a transformational leadership style, fostering a culture of inspiration and change readiness. Leaders resistant to change might lean toward a more controlling leadership style.</w:t>
      </w:r>
    </w:p>
    <w:p w14:paraId="12A46E52" w14:textId="35D4DCF0" w:rsidR="00BA7255" w:rsidRDefault="00BA7255" w:rsidP="00BA7255">
      <w:r>
        <w:t>Positive perceptions of change can empower employees to take ownership of their roles and contribute to decision-making, creating a culture of empowerment. Negative perceptions might lead to disempowerment and a lack of initiative. These negative perceptions can create divisions and factions.</w:t>
      </w:r>
    </w:p>
    <w:p w14:paraId="421D93FB" w14:textId="422CA799" w:rsidR="00BA7255" w:rsidRDefault="00BA7255" w:rsidP="00BA7255">
      <w:r>
        <w:t>Negative perceptions of change, if widespread, can lead to increased turnover. A culture of turnover and instability can develop if employees consistently resist change efforts.</w:t>
      </w:r>
    </w:p>
    <w:p w14:paraId="03C2D63C" w14:textId="0E4683DE" w:rsidR="00BA7255" w:rsidRDefault="00BA7255" w:rsidP="00BA7255">
      <w:r>
        <w:t>The way different perceptions of change interact with workplace culture can significantly impact the overall work environment, employee morale, productivity, and organizational outcomes. It's important for leaders to address these perceptions proactively, communicate effectively, and create strategies to align different perspectives to foster a positive and adaptable workplace culture.</w:t>
      </w:r>
    </w:p>
    <w:p w14:paraId="423D8203" w14:textId="77777777" w:rsidR="00CE614C" w:rsidRDefault="00CE614C" w:rsidP="00BA7255"/>
    <w:p w14:paraId="64A16B4D" w14:textId="0ED21B0B" w:rsidR="00BA7255" w:rsidRDefault="00BA7255" w:rsidP="00BA7255"/>
    <w:p w14:paraId="2D6421BB" w14:textId="35A42778" w:rsidR="001A433A" w:rsidRDefault="001A433A" w:rsidP="00336CB0">
      <w:pPr>
        <w:pStyle w:val="Heading2"/>
      </w:pPr>
      <w:bookmarkStart w:id="3" w:name="_Toc144317889"/>
      <w:r>
        <w:t>Macro and Micro Environmental Forces</w:t>
      </w:r>
      <w:bookmarkEnd w:id="3"/>
    </w:p>
    <w:p w14:paraId="0395E3C6" w14:textId="3286E179" w:rsidR="001A433A" w:rsidRDefault="00336CB0" w:rsidP="001A433A">
      <w:r>
        <w:t>Microenvironment</w:t>
      </w:r>
      <w:r w:rsidR="001A433A">
        <w:t xml:space="preserve"> factors refer to forces that are immediate and within the organization's control, while macro environment factors are external forces that the organization has less control over. </w:t>
      </w:r>
    </w:p>
    <w:p w14:paraId="284FCF37" w14:textId="2D9F8CA0" w:rsidR="001A433A" w:rsidRDefault="001A433A" w:rsidP="00336CB0">
      <w:pPr>
        <w:pStyle w:val="Heading2"/>
      </w:pPr>
      <w:bookmarkStart w:id="4" w:name="_Toc144317890"/>
      <w:r>
        <w:t xml:space="preserve">Some examples of </w:t>
      </w:r>
      <w:r w:rsidR="00336CB0">
        <w:t>Microenvironment</w:t>
      </w:r>
      <w:r>
        <w:t xml:space="preserve"> Forces:</w:t>
      </w:r>
      <w:bookmarkEnd w:id="4"/>
    </w:p>
    <w:p w14:paraId="18CD31DF" w14:textId="6F6733BD" w:rsidR="001A433A" w:rsidRDefault="001A433A" w:rsidP="001A433A">
      <w:r>
        <w:t xml:space="preserve">Leadership Changes: </w:t>
      </w:r>
      <w:r w:rsidRPr="001A433A">
        <w:t>New leadership can bring different values, and priorities that influence workplace culture and shape the capabilities employees need to develop.</w:t>
      </w:r>
      <w:r>
        <w:t xml:space="preserve"> Change in leadership can impact organizational culture as new leaders may bring different management styles, goals, and strategies (Yukl, 2012). </w:t>
      </w:r>
    </w:p>
    <w:p w14:paraId="12FEF708" w14:textId="6090A757" w:rsidR="001A433A" w:rsidRDefault="001A433A" w:rsidP="001A433A">
      <w:r>
        <w:t>Organizational Restructuring: Reorganization of departments, roles, and reporting structures can lead to changes in team dynamics and collaboration patterns, affecting workplace culture and capabilities</w:t>
      </w:r>
      <w:r w:rsidR="00440B1C">
        <w:t xml:space="preserve"> (</w:t>
      </w:r>
      <w:r>
        <w:t>Cameron</w:t>
      </w:r>
      <w:r w:rsidR="00440B1C">
        <w:t xml:space="preserve"> </w:t>
      </w:r>
      <w:r>
        <w:t xml:space="preserve">&amp; Green, 2015). </w:t>
      </w:r>
    </w:p>
    <w:p w14:paraId="5A57982A" w14:textId="2E47701B" w:rsidR="001A433A" w:rsidRDefault="001A433A" w:rsidP="001A433A">
      <w:r>
        <w:t xml:space="preserve">Mergers and Acquisitions (M&amp;A): M&amp;A activities can result in the integration of different cultures and capabilities, requiring a careful approach to aligning and harmonizing them </w:t>
      </w:r>
      <w:r w:rsidR="00440B1C">
        <w:t>(</w:t>
      </w:r>
      <w:r>
        <w:t>Cartwright</w:t>
      </w:r>
      <w:r w:rsidR="00440B1C">
        <w:t xml:space="preserve"> </w:t>
      </w:r>
      <w:r>
        <w:t xml:space="preserve">&amp; Cooper, 1996). </w:t>
      </w:r>
    </w:p>
    <w:p w14:paraId="6D756E2E" w14:textId="52A6960C" w:rsidR="001A433A" w:rsidRDefault="001A433A" w:rsidP="001A433A">
      <w:r>
        <w:t xml:space="preserve">Change in Strategy: Shifting organizational strategies to adapt to market changes or new opportunities can impact the culture and required capabilities </w:t>
      </w:r>
      <w:r w:rsidR="00440B1C">
        <w:t>(</w:t>
      </w:r>
      <w:r>
        <w:t>Tidd &amp; Bessant,</w:t>
      </w:r>
      <w:r w:rsidR="00440B1C">
        <w:t xml:space="preserve"> </w:t>
      </w:r>
      <w:r>
        <w:t xml:space="preserve">2018). </w:t>
      </w:r>
    </w:p>
    <w:p w14:paraId="4D10BC44" w14:textId="7F5477F0" w:rsidR="001A433A" w:rsidRDefault="00CE614C" w:rsidP="00336CB0">
      <w:pPr>
        <w:pStyle w:val="Heading2"/>
      </w:pPr>
      <w:bookmarkStart w:id="5" w:name="_Toc144317891"/>
      <w:r>
        <w:t xml:space="preserve">Some Examples of </w:t>
      </w:r>
      <w:r w:rsidR="001A433A">
        <w:t>Macro Environment Forces:</w:t>
      </w:r>
      <w:bookmarkEnd w:id="5"/>
    </w:p>
    <w:p w14:paraId="161369BA" w14:textId="3E9A7F0F" w:rsidR="001A433A" w:rsidRDefault="001A433A" w:rsidP="001A433A">
      <w:r>
        <w:t>Technological Advancements: Rapid technological changes can require employees to develop new skills, impacting the organization's capabilities and potentially leading to cultural shifts toward innovation and adaptability</w:t>
      </w:r>
      <w:r w:rsidR="00440B1C">
        <w:t xml:space="preserve"> (</w:t>
      </w:r>
      <w:r>
        <w:t>Christensen &amp; Raynor,</w:t>
      </w:r>
      <w:r w:rsidR="00440B1C">
        <w:t xml:space="preserve"> </w:t>
      </w:r>
      <w:r>
        <w:t xml:space="preserve">2013). </w:t>
      </w:r>
    </w:p>
    <w:p w14:paraId="01CBC311" w14:textId="0C402592" w:rsidR="001A433A" w:rsidRDefault="001A433A" w:rsidP="001A433A">
      <w:r>
        <w:t>Globalization: Expansion into global markets can require cultural sensitivity and cross-cultural collaboration, influencing both culture and capabilities</w:t>
      </w:r>
      <w:r w:rsidR="00440B1C">
        <w:t xml:space="preserve"> (</w:t>
      </w:r>
      <w:r>
        <w:t xml:space="preserve">Ghemawat, 2007). </w:t>
      </w:r>
    </w:p>
    <w:p w14:paraId="01070306" w14:textId="39B42371" w:rsidR="001A433A" w:rsidRDefault="001A433A" w:rsidP="001A433A">
      <w:r>
        <w:t>Economic Conditions: Economic downturns or upswings can impact the organization's financial resources, leading to changes in hiring practices, training, and capability development</w:t>
      </w:r>
      <w:r w:rsidR="00A42462">
        <w:t xml:space="preserve"> </w:t>
      </w:r>
      <w:r w:rsidR="00440B1C">
        <w:t>(</w:t>
      </w:r>
      <w:r>
        <w:t>Kotler &amp; Armstrong,</w:t>
      </w:r>
      <w:r w:rsidR="00440B1C">
        <w:t xml:space="preserve"> </w:t>
      </w:r>
      <w:r>
        <w:t xml:space="preserve">2010). </w:t>
      </w:r>
    </w:p>
    <w:p w14:paraId="050BB83B" w14:textId="73346B74" w:rsidR="001A433A" w:rsidRDefault="001A433A" w:rsidP="001A433A">
      <w:r>
        <w:t xml:space="preserve">Regulatory Changes: Changes in regulations and laws can impact the organization's operating procedures, influencing its </w:t>
      </w:r>
      <w:r w:rsidR="00A42462">
        <w:t>capabilities,</w:t>
      </w:r>
      <w:r>
        <w:t xml:space="preserve"> and possibly necessitating cultural shifts</w:t>
      </w:r>
      <w:r w:rsidR="00A42462">
        <w:t xml:space="preserve"> (</w:t>
      </w:r>
      <w:r>
        <w:t>Buchanan</w:t>
      </w:r>
      <w:r w:rsidR="00A42462">
        <w:t xml:space="preserve"> </w:t>
      </w:r>
      <w:r>
        <w:t>&amp; Badham,</w:t>
      </w:r>
      <w:r w:rsidR="00A42462">
        <w:t xml:space="preserve"> </w:t>
      </w:r>
      <w:r>
        <w:t xml:space="preserve">1999). </w:t>
      </w:r>
    </w:p>
    <w:p w14:paraId="2DA758A4" w14:textId="22E25F5C" w:rsidR="001A433A" w:rsidRDefault="001A433A" w:rsidP="001A433A">
      <w:r>
        <w:t>These micro and macro environment forces illustrate the dynamic interplay between organizational change, workplace culture, and capabilities. Adapting to these forces requires organizations to be proactive in managing change, fostering a culture of agility, and continuously developing the capabilities needed to remain competitive in a rapidly changing business landscape.</w:t>
      </w:r>
    </w:p>
    <w:p w14:paraId="617112ED" w14:textId="3D0B28D8" w:rsidR="00A42462" w:rsidRDefault="00A42462" w:rsidP="001A433A">
      <w:r w:rsidRPr="00A42462">
        <w:t>These forces interact to shape an organization's culture and capabilities. Successful organizations aligning their culture with strategic goals, developing capabilities to meet evolving demands. Balancing both micro and macro environment forces is essential to ensure that workplace culture and capabilities remain aligned with the organization's objectives and the broader external landscape.</w:t>
      </w:r>
    </w:p>
    <w:p w14:paraId="702AA8ED" w14:textId="68702220" w:rsidR="00CE614C" w:rsidRDefault="00CE614C" w:rsidP="001A433A">
      <w:r>
        <w:lastRenderedPageBreak/>
        <w:t>In relation to the authors own organization, there has been an example of macro environment forces that have led to change. The following section is a case study of the impact and changes.</w:t>
      </w:r>
    </w:p>
    <w:p w14:paraId="07B27EC0" w14:textId="77777777" w:rsidR="00CE614C" w:rsidRDefault="00CE614C" w:rsidP="00336CB0">
      <w:pPr>
        <w:pStyle w:val="Heading2"/>
      </w:pPr>
      <w:bookmarkStart w:id="6" w:name="_Toc144317892"/>
      <w:r>
        <w:t>Case Study: Impact of Regulatory Changes on Companies House UK</w:t>
      </w:r>
      <w:bookmarkEnd w:id="6"/>
    </w:p>
    <w:p w14:paraId="65B54691" w14:textId="77777777" w:rsidR="00CE614C" w:rsidRDefault="00CE614C" w:rsidP="00CE614C">
      <w:r>
        <w:t>Organization: Companies House UK</w:t>
      </w:r>
    </w:p>
    <w:p w14:paraId="76611911" w14:textId="77777777" w:rsidR="00CE614C" w:rsidRDefault="00CE614C" w:rsidP="00CE614C">
      <w:r>
        <w:t>Macro Environment Force: Regulatory Changes</w:t>
      </w:r>
    </w:p>
    <w:p w14:paraId="060B8CB4" w14:textId="6B4C0034" w:rsidR="00CE614C" w:rsidRDefault="00CE614C" w:rsidP="00CE614C">
      <w:r>
        <w:t>Situation: Companies House is the government agency responsible for registering companies and ensuring compliance with relevant laws and regulations. The organization operates in a dynamic environment influenced by regulatory changes that impact how businesses are formed, operated, and governed. In recent years, there have been significant shifts in regulations related to company transparency, reporting, and corporate governance.</w:t>
      </w:r>
    </w:p>
    <w:p w14:paraId="04217BAF" w14:textId="77777777" w:rsidR="00CE614C" w:rsidRDefault="00CE614C" w:rsidP="00CE614C">
      <w:r>
        <w:t>Impact on Organizational Capabilities:</w:t>
      </w:r>
    </w:p>
    <w:p w14:paraId="1AB8CBF5" w14:textId="77777777" w:rsidR="00CE614C" w:rsidRDefault="00CE614C" w:rsidP="00CE614C">
      <w:r>
        <w:t xml:space="preserve">Information Management: </w:t>
      </w:r>
    </w:p>
    <w:p w14:paraId="13929516" w14:textId="47D6E916" w:rsidR="00CE614C" w:rsidRDefault="00CE614C" w:rsidP="00CE614C">
      <w:r>
        <w:t>Regulatory changes have led to increased requirements for collecting, managing, and sharing information about companies, directors, and shareholders. Companies House must enhance its information management systems to accommodate these changes.</w:t>
      </w:r>
    </w:p>
    <w:p w14:paraId="32B64379" w14:textId="77777777" w:rsidR="00CE614C" w:rsidRDefault="00CE614C" w:rsidP="00CE614C">
      <w:r>
        <w:t xml:space="preserve">Technology Integration: </w:t>
      </w:r>
    </w:p>
    <w:p w14:paraId="796E1C6B" w14:textId="3E753D1C" w:rsidR="00CE614C" w:rsidRDefault="00CE614C" w:rsidP="00CE614C">
      <w:r>
        <w:t>The organization needs to invest in technological capabilities to digitize its processes, improve accessibility of information, and ensure efficient registration and reporting procedures.</w:t>
      </w:r>
    </w:p>
    <w:p w14:paraId="7F2813CA" w14:textId="77777777" w:rsidR="00CE614C" w:rsidRDefault="00CE614C" w:rsidP="00CE614C"/>
    <w:p w14:paraId="7F1E8DAB" w14:textId="77777777" w:rsidR="00CE614C" w:rsidRDefault="00CE614C" w:rsidP="00CE614C">
      <w:r>
        <w:t xml:space="preserve">Transparency and Reporting: </w:t>
      </w:r>
    </w:p>
    <w:p w14:paraId="10453441" w14:textId="3F8C2970" w:rsidR="00CE614C" w:rsidRDefault="00CE614C" w:rsidP="00CE614C">
      <w:r>
        <w:t>Regulatory changes emphasize transparency and require companies to disclose more information about their ownership structure, beneficial owners, and financial performance. Companies House must develop the capability to handle and verify this information.</w:t>
      </w:r>
    </w:p>
    <w:p w14:paraId="425E09DD" w14:textId="77777777" w:rsidR="00CE614C" w:rsidRDefault="00CE614C" w:rsidP="00CE614C"/>
    <w:p w14:paraId="0DA9FF51" w14:textId="77777777" w:rsidR="00CE614C" w:rsidRDefault="00CE614C" w:rsidP="00CE614C">
      <w:r>
        <w:t xml:space="preserve">Data Security and Privacy: </w:t>
      </w:r>
    </w:p>
    <w:p w14:paraId="49F24CFF" w14:textId="2CAD412C" w:rsidR="00CE614C" w:rsidRDefault="00CE614C" w:rsidP="00CE614C">
      <w:r>
        <w:t>The organization needs to strengthen its capabilities in data security and privacy to safeguard sensitive business information and comply with data protection regulations.</w:t>
      </w:r>
    </w:p>
    <w:p w14:paraId="674883BF" w14:textId="77777777" w:rsidR="00CE614C" w:rsidRDefault="00CE614C" w:rsidP="00CE614C"/>
    <w:p w14:paraId="026888B7" w14:textId="77777777" w:rsidR="00CE614C" w:rsidRDefault="00CE614C" w:rsidP="00CE614C">
      <w:r>
        <w:t xml:space="preserve">Customer Service: </w:t>
      </w:r>
    </w:p>
    <w:p w14:paraId="6F80B2FE" w14:textId="63F32893" w:rsidR="00CE614C" w:rsidRDefault="00CE614C" w:rsidP="00CE614C">
      <w:r>
        <w:t>Regulatory changes can lead to increased queries from businesses seeking guidance on compliance. Companies House must enhance its customer service capabilities to provide accurate and timely assistance.</w:t>
      </w:r>
    </w:p>
    <w:p w14:paraId="03BD65FB" w14:textId="23938850" w:rsidR="00CE614C" w:rsidRDefault="00CE614C" w:rsidP="00CE614C"/>
    <w:p w14:paraId="6DE13BAD" w14:textId="74BB5B26" w:rsidR="00CE614C" w:rsidRDefault="00CE614C" w:rsidP="00CE614C"/>
    <w:p w14:paraId="52A4B205" w14:textId="134E5557" w:rsidR="00CE614C" w:rsidRDefault="00CE614C" w:rsidP="00CE614C"/>
    <w:p w14:paraId="0961BDBD" w14:textId="77777777" w:rsidR="00CE614C" w:rsidRDefault="00CE614C" w:rsidP="00CE614C"/>
    <w:p w14:paraId="11AC8C6A" w14:textId="77777777" w:rsidR="00CE614C" w:rsidRDefault="00CE614C" w:rsidP="00CE614C">
      <w:r>
        <w:lastRenderedPageBreak/>
        <w:t xml:space="preserve">Stakeholder Engagement: </w:t>
      </w:r>
    </w:p>
    <w:p w14:paraId="375FAABE" w14:textId="13FDFBAB" w:rsidR="00CE614C" w:rsidRDefault="00CE614C" w:rsidP="00CE614C">
      <w:r>
        <w:t>The organization needs to engage with various stakeholders, including businesses, legal professionals, and the public, to ensure a clear understanding of regulatory changes and their implications.</w:t>
      </w:r>
    </w:p>
    <w:p w14:paraId="6C260739" w14:textId="77777777" w:rsidR="00CE614C" w:rsidRDefault="00CE614C" w:rsidP="00CE614C">
      <w:r>
        <w:t>Actions Taken:</w:t>
      </w:r>
    </w:p>
    <w:p w14:paraId="04AFFC0B" w14:textId="77777777" w:rsidR="00CE614C" w:rsidRDefault="00CE614C" w:rsidP="00CE614C">
      <w:r>
        <w:t>Digital Transformation:</w:t>
      </w:r>
    </w:p>
    <w:p w14:paraId="09F00B7F" w14:textId="22D9481B" w:rsidR="00CE614C" w:rsidRDefault="00CE614C" w:rsidP="00CE614C">
      <w:r>
        <w:t>Companies House embarked on a comprehensive digital transformation journey, including the development of an online platform for company registration, filing, and access to information. This required investment in technology and capability building.</w:t>
      </w:r>
    </w:p>
    <w:p w14:paraId="790B9057" w14:textId="77777777" w:rsidR="00CE614C" w:rsidRDefault="00CE614C" w:rsidP="00CE614C">
      <w:r>
        <w:t xml:space="preserve">Educational Outreach: </w:t>
      </w:r>
    </w:p>
    <w:p w14:paraId="58F5CF4B" w14:textId="30599DE8" w:rsidR="00CE614C" w:rsidRDefault="00CE614C" w:rsidP="00CE614C">
      <w:r>
        <w:t>The organization launched educational campaigns, webinars, and workshops to inform businesses, directors, and professionals about regulatory changes, improving stakeholder engagement.</w:t>
      </w:r>
    </w:p>
    <w:p w14:paraId="7C024B9C" w14:textId="77777777" w:rsidR="00CE614C" w:rsidRDefault="00CE614C" w:rsidP="00CE614C">
      <w:r>
        <w:t>Enhanced Verification Processes:</w:t>
      </w:r>
    </w:p>
    <w:p w14:paraId="691E4703" w14:textId="15EB394F" w:rsidR="00CE614C" w:rsidRDefault="00CE614C" w:rsidP="00CE614C">
      <w:r>
        <w:t>Companies House implemented stricter verification processes to ensure the accuracy and authenticity of information provided by companies during registration and reporting.</w:t>
      </w:r>
    </w:p>
    <w:p w14:paraId="5526A136" w14:textId="77777777" w:rsidR="00CE614C" w:rsidRDefault="00CE614C" w:rsidP="00CE614C">
      <w:r>
        <w:t xml:space="preserve">Collaboration with Other Agencies: </w:t>
      </w:r>
    </w:p>
    <w:p w14:paraId="499724F7" w14:textId="61780A0E" w:rsidR="00CE614C" w:rsidRDefault="00CE614C" w:rsidP="00CE614C">
      <w:r>
        <w:t>To align with broader regulatory changes, Companies House collaborated with other government agencies to share relevant data and ensure compliance.</w:t>
      </w:r>
    </w:p>
    <w:p w14:paraId="1C81AD7C" w14:textId="77777777" w:rsidR="00CE614C" w:rsidRDefault="00CE614C" w:rsidP="00CE614C">
      <w:r>
        <w:t xml:space="preserve">Data Security Measures: </w:t>
      </w:r>
    </w:p>
    <w:p w14:paraId="467200A1" w14:textId="10014A07" w:rsidR="00CE614C" w:rsidRDefault="00CE614C" w:rsidP="00CE614C">
      <w:r>
        <w:t>The organization implemented robust data security measures, including encryption and access controls, to protect sensitive business information and comply with data protection regulations.</w:t>
      </w:r>
    </w:p>
    <w:p w14:paraId="1E8F05B8" w14:textId="77777777" w:rsidR="00CE614C" w:rsidRDefault="00CE614C" w:rsidP="00CE614C">
      <w:r>
        <w:t>Outcome:</w:t>
      </w:r>
    </w:p>
    <w:p w14:paraId="6FDB2687" w14:textId="6A043CB8" w:rsidR="00CE614C" w:rsidRDefault="00CE614C" w:rsidP="00CE614C">
      <w:r>
        <w:t>Companies House successfully adapted to regulatory changes by transforming its capabilities to align with the evolving regulatory landscape. The digital transformation initiatives improved accessibility to information, reduced administrative burdens on businesses, and enhanced transparency in company operations. The organization's efforts in stakeholder engagement and data security bolstered its credibility and trust among businesses and the public.</w:t>
      </w:r>
    </w:p>
    <w:p w14:paraId="4561FC35" w14:textId="001FC25F" w:rsidR="00CE614C" w:rsidRDefault="00CE614C" w:rsidP="00CE614C">
      <w:r>
        <w:t>This case study demonstrates how macro environment forces, particularly regulatory changes, can prompt a government agency like Companies House to adjust its capabilities, invest in technology, enhance stakeholder engagement, and adopt measures to ensure compliance and data security.</w:t>
      </w:r>
    </w:p>
    <w:p w14:paraId="5B155E23" w14:textId="5E762276" w:rsidR="00CE614C" w:rsidRDefault="00CE614C" w:rsidP="00CE614C">
      <w:r>
        <w:t>A critical part of the process is the stakeholder engagement. In the next section the report will explore why the stakeholders are pivotal to any organizational change.</w:t>
      </w:r>
    </w:p>
    <w:p w14:paraId="07569338" w14:textId="542D8625" w:rsidR="00CE614C" w:rsidRDefault="00CE614C" w:rsidP="00CE614C"/>
    <w:p w14:paraId="71801B5F" w14:textId="3D56A310" w:rsidR="00216A1E" w:rsidRDefault="00216A1E" w:rsidP="00336CB0">
      <w:pPr>
        <w:pStyle w:val="Heading2"/>
      </w:pPr>
      <w:bookmarkStart w:id="7" w:name="_Toc144317893"/>
      <w:r>
        <w:t>What is a stakeholder</w:t>
      </w:r>
      <w:bookmarkEnd w:id="7"/>
    </w:p>
    <w:p w14:paraId="4B2859FC" w14:textId="77777777" w:rsidR="00216A1E" w:rsidRDefault="00216A1E" w:rsidP="00216A1E">
      <w:r>
        <w:t xml:space="preserve">A stakeholder is an individual, group, or entity that has an interest, influence, or investment in a particular organization, project, or initiative. Stakeholders can significantly impact or be impacted by the decisions, actions, and outcomes of the organization or initiative. They can include a wide range </w:t>
      </w:r>
      <w:r>
        <w:lastRenderedPageBreak/>
        <w:t>of individuals and groups, such as employees, customers, investors, suppliers, government agencies, communities, advocacy groups, and more.</w:t>
      </w:r>
    </w:p>
    <w:p w14:paraId="6611056A" w14:textId="77777777" w:rsidR="00216A1E" w:rsidRDefault="00216A1E" w:rsidP="00216A1E">
      <w:r>
        <w:t>Stakeholders can have varying degrees of involvement and influence, and their interests may be diverse and sometimes conflicting. Recognizing and managing stakeholder interests is crucial for organizations to achieve their goals, make informed decisions, and ensure the success and sustainability of their initiatives.</w:t>
      </w:r>
    </w:p>
    <w:p w14:paraId="3529B592" w14:textId="29570391" w:rsidR="005828B7" w:rsidRDefault="00216A1E" w:rsidP="005828B7">
      <w:r>
        <w:t>Stakeholder management involves identifying key stakeholders, understanding their expectations and concerns, engaging with them through effective communication, and addressing their needs and interests to build positive relationships and achieve mutual benefits</w:t>
      </w:r>
      <w:r w:rsidR="005828B7">
        <w:t xml:space="preserve"> (Freeman, 1984; Mitchell, Agle &amp; Wood, 1997; Donaldson &amp; Preston, 1995). </w:t>
      </w:r>
    </w:p>
    <w:p w14:paraId="0A30A047" w14:textId="64002EB3" w:rsidR="005828B7" w:rsidRDefault="005828B7" w:rsidP="005828B7">
      <w:r>
        <w:t>When it comes to change</w:t>
      </w:r>
      <w:r w:rsidR="00152C7F">
        <w:t>,</w:t>
      </w:r>
      <w:r>
        <w:t xml:space="preserve"> whether it be macro or micro environmentally driven, buy in and support from stakeholders is imperative.</w:t>
      </w:r>
    </w:p>
    <w:p w14:paraId="511C28FE" w14:textId="65127D65" w:rsidR="004B0036" w:rsidRDefault="00152C7F" w:rsidP="00152C7F">
      <w:r>
        <w:t xml:space="preserve">Stakeholder support is essential for organizational change due to its significant impact on the success, implementation, and sustainability of the change initiative. </w:t>
      </w:r>
    </w:p>
    <w:p w14:paraId="11617532" w14:textId="77777777" w:rsidR="004B0036" w:rsidRDefault="004B0036" w:rsidP="00152C7F"/>
    <w:p w14:paraId="56F6C261" w14:textId="04CBF1A3" w:rsidR="00152C7F" w:rsidRDefault="004B0036" w:rsidP="00336CB0">
      <w:pPr>
        <w:pStyle w:val="Heading2"/>
      </w:pPr>
      <w:bookmarkStart w:id="8" w:name="_Toc144317894"/>
      <w:r>
        <w:t>W</w:t>
      </w:r>
      <w:r w:rsidR="00152C7F">
        <w:t xml:space="preserve">hy </w:t>
      </w:r>
      <w:r>
        <w:t xml:space="preserve">is </w:t>
      </w:r>
      <w:r w:rsidR="00152C7F">
        <w:t>having stakeholder support is crucial</w:t>
      </w:r>
      <w:r>
        <w:t>?</w:t>
      </w:r>
      <w:bookmarkEnd w:id="8"/>
    </w:p>
    <w:p w14:paraId="538BDB5A" w14:textId="760C773E" w:rsidR="00152C7F" w:rsidRDefault="00152C7F" w:rsidP="00152C7F">
      <w:r>
        <w:t>Stakeholders often possess valuable insights, perspectives, and expertise related to the organization's operations and context. Their support ensures that decisions about the change initiative are well-informed, consider multiple viewpoints, and lead to more effective outcomes.</w:t>
      </w:r>
    </w:p>
    <w:p w14:paraId="1E756218" w14:textId="7E6A003C" w:rsidR="00152C7F" w:rsidRDefault="00152C7F" w:rsidP="00152C7F">
      <w:r>
        <w:t>Stakeholder support can help prevent resistance, conflicts, and disruptions during the implementation of the change. When stakeholders are on board, they are more likely to actively contribute, cooperate, and align their efforts with the change objectives. Change initiatives can face resistance from employees and other stakeholders who feel threatened by the unfamiliar. When stakeholders support the change, they can influence others positively, helping to reduce resistance and create a smoother transition.</w:t>
      </w:r>
    </w:p>
    <w:p w14:paraId="0F837E8B" w14:textId="231A6DE2" w:rsidR="00152C7F" w:rsidRDefault="00152C7F" w:rsidP="00152C7F">
      <w:r>
        <w:t>Stakeholder support fosters a culture of adaptability and flexibility within the organization. This culture is crucial for handling unforeseen challenges and adjusting the change initiative as needed. Stakeholders who support the change are more likely to allocate necessary resources, whether financial, human, or technological, to ensure the initiative's success.</w:t>
      </w:r>
    </w:p>
    <w:p w14:paraId="429A4DAC" w14:textId="00D79659" w:rsidR="00152C7F" w:rsidRDefault="00152C7F" w:rsidP="00152C7F">
      <w:r>
        <w:t>Stakeholders who support the change can facilitate open and transparent communication among different levels of the organization. Effective communication helps clarify the rationale for change, address concerns, and maintain employee morale.</w:t>
      </w:r>
    </w:p>
    <w:p w14:paraId="34A29BA6" w14:textId="69AF858F" w:rsidR="00152C7F" w:rsidRDefault="00152C7F" w:rsidP="00152C7F">
      <w:r>
        <w:t>Change initiatives often require sustained effort over time. Stakeholder support ensures that there is a consistent commitment to the change initiative's goals, even when initial enthusiasm wanes.</w:t>
      </w:r>
    </w:p>
    <w:p w14:paraId="132508A8" w14:textId="72E283E5" w:rsidR="00152C7F" w:rsidRDefault="00152C7F" w:rsidP="00152C7F">
      <w:r>
        <w:t>When stakeholders endorse the change, it promotes a positive organizational culture that values innovation, collaboration, and growth. This culture can attract and retain employees who align with the organization's direction. Stakeholders' involvement and support are closely linked to achieving the desired outcomes of the change initiative. Without their support, the initiative may fall short of its goals or fail altogether.</w:t>
      </w:r>
    </w:p>
    <w:p w14:paraId="0EC9C883" w14:textId="6E41C482" w:rsidR="00152C7F" w:rsidRDefault="00152C7F" w:rsidP="00152C7F">
      <w:r>
        <w:lastRenderedPageBreak/>
        <w:t>Finally, change initiatives that receive strong stakeholder support are more likely to be sustainable in the long run. Stakeholders who are invested in the change's success will continue to champion it beyond the initial implementation phase.</w:t>
      </w:r>
    </w:p>
    <w:p w14:paraId="6E1DF4E5" w14:textId="77027DC3" w:rsidR="00152C7F" w:rsidRDefault="00152C7F" w:rsidP="00152C7F">
      <w:r>
        <w:t>In essence, having stakeholder support creates a collaborative environment that fosters engagement, ownership, and a shared commitment to the change. It aligns the efforts of individuals and groups toward a common vision, ensuring that the change initiative achieves its intended benefits and contributes to the organization's growth and success.</w:t>
      </w:r>
    </w:p>
    <w:p w14:paraId="359F8EA3" w14:textId="452FD32A" w:rsidR="00A04032" w:rsidRDefault="00A04032" w:rsidP="00152C7F"/>
    <w:p w14:paraId="56C4C4D4" w14:textId="4D19AE75" w:rsidR="00A04032" w:rsidRDefault="002C531A" w:rsidP="00336CB0">
      <w:pPr>
        <w:pStyle w:val="Heading2"/>
      </w:pPr>
      <w:bookmarkStart w:id="9" w:name="_Toc144317895"/>
      <w:r>
        <w:t>Prioritising Stakeholders</w:t>
      </w:r>
      <w:bookmarkEnd w:id="9"/>
    </w:p>
    <w:p w14:paraId="02481675" w14:textId="77777777" w:rsidR="002C531A" w:rsidRDefault="002C531A" w:rsidP="002C531A">
      <w:r>
        <w:t>Prioritizing stakeholders during organizational change is a critical aspect of successful change management. Stakeholders are individuals or groups who have an interest or are affected by the outcomes of the change initiative. Effective stakeholder management helps ensure that their concerns, needs, and expectations are taken into account, leading to smoother transitions and higher chances of success. Let's delve into the explanation with references to support the concepts.</w:t>
      </w:r>
    </w:p>
    <w:p w14:paraId="2DAD5D52" w14:textId="77777777" w:rsidR="002C531A" w:rsidRDefault="002C531A" w:rsidP="002C531A">
      <w:r>
        <w:t xml:space="preserve">Identification of Stakeholders: </w:t>
      </w:r>
    </w:p>
    <w:p w14:paraId="61288870" w14:textId="05706DF4" w:rsidR="002C531A" w:rsidRDefault="002C531A" w:rsidP="002C531A">
      <w:r>
        <w:t xml:space="preserve">Identifying and categorizing stakeholders is the first step. Stakeholders can include employees, customers, investors, suppliers, regulatory bodies, and more. Engaging with the right stakeholders from the beginning can help in understanding their perspectives and concerns (Kotter, 1995). </w:t>
      </w:r>
    </w:p>
    <w:p w14:paraId="4012DC2C" w14:textId="77777777" w:rsidR="002C531A" w:rsidRDefault="002C531A" w:rsidP="002C531A">
      <w:r>
        <w:t xml:space="preserve">Stakeholder Analysis: </w:t>
      </w:r>
    </w:p>
    <w:p w14:paraId="0CDA58CA" w14:textId="49368D7A" w:rsidR="002C531A" w:rsidRDefault="002C531A" w:rsidP="002C531A">
      <w:r>
        <w:t>Conducting a stakeholder analysis involves assessing the power, interest, influence, and potential impact of each stakeholder. This analysis helps in determining the level of engagement and communication required for different stakeholders</w:t>
      </w:r>
      <w:r w:rsidR="002B23C9">
        <w:t xml:space="preserve"> (</w:t>
      </w:r>
      <w:r>
        <w:t xml:space="preserve">Mitchell, Agle &amp; Wood, 1997). </w:t>
      </w:r>
    </w:p>
    <w:p w14:paraId="20305F37" w14:textId="77777777" w:rsidR="002B23C9" w:rsidRDefault="002C531A" w:rsidP="002C531A">
      <w:r>
        <w:t xml:space="preserve">Effective Communication: </w:t>
      </w:r>
    </w:p>
    <w:p w14:paraId="4E206CA9" w14:textId="299C0552" w:rsidR="002C531A" w:rsidRDefault="002C531A" w:rsidP="002C531A">
      <w:r>
        <w:t>Clear and consistent communication is vital. Different stakeholders may have varying levels of familiarity with the change and different concerns. Tailoring communication to address these differences can build trust and buy-in</w:t>
      </w:r>
      <w:r w:rsidR="002B23C9">
        <w:t xml:space="preserve"> (</w:t>
      </w:r>
      <w:r>
        <w:t>Ford</w:t>
      </w:r>
      <w:r w:rsidR="002B23C9">
        <w:t xml:space="preserve"> &amp; </w:t>
      </w:r>
      <w:r>
        <w:t>Ford,</w:t>
      </w:r>
      <w:r w:rsidR="002B23C9">
        <w:t xml:space="preserve"> </w:t>
      </w:r>
      <w:r>
        <w:t xml:space="preserve">2010). </w:t>
      </w:r>
    </w:p>
    <w:p w14:paraId="4AEA4C9B" w14:textId="77777777" w:rsidR="002B23C9" w:rsidRDefault="002C531A" w:rsidP="002C531A">
      <w:r>
        <w:t xml:space="preserve">Managing Resistance: </w:t>
      </w:r>
    </w:p>
    <w:p w14:paraId="7F3D242C" w14:textId="6BAC4D6D" w:rsidR="002C531A" w:rsidRDefault="002C531A" w:rsidP="002C531A">
      <w:r>
        <w:t>Some stakeholders might resist change due to uncertainties or perceived threats. Addressing their concerns and involving them in the decision-making process can mitigate resistance</w:t>
      </w:r>
      <w:r w:rsidR="002B23C9">
        <w:t xml:space="preserve"> (</w:t>
      </w:r>
      <w:r>
        <w:t xml:space="preserve">Oreg, Vakola &amp; Armenakis, 2011). </w:t>
      </w:r>
    </w:p>
    <w:p w14:paraId="74D56746" w14:textId="77777777" w:rsidR="008745EF" w:rsidRDefault="002C531A" w:rsidP="002C531A">
      <w:r>
        <w:t xml:space="preserve">Incorporating Feedback: </w:t>
      </w:r>
    </w:p>
    <w:p w14:paraId="3D32A365" w14:textId="2BDF0242" w:rsidR="002C531A" w:rsidRDefault="002C531A" w:rsidP="002C531A">
      <w:r>
        <w:t>Actively seeking and incorporating feedback from stakeholders allows for adjustments in the change strategy. This iterative process can improve the overall effectiveness of the change initiative</w:t>
      </w:r>
      <w:r w:rsidR="008745EF">
        <w:t xml:space="preserve"> (</w:t>
      </w:r>
      <w:r>
        <w:t>Eisenbeiss, Knippenberg, &amp; Boerner,</w:t>
      </w:r>
      <w:r w:rsidR="008745EF">
        <w:t xml:space="preserve"> </w:t>
      </w:r>
      <w:r>
        <w:t xml:space="preserve">2008). </w:t>
      </w:r>
    </w:p>
    <w:p w14:paraId="577D3657" w14:textId="77777777" w:rsidR="008745EF" w:rsidRDefault="002C531A" w:rsidP="002C531A">
      <w:r>
        <w:t xml:space="preserve">Empowerment and Involvement: </w:t>
      </w:r>
    </w:p>
    <w:p w14:paraId="2939C9A8" w14:textId="639F223D" w:rsidR="002C531A" w:rsidRDefault="002C531A" w:rsidP="002C531A">
      <w:r>
        <w:t>Involving key stakeholders in decision-making can lead to a sense of ownership and commitment to the change. Empowered stakeholders are more likely to support and champion the change</w:t>
      </w:r>
      <w:r w:rsidR="00E556E8">
        <w:t xml:space="preserve"> (</w:t>
      </w:r>
      <w:r>
        <w:t>Conger</w:t>
      </w:r>
      <w:r w:rsidR="00E556E8">
        <w:t xml:space="preserve"> </w:t>
      </w:r>
      <w:r>
        <w:t xml:space="preserve">&amp; Kanungo, 1988). </w:t>
      </w:r>
    </w:p>
    <w:p w14:paraId="49311982" w14:textId="3494B9DD" w:rsidR="00E556E8" w:rsidRDefault="002C531A" w:rsidP="002C531A">
      <w:r>
        <w:t xml:space="preserve">Monitoring and Evaluation: </w:t>
      </w:r>
    </w:p>
    <w:p w14:paraId="17E34703" w14:textId="64880EB2" w:rsidR="002C531A" w:rsidRDefault="002C531A" w:rsidP="002C531A">
      <w:r>
        <w:lastRenderedPageBreak/>
        <w:t>Regularly monitoring the progress of the change initiative and evaluating its impact on stakeholders helps in making necessary adjustments and ensuring that stakeholders' concerns are being addressed</w:t>
      </w:r>
      <w:r w:rsidR="00E556E8">
        <w:t xml:space="preserve"> (</w:t>
      </w:r>
      <w:r>
        <w:t xml:space="preserve">Weiss, 1998). </w:t>
      </w:r>
    </w:p>
    <w:p w14:paraId="0527F098" w14:textId="2C6EA788" w:rsidR="002C531A" w:rsidRDefault="002C531A" w:rsidP="002C531A">
      <w:r>
        <w:t>Prioritizing stakeholders during organizational change is not only a practical approach but also aligns with ethical considerations. When stakeholders are considered, engaged, and their concerns are addressed, the organization is more likely to achieve its desired outcomes and maintain positive relationships within its ecosystem.</w:t>
      </w:r>
    </w:p>
    <w:p w14:paraId="2C1DD5C3" w14:textId="77777777" w:rsidR="00D05215" w:rsidRDefault="00D05215" w:rsidP="002C531A"/>
    <w:p w14:paraId="1C4B62E2" w14:textId="7D8D2FC6" w:rsidR="00D05215" w:rsidRDefault="00D05215" w:rsidP="00336CB0">
      <w:pPr>
        <w:pStyle w:val="Heading2"/>
      </w:pPr>
      <w:bookmarkStart w:id="10" w:name="_Toc144317896"/>
      <w:r>
        <w:t>The Politics, Conflict and Resistance of Change</w:t>
      </w:r>
      <w:bookmarkEnd w:id="10"/>
    </w:p>
    <w:p w14:paraId="5ABC84B2" w14:textId="209BEAD0" w:rsidR="00D05215" w:rsidRDefault="00676728" w:rsidP="00D05215">
      <w:r>
        <w:t xml:space="preserve">To bring shareholders through a change process though it is important to anticipate politics, </w:t>
      </w:r>
      <w:r w:rsidR="00D05215">
        <w:t>conflict,</w:t>
      </w:r>
      <w:r>
        <w:t xml:space="preserve"> and resistance.</w:t>
      </w:r>
      <w:r w:rsidR="00D05215">
        <w:t xml:space="preserve"> The politics, conflict, and resistance of change are intricate and intertwined aspects of organizational change. Organizations are dynamic environments with diverse stakeholders, differing interests, and power dynamics. When changes are introduced, they often disrupt existing power structures and routines, leading to conflicts and resistance. Let's delve into each of these concepts and their relationships:</w:t>
      </w:r>
    </w:p>
    <w:p w14:paraId="0D3B8200" w14:textId="57E2EA11" w:rsidR="00D05215" w:rsidRDefault="00D05215" w:rsidP="00D05215">
      <w:r>
        <w:t>Politics of Change: The politics of change refers to the distribution and exercise of power and influence during a change initiative. Different stakeholders may have varying levels of power and resources, and they may compete for control over the direction and outcomes of the change. Political manoeuvring, alliances, and negotiations can occur as stakeholders vie for their preferred outcomes.</w:t>
      </w:r>
    </w:p>
    <w:p w14:paraId="3EF6EB9A" w14:textId="1417A631" w:rsidR="00D05215" w:rsidRDefault="00D05215" w:rsidP="00D05215">
      <w:r>
        <w:t>Conflict in Organizational Change: Conflict arises when there are differences in opinions, goals, or interests among individuals or groups. During organizational change, conflicts can emerge due to uncertainties, differences in understanding, or concerns about the implications of the change. Conflict can be both constructive and destructive. Constructive conflict can lead to innovative solutions and improved decision-making, while destructive conflict can hinder progress and damage relationships.</w:t>
      </w:r>
    </w:p>
    <w:p w14:paraId="21B9563A" w14:textId="7F84566E" w:rsidR="00D05215" w:rsidRDefault="00D05215" w:rsidP="00D05215">
      <w:r>
        <w:t>Resistance to Change: Resistance to change is a natural reaction to disruptions in the status quo. Individuals and groups may resist change due to fear of the unknown, perceived loss of control, or concerns about personal or group interests being compromised. Resistance can manifest in various forms, such as passive resistance, vocal opposition, or even sabotage of the change efforts.</w:t>
      </w:r>
    </w:p>
    <w:p w14:paraId="5E2DBC65" w14:textId="04593F1E" w:rsidR="00D05215" w:rsidRDefault="00D05215" w:rsidP="00D05215">
      <w:r>
        <w:t>The interplay between politics, conflict, and resistance during organizational change is complex. Conflicts can arise from power struggles and competing interests, which in turn can fuel resistance to change. Political dynamics, for example might influence the level of resistance encountered, as those with more power might resist changes that threaten their positions.</w:t>
      </w:r>
    </w:p>
    <w:p w14:paraId="6ED70749" w14:textId="77777777" w:rsidR="00313164" w:rsidRDefault="00313164" w:rsidP="00D05215"/>
    <w:p w14:paraId="1BA159EB" w14:textId="141F003F" w:rsidR="00D05215" w:rsidRDefault="00D05215" w:rsidP="00336CB0">
      <w:pPr>
        <w:pStyle w:val="Heading2"/>
      </w:pPr>
      <w:bookmarkStart w:id="11" w:name="_Toc144317897"/>
      <w:r>
        <w:t>Strategies to Address Politics, Conflict, and Resistance</w:t>
      </w:r>
      <w:bookmarkEnd w:id="11"/>
    </w:p>
    <w:p w14:paraId="18033D14" w14:textId="50F8A195" w:rsidR="00D05215" w:rsidRDefault="00D05215" w:rsidP="00D05215">
      <w:r>
        <w:t>1.</w:t>
      </w:r>
      <w:r w:rsidR="001448CA">
        <w:t xml:space="preserve"> </w:t>
      </w:r>
      <w:r>
        <w:t>Open Communication: Transparent communication can mitigate misunderstandings and reduce conflict. It's important to address concerns, clarify objectives, and keep stakeholders informed about the rationale behind the change.</w:t>
      </w:r>
    </w:p>
    <w:p w14:paraId="4F4ADE4A" w14:textId="6FFA266E" w:rsidR="00D05215" w:rsidRDefault="00D05215" w:rsidP="00D05215">
      <w:r>
        <w:t>2.</w:t>
      </w:r>
      <w:r w:rsidR="001448CA">
        <w:t xml:space="preserve"> </w:t>
      </w:r>
      <w:r>
        <w:t>Engagement and Participation: Involving stakeholders in the decision-making process can reduce resistance and create a sense of ownership. This approach acknowledges their expertise and perspectives.</w:t>
      </w:r>
    </w:p>
    <w:p w14:paraId="063E954D" w14:textId="43FB34CE" w:rsidR="00D05215" w:rsidRDefault="00D05215" w:rsidP="00D05215">
      <w:r>
        <w:lastRenderedPageBreak/>
        <w:t>3.</w:t>
      </w:r>
      <w:r w:rsidR="001448CA">
        <w:t xml:space="preserve"> </w:t>
      </w:r>
      <w:r>
        <w:t>Conflict Resolution Techniques: Employ conflict resolution strategies, such as negotiation, mediation, and compromise, to address differences and find common ground.</w:t>
      </w:r>
    </w:p>
    <w:p w14:paraId="29F26B56" w14:textId="6212CED7" w:rsidR="00D05215" w:rsidRDefault="00D05215" w:rsidP="00D05215">
      <w:r>
        <w:t>4.</w:t>
      </w:r>
      <w:r w:rsidR="001448CA">
        <w:t xml:space="preserve"> </w:t>
      </w:r>
      <w:r>
        <w:t xml:space="preserve">Leadership and Role </w:t>
      </w:r>
      <w:r w:rsidR="002B0DBC">
        <w:t>Modelling</w:t>
      </w:r>
      <w:r>
        <w:t xml:space="preserve">: Effective leadership plays a crucial role in managing change politics, conflict, and resistance. Leaders who demonstrate commitment to the change and model desired </w:t>
      </w:r>
      <w:r w:rsidR="001448CA">
        <w:t>behaviours</w:t>
      </w:r>
      <w:r>
        <w:t xml:space="preserve"> can influence others to follow suit.</w:t>
      </w:r>
    </w:p>
    <w:p w14:paraId="540C9D34" w14:textId="26C7D99C" w:rsidR="00D05215" w:rsidRDefault="00D05215" w:rsidP="00D05215">
      <w:r>
        <w:t>5.</w:t>
      </w:r>
      <w:r w:rsidR="001448CA">
        <w:t xml:space="preserve"> </w:t>
      </w:r>
      <w:r>
        <w:t>Change Agents: Appointing change agents who are respected and influential within the organization can help manage political dynamics and address resistance. Change agents can advocate for the change and help address concerns.</w:t>
      </w:r>
    </w:p>
    <w:p w14:paraId="02F7C15D" w14:textId="38245E64" w:rsidR="00D05215" w:rsidRDefault="00D05215" w:rsidP="00D05215">
      <w:r>
        <w:t>6.</w:t>
      </w:r>
      <w:r w:rsidR="001448CA">
        <w:t xml:space="preserve"> </w:t>
      </w:r>
      <w:r>
        <w:t>Training and Support: Providing training and support for employees during transitions can alleviate anxieties and equip them with the skills needed to adapt to new processes and structures.</w:t>
      </w:r>
    </w:p>
    <w:p w14:paraId="769107E4" w14:textId="4525357B" w:rsidR="002B0DBC" w:rsidRDefault="00D05215" w:rsidP="00D05215">
      <w:r>
        <w:t>7.</w:t>
      </w:r>
      <w:r w:rsidR="001448CA">
        <w:t xml:space="preserve"> </w:t>
      </w:r>
      <w:r>
        <w:t>Reward and Incentive Systems: Aligning rewards and incentives with the desired change outcomes can motivate individuals to embrace the change</w:t>
      </w:r>
      <w:r w:rsidR="0061779D">
        <w:t xml:space="preserve"> (</w:t>
      </w:r>
      <w:r>
        <w:t>Piderit, 2000</w:t>
      </w:r>
      <w:r w:rsidR="0061779D">
        <w:t xml:space="preserve">; </w:t>
      </w:r>
      <w:r>
        <w:t>Ford</w:t>
      </w:r>
      <w:r w:rsidR="0061779D">
        <w:t xml:space="preserve"> </w:t>
      </w:r>
      <w:r>
        <w:t>&amp; Ford,</w:t>
      </w:r>
      <w:r w:rsidR="0061779D">
        <w:t xml:space="preserve"> </w:t>
      </w:r>
      <w:r>
        <w:t>201</w:t>
      </w:r>
      <w:r w:rsidR="0061779D">
        <w:t xml:space="preserve">0; </w:t>
      </w:r>
      <w:r>
        <w:t>Dunphy</w:t>
      </w:r>
      <w:r w:rsidR="0061779D">
        <w:t xml:space="preserve">, </w:t>
      </w:r>
      <w:r>
        <w:t>Griffiths A &amp; Benn,</w:t>
      </w:r>
      <w:r w:rsidR="0061779D">
        <w:t xml:space="preserve"> </w:t>
      </w:r>
      <w:r>
        <w:t xml:space="preserve">2007). </w:t>
      </w:r>
    </w:p>
    <w:p w14:paraId="3F8188A0" w14:textId="67632CE7" w:rsidR="002B0DBC" w:rsidRDefault="002B0DBC" w:rsidP="00D05215"/>
    <w:p w14:paraId="62BE7E65" w14:textId="1A408400" w:rsidR="002B0DBC" w:rsidRDefault="002B0DBC" w:rsidP="00336CB0">
      <w:pPr>
        <w:pStyle w:val="Heading2"/>
      </w:pPr>
      <w:bookmarkStart w:id="12" w:name="_Toc144317898"/>
      <w:r>
        <w:t>L</w:t>
      </w:r>
      <w:r>
        <w:t xml:space="preserve">eading </w:t>
      </w:r>
      <w:r>
        <w:t>O</w:t>
      </w:r>
      <w:r>
        <w:t xml:space="preserve">rganizational </w:t>
      </w:r>
      <w:r>
        <w:t>S</w:t>
      </w:r>
      <w:r>
        <w:t xml:space="preserve">takeholders through </w:t>
      </w:r>
      <w:r>
        <w:t>C</w:t>
      </w:r>
      <w:r>
        <w:t xml:space="preserve">omplex </w:t>
      </w:r>
      <w:r>
        <w:t>W</w:t>
      </w:r>
      <w:r>
        <w:t xml:space="preserve">orkplace </w:t>
      </w:r>
      <w:r>
        <w:t>C</w:t>
      </w:r>
      <w:r>
        <w:t>hange</w:t>
      </w:r>
      <w:bookmarkEnd w:id="12"/>
    </w:p>
    <w:p w14:paraId="7E6671F3" w14:textId="32550569" w:rsidR="00313164" w:rsidRDefault="002B0DBC" w:rsidP="00D05215">
      <w:r>
        <w:t>Having assessed why stakeholders are so important, and how change can become political and confrontational in the previous sections, this report will now conclude by outlining how to effectively navigate a complex change, whilst keeping shareholders engaged and onboard with the transformation.</w:t>
      </w:r>
    </w:p>
    <w:p w14:paraId="34F13C91" w14:textId="77777777" w:rsidR="002B0DBC" w:rsidRDefault="002B0DBC" w:rsidP="002B0DBC">
      <w:r>
        <w:t xml:space="preserve">Efficiently leading organizational stakeholders through complex workplace change requires a strategic and comprehensive approach. Successfully managing change involves addressing the concerns, needs, and expectations of various stakeholders while guiding them towards the desired outcomes. </w:t>
      </w:r>
    </w:p>
    <w:p w14:paraId="23D88770" w14:textId="445D06D0" w:rsidR="002B0DBC" w:rsidRDefault="002B0DBC" w:rsidP="002B0DBC">
      <w:r>
        <w:t xml:space="preserve">Here's an evaluation of strategies that </w:t>
      </w:r>
      <w:r>
        <w:t>this report would recommend being</w:t>
      </w:r>
      <w:r>
        <w:t xml:space="preserve"> employed:</w:t>
      </w:r>
    </w:p>
    <w:p w14:paraId="44D08F55" w14:textId="77777777" w:rsidR="002B0DBC" w:rsidRDefault="002B0DBC" w:rsidP="002B0DBC">
      <w:r>
        <w:t>1. Clear Communication: Effective communication is paramount. Leaders must communicate the reasons for change, the benefits, and the potential impact on stakeholders. Regular updates and opportunities for dialogue can help alleviate uncertainty and build trust.</w:t>
      </w:r>
    </w:p>
    <w:p w14:paraId="101779D6" w14:textId="77777777" w:rsidR="002B0DBC" w:rsidRDefault="002B0DBC" w:rsidP="002B0DBC">
      <w:r>
        <w:t>2. Stakeholder Engagement: Engage stakeholders at all stages of the change process. Involving them in decision-making and seeking their input can increase their sense of ownership and commitment to the change.</w:t>
      </w:r>
    </w:p>
    <w:p w14:paraId="6FA9C4EE" w14:textId="77777777" w:rsidR="002B0DBC" w:rsidRDefault="002B0DBC" w:rsidP="002B0DBC">
      <w:r>
        <w:t>3. Tailored Messages: Different stakeholders may have different interests and concerns. Tailor your messages to address these specific needs, showcasing how the change will align with their goals.</w:t>
      </w:r>
    </w:p>
    <w:p w14:paraId="5EF4D585" w14:textId="19025DA3" w:rsidR="002B0DBC" w:rsidRDefault="002B0DBC" w:rsidP="002B0DBC">
      <w:r>
        <w:t xml:space="preserve">4. Change Champions: Identify and involve influential stakeholders as change champions. These individuals can serve as advocates for the change, helping to influence others and model the desired </w:t>
      </w:r>
      <w:r>
        <w:t>behaviours</w:t>
      </w:r>
      <w:r>
        <w:t>.</w:t>
      </w:r>
    </w:p>
    <w:p w14:paraId="71B04148" w14:textId="77777777" w:rsidR="002B0DBC" w:rsidRDefault="002B0DBC" w:rsidP="002B0DBC">
      <w:r>
        <w:t>5. Clear Vision and Goals: Establish a clear and compelling vision for the change initiative. Clearly articulate the goals, outcomes, and the path forward. A well-defined vision can provide direction and motivate stakeholders.</w:t>
      </w:r>
    </w:p>
    <w:p w14:paraId="11C54B90" w14:textId="77777777" w:rsidR="002B0DBC" w:rsidRDefault="002B0DBC" w:rsidP="002B0DBC">
      <w:r>
        <w:lastRenderedPageBreak/>
        <w:t>6. Addressing Resistance: Anticipate and address resistance proactively. Listen to concerns, acknowledge emotions, and provide rationale for the change. Offering training and support can ease the transition.</w:t>
      </w:r>
    </w:p>
    <w:p w14:paraId="58F09613" w14:textId="77777777" w:rsidR="002B0DBC" w:rsidRDefault="002B0DBC" w:rsidP="002B0DBC">
      <w:r>
        <w:t>7. Flexibility and Adaptation: Be open to feedback and willing to adapt the change strategy based on stakeholder input. Flexibility demonstrates that their opinions are valued and can lead to better solutions.</w:t>
      </w:r>
    </w:p>
    <w:p w14:paraId="20BA2AAD" w14:textId="0C07E76B" w:rsidR="002B0DBC" w:rsidRDefault="002B0DBC" w:rsidP="002B0DBC">
      <w:r>
        <w:t xml:space="preserve">8. Leading by Example: Leaders' </w:t>
      </w:r>
      <w:r w:rsidR="00336CB0">
        <w:t>behaviours</w:t>
      </w:r>
      <w:r>
        <w:t xml:space="preserve"> and attitudes greatly influence how stakeholders perceive and embrace change. Consistently model the desired </w:t>
      </w:r>
      <w:r w:rsidR="00336CB0">
        <w:t>behaviours</w:t>
      </w:r>
      <w:r>
        <w:t xml:space="preserve"> to encourage others to follow suit.</w:t>
      </w:r>
    </w:p>
    <w:p w14:paraId="2103E52C" w14:textId="77777777" w:rsidR="002B0DBC" w:rsidRDefault="002B0DBC" w:rsidP="002B0DBC">
      <w:r>
        <w:t>9. Empowerment and Autonomy: Empower stakeholders to take ownership of the change within their areas of responsibility. Providing a degree of autonomy fosters a sense of control and commitment.</w:t>
      </w:r>
    </w:p>
    <w:p w14:paraId="2D7B96E9" w14:textId="77777777" w:rsidR="002B0DBC" w:rsidRDefault="002B0DBC" w:rsidP="002B0DBC">
      <w:r>
        <w:t>10. Recognition and Rewards: Acknowledge and reward stakeholders' efforts and contributions during the change process. Recognizing their adaptability and achievements can boost morale and motivation.</w:t>
      </w:r>
    </w:p>
    <w:p w14:paraId="79593EE2" w14:textId="77777777" w:rsidR="002B0DBC" w:rsidRDefault="002B0DBC" w:rsidP="002B0DBC">
      <w:r>
        <w:t>11. Learning Culture: Promote a culture of continuous learning and improvement. Encourage stakeholders to see change as an opportunity for growth rather than a disruption.</w:t>
      </w:r>
    </w:p>
    <w:p w14:paraId="6FCE66EC" w14:textId="5B8D77D8" w:rsidR="002B0DBC" w:rsidRDefault="002B0DBC" w:rsidP="002B0DBC">
      <w:r>
        <w:t xml:space="preserve">12. Post-Change Support: Ensure that support is available after the change is implemented. Monitor progress, address any unforeseen challenges, and </w:t>
      </w:r>
      <w:r w:rsidR="00336CB0">
        <w:t>help</w:t>
      </w:r>
      <w:r>
        <w:t xml:space="preserve"> as needed.</w:t>
      </w:r>
    </w:p>
    <w:p w14:paraId="5C4F71A1" w14:textId="77777777" w:rsidR="002B0DBC" w:rsidRDefault="002B0DBC" w:rsidP="002B0DBC">
      <w:r>
        <w:t>13. Data-Driven Approach: Utilize data and metrics to track the impact of the change and gather insights. Demonstrating the positive effects of the change can reinforce stakeholders' belief in its effectiveness.</w:t>
      </w:r>
    </w:p>
    <w:p w14:paraId="6EC71E1A" w14:textId="77777777" w:rsidR="002B0DBC" w:rsidRDefault="002B0DBC" w:rsidP="002B0DBC">
      <w:r>
        <w:t>14. Ethical Considerations: Be transparent, honest, and ethical in your dealings with stakeholders. Upholding ethical principles fosters trust and enhances your credibility as a leader.</w:t>
      </w:r>
    </w:p>
    <w:p w14:paraId="67DACBDF" w14:textId="26610DBC" w:rsidR="002B0DBC" w:rsidRDefault="002B0DBC" w:rsidP="002B0DBC">
      <w:r>
        <w:t>15. Learning from Feedback: Collect feedback throughout the change process and use it as a basis for continuous improvement. Iterative feedback loops can refine your change strategy over time</w:t>
      </w:r>
      <w:r w:rsidR="00336CB0">
        <w:t xml:space="preserve"> (</w:t>
      </w:r>
      <w:r w:rsidR="00336CB0">
        <w:t>Kotter, 1995</w:t>
      </w:r>
      <w:r w:rsidR="00336CB0">
        <w:t xml:space="preserve">; </w:t>
      </w:r>
      <w:r w:rsidR="00336CB0">
        <w:t>Carnall, 2007</w:t>
      </w:r>
      <w:r w:rsidR="00336CB0">
        <w:t xml:space="preserve">; </w:t>
      </w:r>
      <w:r w:rsidR="00336CB0">
        <w:t>Bridges, 2009</w:t>
      </w:r>
      <w:r w:rsidR="00336CB0">
        <w:t>).</w:t>
      </w:r>
    </w:p>
    <w:p w14:paraId="4FCC10BD" w14:textId="77777777" w:rsidR="002B0DBC" w:rsidRDefault="002B0DBC" w:rsidP="002B0DBC">
      <w:r>
        <w:t>In conclusion, leading stakeholders through complex workplace change requires a multifaceted approach that encompasses communication, engagement, flexibility, and empathy. By understanding the unique perspectives of stakeholders and tailoring your approach to their needs, you can create a supportive environment that encourages buy-in, minimizes resistance, and facilitates successful change implementation.</w:t>
      </w:r>
    </w:p>
    <w:p w14:paraId="6012CD2D" w14:textId="77777777" w:rsidR="002B0DBC" w:rsidRDefault="002B0DBC" w:rsidP="00D05215"/>
    <w:p w14:paraId="6845BB07" w14:textId="77777777" w:rsidR="002C531A" w:rsidRDefault="002C531A" w:rsidP="002C531A"/>
    <w:p w14:paraId="78B4D662" w14:textId="77777777" w:rsidR="002C531A" w:rsidRDefault="002C531A" w:rsidP="00152C7F"/>
    <w:p w14:paraId="090D04D8" w14:textId="537F93BB" w:rsidR="00A04032" w:rsidRDefault="00A04032" w:rsidP="00152C7F"/>
    <w:p w14:paraId="60534ECA" w14:textId="77777777" w:rsidR="00A04032" w:rsidRDefault="00A04032" w:rsidP="00152C7F"/>
    <w:p w14:paraId="0E48F4F3" w14:textId="77777777" w:rsidR="00152C7F" w:rsidRDefault="00152C7F" w:rsidP="00152C7F"/>
    <w:p w14:paraId="1FE9B637" w14:textId="77777777" w:rsidR="00152C7F" w:rsidRDefault="00152C7F" w:rsidP="00152C7F"/>
    <w:p w14:paraId="125042B7" w14:textId="77777777" w:rsidR="00152C7F" w:rsidRDefault="00152C7F" w:rsidP="005828B7"/>
    <w:p w14:paraId="08004E8D" w14:textId="77777777" w:rsidR="001A433A" w:rsidRDefault="001A433A" w:rsidP="001A433A"/>
    <w:p w14:paraId="130CB6EF" w14:textId="77777777" w:rsidR="00BA7255" w:rsidRDefault="00BA7255" w:rsidP="004103F2"/>
    <w:p w14:paraId="5277BA35" w14:textId="77777777" w:rsidR="004103F2" w:rsidRDefault="004103F2" w:rsidP="004103F2"/>
    <w:p w14:paraId="563126D5" w14:textId="77777777" w:rsidR="004103F2" w:rsidRDefault="004103F2"/>
    <w:p w14:paraId="10ECC01D" w14:textId="77777777" w:rsidR="004103F2" w:rsidRDefault="004103F2"/>
    <w:p w14:paraId="3BD62FEC" w14:textId="47AACF42" w:rsidR="00401AEB" w:rsidRDefault="00401AEB"/>
    <w:p w14:paraId="7EDDE460" w14:textId="218F2911" w:rsidR="00BA3324" w:rsidRDefault="00BA3324"/>
    <w:p w14:paraId="0C274420" w14:textId="596D3606" w:rsidR="00BA3324" w:rsidRDefault="00BA3324"/>
    <w:p w14:paraId="4DBE5913" w14:textId="1A6C0007" w:rsidR="00BA3324" w:rsidRDefault="00BA3324"/>
    <w:p w14:paraId="3C49C304" w14:textId="74CB4C50" w:rsidR="00BA3324" w:rsidRDefault="00BA3324"/>
    <w:p w14:paraId="363B8D6D" w14:textId="25AD6BE3" w:rsidR="00BA3324" w:rsidRDefault="00BA3324"/>
    <w:p w14:paraId="09109C6A" w14:textId="5D4D43C8" w:rsidR="00BA3324" w:rsidRDefault="00BA3324"/>
    <w:p w14:paraId="782E2F1D" w14:textId="1ED2551D" w:rsidR="00BA3324" w:rsidRDefault="00BA3324"/>
    <w:p w14:paraId="0617EA78" w14:textId="5E8AA228" w:rsidR="00BA3324" w:rsidRDefault="00BA3324"/>
    <w:p w14:paraId="077BCAF3" w14:textId="33258DC4" w:rsidR="00BA3324" w:rsidRDefault="00BA3324"/>
    <w:p w14:paraId="42BC689A" w14:textId="5105B1F6" w:rsidR="00BA3324" w:rsidRDefault="00BA3324"/>
    <w:p w14:paraId="62891849" w14:textId="40759444" w:rsidR="00BA3324" w:rsidRDefault="00BA3324"/>
    <w:p w14:paraId="79C5D62E" w14:textId="35B6AEFA" w:rsidR="00BA3324" w:rsidRDefault="00BA3324"/>
    <w:p w14:paraId="3C6387DC" w14:textId="515FD0FF" w:rsidR="00BA3324" w:rsidRDefault="00BA3324"/>
    <w:p w14:paraId="36EE14B6" w14:textId="77777777" w:rsidR="00BA3324" w:rsidRDefault="00BA3324"/>
    <w:p w14:paraId="3FB7382D" w14:textId="77777777" w:rsidR="00BA3324" w:rsidRDefault="00BA3324"/>
    <w:p w14:paraId="6B90C325" w14:textId="74B49B83" w:rsidR="00BA3324" w:rsidRDefault="00BA3324"/>
    <w:p w14:paraId="4FBEEA59" w14:textId="6A31389D" w:rsidR="006E1153" w:rsidRDefault="006E1153"/>
    <w:p w14:paraId="7D55C888" w14:textId="5EFB0004" w:rsidR="006E1153" w:rsidRDefault="006E1153"/>
    <w:p w14:paraId="5E3C87F9" w14:textId="53393239" w:rsidR="006E1153" w:rsidRDefault="006E1153"/>
    <w:p w14:paraId="54489B95" w14:textId="00858C08" w:rsidR="006E1153" w:rsidRDefault="006E1153"/>
    <w:p w14:paraId="372BA0FE" w14:textId="1FCBF416" w:rsidR="00597092" w:rsidRDefault="00597092"/>
    <w:p w14:paraId="6E5FB23A" w14:textId="77777777" w:rsidR="00597092" w:rsidRDefault="00597092"/>
    <w:p w14:paraId="6470B393" w14:textId="4CD591C4" w:rsidR="00BA3324" w:rsidRDefault="00BA3324" w:rsidP="00336CB0">
      <w:pPr>
        <w:pStyle w:val="Heading2"/>
      </w:pPr>
      <w:bookmarkStart w:id="13" w:name="_Toc144317899"/>
      <w:r>
        <w:lastRenderedPageBreak/>
        <w:t>References</w:t>
      </w:r>
      <w:bookmarkEnd w:id="13"/>
    </w:p>
    <w:p w14:paraId="3845E1C6" w14:textId="6B13B6BE" w:rsidR="00336CB0" w:rsidRDefault="00336CB0">
      <w:r>
        <w:t>Bridges, W. (2009). Managing Transitions: Making the Most of Change. Da Capo Lifelong Books.</w:t>
      </w:r>
    </w:p>
    <w:p w14:paraId="03AA838D" w14:textId="619640EE" w:rsidR="006E1153" w:rsidRDefault="006E1153" w:rsidP="006E1153">
      <w:r>
        <w:t>Brynjolfsson, E., &amp; McAfee, A. (2014). "The Second Machine Age: Work, Progress, and Prosperity in a Time of Brilliant Technologies." W. W. Norton &amp; Company.</w:t>
      </w:r>
    </w:p>
    <w:p w14:paraId="5C45CCC4" w14:textId="7CCD6107" w:rsidR="00A42462" w:rsidRDefault="00A42462" w:rsidP="006E1153">
      <w:r>
        <w:t>Buchanan, D., &amp; Badham, R. (1999). "Power, Politics, and Organizational Change: Winning the Turf Game." Sage Publications.</w:t>
      </w:r>
    </w:p>
    <w:p w14:paraId="195D24CB" w14:textId="056A0B8E" w:rsidR="00440B1C" w:rsidRDefault="00440B1C" w:rsidP="00440B1C">
      <w:r>
        <w:t>Cameron, E., &amp; Green, M. (2015). "Making Sense of Change Management: A Complete Guide to the Models, Tools &amp; Techniques of Organizational Change." Kogan Page.</w:t>
      </w:r>
    </w:p>
    <w:p w14:paraId="5049FB7C" w14:textId="6E567641" w:rsidR="00336CB0" w:rsidRDefault="00336CB0" w:rsidP="00440B1C">
      <w:r>
        <w:t>Carnall, C. A. (2007). Managing Change in Organizations. Prentice Hall.</w:t>
      </w:r>
    </w:p>
    <w:p w14:paraId="6D0CB467" w14:textId="77777777" w:rsidR="00440B1C" w:rsidRDefault="00440B1C" w:rsidP="00440B1C">
      <w:r>
        <w:t>Cartwright, S., &amp; Cooper, C. L. (1996). "Managing Mergers, Acquisitions, and Strategic Alliances: Integrating People and Cultures." Butterworth-Heinemann.</w:t>
      </w:r>
    </w:p>
    <w:p w14:paraId="25AC8600" w14:textId="3FF34882" w:rsidR="00440B1C" w:rsidRDefault="00440B1C" w:rsidP="00440B1C">
      <w:r>
        <w:t>Christensen, C. M., &amp; Raynor, M. E. (2013). "The Innovator's Solution: Creating and Sustaining Successful Growth." Harvard Business Review Press.</w:t>
      </w:r>
    </w:p>
    <w:p w14:paraId="6A322C9B" w14:textId="060396B9" w:rsidR="00BA3324" w:rsidRDefault="008745EF">
      <w:r>
        <w:t>Conger, J. A., &amp; Kanungo, R. N. (1988). The empowerment process: Integrating theory and practice. Academy of Management Review.</w:t>
      </w:r>
    </w:p>
    <w:p w14:paraId="0EEAD92D" w14:textId="0A22AA0B" w:rsidR="00BA3324" w:rsidRDefault="00BA3324" w:rsidP="00BA3324">
      <w:r>
        <w:t>Damanpour, F. (2014). "Footnotes to Research on Management Innovation." Organization Studies.</w:t>
      </w:r>
    </w:p>
    <w:p w14:paraId="6D25A7D2" w14:textId="5209A774" w:rsidR="005828B7" w:rsidRDefault="005828B7" w:rsidP="005828B7">
      <w:r>
        <w:t>Donaldson, T., &amp; Preston, L. E. (1995). "The Stakeholder Theory of the Corporation: Concepts, Evidence, and Implications." Academy of Management Review</w:t>
      </w:r>
      <w:r w:rsidR="0061779D">
        <w:t>.</w:t>
      </w:r>
    </w:p>
    <w:p w14:paraId="5769EC4C" w14:textId="52B9FB77" w:rsidR="0061779D" w:rsidRDefault="0061779D" w:rsidP="005828B7">
      <w:r>
        <w:t>Dunphy, D. C., Griffiths, A., &amp; Benn, S. (2007). Organizational Change for Corporate Sustainability. Routledge.</w:t>
      </w:r>
    </w:p>
    <w:p w14:paraId="3A230939" w14:textId="064E5A93" w:rsidR="005828B7" w:rsidRDefault="002B23C9" w:rsidP="005828B7">
      <w:r>
        <w:t>Ford, J. D., &amp; Ford, L. W. (2010). The role of conversations in producing intentional change in organizations. Academy of Management Review.</w:t>
      </w:r>
    </w:p>
    <w:p w14:paraId="06F57C18" w14:textId="43F0F047" w:rsidR="008745EF" w:rsidRDefault="008745EF" w:rsidP="005828B7">
      <w:r>
        <w:t>Eisenbeiss, S. A., Knippenberg, D. V., &amp; Boerner, S. (2008). Transformational leadership and team innovation: Integrating team climate principles. Journal of Applied Psychology.</w:t>
      </w:r>
    </w:p>
    <w:p w14:paraId="6EE22B47" w14:textId="0D3EAACA" w:rsidR="005828B7" w:rsidRDefault="005828B7" w:rsidP="00BA3324">
      <w:r>
        <w:t>Freeman, R. E. (1984). "Strategic Management: A Stakeholder Approach." Pitman.</w:t>
      </w:r>
    </w:p>
    <w:p w14:paraId="0E4FDB38" w14:textId="77777777" w:rsidR="006E1153" w:rsidRDefault="006E1153" w:rsidP="006E1153">
      <w:r>
        <w:t>Gilliland, S. W., &amp; Beckstein, A. M. (2017). "Legal and Ethical Challenges of Organizational Change." In The Oxford Handbook of Organizational Psychology (pp. 775-796). Oxford University Press.</w:t>
      </w:r>
    </w:p>
    <w:p w14:paraId="2C532F71" w14:textId="382AB670" w:rsidR="006E1153" w:rsidRDefault="00440B1C" w:rsidP="00BA3324">
      <w:r>
        <w:t>Ghemawat, P. (2007). "Redefining Global Strategy: Crossing Borders in a World Where Differences Still Matter." Harvard Business Review Press.</w:t>
      </w:r>
    </w:p>
    <w:p w14:paraId="55A8C418" w14:textId="59A5C339" w:rsidR="00BA3324" w:rsidRDefault="00BA3324" w:rsidP="00BA3324">
      <w:r>
        <w:t>Hammer, M., &amp; Champy, J. (2009). "Reengineering the Corporation: A Manifesto for Business Revolution." HarperCollins.</w:t>
      </w:r>
    </w:p>
    <w:p w14:paraId="2ED0BF4C" w14:textId="107EAD58" w:rsidR="00BA3324" w:rsidRDefault="00BA3324" w:rsidP="00BA3324">
      <w:r>
        <w:t>Harter, J. K., Schmidt, F. L., &amp; Hayes, T. L. (2002). "Business-Unit-Level Relationship Between Employee Satisfaction, Employee Engagement, and Business Outcomes: A Meta-Analysis." Journal of Applied Psychology.</w:t>
      </w:r>
    </w:p>
    <w:p w14:paraId="25382C5B" w14:textId="77777777" w:rsidR="00440B1C" w:rsidRDefault="00440B1C" w:rsidP="00440B1C">
      <w:r>
        <w:t>Kotler, P., &amp; Armstrong, G. (2010). "Principles of Marketing." Pearson.</w:t>
      </w:r>
    </w:p>
    <w:p w14:paraId="1D9C4409" w14:textId="12EC2151" w:rsidR="00BA3324" w:rsidRDefault="002C531A" w:rsidP="00BA3324">
      <w:r>
        <w:t>Kotter, J. P. (1995). Leading change: Why transformation efforts fail. Harvard Business Review.</w:t>
      </w:r>
    </w:p>
    <w:p w14:paraId="67A9A109" w14:textId="2C9384A9" w:rsidR="00BA3324" w:rsidRDefault="00BA3324" w:rsidP="00BA3324">
      <w:r>
        <w:lastRenderedPageBreak/>
        <w:t>Kotter, J. P. (2012). "Accelerate: Building Strategic Agility for a Faster-Moving World." Harvard Business Review Press.</w:t>
      </w:r>
    </w:p>
    <w:p w14:paraId="02E0DAE7" w14:textId="46E5F9D1" w:rsidR="006E1153" w:rsidRDefault="006E1153" w:rsidP="006E1153">
      <w:r>
        <w:t>Levitt, T. (1983). "The Globalization of Markets." Harvard Business Review, 61(3), 92-102.</w:t>
      </w:r>
    </w:p>
    <w:p w14:paraId="7FAD92C0" w14:textId="473F480F" w:rsidR="005828B7" w:rsidRDefault="005828B7" w:rsidP="006E1153">
      <w:r>
        <w:t>Mitchell, R. K., Agle, B. R., &amp; Wood, D. J. (1997). "Toward a Theory of Stakeholder Identification and Salience: Defining the Principle of Who and What Really Counts." Academy of Management Review.</w:t>
      </w:r>
    </w:p>
    <w:p w14:paraId="33AD776C" w14:textId="77777777" w:rsidR="00254965" w:rsidRDefault="00254965" w:rsidP="00254965">
      <w:r>
        <w:t>Noe, R. A., Hollenbeck, J. R., Gerhart, B., &amp; Wright, P. M. (2017). "Human Resource Management: Gaining a Competitive Advantage." McGraw-Hill Education.</w:t>
      </w:r>
    </w:p>
    <w:p w14:paraId="63326D4F" w14:textId="77777777" w:rsidR="002B23C9" w:rsidRDefault="002B23C9" w:rsidP="002B23C9">
      <w:r>
        <w:t>Oreg, S., Vakola, M., &amp; Armenakis, A. (2011). Change recipients' reactions to organizational change: A 60-year review of quantitative studies. The Journal of Applied Behavioral Science.</w:t>
      </w:r>
    </w:p>
    <w:p w14:paraId="32550656" w14:textId="61BC45EF" w:rsidR="006E1153" w:rsidRDefault="0061779D" w:rsidP="00BA3324">
      <w:r>
        <w:t>Piderit, S. K. (2000). Rethinking resistance and recognizing ambivalence: A multidimensional view of attitudes toward an organizational change. Academy of Management Review.</w:t>
      </w:r>
    </w:p>
    <w:p w14:paraId="490FC932" w14:textId="3E8F216E" w:rsidR="006E1153" w:rsidRDefault="006E1153" w:rsidP="00BA3324">
      <w:r>
        <w:t>Porter, M. E. (1985). "Competitive Advantage: Creating and Sustaining Superior Performance." Free Press.</w:t>
      </w:r>
    </w:p>
    <w:p w14:paraId="14026130" w14:textId="5F1C2889" w:rsidR="00440B1C" w:rsidRDefault="00440B1C" w:rsidP="00BA3324">
      <w:r>
        <w:t>Tidd, J., &amp; Bessant, J. (2018). "Managing Innovation: Integrating Technological, Market and Organizational Change." Wiley.</w:t>
      </w:r>
    </w:p>
    <w:p w14:paraId="3A247DCC" w14:textId="69341EB3" w:rsidR="006E1153" w:rsidRDefault="006E1153" w:rsidP="006E1153">
      <w:r>
        <w:t>Ulaga, W., &amp; Reinartz, W. J. (2011). "Hybrid Offerings: How Manufacturing Firms Combine Goods and Services Successfully." Journal of Marketing, 75(5), 5-23.</w:t>
      </w:r>
    </w:p>
    <w:p w14:paraId="0F8AB81C" w14:textId="57C5C00B" w:rsidR="00E556E8" w:rsidRDefault="00E556E8" w:rsidP="006E1153">
      <w:r>
        <w:t>Weiss, C. H. (1998). Have we learned anything new about the use of evaluation? American Journal of Evaluation.</w:t>
      </w:r>
    </w:p>
    <w:p w14:paraId="34B2AC46" w14:textId="77777777" w:rsidR="001A433A" w:rsidRDefault="001A433A" w:rsidP="001A433A">
      <w:r>
        <w:t>Yukl, G. (2012). "Leadership in Organizations." Pearson.</w:t>
      </w:r>
    </w:p>
    <w:p w14:paraId="44E8DEA8" w14:textId="77777777" w:rsidR="001A433A" w:rsidRDefault="001A433A" w:rsidP="006E1153"/>
    <w:p w14:paraId="16EB9B18" w14:textId="77777777" w:rsidR="00BA3324" w:rsidRDefault="00BA3324"/>
    <w:sectPr w:rsidR="00BA33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848DF"/>
    <w:multiLevelType w:val="multilevel"/>
    <w:tmpl w:val="B1EC40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3C92525"/>
    <w:multiLevelType w:val="multilevel"/>
    <w:tmpl w:val="682A83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532438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93068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E755E"/>
    <w:rsid w:val="00023C0E"/>
    <w:rsid w:val="00037F31"/>
    <w:rsid w:val="000446C5"/>
    <w:rsid w:val="00056BA3"/>
    <w:rsid w:val="000E48CD"/>
    <w:rsid w:val="0012002A"/>
    <w:rsid w:val="00120498"/>
    <w:rsid w:val="00122C6A"/>
    <w:rsid w:val="00130203"/>
    <w:rsid w:val="00135E17"/>
    <w:rsid w:val="001448CA"/>
    <w:rsid w:val="00147AD8"/>
    <w:rsid w:val="00152C7F"/>
    <w:rsid w:val="00181ADD"/>
    <w:rsid w:val="00183709"/>
    <w:rsid w:val="001951AB"/>
    <w:rsid w:val="001A433A"/>
    <w:rsid w:val="001C1886"/>
    <w:rsid w:val="001D31C7"/>
    <w:rsid w:val="001E068A"/>
    <w:rsid w:val="00216A1E"/>
    <w:rsid w:val="00225FF2"/>
    <w:rsid w:val="0022774A"/>
    <w:rsid w:val="0023390D"/>
    <w:rsid w:val="002547DA"/>
    <w:rsid w:val="00254965"/>
    <w:rsid w:val="002B0DBC"/>
    <w:rsid w:val="002B1033"/>
    <w:rsid w:val="002B23C9"/>
    <w:rsid w:val="002C46A3"/>
    <w:rsid w:val="002C531A"/>
    <w:rsid w:val="002E44EA"/>
    <w:rsid w:val="0031010C"/>
    <w:rsid w:val="00313164"/>
    <w:rsid w:val="003144C9"/>
    <w:rsid w:val="003155F0"/>
    <w:rsid w:val="003311B2"/>
    <w:rsid w:val="00336CB0"/>
    <w:rsid w:val="00344D4E"/>
    <w:rsid w:val="00354224"/>
    <w:rsid w:val="00361B1F"/>
    <w:rsid w:val="00372733"/>
    <w:rsid w:val="0039112E"/>
    <w:rsid w:val="00392D5A"/>
    <w:rsid w:val="003B7254"/>
    <w:rsid w:val="003C610A"/>
    <w:rsid w:val="003C6C63"/>
    <w:rsid w:val="003D0B97"/>
    <w:rsid w:val="003E29B0"/>
    <w:rsid w:val="003E59E4"/>
    <w:rsid w:val="00401AEB"/>
    <w:rsid w:val="004103F2"/>
    <w:rsid w:val="00436F1A"/>
    <w:rsid w:val="00440B1C"/>
    <w:rsid w:val="004464B1"/>
    <w:rsid w:val="00457E4E"/>
    <w:rsid w:val="004623B5"/>
    <w:rsid w:val="00475EB1"/>
    <w:rsid w:val="00483A63"/>
    <w:rsid w:val="00485489"/>
    <w:rsid w:val="004977DC"/>
    <w:rsid w:val="004A165C"/>
    <w:rsid w:val="004B0036"/>
    <w:rsid w:val="004B5C96"/>
    <w:rsid w:val="004C3517"/>
    <w:rsid w:val="004C4C31"/>
    <w:rsid w:val="00531ECB"/>
    <w:rsid w:val="00546A60"/>
    <w:rsid w:val="005559AA"/>
    <w:rsid w:val="005579AE"/>
    <w:rsid w:val="00560641"/>
    <w:rsid w:val="00576FB0"/>
    <w:rsid w:val="005821C3"/>
    <w:rsid w:val="005828B7"/>
    <w:rsid w:val="00591242"/>
    <w:rsid w:val="00596D37"/>
    <w:rsid w:val="00597092"/>
    <w:rsid w:val="005E755E"/>
    <w:rsid w:val="005F2F98"/>
    <w:rsid w:val="005F3F4C"/>
    <w:rsid w:val="00615AA8"/>
    <w:rsid w:val="0061779D"/>
    <w:rsid w:val="0063457D"/>
    <w:rsid w:val="006565BE"/>
    <w:rsid w:val="00676728"/>
    <w:rsid w:val="006B0B7E"/>
    <w:rsid w:val="006B3DB3"/>
    <w:rsid w:val="006D63AF"/>
    <w:rsid w:val="006E1153"/>
    <w:rsid w:val="0070205A"/>
    <w:rsid w:val="007212C5"/>
    <w:rsid w:val="0077019B"/>
    <w:rsid w:val="00780320"/>
    <w:rsid w:val="007A7D2E"/>
    <w:rsid w:val="007C1A49"/>
    <w:rsid w:val="007E3876"/>
    <w:rsid w:val="007E7031"/>
    <w:rsid w:val="00804C6A"/>
    <w:rsid w:val="00823949"/>
    <w:rsid w:val="00843E0E"/>
    <w:rsid w:val="008721CE"/>
    <w:rsid w:val="008745EF"/>
    <w:rsid w:val="0088006E"/>
    <w:rsid w:val="0088473E"/>
    <w:rsid w:val="00890F3C"/>
    <w:rsid w:val="00893CA8"/>
    <w:rsid w:val="008A3350"/>
    <w:rsid w:val="008C4B41"/>
    <w:rsid w:val="008D1BCA"/>
    <w:rsid w:val="008D2ED0"/>
    <w:rsid w:val="008D678B"/>
    <w:rsid w:val="00900AF8"/>
    <w:rsid w:val="00915994"/>
    <w:rsid w:val="00931B4E"/>
    <w:rsid w:val="00940AAA"/>
    <w:rsid w:val="00961BD5"/>
    <w:rsid w:val="0096285F"/>
    <w:rsid w:val="009628B3"/>
    <w:rsid w:val="00976D2F"/>
    <w:rsid w:val="00977809"/>
    <w:rsid w:val="009A1BB9"/>
    <w:rsid w:val="009A2085"/>
    <w:rsid w:val="009B20D3"/>
    <w:rsid w:val="009B3DB0"/>
    <w:rsid w:val="00A04032"/>
    <w:rsid w:val="00A13600"/>
    <w:rsid w:val="00A42462"/>
    <w:rsid w:val="00A729F6"/>
    <w:rsid w:val="00A7374C"/>
    <w:rsid w:val="00A80FFA"/>
    <w:rsid w:val="00AB1DBE"/>
    <w:rsid w:val="00AC2AFD"/>
    <w:rsid w:val="00AD2F58"/>
    <w:rsid w:val="00AE7FD4"/>
    <w:rsid w:val="00B00C43"/>
    <w:rsid w:val="00B43E6B"/>
    <w:rsid w:val="00B53D94"/>
    <w:rsid w:val="00B629DC"/>
    <w:rsid w:val="00B94F18"/>
    <w:rsid w:val="00BA3324"/>
    <w:rsid w:val="00BA7255"/>
    <w:rsid w:val="00BB46BC"/>
    <w:rsid w:val="00BC032B"/>
    <w:rsid w:val="00BF3F0F"/>
    <w:rsid w:val="00BF42A5"/>
    <w:rsid w:val="00BF6132"/>
    <w:rsid w:val="00C4108F"/>
    <w:rsid w:val="00C95869"/>
    <w:rsid w:val="00CB415E"/>
    <w:rsid w:val="00CE614C"/>
    <w:rsid w:val="00D03589"/>
    <w:rsid w:val="00D05215"/>
    <w:rsid w:val="00D17058"/>
    <w:rsid w:val="00D2168F"/>
    <w:rsid w:val="00DB0276"/>
    <w:rsid w:val="00DB417F"/>
    <w:rsid w:val="00DC3CB0"/>
    <w:rsid w:val="00DF146E"/>
    <w:rsid w:val="00E23982"/>
    <w:rsid w:val="00E556E8"/>
    <w:rsid w:val="00E67DF2"/>
    <w:rsid w:val="00E924A8"/>
    <w:rsid w:val="00E95C3D"/>
    <w:rsid w:val="00EF150C"/>
    <w:rsid w:val="00F008C2"/>
    <w:rsid w:val="00F041C8"/>
    <w:rsid w:val="00F242EA"/>
    <w:rsid w:val="00F51A5E"/>
    <w:rsid w:val="00F75212"/>
    <w:rsid w:val="00F81F6A"/>
    <w:rsid w:val="00FD25B5"/>
    <w:rsid w:val="00FD2B2C"/>
    <w:rsid w:val="00FF3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B6E76"/>
  <w15:docId w15:val="{3AC57EC3-2870-4135-B8A0-7058FD1B9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55E"/>
  </w:style>
  <w:style w:type="paragraph" w:styleId="Heading1">
    <w:name w:val="heading 1"/>
    <w:basedOn w:val="Normal"/>
    <w:next w:val="Normal"/>
    <w:link w:val="Heading1Char"/>
    <w:uiPriority w:val="9"/>
    <w:qFormat/>
    <w:rsid w:val="00C410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10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410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dpafea7f63x-scope">
    <w:name w:val="ydpafea7f63x-scope"/>
    <w:basedOn w:val="Normal"/>
    <w:rsid w:val="005E755E"/>
    <w:pPr>
      <w:spacing w:before="100" w:beforeAutospacing="1" w:after="100" w:afterAutospacing="1" w:line="240" w:lineRule="auto"/>
    </w:pPr>
    <w:rPr>
      <w:rFonts w:ascii="Calibri" w:hAnsi="Calibri" w:cs="Calibri"/>
      <w:lang w:eastAsia="en-GB"/>
    </w:rPr>
  </w:style>
  <w:style w:type="character" w:customStyle="1" w:styleId="ydpafea7f63qowt-font8-tahoma">
    <w:name w:val="ydpafea7f63qowt-font8-tahoma"/>
    <w:basedOn w:val="DefaultParagraphFont"/>
    <w:rsid w:val="005E755E"/>
  </w:style>
  <w:style w:type="character" w:styleId="Hyperlink">
    <w:name w:val="Hyperlink"/>
    <w:basedOn w:val="DefaultParagraphFont"/>
    <w:uiPriority w:val="99"/>
    <w:unhideWhenUsed/>
    <w:rsid w:val="00931B4E"/>
    <w:rPr>
      <w:color w:val="0563C1" w:themeColor="hyperlink"/>
      <w:u w:val="single"/>
    </w:rPr>
  </w:style>
  <w:style w:type="paragraph" w:styleId="NormalWeb">
    <w:name w:val="Normal (Web)"/>
    <w:basedOn w:val="Normal"/>
    <w:uiPriority w:val="99"/>
    <w:unhideWhenUsed/>
    <w:rsid w:val="00931B4E"/>
    <w:pPr>
      <w:spacing w:before="100" w:beforeAutospacing="1" w:after="100" w:afterAutospacing="1" w:line="240" w:lineRule="auto"/>
    </w:pPr>
    <w:rPr>
      <w:rFonts w:ascii="Calibri" w:hAnsi="Calibri" w:cs="Calibri"/>
      <w:lang w:eastAsia="en-GB"/>
    </w:rPr>
  </w:style>
  <w:style w:type="character" w:customStyle="1" w:styleId="Heading1Char">
    <w:name w:val="Heading 1 Char"/>
    <w:basedOn w:val="DefaultParagraphFont"/>
    <w:link w:val="Heading1"/>
    <w:uiPriority w:val="9"/>
    <w:rsid w:val="00C4108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4108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4108F"/>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4108F"/>
    <w:pPr>
      <w:outlineLvl w:val="9"/>
    </w:pPr>
    <w:rPr>
      <w:lang w:val="en-US"/>
    </w:rPr>
  </w:style>
  <w:style w:type="paragraph" w:styleId="TOC2">
    <w:name w:val="toc 2"/>
    <w:basedOn w:val="Normal"/>
    <w:next w:val="Normal"/>
    <w:autoRedefine/>
    <w:uiPriority w:val="39"/>
    <w:unhideWhenUsed/>
    <w:rsid w:val="00C4108F"/>
    <w:pPr>
      <w:spacing w:after="100"/>
      <w:ind w:left="220"/>
    </w:pPr>
  </w:style>
  <w:style w:type="paragraph" w:styleId="TOC3">
    <w:name w:val="toc 3"/>
    <w:basedOn w:val="Normal"/>
    <w:next w:val="Normal"/>
    <w:autoRedefine/>
    <w:uiPriority w:val="39"/>
    <w:unhideWhenUsed/>
    <w:rsid w:val="00C4108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2080">
      <w:bodyDiv w:val="1"/>
      <w:marLeft w:val="0"/>
      <w:marRight w:val="0"/>
      <w:marTop w:val="0"/>
      <w:marBottom w:val="0"/>
      <w:divBdr>
        <w:top w:val="none" w:sz="0" w:space="0" w:color="auto"/>
        <w:left w:val="none" w:sz="0" w:space="0" w:color="auto"/>
        <w:bottom w:val="none" w:sz="0" w:space="0" w:color="auto"/>
        <w:right w:val="none" w:sz="0" w:space="0" w:color="auto"/>
      </w:divBdr>
    </w:div>
    <w:div w:id="170610869">
      <w:bodyDiv w:val="1"/>
      <w:marLeft w:val="0"/>
      <w:marRight w:val="0"/>
      <w:marTop w:val="0"/>
      <w:marBottom w:val="0"/>
      <w:divBdr>
        <w:top w:val="none" w:sz="0" w:space="0" w:color="auto"/>
        <w:left w:val="none" w:sz="0" w:space="0" w:color="auto"/>
        <w:bottom w:val="none" w:sz="0" w:space="0" w:color="auto"/>
        <w:right w:val="none" w:sz="0" w:space="0" w:color="auto"/>
      </w:divBdr>
    </w:div>
    <w:div w:id="1020618813">
      <w:bodyDiv w:val="1"/>
      <w:marLeft w:val="0"/>
      <w:marRight w:val="0"/>
      <w:marTop w:val="0"/>
      <w:marBottom w:val="0"/>
      <w:divBdr>
        <w:top w:val="none" w:sz="0" w:space="0" w:color="auto"/>
        <w:left w:val="none" w:sz="0" w:space="0" w:color="auto"/>
        <w:bottom w:val="none" w:sz="0" w:space="0" w:color="auto"/>
        <w:right w:val="none" w:sz="0" w:space="0" w:color="auto"/>
      </w:divBdr>
    </w:div>
    <w:div w:id="1184635059">
      <w:bodyDiv w:val="1"/>
      <w:marLeft w:val="0"/>
      <w:marRight w:val="0"/>
      <w:marTop w:val="0"/>
      <w:marBottom w:val="0"/>
      <w:divBdr>
        <w:top w:val="none" w:sz="0" w:space="0" w:color="auto"/>
        <w:left w:val="none" w:sz="0" w:space="0" w:color="auto"/>
        <w:bottom w:val="none" w:sz="0" w:space="0" w:color="auto"/>
        <w:right w:val="none" w:sz="0" w:space="0" w:color="auto"/>
      </w:divBdr>
    </w:div>
    <w:div w:id="1379041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B05DF-194E-4758-A822-523AC22C6474}">
  <ds:schemaRefs>
    <ds:schemaRef ds:uri="http://schemas.openxmlformats.org/officeDocument/2006/bibliography"/>
  </ds:schemaRefs>
</ds:datastoreItem>
</file>

<file path=docMetadata/LabelInfo.xml><?xml version="1.0" encoding="utf-8"?>
<clbl:labelList xmlns:clbl="http://schemas.microsoft.com/office/2020/mipLabelMetadata">
  <clbl:label id="{065f1a46-1149-4b07-97f4-ee5ba49b485b}" enabled="1" method="Standard" siteId="{a603898f-7de2-45ba-b67d-d35fb519b2cf}" contentBits="0" removed="0"/>
</clbl:labelList>
</file>

<file path=docProps/app.xml><?xml version="1.0" encoding="utf-8"?>
<Properties xmlns="http://schemas.openxmlformats.org/officeDocument/2006/extended-properties" xmlns:vt="http://schemas.openxmlformats.org/officeDocument/2006/docPropsVTypes">
  <Template>Normal</Template>
  <TotalTime>1274</TotalTime>
  <Pages>15</Pages>
  <Words>5197</Words>
  <Characters>29629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Dacosta</dc:creator>
  <cp:keywords/>
  <dc:description/>
  <cp:lastModifiedBy>Mark Dacosta</cp:lastModifiedBy>
  <cp:revision>8</cp:revision>
  <dcterms:created xsi:type="dcterms:W3CDTF">2023-08-23T08:24:00Z</dcterms:created>
  <dcterms:modified xsi:type="dcterms:W3CDTF">2023-08-30T19:11:00Z</dcterms:modified>
</cp:coreProperties>
</file>