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0FA8616" w:rsidR="00E61D10" w:rsidRDefault="00E61D10" w:rsidP="00071DF5">
      <w:pPr>
        <w:pBdr>
          <w:top w:val="nil"/>
          <w:left w:val="nil"/>
          <w:bottom w:val="nil"/>
          <w:right w:val="nil"/>
          <w:between w:val="nil"/>
        </w:pBdr>
        <w:rPr>
          <w:b/>
          <w:sz w:val="36"/>
          <w:szCs w:val="36"/>
        </w:rPr>
      </w:pPr>
    </w:p>
    <w:p w14:paraId="00000002" w14:textId="77777777" w:rsidR="00E61D10" w:rsidRDefault="00722E01">
      <w:pPr>
        <w:pBdr>
          <w:top w:val="nil"/>
          <w:left w:val="nil"/>
          <w:bottom w:val="nil"/>
          <w:right w:val="nil"/>
          <w:between w:val="nil"/>
        </w:pBdr>
        <w:jc w:val="center"/>
        <w:rPr>
          <w:b/>
          <w:color w:val="000000"/>
          <w:sz w:val="36"/>
          <w:szCs w:val="36"/>
        </w:rPr>
      </w:pPr>
      <w:r>
        <w:rPr>
          <w:b/>
          <w:color w:val="000000"/>
          <w:sz w:val="36"/>
          <w:szCs w:val="36"/>
        </w:rPr>
        <w:t>Developing Relationships and Workplace Achievement</w:t>
      </w:r>
    </w:p>
    <w:p w14:paraId="00000003" w14:textId="77777777" w:rsidR="00E61D10" w:rsidRDefault="00722E01">
      <w:pPr>
        <w:pBdr>
          <w:top w:val="nil"/>
          <w:left w:val="nil"/>
          <w:bottom w:val="nil"/>
          <w:right w:val="nil"/>
          <w:between w:val="nil"/>
        </w:pBdr>
        <w:jc w:val="center"/>
        <w:rPr>
          <w:b/>
          <w:sz w:val="36"/>
          <w:szCs w:val="36"/>
        </w:rPr>
      </w:pPr>
      <w:r>
        <w:rPr>
          <w:b/>
          <w:sz w:val="36"/>
          <w:szCs w:val="36"/>
        </w:rPr>
        <w:t>Report</w:t>
      </w:r>
    </w:p>
    <w:p w14:paraId="00000004" w14:textId="77777777" w:rsidR="00E61D10" w:rsidRDefault="00E61D10">
      <w:pPr>
        <w:pBdr>
          <w:top w:val="nil"/>
          <w:left w:val="nil"/>
          <w:bottom w:val="nil"/>
          <w:right w:val="nil"/>
          <w:between w:val="nil"/>
        </w:pBdr>
        <w:jc w:val="center"/>
        <w:rPr>
          <w:b/>
          <w:sz w:val="36"/>
          <w:szCs w:val="36"/>
        </w:rPr>
      </w:pPr>
    </w:p>
    <w:p w14:paraId="00000005" w14:textId="77777777" w:rsidR="00E61D10" w:rsidRDefault="00E61D10">
      <w:pPr>
        <w:pBdr>
          <w:top w:val="nil"/>
          <w:left w:val="nil"/>
          <w:bottom w:val="nil"/>
          <w:right w:val="nil"/>
          <w:between w:val="nil"/>
        </w:pBdr>
        <w:jc w:val="center"/>
        <w:rPr>
          <w:b/>
          <w:sz w:val="36"/>
          <w:szCs w:val="36"/>
        </w:rPr>
      </w:pPr>
    </w:p>
    <w:p w14:paraId="00000006" w14:textId="77777777" w:rsidR="00E61D10" w:rsidRDefault="00E61D10">
      <w:pPr>
        <w:pBdr>
          <w:top w:val="nil"/>
          <w:left w:val="nil"/>
          <w:bottom w:val="nil"/>
          <w:right w:val="nil"/>
          <w:between w:val="nil"/>
        </w:pBdr>
        <w:jc w:val="center"/>
        <w:rPr>
          <w:b/>
          <w:sz w:val="36"/>
          <w:szCs w:val="36"/>
        </w:rPr>
      </w:pPr>
    </w:p>
    <w:p w14:paraId="00000007" w14:textId="77777777" w:rsidR="00E61D10" w:rsidRDefault="00E61D10">
      <w:pPr>
        <w:pBdr>
          <w:top w:val="nil"/>
          <w:left w:val="nil"/>
          <w:bottom w:val="nil"/>
          <w:right w:val="nil"/>
          <w:between w:val="nil"/>
        </w:pBdr>
        <w:jc w:val="center"/>
        <w:rPr>
          <w:b/>
          <w:sz w:val="36"/>
          <w:szCs w:val="36"/>
        </w:rPr>
      </w:pPr>
    </w:p>
    <w:p w14:paraId="00000008" w14:textId="77777777" w:rsidR="00E61D10" w:rsidRDefault="00E61D10">
      <w:pPr>
        <w:pBdr>
          <w:top w:val="nil"/>
          <w:left w:val="nil"/>
          <w:bottom w:val="nil"/>
          <w:right w:val="nil"/>
          <w:between w:val="nil"/>
        </w:pBdr>
        <w:jc w:val="center"/>
        <w:rPr>
          <w:b/>
          <w:sz w:val="36"/>
          <w:szCs w:val="36"/>
        </w:rPr>
      </w:pPr>
    </w:p>
    <w:p w14:paraId="00000009" w14:textId="77777777" w:rsidR="00E61D10" w:rsidRDefault="00E61D10">
      <w:pPr>
        <w:pBdr>
          <w:top w:val="nil"/>
          <w:left w:val="nil"/>
          <w:bottom w:val="nil"/>
          <w:right w:val="nil"/>
          <w:between w:val="nil"/>
        </w:pBdr>
        <w:jc w:val="center"/>
        <w:rPr>
          <w:b/>
          <w:sz w:val="36"/>
          <w:szCs w:val="36"/>
        </w:rPr>
      </w:pPr>
    </w:p>
    <w:p w14:paraId="0000000A" w14:textId="2F9AF935" w:rsidR="00E61D10" w:rsidRDefault="00722E01">
      <w:pPr>
        <w:pBdr>
          <w:top w:val="nil"/>
          <w:left w:val="nil"/>
          <w:bottom w:val="nil"/>
          <w:right w:val="nil"/>
          <w:between w:val="nil"/>
        </w:pBdr>
        <w:jc w:val="center"/>
        <w:rPr>
          <w:b/>
          <w:sz w:val="36"/>
          <w:szCs w:val="36"/>
        </w:rPr>
      </w:pPr>
      <w:r>
        <w:rPr>
          <w:b/>
          <w:sz w:val="36"/>
          <w:szCs w:val="36"/>
        </w:rPr>
        <w:t>Student name:</w:t>
      </w:r>
      <w:r w:rsidR="00370622">
        <w:rPr>
          <w:b/>
          <w:sz w:val="36"/>
          <w:szCs w:val="36"/>
        </w:rPr>
        <w:t xml:space="preserve"> </w:t>
      </w:r>
      <w:proofErr w:type="spellStart"/>
      <w:r w:rsidR="00370622">
        <w:rPr>
          <w:b/>
          <w:sz w:val="36"/>
          <w:szCs w:val="36"/>
        </w:rPr>
        <w:t>Nicusor</w:t>
      </w:r>
      <w:proofErr w:type="spellEnd"/>
      <w:r w:rsidR="00370622">
        <w:rPr>
          <w:b/>
          <w:sz w:val="36"/>
          <w:szCs w:val="36"/>
        </w:rPr>
        <w:t xml:space="preserve"> </w:t>
      </w:r>
      <w:proofErr w:type="spellStart"/>
      <w:r w:rsidR="00370622">
        <w:rPr>
          <w:b/>
          <w:sz w:val="36"/>
          <w:szCs w:val="36"/>
        </w:rPr>
        <w:t>Ionut</w:t>
      </w:r>
      <w:proofErr w:type="spellEnd"/>
      <w:r w:rsidR="00370622">
        <w:rPr>
          <w:b/>
          <w:sz w:val="36"/>
          <w:szCs w:val="36"/>
        </w:rPr>
        <w:t xml:space="preserve"> </w:t>
      </w:r>
      <w:proofErr w:type="spellStart"/>
      <w:r w:rsidR="00370622">
        <w:rPr>
          <w:b/>
          <w:sz w:val="36"/>
          <w:szCs w:val="36"/>
        </w:rPr>
        <w:t>Aliu</w:t>
      </w:r>
      <w:proofErr w:type="spellEnd"/>
      <w:r w:rsidR="00370622">
        <w:rPr>
          <w:b/>
          <w:sz w:val="36"/>
          <w:szCs w:val="36"/>
        </w:rPr>
        <w:t xml:space="preserve"> </w:t>
      </w:r>
    </w:p>
    <w:p w14:paraId="4C621FB0" w14:textId="77777777" w:rsidR="00370622" w:rsidRDefault="00722E01">
      <w:pPr>
        <w:pBdr>
          <w:top w:val="nil"/>
          <w:left w:val="nil"/>
          <w:bottom w:val="nil"/>
          <w:right w:val="nil"/>
          <w:between w:val="nil"/>
        </w:pBdr>
        <w:jc w:val="center"/>
        <w:rPr>
          <w:b/>
          <w:sz w:val="36"/>
          <w:szCs w:val="36"/>
        </w:rPr>
      </w:pPr>
      <w:r>
        <w:rPr>
          <w:b/>
          <w:sz w:val="36"/>
          <w:szCs w:val="36"/>
        </w:rPr>
        <w:t>Student ID:</w:t>
      </w:r>
      <w:r w:rsidR="00370622">
        <w:rPr>
          <w:b/>
          <w:sz w:val="36"/>
          <w:szCs w:val="36"/>
        </w:rPr>
        <w:t xml:space="preserve"> 2131114</w:t>
      </w:r>
    </w:p>
    <w:p w14:paraId="0000000B" w14:textId="294CEC87" w:rsidR="00E61D10" w:rsidRPr="00CF64ED" w:rsidRDefault="00370622" w:rsidP="00CF64ED">
      <w:pPr>
        <w:pBdr>
          <w:top w:val="nil"/>
          <w:left w:val="nil"/>
          <w:bottom w:val="nil"/>
          <w:right w:val="nil"/>
          <w:between w:val="nil"/>
        </w:pBdr>
        <w:jc w:val="center"/>
        <w:rPr>
          <w:b/>
          <w:sz w:val="36"/>
          <w:szCs w:val="36"/>
        </w:rPr>
      </w:pPr>
      <w:r>
        <w:rPr>
          <w:b/>
          <w:sz w:val="36"/>
          <w:szCs w:val="36"/>
        </w:rPr>
        <w:t>Module code: BMSW5102</w:t>
      </w:r>
      <w:r w:rsidR="00722E01">
        <w:br w:type="page"/>
      </w:r>
    </w:p>
    <w:p w14:paraId="0000000C" w14:textId="77777777" w:rsidR="00E61D10" w:rsidRDefault="00722E01">
      <w:pPr>
        <w:keepNext/>
        <w:keepLines/>
        <w:pBdr>
          <w:top w:val="nil"/>
          <w:left w:val="nil"/>
          <w:bottom w:val="nil"/>
          <w:right w:val="nil"/>
          <w:between w:val="nil"/>
        </w:pBdr>
        <w:spacing w:before="480" w:line="276" w:lineRule="auto"/>
        <w:jc w:val="center"/>
        <w:rPr>
          <w:rFonts w:ascii="Calibri" w:eastAsia="Calibri" w:hAnsi="Calibri" w:cs="Calibri"/>
          <w:b/>
          <w:color w:val="366091"/>
          <w:sz w:val="28"/>
          <w:szCs w:val="28"/>
        </w:rPr>
      </w:pPr>
      <w:r>
        <w:rPr>
          <w:b/>
          <w:color w:val="000000"/>
          <w:sz w:val="32"/>
          <w:szCs w:val="32"/>
        </w:rPr>
        <w:lastRenderedPageBreak/>
        <w:t>Table of Contents</w:t>
      </w:r>
    </w:p>
    <w:sdt>
      <w:sdtPr>
        <w:id w:val="517358550"/>
        <w:docPartObj>
          <w:docPartGallery w:val="Table of Contents"/>
          <w:docPartUnique/>
        </w:docPartObj>
      </w:sdtPr>
      <w:sdtEndPr/>
      <w:sdtContent>
        <w:p w14:paraId="0000000D" w14:textId="77777777" w:rsidR="00E61D10" w:rsidRDefault="00722E01">
          <w:pPr>
            <w:pBdr>
              <w:top w:val="nil"/>
              <w:left w:val="nil"/>
              <w:bottom w:val="nil"/>
              <w:right w:val="nil"/>
              <w:between w:val="nil"/>
            </w:pBdr>
            <w:tabs>
              <w:tab w:val="right" w:leader="dot" w:pos="9019"/>
            </w:tabs>
            <w:spacing w:after="100"/>
            <w:rPr>
              <w:color w:val="000000"/>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t>3</w:t>
            </w:r>
          </w:hyperlink>
        </w:p>
        <w:p w14:paraId="0000000E" w14:textId="77777777" w:rsidR="00E61D10" w:rsidRDefault="00722E01">
          <w:pPr>
            <w:pBdr>
              <w:top w:val="nil"/>
              <w:left w:val="nil"/>
              <w:bottom w:val="nil"/>
              <w:right w:val="nil"/>
              <w:between w:val="nil"/>
            </w:pBdr>
            <w:tabs>
              <w:tab w:val="right" w:leader="dot" w:pos="9019"/>
            </w:tabs>
            <w:spacing w:after="100"/>
            <w:rPr>
              <w:color w:val="000000"/>
            </w:rPr>
          </w:pPr>
          <w:hyperlink w:anchor="_heading=h.30j0zll">
            <w:r>
              <w:rPr>
                <w:color w:val="000000"/>
              </w:rPr>
              <w:t>Potential Benefits of E-Learning</w:t>
            </w:r>
            <w:r>
              <w:rPr>
                <w:color w:val="000000"/>
              </w:rPr>
              <w:tab/>
              <w:t>3</w:t>
            </w:r>
          </w:hyperlink>
        </w:p>
        <w:p w14:paraId="0000000F" w14:textId="77777777" w:rsidR="00E61D10" w:rsidRDefault="00722E01">
          <w:pPr>
            <w:pBdr>
              <w:top w:val="nil"/>
              <w:left w:val="nil"/>
              <w:bottom w:val="nil"/>
              <w:right w:val="nil"/>
              <w:between w:val="nil"/>
            </w:pBdr>
            <w:tabs>
              <w:tab w:val="right" w:leader="dot" w:pos="9019"/>
            </w:tabs>
            <w:spacing w:after="100"/>
            <w:rPr>
              <w:color w:val="000000"/>
            </w:rPr>
          </w:pPr>
          <w:hyperlink w:anchor="_heading=h.1fob9te">
            <w:r>
              <w:rPr>
                <w:color w:val="000000"/>
              </w:rPr>
              <w:t>Importance of Training &amp; Development</w:t>
            </w:r>
            <w:r>
              <w:rPr>
                <w:color w:val="000000"/>
              </w:rPr>
              <w:tab/>
              <w:t>5</w:t>
            </w:r>
          </w:hyperlink>
        </w:p>
        <w:p w14:paraId="00000010" w14:textId="77777777" w:rsidR="00E61D10" w:rsidRDefault="00722E01">
          <w:pPr>
            <w:pBdr>
              <w:top w:val="nil"/>
              <w:left w:val="nil"/>
              <w:bottom w:val="nil"/>
              <w:right w:val="nil"/>
              <w:between w:val="nil"/>
            </w:pBdr>
            <w:tabs>
              <w:tab w:val="right" w:leader="dot" w:pos="9019"/>
            </w:tabs>
            <w:spacing w:after="100"/>
            <w:rPr>
              <w:color w:val="000000"/>
            </w:rPr>
          </w:pPr>
          <w:hyperlink w:anchor="_heading=h.3znysh7">
            <w:r>
              <w:rPr>
                <w:color w:val="000000"/>
              </w:rPr>
              <w:t>The Model of the Training Process at UWTSD</w:t>
            </w:r>
            <w:r>
              <w:rPr>
                <w:color w:val="000000"/>
              </w:rPr>
              <w:tab/>
              <w:t>7</w:t>
            </w:r>
          </w:hyperlink>
        </w:p>
        <w:p w14:paraId="00000011" w14:textId="77777777" w:rsidR="00E61D10" w:rsidRDefault="00722E01">
          <w:pPr>
            <w:pBdr>
              <w:top w:val="nil"/>
              <w:left w:val="nil"/>
              <w:bottom w:val="nil"/>
              <w:right w:val="nil"/>
              <w:between w:val="nil"/>
            </w:pBdr>
            <w:tabs>
              <w:tab w:val="right" w:leader="dot" w:pos="9019"/>
            </w:tabs>
            <w:spacing w:after="100"/>
            <w:rPr>
              <w:color w:val="000000"/>
            </w:rPr>
          </w:pPr>
          <w:hyperlink w:anchor="_heading=h.2et92p0">
            <w:r>
              <w:rPr>
                <w:color w:val="000000"/>
              </w:rPr>
              <w:t>Conclusion</w:t>
            </w:r>
            <w:r>
              <w:rPr>
                <w:color w:val="000000"/>
              </w:rPr>
              <w:tab/>
              <w:t>8</w:t>
            </w:r>
          </w:hyperlink>
        </w:p>
        <w:p w14:paraId="00000012" w14:textId="77777777" w:rsidR="00E61D10" w:rsidRDefault="00722E01">
          <w:pPr>
            <w:pBdr>
              <w:top w:val="nil"/>
              <w:left w:val="nil"/>
              <w:bottom w:val="nil"/>
              <w:right w:val="nil"/>
              <w:between w:val="nil"/>
            </w:pBdr>
            <w:tabs>
              <w:tab w:val="right" w:leader="dot" w:pos="9019"/>
            </w:tabs>
            <w:spacing w:after="100"/>
            <w:rPr>
              <w:color w:val="000000"/>
            </w:rPr>
          </w:pPr>
          <w:hyperlink w:anchor="_heading=h.tyjcwt">
            <w:r>
              <w:rPr>
                <w:color w:val="000000"/>
              </w:rPr>
              <w:t>References</w:t>
            </w:r>
            <w:r>
              <w:rPr>
                <w:color w:val="000000"/>
              </w:rPr>
              <w:tab/>
              <w:t>10</w:t>
            </w:r>
          </w:hyperlink>
        </w:p>
        <w:p w14:paraId="00000013" w14:textId="77777777" w:rsidR="00E61D10" w:rsidRDefault="00722E01">
          <w:r>
            <w:fldChar w:fldCharType="end"/>
          </w:r>
        </w:p>
      </w:sdtContent>
    </w:sdt>
    <w:p w14:paraId="00000014" w14:textId="77777777" w:rsidR="00E61D10" w:rsidRDefault="00722E01">
      <w:pPr>
        <w:spacing w:line="276" w:lineRule="auto"/>
        <w:rPr>
          <w:b/>
          <w:sz w:val="32"/>
          <w:szCs w:val="32"/>
        </w:rPr>
      </w:pPr>
      <w:r>
        <w:br w:type="page"/>
      </w:r>
    </w:p>
    <w:p w14:paraId="00000015" w14:textId="77777777" w:rsidR="00E61D10" w:rsidRDefault="00722E01">
      <w:pPr>
        <w:pStyle w:val="Heading1"/>
        <w:spacing w:before="0" w:after="0"/>
      </w:pPr>
      <w:bookmarkStart w:id="0" w:name="_heading=h.gjdgxs" w:colFirst="0" w:colLast="0"/>
      <w:bookmarkEnd w:id="0"/>
      <w:r>
        <w:lastRenderedPageBreak/>
        <w:t>Introduction</w:t>
      </w:r>
    </w:p>
    <w:p w14:paraId="00000016" w14:textId="77777777" w:rsidR="00E61D10" w:rsidRDefault="00722E01">
      <w:r>
        <w:t xml:space="preserve">Encompassing the transformational power of e-learning, instruction, and development inside an organisation, the University of Wales Trinity Saint David (UWTSD) is a model of educational achievement. This case study explores the critical evaluation of e-learning's advantages for both the organisation and its individual employees. Furthermore, it assesses the critical role that growth and education play in the framework of UWTSD, supported by pertinent concepts and models. We also examine how these ideas are </w:t>
      </w:r>
      <w:r>
        <w:t>really put to use at UWTSD, which clarifies the role that training and development play in the expansion and success of the company. Lastly, we talk about the UWTSD training procedure model and show how it applies its theoretical foundations to a practical situation.</w:t>
      </w:r>
    </w:p>
    <w:p w14:paraId="00000017" w14:textId="77777777" w:rsidR="00E61D10" w:rsidRDefault="00722E01">
      <w:pPr>
        <w:pBdr>
          <w:top w:val="nil"/>
          <w:left w:val="nil"/>
          <w:bottom w:val="nil"/>
          <w:right w:val="nil"/>
          <w:between w:val="nil"/>
        </w:pBdr>
        <w:rPr>
          <w:color w:val="000000"/>
        </w:rPr>
      </w:pPr>
      <w:r>
        <w:rPr>
          <w:color w:val="000000"/>
        </w:rPr>
        <w:t xml:space="preserve">Having merged with Trinity University College Carmarthen to form UWTSD in 2010, the University of Wales </w:t>
      </w:r>
      <w:proofErr w:type="spellStart"/>
      <w:r>
        <w:rPr>
          <w:color w:val="000000"/>
        </w:rPr>
        <w:t>Lampeter</w:t>
      </w:r>
      <w:proofErr w:type="spellEnd"/>
      <w:r>
        <w:rPr>
          <w:color w:val="000000"/>
        </w:rPr>
        <w:t xml:space="preserve"> is currently a reputable worldwide institution. E-learning has become an essential part of UWTSD's strategy, which is devoted to offering readily available and high-quality education as well as is always looking for new and creative ways to do so. You will go through the institution's adoption of e-learning, the growth of its personnel department through instruction, and the use of a structured approach to guarantee training efficacy as this case study explores these topics. The narrative of UWTSD </w:t>
      </w:r>
      <w:r>
        <w:rPr>
          <w:color w:val="000000"/>
        </w:rPr>
        <w:t>provides inspiration for companies looking to leverage the influence of e-learning, schooling, and development in order to elevate their staff members and the organisation in an era of swift technological advancement and the continually growing value of information.</w:t>
      </w:r>
    </w:p>
    <w:p w14:paraId="00000018" w14:textId="77777777" w:rsidR="00E61D10" w:rsidRDefault="00722E01">
      <w:pPr>
        <w:pStyle w:val="Heading1"/>
        <w:spacing w:before="0" w:after="0"/>
      </w:pPr>
      <w:bookmarkStart w:id="1" w:name="_heading=h.30j0zll" w:colFirst="0" w:colLast="0"/>
      <w:bookmarkEnd w:id="1"/>
      <w:r>
        <w:t>Potential Benefits of E-Learning</w:t>
      </w:r>
    </w:p>
    <w:p w14:paraId="00000019" w14:textId="77777777" w:rsidR="00E61D10" w:rsidRDefault="00722E01">
      <w:pPr>
        <w:pBdr>
          <w:top w:val="nil"/>
          <w:left w:val="nil"/>
          <w:bottom w:val="nil"/>
          <w:right w:val="nil"/>
          <w:between w:val="nil"/>
        </w:pBdr>
        <w:rPr>
          <w:color w:val="000000"/>
        </w:rPr>
      </w:pPr>
      <w:r>
        <w:rPr>
          <w:color w:val="000000"/>
        </w:rPr>
        <w:t>E-learning is a major component of contemporary education as well as professional growth, and it has several advantages for the company as a whole as well as for individual employees. Delivering education and training has advanced and changed significantly at the University of Wales Trinity Saint David (UWTSD) as a result of the integration of e-learning (</w:t>
      </w:r>
      <w:r>
        <w:rPr>
          <w:color w:val="000000"/>
          <w:highlight w:val="white"/>
        </w:rPr>
        <w:t xml:space="preserve">Bratton </w:t>
      </w:r>
      <w:r>
        <w:rPr>
          <w:i/>
          <w:color w:val="000000"/>
          <w:highlight w:val="white"/>
        </w:rPr>
        <w:t>et al</w:t>
      </w:r>
      <w:r>
        <w:rPr>
          <w:color w:val="000000"/>
          <w:highlight w:val="white"/>
        </w:rPr>
        <w:t>., 2021</w:t>
      </w:r>
      <w:r>
        <w:rPr>
          <w:color w:val="000000"/>
        </w:rPr>
        <w:t>). In light of UWTSD, the possible advantages of e-learning are evaluated critically in this subsection. For individual UWTSD employees, improved accessibility constitutes one of the main benefits of e-learning. Older teaching approaches sometimes call for in-person attendance, which makes them inaccessible to distant or part-time students. Employees may participate in training sessions through e-learning, on the other hand, virtually any location with a web connection, notwithstanding geographical limitati</w:t>
      </w:r>
      <w:r>
        <w:rPr>
          <w:color w:val="000000"/>
        </w:rPr>
        <w:t>ons.</w:t>
      </w:r>
    </w:p>
    <w:p w14:paraId="0000001A" w14:textId="77777777" w:rsidR="00E61D10" w:rsidRDefault="00722E01">
      <w:pPr>
        <w:pBdr>
          <w:top w:val="nil"/>
          <w:left w:val="nil"/>
          <w:bottom w:val="nil"/>
          <w:right w:val="nil"/>
          <w:between w:val="nil"/>
        </w:pBdr>
        <w:rPr>
          <w:color w:val="000000"/>
        </w:rPr>
      </w:pPr>
      <w:r>
        <w:rPr>
          <w:color w:val="000000"/>
        </w:rPr>
        <w:t xml:space="preserve">This degree of connectivity allows students to learn and grow without being physically present, which is especially helpful for individuals who are part-time learners or juggling employment and school. At UWTSD, e-learning is designed to fit a variety of learning preferences and </w:t>
      </w:r>
      <w:r>
        <w:rPr>
          <w:color w:val="000000"/>
        </w:rPr>
        <w:lastRenderedPageBreak/>
        <w:t>speeds. Because of this customisation, each employee can tailor the learning process to meet their unique needs and make sure they understand the subject. An employee who learns well on their own, for instance, can finish courses faster than a different who might benefit from a more in-depth examination of the material (</w:t>
      </w:r>
      <w:r>
        <w:rPr>
          <w:color w:val="000000"/>
          <w:highlight w:val="white"/>
        </w:rPr>
        <w:t>Stewart and Brown, 2019</w:t>
      </w:r>
      <w:r>
        <w:rPr>
          <w:color w:val="000000"/>
        </w:rPr>
        <w:t>). Along with supporting a variety of learning styles, this flexibility encourages participation and an awareness of being involved in the educational process.</w:t>
      </w:r>
    </w:p>
    <w:p w14:paraId="0000001B" w14:textId="77777777" w:rsidR="00E61D10" w:rsidRDefault="00722E01">
      <w:pPr>
        <w:pBdr>
          <w:top w:val="nil"/>
          <w:left w:val="nil"/>
          <w:bottom w:val="nil"/>
          <w:right w:val="nil"/>
          <w:between w:val="nil"/>
        </w:pBdr>
        <w:rPr>
          <w:color w:val="000000"/>
        </w:rPr>
      </w:pPr>
      <w:r>
        <w:rPr>
          <w:color w:val="000000"/>
        </w:rPr>
        <w:t>Through e-learning, employees may advance their professional goals and positions by gaining new information and skills that are pertinent to them. Offerings from UWTSD include a range of online modules along with courses that meet changing industry demands. It also creates opportunities for career progression for the staff members and enhances their present skill set. One way that those working in the education sector may improve their employability while teaching abilities is by making use of e-learning op</w:t>
      </w:r>
      <w:r>
        <w:rPr>
          <w:color w:val="000000"/>
        </w:rPr>
        <w:t>tions to gain new pedagogical information and teaching approaches (</w:t>
      </w:r>
      <w:r>
        <w:rPr>
          <w:color w:val="000000"/>
          <w:highlight w:val="white"/>
        </w:rPr>
        <w:t>Wilton, 2019</w:t>
      </w:r>
      <w:r>
        <w:rPr>
          <w:color w:val="000000"/>
        </w:rPr>
        <w:t>). For UWTSD and its workers alike, e-learning is economical. In-person instruction, lodging costs, and travel fees are frequently associated with traditional training in classrooms. However, these expenses are reduced via e-learning.</w:t>
      </w:r>
    </w:p>
    <w:p w14:paraId="0000001C" w14:textId="77777777" w:rsidR="00E61D10" w:rsidRDefault="00722E01">
      <w:pPr>
        <w:pBdr>
          <w:top w:val="nil"/>
          <w:left w:val="nil"/>
          <w:bottom w:val="nil"/>
          <w:right w:val="nil"/>
          <w:between w:val="nil"/>
        </w:pBdr>
        <w:rPr>
          <w:color w:val="000000"/>
        </w:rPr>
      </w:pPr>
      <w:r>
        <w:rPr>
          <w:color w:val="000000"/>
        </w:rPr>
        <w:t>Employees may access resources online, which reduces the environmental impact of printed products as well as the demand for them. E-learning also results in time savings. In order to minimise the need for complicated travel and make sure that instruction fits within their daily routines, employees can participate in training either during their workdays or in their free time. Employee performance at UWTSD is greatly improved by e-learning. Employees are better prepared to succeed in their professions as the</w:t>
      </w:r>
      <w:r>
        <w:rPr>
          <w:color w:val="000000"/>
        </w:rPr>
        <w:t>y gain new information and skills by utilising online courses. A more knowledgeable and flexible workforce advantages the company by boosting output and efficiency (</w:t>
      </w:r>
      <w:r>
        <w:rPr>
          <w:color w:val="000000"/>
          <w:highlight w:val="white"/>
        </w:rPr>
        <w:t xml:space="preserve">Stone </w:t>
      </w:r>
      <w:r>
        <w:rPr>
          <w:i/>
          <w:color w:val="000000"/>
          <w:highlight w:val="white"/>
        </w:rPr>
        <w:t>et al</w:t>
      </w:r>
      <w:r>
        <w:rPr>
          <w:color w:val="000000"/>
          <w:highlight w:val="white"/>
        </w:rPr>
        <w:t>., 2020</w:t>
      </w:r>
      <w:r>
        <w:rPr>
          <w:color w:val="000000"/>
        </w:rPr>
        <w:t>). For example, when educational staff members enrol in online courses on cutting-edge teaching techniques, they may use these fresh approaches in the classroom, which will improve student happiness and academic performance.</w:t>
      </w:r>
    </w:p>
    <w:p w14:paraId="0000001D" w14:textId="77777777" w:rsidR="00E61D10" w:rsidRDefault="00722E01">
      <w:pPr>
        <w:pBdr>
          <w:top w:val="nil"/>
          <w:left w:val="nil"/>
          <w:bottom w:val="nil"/>
          <w:right w:val="nil"/>
          <w:between w:val="nil"/>
        </w:pBdr>
        <w:rPr>
          <w:color w:val="000000"/>
        </w:rPr>
      </w:pPr>
      <w:r>
        <w:rPr>
          <w:color w:val="000000"/>
        </w:rPr>
        <w:t>Knowledge transmission and absorption within UWTSD are facilitated via e-learning. To enhance learning, interaction components, tests, and hands-on activities are frequently included in online courses. This helps to guarantee that workers take in and remember the knowledge, as well as apply it to their jobs. Moreover, employees may impart their skills to their colleagues, making information easily transportable. The organization's common knowledge base is strengthened by this collaborative strategy for lear</w:t>
      </w:r>
      <w:r>
        <w:rPr>
          <w:color w:val="000000"/>
        </w:rPr>
        <w:t>ning, which guarantees the knowledge is shared throughout the whole organisation (</w:t>
      </w:r>
      <w:r>
        <w:rPr>
          <w:color w:val="000000"/>
          <w:highlight w:val="white"/>
        </w:rPr>
        <w:t>Armstrong and Taylor, 2020</w:t>
      </w:r>
      <w:r>
        <w:rPr>
          <w:color w:val="000000"/>
        </w:rPr>
        <w:t xml:space="preserve">). E-learning is an affordable and scalable alternative for UWTSD, especially when it pertains to training employees. Conventional in-person training can demand a lot of resources, including real </w:t>
      </w:r>
      <w:r>
        <w:rPr>
          <w:color w:val="000000"/>
        </w:rPr>
        <w:lastRenderedPageBreak/>
        <w:t xml:space="preserve">classrooms along with trainers. These limitations are removed by e-learning, which enables UWTSD to teach several staff members at once. </w:t>
      </w:r>
    </w:p>
    <w:p w14:paraId="0000001E" w14:textId="77777777" w:rsidR="00E61D10" w:rsidRDefault="00722E01">
      <w:pPr>
        <w:pBdr>
          <w:top w:val="nil"/>
          <w:left w:val="nil"/>
          <w:bottom w:val="nil"/>
          <w:right w:val="nil"/>
          <w:between w:val="nil"/>
        </w:pBdr>
        <w:rPr>
          <w:color w:val="000000"/>
        </w:rPr>
      </w:pPr>
      <w:r>
        <w:rPr>
          <w:color w:val="000000"/>
        </w:rPr>
        <w:t xml:space="preserve">Additionally, it lowers the total costs of training supplies and shipping. For an organisation like UWTSD, which continuously aims to adapt and expand according to the changing educational scene, this adaptability and efficiency are essential. Both individual staff members as well as the company as a whole may gain greatly from UWTSD's e-learning programme. It makes learning more personalised, improves accessibility, helps employees grow their careers and skill sets, and saves money and time. Better worker </w:t>
      </w:r>
      <w:r>
        <w:rPr>
          <w:color w:val="000000"/>
        </w:rPr>
        <w:t>productivity, knowledge transfer, continuation, and scalability are all facilitated by e-learning throughout the organisation (</w:t>
      </w:r>
      <w:proofErr w:type="spellStart"/>
      <w:r>
        <w:rPr>
          <w:color w:val="000000"/>
          <w:highlight w:val="white"/>
        </w:rPr>
        <w:t>Noe</w:t>
      </w:r>
      <w:proofErr w:type="spellEnd"/>
      <w:r>
        <w:rPr>
          <w:color w:val="000000"/>
          <w:highlight w:val="white"/>
        </w:rPr>
        <w:t xml:space="preserve"> </w:t>
      </w:r>
      <w:r>
        <w:rPr>
          <w:i/>
          <w:color w:val="000000"/>
          <w:highlight w:val="white"/>
        </w:rPr>
        <w:t>et al</w:t>
      </w:r>
      <w:r>
        <w:rPr>
          <w:color w:val="000000"/>
          <w:highlight w:val="white"/>
        </w:rPr>
        <w:t>., 2020</w:t>
      </w:r>
      <w:r>
        <w:rPr>
          <w:color w:val="000000"/>
        </w:rPr>
        <w:t>). The organization's dedication to excellence as well as creative thinking is demonstrated by the way e-learning has been incorporated into UWTSD's instructional and instructional initiatives.</w:t>
      </w:r>
    </w:p>
    <w:p w14:paraId="0000001F" w14:textId="77777777" w:rsidR="00E61D10" w:rsidRDefault="00722E01">
      <w:pPr>
        <w:pStyle w:val="Heading1"/>
        <w:spacing w:before="0" w:after="0"/>
      </w:pPr>
      <w:bookmarkStart w:id="2" w:name="_heading=h.1fob9te" w:colFirst="0" w:colLast="0"/>
      <w:bookmarkEnd w:id="2"/>
      <w:r>
        <w:t>Importance of Training &amp; Development</w:t>
      </w:r>
    </w:p>
    <w:p w14:paraId="00000020" w14:textId="77777777" w:rsidR="00E61D10" w:rsidRDefault="00722E01">
      <w:pPr>
        <w:pBdr>
          <w:top w:val="nil"/>
          <w:left w:val="nil"/>
          <w:bottom w:val="nil"/>
          <w:right w:val="nil"/>
          <w:between w:val="nil"/>
        </w:pBdr>
        <w:rPr>
          <w:color w:val="000000"/>
        </w:rPr>
      </w:pPr>
      <w:r>
        <w:rPr>
          <w:color w:val="000000"/>
        </w:rPr>
        <w:t>As essential cornerstones of its organisational performance, training and development are highly valued at the University of Wales Trinity Saint David (UWTSD). With the use of pertinent theories and models, we critically assess the significance of educational and professional growth within UWTSD in this part. According to the human capital hypothesis, investments in workers' learning, development, and education boost performance and output. By consistently enhancing the abilities and expertise of its employ</w:t>
      </w:r>
      <w:r>
        <w:rPr>
          <w:color w:val="000000"/>
        </w:rPr>
        <w:t>ees, UWTSD supports this notion (</w:t>
      </w:r>
      <w:r>
        <w:rPr>
          <w:color w:val="000000"/>
          <w:highlight w:val="white"/>
        </w:rPr>
        <w:t>Greer, 2021</w:t>
      </w:r>
      <w:r>
        <w:rPr>
          <w:color w:val="000000"/>
        </w:rPr>
        <w:t>). UWTSD may increase academic performance and overall organisational expansion by improving the financial resources of its staff members. This will allow the school to supply its students with a superior educational opportunity.</w:t>
      </w:r>
    </w:p>
    <w:p w14:paraId="00000021" w14:textId="77777777" w:rsidR="00E61D10" w:rsidRDefault="00722E01">
      <w:pPr>
        <w:pBdr>
          <w:top w:val="nil"/>
          <w:left w:val="nil"/>
          <w:bottom w:val="nil"/>
          <w:right w:val="nil"/>
          <w:between w:val="nil"/>
        </w:pBdr>
        <w:rPr>
          <w:color w:val="000000"/>
        </w:rPr>
      </w:pPr>
      <w:r>
        <w:rPr>
          <w:color w:val="000000"/>
        </w:rPr>
        <w:t xml:space="preserve">According to Peter </w:t>
      </w:r>
      <w:proofErr w:type="spellStart"/>
      <w:r>
        <w:rPr>
          <w:color w:val="000000"/>
        </w:rPr>
        <w:t>Senge's</w:t>
      </w:r>
      <w:proofErr w:type="spellEnd"/>
      <w:r>
        <w:rPr>
          <w:color w:val="000000"/>
        </w:rPr>
        <w:t xml:space="preserve"> popularised learning organisation theory, a business's capacity to adapt and gain knowledge continuously is crucial. This approach is embodied by UWTSD, which promotes a culture of ongoing learning and progress. The organisation is aware that in order to adapt to the shifting needs of the educational environment, it must change. By empowering its employees to accept change, pick up new skills, as well as innovate within their jobs via education and growth, UWTSD increases the organization's resilien</w:t>
      </w:r>
      <w:r>
        <w:rPr>
          <w:color w:val="000000"/>
        </w:rPr>
        <w:t>ce and responsiveness (</w:t>
      </w:r>
      <w:proofErr w:type="spellStart"/>
      <w:r>
        <w:rPr>
          <w:color w:val="000000"/>
          <w:highlight w:val="white"/>
        </w:rPr>
        <w:t>Örtenblad</w:t>
      </w:r>
      <w:proofErr w:type="spellEnd"/>
      <w:r>
        <w:rPr>
          <w:color w:val="000000"/>
          <w:highlight w:val="white"/>
        </w:rPr>
        <w:t>, 2018</w:t>
      </w:r>
      <w:r>
        <w:rPr>
          <w:color w:val="000000"/>
        </w:rPr>
        <w:t>). According to the mental agreement idea, there are unspoken commitments and duties between workers and their managers. UWTSD recognises that investing in the professional growth of its employees is essential to upholding its psychological agreement.</w:t>
      </w:r>
    </w:p>
    <w:p w14:paraId="00000022" w14:textId="77777777" w:rsidR="00E61D10" w:rsidRDefault="00722E01">
      <w:pPr>
        <w:pBdr>
          <w:top w:val="nil"/>
          <w:left w:val="nil"/>
          <w:bottom w:val="nil"/>
          <w:right w:val="nil"/>
          <w:between w:val="nil"/>
        </w:pBdr>
        <w:rPr>
          <w:color w:val="000000"/>
        </w:rPr>
      </w:pPr>
      <w:r>
        <w:rPr>
          <w:color w:val="000000"/>
        </w:rPr>
        <w:t xml:space="preserve">This guarantees that workers feel appreciated and encouraged in their professional development, which in turn raises employee happiness and morale. Employee loyalty and engagement to the organisation are higher when they receive this in return. The professional </w:t>
      </w:r>
      <w:r>
        <w:rPr>
          <w:color w:val="000000"/>
        </w:rPr>
        <w:lastRenderedPageBreak/>
        <w:t>development and training programmes at UWTSD are designed with academic staff members' unique requirements in mind. The university is aware of the clear correlation between its reputation as well as its enrolment and the calibre of its teaching and research activities. UWTSD guarantees the continued excellence of its academics by funding programmes that improve pedagogy, research abilities, and teaching approaches. The consistently excellent educational requirements along with student achievements are evide</w:t>
      </w:r>
      <w:r>
        <w:rPr>
          <w:color w:val="000000"/>
        </w:rPr>
        <w:t>nce of this dedication to greatness.</w:t>
      </w:r>
    </w:p>
    <w:p w14:paraId="00000023" w14:textId="77777777" w:rsidR="00E61D10" w:rsidRDefault="00722E01">
      <w:pPr>
        <w:pBdr>
          <w:top w:val="nil"/>
          <w:left w:val="nil"/>
          <w:bottom w:val="nil"/>
          <w:right w:val="nil"/>
          <w:between w:val="nil"/>
        </w:pBdr>
        <w:rPr>
          <w:color w:val="000000"/>
        </w:rPr>
      </w:pPr>
      <w:r>
        <w:rPr>
          <w:color w:val="000000"/>
        </w:rPr>
        <w:t>UWTSD recognises the significance of employee retention as well as well-being. The organisation shows its dedication to the well-being of its employees by offering training and development opportunities focused on professional as well as private growth. UWTSD not only keeps its bright workers, but also draws in fresh talent with its chances for improvement of skills, career growth, and a good balance between work and life (</w:t>
      </w:r>
      <w:r>
        <w:rPr>
          <w:color w:val="000000"/>
          <w:highlight w:val="white"/>
        </w:rPr>
        <w:t>Hong, 2020</w:t>
      </w:r>
      <w:r>
        <w:rPr>
          <w:color w:val="000000"/>
        </w:rPr>
        <w:t>). This strategy plays a critical role in retaining a committed and driven staff. UWTSD works in a dynamic learning environment where students' expectations are changing, pedagogical practises are changing, as well as technology is always growing. Strategic adaptation to these changes by the institution is greatly aided by education and development.</w:t>
      </w:r>
    </w:p>
    <w:p w14:paraId="00000024" w14:textId="77777777" w:rsidR="00E61D10" w:rsidRDefault="00722E01">
      <w:pPr>
        <w:pBdr>
          <w:top w:val="nil"/>
          <w:left w:val="nil"/>
          <w:bottom w:val="nil"/>
          <w:right w:val="nil"/>
          <w:between w:val="nil"/>
        </w:pBdr>
        <w:rPr>
          <w:color w:val="000000"/>
        </w:rPr>
      </w:pPr>
      <w:r>
        <w:rPr>
          <w:color w:val="000000"/>
        </w:rPr>
        <w:t>UWTSD makes sure that its employees are equipped to embrace innovations and steer the organisation towards sustained success by providing programmes that tackle cutting-edge developments in education as well as technology. Initiatives for educational and professional growth at UWTSD complement the strategic objectives of the organisation. Training and development programmes are made to help achieve these goals, which might include bettering the educational experience for students, increasing research capaci</w:t>
      </w:r>
      <w:r>
        <w:rPr>
          <w:color w:val="000000"/>
        </w:rPr>
        <w:t>ty, or increasing administrative effectiveness. Because of this strategic synergy, UWTSD can be sure that investing in its employees helps the organisation achieve its goals.</w:t>
      </w:r>
    </w:p>
    <w:p w14:paraId="00000025" w14:textId="77777777" w:rsidR="00E61D10" w:rsidRDefault="00722E01">
      <w:pPr>
        <w:pBdr>
          <w:top w:val="nil"/>
          <w:left w:val="nil"/>
          <w:bottom w:val="nil"/>
          <w:right w:val="nil"/>
          <w:between w:val="nil"/>
        </w:pBdr>
        <w:rPr>
          <w:color w:val="000000"/>
        </w:rPr>
      </w:pPr>
      <w:r>
        <w:rPr>
          <w:color w:val="000000"/>
        </w:rPr>
        <w:t>The University of Wales Trinity Saint David places a high value on education and professional growth. The psychological relationship theory, learning organisation theory, as well as human capital philosophy are just a few of the well-established ideas that support it. Underlying UWTSD's dedication to supporting organisational objectives, improving staff retention and well-being, encouraging competence in educational and scientific endeavours, as well as strategically responding to change are these philosoph</w:t>
      </w:r>
      <w:r>
        <w:rPr>
          <w:color w:val="000000"/>
        </w:rPr>
        <w:t>ies (</w:t>
      </w:r>
      <w:proofErr w:type="spellStart"/>
      <w:r>
        <w:rPr>
          <w:color w:val="000000"/>
          <w:highlight w:val="white"/>
        </w:rPr>
        <w:t>Bolisani</w:t>
      </w:r>
      <w:proofErr w:type="spellEnd"/>
      <w:r>
        <w:rPr>
          <w:color w:val="000000"/>
          <w:highlight w:val="white"/>
        </w:rPr>
        <w:t xml:space="preserve"> </w:t>
      </w:r>
      <w:r>
        <w:rPr>
          <w:i/>
          <w:color w:val="000000"/>
          <w:highlight w:val="white"/>
        </w:rPr>
        <w:t>et al</w:t>
      </w:r>
      <w:r>
        <w:rPr>
          <w:color w:val="000000"/>
          <w:highlight w:val="white"/>
        </w:rPr>
        <w:t>., 2018</w:t>
      </w:r>
      <w:r>
        <w:rPr>
          <w:color w:val="000000"/>
        </w:rPr>
        <w:t>). By fostering and enabling its employees, UWTSD guarantees its ongoing success and continued growth. The organization's commitment to development and education is a reflection of its recognition that its most valuable resource is its workforce.</w:t>
      </w:r>
    </w:p>
    <w:p w14:paraId="00000026" w14:textId="77777777" w:rsidR="00E61D10" w:rsidRDefault="00722E01">
      <w:pPr>
        <w:pStyle w:val="Heading1"/>
        <w:spacing w:before="0" w:after="0"/>
      </w:pPr>
      <w:bookmarkStart w:id="3" w:name="_heading=h.3znysh7" w:colFirst="0" w:colLast="0"/>
      <w:bookmarkEnd w:id="3"/>
      <w:r>
        <w:lastRenderedPageBreak/>
        <w:t>The Model of the Training Process at UWTSD</w:t>
      </w:r>
    </w:p>
    <w:p w14:paraId="00000027" w14:textId="77777777" w:rsidR="00E61D10" w:rsidRDefault="00722E01">
      <w:pPr>
        <w:pBdr>
          <w:top w:val="nil"/>
          <w:left w:val="nil"/>
          <w:bottom w:val="nil"/>
          <w:right w:val="nil"/>
          <w:between w:val="nil"/>
        </w:pBdr>
        <w:rPr>
          <w:color w:val="000000"/>
        </w:rPr>
      </w:pPr>
      <w:r>
        <w:rPr>
          <w:color w:val="000000"/>
        </w:rPr>
        <w:t xml:space="preserve">The University of Wales Trinity Saint David (UWTSD) uses an efficient and well-organized methodology for its educational and professional development programmes. This strategy includes a number of steps, including identifying training requirements and providing feedback and assessment. This section examines the UWTSD training process framework and shows how it applies theoretical foundations to practical applications. The determination of instructional requirements is an essential initial step in the UWTSD </w:t>
      </w:r>
      <w:r>
        <w:rPr>
          <w:color w:val="000000"/>
        </w:rPr>
        <w:t>training process (</w:t>
      </w:r>
      <w:proofErr w:type="spellStart"/>
      <w:r>
        <w:rPr>
          <w:color w:val="000000"/>
          <w:highlight w:val="white"/>
        </w:rPr>
        <w:t>Odor</w:t>
      </w:r>
      <w:proofErr w:type="spellEnd"/>
      <w:r>
        <w:rPr>
          <w:color w:val="000000"/>
          <w:highlight w:val="white"/>
        </w:rPr>
        <w:t>, 2018</w:t>
      </w:r>
      <w:r>
        <w:rPr>
          <w:color w:val="000000"/>
        </w:rPr>
        <w:t>). The necessity to provide personnel with the abilities as well as the knowledge they need to adapt to the constantly changing educational context is what motivates this approach. A variety of techniques, including as performance reviews, departmental heads' meetings on a regular basis, as well as input from faculty and staff members, are used to identify training requirements.</w:t>
      </w:r>
    </w:p>
    <w:p w14:paraId="00000028" w14:textId="77777777" w:rsidR="00E61D10" w:rsidRDefault="00722E01">
      <w:pPr>
        <w:pBdr>
          <w:top w:val="nil"/>
          <w:left w:val="nil"/>
          <w:bottom w:val="nil"/>
          <w:right w:val="nil"/>
          <w:between w:val="nil"/>
        </w:pBdr>
        <w:rPr>
          <w:color w:val="000000"/>
        </w:rPr>
      </w:pPr>
      <w:r>
        <w:rPr>
          <w:color w:val="000000"/>
        </w:rPr>
        <w:t>For instance, in the event of a transition to a new pedagogical method, UWTSD makes certain that its faculty members are informed of the modification and have received the training required to apply it successfully. This is accomplished by routinely gathering employee input, which enables the organisation to spot gaps and new demands. Following the identification of the training needs, UWTSD moves on to the design as well as the creation stage. To provide specialised training programmes, the organisation wo</w:t>
      </w:r>
      <w:r>
        <w:rPr>
          <w:color w:val="000000"/>
        </w:rPr>
        <w:t>rks with instructional developers and subject area specialists (</w:t>
      </w:r>
      <w:proofErr w:type="spellStart"/>
      <w:r>
        <w:rPr>
          <w:color w:val="000000"/>
          <w:highlight w:val="white"/>
        </w:rPr>
        <w:t>Zaccagnini</w:t>
      </w:r>
      <w:proofErr w:type="spellEnd"/>
      <w:r>
        <w:rPr>
          <w:color w:val="000000"/>
          <w:highlight w:val="white"/>
        </w:rPr>
        <w:t xml:space="preserve"> and </w:t>
      </w:r>
      <w:proofErr w:type="spellStart"/>
      <w:r>
        <w:rPr>
          <w:color w:val="000000"/>
          <w:highlight w:val="white"/>
        </w:rPr>
        <w:t>Pechacek</w:t>
      </w:r>
      <w:proofErr w:type="spellEnd"/>
      <w:r>
        <w:rPr>
          <w:color w:val="000000"/>
          <w:highlight w:val="white"/>
        </w:rPr>
        <w:t>, 2019</w:t>
      </w:r>
      <w:r>
        <w:rPr>
          <w:color w:val="000000"/>
        </w:rPr>
        <w:t>). These programmes are thoughtfully designed to meet the unique requirements of the faculty while also complementing the company's overarching strategic objectives.</w:t>
      </w:r>
    </w:p>
    <w:p w14:paraId="00000029" w14:textId="77777777" w:rsidR="00E61D10" w:rsidRDefault="00722E01">
      <w:pPr>
        <w:pBdr>
          <w:top w:val="nil"/>
          <w:left w:val="nil"/>
          <w:bottom w:val="nil"/>
          <w:right w:val="nil"/>
          <w:between w:val="nil"/>
        </w:pBdr>
        <w:rPr>
          <w:color w:val="000000"/>
        </w:rPr>
      </w:pPr>
      <w:r>
        <w:rPr>
          <w:color w:val="000000"/>
        </w:rPr>
        <w:t>For instance, in order to satisfy the needs of distance learners, UWTSD works with online education professionals to build courses that emphasise the efficient use of electronic devices in education especially faculty members who need to improve their digital teaching abilities. By including interactive components and hands-on activities, these courses make sure that the educational experience is interesting and pertinent to the needs of the personnel. At UWTSD, the training must be made interesting and acc</w:t>
      </w:r>
      <w:r>
        <w:rPr>
          <w:color w:val="000000"/>
        </w:rPr>
        <w:t>essible for the employees as part of the execution and execution phase (</w:t>
      </w:r>
      <w:r>
        <w:rPr>
          <w:color w:val="000000"/>
          <w:highlight w:val="white"/>
        </w:rPr>
        <w:t>Lunenburg and Ornstein, 2021</w:t>
      </w:r>
      <w:r>
        <w:rPr>
          <w:color w:val="000000"/>
        </w:rPr>
        <w:t>). A combination of delivery strategies, including as workshops, individual instruction, and online courses, are used to accomplish this. UWTSD understands how important it is to accommodate different schedules along with educational preferences.</w:t>
      </w:r>
    </w:p>
    <w:p w14:paraId="0000002A" w14:textId="77777777" w:rsidR="00E61D10" w:rsidRDefault="00722E01">
      <w:pPr>
        <w:pBdr>
          <w:top w:val="nil"/>
          <w:left w:val="nil"/>
          <w:bottom w:val="nil"/>
          <w:right w:val="nil"/>
          <w:between w:val="nil"/>
        </w:pBdr>
        <w:rPr>
          <w:color w:val="000000"/>
        </w:rPr>
      </w:pPr>
      <w:r>
        <w:rPr>
          <w:color w:val="000000"/>
        </w:rPr>
        <w:t xml:space="preserve">The university gives academic staff members access to a variety of courses hosted on an online learning system. Staff members may study on this platform during a time as well as pace that works for them. Furthermore, UWTSD often hosts seminars and other events where employees may hear from subject matter experts and have conversations with their colleagues. At </w:t>
      </w:r>
      <w:r>
        <w:rPr>
          <w:color w:val="000000"/>
        </w:rPr>
        <w:lastRenderedPageBreak/>
        <w:t>UWTSD, the educational procedure encompasses assessment and criticism in addition to course delivery. This stage is crucial for guaranteeing that the instruction is efficient and that the learned abilities are put to use. In addition to surveys and direct inspections, the place of learning utilises a variety of evaluation techniques. Post-training assessments are one of them.</w:t>
      </w:r>
    </w:p>
    <w:p w14:paraId="0000002B" w14:textId="77777777" w:rsidR="00E61D10" w:rsidRDefault="00722E01">
      <w:pPr>
        <w:pBdr>
          <w:top w:val="nil"/>
          <w:left w:val="nil"/>
          <w:bottom w:val="nil"/>
          <w:right w:val="nil"/>
          <w:between w:val="nil"/>
        </w:pBdr>
        <w:rPr>
          <w:color w:val="000000"/>
        </w:rPr>
      </w:pPr>
      <w:r>
        <w:rPr>
          <w:color w:val="000000"/>
        </w:rPr>
        <w:t xml:space="preserve">Staff members must take tests to see how well they understood and applied the information and abilities that they had just learned after completing a training programme. These evaluations offer insightful information on how effective the course was. In addition, UWTSD polls staff members to get their opinions on the curriculum for training. Future programmes for training are refined and improved with the help of this input. The UWTSD training programme exemplifies the values of a learning organisation. The </w:t>
      </w:r>
      <w:r>
        <w:rPr>
          <w:color w:val="000000"/>
        </w:rPr>
        <w:t>staff comments and programme results are utilised to make ongoing improvements to the training procedure. By using a method that is continuous, the organisation may stay adaptable to the changing demands of both the workforce as well as the educational environment (</w:t>
      </w:r>
      <w:r>
        <w:rPr>
          <w:color w:val="000000"/>
          <w:highlight w:val="white"/>
        </w:rPr>
        <w:t>Boss and Krauss, 2022</w:t>
      </w:r>
      <w:r>
        <w:rPr>
          <w:color w:val="000000"/>
        </w:rPr>
        <w:t>). In the event that the assessment indicates that a certain training programme did not provide the anticipated outcomes, UWTSD makes modifications and improvements to the programme. The institution's rigorous requirements fo</w:t>
      </w:r>
      <w:r>
        <w:rPr>
          <w:color w:val="000000"/>
        </w:rPr>
        <w:t>r educational and professional growth depend on this dedication to continuous advancement.</w:t>
      </w:r>
    </w:p>
    <w:p w14:paraId="0000002C" w14:textId="77777777" w:rsidR="00E61D10" w:rsidRDefault="00722E01">
      <w:pPr>
        <w:pStyle w:val="Heading1"/>
        <w:spacing w:before="0" w:after="0"/>
      </w:pPr>
      <w:bookmarkStart w:id="4" w:name="_heading=h.2et92p0" w:colFirst="0" w:colLast="0"/>
      <w:bookmarkEnd w:id="4"/>
      <w:r>
        <w:t>Conclusion</w:t>
      </w:r>
    </w:p>
    <w:p w14:paraId="0000002D" w14:textId="77777777" w:rsidR="00E61D10" w:rsidRDefault="00722E01">
      <w:pPr>
        <w:pBdr>
          <w:top w:val="nil"/>
          <w:left w:val="nil"/>
          <w:bottom w:val="nil"/>
          <w:right w:val="nil"/>
          <w:between w:val="nil"/>
        </w:pBdr>
        <w:rPr>
          <w:color w:val="000000"/>
        </w:rPr>
      </w:pPr>
      <w:r>
        <w:rPr>
          <w:color w:val="000000"/>
        </w:rPr>
        <w:t>The University of Wales Trinity Saint David (UWTSD) case study has shed light on the significance of e-learning, educational opportunities, and the organised training programme inside the organisation. UWTSD's dedication to these components demonstrates a deep comprehension of the dynamic nature of education as well as the significance of fostering its most precious resource: its personnel. E-learning has several benefits for the company as well as individual employees, as UWTSD has shown. It improves cost-</w:t>
      </w:r>
      <w:r>
        <w:rPr>
          <w:color w:val="000000"/>
        </w:rPr>
        <w:t xml:space="preserve">effectiveness, increases accessibility, customises instruction, and develops skills. Improved staff performance, transfer of expertise, and affordable scalability are the benefits of online learning for the company. The critical assessment of education and growth, based on theoretical models, shows how UWTSD makes investments in the professional development and psychological well-being of its employees. </w:t>
      </w:r>
    </w:p>
    <w:p w14:paraId="0000002E" w14:textId="77777777" w:rsidR="00E61D10" w:rsidRDefault="00722E01">
      <w:pPr>
        <w:pBdr>
          <w:top w:val="nil"/>
          <w:left w:val="nil"/>
          <w:bottom w:val="nil"/>
          <w:right w:val="nil"/>
          <w:between w:val="nil"/>
        </w:pBdr>
        <w:rPr>
          <w:color w:val="000000"/>
        </w:rPr>
      </w:pPr>
      <w:r>
        <w:rPr>
          <w:color w:val="000000"/>
        </w:rPr>
        <w:t>This investment improves retention, gives workers the freedom to flourish in their positions, and unites workers with the long-range goals of the company. UWTSD's training process model demonstrates the institution's dedication to quality. In order to satisfy the constantly changing demands of its employees, UWTSD continuously improves its approach by recognising training needs, creating customised programmes, guaranteeing a variety of delivery modalities, and carrying out thorough assessments. The experien</w:t>
      </w:r>
      <w:r>
        <w:rPr>
          <w:color w:val="000000"/>
        </w:rPr>
        <w:t xml:space="preserve">ce of UWTSD serves </w:t>
      </w:r>
      <w:r>
        <w:rPr>
          <w:color w:val="000000"/>
        </w:rPr>
        <w:lastRenderedPageBreak/>
        <w:t>as an excellent example of the importance of educational opportunities, the transformational power of e-learning, as well as the organised training process. Due to the institution's dedication to these ideals, education will continue to be shaped in an exciting and successful manner.</w:t>
      </w:r>
      <w:r>
        <w:br w:type="page"/>
      </w:r>
    </w:p>
    <w:p w14:paraId="0000002F" w14:textId="77777777" w:rsidR="00E61D10" w:rsidRDefault="00722E01">
      <w:pPr>
        <w:pStyle w:val="Heading1"/>
        <w:spacing w:before="0" w:after="0"/>
      </w:pPr>
      <w:bookmarkStart w:id="5" w:name="_heading=h.tyjcwt" w:colFirst="0" w:colLast="0"/>
      <w:bookmarkEnd w:id="5"/>
      <w:r>
        <w:t>References</w:t>
      </w:r>
    </w:p>
    <w:p w14:paraId="00000030" w14:textId="77777777" w:rsidR="00E61D10" w:rsidRDefault="00722E01">
      <w:pPr>
        <w:pBdr>
          <w:top w:val="nil"/>
          <w:left w:val="nil"/>
          <w:bottom w:val="nil"/>
          <w:right w:val="nil"/>
          <w:between w:val="nil"/>
        </w:pBdr>
        <w:rPr>
          <w:color w:val="000000"/>
        </w:rPr>
      </w:pPr>
      <w:r>
        <w:rPr>
          <w:color w:val="000000"/>
          <w:highlight w:val="white"/>
        </w:rPr>
        <w:t xml:space="preserve">Armstrong, M. and Taylor, S., 2020. </w:t>
      </w:r>
      <w:r>
        <w:rPr>
          <w:i/>
          <w:color w:val="000000"/>
        </w:rPr>
        <w:t>Armstrong's handbook of human resource management practice</w:t>
      </w:r>
      <w:r>
        <w:rPr>
          <w:color w:val="000000"/>
        </w:rPr>
        <w:t xml:space="preserve">. </w:t>
      </w:r>
      <w:proofErr w:type="spellStart"/>
      <w:r>
        <w:rPr>
          <w:color w:val="000000"/>
        </w:rPr>
        <w:t>Kogan</w:t>
      </w:r>
      <w:proofErr w:type="spellEnd"/>
      <w:r>
        <w:rPr>
          <w:color w:val="000000"/>
        </w:rPr>
        <w:t xml:space="preserve"> Page Publishers.</w:t>
      </w:r>
    </w:p>
    <w:p w14:paraId="00000031" w14:textId="77777777" w:rsidR="00E61D10" w:rsidRDefault="00722E01">
      <w:pPr>
        <w:pBdr>
          <w:top w:val="nil"/>
          <w:left w:val="nil"/>
          <w:bottom w:val="nil"/>
          <w:right w:val="nil"/>
          <w:between w:val="nil"/>
        </w:pBdr>
        <w:rPr>
          <w:color w:val="000000"/>
        </w:rPr>
      </w:pPr>
      <w:proofErr w:type="spellStart"/>
      <w:r>
        <w:rPr>
          <w:color w:val="000000"/>
          <w:highlight w:val="white"/>
        </w:rPr>
        <w:t>Bolisani</w:t>
      </w:r>
      <w:proofErr w:type="spellEnd"/>
      <w:r>
        <w:rPr>
          <w:color w:val="000000"/>
          <w:highlight w:val="white"/>
        </w:rPr>
        <w:t xml:space="preserve">, E., </w:t>
      </w:r>
      <w:proofErr w:type="spellStart"/>
      <w:r>
        <w:rPr>
          <w:color w:val="000000"/>
          <w:highlight w:val="white"/>
        </w:rPr>
        <w:t>Bratianu</w:t>
      </w:r>
      <w:proofErr w:type="spellEnd"/>
      <w:r>
        <w:rPr>
          <w:color w:val="000000"/>
          <w:highlight w:val="white"/>
        </w:rPr>
        <w:t xml:space="preserve">, C., </w:t>
      </w:r>
      <w:proofErr w:type="spellStart"/>
      <w:r>
        <w:rPr>
          <w:color w:val="000000"/>
          <w:highlight w:val="white"/>
        </w:rPr>
        <w:t>Bolisani</w:t>
      </w:r>
      <w:proofErr w:type="spellEnd"/>
      <w:r>
        <w:rPr>
          <w:color w:val="000000"/>
          <w:highlight w:val="white"/>
        </w:rPr>
        <w:t xml:space="preserve">, E. and </w:t>
      </w:r>
      <w:proofErr w:type="spellStart"/>
      <w:r>
        <w:rPr>
          <w:color w:val="000000"/>
          <w:highlight w:val="white"/>
        </w:rPr>
        <w:t>Bratianu</w:t>
      </w:r>
      <w:proofErr w:type="spellEnd"/>
      <w:r>
        <w:rPr>
          <w:color w:val="000000"/>
          <w:highlight w:val="white"/>
        </w:rPr>
        <w:t xml:space="preserve">, C., 2018. </w:t>
      </w:r>
      <w:r>
        <w:rPr>
          <w:i/>
          <w:color w:val="000000"/>
        </w:rPr>
        <w:t>The emergence of knowledge management</w:t>
      </w:r>
      <w:r>
        <w:rPr>
          <w:color w:val="000000"/>
        </w:rPr>
        <w:t xml:space="preserve"> (pp. 23-47). Springer International Publishing.</w:t>
      </w:r>
    </w:p>
    <w:p w14:paraId="00000032" w14:textId="77777777" w:rsidR="00E61D10" w:rsidRDefault="00722E01">
      <w:pPr>
        <w:pBdr>
          <w:top w:val="nil"/>
          <w:left w:val="nil"/>
          <w:bottom w:val="nil"/>
          <w:right w:val="nil"/>
          <w:between w:val="nil"/>
        </w:pBdr>
        <w:rPr>
          <w:color w:val="000000"/>
        </w:rPr>
      </w:pPr>
      <w:r>
        <w:rPr>
          <w:color w:val="000000"/>
          <w:highlight w:val="white"/>
        </w:rPr>
        <w:t xml:space="preserve">Boss, S. and Krauss, J., 2022. </w:t>
      </w:r>
      <w:r>
        <w:rPr>
          <w:i/>
          <w:color w:val="000000"/>
        </w:rPr>
        <w:t>Reinventing project-based learning: Your field guide to real-world projects in the digital age</w:t>
      </w:r>
      <w:r>
        <w:rPr>
          <w:color w:val="000000"/>
        </w:rPr>
        <w:t>. International Society for Technology in Education.</w:t>
      </w:r>
    </w:p>
    <w:p w14:paraId="00000033" w14:textId="77777777" w:rsidR="00E61D10" w:rsidRDefault="00722E01">
      <w:pPr>
        <w:pBdr>
          <w:top w:val="nil"/>
          <w:left w:val="nil"/>
          <w:bottom w:val="nil"/>
          <w:right w:val="nil"/>
          <w:between w:val="nil"/>
        </w:pBdr>
        <w:rPr>
          <w:color w:val="000000"/>
        </w:rPr>
      </w:pPr>
      <w:r>
        <w:rPr>
          <w:color w:val="000000"/>
          <w:highlight w:val="white"/>
        </w:rPr>
        <w:t xml:space="preserve">Bratton, J., Gold, J., Bratton, A. and Steele, L., 2021. </w:t>
      </w:r>
      <w:r>
        <w:rPr>
          <w:i/>
          <w:color w:val="000000"/>
        </w:rPr>
        <w:t>Human resource management</w:t>
      </w:r>
      <w:r>
        <w:rPr>
          <w:color w:val="000000"/>
        </w:rPr>
        <w:t>. Bloomsbury Publishing.</w:t>
      </w:r>
    </w:p>
    <w:p w14:paraId="00000034" w14:textId="77777777" w:rsidR="00E61D10" w:rsidRDefault="00722E01">
      <w:pPr>
        <w:pBdr>
          <w:top w:val="nil"/>
          <w:left w:val="nil"/>
          <w:bottom w:val="nil"/>
          <w:right w:val="nil"/>
          <w:between w:val="nil"/>
        </w:pBdr>
        <w:rPr>
          <w:color w:val="000000"/>
        </w:rPr>
      </w:pPr>
      <w:r>
        <w:rPr>
          <w:color w:val="000000"/>
          <w:highlight w:val="white"/>
        </w:rPr>
        <w:t xml:space="preserve">Greer, C.R., 2021. </w:t>
      </w:r>
      <w:r>
        <w:rPr>
          <w:i/>
          <w:color w:val="000000"/>
        </w:rPr>
        <w:t>Strategic human resource management</w:t>
      </w:r>
      <w:r>
        <w:rPr>
          <w:color w:val="000000"/>
        </w:rPr>
        <w:t>. Pearson Custom Publishing.</w:t>
      </w:r>
    </w:p>
    <w:p w14:paraId="00000035" w14:textId="77777777" w:rsidR="00E61D10" w:rsidRDefault="00722E01">
      <w:pPr>
        <w:pBdr>
          <w:top w:val="nil"/>
          <w:left w:val="nil"/>
          <w:bottom w:val="nil"/>
          <w:right w:val="nil"/>
          <w:between w:val="nil"/>
        </w:pBdr>
        <w:rPr>
          <w:color w:val="000000"/>
        </w:rPr>
      </w:pPr>
      <w:r>
        <w:rPr>
          <w:color w:val="000000"/>
          <w:highlight w:val="white"/>
        </w:rPr>
        <w:t xml:space="preserve">Hong, J., 2020. Viewing learning organizations through an ethical lens: interview with Robin Snell. </w:t>
      </w:r>
      <w:r>
        <w:rPr>
          <w:i/>
          <w:color w:val="000000"/>
        </w:rPr>
        <w:t>The Learning Organization</w:t>
      </w:r>
      <w:r>
        <w:rPr>
          <w:color w:val="000000"/>
        </w:rPr>
        <w:t xml:space="preserve">, </w:t>
      </w:r>
      <w:r>
        <w:rPr>
          <w:i/>
          <w:color w:val="000000"/>
        </w:rPr>
        <w:t>27</w:t>
      </w:r>
      <w:r>
        <w:rPr>
          <w:color w:val="000000"/>
        </w:rPr>
        <w:t>(5), pp.441-453.</w:t>
      </w:r>
    </w:p>
    <w:p w14:paraId="00000036" w14:textId="77777777" w:rsidR="00E61D10" w:rsidRDefault="00722E01">
      <w:pPr>
        <w:pBdr>
          <w:top w:val="nil"/>
          <w:left w:val="nil"/>
          <w:bottom w:val="nil"/>
          <w:right w:val="nil"/>
          <w:between w:val="nil"/>
        </w:pBdr>
        <w:rPr>
          <w:color w:val="000000"/>
        </w:rPr>
      </w:pPr>
      <w:r>
        <w:rPr>
          <w:color w:val="000000"/>
          <w:highlight w:val="white"/>
        </w:rPr>
        <w:t xml:space="preserve">Lunenburg, F.C. and Ornstein, A., 2021. </w:t>
      </w:r>
      <w:r>
        <w:rPr>
          <w:i/>
          <w:color w:val="000000"/>
        </w:rPr>
        <w:t>Educational administration: Concepts and practices</w:t>
      </w:r>
      <w:r>
        <w:rPr>
          <w:color w:val="000000"/>
        </w:rPr>
        <w:t>. Sage Publications.</w:t>
      </w:r>
    </w:p>
    <w:p w14:paraId="00000037" w14:textId="77777777" w:rsidR="00E61D10" w:rsidRDefault="00722E01">
      <w:pPr>
        <w:pBdr>
          <w:top w:val="nil"/>
          <w:left w:val="nil"/>
          <w:bottom w:val="nil"/>
          <w:right w:val="nil"/>
          <w:between w:val="nil"/>
        </w:pBdr>
        <w:rPr>
          <w:color w:val="000000"/>
        </w:rPr>
      </w:pPr>
      <w:proofErr w:type="spellStart"/>
      <w:r>
        <w:rPr>
          <w:color w:val="000000"/>
          <w:highlight w:val="white"/>
        </w:rPr>
        <w:t>Noe</w:t>
      </w:r>
      <w:proofErr w:type="spellEnd"/>
      <w:r>
        <w:rPr>
          <w:color w:val="000000"/>
          <w:highlight w:val="white"/>
        </w:rPr>
        <w:t xml:space="preserve">, R.A., Hollenbeck, J.R., Gerhart, B. and Wright, P.M., 2020. </w:t>
      </w:r>
      <w:r>
        <w:rPr>
          <w:i/>
          <w:color w:val="000000"/>
        </w:rPr>
        <w:t>Fundamentals of human resource management</w:t>
      </w:r>
      <w:r>
        <w:rPr>
          <w:color w:val="000000"/>
        </w:rPr>
        <w:t>. McGraw-Hill.</w:t>
      </w:r>
    </w:p>
    <w:p w14:paraId="00000038" w14:textId="77777777" w:rsidR="00E61D10" w:rsidRDefault="00722E01">
      <w:pPr>
        <w:pBdr>
          <w:top w:val="nil"/>
          <w:left w:val="nil"/>
          <w:bottom w:val="nil"/>
          <w:right w:val="nil"/>
          <w:between w:val="nil"/>
        </w:pBdr>
        <w:rPr>
          <w:color w:val="000000"/>
        </w:rPr>
      </w:pPr>
      <w:proofErr w:type="spellStart"/>
      <w:r>
        <w:rPr>
          <w:color w:val="000000"/>
          <w:highlight w:val="white"/>
        </w:rPr>
        <w:t>Odor</w:t>
      </w:r>
      <w:proofErr w:type="spellEnd"/>
      <w:r>
        <w:rPr>
          <w:color w:val="000000"/>
          <w:highlight w:val="white"/>
        </w:rPr>
        <w:t xml:space="preserve">, H.O., 2018. A literature review on organizational learning and learning organizations. </w:t>
      </w:r>
      <w:r>
        <w:rPr>
          <w:i/>
          <w:color w:val="000000"/>
        </w:rPr>
        <w:t>International Journal of Economics &amp; Management Sciences</w:t>
      </w:r>
      <w:r>
        <w:rPr>
          <w:color w:val="000000"/>
        </w:rPr>
        <w:t xml:space="preserve">, </w:t>
      </w:r>
      <w:r>
        <w:rPr>
          <w:i/>
          <w:color w:val="000000"/>
        </w:rPr>
        <w:t>7</w:t>
      </w:r>
      <w:r>
        <w:rPr>
          <w:color w:val="000000"/>
        </w:rPr>
        <w:t>(1), pp.1-6.</w:t>
      </w:r>
    </w:p>
    <w:p w14:paraId="00000039" w14:textId="77777777" w:rsidR="00E61D10" w:rsidRDefault="00722E01">
      <w:pPr>
        <w:pBdr>
          <w:top w:val="nil"/>
          <w:left w:val="nil"/>
          <w:bottom w:val="nil"/>
          <w:right w:val="nil"/>
          <w:between w:val="nil"/>
        </w:pBdr>
        <w:rPr>
          <w:color w:val="000000"/>
        </w:rPr>
      </w:pPr>
      <w:proofErr w:type="spellStart"/>
      <w:r>
        <w:rPr>
          <w:color w:val="000000"/>
          <w:highlight w:val="white"/>
        </w:rPr>
        <w:t>Örtenblad</w:t>
      </w:r>
      <w:proofErr w:type="spellEnd"/>
      <w:r>
        <w:rPr>
          <w:color w:val="000000"/>
          <w:highlight w:val="white"/>
        </w:rPr>
        <w:t xml:space="preserve">, A., 2018. What does “learning organization” mean?. </w:t>
      </w:r>
      <w:r>
        <w:rPr>
          <w:i/>
          <w:color w:val="000000"/>
        </w:rPr>
        <w:t>The Learning Organization</w:t>
      </w:r>
      <w:r>
        <w:rPr>
          <w:color w:val="000000"/>
        </w:rPr>
        <w:t xml:space="preserve">, </w:t>
      </w:r>
      <w:r>
        <w:rPr>
          <w:i/>
          <w:color w:val="000000"/>
        </w:rPr>
        <w:t>25</w:t>
      </w:r>
      <w:r>
        <w:rPr>
          <w:color w:val="000000"/>
        </w:rPr>
        <w:t>(3), pp.150-158.</w:t>
      </w:r>
    </w:p>
    <w:p w14:paraId="0000003A" w14:textId="77777777" w:rsidR="00E61D10" w:rsidRDefault="00722E01">
      <w:pPr>
        <w:pBdr>
          <w:top w:val="nil"/>
          <w:left w:val="nil"/>
          <w:bottom w:val="nil"/>
          <w:right w:val="nil"/>
          <w:between w:val="nil"/>
        </w:pBdr>
        <w:rPr>
          <w:color w:val="000000"/>
        </w:rPr>
      </w:pPr>
      <w:r>
        <w:rPr>
          <w:color w:val="000000"/>
          <w:highlight w:val="white"/>
        </w:rPr>
        <w:t xml:space="preserve">Stewart, G.L. and Brown, K.G., 2019. </w:t>
      </w:r>
      <w:r>
        <w:rPr>
          <w:i/>
          <w:color w:val="000000"/>
        </w:rPr>
        <w:t>Human resource management</w:t>
      </w:r>
      <w:r>
        <w:rPr>
          <w:color w:val="000000"/>
        </w:rPr>
        <w:t>. John Wiley &amp; Sons.</w:t>
      </w:r>
    </w:p>
    <w:p w14:paraId="0000003B" w14:textId="77777777" w:rsidR="00E61D10" w:rsidRDefault="00722E01">
      <w:pPr>
        <w:pBdr>
          <w:top w:val="nil"/>
          <w:left w:val="nil"/>
          <w:bottom w:val="nil"/>
          <w:right w:val="nil"/>
          <w:between w:val="nil"/>
        </w:pBdr>
        <w:rPr>
          <w:color w:val="000000"/>
        </w:rPr>
      </w:pPr>
      <w:r>
        <w:rPr>
          <w:color w:val="000000"/>
          <w:highlight w:val="white"/>
        </w:rPr>
        <w:t xml:space="preserve">Stone, R.J., Cox, A. and Gavin, M., 2020. </w:t>
      </w:r>
      <w:r>
        <w:rPr>
          <w:i/>
          <w:color w:val="000000"/>
        </w:rPr>
        <w:t>Human resource management</w:t>
      </w:r>
      <w:r>
        <w:rPr>
          <w:color w:val="000000"/>
        </w:rPr>
        <w:t>. John Wiley &amp; Sons.</w:t>
      </w:r>
    </w:p>
    <w:p w14:paraId="0000003C" w14:textId="77777777" w:rsidR="00E61D10" w:rsidRDefault="00722E01">
      <w:pPr>
        <w:pBdr>
          <w:top w:val="nil"/>
          <w:left w:val="nil"/>
          <w:bottom w:val="nil"/>
          <w:right w:val="nil"/>
          <w:between w:val="nil"/>
        </w:pBdr>
        <w:rPr>
          <w:color w:val="000000"/>
        </w:rPr>
      </w:pPr>
      <w:r>
        <w:rPr>
          <w:color w:val="000000"/>
          <w:highlight w:val="white"/>
        </w:rPr>
        <w:t xml:space="preserve">Wilton, N., 2019. An introduction to human resource management. </w:t>
      </w:r>
      <w:r>
        <w:rPr>
          <w:i/>
          <w:color w:val="000000"/>
        </w:rPr>
        <w:t>An Introduction to Human Resource Management</w:t>
      </w:r>
      <w:r>
        <w:rPr>
          <w:color w:val="000000"/>
        </w:rPr>
        <w:t>, pp.1-632.</w:t>
      </w:r>
    </w:p>
    <w:p w14:paraId="0000003D" w14:textId="77777777" w:rsidR="00E61D10" w:rsidRDefault="00722E01">
      <w:pPr>
        <w:pBdr>
          <w:top w:val="nil"/>
          <w:left w:val="nil"/>
          <w:bottom w:val="nil"/>
          <w:right w:val="nil"/>
          <w:between w:val="nil"/>
        </w:pBdr>
        <w:rPr>
          <w:color w:val="000000"/>
        </w:rPr>
      </w:pPr>
      <w:proofErr w:type="spellStart"/>
      <w:r>
        <w:rPr>
          <w:color w:val="000000"/>
          <w:highlight w:val="white"/>
        </w:rPr>
        <w:t>Zaccagnini</w:t>
      </w:r>
      <w:proofErr w:type="spellEnd"/>
      <w:r>
        <w:rPr>
          <w:color w:val="000000"/>
          <w:highlight w:val="white"/>
        </w:rPr>
        <w:t xml:space="preserve">, M. and </w:t>
      </w:r>
      <w:proofErr w:type="spellStart"/>
      <w:r>
        <w:rPr>
          <w:color w:val="000000"/>
          <w:highlight w:val="white"/>
        </w:rPr>
        <w:t>Pechacek</w:t>
      </w:r>
      <w:proofErr w:type="spellEnd"/>
      <w:r>
        <w:rPr>
          <w:color w:val="000000"/>
          <w:highlight w:val="white"/>
        </w:rPr>
        <w:t xml:space="preserve">, J.M., 2019. </w:t>
      </w:r>
      <w:r>
        <w:rPr>
          <w:i/>
          <w:color w:val="000000"/>
        </w:rPr>
        <w:t>The doctor of nursing practice essentials: A new model for advanced practice nursing</w:t>
      </w:r>
      <w:r>
        <w:rPr>
          <w:color w:val="000000"/>
        </w:rPr>
        <w:t>. Jones &amp; Bartlett Learning.</w:t>
      </w:r>
    </w:p>
    <w:sectPr w:rsidR="00E61D10">
      <w:footerReference w:type="default" r:id="rId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00832" w14:textId="77777777" w:rsidR="00722E01" w:rsidRDefault="00722E01">
      <w:pPr>
        <w:spacing w:line="240" w:lineRule="auto"/>
      </w:pPr>
      <w:r>
        <w:separator/>
      </w:r>
    </w:p>
  </w:endnote>
  <w:endnote w:type="continuationSeparator" w:id="0">
    <w:p w14:paraId="582D997B" w14:textId="77777777" w:rsidR="00722E01" w:rsidRDefault="00722E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E" w14:textId="0919F2C5" w:rsidR="00E61D10" w:rsidRDefault="00722E01">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370622">
      <w:rPr>
        <w:noProof/>
        <w:color w:val="000000"/>
      </w:rPr>
      <w:t>2</w:t>
    </w:r>
    <w:r>
      <w:rPr>
        <w:color w:val="000000"/>
      </w:rPr>
      <w:fldChar w:fldCharType="end"/>
    </w:r>
    <w:r>
      <w:rPr>
        <w:color w:val="000000"/>
      </w:rPr>
      <w:t xml:space="preserve"> </w:t>
    </w:r>
  </w:p>
  <w:p w14:paraId="0000003F" w14:textId="77777777" w:rsidR="00E61D10" w:rsidRDefault="00E61D10">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B7EA3" w14:textId="77777777" w:rsidR="00722E01" w:rsidRDefault="00722E01">
      <w:pPr>
        <w:spacing w:line="240" w:lineRule="auto"/>
      </w:pPr>
      <w:r>
        <w:separator/>
      </w:r>
    </w:p>
  </w:footnote>
  <w:footnote w:type="continuationSeparator" w:id="0">
    <w:p w14:paraId="251D82C1" w14:textId="77777777" w:rsidR="00722E01" w:rsidRDefault="00722E0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1D10"/>
    <w:rsid w:val="00071DF5"/>
    <w:rsid w:val="00370622"/>
    <w:rsid w:val="00722E01"/>
    <w:rsid w:val="00CF64ED"/>
    <w:rsid w:val="00E61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869E40"/>
  <w15:docId w15:val="{5CC171D1-4471-6E4C-9327-E2F0E99F5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7FB3"/>
  </w:style>
  <w:style w:type="paragraph" w:styleId="Heading1">
    <w:name w:val="heading 1"/>
    <w:basedOn w:val="Normal1"/>
    <w:next w:val="Normal1"/>
    <w:uiPriority w:val="9"/>
    <w:qFormat/>
    <w:rsid w:val="00327FB3"/>
    <w:pPr>
      <w:keepNext/>
      <w:keepLines/>
      <w:spacing w:before="400" w:after="120"/>
      <w:outlineLvl w:val="0"/>
    </w:pPr>
    <w:rPr>
      <w:b/>
      <w:sz w:val="32"/>
      <w:szCs w:val="40"/>
    </w:rPr>
  </w:style>
  <w:style w:type="paragraph" w:styleId="Heading2">
    <w:name w:val="heading 2"/>
    <w:basedOn w:val="Normal1"/>
    <w:next w:val="Normal1"/>
    <w:uiPriority w:val="9"/>
    <w:semiHidden/>
    <w:unhideWhenUsed/>
    <w:qFormat/>
    <w:rsid w:val="00CA2DB4"/>
    <w:pPr>
      <w:keepNext/>
      <w:keepLines/>
      <w:spacing w:before="360" w:after="120"/>
      <w:outlineLvl w:val="1"/>
    </w:pPr>
    <w:rPr>
      <w:sz w:val="32"/>
      <w:szCs w:val="32"/>
    </w:rPr>
  </w:style>
  <w:style w:type="paragraph" w:styleId="Heading3">
    <w:name w:val="heading 3"/>
    <w:basedOn w:val="Normal1"/>
    <w:next w:val="Normal1"/>
    <w:uiPriority w:val="9"/>
    <w:semiHidden/>
    <w:unhideWhenUsed/>
    <w:qFormat/>
    <w:rsid w:val="00CA2DB4"/>
    <w:pPr>
      <w:keepNext/>
      <w:keepLines/>
      <w:spacing w:before="320" w:after="80"/>
      <w:outlineLvl w:val="2"/>
    </w:pPr>
    <w:rPr>
      <w:color w:val="434343"/>
    </w:rPr>
  </w:style>
  <w:style w:type="paragraph" w:styleId="Heading4">
    <w:name w:val="heading 4"/>
    <w:basedOn w:val="Normal1"/>
    <w:next w:val="Normal1"/>
    <w:uiPriority w:val="9"/>
    <w:semiHidden/>
    <w:unhideWhenUsed/>
    <w:qFormat/>
    <w:rsid w:val="00CA2DB4"/>
    <w:pPr>
      <w:keepNext/>
      <w:keepLines/>
      <w:spacing w:before="280" w:after="80"/>
      <w:outlineLvl w:val="3"/>
    </w:pPr>
    <w:rPr>
      <w:color w:val="666666"/>
    </w:rPr>
  </w:style>
  <w:style w:type="paragraph" w:styleId="Heading5">
    <w:name w:val="heading 5"/>
    <w:basedOn w:val="Normal1"/>
    <w:next w:val="Normal1"/>
    <w:uiPriority w:val="9"/>
    <w:semiHidden/>
    <w:unhideWhenUsed/>
    <w:qFormat/>
    <w:rsid w:val="00CA2DB4"/>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rsid w:val="00CA2DB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CA2DB4"/>
    <w:pPr>
      <w:keepNext/>
      <w:keepLines/>
      <w:spacing w:after="60"/>
    </w:pPr>
    <w:rPr>
      <w:sz w:val="52"/>
      <w:szCs w:val="52"/>
    </w:rPr>
  </w:style>
  <w:style w:type="paragraph" w:customStyle="1" w:styleId="Normal1">
    <w:name w:val="Normal1"/>
    <w:rsid w:val="00CA2DB4"/>
  </w:style>
  <w:style w:type="paragraph" w:styleId="Subtitle">
    <w:name w:val="Subtitle"/>
    <w:basedOn w:val="Normal"/>
    <w:next w:val="Normal"/>
    <w:uiPriority w:val="11"/>
    <w:qFormat/>
    <w:pPr>
      <w:keepNext/>
      <w:keepLines/>
      <w:pBdr>
        <w:top w:val="nil"/>
        <w:left w:val="nil"/>
        <w:bottom w:val="nil"/>
        <w:right w:val="nil"/>
        <w:between w:val="nil"/>
      </w:pBdr>
      <w:spacing w:after="320" w:line="276" w:lineRule="auto"/>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DE5045"/>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E5045"/>
    <w:pPr>
      <w:spacing w:after="100"/>
    </w:pPr>
  </w:style>
  <w:style w:type="character" w:styleId="Hyperlink">
    <w:name w:val="Hyperlink"/>
    <w:basedOn w:val="DefaultParagraphFont"/>
    <w:uiPriority w:val="99"/>
    <w:unhideWhenUsed/>
    <w:rsid w:val="00DE5045"/>
    <w:rPr>
      <w:color w:val="0000FF" w:themeColor="hyperlink"/>
      <w:u w:val="single"/>
    </w:rPr>
  </w:style>
  <w:style w:type="paragraph" w:styleId="BalloonText">
    <w:name w:val="Balloon Text"/>
    <w:basedOn w:val="Normal"/>
    <w:link w:val="BalloonTextChar"/>
    <w:uiPriority w:val="99"/>
    <w:semiHidden/>
    <w:unhideWhenUsed/>
    <w:rsid w:val="00DE504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5045"/>
    <w:rPr>
      <w:rFonts w:ascii="Tahoma" w:hAnsi="Tahoma" w:cs="Tahoma"/>
      <w:sz w:val="16"/>
      <w:szCs w:val="16"/>
      <w:lang w:val="en-GB"/>
    </w:rPr>
  </w:style>
  <w:style w:type="paragraph" w:styleId="Header">
    <w:name w:val="header"/>
    <w:basedOn w:val="Normal"/>
    <w:link w:val="HeaderChar"/>
    <w:uiPriority w:val="99"/>
    <w:semiHidden/>
    <w:unhideWhenUsed/>
    <w:rsid w:val="001D143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D143C"/>
    <w:rPr>
      <w:sz w:val="24"/>
      <w:szCs w:val="24"/>
      <w:lang w:val="en-GB"/>
    </w:rPr>
  </w:style>
  <w:style w:type="paragraph" w:styleId="Footer">
    <w:name w:val="footer"/>
    <w:basedOn w:val="Normal"/>
    <w:link w:val="FooterChar"/>
    <w:uiPriority w:val="99"/>
    <w:unhideWhenUsed/>
    <w:rsid w:val="001D143C"/>
    <w:pPr>
      <w:tabs>
        <w:tab w:val="center" w:pos="4680"/>
        <w:tab w:val="right" w:pos="9360"/>
      </w:tabs>
      <w:spacing w:line="240" w:lineRule="auto"/>
    </w:pPr>
  </w:style>
  <w:style w:type="character" w:customStyle="1" w:styleId="FooterChar">
    <w:name w:val="Footer Char"/>
    <w:basedOn w:val="DefaultParagraphFont"/>
    <w:link w:val="Footer"/>
    <w:uiPriority w:val="99"/>
    <w:rsid w:val="001D143C"/>
    <w:rPr>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c46GfJyX407FzXr1ywOU//yRuA==">CgMxLjAyCGguZ2pkZ3hzMgloLjMwajB6bGwyCWguMWZvYjl0ZTIJaC4zem55c2g3MgloLjJldDkycDAyCGgudHlqY3d0OAByITFCQ1Z5TUl1Y1BWVGYtOU1QczU4eTNhdVJwT1J1R09iMg==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3018</Words>
  <Characters>17203</Characters>
  <Application>Microsoft Office Word</Application>
  <DocSecurity>0</DocSecurity>
  <Lines>143</Lines>
  <Paragraphs>40</Paragraphs>
  <ScaleCrop>false</ScaleCrop>
  <Company/>
  <LinksUpToDate>false</LinksUpToDate>
  <CharactersWithSpaces>20181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Aliu</cp:lastModifiedBy>
  <cp:revision>2</cp:revision>
  <dcterms:created xsi:type="dcterms:W3CDTF">2023-11-07T19:56:00Z</dcterms:created>
  <dcterms:modified xsi:type="dcterms:W3CDTF">2023-11-07T19:56:00Z</dcterms:modified>
</cp:coreProperties>
</file>