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33F1E" w:rsidRDefault="00C55234" w:rsidP="00433F1E">
      <w:pPr>
        <w:rPr>
          <w:rFonts w:cstheme="minorHAnsi"/>
          <w:sz w:val="28"/>
          <w:szCs w:val="28"/>
          <w:u w:val="single"/>
        </w:rPr>
      </w:pPr>
      <w:r w:rsidRPr="00005CAA">
        <w:rPr>
          <w:rFonts w:cstheme="minorHAnsi"/>
          <w:sz w:val="28"/>
          <w:szCs w:val="28"/>
          <w:u w:val="single"/>
        </w:rPr>
        <w:t xml:space="preserve">References </w:t>
      </w:r>
    </w:p>
    <w:p w:rsidR="00433F1E" w:rsidRPr="00433F1E" w:rsidRDefault="00433F1E" w:rsidP="00433F1E">
      <w:pPr>
        <w:rPr>
          <w:rFonts w:cstheme="minorHAnsi"/>
          <w:sz w:val="28"/>
          <w:szCs w:val="28"/>
          <w:u w:val="single"/>
        </w:rPr>
      </w:pPr>
      <w:bookmarkStart w:id="0" w:name="_GoBack"/>
      <w:bookmarkEnd w:id="0"/>
    </w:p>
    <w:p w:rsidR="00433F1E" w:rsidRDefault="00433F1E" w:rsidP="00005CAA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  <w:sz w:val="28"/>
          <w:szCs w:val="28"/>
        </w:rPr>
      </w:pPr>
      <w:r w:rsidRPr="00005CAA">
        <w:rPr>
          <w:rFonts w:asciiTheme="minorHAnsi" w:hAnsiTheme="minorHAnsi" w:cstheme="minorHAnsi"/>
          <w:sz w:val="28"/>
          <w:szCs w:val="28"/>
        </w:rPr>
        <w:t>Al-</w:t>
      </w:r>
      <w:proofErr w:type="spellStart"/>
      <w:r w:rsidRPr="00005CAA">
        <w:rPr>
          <w:rFonts w:asciiTheme="minorHAnsi" w:hAnsiTheme="minorHAnsi" w:cstheme="minorHAnsi"/>
          <w:sz w:val="28"/>
          <w:szCs w:val="28"/>
        </w:rPr>
        <w:t>Qubaeissy</w:t>
      </w:r>
      <w:proofErr w:type="spellEnd"/>
      <w:r w:rsidRPr="00005CAA">
        <w:rPr>
          <w:rFonts w:asciiTheme="minorHAnsi" w:hAnsiTheme="minorHAnsi" w:cstheme="minorHAnsi"/>
          <w:sz w:val="28"/>
          <w:szCs w:val="28"/>
        </w:rPr>
        <w:t xml:space="preserve">, K. Y., </w:t>
      </w:r>
      <w:proofErr w:type="spellStart"/>
      <w:r w:rsidRPr="00005CAA">
        <w:rPr>
          <w:rFonts w:asciiTheme="minorHAnsi" w:hAnsiTheme="minorHAnsi" w:cstheme="minorHAnsi"/>
          <w:sz w:val="28"/>
          <w:szCs w:val="28"/>
        </w:rPr>
        <w:t>Fatoye</w:t>
      </w:r>
      <w:proofErr w:type="spellEnd"/>
      <w:r w:rsidRPr="00005CAA">
        <w:rPr>
          <w:rFonts w:asciiTheme="minorHAnsi" w:hAnsiTheme="minorHAnsi" w:cstheme="minorHAnsi"/>
          <w:sz w:val="28"/>
          <w:szCs w:val="28"/>
        </w:rPr>
        <w:t xml:space="preserve">, F. A., Goodwin, P.C. and </w:t>
      </w:r>
      <w:proofErr w:type="spellStart"/>
      <w:r w:rsidRPr="00005CAA">
        <w:rPr>
          <w:rFonts w:asciiTheme="minorHAnsi" w:hAnsiTheme="minorHAnsi" w:cstheme="minorHAnsi"/>
          <w:sz w:val="28"/>
          <w:szCs w:val="28"/>
        </w:rPr>
        <w:t>Yohannes</w:t>
      </w:r>
      <w:proofErr w:type="spellEnd"/>
      <w:r w:rsidRPr="00005CAA">
        <w:rPr>
          <w:rFonts w:asciiTheme="minorHAnsi" w:hAnsiTheme="minorHAnsi" w:cstheme="minorHAnsi"/>
          <w:sz w:val="28"/>
          <w:szCs w:val="28"/>
        </w:rPr>
        <w:t>, A. M. (2013) ‘</w:t>
      </w:r>
      <w:proofErr w:type="gramStart"/>
      <w:r w:rsidRPr="00005CAA">
        <w:rPr>
          <w:rFonts w:asciiTheme="minorHAnsi" w:hAnsiTheme="minorHAnsi" w:cstheme="minorHAnsi"/>
          <w:sz w:val="28"/>
          <w:szCs w:val="28"/>
        </w:rPr>
        <w:t>The</w:t>
      </w:r>
      <w:proofErr w:type="gramEnd"/>
      <w:r w:rsidRPr="00005CAA">
        <w:rPr>
          <w:rFonts w:asciiTheme="minorHAnsi" w:hAnsiTheme="minorHAnsi" w:cstheme="minorHAnsi"/>
          <w:sz w:val="28"/>
          <w:szCs w:val="28"/>
        </w:rPr>
        <w:t xml:space="preserve"> effectiveness of Hydrotherapy in the Management of Rheumatoid Arthritis: A systematic Review’, </w:t>
      </w:r>
      <w:r w:rsidRPr="00005CAA">
        <w:rPr>
          <w:rFonts w:asciiTheme="minorHAnsi" w:hAnsiTheme="minorHAnsi" w:cstheme="minorHAnsi"/>
          <w:i/>
          <w:sz w:val="28"/>
          <w:szCs w:val="28"/>
        </w:rPr>
        <w:t xml:space="preserve">Musculoskeletal Care, </w:t>
      </w:r>
      <w:r w:rsidRPr="00005CAA">
        <w:rPr>
          <w:rFonts w:asciiTheme="minorHAnsi" w:hAnsiTheme="minorHAnsi" w:cstheme="minorHAnsi"/>
          <w:sz w:val="28"/>
          <w:szCs w:val="28"/>
        </w:rPr>
        <w:t>11(1), pp. 3-18.</w:t>
      </w:r>
    </w:p>
    <w:p w:rsidR="00433F1E" w:rsidRDefault="00433F1E" w:rsidP="00005CAA">
      <w:pPr>
        <w:spacing w:line="360" w:lineRule="auto"/>
        <w:rPr>
          <w:rStyle w:val="Hyperlink"/>
          <w:rFonts w:cstheme="minorHAnsi"/>
          <w:color w:val="auto"/>
          <w:sz w:val="28"/>
          <w:szCs w:val="28"/>
          <w:u w:val="none"/>
        </w:rPr>
      </w:pPr>
      <w:r w:rsidRPr="00005CAA">
        <w:rPr>
          <w:rFonts w:cstheme="minorHAnsi"/>
          <w:sz w:val="28"/>
          <w:szCs w:val="28"/>
        </w:rPr>
        <w:t xml:space="preserve">American Association of Retired Persons (2023) </w:t>
      </w:r>
      <w:r w:rsidRPr="00005CAA">
        <w:rPr>
          <w:rFonts w:cstheme="minorHAnsi"/>
          <w:i/>
          <w:sz w:val="28"/>
          <w:szCs w:val="28"/>
        </w:rPr>
        <w:t xml:space="preserve">6 Medical Problems That Can Mimic Dementia –But Aren’t.  </w:t>
      </w:r>
      <w:r w:rsidRPr="00005CAA">
        <w:rPr>
          <w:rFonts w:cstheme="minorHAnsi"/>
          <w:sz w:val="28"/>
          <w:szCs w:val="28"/>
        </w:rPr>
        <w:t>Available at:</w:t>
      </w:r>
      <w:r w:rsidRPr="00005CAA">
        <w:rPr>
          <w:rFonts w:cstheme="minorHAnsi"/>
          <w:i/>
          <w:sz w:val="28"/>
          <w:szCs w:val="28"/>
        </w:rPr>
        <w:t xml:space="preserve"> </w:t>
      </w:r>
      <w:hyperlink r:id="rId4" w:history="1">
        <w:r w:rsidRPr="00005CAA">
          <w:rPr>
            <w:rStyle w:val="Hyperlink"/>
            <w:rFonts w:cstheme="minorHAnsi"/>
            <w:color w:val="auto"/>
            <w:sz w:val="28"/>
            <w:szCs w:val="28"/>
            <w:u w:val="none"/>
          </w:rPr>
          <w:t>https://www.aarp.org/health/conditions-treatments/info-2022/medical-problems-mimic-dementia.html</w:t>
        </w:r>
      </w:hyperlink>
      <w:r w:rsidRPr="00005CAA">
        <w:rPr>
          <w:rStyle w:val="Hyperlink"/>
          <w:rFonts w:cstheme="minorHAnsi"/>
          <w:color w:val="auto"/>
          <w:sz w:val="28"/>
          <w:szCs w:val="28"/>
          <w:u w:val="none"/>
        </w:rPr>
        <w:t xml:space="preserve">  (Accessed 20 December 2024).</w:t>
      </w:r>
    </w:p>
    <w:p w:rsidR="00433F1E" w:rsidRDefault="00433F1E" w:rsidP="00005CAA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HAnsi" w:hAnsiTheme="minorHAnsi" w:cstheme="minorHAnsi"/>
          <w:sz w:val="28"/>
          <w:szCs w:val="28"/>
        </w:rPr>
      </w:pPr>
      <w:proofErr w:type="spellStart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>Blankevoort</w:t>
      </w:r>
      <w:proofErr w:type="spellEnd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 xml:space="preserve">, C. G., van </w:t>
      </w:r>
      <w:proofErr w:type="spellStart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>Heuvelen</w:t>
      </w:r>
      <w:proofErr w:type="spellEnd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 xml:space="preserve">, M. J. G., </w:t>
      </w:r>
      <w:proofErr w:type="spellStart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>Boersma</w:t>
      </w:r>
      <w:proofErr w:type="spellEnd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 xml:space="preserve">, F., </w:t>
      </w:r>
      <w:proofErr w:type="spellStart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>Luning</w:t>
      </w:r>
      <w:proofErr w:type="spellEnd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 xml:space="preserve">, H., </w:t>
      </w:r>
      <w:proofErr w:type="spellStart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>DeJong</w:t>
      </w:r>
      <w:proofErr w:type="spellEnd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 xml:space="preserve">, J. and </w:t>
      </w:r>
      <w:proofErr w:type="spellStart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>Scherder</w:t>
      </w:r>
      <w:proofErr w:type="spellEnd"/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 xml:space="preserve">, E. J. A. (2010) ‘Review of Effects of Physical Activity on Strength, Balance, Mobility and ADL Performance in Early Subjects with Dementia’, </w:t>
      </w:r>
      <w:r w:rsidRPr="00005CAA">
        <w:rPr>
          <w:rStyle w:val="normaltextrun"/>
          <w:rFonts w:asciiTheme="minorHAnsi" w:hAnsiTheme="minorHAnsi" w:cstheme="minorHAnsi"/>
          <w:i/>
          <w:iCs/>
          <w:sz w:val="28"/>
          <w:szCs w:val="28"/>
        </w:rPr>
        <w:t>Dementia and Geriatric Cognitive Disorders</w:t>
      </w:r>
      <w:r w:rsidRPr="00005CAA">
        <w:rPr>
          <w:rStyle w:val="normaltextrun"/>
          <w:rFonts w:asciiTheme="minorHAnsi" w:hAnsiTheme="minorHAnsi" w:cstheme="minorHAnsi"/>
          <w:sz w:val="28"/>
          <w:szCs w:val="28"/>
        </w:rPr>
        <w:t>, 30(5), pp. 392-402.</w:t>
      </w:r>
      <w:r w:rsidRPr="00005CAA">
        <w:rPr>
          <w:rStyle w:val="eop"/>
          <w:rFonts w:asciiTheme="minorHAnsi" w:hAnsiTheme="minorHAnsi" w:cstheme="minorHAnsi"/>
          <w:sz w:val="28"/>
          <w:szCs w:val="28"/>
        </w:rPr>
        <w:t> </w:t>
      </w:r>
    </w:p>
    <w:p w:rsidR="00433F1E" w:rsidRDefault="00433F1E" w:rsidP="00005CAA">
      <w:pPr>
        <w:spacing w:line="360" w:lineRule="auto"/>
        <w:rPr>
          <w:rFonts w:cstheme="minorHAnsi"/>
          <w:sz w:val="28"/>
          <w:szCs w:val="28"/>
        </w:rPr>
      </w:pPr>
      <w:r w:rsidRPr="00005CAA">
        <w:rPr>
          <w:rFonts w:cstheme="minorHAnsi"/>
          <w:sz w:val="28"/>
          <w:szCs w:val="28"/>
        </w:rPr>
        <w:t xml:space="preserve">Hammond, A. (2004) ‘Rehabilitation in rheumatoid arthritis: A critical review’, </w:t>
      </w:r>
      <w:r w:rsidRPr="00005CAA">
        <w:rPr>
          <w:rFonts w:cstheme="minorHAnsi"/>
          <w:i/>
          <w:sz w:val="28"/>
          <w:szCs w:val="28"/>
        </w:rPr>
        <w:t>Musculoskeletal Care,</w:t>
      </w:r>
      <w:r w:rsidRPr="00005CAA">
        <w:rPr>
          <w:rFonts w:cstheme="minorHAnsi"/>
          <w:sz w:val="28"/>
          <w:szCs w:val="28"/>
        </w:rPr>
        <w:t xml:space="preserve"> 2(3), pp. 135-151.</w:t>
      </w:r>
    </w:p>
    <w:p w:rsidR="00433F1E" w:rsidRDefault="00433F1E" w:rsidP="00005CAA">
      <w:pPr>
        <w:spacing w:line="360" w:lineRule="auto"/>
        <w:rPr>
          <w:rFonts w:cstheme="minorHAnsi"/>
          <w:sz w:val="28"/>
          <w:szCs w:val="28"/>
        </w:rPr>
      </w:pPr>
      <w:r w:rsidRPr="00005CAA">
        <w:rPr>
          <w:rFonts w:cstheme="minorHAnsi"/>
          <w:sz w:val="28"/>
          <w:szCs w:val="28"/>
        </w:rPr>
        <w:t xml:space="preserve">Move Better Gwent (2025) </w:t>
      </w:r>
      <w:r w:rsidRPr="00005CAA">
        <w:rPr>
          <w:rFonts w:cstheme="minorHAnsi"/>
          <w:i/>
          <w:sz w:val="28"/>
          <w:szCs w:val="28"/>
        </w:rPr>
        <w:t xml:space="preserve">Good Boost.  </w:t>
      </w:r>
      <w:r w:rsidRPr="00005CAA">
        <w:rPr>
          <w:rFonts w:cstheme="minorHAnsi"/>
          <w:sz w:val="28"/>
          <w:szCs w:val="28"/>
        </w:rPr>
        <w:t xml:space="preserve">Available at: </w:t>
      </w:r>
      <w:hyperlink r:id="rId5" w:history="1">
        <w:r w:rsidRPr="00005CAA">
          <w:rPr>
            <w:rStyle w:val="Hyperlink"/>
            <w:rFonts w:cstheme="minorHAnsi"/>
            <w:color w:val="auto"/>
            <w:sz w:val="28"/>
            <w:szCs w:val="28"/>
            <w:u w:val="none"/>
          </w:rPr>
          <w:t>https://movebettergwent.nhs.wales/self_management/good_boost/</w:t>
        </w:r>
      </w:hyperlink>
      <w:r w:rsidRPr="00005CAA">
        <w:rPr>
          <w:rFonts w:cstheme="minorHAnsi"/>
          <w:sz w:val="28"/>
          <w:szCs w:val="28"/>
        </w:rPr>
        <w:t xml:space="preserve">  (Accessed 4 January 2025).</w:t>
      </w:r>
    </w:p>
    <w:p w:rsidR="00433F1E" w:rsidRPr="00005CAA" w:rsidRDefault="00433F1E" w:rsidP="00005CAA">
      <w:pPr>
        <w:spacing w:line="360" w:lineRule="auto"/>
        <w:rPr>
          <w:rFonts w:cstheme="minorHAnsi"/>
          <w:sz w:val="28"/>
          <w:szCs w:val="28"/>
        </w:rPr>
      </w:pPr>
      <w:r w:rsidRPr="00005CAA">
        <w:rPr>
          <w:rFonts w:cstheme="minorHAnsi"/>
          <w:sz w:val="28"/>
          <w:szCs w:val="28"/>
        </w:rPr>
        <w:t xml:space="preserve">NHS Education for Scotland (2024) </w:t>
      </w:r>
      <w:r w:rsidRPr="00005CAA">
        <w:rPr>
          <w:rFonts w:cstheme="minorHAnsi"/>
          <w:i/>
          <w:sz w:val="28"/>
          <w:szCs w:val="28"/>
        </w:rPr>
        <w:t xml:space="preserve">Effective Practitioner.  Supporting and Valuing Nurses, Midwives and Allied Health Professionals in Practice. </w:t>
      </w:r>
      <w:r w:rsidRPr="00005CAA">
        <w:rPr>
          <w:rFonts w:cstheme="minorHAnsi"/>
          <w:sz w:val="28"/>
          <w:szCs w:val="28"/>
        </w:rPr>
        <w:t xml:space="preserve"> Available at: </w:t>
      </w:r>
      <w:hyperlink r:id="rId6" w:history="1">
        <w:r w:rsidRPr="00005CAA">
          <w:rPr>
            <w:rStyle w:val="Hyperlink"/>
            <w:rFonts w:cstheme="minorHAnsi"/>
            <w:color w:val="auto"/>
            <w:sz w:val="28"/>
            <w:szCs w:val="28"/>
            <w:u w:val="none"/>
          </w:rPr>
          <w:t>https://www.effectivepractitioner.nes.scot.nhs.uk</w:t>
        </w:r>
      </w:hyperlink>
      <w:r w:rsidRPr="00005CAA">
        <w:rPr>
          <w:rFonts w:cstheme="minorHAnsi"/>
          <w:sz w:val="28"/>
          <w:szCs w:val="28"/>
        </w:rPr>
        <w:t xml:space="preserve">  (Accessed 27</w:t>
      </w:r>
      <w:r w:rsidRPr="00005CAA">
        <w:rPr>
          <w:rFonts w:cstheme="minorHAnsi"/>
          <w:sz w:val="28"/>
          <w:szCs w:val="28"/>
          <w:vertAlign w:val="superscript"/>
        </w:rPr>
        <w:t>th</w:t>
      </w:r>
      <w:r w:rsidRPr="00005CAA">
        <w:rPr>
          <w:rFonts w:cstheme="minorHAnsi"/>
          <w:sz w:val="28"/>
          <w:szCs w:val="28"/>
        </w:rPr>
        <w:t xml:space="preserve"> December 2024).</w:t>
      </w:r>
    </w:p>
    <w:p w:rsidR="00433F1E" w:rsidRDefault="00433F1E" w:rsidP="00005CAA">
      <w:pPr>
        <w:spacing w:line="360" w:lineRule="auto"/>
        <w:rPr>
          <w:rFonts w:cstheme="minorHAnsi"/>
          <w:sz w:val="28"/>
          <w:szCs w:val="28"/>
        </w:rPr>
      </w:pPr>
      <w:proofErr w:type="spellStart"/>
      <w:r w:rsidRPr="00005CAA">
        <w:rPr>
          <w:rFonts w:cstheme="minorHAnsi"/>
          <w:sz w:val="28"/>
          <w:szCs w:val="28"/>
        </w:rPr>
        <w:t>Physiopedia</w:t>
      </w:r>
      <w:proofErr w:type="spellEnd"/>
      <w:r w:rsidRPr="00005CAA">
        <w:rPr>
          <w:rFonts w:cstheme="minorHAnsi"/>
          <w:sz w:val="28"/>
          <w:szCs w:val="28"/>
        </w:rPr>
        <w:t xml:space="preserve"> (2024) </w:t>
      </w:r>
      <w:r w:rsidRPr="00005CAA">
        <w:rPr>
          <w:rFonts w:cstheme="minorHAnsi"/>
          <w:i/>
          <w:sz w:val="28"/>
          <w:szCs w:val="28"/>
        </w:rPr>
        <w:t xml:space="preserve">Clinical decision making in physiotherapy practice.  </w:t>
      </w:r>
      <w:r w:rsidRPr="00005CAA">
        <w:rPr>
          <w:rFonts w:cstheme="minorHAnsi"/>
          <w:sz w:val="28"/>
          <w:szCs w:val="28"/>
        </w:rPr>
        <w:t xml:space="preserve">Available at: </w:t>
      </w:r>
      <w:hyperlink r:id="rId7" w:history="1">
        <w:r w:rsidRPr="00005CAA">
          <w:rPr>
            <w:rStyle w:val="Hyperlink"/>
            <w:rFonts w:cstheme="minorHAnsi"/>
            <w:color w:val="auto"/>
            <w:sz w:val="28"/>
            <w:szCs w:val="28"/>
            <w:u w:val="none"/>
          </w:rPr>
          <w:t>https://www.physio-pedia.com/Clinical_Decision_Making_in_Physiotherapy_Practice</w:t>
        </w:r>
      </w:hyperlink>
      <w:r w:rsidRPr="00005CAA">
        <w:rPr>
          <w:rFonts w:cstheme="minorHAnsi"/>
          <w:sz w:val="28"/>
          <w:szCs w:val="28"/>
        </w:rPr>
        <w:t xml:space="preserve"> (Accessed 28 December 2024).</w:t>
      </w:r>
    </w:p>
    <w:p w:rsidR="00433F1E" w:rsidRDefault="00433F1E" w:rsidP="00005CAA">
      <w:pPr>
        <w:spacing w:line="360" w:lineRule="auto"/>
        <w:rPr>
          <w:rFonts w:cstheme="minorHAnsi"/>
          <w:sz w:val="28"/>
          <w:szCs w:val="28"/>
        </w:rPr>
      </w:pPr>
      <w:r w:rsidRPr="00005CAA">
        <w:rPr>
          <w:rFonts w:cstheme="minorHAnsi"/>
          <w:sz w:val="28"/>
          <w:szCs w:val="28"/>
        </w:rPr>
        <w:lastRenderedPageBreak/>
        <w:t xml:space="preserve">Porto, J. M., </w:t>
      </w:r>
      <w:proofErr w:type="spellStart"/>
      <w:r w:rsidRPr="00005CAA">
        <w:rPr>
          <w:rFonts w:cstheme="minorHAnsi"/>
          <w:sz w:val="28"/>
          <w:szCs w:val="28"/>
        </w:rPr>
        <w:t>Nakaishi</w:t>
      </w:r>
      <w:proofErr w:type="spellEnd"/>
      <w:r w:rsidRPr="00005CAA">
        <w:rPr>
          <w:rFonts w:cstheme="minorHAnsi"/>
          <w:sz w:val="28"/>
          <w:szCs w:val="28"/>
        </w:rPr>
        <w:t xml:space="preserve">, A. P. M., </w:t>
      </w:r>
      <w:proofErr w:type="spellStart"/>
      <w:r w:rsidRPr="00005CAA">
        <w:rPr>
          <w:rFonts w:cstheme="minorHAnsi"/>
          <w:sz w:val="28"/>
          <w:szCs w:val="28"/>
        </w:rPr>
        <w:t>Cangussu</w:t>
      </w:r>
      <w:proofErr w:type="spellEnd"/>
      <w:r w:rsidRPr="00005CAA">
        <w:rPr>
          <w:rFonts w:cstheme="minorHAnsi"/>
          <w:sz w:val="28"/>
          <w:szCs w:val="28"/>
        </w:rPr>
        <w:t xml:space="preserve">-Oliveira, L. M., </w:t>
      </w:r>
      <w:proofErr w:type="spellStart"/>
      <w:r w:rsidRPr="00005CAA">
        <w:rPr>
          <w:rFonts w:cstheme="minorHAnsi"/>
          <w:sz w:val="28"/>
          <w:szCs w:val="28"/>
        </w:rPr>
        <w:t>Freire</w:t>
      </w:r>
      <w:proofErr w:type="spellEnd"/>
      <w:r w:rsidRPr="00005CAA">
        <w:rPr>
          <w:rFonts w:cstheme="minorHAnsi"/>
          <w:sz w:val="28"/>
          <w:szCs w:val="28"/>
        </w:rPr>
        <w:t xml:space="preserve"> Junior, R. C., </w:t>
      </w:r>
      <w:proofErr w:type="spellStart"/>
      <w:r w:rsidRPr="00005CAA">
        <w:rPr>
          <w:rFonts w:cstheme="minorHAnsi"/>
          <w:sz w:val="28"/>
          <w:szCs w:val="28"/>
        </w:rPr>
        <w:t>Spilla</w:t>
      </w:r>
      <w:proofErr w:type="spellEnd"/>
      <w:r w:rsidRPr="00005CAA">
        <w:rPr>
          <w:rFonts w:cstheme="minorHAnsi"/>
          <w:sz w:val="28"/>
          <w:szCs w:val="28"/>
        </w:rPr>
        <w:t xml:space="preserve">, S. B. and </w:t>
      </w:r>
      <w:proofErr w:type="spellStart"/>
      <w:r w:rsidRPr="00005CAA">
        <w:rPr>
          <w:rFonts w:cstheme="minorHAnsi"/>
          <w:sz w:val="28"/>
          <w:szCs w:val="28"/>
        </w:rPr>
        <w:t>Caralho</w:t>
      </w:r>
      <w:proofErr w:type="spellEnd"/>
      <w:r w:rsidRPr="00005CAA">
        <w:rPr>
          <w:rFonts w:cstheme="minorHAnsi"/>
          <w:sz w:val="28"/>
          <w:szCs w:val="28"/>
        </w:rPr>
        <w:t xml:space="preserve"> de Abreu, D. C. (2019) ‘Relationship between grip strength and global muscle strength in community-dwelling older people’, </w:t>
      </w:r>
      <w:r w:rsidRPr="00005CAA">
        <w:rPr>
          <w:rFonts w:cstheme="minorHAnsi"/>
          <w:i/>
          <w:sz w:val="28"/>
          <w:szCs w:val="28"/>
        </w:rPr>
        <w:t>Archives of Gerontology and Geriatrics</w:t>
      </w:r>
      <w:r w:rsidRPr="00005CAA">
        <w:rPr>
          <w:rFonts w:cstheme="minorHAnsi"/>
          <w:sz w:val="28"/>
          <w:szCs w:val="28"/>
        </w:rPr>
        <w:t>, 82, pp. 273-278.</w:t>
      </w:r>
    </w:p>
    <w:p w:rsidR="00433F1E" w:rsidRDefault="00433F1E" w:rsidP="00005CAA">
      <w:pPr>
        <w:spacing w:line="360" w:lineRule="auto"/>
        <w:rPr>
          <w:rStyle w:val="eop"/>
          <w:rFonts w:cstheme="minorHAnsi"/>
          <w:sz w:val="28"/>
          <w:szCs w:val="28"/>
        </w:rPr>
      </w:pPr>
      <w:proofErr w:type="spellStart"/>
      <w:r w:rsidRPr="00005CAA">
        <w:rPr>
          <w:rStyle w:val="normaltextrun"/>
          <w:rFonts w:cstheme="minorHAnsi"/>
          <w:sz w:val="28"/>
          <w:szCs w:val="28"/>
        </w:rPr>
        <w:t>Ries</w:t>
      </w:r>
      <w:proofErr w:type="spellEnd"/>
      <w:r w:rsidRPr="00005CAA">
        <w:rPr>
          <w:rStyle w:val="normaltextrun"/>
          <w:rFonts w:cstheme="minorHAnsi"/>
          <w:sz w:val="28"/>
          <w:szCs w:val="28"/>
        </w:rPr>
        <w:t xml:space="preserve">, J. D., </w:t>
      </w:r>
      <w:proofErr w:type="spellStart"/>
      <w:r w:rsidRPr="00005CAA">
        <w:rPr>
          <w:rStyle w:val="normaltextrun"/>
          <w:rFonts w:cstheme="minorHAnsi"/>
          <w:sz w:val="28"/>
          <w:szCs w:val="28"/>
        </w:rPr>
        <w:t>Echternach</w:t>
      </w:r>
      <w:proofErr w:type="spellEnd"/>
      <w:r w:rsidRPr="00005CAA">
        <w:rPr>
          <w:rStyle w:val="normaltextrun"/>
          <w:rFonts w:cstheme="minorHAnsi"/>
          <w:sz w:val="28"/>
          <w:szCs w:val="28"/>
        </w:rPr>
        <w:t xml:space="preserve">, J. L., </w:t>
      </w:r>
      <w:proofErr w:type="spellStart"/>
      <w:r w:rsidRPr="00005CAA">
        <w:rPr>
          <w:rStyle w:val="normaltextrun"/>
          <w:rFonts w:cstheme="minorHAnsi"/>
          <w:sz w:val="28"/>
          <w:szCs w:val="28"/>
        </w:rPr>
        <w:t>Nof</w:t>
      </w:r>
      <w:proofErr w:type="spellEnd"/>
      <w:r w:rsidRPr="00005CAA">
        <w:rPr>
          <w:rStyle w:val="normaltextrun"/>
          <w:rFonts w:cstheme="minorHAnsi"/>
          <w:sz w:val="28"/>
          <w:szCs w:val="28"/>
        </w:rPr>
        <w:t xml:space="preserve">, L. and Blodgett, M. G. (2009) ‘Test – Retest Reliability and Minimal Detectable Change Scores for the Timed “Up &amp; Go” Test, the Six – Minute Walk Test, and Gait Speed in People </w:t>
      </w:r>
      <w:proofErr w:type="gramStart"/>
      <w:r w:rsidRPr="00005CAA">
        <w:rPr>
          <w:rStyle w:val="normaltextrun"/>
          <w:rFonts w:cstheme="minorHAnsi"/>
          <w:sz w:val="28"/>
          <w:szCs w:val="28"/>
        </w:rPr>
        <w:t>With</w:t>
      </w:r>
      <w:proofErr w:type="gramEnd"/>
      <w:r w:rsidRPr="00005CAA">
        <w:rPr>
          <w:rStyle w:val="normaltextrun"/>
          <w:rFonts w:cstheme="minorHAnsi"/>
          <w:sz w:val="28"/>
          <w:szCs w:val="28"/>
        </w:rPr>
        <w:t xml:space="preserve"> Alzheimer Disease’, </w:t>
      </w:r>
      <w:r w:rsidRPr="00005CAA">
        <w:rPr>
          <w:rStyle w:val="normaltextrun"/>
          <w:rFonts w:cstheme="minorHAnsi"/>
          <w:i/>
          <w:iCs/>
          <w:sz w:val="28"/>
          <w:szCs w:val="28"/>
        </w:rPr>
        <w:t xml:space="preserve">Physical Therapy, </w:t>
      </w:r>
      <w:r w:rsidRPr="00005CAA">
        <w:rPr>
          <w:rStyle w:val="normaltextrun"/>
          <w:rFonts w:cstheme="minorHAnsi"/>
          <w:sz w:val="28"/>
          <w:szCs w:val="28"/>
        </w:rPr>
        <w:t>89(6), pp. 569-579.</w:t>
      </w:r>
      <w:r w:rsidRPr="00005CAA">
        <w:rPr>
          <w:rStyle w:val="eop"/>
          <w:rFonts w:cstheme="minorHAnsi"/>
          <w:sz w:val="28"/>
          <w:szCs w:val="28"/>
        </w:rPr>
        <w:t> </w:t>
      </w:r>
    </w:p>
    <w:p w:rsidR="00433F1E" w:rsidRDefault="00433F1E" w:rsidP="00005CAA">
      <w:pPr>
        <w:spacing w:line="360" w:lineRule="auto"/>
        <w:rPr>
          <w:rFonts w:cstheme="minorHAnsi"/>
          <w:sz w:val="28"/>
          <w:szCs w:val="28"/>
        </w:rPr>
      </w:pPr>
      <w:proofErr w:type="spellStart"/>
      <w:r w:rsidRPr="00005CAA">
        <w:rPr>
          <w:rFonts w:cstheme="minorHAnsi"/>
          <w:sz w:val="28"/>
          <w:szCs w:val="28"/>
        </w:rPr>
        <w:t>Sigirtmac</w:t>
      </w:r>
      <w:proofErr w:type="spellEnd"/>
      <w:r w:rsidRPr="00005CAA">
        <w:rPr>
          <w:rFonts w:cstheme="minorHAnsi"/>
          <w:sz w:val="28"/>
          <w:szCs w:val="28"/>
        </w:rPr>
        <w:t xml:space="preserve">, I. C. and </w:t>
      </w:r>
      <w:proofErr w:type="spellStart"/>
      <w:r w:rsidRPr="00005CAA">
        <w:rPr>
          <w:rFonts w:cstheme="minorHAnsi"/>
          <w:sz w:val="28"/>
          <w:szCs w:val="28"/>
        </w:rPr>
        <w:t>Oksuz</w:t>
      </w:r>
      <w:proofErr w:type="spellEnd"/>
      <w:r w:rsidRPr="00005CAA">
        <w:rPr>
          <w:rFonts w:cstheme="minorHAnsi"/>
          <w:sz w:val="28"/>
          <w:szCs w:val="28"/>
        </w:rPr>
        <w:t xml:space="preserve">, C. (2021) ‘Investigation of reliability, validity, and </w:t>
      </w:r>
      <w:proofErr w:type="spellStart"/>
      <w:r w:rsidRPr="00005CAA">
        <w:rPr>
          <w:rFonts w:cstheme="minorHAnsi"/>
          <w:sz w:val="28"/>
          <w:szCs w:val="28"/>
        </w:rPr>
        <w:t>cutoff</w:t>
      </w:r>
      <w:proofErr w:type="spellEnd"/>
      <w:r w:rsidRPr="00005CAA">
        <w:rPr>
          <w:rFonts w:cstheme="minorHAnsi"/>
          <w:sz w:val="28"/>
          <w:szCs w:val="28"/>
        </w:rPr>
        <w:t xml:space="preserve"> value of the </w:t>
      </w:r>
      <w:proofErr w:type="spellStart"/>
      <w:r w:rsidRPr="00005CAA">
        <w:rPr>
          <w:rFonts w:cstheme="minorHAnsi"/>
          <w:sz w:val="28"/>
          <w:szCs w:val="28"/>
        </w:rPr>
        <w:t>Jebsen</w:t>
      </w:r>
      <w:proofErr w:type="spellEnd"/>
      <w:r w:rsidRPr="00005CAA">
        <w:rPr>
          <w:rFonts w:cstheme="minorHAnsi"/>
          <w:sz w:val="28"/>
          <w:szCs w:val="28"/>
        </w:rPr>
        <w:t xml:space="preserve">-Taylor Hand Function Test’, </w:t>
      </w:r>
      <w:r w:rsidRPr="00005CAA">
        <w:rPr>
          <w:rFonts w:cstheme="minorHAnsi"/>
          <w:i/>
          <w:sz w:val="28"/>
          <w:szCs w:val="28"/>
        </w:rPr>
        <w:t>Journal of Hand Therapy</w:t>
      </w:r>
      <w:r w:rsidRPr="00005CAA">
        <w:rPr>
          <w:rFonts w:cstheme="minorHAnsi"/>
          <w:sz w:val="28"/>
          <w:szCs w:val="28"/>
        </w:rPr>
        <w:t>, 34(3), pp.  396-403.</w:t>
      </w:r>
    </w:p>
    <w:sectPr w:rsidR="00433F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5234"/>
    <w:rsid w:val="00005CAA"/>
    <w:rsid w:val="002914FA"/>
    <w:rsid w:val="003326BB"/>
    <w:rsid w:val="00433F1E"/>
    <w:rsid w:val="004705DC"/>
    <w:rsid w:val="00491915"/>
    <w:rsid w:val="00523EE1"/>
    <w:rsid w:val="005B4F37"/>
    <w:rsid w:val="005D78C1"/>
    <w:rsid w:val="0088390D"/>
    <w:rsid w:val="008E518F"/>
    <w:rsid w:val="00AB4FDA"/>
    <w:rsid w:val="00C55234"/>
    <w:rsid w:val="00E64E49"/>
    <w:rsid w:val="00E87CF8"/>
    <w:rsid w:val="00ED2DB8"/>
    <w:rsid w:val="00FA6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7FDE110-8D48-4A21-8A7B-84EA588702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552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55234"/>
  </w:style>
  <w:style w:type="character" w:customStyle="1" w:styleId="eop">
    <w:name w:val="eop"/>
    <w:basedOn w:val="DefaultParagraphFont"/>
    <w:rsid w:val="00C55234"/>
  </w:style>
  <w:style w:type="character" w:styleId="Hyperlink">
    <w:name w:val="Hyperlink"/>
    <w:basedOn w:val="DefaultParagraphFont"/>
    <w:uiPriority w:val="99"/>
    <w:unhideWhenUsed/>
    <w:rsid w:val="00C5523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5523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hysio-pedia.com/Clinical_Decision_Making_in_Physiotherapy_Practic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ffectivepractitioner.nes.scot.nhs.uk" TargetMode="External"/><Relationship Id="rId5" Type="http://schemas.openxmlformats.org/officeDocument/2006/relationships/hyperlink" Target="https://movebettergwent.nhs.wales/self_management/good_boost/" TargetMode="External"/><Relationship Id="rId4" Type="http://schemas.openxmlformats.org/officeDocument/2006/relationships/hyperlink" Target="https://www.aarp.org/health/conditions-treatments/info-2022/medical-problems-mimic-dementia.html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</TotalTime>
  <Pages>2</Pages>
  <Words>384</Words>
  <Characters>2192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2571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VICKI Jennings</dc:creator>
  <cp:keywords/>
  <dc:description/>
  <cp:lastModifiedBy>VICKI Jennings</cp:lastModifiedBy>
  <cp:revision>7</cp:revision>
  <dcterms:created xsi:type="dcterms:W3CDTF">2025-01-12T13:03:00Z</dcterms:created>
  <dcterms:modified xsi:type="dcterms:W3CDTF">2025-01-14T23:01:00Z</dcterms:modified>
</cp:coreProperties>
</file>