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rFonts w:eastAsia="Times New Roman"/>
          <w:b/>
          <w:bCs/>
          <w:sz w:val="24"/>
          <w:szCs w:val="24"/>
          <w:lang w:val="en-GB"/>
        </w:rPr>
      </w:pPr>
    </w:p>
    <w:p>
      <w:pPr>
        <w:pStyle w:val="style0"/>
        <w:rPr>
          <w:rFonts w:eastAsia="Times New Roman"/>
          <w:b/>
          <w:bCs/>
          <w:sz w:val="24"/>
          <w:szCs w:val="24"/>
          <w:lang w:val="en-GB"/>
        </w:rPr>
      </w:pPr>
    </w:p>
    <w:p>
      <w:pPr>
        <w:pStyle w:val="style0"/>
        <w:jc w:val="center"/>
        <w:rPr>
          <w:rFonts w:eastAsia="Times New Roman"/>
          <w:b/>
          <w:bCs/>
          <w:sz w:val="24"/>
          <w:szCs w:val="24"/>
          <w:lang w:val="en-GB"/>
        </w:rPr>
      </w:pPr>
      <w:r>
        <w:rPr>
          <w:noProof/>
        </w:rPr>
        <w:drawing>
          <wp:inline distL="0" distT="0" distB="0" distR="0">
            <wp:extent cx="2142490" cy="1158875"/>
            <wp:effectExtent l="0" t="0" r="0" b="3175"/>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2142490" cy="1158875"/>
                    </a:xfrm>
                    <a:prstGeom prst="rect"/>
                  </pic:spPr>
                </pic:pic>
              </a:graphicData>
            </a:graphic>
          </wp:inline>
        </w:drawing>
      </w:r>
    </w:p>
    <w:p>
      <w:pPr>
        <w:pStyle w:val="style0"/>
        <w:spacing w:after="240" w:lineRule="auto" w:line="360"/>
        <w:rPr>
          <w:rFonts w:eastAsia="Times New Roman"/>
          <w:b/>
          <w:bCs/>
          <w:sz w:val="24"/>
          <w:szCs w:val="24"/>
          <w:lang w:val="en-GB"/>
        </w:rPr>
      </w:pPr>
    </w:p>
    <w:p>
      <w:pPr>
        <w:pStyle w:val="style0"/>
        <w:spacing w:after="240" w:lineRule="auto" w:line="360"/>
        <w:jc w:val="center"/>
        <w:rPr>
          <w:rFonts w:eastAsia="Times New Roman"/>
          <w:b/>
          <w:bCs/>
          <w:sz w:val="32"/>
          <w:szCs w:val="32"/>
          <w:lang w:val="en-GB"/>
        </w:rPr>
      </w:pPr>
      <w:r>
        <w:rPr>
          <w:rFonts w:eastAsia="Times New Roman"/>
          <w:b/>
          <w:bCs/>
          <w:sz w:val="32"/>
          <w:szCs w:val="32"/>
          <w:lang w:val="en-GB"/>
        </w:rPr>
        <w:t>Programme: Master of Business Administration</w:t>
      </w:r>
    </w:p>
    <w:p>
      <w:pPr>
        <w:pStyle w:val="style0"/>
        <w:spacing w:after="240" w:lineRule="auto" w:line="360"/>
        <w:jc w:val="center"/>
        <w:rPr>
          <w:rFonts w:eastAsia="Times New Roman"/>
          <w:b/>
          <w:bCs/>
          <w:sz w:val="32"/>
          <w:szCs w:val="32"/>
          <w:lang w:val="en-GB"/>
        </w:rPr>
      </w:pPr>
      <w:r>
        <w:rPr>
          <w:rFonts w:eastAsia="Times New Roman"/>
          <w:b/>
          <w:bCs/>
          <w:sz w:val="32"/>
          <w:szCs w:val="32"/>
          <w:lang w:val="en-GB"/>
        </w:rPr>
        <w:t>Module: Human Capital Management</w:t>
      </w:r>
    </w:p>
    <w:p>
      <w:pPr>
        <w:pStyle w:val="style0"/>
        <w:spacing w:after="240" w:lineRule="auto" w:line="360"/>
        <w:jc w:val="center"/>
        <w:rPr>
          <w:rFonts w:eastAsia="Times New Roman"/>
          <w:b/>
          <w:bCs/>
          <w:sz w:val="32"/>
          <w:szCs w:val="32"/>
          <w:lang w:val="en-GB"/>
        </w:rPr>
      </w:pPr>
      <w:r>
        <w:rPr>
          <w:rFonts w:eastAsia="Times New Roman"/>
          <w:b/>
          <w:bCs/>
          <w:sz w:val="32"/>
          <w:szCs w:val="32"/>
          <w:lang w:val="en-GB"/>
        </w:rPr>
        <w:t xml:space="preserve">Module </w:t>
      </w:r>
      <w:r>
        <w:rPr>
          <w:rFonts w:eastAsia="Times New Roman"/>
          <w:b/>
          <w:bCs/>
          <w:sz w:val="32"/>
          <w:szCs w:val="32"/>
          <w:lang w:val="en-GB"/>
        </w:rPr>
        <w:t>Code</w:t>
      </w:r>
      <w:r>
        <w:rPr>
          <w:rFonts w:eastAsia="Times New Roman"/>
          <w:b/>
          <w:bCs/>
          <w:sz w:val="32"/>
          <w:szCs w:val="32"/>
          <w:lang w:val="en-GB"/>
        </w:rPr>
        <w:t>: LCMB7023</w:t>
      </w:r>
    </w:p>
    <w:p>
      <w:pPr>
        <w:pStyle w:val="style0"/>
        <w:spacing w:after="240" w:lineRule="auto" w:line="360"/>
        <w:jc w:val="center"/>
        <w:rPr>
          <w:rFonts w:eastAsia="Times New Roman"/>
          <w:b/>
          <w:bCs/>
          <w:sz w:val="32"/>
          <w:szCs w:val="32"/>
          <w:lang w:val="en-GB"/>
        </w:rPr>
      </w:pPr>
      <w:r>
        <w:rPr>
          <w:rFonts w:eastAsia="Times New Roman"/>
          <w:b/>
          <w:bCs/>
          <w:sz w:val="32"/>
          <w:szCs w:val="32"/>
          <w:lang w:val="en-GB"/>
        </w:rPr>
        <w:t xml:space="preserve">Assessment Component 1: </w:t>
      </w:r>
      <w:r>
        <w:rPr>
          <w:rFonts w:eastAsia="Times New Roman"/>
          <w:b/>
          <w:bCs/>
          <w:sz w:val="32"/>
          <w:szCs w:val="32"/>
          <w:lang w:val="en-GB"/>
        </w:rPr>
        <w:t xml:space="preserve">Individual </w:t>
      </w:r>
      <w:r>
        <w:rPr>
          <w:rFonts w:eastAsia="Times New Roman"/>
          <w:b/>
          <w:bCs/>
          <w:sz w:val="32"/>
          <w:szCs w:val="32"/>
          <w:lang w:val="en-GB"/>
        </w:rPr>
        <w:t xml:space="preserve">Report – </w:t>
      </w:r>
      <w:r>
        <w:rPr>
          <w:rFonts w:eastAsia="Times New Roman"/>
          <w:b/>
          <w:bCs/>
          <w:sz w:val="32"/>
          <w:szCs w:val="32"/>
          <w:lang w:val="en-GB"/>
        </w:rPr>
        <w:t xml:space="preserve">HR </w:t>
      </w:r>
      <w:r>
        <w:rPr>
          <w:rFonts w:eastAsia="Times New Roman"/>
          <w:b/>
          <w:bCs/>
          <w:sz w:val="32"/>
          <w:szCs w:val="32"/>
          <w:lang w:val="en-GB"/>
        </w:rPr>
        <w:t>Strategy</w:t>
      </w:r>
    </w:p>
    <w:p>
      <w:pPr>
        <w:pStyle w:val="style0"/>
        <w:spacing w:after="240" w:lineRule="auto" w:line="360"/>
        <w:jc w:val="center"/>
        <w:rPr>
          <w:rFonts w:eastAsia="Times New Roman"/>
          <w:b/>
          <w:bCs/>
          <w:sz w:val="32"/>
          <w:szCs w:val="32"/>
          <w:lang w:val="en-GB"/>
        </w:rPr>
      </w:pPr>
      <w:r>
        <w:rPr>
          <w:rFonts w:eastAsia="Times New Roman"/>
          <w:b/>
          <w:bCs/>
          <w:sz w:val="32"/>
          <w:szCs w:val="32"/>
          <w:lang w:val="en-GB"/>
        </w:rPr>
        <w:t xml:space="preserve">Student </w:t>
      </w:r>
      <w:r>
        <w:rPr>
          <w:rFonts w:eastAsia="Times New Roman"/>
          <w:b/>
          <w:bCs/>
          <w:sz w:val="32"/>
          <w:szCs w:val="32"/>
          <w:lang w:val="en-GB"/>
        </w:rPr>
        <w:t xml:space="preserve">Name: </w:t>
      </w:r>
      <w:r>
        <w:rPr>
          <w:rFonts w:eastAsia="Times New Roman"/>
          <w:b/>
          <w:bCs/>
          <w:sz w:val="32"/>
          <w:szCs w:val="32"/>
          <w:lang w:val="en-US"/>
        </w:rPr>
        <w:t>Kartik Mukeshbhai Raval</w:t>
      </w:r>
    </w:p>
    <w:p>
      <w:pPr>
        <w:pStyle w:val="style0"/>
        <w:spacing w:after="240" w:lineRule="auto" w:line="360"/>
        <w:jc w:val="center"/>
        <w:rPr>
          <w:rFonts w:eastAsia="Times New Roman"/>
          <w:b/>
          <w:bCs/>
          <w:sz w:val="32"/>
          <w:szCs w:val="32"/>
          <w:lang w:val="en-GB"/>
        </w:rPr>
      </w:pPr>
      <w:r>
        <w:rPr>
          <w:rFonts w:eastAsia="Times New Roman"/>
          <w:b/>
          <w:bCs/>
          <w:sz w:val="32"/>
          <w:szCs w:val="32"/>
          <w:lang w:val="en-GB"/>
        </w:rPr>
        <w:t xml:space="preserve">Student </w:t>
      </w:r>
      <w:r>
        <w:rPr>
          <w:rFonts w:eastAsia="Times New Roman"/>
          <w:b/>
          <w:bCs/>
          <w:sz w:val="32"/>
          <w:szCs w:val="32"/>
          <w:lang w:val="en-GB"/>
        </w:rPr>
        <w:t xml:space="preserve">Id: </w:t>
      </w:r>
      <w:r>
        <w:rPr>
          <w:rFonts w:eastAsia="Times New Roman"/>
          <w:b/>
          <w:bCs/>
          <w:sz w:val="32"/>
          <w:szCs w:val="32"/>
          <w:lang w:val="en-US"/>
        </w:rPr>
        <w:t>2519361</w:t>
      </w:r>
    </w:p>
    <w:p>
      <w:pPr>
        <w:pStyle w:val="style0"/>
        <w:rPr>
          <w:rFonts w:eastAsia="Times New Roman"/>
          <w:b/>
          <w:bCs/>
          <w:sz w:val="32"/>
          <w:szCs w:val="32"/>
          <w:lang w:val="en-GB"/>
        </w:rPr>
      </w:pPr>
      <w:r>
        <w:rPr>
          <w:rFonts w:eastAsia="Times New Roman"/>
          <w:b/>
          <w:bCs/>
          <w:sz w:val="32"/>
          <w:szCs w:val="32"/>
          <w:lang w:val="en-GB"/>
        </w:rPr>
        <w:br w:type="page"/>
      </w:r>
    </w:p>
    <w:p>
      <w:pPr>
        <w:pStyle w:val="style266"/>
        <w:spacing w:after="240" w:lineRule="auto" w:line="360"/>
        <w:jc w:val="center"/>
        <w:rPr>
          <w:rFonts w:ascii="Arial" w:cs="Arial" w:hAnsi="Arial"/>
          <w:b/>
          <w:color w:val="auto"/>
          <w:sz w:val="24"/>
          <w:szCs w:val="24"/>
        </w:rPr>
      </w:pPr>
      <w:r>
        <w:rPr>
          <w:rFonts w:ascii="Arial" w:cs="Arial" w:hAnsi="Arial"/>
          <w:b/>
          <w:color w:val="auto"/>
          <w:sz w:val="24"/>
          <w:szCs w:val="24"/>
        </w:rPr>
        <w:t>Table of Contents</w:t>
      </w:r>
    </w:p>
    <w:p>
      <w:pPr>
        <w:pStyle w:val="style19"/>
        <w:tabs>
          <w:tab w:val="right" w:leader="dot" w:pos="9019"/>
        </w:tabs>
        <w:spacing w:after="0" w:lineRule="auto" w:line="240"/>
        <w:jc w:val="both"/>
        <w:rPr>
          <w:rFonts w:ascii="Cambria" w:cs="宋体" w:eastAsia="宋体" w:hAnsi="Cambria"/>
          <w:noProof/>
          <w:sz w:val="24"/>
          <w:szCs w:val="24"/>
        </w:rPr>
      </w:pPr>
      <w:r>
        <w:rPr>
          <w:sz w:val="24"/>
          <w:szCs w:val="24"/>
        </w:rPr>
        <w:fldChar w:fldCharType="begin"/>
      </w:r>
      <w:r>
        <w:rPr>
          <w:sz w:val="24"/>
          <w:szCs w:val="24"/>
        </w:rPr>
        <w:instrText xml:space="preserve"> TOC \o "1-3" \h \z \u </w:instrText>
      </w:r>
      <w:r>
        <w:rPr>
          <w:sz w:val="24"/>
          <w:szCs w:val="24"/>
        </w:rPr>
        <w:fldChar w:fldCharType="separate"/>
      </w:r>
      <w:r>
        <w:rPr/>
        <w:fldChar w:fldCharType="begin"/>
      </w:r>
      <w:r>
        <w:instrText xml:space="preserve"> HYPERLINK \l "_Toc224570640" </w:instrText>
      </w:r>
      <w:r>
        <w:rPr/>
        <w:fldChar w:fldCharType="separate"/>
      </w:r>
      <w:r>
        <w:rPr>
          <w:rStyle w:val="style85"/>
          <w:noProof/>
          <w:sz w:val="24"/>
          <w:szCs w:val="24"/>
          <w:lang w:val="en-GB"/>
        </w:rPr>
        <w:t>Part 1: Building a Culture of Innovation &amp; Future Work Practices</w:t>
      </w:r>
      <w:r>
        <w:rPr>
          <w:noProof/>
          <w:webHidden/>
          <w:sz w:val="24"/>
          <w:szCs w:val="24"/>
        </w:rPr>
        <w:tab/>
      </w:r>
      <w:r>
        <w:rPr>
          <w:noProof/>
          <w:webHidden/>
          <w:sz w:val="24"/>
          <w:szCs w:val="24"/>
        </w:rPr>
        <w:fldChar w:fldCharType="begin"/>
      </w:r>
      <w:r>
        <w:rPr>
          <w:noProof/>
          <w:webHidden/>
          <w:sz w:val="24"/>
          <w:szCs w:val="24"/>
        </w:rPr>
        <w:instrText xml:space="preserve"> PAGEREF _Toc224570640 \h </w:instrText>
      </w:r>
      <w:r>
        <w:rPr>
          <w:noProof/>
          <w:webHidden/>
          <w:sz w:val="24"/>
          <w:szCs w:val="24"/>
        </w:rPr>
        <w:fldChar w:fldCharType="separate"/>
      </w:r>
      <w:r>
        <w:rPr>
          <w:noProof/>
          <w:webHidden/>
          <w:sz w:val="24"/>
          <w:szCs w:val="24"/>
        </w:rPr>
        <w:t>2</w:t>
      </w:r>
      <w:r>
        <w:rPr>
          <w:noProof/>
          <w:webHidden/>
          <w:sz w:val="24"/>
          <w:szCs w:val="24"/>
        </w:rPr>
        <w:fldChar w:fldCharType="end"/>
      </w:r>
      <w:r>
        <w:rPr/>
        <w:fldChar w:fldCharType="end"/>
      </w:r>
    </w:p>
    <w:p>
      <w:pPr>
        <w:pStyle w:val="style20"/>
        <w:spacing w:after="0" w:lineRule="auto" w:line="240"/>
        <w:rPr>
          <w:rFonts w:ascii="Cambria" w:cs="宋体" w:eastAsia="宋体" w:hAnsi="Cambria"/>
          <w:noProof/>
          <w:sz w:val="24"/>
          <w:szCs w:val="24"/>
        </w:rPr>
      </w:pPr>
      <w:r>
        <w:rPr/>
        <w:fldChar w:fldCharType="begin"/>
      </w:r>
      <w:r>
        <w:instrText xml:space="preserve"> HYPERLINK \l "_Toc224570641" </w:instrText>
      </w:r>
      <w:r>
        <w:rPr/>
        <w:fldChar w:fldCharType="separate"/>
      </w:r>
      <w:r>
        <w:rPr>
          <w:rStyle w:val="style85"/>
          <w:noProof/>
          <w:sz w:val="24"/>
          <w:szCs w:val="24"/>
          <w:lang w:val="en-GB"/>
        </w:rPr>
        <w:t>1. Introduction</w:t>
      </w:r>
      <w:r>
        <w:rPr>
          <w:noProof/>
          <w:webHidden/>
          <w:sz w:val="24"/>
          <w:szCs w:val="24"/>
        </w:rPr>
        <w:tab/>
      </w:r>
      <w:r>
        <w:rPr>
          <w:noProof/>
          <w:webHidden/>
          <w:sz w:val="24"/>
          <w:szCs w:val="24"/>
        </w:rPr>
        <w:fldChar w:fldCharType="begin"/>
      </w:r>
      <w:r>
        <w:rPr>
          <w:noProof/>
          <w:webHidden/>
          <w:sz w:val="24"/>
          <w:szCs w:val="24"/>
        </w:rPr>
        <w:instrText xml:space="preserve"> PAGEREF _Toc224570641 \h </w:instrText>
      </w:r>
      <w:r>
        <w:rPr>
          <w:noProof/>
          <w:webHidden/>
          <w:sz w:val="24"/>
          <w:szCs w:val="24"/>
        </w:rPr>
        <w:fldChar w:fldCharType="separate"/>
      </w:r>
      <w:r>
        <w:rPr>
          <w:noProof/>
          <w:webHidden/>
          <w:sz w:val="24"/>
          <w:szCs w:val="24"/>
        </w:rPr>
        <w:t>2</w:t>
      </w:r>
      <w:r>
        <w:rPr>
          <w:noProof/>
          <w:webHidden/>
          <w:sz w:val="24"/>
          <w:szCs w:val="24"/>
        </w:rPr>
        <w:fldChar w:fldCharType="end"/>
      </w:r>
      <w:r>
        <w:rPr/>
        <w:fldChar w:fldCharType="end"/>
      </w:r>
    </w:p>
    <w:p>
      <w:pPr>
        <w:pStyle w:val="style20"/>
        <w:spacing w:after="0" w:lineRule="auto" w:line="240"/>
        <w:rPr>
          <w:rFonts w:ascii="Cambria" w:cs="宋体" w:eastAsia="宋体" w:hAnsi="Cambria"/>
          <w:noProof/>
          <w:sz w:val="24"/>
          <w:szCs w:val="24"/>
        </w:rPr>
      </w:pPr>
      <w:r>
        <w:rPr/>
        <w:fldChar w:fldCharType="begin"/>
      </w:r>
      <w:r>
        <w:instrText xml:space="preserve"> HYPERLINK \l "_Toc224570642" </w:instrText>
      </w:r>
      <w:r>
        <w:rPr/>
        <w:fldChar w:fldCharType="separate"/>
      </w:r>
      <w:r>
        <w:rPr>
          <w:rStyle w:val="style85"/>
          <w:noProof/>
          <w:sz w:val="24"/>
          <w:szCs w:val="24"/>
          <w:lang w:val="en-GB"/>
        </w:rPr>
        <w:t>2. Current Culture and Work Practices in Tech Companies</w:t>
      </w:r>
      <w:r>
        <w:rPr>
          <w:noProof/>
          <w:webHidden/>
          <w:sz w:val="24"/>
          <w:szCs w:val="24"/>
        </w:rPr>
        <w:tab/>
      </w:r>
      <w:r>
        <w:rPr>
          <w:noProof/>
          <w:webHidden/>
          <w:sz w:val="24"/>
          <w:szCs w:val="24"/>
        </w:rPr>
        <w:fldChar w:fldCharType="begin"/>
      </w:r>
      <w:r>
        <w:rPr>
          <w:noProof/>
          <w:webHidden/>
          <w:sz w:val="24"/>
          <w:szCs w:val="24"/>
        </w:rPr>
        <w:instrText xml:space="preserve"> PAGEREF _Toc224570642 \h </w:instrText>
      </w:r>
      <w:r>
        <w:rPr>
          <w:noProof/>
          <w:webHidden/>
          <w:sz w:val="24"/>
          <w:szCs w:val="24"/>
        </w:rPr>
        <w:fldChar w:fldCharType="separate"/>
      </w:r>
      <w:r>
        <w:rPr>
          <w:noProof/>
          <w:webHidden/>
          <w:sz w:val="24"/>
          <w:szCs w:val="24"/>
        </w:rPr>
        <w:t>3</w:t>
      </w:r>
      <w:r>
        <w:rPr>
          <w:noProof/>
          <w:webHidden/>
          <w:sz w:val="24"/>
          <w:szCs w:val="24"/>
        </w:rPr>
        <w:fldChar w:fldCharType="end"/>
      </w:r>
      <w:r>
        <w:rPr/>
        <w:fldChar w:fldCharType="end"/>
      </w:r>
    </w:p>
    <w:p>
      <w:pPr>
        <w:pStyle w:val="style21"/>
        <w:tabs>
          <w:tab w:val="right" w:leader="dot" w:pos="9019"/>
        </w:tabs>
        <w:spacing w:after="0" w:lineRule="auto" w:line="240"/>
        <w:jc w:val="both"/>
        <w:rPr>
          <w:rFonts w:ascii="Cambria" w:cs="宋体" w:eastAsia="宋体" w:hAnsi="Cambria"/>
          <w:noProof/>
          <w:sz w:val="24"/>
          <w:szCs w:val="24"/>
        </w:rPr>
      </w:pPr>
      <w:r>
        <w:rPr/>
        <w:fldChar w:fldCharType="begin"/>
      </w:r>
      <w:r>
        <w:instrText xml:space="preserve"> HYPERLINK \l "_Toc224570643" </w:instrText>
      </w:r>
      <w:r>
        <w:rPr/>
        <w:fldChar w:fldCharType="separate"/>
      </w:r>
      <w:r>
        <w:rPr>
          <w:rStyle w:val="style85"/>
          <w:noProof/>
          <w:sz w:val="24"/>
          <w:szCs w:val="24"/>
          <w:lang w:val="en-GB"/>
        </w:rPr>
        <w:t>2.1 Innovation-Oriented Culture</w:t>
      </w:r>
      <w:r>
        <w:rPr>
          <w:noProof/>
          <w:webHidden/>
          <w:sz w:val="24"/>
          <w:szCs w:val="24"/>
        </w:rPr>
        <w:tab/>
      </w:r>
      <w:r>
        <w:rPr>
          <w:noProof/>
          <w:webHidden/>
          <w:sz w:val="24"/>
          <w:szCs w:val="24"/>
        </w:rPr>
        <w:fldChar w:fldCharType="begin"/>
      </w:r>
      <w:r>
        <w:rPr>
          <w:noProof/>
          <w:webHidden/>
          <w:sz w:val="24"/>
          <w:szCs w:val="24"/>
        </w:rPr>
        <w:instrText xml:space="preserve"> PAGEREF _Toc224570643 \h </w:instrText>
      </w:r>
      <w:r>
        <w:rPr>
          <w:noProof/>
          <w:webHidden/>
          <w:sz w:val="24"/>
          <w:szCs w:val="24"/>
        </w:rPr>
        <w:fldChar w:fldCharType="separate"/>
      </w:r>
      <w:r>
        <w:rPr>
          <w:noProof/>
          <w:webHidden/>
          <w:sz w:val="24"/>
          <w:szCs w:val="24"/>
        </w:rPr>
        <w:t>3</w:t>
      </w:r>
      <w:r>
        <w:rPr>
          <w:noProof/>
          <w:webHidden/>
          <w:sz w:val="24"/>
          <w:szCs w:val="24"/>
        </w:rPr>
        <w:fldChar w:fldCharType="end"/>
      </w:r>
      <w:r>
        <w:rPr/>
        <w:fldChar w:fldCharType="end"/>
      </w:r>
    </w:p>
    <w:p>
      <w:pPr>
        <w:pStyle w:val="style21"/>
        <w:tabs>
          <w:tab w:val="right" w:leader="dot" w:pos="9019"/>
        </w:tabs>
        <w:spacing w:after="0" w:lineRule="auto" w:line="240"/>
        <w:jc w:val="both"/>
        <w:rPr>
          <w:rFonts w:ascii="Cambria" w:cs="宋体" w:eastAsia="宋体" w:hAnsi="Cambria"/>
          <w:noProof/>
          <w:sz w:val="24"/>
          <w:szCs w:val="24"/>
        </w:rPr>
      </w:pPr>
      <w:r>
        <w:rPr/>
        <w:fldChar w:fldCharType="begin"/>
      </w:r>
      <w:r>
        <w:instrText xml:space="preserve"> HYPERLINK \l "_Toc224570644" </w:instrText>
      </w:r>
      <w:r>
        <w:rPr/>
        <w:fldChar w:fldCharType="separate"/>
      </w:r>
      <w:r>
        <w:rPr>
          <w:rStyle w:val="style85"/>
          <w:noProof/>
          <w:sz w:val="24"/>
          <w:szCs w:val="24"/>
          <w:lang w:val="en-GB"/>
        </w:rPr>
        <w:t>2.2 Cross-Functional Collaboration</w:t>
      </w:r>
      <w:r>
        <w:rPr>
          <w:noProof/>
          <w:webHidden/>
          <w:sz w:val="24"/>
          <w:szCs w:val="24"/>
        </w:rPr>
        <w:tab/>
      </w:r>
      <w:r>
        <w:rPr>
          <w:noProof/>
          <w:webHidden/>
          <w:sz w:val="24"/>
          <w:szCs w:val="24"/>
        </w:rPr>
        <w:fldChar w:fldCharType="begin"/>
      </w:r>
      <w:r>
        <w:rPr>
          <w:noProof/>
          <w:webHidden/>
          <w:sz w:val="24"/>
          <w:szCs w:val="24"/>
        </w:rPr>
        <w:instrText xml:space="preserve"> PAGEREF _Toc224570644 \h </w:instrText>
      </w:r>
      <w:r>
        <w:rPr>
          <w:noProof/>
          <w:webHidden/>
          <w:sz w:val="24"/>
          <w:szCs w:val="24"/>
        </w:rPr>
        <w:fldChar w:fldCharType="separate"/>
      </w:r>
      <w:r>
        <w:rPr>
          <w:noProof/>
          <w:webHidden/>
          <w:sz w:val="24"/>
          <w:szCs w:val="24"/>
        </w:rPr>
        <w:t>3</w:t>
      </w:r>
      <w:r>
        <w:rPr>
          <w:noProof/>
          <w:webHidden/>
          <w:sz w:val="24"/>
          <w:szCs w:val="24"/>
        </w:rPr>
        <w:fldChar w:fldCharType="end"/>
      </w:r>
      <w:r>
        <w:rPr/>
        <w:fldChar w:fldCharType="end"/>
      </w:r>
    </w:p>
    <w:p>
      <w:pPr>
        <w:pStyle w:val="style21"/>
        <w:tabs>
          <w:tab w:val="right" w:leader="dot" w:pos="9019"/>
        </w:tabs>
        <w:spacing w:after="0" w:lineRule="auto" w:line="240"/>
        <w:jc w:val="both"/>
        <w:rPr>
          <w:rFonts w:ascii="Cambria" w:cs="宋体" w:eastAsia="宋体" w:hAnsi="Cambria"/>
          <w:noProof/>
          <w:sz w:val="24"/>
          <w:szCs w:val="24"/>
        </w:rPr>
      </w:pPr>
      <w:r>
        <w:rPr/>
        <w:fldChar w:fldCharType="begin"/>
      </w:r>
      <w:r>
        <w:instrText xml:space="preserve"> HYPERLINK \l "_Toc224570645" </w:instrText>
      </w:r>
      <w:r>
        <w:rPr/>
        <w:fldChar w:fldCharType="separate"/>
      </w:r>
      <w:r>
        <w:rPr>
          <w:rStyle w:val="style85"/>
          <w:noProof/>
          <w:sz w:val="24"/>
          <w:szCs w:val="24"/>
          <w:lang w:val="en-GB"/>
        </w:rPr>
        <w:t>2.3 Agile Work Structures</w:t>
      </w:r>
      <w:r>
        <w:rPr>
          <w:noProof/>
          <w:webHidden/>
          <w:sz w:val="24"/>
          <w:szCs w:val="24"/>
        </w:rPr>
        <w:tab/>
      </w:r>
      <w:r>
        <w:rPr>
          <w:noProof/>
          <w:webHidden/>
          <w:sz w:val="24"/>
          <w:szCs w:val="24"/>
        </w:rPr>
        <w:fldChar w:fldCharType="begin"/>
      </w:r>
      <w:r>
        <w:rPr>
          <w:noProof/>
          <w:webHidden/>
          <w:sz w:val="24"/>
          <w:szCs w:val="24"/>
        </w:rPr>
        <w:instrText xml:space="preserve"> PAGEREF _Toc224570645 \h </w:instrText>
      </w:r>
      <w:r>
        <w:rPr>
          <w:noProof/>
          <w:webHidden/>
          <w:sz w:val="24"/>
          <w:szCs w:val="24"/>
        </w:rPr>
        <w:fldChar w:fldCharType="separate"/>
      </w:r>
      <w:r>
        <w:rPr>
          <w:noProof/>
          <w:webHidden/>
          <w:sz w:val="24"/>
          <w:szCs w:val="24"/>
        </w:rPr>
        <w:t>4</w:t>
      </w:r>
      <w:r>
        <w:rPr>
          <w:noProof/>
          <w:webHidden/>
          <w:sz w:val="24"/>
          <w:szCs w:val="24"/>
        </w:rPr>
        <w:fldChar w:fldCharType="end"/>
      </w:r>
      <w:r>
        <w:rPr/>
        <w:fldChar w:fldCharType="end"/>
      </w:r>
    </w:p>
    <w:p>
      <w:pPr>
        <w:pStyle w:val="style20"/>
        <w:spacing w:after="0" w:lineRule="auto" w:line="240"/>
        <w:rPr>
          <w:rFonts w:ascii="Cambria" w:cs="宋体" w:eastAsia="宋体" w:hAnsi="Cambria"/>
          <w:noProof/>
          <w:sz w:val="24"/>
          <w:szCs w:val="24"/>
        </w:rPr>
      </w:pPr>
      <w:r>
        <w:rPr/>
        <w:fldChar w:fldCharType="begin"/>
      </w:r>
      <w:r>
        <w:instrText xml:space="preserve"> HYPERLINK \l "_Toc224570646" </w:instrText>
      </w:r>
      <w:r>
        <w:rPr/>
        <w:fldChar w:fldCharType="separate"/>
      </w:r>
      <w:r>
        <w:rPr>
          <w:rStyle w:val="style85"/>
          <w:noProof/>
          <w:sz w:val="24"/>
          <w:szCs w:val="24"/>
          <w:lang w:val="en-GB"/>
        </w:rPr>
        <w:t>3. Cultural and Structural Initiatives to Embed Innovation</w:t>
      </w:r>
      <w:r>
        <w:rPr>
          <w:noProof/>
          <w:webHidden/>
          <w:sz w:val="24"/>
          <w:szCs w:val="24"/>
        </w:rPr>
        <w:tab/>
      </w:r>
      <w:r>
        <w:rPr>
          <w:noProof/>
          <w:webHidden/>
          <w:sz w:val="24"/>
          <w:szCs w:val="24"/>
        </w:rPr>
        <w:fldChar w:fldCharType="begin"/>
      </w:r>
      <w:r>
        <w:rPr>
          <w:noProof/>
          <w:webHidden/>
          <w:sz w:val="24"/>
          <w:szCs w:val="24"/>
        </w:rPr>
        <w:instrText xml:space="preserve"> PAGEREF _Toc224570646 \h </w:instrText>
      </w:r>
      <w:r>
        <w:rPr>
          <w:noProof/>
          <w:webHidden/>
          <w:sz w:val="24"/>
          <w:szCs w:val="24"/>
        </w:rPr>
        <w:fldChar w:fldCharType="separate"/>
      </w:r>
      <w:r>
        <w:rPr>
          <w:noProof/>
          <w:webHidden/>
          <w:sz w:val="24"/>
          <w:szCs w:val="24"/>
        </w:rPr>
        <w:t>4</w:t>
      </w:r>
      <w:r>
        <w:rPr>
          <w:noProof/>
          <w:webHidden/>
          <w:sz w:val="24"/>
          <w:szCs w:val="24"/>
        </w:rPr>
        <w:fldChar w:fldCharType="end"/>
      </w:r>
      <w:r>
        <w:rPr/>
        <w:fldChar w:fldCharType="end"/>
      </w:r>
    </w:p>
    <w:p>
      <w:pPr>
        <w:pStyle w:val="style21"/>
        <w:tabs>
          <w:tab w:val="right" w:leader="dot" w:pos="9019"/>
        </w:tabs>
        <w:spacing w:after="0" w:lineRule="auto" w:line="240"/>
        <w:jc w:val="both"/>
        <w:rPr>
          <w:rFonts w:ascii="Cambria" w:cs="宋体" w:eastAsia="宋体" w:hAnsi="Cambria"/>
          <w:noProof/>
          <w:sz w:val="24"/>
          <w:szCs w:val="24"/>
        </w:rPr>
      </w:pPr>
      <w:r>
        <w:rPr/>
        <w:fldChar w:fldCharType="begin"/>
      </w:r>
      <w:r>
        <w:instrText xml:space="preserve"> HYPERLINK \l "_Toc224570647" </w:instrText>
      </w:r>
      <w:r>
        <w:rPr/>
        <w:fldChar w:fldCharType="separate"/>
      </w:r>
      <w:r>
        <w:rPr>
          <w:rStyle w:val="style85"/>
          <w:noProof/>
          <w:sz w:val="24"/>
          <w:szCs w:val="24"/>
          <w:lang w:val="en-GB"/>
        </w:rPr>
        <w:t>3.1 Innovation Sprints</w:t>
      </w:r>
      <w:r>
        <w:rPr>
          <w:noProof/>
          <w:webHidden/>
          <w:sz w:val="24"/>
          <w:szCs w:val="24"/>
        </w:rPr>
        <w:tab/>
      </w:r>
      <w:r>
        <w:rPr>
          <w:noProof/>
          <w:webHidden/>
          <w:sz w:val="24"/>
          <w:szCs w:val="24"/>
        </w:rPr>
        <w:fldChar w:fldCharType="begin"/>
      </w:r>
      <w:r>
        <w:rPr>
          <w:noProof/>
          <w:webHidden/>
          <w:sz w:val="24"/>
          <w:szCs w:val="24"/>
        </w:rPr>
        <w:instrText xml:space="preserve"> PAGEREF _Toc224570647 \h </w:instrText>
      </w:r>
      <w:r>
        <w:rPr>
          <w:noProof/>
          <w:webHidden/>
          <w:sz w:val="24"/>
          <w:szCs w:val="24"/>
        </w:rPr>
        <w:fldChar w:fldCharType="separate"/>
      </w:r>
      <w:r>
        <w:rPr>
          <w:noProof/>
          <w:webHidden/>
          <w:sz w:val="24"/>
          <w:szCs w:val="24"/>
        </w:rPr>
        <w:t>4</w:t>
      </w:r>
      <w:r>
        <w:rPr>
          <w:noProof/>
          <w:webHidden/>
          <w:sz w:val="24"/>
          <w:szCs w:val="24"/>
        </w:rPr>
        <w:fldChar w:fldCharType="end"/>
      </w:r>
      <w:r>
        <w:rPr/>
        <w:fldChar w:fldCharType="end"/>
      </w:r>
    </w:p>
    <w:p>
      <w:pPr>
        <w:pStyle w:val="style21"/>
        <w:tabs>
          <w:tab w:val="right" w:leader="dot" w:pos="9019"/>
        </w:tabs>
        <w:spacing w:after="0" w:lineRule="auto" w:line="240"/>
        <w:jc w:val="both"/>
        <w:rPr>
          <w:rFonts w:ascii="Cambria" w:cs="宋体" w:eastAsia="宋体" w:hAnsi="Cambria"/>
          <w:noProof/>
          <w:sz w:val="24"/>
          <w:szCs w:val="24"/>
        </w:rPr>
      </w:pPr>
      <w:r>
        <w:rPr/>
        <w:fldChar w:fldCharType="begin"/>
      </w:r>
      <w:r>
        <w:instrText xml:space="preserve"> HYPERLINK \l "_Toc224570648" </w:instrText>
      </w:r>
      <w:r>
        <w:rPr/>
        <w:fldChar w:fldCharType="separate"/>
      </w:r>
      <w:r>
        <w:rPr>
          <w:rStyle w:val="style85"/>
          <w:noProof/>
          <w:sz w:val="24"/>
          <w:szCs w:val="24"/>
          <w:lang w:val="en-GB"/>
        </w:rPr>
        <w:t>3.2 Intrapreneurship Programs</w:t>
      </w:r>
      <w:r>
        <w:rPr>
          <w:noProof/>
          <w:webHidden/>
          <w:sz w:val="24"/>
          <w:szCs w:val="24"/>
        </w:rPr>
        <w:tab/>
      </w:r>
      <w:r>
        <w:rPr>
          <w:noProof/>
          <w:webHidden/>
          <w:sz w:val="24"/>
          <w:szCs w:val="24"/>
        </w:rPr>
        <w:fldChar w:fldCharType="begin"/>
      </w:r>
      <w:r>
        <w:rPr>
          <w:noProof/>
          <w:webHidden/>
          <w:sz w:val="24"/>
          <w:szCs w:val="24"/>
        </w:rPr>
        <w:instrText xml:space="preserve"> PAGEREF _Toc224570648 \h </w:instrText>
      </w:r>
      <w:r>
        <w:rPr>
          <w:noProof/>
          <w:webHidden/>
          <w:sz w:val="24"/>
          <w:szCs w:val="24"/>
        </w:rPr>
        <w:fldChar w:fldCharType="separate"/>
      </w:r>
      <w:r>
        <w:rPr>
          <w:noProof/>
          <w:webHidden/>
          <w:sz w:val="24"/>
          <w:szCs w:val="24"/>
        </w:rPr>
        <w:t>5</w:t>
      </w:r>
      <w:r>
        <w:rPr>
          <w:noProof/>
          <w:webHidden/>
          <w:sz w:val="24"/>
          <w:szCs w:val="24"/>
        </w:rPr>
        <w:fldChar w:fldCharType="end"/>
      </w:r>
      <w:r>
        <w:rPr/>
        <w:fldChar w:fldCharType="end"/>
      </w:r>
    </w:p>
    <w:p>
      <w:pPr>
        <w:pStyle w:val="style21"/>
        <w:tabs>
          <w:tab w:val="right" w:leader="dot" w:pos="9019"/>
        </w:tabs>
        <w:spacing w:after="0" w:lineRule="auto" w:line="240"/>
        <w:jc w:val="both"/>
        <w:rPr>
          <w:rFonts w:ascii="Cambria" w:cs="宋体" w:eastAsia="宋体" w:hAnsi="Cambria"/>
          <w:noProof/>
          <w:sz w:val="24"/>
          <w:szCs w:val="24"/>
        </w:rPr>
      </w:pPr>
      <w:r>
        <w:rPr/>
        <w:fldChar w:fldCharType="begin"/>
      </w:r>
      <w:r>
        <w:instrText xml:space="preserve"> HYPERLINK \l "_Toc224570649" </w:instrText>
      </w:r>
      <w:r>
        <w:rPr/>
        <w:fldChar w:fldCharType="separate"/>
      </w:r>
      <w:r>
        <w:rPr>
          <w:rStyle w:val="style85"/>
          <w:noProof/>
          <w:sz w:val="24"/>
          <w:szCs w:val="24"/>
          <w:lang w:val="en-GB"/>
        </w:rPr>
        <w:t>3.3 Cross-Functional Innovation Teams</w:t>
      </w:r>
      <w:r>
        <w:rPr>
          <w:noProof/>
          <w:webHidden/>
          <w:sz w:val="24"/>
          <w:szCs w:val="24"/>
        </w:rPr>
        <w:tab/>
      </w:r>
      <w:r>
        <w:rPr>
          <w:noProof/>
          <w:webHidden/>
          <w:sz w:val="24"/>
          <w:szCs w:val="24"/>
        </w:rPr>
        <w:fldChar w:fldCharType="begin"/>
      </w:r>
      <w:r>
        <w:rPr>
          <w:noProof/>
          <w:webHidden/>
          <w:sz w:val="24"/>
          <w:szCs w:val="24"/>
        </w:rPr>
        <w:instrText xml:space="preserve"> PAGEREF _Toc224570649 \h </w:instrText>
      </w:r>
      <w:r>
        <w:rPr>
          <w:noProof/>
          <w:webHidden/>
          <w:sz w:val="24"/>
          <w:szCs w:val="24"/>
        </w:rPr>
        <w:fldChar w:fldCharType="separate"/>
      </w:r>
      <w:r>
        <w:rPr>
          <w:noProof/>
          <w:webHidden/>
          <w:sz w:val="24"/>
          <w:szCs w:val="24"/>
        </w:rPr>
        <w:t>5</w:t>
      </w:r>
      <w:r>
        <w:rPr>
          <w:noProof/>
          <w:webHidden/>
          <w:sz w:val="24"/>
          <w:szCs w:val="24"/>
        </w:rPr>
        <w:fldChar w:fldCharType="end"/>
      </w:r>
      <w:r>
        <w:rPr/>
        <w:fldChar w:fldCharType="end"/>
      </w:r>
    </w:p>
    <w:p>
      <w:pPr>
        <w:pStyle w:val="style20"/>
        <w:spacing w:after="0" w:lineRule="auto" w:line="240"/>
        <w:rPr>
          <w:rFonts w:ascii="Cambria" w:cs="宋体" w:eastAsia="宋体" w:hAnsi="Cambria"/>
          <w:noProof/>
          <w:sz w:val="24"/>
          <w:szCs w:val="24"/>
        </w:rPr>
      </w:pPr>
      <w:r>
        <w:rPr/>
        <w:fldChar w:fldCharType="begin"/>
      </w:r>
      <w:r>
        <w:instrText xml:space="preserve"> HYPERLINK \l "_Toc224570650" </w:instrText>
      </w:r>
      <w:r>
        <w:rPr/>
        <w:fldChar w:fldCharType="separate"/>
      </w:r>
      <w:r>
        <w:rPr>
          <w:rStyle w:val="style85"/>
          <w:noProof/>
          <w:sz w:val="24"/>
          <w:szCs w:val="24"/>
          <w:lang w:val="en-GB"/>
        </w:rPr>
        <w:t>4. Future-of-Work Model</w:t>
      </w:r>
      <w:r>
        <w:rPr>
          <w:noProof/>
          <w:webHidden/>
          <w:sz w:val="24"/>
          <w:szCs w:val="24"/>
        </w:rPr>
        <w:tab/>
      </w:r>
      <w:r>
        <w:rPr>
          <w:noProof/>
          <w:webHidden/>
          <w:sz w:val="24"/>
          <w:szCs w:val="24"/>
        </w:rPr>
        <w:fldChar w:fldCharType="begin"/>
      </w:r>
      <w:r>
        <w:rPr>
          <w:noProof/>
          <w:webHidden/>
          <w:sz w:val="24"/>
          <w:szCs w:val="24"/>
        </w:rPr>
        <w:instrText xml:space="preserve"> PAGEREF _Toc224570650 \h </w:instrText>
      </w:r>
      <w:r>
        <w:rPr>
          <w:noProof/>
          <w:webHidden/>
          <w:sz w:val="24"/>
          <w:szCs w:val="24"/>
        </w:rPr>
        <w:fldChar w:fldCharType="separate"/>
      </w:r>
      <w:r>
        <w:rPr>
          <w:noProof/>
          <w:webHidden/>
          <w:sz w:val="24"/>
          <w:szCs w:val="24"/>
        </w:rPr>
        <w:t>6</w:t>
      </w:r>
      <w:r>
        <w:rPr>
          <w:noProof/>
          <w:webHidden/>
          <w:sz w:val="24"/>
          <w:szCs w:val="24"/>
        </w:rPr>
        <w:fldChar w:fldCharType="end"/>
      </w:r>
      <w:r>
        <w:rPr/>
        <w:fldChar w:fldCharType="end"/>
      </w:r>
    </w:p>
    <w:p>
      <w:pPr>
        <w:pStyle w:val="style21"/>
        <w:tabs>
          <w:tab w:val="right" w:leader="dot" w:pos="9019"/>
        </w:tabs>
        <w:spacing w:after="0" w:lineRule="auto" w:line="240"/>
        <w:jc w:val="both"/>
        <w:rPr>
          <w:rFonts w:ascii="Cambria" w:cs="宋体" w:eastAsia="宋体" w:hAnsi="Cambria"/>
          <w:noProof/>
          <w:sz w:val="24"/>
          <w:szCs w:val="24"/>
        </w:rPr>
      </w:pPr>
      <w:r>
        <w:rPr/>
        <w:fldChar w:fldCharType="begin"/>
      </w:r>
      <w:r>
        <w:instrText xml:space="preserve"> HYPERLINK \l "_Toc224570651" </w:instrText>
      </w:r>
      <w:r>
        <w:rPr/>
        <w:fldChar w:fldCharType="separate"/>
      </w:r>
      <w:r>
        <w:rPr>
          <w:rStyle w:val="style85"/>
          <w:noProof/>
          <w:sz w:val="24"/>
          <w:szCs w:val="24"/>
          <w:lang w:val="en-GB"/>
        </w:rPr>
        <w:t>4.1 Hybrid Work Structure</w:t>
      </w:r>
      <w:r>
        <w:rPr>
          <w:noProof/>
          <w:webHidden/>
          <w:sz w:val="24"/>
          <w:szCs w:val="24"/>
        </w:rPr>
        <w:tab/>
      </w:r>
      <w:r>
        <w:rPr>
          <w:noProof/>
          <w:webHidden/>
          <w:sz w:val="24"/>
          <w:szCs w:val="24"/>
        </w:rPr>
        <w:fldChar w:fldCharType="begin"/>
      </w:r>
      <w:r>
        <w:rPr>
          <w:noProof/>
          <w:webHidden/>
          <w:sz w:val="24"/>
          <w:szCs w:val="24"/>
        </w:rPr>
        <w:instrText xml:space="preserve"> PAGEREF _Toc224570651 \h </w:instrText>
      </w:r>
      <w:r>
        <w:rPr>
          <w:noProof/>
          <w:webHidden/>
          <w:sz w:val="24"/>
          <w:szCs w:val="24"/>
        </w:rPr>
        <w:fldChar w:fldCharType="separate"/>
      </w:r>
      <w:r>
        <w:rPr>
          <w:noProof/>
          <w:webHidden/>
          <w:sz w:val="24"/>
          <w:szCs w:val="24"/>
        </w:rPr>
        <w:t>6</w:t>
      </w:r>
      <w:r>
        <w:rPr>
          <w:noProof/>
          <w:webHidden/>
          <w:sz w:val="24"/>
          <w:szCs w:val="24"/>
        </w:rPr>
        <w:fldChar w:fldCharType="end"/>
      </w:r>
      <w:r>
        <w:rPr/>
        <w:fldChar w:fldCharType="end"/>
      </w:r>
    </w:p>
    <w:p>
      <w:pPr>
        <w:pStyle w:val="style21"/>
        <w:tabs>
          <w:tab w:val="right" w:leader="dot" w:pos="9019"/>
        </w:tabs>
        <w:spacing w:after="0" w:lineRule="auto" w:line="240"/>
        <w:jc w:val="both"/>
        <w:rPr>
          <w:rFonts w:ascii="Cambria" w:cs="宋体" w:eastAsia="宋体" w:hAnsi="Cambria"/>
          <w:noProof/>
          <w:sz w:val="24"/>
          <w:szCs w:val="24"/>
        </w:rPr>
      </w:pPr>
      <w:r>
        <w:rPr/>
        <w:fldChar w:fldCharType="begin"/>
      </w:r>
      <w:r>
        <w:instrText xml:space="preserve"> HYPERLINK \l "_Toc224570652" </w:instrText>
      </w:r>
      <w:r>
        <w:rPr/>
        <w:fldChar w:fldCharType="separate"/>
      </w:r>
      <w:r>
        <w:rPr>
          <w:rStyle w:val="style85"/>
          <w:noProof/>
          <w:sz w:val="24"/>
          <w:szCs w:val="24"/>
          <w:lang w:val="en-GB"/>
        </w:rPr>
        <w:t>4.2 Digital Collaboration Tools</w:t>
      </w:r>
      <w:r>
        <w:rPr>
          <w:noProof/>
          <w:webHidden/>
          <w:sz w:val="24"/>
          <w:szCs w:val="24"/>
        </w:rPr>
        <w:tab/>
      </w:r>
      <w:r>
        <w:rPr>
          <w:noProof/>
          <w:webHidden/>
          <w:sz w:val="24"/>
          <w:szCs w:val="24"/>
        </w:rPr>
        <w:fldChar w:fldCharType="begin"/>
      </w:r>
      <w:r>
        <w:rPr>
          <w:noProof/>
          <w:webHidden/>
          <w:sz w:val="24"/>
          <w:szCs w:val="24"/>
        </w:rPr>
        <w:instrText xml:space="preserve"> PAGEREF _Toc224570652 \h </w:instrText>
      </w:r>
      <w:r>
        <w:rPr>
          <w:noProof/>
          <w:webHidden/>
          <w:sz w:val="24"/>
          <w:szCs w:val="24"/>
        </w:rPr>
        <w:fldChar w:fldCharType="separate"/>
      </w:r>
      <w:r>
        <w:rPr>
          <w:noProof/>
          <w:webHidden/>
          <w:sz w:val="24"/>
          <w:szCs w:val="24"/>
        </w:rPr>
        <w:t>6</w:t>
      </w:r>
      <w:r>
        <w:rPr>
          <w:noProof/>
          <w:webHidden/>
          <w:sz w:val="24"/>
          <w:szCs w:val="24"/>
        </w:rPr>
        <w:fldChar w:fldCharType="end"/>
      </w:r>
      <w:r>
        <w:rPr/>
        <w:fldChar w:fldCharType="end"/>
      </w:r>
    </w:p>
    <w:p>
      <w:pPr>
        <w:pStyle w:val="style21"/>
        <w:tabs>
          <w:tab w:val="right" w:leader="dot" w:pos="9019"/>
        </w:tabs>
        <w:spacing w:after="0" w:lineRule="auto" w:line="240"/>
        <w:jc w:val="both"/>
        <w:rPr>
          <w:rFonts w:ascii="Cambria" w:cs="宋体" w:eastAsia="宋体" w:hAnsi="Cambria"/>
          <w:noProof/>
          <w:sz w:val="24"/>
          <w:szCs w:val="24"/>
        </w:rPr>
      </w:pPr>
      <w:r>
        <w:rPr/>
        <w:fldChar w:fldCharType="begin"/>
      </w:r>
      <w:r>
        <w:instrText xml:space="preserve"> HYPERLINK \l "_Toc224570653" </w:instrText>
      </w:r>
      <w:r>
        <w:rPr/>
        <w:fldChar w:fldCharType="separate"/>
      </w:r>
      <w:r>
        <w:rPr>
          <w:rStyle w:val="style85"/>
          <w:noProof/>
          <w:sz w:val="24"/>
          <w:szCs w:val="24"/>
          <w:lang w:val="en-GB"/>
        </w:rPr>
        <w:t>4.3 Flexible Work Hours</w:t>
      </w:r>
      <w:r>
        <w:rPr>
          <w:noProof/>
          <w:webHidden/>
          <w:sz w:val="24"/>
          <w:szCs w:val="24"/>
        </w:rPr>
        <w:tab/>
      </w:r>
      <w:r>
        <w:rPr>
          <w:noProof/>
          <w:webHidden/>
          <w:sz w:val="24"/>
          <w:szCs w:val="24"/>
        </w:rPr>
        <w:fldChar w:fldCharType="begin"/>
      </w:r>
      <w:r>
        <w:rPr>
          <w:noProof/>
          <w:webHidden/>
          <w:sz w:val="24"/>
          <w:szCs w:val="24"/>
        </w:rPr>
        <w:instrText xml:space="preserve"> PAGEREF _Toc224570653 \h </w:instrText>
      </w:r>
      <w:r>
        <w:rPr>
          <w:noProof/>
          <w:webHidden/>
          <w:sz w:val="24"/>
          <w:szCs w:val="24"/>
        </w:rPr>
        <w:fldChar w:fldCharType="separate"/>
      </w:r>
      <w:r>
        <w:rPr>
          <w:noProof/>
          <w:webHidden/>
          <w:sz w:val="24"/>
          <w:szCs w:val="24"/>
        </w:rPr>
        <w:t>6</w:t>
      </w:r>
      <w:r>
        <w:rPr>
          <w:noProof/>
          <w:webHidden/>
          <w:sz w:val="24"/>
          <w:szCs w:val="24"/>
        </w:rPr>
        <w:fldChar w:fldCharType="end"/>
      </w:r>
      <w:r>
        <w:rPr/>
        <w:fldChar w:fldCharType="end"/>
      </w:r>
    </w:p>
    <w:p>
      <w:pPr>
        <w:pStyle w:val="style21"/>
        <w:tabs>
          <w:tab w:val="right" w:leader="dot" w:pos="9019"/>
        </w:tabs>
        <w:spacing w:after="0" w:lineRule="auto" w:line="240"/>
        <w:jc w:val="both"/>
        <w:rPr>
          <w:rFonts w:ascii="Cambria" w:cs="宋体" w:eastAsia="宋体" w:hAnsi="Cambria"/>
          <w:noProof/>
          <w:sz w:val="24"/>
          <w:szCs w:val="24"/>
        </w:rPr>
      </w:pPr>
      <w:r>
        <w:rPr/>
        <w:fldChar w:fldCharType="begin"/>
      </w:r>
      <w:r>
        <w:instrText xml:space="preserve"> HYPERLINK \l "_Toc224570654" </w:instrText>
      </w:r>
      <w:r>
        <w:rPr/>
        <w:fldChar w:fldCharType="separate"/>
      </w:r>
      <w:r>
        <w:rPr>
          <w:rStyle w:val="style85"/>
          <w:noProof/>
          <w:sz w:val="24"/>
          <w:szCs w:val="24"/>
          <w:lang w:val="en-GB"/>
        </w:rPr>
        <w:t>4.4 Collaborative Innovation Spaces</w:t>
      </w:r>
      <w:r>
        <w:rPr>
          <w:noProof/>
          <w:webHidden/>
          <w:sz w:val="24"/>
          <w:szCs w:val="24"/>
        </w:rPr>
        <w:tab/>
      </w:r>
      <w:r>
        <w:rPr>
          <w:noProof/>
          <w:webHidden/>
          <w:sz w:val="24"/>
          <w:szCs w:val="24"/>
        </w:rPr>
        <w:fldChar w:fldCharType="begin"/>
      </w:r>
      <w:r>
        <w:rPr>
          <w:noProof/>
          <w:webHidden/>
          <w:sz w:val="24"/>
          <w:szCs w:val="24"/>
        </w:rPr>
        <w:instrText xml:space="preserve"> PAGEREF _Toc224570654 \h </w:instrText>
      </w:r>
      <w:r>
        <w:rPr>
          <w:noProof/>
          <w:webHidden/>
          <w:sz w:val="24"/>
          <w:szCs w:val="24"/>
        </w:rPr>
        <w:fldChar w:fldCharType="separate"/>
      </w:r>
      <w:r>
        <w:rPr>
          <w:noProof/>
          <w:webHidden/>
          <w:sz w:val="24"/>
          <w:szCs w:val="24"/>
        </w:rPr>
        <w:t>6</w:t>
      </w:r>
      <w:r>
        <w:rPr>
          <w:noProof/>
          <w:webHidden/>
          <w:sz w:val="24"/>
          <w:szCs w:val="24"/>
        </w:rPr>
        <w:fldChar w:fldCharType="end"/>
      </w:r>
      <w:r>
        <w:rPr/>
        <w:fldChar w:fldCharType="end"/>
      </w:r>
    </w:p>
    <w:p>
      <w:pPr>
        <w:pStyle w:val="style20"/>
        <w:spacing w:after="0" w:lineRule="auto" w:line="240"/>
        <w:rPr>
          <w:rFonts w:ascii="Cambria" w:cs="宋体" w:eastAsia="宋体" w:hAnsi="Cambria"/>
          <w:noProof/>
          <w:sz w:val="24"/>
          <w:szCs w:val="24"/>
        </w:rPr>
      </w:pPr>
      <w:r>
        <w:rPr/>
        <w:fldChar w:fldCharType="begin"/>
      </w:r>
      <w:r>
        <w:instrText xml:space="preserve"> HYPERLINK \l "_Toc224570655" </w:instrText>
      </w:r>
      <w:r>
        <w:rPr/>
        <w:fldChar w:fldCharType="separate"/>
      </w:r>
      <w:r>
        <w:rPr>
          <w:rStyle w:val="style85"/>
          <w:noProof/>
          <w:sz w:val="24"/>
          <w:szCs w:val="24"/>
          <w:lang w:val="en-GB"/>
        </w:rPr>
        <w:t>5. Linking Culture and Future Work to Motivation and Performance</w:t>
      </w:r>
      <w:r>
        <w:rPr>
          <w:noProof/>
          <w:webHidden/>
          <w:sz w:val="24"/>
          <w:szCs w:val="24"/>
        </w:rPr>
        <w:tab/>
      </w:r>
      <w:r>
        <w:rPr>
          <w:noProof/>
          <w:webHidden/>
          <w:sz w:val="24"/>
          <w:szCs w:val="24"/>
        </w:rPr>
        <w:fldChar w:fldCharType="begin"/>
      </w:r>
      <w:r>
        <w:rPr>
          <w:noProof/>
          <w:webHidden/>
          <w:sz w:val="24"/>
          <w:szCs w:val="24"/>
        </w:rPr>
        <w:instrText xml:space="preserve"> PAGEREF _Toc224570655 \h </w:instrText>
      </w:r>
      <w:r>
        <w:rPr>
          <w:noProof/>
          <w:webHidden/>
          <w:sz w:val="24"/>
          <w:szCs w:val="24"/>
        </w:rPr>
        <w:fldChar w:fldCharType="separate"/>
      </w:r>
      <w:r>
        <w:rPr>
          <w:noProof/>
          <w:webHidden/>
          <w:sz w:val="24"/>
          <w:szCs w:val="24"/>
        </w:rPr>
        <w:t>7</w:t>
      </w:r>
      <w:r>
        <w:rPr>
          <w:noProof/>
          <w:webHidden/>
          <w:sz w:val="24"/>
          <w:szCs w:val="24"/>
        </w:rPr>
        <w:fldChar w:fldCharType="end"/>
      </w:r>
      <w:r>
        <w:rPr/>
        <w:fldChar w:fldCharType="end"/>
      </w:r>
    </w:p>
    <w:p>
      <w:pPr>
        <w:pStyle w:val="style20"/>
        <w:spacing w:after="0" w:lineRule="auto" w:line="240"/>
        <w:rPr>
          <w:rFonts w:ascii="Cambria" w:cs="宋体" w:eastAsia="宋体" w:hAnsi="Cambria"/>
          <w:noProof/>
          <w:sz w:val="24"/>
          <w:szCs w:val="24"/>
        </w:rPr>
      </w:pPr>
      <w:r>
        <w:rPr/>
        <w:fldChar w:fldCharType="begin"/>
      </w:r>
      <w:r>
        <w:instrText xml:space="preserve"> HYPERLINK \l "_Toc224570656" </w:instrText>
      </w:r>
      <w:r>
        <w:rPr/>
        <w:fldChar w:fldCharType="separate"/>
      </w:r>
      <w:r>
        <w:rPr>
          <w:rStyle w:val="style85"/>
          <w:noProof/>
          <w:sz w:val="24"/>
          <w:szCs w:val="24"/>
          <w:lang w:val="en-GB"/>
        </w:rPr>
        <w:t>6. Implementation Plan</w:t>
      </w:r>
      <w:r>
        <w:rPr>
          <w:noProof/>
          <w:webHidden/>
          <w:sz w:val="24"/>
          <w:szCs w:val="24"/>
        </w:rPr>
        <w:tab/>
      </w:r>
      <w:r>
        <w:rPr>
          <w:noProof/>
          <w:webHidden/>
          <w:sz w:val="24"/>
          <w:szCs w:val="24"/>
        </w:rPr>
        <w:fldChar w:fldCharType="begin"/>
      </w:r>
      <w:r>
        <w:rPr>
          <w:noProof/>
          <w:webHidden/>
          <w:sz w:val="24"/>
          <w:szCs w:val="24"/>
        </w:rPr>
        <w:instrText xml:space="preserve"> PAGEREF _Toc224570656 \h </w:instrText>
      </w:r>
      <w:r>
        <w:rPr>
          <w:noProof/>
          <w:webHidden/>
          <w:sz w:val="24"/>
          <w:szCs w:val="24"/>
        </w:rPr>
        <w:fldChar w:fldCharType="separate"/>
      </w:r>
      <w:r>
        <w:rPr>
          <w:noProof/>
          <w:webHidden/>
          <w:sz w:val="24"/>
          <w:szCs w:val="24"/>
        </w:rPr>
        <w:t>7</w:t>
      </w:r>
      <w:r>
        <w:rPr>
          <w:noProof/>
          <w:webHidden/>
          <w:sz w:val="24"/>
          <w:szCs w:val="24"/>
        </w:rPr>
        <w:fldChar w:fldCharType="end"/>
      </w:r>
      <w:r>
        <w:rPr/>
        <w:fldChar w:fldCharType="end"/>
      </w:r>
    </w:p>
    <w:p>
      <w:pPr>
        <w:pStyle w:val="style20"/>
        <w:spacing w:after="0" w:lineRule="auto" w:line="240"/>
        <w:rPr>
          <w:rFonts w:ascii="Cambria" w:cs="宋体" w:eastAsia="宋体" w:hAnsi="Cambria"/>
          <w:noProof/>
          <w:sz w:val="24"/>
          <w:szCs w:val="24"/>
        </w:rPr>
      </w:pPr>
      <w:r>
        <w:rPr/>
        <w:fldChar w:fldCharType="begin"/>
      </w:r>
      <w:r>
        <w:instrText xml:space="preserve"> HYPERLINK \l "_Toc224570657" </w:instrText>
      </w:r>
      <w:r>
        <w:rPr/>
        <w:fldChar w:fldCharType="separate"/>
      </w:r>
      <w:r>
        <w:rPr>
          <w:rStyle w:val="style85"/>
          <w:noProof/>
          <w:sz w:val="24"/>
          <w:szCs w:val="24"/>
          <w:lang w:val="en-GB"/>
        </w:rPr>
        <w:t>7. Expected Outcomes</w:t>
      </w:r>
      <w:r>
        <w:rPr>
          <w:noProof/>
          <w:webHidden/>
          <w:sz w:val="24"/>
          <w:szCs w:val="24"/>
        </w:rPr>
        <w:tab/>
      </w:r>
      <w:r>
        <w:rPr>
          <w:noProof/>
          <w:webHidden/>
          <w:sz w:val="24"/>
          <w:szCs w:val="24"/>
        </w:rPr>
        <w:fldChar w:fldCharType="begin"/>
      </w:r>
      <w:r>
        <w:rPr>
          <w:noProof/>
          <w:webHidden/>
          <w:sz w:val="24"/>
          <w:szCs w:val="24"/>
        </w:rPr>
        <w:instrText xml:space="preserve"> PAGEREF _Toc224570657 \h </w:instrText>
      </w:r>
      <w:r>
        <w:rPr>
          <w:noProof/>
          <w:webHidden/>
          <w:sz w:val="24"/>
          <w:szCs w:val="24"/>
        </w:rPr>
        <w:fldChar w:fldCharType="separate"/>
      </w:r>
      <w:r>
        <w:rPr>
          <w:noProof/>
          <w:webHidden/>
          <w:sz w:val="24"/>
          <w:szCs w:val="24"/>
        </w:rPr>
        <w:t>8</w:t>
      </w:r>
      <w:r>
        <w:rPr>
          <w:noProof/>
          <w:webHidden/>
          <w:sz w:val="24"/>
          <w:szCs w:val="24"/>
        </w:rPr>
        <w:fldChar w:fldCharType="end"/>
      </w:r>
      <w:r>
        <w:rPr/>
        <w:fldChar w:fldCharType="end"/>
      </w:r>
    </w:p>
    <w:p>
      <w:pPr>
        <w:pStyle w:val="style20"/>
        <w:spacing w:after="0" w:lineRule="auto" w:line="240"/>
        <w:rPr>
          <w:rFonts w:ascii="Cambria" w:cs="宋体" w:eastAsia="宋体" w:hAnsi="Cambria"/>
          <w:noProof/>
          <w:sz w:val="24"/>
          <w:szCs w:val="24"/>
        </w:rPr>
      </w:pPr>
      <w:r>
        <w:rPr/>
        <w:fldChar w:fldCharType="begin"/>
      </w:r>
      <w:r>
        <w:instrText xml:space="preserve"> HYPERLINK \l "_Toc224570658" </w:instrText>
      </w:r>
      <w:r>
        <w:rPr/>
        <w:fldChar w:fldCharType="separate"/>
      </w:r>
      <w:r>
        <w:rPr>
          <w:rStyle w:val="style85"/>
          <w:noProof/>
          <w:sz w:val="24"/>
          <w:szCs w:val="24"/>
          <w:lang w:val="en-GB"/>
        </w:rPr>
        <w:t>8. Conclusion</w:t>
      </w:r>
      <w:r>
        <w:rPr>
          <w:noProof/>
          <w:webHidden/>
          <w:sz w:val="24"/>
          <w:szCs w:val="24"/>
        </w:rPr>
        <w:tab/>
      </w:r>
      <w:r>
        <w:rPr>
          <w:noProof/>
          <w:webHidden/>
          <w:sz w:val="24"/>
          <w:szCs w:val="24"/>
        </w:rPr>
        <w:fldChar w:fldCharType="begin"/>
      </w:r>
      <w:r>
        <w:rPr>
          <w:noProof/>
          <w:webHidden/>
          <w:sz w:val="24"/>
          <w:szCs w:val="24"/>
        </w:rPr>
        <w:instrText xml:space="preserve"> PAGEREF _Toc224570658 \h </w:instrText>
      </w:r>
      <w:r>
        <w:rPr>
          <w:noProof/>
          <w:webHidden/>
          <w:sz w:val="24"/>
          <w:szCs w:val="24"/>
        </w:rPr>
        <w:fldChar w:fldCharType="separate"/>
      </w:r>
      <w:r>
        <w:rPr>
          <w:noProof/>
          <w:webHidden/>
          <w:sz w:val="24"/>
          <w:szCs w:val="24"/>
        </w:rPr>
        <w:t>8</w:t>
      </w:r>
      <w:r>
        <w:rPr>
          <w:noProof/>
          <w:webHidden/>
          <w:sz w:val="24"/>
          <w:szCs w:val="24"/>
        </w:rPr>
        <w:fldChar w:fldCharType="end"/>
      </w:r>
      <w:r>
        <w:rPr/>
        <w:fldChar w:fldCharType="end"/>
      </w:r>
    </w:p>
    <w:p>
      <w:pPr>
        <w:pStyle w:val="style19"/>
        <w:tabs>
          <w:tab w:val="right" w:leader="dot" w:pos="9019"/>
        </w:tabs>
        <w:spacing w:after="0" w:lineRule="auto" w:line="240"/>
        <w:jc w:val="both"/>
        <w:rPr>
          <w:rFonts w:ascii="Cambria" w:cs="宋体" w:eastAsia="宋体" w:hAnsi="Cambria"/>
          <w:noProof/>
          <w:sz w:val="24"/>
          <w:szCs w:val="24"/>
        </w:rPr>
      </w:pPr>
      <w:r>
        <w:rPr/>
        <w:fldChar w:fldCharType="begin"/>
      </w:r>
      <w:r>
        <w:instrText xml:space="preserve"> HYPERLINK \l "_Toc224570659" </w:instrText>
      </w:r>
      <w:r>
        <w:rPr/>
        <w:fldChar w:fldCharType="separate"/>
      </w:r>
      <w:r>
        <w:rPr>
          <w:rStyle w:val="style85"/>
          <w:noProof/>
          <w:sz w:val="24"/>
          <w:szCs w:val="24"/>
          <w:lang w:val="en-GB"/>
        </w:rPr>
        <w:t>Part 2: Reflection on Learning Journey and Personal Growth</w:t>
      </w:r>
      <w:r>
        <w:rPr>
          <w:noProof/>
          <w:webHidden/>
          <w:sz w:val="24"/>
          <w:szCs w:val="24"/>
        </w:rPr>
        <w:tab/>
      </w:r>
      <w:r>
        <w:rPr>
          <w:noProof/>
          <w:webHidden/>
          <w:sz w:val="24"/>
          <w:szCs w:val="24"/>
        </w:rPr>
        <w:fldChar w:fldCharType="begin"/>
      </w:r>
      <w:r>
        <w:rPr>
          <w:noProof/>
          <w:webHidden/>
          <w:sz w:val="24"/>
          <w:szCs w:val="24"/>
        </w:rPr>
        <w:instrText xml:space="preserve"> PAGEREF _Toc224570659 \h </w:instrText>
      </w:r>
      <w:r>
        <w:rPr>
          <w:noProof/>
          <w:webHidden/>
          <w:sz w:val="24"/>
          <w:szCs w:val="24"/>
        </w:rPr>
        <w:fldChar w:fldCharType="separate"/>
      </w:r>
      <w:r>
        <w:rPr>
          <w:noProof/>
          <w:webHidden/>
          <w:sz w:val="24"/>
          <w:szCs w:val="24"/>
        </w:rPr>
        <w:t>10</w:t>
      </w:r>
      <w:r>
        <w:rPr>
          <w:noProof/>
          <w:webHidden/>
          <w:sz w:val="24"/>
          <w:szCs w:val="24"/>
        </w:rPr>
        <w:fldChar w:fldCharType="end"/>
      </w:r>
      <w:r>
        <w:rPr/>
        <w:fldChar w:fldCharType="end"/>
      </w:r>
    </w:p>
    <w:p>
      <w:pPr>
        <w:pStyle w:val="style20"/>
        <w:spacing w:after="0" w:lineRule="auto" w:line="240"/>
        <w:rPr>
          <w:rFonts w:ascii="Cambria" w:cs="宋体" w:eastAsia="宋体" w:hAnsi="Cambria"/>
          <w:noProof/>
          <w:sz w:val="24"/>
          <w:szCs w:val="24"/>
        </w:rPr>
      </w:pPr>
      <w:r>
        <w:rPr/>
        <w:fldChar w:fldCharType="begin"/>
      </w:r>
      <w:r>
        <w:instrText xml:space="preserve"> HYPERLINK \l "_Toc224570660" </w:instrText>
      </w:r>
      <w:r>
        <w:rPr/>
        <w:fldChar w:fldCharType="separate"/>
      </w:r>
      <w:r>
        <w:rPr>
          <w:rStyle w:val="style85"/>
          <w:noProof/>
          <w:sz w:val="24"/>
          <w:szCs w:val="24"/>
          <w:lang w:val="en-GB"/>
        </w:rPr>
        <w:t>2.1 Reflection Using Gibbs’ Reflective Cycle</w:t>
      </w:r>
      <w:r>
        <w:rPr>
          <w:noProof/>
          <w:webHidden/>
          <w:sz w:val="24"/>
          <w:szCs w:val="24"/>
        </w:rPr>
        <w:tab/>
      </w:r>
      <w:r>
        <w:rPr>
          <w:noProof/>
          <w:webHidden/>
          <w:sz w:val="24"/>
          <w:szCs w:val="24"/>
        </w:rPr>
        <w:fldChar w:fldCharType="begin"/>
      </w:r>
      <w:r>
        <w:rPr>
          <w:noProof/>
          <w:webHidden/>
          <w:sz w:val="24"/>
          <w:szCs w:val="24"/>
        </w:rPr>
        <w:instrText xml:space="preserve"> PAGEREF _Toc224570660 \h </w:instrText>
      </w:r>
      <w:r>
        <w:rPr>
          <w:noProof/>
          <w:webHidden/>
          <w:sz w:val="24"/>
          <w:szCs w:val="24"/>
        </w:rPr>
        <w:fldChar w:fldCharType="separate"/>
      </w:r>
      <w:r>
        <w:rPr>
          <w:noProof/>
          <w:webHidden/>
          <w:sz w:val="24"/>
          <w:szCs w:val="24"/>
        </w:rPr>
        <w:t>10</w:t>
      </w:r>
      <w:r>
        <w:rPr>
          <w:noProof/>
          <w:webHidden/>
          <w:sz w:val="24"/>
          <w:szCs w:val="24"/>
        </w:rPr>
        <w:fldChar w:fldCharType="end"/>
      </w:r>
      <w:r>
        <w:rPr/>
        <w:fldChar w:fldCharType="end"/>
      </w:r>
    </w:p>
    <w:p>
      <w:pPr>
        <w:pStyle w:val="style20"/>
        <w:spacing w:after="0" w:lineRule="auto" w:line="240"/>
        <w:rPr>
          <w:rFonts w:ascii="Cambria" w:cs="宋体" w:eastAsia="宋体" w:hAnsi="Cambria"/>
          <w:noProof/>
          <w:sz w:val="24"/>
          <w:szCs w:val="24"/>
        </w:rPr>
      </w:pPr>
      <w:r>
        <w:rPr/>
        <w:fldChar w:fldCharType="begin"/>
      </w:r>
      <w:r>
        <w:instrText xml:space="preserve"> HYPERLINK \l "_Toc224570661" </w:instrText>
      </w:r>
      <w:r>
        <w:rPr/>
        <w:fldChar w:fldCharType="separate"/>
      </w:r>
      <w:r>
        <w:rPr>
          <w:rStyle w:val="style85"/>
          <w:noProof/>
          <w:sz w:val="24"/>
          <w:szCs w:val="24"/>
          <w:lang w:val="en-GB"/>
        </w:rPr>
        <w:t>2.2 Staying Relevant in an AI-Driven Workplace</w:t>
      </w:r>
      <w:r>
        <w:rPr>
          <w:noProof/>
          <w:webHidden/>
          <w:sz w:val="24"/>
          <w:szCs w:val="24"/>
        </w:rPr>
        <w:tab/>
      </w:r>
      <w:r>
        <w:rPr>
          <w:noProof/>
          <w:webHidden/>
          <w:sz w:val="24"/>
          <w:szCs w:val="24"/>
        </w:rPr>
        <w:fldChar w:fldCharType="begin"/>
      </w:r>
      <w:r>
        <w:rPr>
          <w:noProof/>
          <w:webHidden/>
          <w:sz w:val="24"/>
          <w:szCs w:val="24"/>
        </w:rPr>
        <w:instrText xml:space="preserve"> PAGEREF _Toc224570661 \h </w:instrText>
      </w:r>
      <w:r>
        <w:rPr>
          <w:noProof/>
          <w:webHidden/>
          <w:sz w:val="24"/>
          <w:szCs w:val="24"/>
        </w:rPr>
        <w:fldChar w:fldCharType="separate"/>
      </w:r>
      <w:r>
        <w:rPr>
          <w:noProof/>
          <w:webHidden/>
          <w:sz w:val="24"/>
          <w:szCs w:val="24"/>
        </w:rPr>
        <w:t>12</w:t>
      </w:r>
      <w:r>
        <w:rPr>
          <w:noProof/>
          <w:webHidden/>
          <w:sz w:val="24"/>
          <w:szCs w:val="24"/>
        </w:rPr>
        <w:fldChar w:fldCharType="end"/>
      </w:r>
      <w:r>
        <w:rPr/>
        <w:fldChar w:fldCharType="end"/>
      </w:r>
    </w:p>
    <w:p>
      <w:pPr>
        <w:pStyle w:val="style19"/>
        <w:tabs>
          <w:tab w:val="right" w:leader="dot" w:pos="9019"/>
        </w:tabs>
        <w:spacing w:after="0" w:lineRule="auto" w:line="240"/>
        <w:jc w:val="both"/>
        <w:rPr>
          <w:rFonts w:ascii="Cambria" w:cs="宋体" w:eastAsia="宋体" w:hAnsi="Cambria"/>
          <w:noProof/>
          <w:sz w:val="24"/>
          <w:szCs w:val="24"/>
        </w:rPr>
      </w:pPr>
      <w:r>
        <w:rPr/>
        <w:fldChar w:fldCharType="begin"/>
      </w:r>
      <w:r>
        <w:instrText xml:space="preserve"> HYPERLINK \l "_Toc224570662" </w:instrText>
      </w:r>
      <w:r>
        <w:rPr/>
        <w:fldChar w:fldCharType="separate"/>
      </w:r>
      <w:r>
        <w:rPr>
          <w:rStyle w:val="style85"/>
          <w:noProof/>
          <w:sz w:val="24"/>
          <w:szCs w:val="24"/>
          <w:lang w:val="en-GB"/>
        </w:rPr>
        <w:t>References</w:t>
      </w:r>
      <w:r>
        <w:rPr>
          <w:noProof/>
          <w:webHidden/>
          <w:sz w:val="24"/>
          <w:szCs w:val="24"/>
        </w:rPr>
        <w:tab/>
      </w:r>
      <w:r>
        <w:rPr>
          <w:noProof/>
          <w:webHidden/>
          <w:sz w:val="24"/>
          <w:szCs w:val="24"/>
        </w:rPr>
        <w:fldChar w:fldCharType="begin"/>
      </w:r>
      <w:r>
        <w:rPr>
          <w:noProof/>
          <w:webHidden/>
          <w:sz w:val="24"/>
          <w:szCs w:val="24"/>
        </w:rPr>
        <w:instrText xml:space="preserve"> PAGEREF _Toc224570662 \h </w:instrText>
      </w:r>
      <w:r>
        <w:rPr>
          <w:noProof/>
          <w:webHidden/>
          <w:sz w:val="24"/>
          <w:szCs w:val="24"/>
        </w:rPr>
        <w:fldChar w:fldCharType="separate"/>
      </w:r>
      <w:r>
        <w:rPr>
          <w:noProof/>
          <w:webHidden/>
          <w:sz w:val="24"/>
          <w:szCs w:val="24"/>
        </w:rPr>
        <w:t>14</w:t>
      </w:r>
      <w:r>
        <w:rPr>
          <w:noProof/>
          <w:webHidden/>
          <w:sz w:val="24"/>
          <w:szCs w:val="24"/>
        </w:rPr>
        <w:fldChar w:fldCharType="end"/>
      </w:r>
      <w:r>
        <w:rPr/>
        <w:fldChar w:fldCharType="end"/>
      </w:r>
    </w:p>
    <w:p>
      <w:pPr>
        <w:pStyle w:val="style0"/>
        <w:spacing w:lineRule="auto" w:line="240"/>
        <w:jc w:val="both"/>
        <w:rPr>
          <w:sz w:val="24"/>
          <w:szCs w:val="24"/>
        </w:rPr>
      </w:pPr>
      <w:r>
        <w:rPr>
          <w:b/>
          <w:bCs/>
          <w:noProof/>
          <w:sz w:val="24"/>
          <w:szCs w:val="24"/>
        </w:rPr>
        <w:fldChar w:fldCharType="end"/>
      </w:r>
    </w:p>
    <w:p>
      <w:pPr>
        <w:pStyle w:val="style0"/>
        <w:spacing w:after="240" w:lineRule="auto" w:line="360"/>
        <w:jc w:val="center"/>
        <w:rPr>
          <w:rFonts w:eastAsia="Times New Roman"/>
          <w:b/>
          <w:bCs/>
          <w:sz w:val="32"/>
          <w:szCs w:val="32"/>
          <w:lang w:val="en-GB"/>
        </w:rPr>
      </w:pPr>
    </w:p>
    <w:bookmarkStart w:id="0" w:name="_Toc224570640"/>
    <w:p>
      <w:pPr>
        <w:pStyle w:val="style0"/>
        <w:rPr>
          <w:b/>
          <w:sz w:val="28"/>
          <w:szCs w:val="40"/>
          <w:lang w:val="en-GB"/>
        </w:rPr>
      </w:pPr>
      <w:r>
        <w:rPr>
          <w:lang w:val="en-GB"/>
        </w:rPr>
        <w:br w:type="page"/>
      </w:r>
    </w:p>
    <w:p>
      <w:pPr>
        <w:pStyle w:val="style1"/>
        <w:rPr>
          <w:lang w:val="en-GB"/>
        </w:rPr>
      </w:pPr>
      <w:r>
        <w:rPr>
          <w:lang w:val="en-GB"/>
        </w:rPr>
        <w:t>Part 1:</w:t>
      </w:r>
      <w:r>
        <w:rPr>
          <w:lang w:val="en-GB"/>
        </w:rPr>
        <w:t xml:space="preserve"> Building a Culture of Innovation &amp; Future Work Practices</w:t>
      </w:r>
      <w:bookmarkEnd w:id="0"/>
    </w:p>
    <w:bookmarkStart w:id="1" w:name="_Toc224570641"/>
    <w:p>
      <w:pPr>
        <w:pStyle w:val="style2"/>
        <w:rPr>
          <w:lang w:val="en-GB"/>
        </w:rPr>
      </w:pPr>
      <w:r>
        <w:rPr>
          <w:lang w:val="en-GB"/>
        </w:rPr>
        <w:t>1. Introduction</w:t>
      </w:r>
      <w:bookmarkEnd w:id="1"/>
    </w:p>
    <w:p>
      <w:pPr>
        <w:pStyle w:val="style0"/>
        <w:spacing w:after="200" w:lineRule="auto" w:line="360"/>
        <w:jc w:val="both"/>
        <w:rPr>
          <w:rFonts w:eastAsia="Times New Roman"/>
          <w:sz w:val="24"/>
          <w:szCs w:val="24"/>
          <w:lang w:val="en-GB"/>
        </w:rPr>
      </w:pPr>
      <w:r>
        <w:rPr>
          <w:rFonts w:eastAsia="Times New Roman"/>
          <w:sz w:val="24"/>
          <w:szCs w:val="24"/>
          <w:lang w:val="en-GB"/>
        </w:rPr>
        <w:t xml:space="preserve">Aether Innovations runs its operations in the technology sector, where 300 staff serve their customers and help them to position themselves in the evolving marketplace and grab market opportunities [refer to case study]. Recently, they have faced human capital challenges; in spite of the continuous growth, they face declining customer satisfaction, high staff turnover, and flat revenue growth. These challenges highlight the underlying gaps in their work practice and organisational culture, which are essential drivers in performance, employee engagement and innovation in technology firms. </w:t>
      </w:r>
    </w:p>
    <w:p>
      <w:pPr>
        <w:pStyle w:val="style0"/>
        <w:spacing w:after="200" w:lineRule="auto" w:line="360"/>
        <w:jc w:val="both"/>
        <w:rPr>
          <w:rFonts w:eastAsia="Times New Roman"/>
          <w:sz w:val="24"/>
          <w:szCs w:val="24"/>
          <w:lang w:val="en-GB"/>
        </w:rPr>
      </w:pPr>
      <w:r>
        <w:rPr>
          <w:rFonts w:eastAsia="Times New Roman"/>
          <w:sz w:val="24"/>
          <w:szCs w:val="24"/>
          <w:lang w:val="en-GB"/>
        </w:rPr>
        <w:t xml:space="preserve">The purpose of the study is to propose a structural initiative, and a set of integrated cultural as well as future-of-work models, structured to strengthen performance, collaboration and innovation at Aether Innovations. The innovative approaches and initiatives aim to develop a high-performing and sustainable organisational environment. </w:t>
      </w:r>
    </w:p>
    <w:bookmarkStart w:id="2" w:name="_Toc224570642"/>
    <w:p>
      <w:pPr>
        <w:pStyle w:val="style2"/>
        <w:rPr>
          <w:lang w:val="en-GB"/>
        </w:rPr>
      </w:pPr>
      <w:r>
        <w:rPr>
          <w:lang w:val="en-GB"/>
        </w:rPr>
        <w:t>2. Current Culture and Work Practices in Tech Companies</w:t>
      </w:r>
      <w:bookmarkEnd w:id="2"/>
      <w:r>
        <w:rPr>
          <w:lang w:val="en-GB"/>
        </w:rPr>
        <w:t xml:space="preserve"> </w:t>
      </w:r>
    </w:p>
    <w:bookmarkStart w:id="3" w:name="_Toc224570643"/>
    <w:p>
      <w:pPr>
        <w:pStyle w:val="style3"/>
        <w:rPr>
          <w:lang w:val="en-GB"/>
        </w:rPr>
      </w:pPr>
      <w:r>
        <w:rPr>
          <w:lang w:val="en-GB"/>
        </w:rPr>
        <w:t>2.1 Innovation-Oriented Culture</w:t>
      </w:r>
      <w:bookmarkEnd w:id="3"/>
    </w:p>
    <w:p>
      <w:pPr>
        <w:pStyle w:val="style0"/>
        <w:spacing w:after="200" w:lineRule="auto" w:line="360"/>
        <w:jc w:val="both"/>
        <w:rPr>
          <w:rFonts w:eastAsia="Times New Roman"/>
          <w:sz w:val="24"/>
          <w:szCs w:val="24"/>
          <w:lang w:val="en-GB"/>
        </w:rPr>
      </w:pPr>
      <w:r>
        <w:rPr>
          <w:rFonts w:eastAsia="Times New Roman"/>
          <w:sz w:val="24"/>
          <w:szCs w:val="24"/>
          <w:lang w:val="en-GB"/>
        </w:rPr>
        <w:t xml:space="preserve">innovation-oriented cultures, actively cultivated through leading technology companies, and they demonstrate the calculated risk taking, psychological safety and creativity. </w:t>
      </w:r>
      <w:r>
        <w:rPr>
          <w:rFonts w:eastAsia="Times New Roman"/>
          <w:sz w:val="24"/>
          <w:szCs w:val="24"/>
          <w:lang w:val="en-GB"/>
        </w:rPr>
        <w:t>Emy</w:t>
      </w:r>
      <w:r>
        <w:rPr>
          <w:rFonts w:eastAsia="Times New Roman"/>
          <w:sz w:val="24"/>
          <w:szCs w:val="24"/>
          <w:lang w:val="en-GB"/>
        </w:rPr>
        <w:t xml:space="preserve"> Edmondson stated that “The belief that one will not be punished or humiliated for speaking up with ideas, questions, concerns, or mistakes, and that the team is safe for interpersonal risk taking” (Edmondson 2026, p.1). As a result, this guidance encourages Aether Innovations staff to experiment with thinking about the punitive consequences and ensuring predictive development and accelerating learning (</w:t>
      </w:r>
      <w:r>
        <w:rPr>
          <w:rFonts w:eastAsia="Times New Roman"/>
          <w:sz w:val="24"/>
          <w:szCs w:val="24"/>
          <w:lang w:val="en-GB"/>
        </w:rPr>
        <w:t>Psychsafety</w:t>
      </w:r>
      <w:r>
        <w:rPr>
          <w:rFonts w:eastAsia="Times New Roman"/>
          <w:sz w:val="24"/>
          <w:szCs w:val="24"/>
          <w:lang w:val="en-GB"/>
        </w:rPr>
        <w:t>, 2026). For instanc</w:t>
      </w:r>
      <w:r>
        <w:rPr>
          <w:rFonts w:eastAsia="Times New Roman"/>
          <w:sz w:val="24"/>
          <w:szCs w:val="24"/>
          <w:lang w:val="en-GB"/>
        </w:rPr>
        <w:t xml:space="preserve">e, the firm Google offer their </w:t>
      </w:r>
      <w:r>
        <w:rPr>
          <w:rFonts w:eastAsia="Times New Roman"/>
          <w:sz w:val="24"/>
          <w:szCs w:val="24"/>
          <w:lang w:val="en-GB"/>
        </w:rPr>
        <w:t xml:space="preserve">20% of time to their staff to dedicate to personal innovation projects and gives rewards for their creative thinking and solutions discussed by Christopher and Christopher (2022). This data highlights that overall organisational performance, motivation and increased employee engagement and within Aether Innovations, this approach is influenced by the innovation-oriented cultures, illustrating a powerful link between business and cultural outcomes. </w:t>
      </w:r>
    </w:p>
    <w:bookmarkStart w:id="4" w:name="_Toc224570644"/>
    <w:p>
      <w:pPr>
        <w:pStyle w:val="style3"/>
        <w:rPr>
          <w:lang w:val="en-GB"/>
        </w:rPr>
      </w:pPr>
      <w:r>
        <w:rPr>
          <w:lang w:val="en-GB"/>
        </w:rPr>
        <w:t>2.2 Cross-Functional Collaboration</w:t>
      </w:r>
      <w:bookmarkEnd w:id="4"/>
    </w:p>
    <w:p>
      <w:pPr>
        <w:pStyle w:val="style0"/>
        <w:spacing w:after="200" w:lineRule="auto" w:line="360"/>
        <w:jc w:val="both"/>
        <w:rPr>
          <w:rFonts w:eastAsia="Times New Roman"/>
          <w:sz w:val="24"/>
          <w:szCs w:val="24"/>
          <w:lang w:val="en-GB"/>
        </w:rPr>
      </w:pPr>
      <w:r>
        <w:rPr>
          <w:rFonts w:eastAsia="Times New Roman"/>
          <w:sz w:val="24"/>
          <w:szCs w:val="24"/>
          <w:lang w:val="en-GB"/>
        </w:rPr>
        <w:t>Therefore, multidisciplinary collaboration emerges as a key to successful tech companies. Marketers, designers, Teams combining engineers, and customer experience specialists incorporate different points of view and ensure product quality and enhance problem-solving. For example, Spotify’s “squads” demonstrate this approach through cross-cultural teams contributing to the end-to-end projects and self-organising, which develops rapid innovation and accountability (</w:t>
      </w:r>
      <w:r>
        <w:rPr>
          <w:rFonts w:eastAsia="Times New Roman"/>
          <w:sz w:val="24"/>
          <w:szCs w:val="24"/>
          <w:lang w:val="en-GB"/>
        </w:rPr>
        <w:t>Trzaskowska-Dmoch</w:t>
      </w:r>
      <w:r>
        <w:rPr>
          <w:rFonts w:eastAsia="Times New Roman"/>
          <w:sz w:val="24"/>
          <w:szCs w:val="24"/>
          <w:lang w:val="en-GB"/>
        </w:rPr>
        <w:t xml:space="preserve"> et al. 2025). In that case, concentrating on cross-functional collaborations, Aether Innovations can decrease silos, ensure innovation and strengthen communications, which are customer-centric and practical. </w:t>
      </w:r>
    </w:p>
    <w:bookmarkStart w:id="5" w:name="_Toc224570645"/>
    <w:p>
      <w:pPr>
        <w:pStyle w:val="style3"/>
        <w:rPr>
          <w:lang w:val="en-GB"/>
        </w:rPr>
      </w:pPr>
      <w:r>
        <w:rPr>
          <w:lang w:val="en-GB"/>
        </w:rPr>
        <w:t>2.3 Agile Work Structures</w:t>
      </w:r>
      <w:bookmarkEnd w:id="5"/>
    </w:p>
    <w:p>
      <w:pPr>
        <w:pStyle w:val="style0"/>
        <w:spacing w:after="200" w:lineRule="auto" w:line="360"/>
        <w:jc w:val="both"/>
        <w:rPr>
          <w:rFonts w:eastAsia="Times New Roman"/>
          <w:sz w:val="24"/>
          <w:szCs w:val="24"/>
          <w:lang w:val="en-GB"/>
        </w:rPr>
      </w:pPr>
      <w:r>
        <w:rPr>
          <w:rFonts w:eastAsia="Times New Roman"/>
          <w:sz w:val="24"/>
          <w:szCs w:val="24"/>
          <w:lang w:val="en-GB"/>
        </w:rPr>
        <w:t>Kanban and Scrum, like agile methodologies, aided adaptive planning, rapid development and support iterative development. These initiatives raise accountability, responsiveness and team autonomy and empower faster innovation cycles. On the other hand, the rigid work structures within Aether Innovations slowed decision-making and limited flexibility, and decreased the opportunity for collaborative problem-solving and experimentation (</w:t>
      </w:r>
      <w:r>
        <w:rPr>
          <w:rFonts w:eastAsia="Times New Roman"/>
          <w:sz w:val="24"/>
          <w:szCs w:val="24"/>
          <w:lang w:val="en-GB"/>
        </w:rPr>
        <w:t>Jerab</w:t>
      </w:r>
      <w:r>
        <w:rPr>
          <w:rFonts w:eastAsia="Times New Roman"/>
          <w:sz w:val="24"/>
          <w:szCs w:val="24"/>
          <w:lang w:val="en-GB"/>
        </w:rPr>
        <w:t xml:space="preserve"> and </w:t>
      </w:r>
      <w:r>
        <w:rPr>
          <w:rFonts w:eastAsia="Times New Roman"/>
          <w:sz w:val="24"/>
          <w:szCs w:val="24"/>
          <w:lang w:val="en-GB"/>
        </w:rPr>
        <w:t>Mabrouk</w:t>
      </w:r>
      <w:r>
        <w:rPr>
          <w:rFonts w:eastAsia="Times New Roman"/>
          <w:sz w:val="24"/>
          <w:szCs w:val="24"/>
          <w:lang w:val="en-GB"/>
        </w:rPr>
        <w:t xml:space="preserve">, 2023). </w:t>
      </w:r>
    </w:p>
    <w:bookmarkStart w:id="6" w:name="_Toc224570646"/>
    <w:p>
      <w:pPr>
        <w:pStyle w:val="style2"/>
        <w:rPr>
          <w:lang w:val="en-GB"/>
        </w:rPr>
      </w:pPr>
      <w:r>
        <w:rPr>
          <w:lang w:val="en-GB"/>
        </w:rPr>
        <w:t xml:space="preserve">3. Cultural and Structural Initiatives to Embed </w:t>
      </w:r>
      <w:r>
        <w:rPr>
          <w:lang w:val="en-GB"/>
        </w:rPr>
        <w:t>Innovation</w:t>
      </w:r>
      <w:bookmarkEnd w:id="6"/>
    </w:p>
    <w:bookmarkStart w:id="7" w:name="_Toc224570647"/>
    <w:p>
      <w:pPr>
        <w:pStyle w:val="style3"/>
        <w:rPr>
          <w:lang w:val="en-GB"/>
        </w:rPr>
      </w:pPr>
      <w:r>
        <w:rPr>
          <w:lang w:val="en-GB"/>
        </w:rPr>
        <w:t>3.1 Innovation Sprints</w:t>
      </w:r>
      <w:bookmarkEnd w:id="7"/>
    </w:p>
    <w:p>
      <w:pPr>
        <w:pStyle w:val="style0"/>
        <w:spacing w:after="200" w:lineRule="auto" w:line="360"/>
        <w:jc w:val="center"/>
        <w:rPr>
          <w:rFonts w:eastAsia="Times New Roman"/>
          <w:b/>
          <w:bCs/>
          <w:sz w:val="24"/>
          <w:szCs w:val="24"/>
          <w:lang w:val="en-GB"/>
        </w:rPr>
      </w:pPr>
      <w:r>
        <w:rPr>
          <w:rFonts w:eastAsia="Times New Roman"/>
          <w:b/>
          <w:bCs/>
          <w:noProof/>
          <w:sz w:val="24"/>
          <w:szCs w:val="24"/>
        </w:rPr>
        <w:drawing>
          <wp:inline distL="0" distT="0" distB="0" distR="0">
            <wp:extent cx="4775532" cy="3120388"/>
            <wp:effectExtent l="0" t="0" r="6350" b="4445"/>
            <wp:docPr id="1027"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3" cstate="print"/>
                    <a:srcRect l="0" t="0" r="0" b="0"/>
                    <a:stretch/>
                  </pic:blipFill>
                  <pic:spPr>
                    <a:xfrm rot="0">
                      <a:off x="0" y="0"/>
                      <a:ext cx="4775532" cy="3120388"/>
                    </a:xfrm>
                    <a:prstGeom prst="rect"/>
                    <a:ln cmpd="sng" cap="flat" w="9525">
                      <a:solidFill>
                        <a:srgbClr val="000000"/>
                      </a:solidFill>
                      <a:prstDash val="solid"/>
                      <a:round/>
                      <a:headEnd/>
                      <a:tailEnd/>
                    </a:ln>
                  </pic:spPr>
                </pic:pic>
              </a:graphicData>
            </a:graphic>
          </wp:inline>
        </w:drawing>
      </w:r>
    </w:p>
    <w:p>
      <w:pPr>
        <w:pStyle w:val="style0"/>
        <w:spacing w:after="200" w:lineRule="auto" w:line="360"/>
        <w:jc w:val="center"/>
        <w:rPr>
          <w:rFonts w:eastAsia="Times New Roman"/>
          <w:b/>
          <w:sz w:val="24"/>
          <w:szCs w:val="24"/>
          <w:lang w:val="en-GB"/>
        </w:rPr>
      </w:pPr>
      <w:r>
        <w:rPr>
          <w:rFonts w:eastAsia="Times New Roman"/>
          <w:b/>
          <w:sz w:val="24"/>
          <w:szCs w:val="24"/>
          <w:lang w:val="en-GB"/>
        </w:rPr>
        <w:t>Figure 1: Self-Determination Theory</w:t>
      </w:r>
    </w:p>
    <w:p>
      <w:pPr>
        <w:pStyle w:val="style0"/>
        <w:spacing w:after="200" w:lineRule="auto" w:line="360"/>
        <w:jc w:val="center"/>
        <w:rPr>
          <w:rFonts w:eastAsia="Times New Roman"/>
          <w:bCs/>
          <w:sz w:val="24"/>
          <w:szCs w:val="24"/>
          <w:lang w:val="en-GB"/>
        </w:rPr>
      </w:pPr>
      <w:r>
        <w:rPr>
          <w:rFonts w:eastAsia="Times New Roman"/>
          <w:bCs/>
          <w:sz w:val="24"/>
          <w:szCs w:val="24"/>
          <w:lang w:val="en-GB"/>
        </w:rPr>
        <w:t>(Source:  Usman Ali, 2026).</w:t>
      </w:r>
    </w:p>
    <w:p>
      <w:pPr>
        <w:pStyle w:val="style0"/>
        <w:spacing w:after="200" w:lineRule="auto" w:line="360"/>
        <w:jc w:val="both"/>
        <w:rPr>
          <w:rFonts w:eastAsia="Times New Roman"/>
          <w:sz w:val="24"/>
          <w:szCs w:val="24"/>
          <w:lang w:val="en-GB"/>
        </w:rPr>
      </w:pPr>
      <w:r>
        <w:rPr>
          <w:rFonts w:eastAsia="Times New Roman"/>
          <w:sz w:val="24"/>
          <w:szCs w:val="24"/>
          <w:lang w:val="en-GB"/>
        </w:rPr>
        <w:t xml:space="preserve">Short-term and innovation sprints, concentrated projects structured to continuously raise products and new ideas. The program brings together workers from different fields to develop their skills through focused teamwork during short time periods.  Therefore, the leadership supports the entire process by evaluation and providing ongoing guidance, which helps the team stay on course to achieve their strategic goals. For instance, the </w:t>
      </w:r>
      <w:r>
        <w:rPr>
          <w:rFonts w:eastAsia="Times New Roman"/>
          <w:sz w:val="24"/>
          <w:szCs w:val="24"/>
          <w:lang w:val="en-GB"/>
        </w:rPr>
        <w:t>ShipIt</w:t>
      </w:r>
      <w:r>
        <w:rPr>
          <w:rFonts w:eastAsia="Times New Roman"/>
          <w:sz w:val="24"/>
          <w:szCs w:val="24"/>
          <w:lang w:val="en-GB"/>
        </w:rPr>
        <w:t xml:space="preserve"> Days at </w:t>
      </w:r>
      <w:r>
        <w:rPr>
          <w:rFonts w:eastAsia="Times New Roman"/>
          <w:sz w:val="24"/>
          <w:szCs w:val="24"/>
          <w:lang w:val="en-GB"/>
        </w:rPr>
        <w:t>Atlassian</w:t>
      </w:r>
      <w:r>
        <w:rPr>
          <w:rFonts w:eastAsia="Times New Roman"/>
          <w:sz w:val="24"/>
          <w:szCs w:val="24"/>
          <w:lang w:val="en-GB"/>
        </w:rPr>
        <w:t xml:space="preserve"> serve as a prominent demonstration of this practice because employees spend 24 hours developing projects, which frequently lead to product enhancements, new tools and process innovations (</w:t>
      </w:r>
      <w:r>
        <w:rPr>
          <w:rFonts w:eastAsia="Times New Roman"/>
          <w:sz w:val="24"/>
          <w:szCs w:val="24"/>
          <w:lang w:val="en-GB"/>
        </w:rPr>
        <w:t>Atlassian</w:t>
      </w:r>
      <w:r>
        <w:rPr>
          <w:rFonts w:eastAsia="Times New Roman"/>
          <w:sz w:val="24"/>
          <w:szCs w:val="24"/>
          <w:lang w:val="en-GB"/>
        </w:rPr>
        <w:t>, 2019). From the perspective of Human Resource Management, innovation sprints link with</w:t>
      </w:r>
      <w:r>
        <w:rPr>
          <w:rFonts w:eastAsia="Times New Roman"/>
          <w:b/>
          <w:bCs/>
          <w:i/>
          <w:iCs/>
          <w:sz w:val="24"/>
          <w:szCs w:val="24"/>
          <w:lang w:val="en-GB"/>
        </w:rPr>
        <w:t xml:space="preserve"> Self-Determination Theory</w:t>
      </w:r>
      <w:r>
        <w:rPr>
          <w:rFonts w:eastAsia="Times New Roman"/>
          <w:sz w:val="24"/>
          <w:szCs w:val="24"/>
          <w:lang w:val="en-GB"/>
        </w:rPr>
        <w:t xml:space="preserve"> through raising mastery and autonomy, which raises performance, engagement and intrinsic motivation. </w:t>
      </w:r>
    </w:p>
    <w:bookmarkStart w:id="8" w:name="_Toc224570648"/>
    <w:p>
      <w:pPr>
        <w:pStyle w:val="style3"/>
        <w:rPr>
          <w:lang w:val="en-GB"/>
        </w:rPr>
      </w:pPr>
      <w:r>
        <w:rPr>
          <w:lang w:val="en-GB"/>
        </w:rPr>
        <w:t>3.2 Intrapreneurship Programs</w:t>
      </w:r>
      <w:bookmarkEnd w:id="8"/>
    </w:p>
    <w:p>
      <w:pPr>
        <w:pStyle w:val="style0"/>
        <w:spacing w:after="200" w:lineRule="auto" w:line="360"/>
        <w:jc w:val="both"/>
        <w:rPr>
          <w:rFonts w:eastAsia="Times New Roman"/>
          <w:sz w:val="24"/>
          <w:szCs w:val="24"/>
          <w:lang w:val="en-GB"/>
        </w:rPr>
      </w:pPr>
      <w:r>
        <w:rPr>
          <w:rFonts w:eastAsia="Times New Roman"/>
          <w:sz w:val="24"/>
          <w:szCs w:val="24"/>
          <w:lang w:val="en-GB"/>
        </w:rPr>
        <w:t>Intrapreneurship programs empower workers to behave as internal business founders who develop their concepts through corporate structures. The program establishes essential elements, which include platforms for development funding, submitting ideas, certified research periods, and mentorship programs. The programs create an environment which promotes active participation, inventive thinking and responsibility. Established programs show that organisations that provide structured assistance for employee innovation work, develop products which succeed in the market while enhancing employee motivation.</w:t>
      </w:r>
    </w:p>
    <w:bookmarkStart w:id="9" w:name="_Toc224570649"/>
    <w:p>
      <w:pPr>
        <w:pStyle w:val="style3"/>
        <w:rPr>
          <w:lang w:val="en-GB"/>
        </w:rPr>
      </w:pPr>
      <w:r>
        <w:rPr>
          <w:lang w:val="en-GB"/>
        </w:rPr>
        <w:t>3.3 Cross-Functional Innovation Teams</w:t>
      </w:r>
      <w:bookmarkEnd w:id="9"/>
    </w:p>
    <w:p>
      <w:pPr>
        <w:pStyle w:val="style0"/>
        <w:spacing w:after="200" w:lineRule="auto" w:line="360"/>
        <w:jc w:val="both"/>
        <w:rPr>
          <w:rFonts w:eastAsia="Times New Roman"/>
          <w:sz w:val="24"/>
          <w:szCs w:val="24"/>
          <w:lang w:val="en-GB"/>
        </w:rPr>
      </w:pPr>
      <w:r>
        <w:rPr>
          <w:rFonts w:eastAsia="Times New Roman"/>
          <w:sz w:val="24"/>
          <w:szCs w:val="24"/>
          <w:lang w:val="en-GB"/>
        </w:rPr>
        <w:t xml:space="preserve">Customer specialists, designers, marketers and combining engineers are mixed through cross-functional teams in project-based groups, and it will take 3 to 6 months. Through incorporating the different expertise, these groups raise collaborations, creativity and problem solving. For example, </w:t>
      </w:r>
      <w:r>
        <w:rPr>
          <w:rFonts w:eastAsia="Times New Roman"/>
          <w:sz w:val="24"/>
          <w:szCs w:val="24"/>
          <w:lang w:val="en-GB"/>
        </w:rPr>
        <w:t>t</w:t>
      </w:r>
      <w:r>
        <w:rPr>
          <w:rFonts w:eastAsia="Times New Roman"/>
          <w:sz w:val="24"/>
          <w:szCs w:val="24"/>
          <w:lang w:val="en-GB"/>
        </w:rPr>
        <w:t xml:space="preserve">he firm Apple, with its iPad-like devices mix marketing professionals, engineers, and design with the help of its product teams and offers innovative and cohesive solutions (Onia, 2022). Within Aether Innovations, incorporating similar teams helps to raise the idea for product cycles and strengthen collaborations, which directly raises the innovation-driven culture. </w:t>
      </w:r>
    </w:p>
    <w:bookmarkStart w:id="10" w:name="_Toc224570650"/>
    <w:p>
      <w:pPr>
        <w:pStyle w:val="style2"/>
        <w:rPr>
          <w:lang w:val="en-GB"/>
        </w:rPr>
      </w:pPr>
      <w:r>
        <w:rPr>
          <w:lang w:val="en-GB"/>
        </w:rPr>
        <w:t>4. Future-of-Work Model</w:t>
      </w:r>
      <w:bookmarkEnd w:id="10"/>
      <w:r>
        <w:rPr>
          <w:lang w:val="en-GB"/>
        </w:rPr>
        <w:t xml:space="preserve">  </w:t>
      </w:r>
    </w:p>
    <w:bookmarkStart w:id="11" w:name="_Toc224570651"/>
    <w:p>
      <w:pPr>
        <w:pStyle w:val="style3"/>
        <w:rPr>
          <w:lang w:val="en-GB"/>
        </w:rPr>
      </w:pPr>
      <w:r>
        <w:rPr>
          <w:lang w:val="en-GB"/>
        </w:rPr>
        <w:t>4.1 Hybrid Work Structure</w:t>
      </w:r>
      <w:bookmarkEnd w:id="11"/>
    </w:p>
    <w:p>
      <w:pPr>
        <w:pStyle w:val="style0"/>
        <w:spacing w:after="200" w:lineRule="auto" w:line="360"/>
        <w:jc w:val="both"/>
        <w:rPr>
          <w:rFonts w:eastAsia="Times New Roman"/>
          <w:sz w:val="24"/>
          <w:szCs w:val="24"/>
          <w:lang w:val="en-GB"/>
        </w:rPr>
      </w:pPr>
      <w:r>
        <w:rPr>
          <w:rFonts w:eastAsia="Times New Roman"/>
          <w:sz w:val="24"/>
          <w:szCs w:val="24"/>
          <w:lang w:val="en-GB"/>
        </w:rPr>
        <w:t xml:space="preserve">A hybrid work model within an organisation mixes in-office work with remote work to raise collaboration, autonomy and flexibility. By adopting this model, staff attending team-based activities within the organisation have also worked from home. For instance, the firm Microsoft introduced a flexible work policy for its staff, and 50% of their time is spent remotely (Microsoft, 2021). Within the technology company Aether Innovations, this hybrid model “two days in-office and three days remote” will aid autonomy, manage stress, cohesion and decrease commuting stress that raises both productivity and engagement. </w:t>
      </w:r>
    </w:p>
    <w:bookmarkStart w:id="12" w:name="_Toc224570652"/>
    <w:p>
      <w:pPr>
        <w:pStyle w:val="style3"/>
        <w:rPr>
          <w:lang w:val="en-GB"/>
        </w:rPr>
      </w:pPr>
      <w:r>
        <w:rPr>
          <w:lang w:val="en-GB"/>
        </w:rPr>
        <w:t>4.2 Digital Collaboration Tools</w:t>
      </w:r>
      <w:bookmarkEnd w:id="12"/>
    </w:p>
    <w:p>
      <w:pPr>
        <w:pStyle w:val="style0"/>
        <w:spacing w:after="200" w:lineRule="auto" w:line="360"/>
        <w:jc w:val="both"/>
        <w:rPr>
          <w:rFonts w:eastAsia="Times New Roman"/>
          <w:sz w:val="24"/>
          <w:szCs w:val="24"/>
          <w:lang w:val="en-GB"/>
        </w:rPr>
      </w:pPr>
      <w:r>
        <w:rPr>
          <w:rFonts w:eastAsia="Times New Roman"/>
          <w:sz w:val="24"/>
          <w:szCs w:val="24"/>
          <w:lang w:val="en-GB"/>
        </w:rPr>
        <w:t xml:space="preserve">Therefore, digital tools are important for raising the effectiveness of the hybrid work, empowering seamless collaboration and communication. Jira and Asana are project management platforms, and Microsoft Teams and Zoom are video conferencing tools and finally, Miro, the digital workspaces, facilitate transparency, knowledge sharing and real-time collaboration (Imam and Chowdhury, 2025). These tools within the Aether Innovations firm will permit the cross-functional teams to manage innovative momentum, accelerate decision making and work effectively regardless of physical location. </w:t>
      </w:r>
    </w:p>
    <w:bookmarkStart w:id="13" w:name="_Toc224570653"/>
    <w:p>
      <w:pPr>
        <w:pStyle w:val="style3"/>
        <w:rPr>
          <w:lang w:val="en-GB"/>
        </w:rPr>
      </w:pPr>
      <w:r>
        <w:rPr>
          <w:lang w:val="en-GB"/>
        </w:rPr>
        <w:t>4.3 Flexible Work Hours</w:t>
      </w:r>
      <w:bookmarkEnd w:id="13"/>
    </w:p>
    <w:p>
      <w:pPr>
        <w:pStyle w:val="style0"/>
        <w:spacing w:after="200" w:lineRule="auto" w:line="360"/>
        <w:jc w:val="both"/>
        <w:rPr>
          <w:rFonts w:eastAsia="Times New Roman"/>
          <w:sz w:val="24"/>
          <w:szCs w:val="24"/>
          <w:lang w:val="en-GB"/>
        </w:rPr>
      </w:pPr>
      <w:r>
        <w:rPr>
          <w:rFonts w:eastAsia="Times New Roman"/>
          <w:sz w:val="24"/>
          <w:szCs w:val="24"/>
          <w:lang w:val="en-GB"/>
        </w:rPr>
        <w:t>Therefore, transforming to results-oriented performance from rigid time-based evaluation aided intrinsic motivation and peak productivity. Within the firm, employees can maintain their schedules to link personal efficiency patterns, which can raise job satisfaction.  Apart from that, these initiatives also link with Self-Determination Theory and emphasise that promoting autonomy, organisations like Aether Innovations strengthen performance, engagement, and creativity (</w:t>
      </w:r>
      <w:r>
        <w:rPr>
          <w:rFonts w:eastAsia="Times New Roman"/>
          <w:sz w:val="24"/>
          <w:szCs w:val="24"/>
          <w:lang w:val="en-GB"/>
        </w:rPr>
        <w:t>Gagné</w:t>
      </w:r>
      <w:r>
        <w:rPr>
          <w:rFonts w:eastAsia="Times New Roman"/>
          <w:sz w:val="24"/>
          <w:szCs w:val="24"/>
          <w:lang w:val="en-GB"/>
        </w:rPr>
        <w:t xml:space="preserve"> et al. 2022). </w:t>
      </w:r>
    </w:p>
    <w:bookmarkStart w:id="14" w:name="_Toc224570654"/>
    <w:p>
      <w:pPr>
        <w:pStyle w:val="style3"/>
        <w:rPr>
          <w:lang w:val="en-GB"/>
        </w:rPr>
      </w:pPr>
      <w:r>
        <w:rPr>
          <w:lang w:val="en-GB"/>
        </w:rPr>
        <w:t>4.4 Collaborative Innovation Spaces</w:t>
      </w:r>
      <w:bookmarkEnd w:id="14"/>
    </w:p>
    <w:p>
      <w:pPr>
        <w:pStyle w:val="style0"/>
        <w:spacing w:after="200" w:lineRule="auto" w:line="360"/>
        <w:jc w:val="both"/>
        <w:rPr>
          <w:lang w:val="en-GB"/>
        </w:rPr>
      </w:pPr>
      <w:r>
        <w:rPr>
          <w:rFonts w:eastAsia="Times New Roman"/>
          <w:sz w:val="24"/>
          <w:szCs w:val="24"/>
          <w:lang w:val="en-GB"/>
        </w:rPr>
        <w:t xml:space="preserve">Spontaneous creativity and interactions are also influenced through digital collaborations within physical office spaces. For example, informal brainstorming zones and Google Campus innovation labs demonstrate innovative problem solving, cross-pollination of ideas, and in which way designed spaces foster collaboration </w:t>
      </w:r>
      <w:r>
        <w:rPr>
          <w:rFonts w:eastAsia="Times New Roman"/>
          <w:sz w:val="24"/>
          <w:szCs w:val="24"/>
          <w:lang w:val="en-GB"/>
        </w:rPr>
        <w:t>(</w:t>
      </w:r>
      <w:r>
        <w:rPr>
          <w:rFonts w:eastAsia="Times New Roman"/>
          <w:sz w:val="24"/>
          <w:szCs w:val="24"/>
          <w:lang w:val="en-GB"/>
        </w:rPr>
        <w:t>Herth</w:t>
      </w:r>
      <w:r>
        <w:rPr>
          <w:rFonts w:eastAsia="Times New Roman"/>
          <w:sz w:val="24"/>
          <w:szCs w:val="24"/>
          <w:lang w:val="en-GB"/>
        </w:rPr>
        <w:t xml:space="preserve"> et al. 2025). For the firm Aether Innovations, building those spaces will offer staff ideation, prototyping, and areas for teamwork and accelerate a culture of innovation through aided hybrid work practices. </w:t>
      </w:r>
    </w:p>
    <w:bookmarkStart w:id="15" w:name="_Toc224570655"/>
    <w:p>
      <w:pPr>
        <w:pStyle w:val="style2"/>
        <w:rPr>
          <w:lang w:val="en-GB"/>
        </w:rPr>
      </w:pPr>
      <w:r>
        <w:rPr>
          <w:lang w:val="en-GB"/>
        </w:rPr>
        <w:t>5. Linking Culture and Future Work to Motivation and Performance</w:t>
      </w:r>
      <w:bookmarkEnd w:id="15"/>
      <w:r>
        <w:rPr>
          <w:lang w:val="en-GB"/>
        </w:rPr>
        <w:t xml:space="preserve"> </w:t>
      </w:r>
    </w:p>
    <w:p>
      <w:pPr>
        <w:pStyle w:val="style0"/>
        <w:spacing w:after="200" w:lineRule="auto" w:line="360"/>
        <w:jc w:val="both"/>
        <w:rPr>
          <w:rFonts w:eastAsia="Times New Roman"/>
          <w:sz w:val="24"/>
          <w:szCs w:val="24"/>
          <w:lang w:val="en-GB"/>
        </w:rPr>
      </w:pPr>
      <w:r>
        <w:rPr>
          <w:rFonts w:eastAsia="Times New Roman"/>
          <w:sz w:val="24"/>
          <w:szCs w:val="24"/>
          <w:lang w:val="en-GB"/>
        </w:rPr>
        <w:t>A culture of innovation alongside the future-focused practices boosts the motivation level of the employees and also boosts their performance level. Increased autonomy empowers the employees to take ownership of tasks, while the skilled development opportunities, with the help of cross-cultural projects alongside the learning initiatives, enhance the competence of the employees (</w:t>
      </w:r>
      <w:r>
        <w:rPr>
          <w:rFonts w:eastAsia="Times New Roman"/>
          <w:sz w:val="24"/>
          <w:szCs w:val="24"/>
          <w:lang w:val="en-GB"/>
        </w:rPr>
        <w:t>Soegiarto</w:t>
      </w:r>
      <w:r>
        <w:rPr>
          <w:rFonts w:eastAsia="Times New Roman"/>
          <w:sz w:val="24"/>
          <w:szCs w:val="24"/>
          <w:lang w:val="en-GB"/>
        </w:rPr>
        <w:t xml:space="preserve"> et al., 2024). On the flip side, stronger organisational commitment comes to light since employees feel closely integrated with the shared goals of the organisation. Apart from this, enhanced collaboration and knowledge sharing promote the level of creativity and problem-solving, which assist in enhancing the performance and eventually satisfaction of the customers, which develops a high-performance and engaging workforce. </w:t>
      </w:r>
    </w:p>
    <w:bookmarkStart w:id="16" w:name="_Toc224570656"/>
    <w:p>
      <w:pPr>
        <w:pStyle w:val="style2"/>
        <w:rPr>
          <w:lang w:val="en-GB"/>
        </w:rPr>
      </w:pPr>
      <w:r>
        <w:rPr>
          <w:lang w:val="en-GB"/>
        </w:rPr>
        <w:t>6. Implementation Plan</w:t>
      </w:r>
      <w:bookmarkEnd w:id="16"/>
      <w:r>
        <w:rPr>
          <w:lang w:val="en-GB"/>
        </w:rPr>
        <w:t xml:space="preserve"> </w:t>
      </w:r>
    </w:p>
    <w:tbl>
      <w:tblPr>
        <w:tblStyle w:val="style4098"/>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2100"/>
        <w:gridCol w:w="2715"/>
        <w:gridCol w:w="2235"/>
      </w:tblGrid>
      <w:tr>
        <w:trPr/>
        <w:tc>
          <w:tcPr>
            <w:tcW w:w="189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pPr>
              <w:pStyle w:val="style0"/>
              <w:widowControl w:val="false"/>
              <w:spacing w:before="240" w:after="200" w:lineRule="auto" w:line="360"/>
              <w:jc w:val="both"/>
              <w:rPr>
                <w:rFonts w:eastAsia="Times New Roman"/>
                <w:b/>
                <w:bCs/>
                <w:sz w:val="24"/>
                <w:szCs w:val="24"/>
                <w:lang w:val="en-GB"/>
              </w:rPr>
            </w:pPr>
            <w:r>
              <w:rPr>
                <w:rFonts w:eastAsia="Times New Roman"/>
                <w:b/>
                <w:bCs/>
                <w:sz w:val="24"/>
                <w:szCs w:val="24"/>
                <w:lang w:val="en-GB"/>
              </w:rPr>
              <w:t>Phase</w:t>
            </w:r>
          </w:p>
        </w:tc>
        <w:tc>
          <w:tcPr>
            <w:tcW w:w="210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pPr>
              <w:pStyle w:val="style0"/>
              <w:widowControl w:val="false"/>
              <w:spacing w:before="240" w:after="200" w:lineRule="auto" w:line="360"/>
              <w:jc w:val="both"/>
              <w:rPr>
                <w:rFonts w:eastAsia="Times New Roman"/>
                <w:b/>
                <w:bCs/>
                <w:sz w:val="24"/>
                <w:szCs w:val="24"/>
                <w:lang w:val="en-GB"/>
              </w:rPr>
            </w:pPr>
            <w:r>
              <w:rPr>
                <w:rFonts w:eastAsia="Times New Roman"/>
                <w:b/>
                <w:bCs/>
                <w:sz w:val="24"/>
                <w:szCs w:val="24"/>
                <w:lang w:val="en-GB"/>
              </w:rPr>
              <w:t>Timeline</w:t>
            </w:r>
          </w:p>
        </w:tc>
        <w:tc>
          <w:tcPr>
            <w:tcW w:w="271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pPr>
              <w:pStyle w:val="style0"/>
              <w:widowControl w:val="false"/>
              <w:spacing w:before="240" w:after="200" w:lineRule="auto" w:line="360"/>
              <w:jc w:val="both"/>
              <w:rPr>
                <w:rFonts w:eastAsia="Times New Roman"/>
                <w:b/>
                <w:bCs/>
                <w:sz w:val="24"/>
                <w:szCs w:val="24"/>
                <w:lang w:val="en-GB"/>
              </w:rPr>
            </w:pPr>
            <w:r>
              <w:rPr>
                <w:rFonts w:eastAsia="Times New Roman"/>
                <w:b/>
                <w:bCs/>
                <w:sz w:val="24"/>
                <w:szCs w:val="24"/>
                <w:lang w:val="en-GB"/>
              </w:rPr>
              <w:t>Key Activities</w:t>
            </w:r>
          </w:p>
        </w:tc>
        <w:tc>
          <w:tcPr>
            <w:tcW w:w="223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pPr>
              <w:pStyle w:val="style0"/>
              <w:widowControl w:val="false"/>
              <w:spacing w:before="240" w:after="200" w:lineRule="auto" w:line="360"/>
              <w:jc w:val="both"/>
              <w:rPr>
                <w:rFonts w:eastAsia="Times New Roman"/>
                <w:b/>
                <w:bCs/>
                <w:sz w:val="24"/>
                <w:szCs w:val="24"/>
                <w:lang w:val="en-GB"/>
              </w:rPr>
            </w:pPr>
            <w:r>
              <w:rPr>
                <w:rFonts w:eastAsia="Times New Roman"/>
                <w:b/>
                <w:bCs/>
                <w:sz w:val="24"/>
                <w:szCs w:val="24"/>
                <w:lang w:val="en-GB"/>
              </w:rPr>
              <w:t>Objectives</w:t>
            </w:r>
          </w:p>
        </w:tc>
      </w:tr>
      <w:tr>
        <w:tblPrEx/>
        <w:trPr/>
        <w:tc>
          <w:tcPr>
            <w:tcW w:w="1890"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after="200" w:lineRule="auto" w:line="360"/>
              <w:jc w:val="both"/>
              <w:rPr>
                <w:rFonts w:eastAsia="Times New Roman"/>
                <w:sz w:val="24"/>
                <w:szCs w:val="24"/>
                <w:lang w:val="en-GB"/>
              </w:rPr>
            </w:pPr>
            <w:r>
              <w:rPr>
                <w:rFonts w:eastAsia="Times New Roman"/>
                <w:sz w:val="24"/>
                <w:szCs w:val="24"/>
                <w:lang w:val="en-GB"/>
              </w:rPr>
              <w:t>Phase 1: Diagnosis</w:t>
            </w:r>
          </w:p>
        </w:tc>
        <w:tc>
          <w:tcPr>
            <w:tcW w:w="2100"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after="200" w:lineRule="auto" w:line="360"/>
              <w:jc w:val="both"/>
              <w:rPr>
                <w:rFonts w:eastAsia="Times New Roman"/>
                <w:sz w:val="24"/>
                <w:szCs w:val="24"/>
                <w:lang w:val="en-GB"/>
              </w:rPr>
            </w:pPr>
            <w:r>
              <w:rPr>
                <w:rFonts w:eastAsia="Times New Roman"/>
                <w:sz w:val="24"/>
                <w:szCs w:val="24"/>
                <w:lang w:val="en-GB"/>
              </w:rPr>
              <w:t>Approx.</w:t>
            </w:r>
            <w:r>
              <w:rPr>
                <w:rFonts w:eastAsia="Times New Roman"/>
                <w:sz w:val="24"/>
                <w:szCs w:val="24"/>
                <w:lang w:val="en-GB"/>
              </w:rPr>
              <w:t xml:space="preserve"> 1 to 2 months </w:t>
            </w:r>
          </w:p>
        </w:tc>
        <w:tc>
          <w:tcPr>
            <w:tcW w:w="271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after="200" w:lineRule="auto" w:line="360"/>
              <w:jc w:val="both"/>
              <w:rPr>
                <w:rFonts w:eastAsia="Times New Roman"/>
                <w:sz w:val="24"/>
                <w:szCs w:val="24"/>
                <w:lang w:val="en-GB"/>
              </w:rPr>
            </w:pPr>
            <w:r>
              <w:rPr>
                <w:rFonts w:eastAsia="Times New Roman"/>
                <w:sz w:val="24"/>
                <w:szCs w:val="24"/>
                <w:lang w:val="en-GB"/>
              </w:rPr>
              <w:t>Review the current work strategy, perform employee surveys and analyse the culture of the organisation.</w:t>
            </w:r>
          </w:p>
        </w:tc>
        <w:tc>
          <w:tcPr>
            <w:tcW w:w="223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after="200" w:lineRule="auto" w:line="360"/>
              <w:jc w:val="both"/>
              <w:rPr>
                <w:rFonts w:eastAsia="Times New Roman"/>
                <w:sz w:val="24"/>
                <w:szCs w:val="24"/>
                <w:lang w:val="en-GB"/>
              </w:rPr>
            </w:pPr>
            <w:r>
              <w:rPr>
                <w:rFonts w:eastAsia="Times New Roman"/>
                <w:sz w:val="24"/>
                <w:szCs w:val="24"/>
                <w:lang w:val="en-GB"/>
              </w:rPr>
              <w:t xml:space="preserve">Understand the diverse needs of the workforce and set up baseline metrics. </w:t>
            </w:r>
          </w:p>
        </w:tc>
      </w:tr>
      <w:tr>
        <w:tblPrEx/>
        <w:trPr/>
        <w:tc>
          <w:tcPr>
            <w:tcW w:w="1890"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after="200" w:lineRule="auto" w:line="360"/>
              <w:jc w:val="both"/>
              <w:rPr>
                <w:rFonts w:eastAsia="Times New Roman"/>
                <w:sz w:val="24"/>
                <w:szCs w:val="24"/>
                <w:lang w:val="en-GB"/>
              </w:rPr>
            </w:pPr>
            <w:r>
              <w:rPr>
                <w:rFonts w:eastAsia="Times New Roman"/>
                <w:sz w:val="24"/>
                <w:szCs w:val="24"/>
                <w:lang w:val="en-GB"/>
              </w:rPr>
              <w:t xml:space="preserve">Phase 2: Pilot initiatives </w:t>
            </w:r>
          </w:p>
        </w:tc>
        <w:tc>
          <w:tcPr>
            <w:tcW w:w="2100" w:type="dxa"/>
            <w:tcBorders/>
            <w:shd w:val="clear" w:color="auto" w:fill="auto"/>
            <w:tcMar>
              <w:top w:w="100" w:type="dxa"/>
              <w:left w:w="100" w:type="dxa"/>
              <w:bottom w:w="100" w:type="dxa"/>
              <w:right w:w="100" w:type="dxa"/>
            </w:tcMar>
          </w:tcPr>
          <w:p>
            <w:pPr>
              <w:pStyle w:val="style0"/>
              <w:widowControl w:val="false"/>
              <w:spacing w:after="200" w:lineRule="auto" w:line="360"/>
              <w:jc w:val="both"/>
              <w:rPr>
                <w:rFonts w:eastAsia="Times New Roman"/>
                <w:sz w:val="24"/>
                <w:szCs w:val="24"/>
                <w:lang w:val="en-GB"/>
              </w:rPr>
            </w:pPr>
            <w:r>
              <w:rPr>
                <w:rFonts w:eastAsia="Times New Roman"/>
                <w:sz w:val="24"/>
                <w:szCs w:val="24"/>
                <w:lang w:val="en-GB"/>
              </w:rPr>
              <w:t>Approx.</w:t>
            </w:r>
            <w:r>
              <w:rPr>
                <w:rFonts w:eastAsia="Times New Roman"/>
                <w:sz w:val="24"/>
                <w:szCs w:val="24"/>
                <w:lang w:val="en-GB"/>
              </w:rPr>
              <w:t xml:space="preserve"> 3 to 5 months </w:t>
            </w:r>
          </w:p>
        </w:tc>
        <w:tc>
          <w:tcPr>
            <w:tcW w:w="271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after="200" w:lineRule="auto" w:line="360"/>
              <w:jc w:val="both"/>
              <w:rPr>
                <w:rFonts w:eastAsia="Times New Roman"/>
                <w:sz w:val="24"/>
                <w:szCs w:val="24"/>
                <w:lang w:val="en-GB"/>
              </w:rPr>
            </w:pPr>
            <w:r>
              <w:rPr>
                <w:rFonts w:eastAsia="Times New Roman"/>
                <w:sz w:val="24"/>
                <w:szCs w:val="24"/>
                <w:lang w:val="en-GB"/>
              </w:rPr>
              <w:t>Different intrapreneurship programmes, cross-functional teams, and ultimately introduce the innovation sprints.</w:t>
            </w:r>
          </w:p>
        </w:tc>
        <w:tc>
          <w:tcPr>
            <w:tcW w:w="223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after="200" w:lineRule="auto" w:line="360"/>
              <w:jc w:val="both"/>
              <w:rPr>
                <w:rFonts w:eastAsia="Times New Roman"/>
                <w:sz w:val="24"/>
                <w:szCs w:val="24"/>
                <w:lang w:val="en-GB"/>
              </w:rPr>
            </w:pPr>
            <w:r>
              <w:rPr>
                <w:rFonts w:eastAsia="Times New Roman"/>
                <w:sz w:val="24"/>
                <w:szCs w:val="24"/>
                <w:lang w:val="en-GB"/>
              </w:rPr>
              <w:t>W</w:t>
            </w:r>
            <w:r>
              <w:rPr>
                <w:rFonts w:eastAsia="Times New Roman"/>
                <w:sz w:val="24"/>
                <w:szCs w:val="24"/>
                <w:lang w:val="en-GB"/>
              </w:rPr>
              <w:t xml:space="preserve">hile motivating the </w:t>
            </w:r>
            <w:r>
              <w:rPr>
                <w:rFonts w:eastAsia="Times New Roman"/>
                <w:sz w:val="24"/>
                <w:szCs w:val="24"/>
                <w:lang w:val="en-GB"/>
              </w:rPr>
              <w:t>creativity,</w:t>
            </w:r>
            <w:r>
              <w:rPr>
                <w:rFonts w:eastAsia="Times New Roman"/>
                <w:sz w:val="24"/>
                <w:szCs w:val="24"/>
                <w:lang w:val="en-GB"/>
              </w:rPr>
              <w:t xml:space="preserve"> Promote strong collaboration </w:t>
            </w:r>
            <w:r>
              <w:rPr>
                <w:rFonts w:eastAsia="Times New Roman"/>
                <w:sz w:val="24"/>
                <w:szCs w:val="24"/>
                <w:lang w:val="en-GB"/>
              </w:rPr>
              <w:t>(</w:t>
            </w:r>
            <w:r>
              <w:rPr>
                <w:rFonts w:eastAsia="Times New Roman"/>
                <w:sz w:val="24"/>
                <w:szCs w:val="24"/>
                <w:lang w:val="en-GB"/>
              </w:rPr>
              <w:t>Nurhaeda</w:t>
            </w:r>
            <w:r>
              <w:rPr>
                <w:rFonts w:eastAsia="Times New Roman"/>
                <w:sz w:val="24"/>
                <w:szCs w:val="24"/>
                <w:lang w:val="en-GB"/>
              </w:rPr>
              <w:t xml:space="preserve"> et al., 2024). </w:t>
            </w:r>
          </w:p>
        </w:tc>
      </w:tr>
      <w:tr>
        <w:tblPrEx/>
        <w:trPr/>
        <w:tc>
          <w:tcPr>
            <w:tcW w:w="1890"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after="200" w:lineRule="auto" w:line="360"/>
              <w:jc w:val="both"/>
              <w:rPr>
                <w:rFonts w:eastAsia="Times New Roman"/>
                <w:sz w:val="24"/>
                <w:szCs w:val="24"/>
                <w:lang w:val="en-GB"/>
              </w:rPr>
            </w:pPr>
            <w:r>
              <w:rPr>
                <w:rFonts w:eastAsia="Times New Roman"/>
                <w:sz w:val="24"/>
                <w:szCs w:val="24"/>
                <w:lang w:val="en-GB"/>
              </w:rPr>
              <w:t xml:space="preserve">Phase 3: Future </w:t>
            </w:r>
            <w:r>
              <w:rPr>
                <w:rFonts w:eastAsia="Times New Roman"/>
                <w:sz w:val="24"/>
                <w:szCs w:val="24"/>
                <w:lang w:val="en-GB"/>
              </w:rPr>
              <w:t xml:space="preserve">of work rollout </w:t>
            </w:r>
          </w:p>
        </w:tc>
        <w:tc>
          <w:tcPr>
            <w:tcW w:w="2100" w:type="dxa"/>
            <w:tcBorders/>
            <w:shd w:val="clear" w:color="auto" w:fill="auto"/>
            <w:tcMar>
              <w:top w:w="100" w:type="dxa"/>
              <w:left w:w="100" w:type="dxa"/>
              <w:bottom w:w="100" w:type="dxa"/>
              <w:right w:w="100" w:type="dxa"/>
            </w:tcMar>
          </w:tcPr>
          <w:p>
            <w:pPr>
              <w:pStyle w:val="style0"/>
              <w:widowControl w:val="false"/>
              <w:spacing w:after="200" w:lineRule="auto" w:line="360"/>
              <w:jc w:val="both"/>
              <w:rPr>
                <w:rFonts w:eastAsia="Times New Roman"/>
                <w:sz w:val="24"/>
                <w:szCs w:val="24"/>
                <w:lang w:val="en-GB"/>
              </w:rPr>
            </w:pPr>
            <w:r>
              <w:rPr>
                <w:rFonts w:eastAsia="Times New Roman"/>
                <w:sz w:val="24"/>
                <w:szCs w:val="24"/>
                <w:lang w:val="en-GB"/>
              </w:rPr>
              <w:t>Approx.</w:t>
            </w:r>
            <w:r>
              <w:rPr>
                <w:rFonts w:eastAsia="Times New Roman"/>
                <w:sz w:val="24"/>
                <w:szCs w:val="24"/>
                <w:lang w:val="en-GB"/>
              </w:rPr>
              <w:t xml:space="preserve"> 6 to 8 </w:t>
            </w:r>
            <w:r>
              <w:rPr>
                <w:rFonts w:eastAsia="Times New Roman"/>
                <w:sz w:val="24"/>
                <w:szCs w:val="24"/>
                <w:lang w:val="en-GB"/>
              </w:rPr>
              <w:t xml:space="preserve">months </w:t>
            </w:r>
          </w:p>
        </w:tc>
        <w:tc>
          <w:tcPr>
            <w:tcW w:w="271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after="200" w:lineRule="auto" w:line="360"/>
              <w:jc w:val="both"/>
              <w:rPr>
                <w:rFonts w:eastAsia="Times New Roman"/>
                <w:sz w:val="24"/>
                <w:szCs w:val="24"/>
                <w:lang w:val="en-GB"/>
              </w:rPr>
            </w:pPr>
            <w:r>
              <w:rPr>
                <w:rFonts w:eastAsia="Times New Roman"/>
                <w:sz w:val="24"/>
                <w:szCs w:val="24"/>
                <w:lang w:val="en-GB"/>
              </w:rPr>
              <w:t>D</w:t>
            </w:r>
            <w:r>
              <w:rPr>
                <w:rFonts w:eastAsia="Times New Roman"/>
                <w:sz w:val="24"/>
                <w:szCs w:val="24"/>
                <w:lang w:val="en-GB"/>
              </w:rPr>
              <w:t xml:space="preserve">ifferent </w:t>
            </w:r>
            <w:r>
              <w:rPr>
                <w:rFonts w:eastAsia="Times New Roman"/>
                <w:sz w:val="24"/>
                <w:szCs w:val="24"/>
                <w:lang w:val="en-GB"/>
              </w:rPr>
              <w:t>tools</w:t>
            </w:r>
            <w:r>
              <w:rPr>
                <w:rFonts w:eastAsia="Times New Roman"/>
                <w:sz w:val="24"/>
                <w:szCs w:val="24"/>
                <w:lang w:val="en-GB"/>
              </w:rPr>
              <w:t xml:space="preserve"> for </w:t>
            </w:r>
            <w:r>
              <w:rPr>
                <w:rFonts w:eastAsia="Times New Roman"/>
                <w:sz w:val="24"/>
                <w:szCs w:val="24"/>
                <w:lang w:val="en-GB"/>
              </w:rPr>
              <w:t xml:space="preserve">digital </w:t>
            </w:r>
            <w:r>
              <w:rPr>
                <w:rFonts w:eastAsia="Times New Roman"/>
                <w:sz w:val="24"/>
                <w:szCs w:val="24"/>
                <w:lang w:val="en-GB"/>
              </w:rPr>
              <w:t>collaboration</w:t>
            </w:r>
            <w:r>
              <w:rPr>
                <w:rFonts w:eastAsia="Times New Roman"/>
                <w:sz w:val="24"/>
                <w:szCs w:val="24"/>
                <w:lang w:val="en-GB"/>
              </w:rPr>
              <w:t>, redesign the spaces</w:t>
            </w:r>
            <w:r>
              <w:rPr>
                <w:rFonts w:eastAsia="Times New Roman"/>
                <w:sz w:val="24"/>
                <w:szCs w:val="24"/>
                <w:lang w:val="en-GB"/>
              </w:rPr>
              <w:t xml:space="preserve"> of office,</w:t>
            </w:r>
            <w:r>
              <w:rPr>
                <w:rFonts w:eastAsia="Times New Roman"/>
                <w:sz w:val="24"/>
                <w:szCs w:val="24"/>
                <w:lang w:val="en-GB"/>
              </w:rPr>
              <w:t xml:space="preserve"> and </w:t>
            </w:r>
            <w:r>
              <w:rPr>
                <w:rFonts w:eastAsia="Times New Roman"/>
                <w:sz w:val="24"/>
                <w:szCs w:val="24"/>
                <w:lang w:val="en-GB"/>
              </w:rPr>
              <w:t xml:space="preserve">align </w:t>
            </w:r>
            <w:r>
              <w:rPr>
                <w:rFonts w:eastAsia="Times New Roman"/>
                <w:sz w:val="24"/>
                <w:szCs w:val="24"/>
                <w:lang w:val="en-GB"/>
              </w:rPr>
              <w:t xml:space="preserve">the work model. </w:t>
            </w:r>
          </w:p>
        </w:tc>
        <w:tc>
          <w:tcPr>
            <w:tcW w:w="223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after="200" w:lineRule="auto" w:line="360"/>
              <w:jc w:val="both"/>
              <w:rPr>
                <w:rFonts w:eastAsia="Times New Roman"/>
                <w:sz w:val="24"/>
                <w:szCs w:val="24"/>
                <w:lang w:val="en-GB"/>
              </w:rPr>
            </w:pPr>
            <w:r>
              <w:rPr>
                <w:rFonts w:eastAsia="Times New Roman"/>
                <w:sz w:val="24"/>
                <w:szCs w:val="24"/>
                <w:lang w:val="en-GB"/>
              </w:rPr>
              <w:t xml:space="preserve">Boost the </w:t>
            </w:r>
            <w:r>
              <w:rPr>
                <w:rFonts w:eastAsia="Times New Roman"/>
                <w:sz w:val="24"/>
                <w:szCs w:val="24"/>
                <w:lang w:val="en-GB"/>
              </w:rPr>
              <w:t>innovative culture</w:t>
            </w:r>
            <w:r>
              <w:rPr>
                <w:rFonts w:eastAsia="Times New Roman"/>
                <w:sz w:val="24"/>
                <w:szCs w:val="24"/>
                <w:lang w:val="en-GB"/>
              </w:rPr>
              <w:t xml:space="preserve"> </w:t>
            </w:r>
            <w:r>
              <w:rPr>
                <w:rFonts w:eastAsia="Times New Roman"/>
                <w:sz w:val="24"/>
                <w:szCs w:val="24"/>
                <w:lang w:val="en-GB"/>
              </w:rPr>
              <w:t>and improve</w:t>
            </w:r>
            <w:r>
              <w:rPr>
                <w:rFonts w:eastAsia="Times New Roman"/>
                <w:sz w:val="24"/>
                <w:szCs w:val="24"/>
                <w:lang w:val="en-GB"/>
              </w:rPr>
              <w:t xml:space="preserve"> the level of</w:t>
            </w:r>
            <w:r>
              <w:rPr>
                <w:rFonts w:eastAsia="Times New Roman"/>
                <w:sz w:val="24"/>
                <w:szCs w:val="24"/>
                <w:lang w:val="en-GB"/>
              </w:rPr>
              <w:t xml:space="preserve"> the collaboration. </w:t>
            </w:r>
          </w:p>
        </w:tc>
      </w:tr>
      <w:tr>
        <w:tblPrEx/>
        <w:trPr/>
        <w:tc>
          <w:tcPr>
            <w:tcW w:w="1890"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after="200" w:lineRule="auto" w:line="360"/>
              <w:jc w:val="both"/>
              <w:rPr>
                <w:rFonts w:eastAsia="Times New Roman"/>
                <w:sz w:val="24"/>
                <w:szCs w:val="24"/>
                <w:lang w:val="en-GB"/>
              </w:rPr>
            </w:pPr>
            <w:r>
              <w:rPr>
                <w:rFonts w:eastAsia="Times New Roman"/>
                <w:sz w:val="24"/>
                <w:szCs w:val="24"/>
                <w:lang w:val="en-GB"/>
              </w:rPr>
              <w:t xml:space="preserve">Phase 4: Evaluation and Adjustment </w:t>
            </w:r>
          </w:p>
        </w:tc>
        <w:tc>
          <w:tcPr>
            <w:tcW w:w="2100" w:type="dxa"/>
            <w:tcBorders/>
            <w:shd w:val="clear" w:color="auto" w:fill="auto"/>
            <w:tcMar>
              <w:top w:w="100" w:type="dxa"/>
              <w:left w:w="100" w:type="dxa"/>
              <w:bottom w:w="100" w:type="dxa"/>
              <w:right w:w="100" w:type="dxa"/>
            </w:tcMar>
          </w:tcPr>
          <w:p>
            <w:pPr>
              <w:pStyle w:val="style0"/>
              <w:widowControl w:val="false"/>
              <w:spacing w:after="200" w:lineRule="auto" w:line="360"/>
              <w:jc w:val="both"/>
              <w:rPr>
                <w:rFonts w:eastAsia="Times New Roman"/>
                <w:sz w:val="24"/>
                <w:szCs w:val="24"/>
                <w:lang w:val="en-GB"/>
              </w:rPr>
            </w:pPr>
            <w:r>
              <w:rPr>
                <w:rFonts w:eastAsia="Times New Roman"/>
                <w:sz w:val="24"/>
                <w:szCs w:val="24"/>
                <w:lang w:val="en-GB"/>
              </w:rPr>
              <w:t>Approx.</w:t>
            </w:r>
            <w:r>
              <w:rPr>
                <w:rFonts w:eastAsia="Times New Roman"/>
                <w:sz w:val="24"/>
                <w:szCs w:val="24"/>
                <w:lang w:val="en-GB"/>
              </w:rPr>
              <w:t xml:space="preserve"> 9 to 12 months </w:t>
            </w:r>
          </w:p>
        </w:tc>
        <w:tc>
          <w:tcPr>
            <w:tcW w:w="271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after="200" w:lineRule="auto" w:line="360"/>
              <w:jc w:val="both"/>
              <w:rPr>
                <w:rFonts w:eastAsia="Times New Roman"/>
                <w:sz w:val="24"/>
                <w:szCs w:val="24"/>
                <w:lang w:val="en-GB"/>
              </w:rPr>
            </w:pPr>
            <w:r>
              <w:rPr>
                <w:rFonts w:eastAsia="Times New Roman"/>
                <w:sz w:val="24"/>
                <w:szCs w:val="24"/>
                <w:lang w:val="en-GB"/>
              </w:rPr>
              <w:t xml:space="preserve">Innovation outputs, strong partnerships, productivity, and the satisfaction level of the customers. </w:t>
            </w:r>
          </w:p>
        </w:tc>
        <w:tc>
          <w:tcPr>
            <w:tcW w:w="223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after="200" w:lineRule="auto" w:line="360"/>
              <w:jc w:val="both"/>
              <w:rPr>
                <w:rFonts w:eastAsia="Times New Roman"/>
                <w:sz w:val="24"/>
                <w:szCs w:val="24"/>
                <w:lang w:val="en-GB"/>
              </w:rPr>
            </w:pPr>
            <w:r>
              <w:rPr>
                <w:rFonts w:eastAsia="Times New Roman"/>
                <w:sz w:val="24"/>
                <w:szCs w:val="24"/>
                <w:lang w:val="en-GB"/>
              </w:rPr>
              <w:t xml:space="preserve">Enhance the performance and maintain the growth of the firm. </w:t>
            </w:r>
          </w:p>
        </w:tc>
      </w:tr>
    </w:tbl>
    <w:p>
      <w:pPr>
        <w:pStyle w:val="style0"/>
        <w:spacing w:after="200" w:lineRule="auto" w:line="360"/>
        <w:jc w:val="both"/>
        <w:rPr>
          <w:rFonts w:eastAsia="Times New Roman"/>
          <w:b/>
          <w:bCs/>
          <w:sz w:val="24"/>
          <w:szCs w:val="24"/>
          <w:lang w:val="en-GB"/>
        </w:rPr>
      </w:pPr>
    </w:p>
    <w:p>
      <w:pPr>
        <w:pStyle w:val="style0"/>
        <w:spacing w:after="200" w:lineRule="auto" w:line="360"/>
        <w:jc w:val="center"/>
        <w:rPr>
          <w:rFonts w:eastAsia="Times New Roman"/>
          <w:b/>
          <w:sz w:val="24"/>
          <w:szCs w:val="24"/>
          <w:lang w:val="en-GB"/>
        </w:rPr>
      </w:pPr>
      <w:r>
        <w:rPr>
          <w:rFonts w:eastAsia="Times New Roman"/>
          <w:b/>
          <w:sz w:val="24"/>
          <w:szCs w:val="24"/>
          <w:lang w:val="en-GB"/>
        </w:rPr>
        <w:t xml:space="preserve">Table 1: Implementation table </w:t>
      </w:r>
    </w:p>
    <w:p>
      <w:pPr>
        <w:pStyle w:val="style0"/>
        <w:spacing w:after="200" w:lineRule="auto" w:line="360"/>
        <w:jc w:val="center"/>
        <w:rPr>
          <w:rFonts w:eastAsia="Times New Roman"/>
          <w:sz w:val="24"/>
          <w:szCs w:val="24"/>
          <w:lang w:val="en-GB"/>
        </w:rPr>
      </w:pPr>
      <w:r>
        <w:rPr>
          <w:rFonts w:eastAsia="Times New Roman"/>
          <w:sz w:val="24"/>
          <w:szCs w:val="24"/>
          <w:lang w:val="en-GB"/>
        </w:rPr>
        <w:t>(Source: Self-developed)</w:t>
      </w:r>
    </w:p>
    <w:bookmarkStart w:id="17" w:name="_Toc224570657"/>
    <w:p>
      <w:pPr>
        <w:pStyle w:val="style2"/>
        <w:rPr>
          <w:lang w:val="en-GB"/>
        </w:rPr>
      </w:pPr>
      <w:r>
        <w:rPr>
          <w:lang w:val="en-GB"/>
        </w:rPr>
        <w:t>7. Expected Outcomes</w:t>
      </w:r>
      <w:bookmarkEnd w:id="17"/>
      <w:r>
        <w:rPr>
          <w:lang w:val="en-GB"/>
        </w:rPr>
        <w:t xml:space="preserve">   </w:t>
      </w:r>
    </w:p>
    <w:p>
      <w:pPr>
        <w:pStyle w:val="style0"/>
        <w:spacing w:after="200" w:lineRule="auto" w:line="360"/>
        <w:jc w:val="both"/>
        <w:rPr>
          <w:rFonts w:eastAsia="Times New Roman"/>
          <w:sz w:val="24"/>
          <w:szCs w:val="24"/>
          <w:lang w:val="en-GB"/>
        </w:rPr>
      </w:pPr>
      <w:r>
        <w:rPr>
          <w:rFonts w:eastAsia="Times New Roman"/>
          <w:sz w:val="24"/>
          <w:szCs w:val="24"/>
          <w:lang w:val="en-GB"/>
        </w:rPr>
        <w:t>Integrating the structural initiatives and proposed cultural initiatives results in different positive results for the firm Aether Innovations. The job satisfaction, motivation and employee engagement raise the opportunity for skill development, and staff acquire greater autonomy and engagement in innovation initiatives (</w:t>
      </w:r>
      <w:r>
        <w:rPr>
          <w:rFonts w:eastAsia="Times New Roman"/>
          <w:sz w:val="24"/>
          <w:szCs w:val="24"/>
          <w:lang w:val="en-GB"/>
        </w:rPr>
        <w:t>Jerab</w:t>
      </w:r>
      <w:r>
        <w:rPr>
          <w:rFonts w:eastAsia="Times New Roman"/>
          <w:sz w:val="24"/>
          <w:szCs w:val="24"/>
          <w:lang w:val="en-GB"/>
        </w:rPr>
        <w:t xml:space="preserve"> and </w:t>
      </w:r>
      <w:r>
        <w:rPr>
          <w:rFonts w:eastAsia="Times New Roman"/>
          <w:sz w:val="24"/>
          <w:szCs w:val="24"/>
          <w:lang w:val="en-GB"/>
        </w:rPr>
        <w:t>Mabrouk</w:t>
      </w:r>
      <w:r>
        <w:rPr>
          <w:rFonts w:eastAsia="Times New Roman"/>
          <w:sz w:val="24"/>
          <w:szCs w:val="24"/>
          <w:lang w:val="en-GB"/>
        </w:rPr>
        <w:t>, 2023). Besides that, the flexible workspaces and enhanced career development raise talent retention and decrease staff turnover within the organisation. Therefore, knowledge sharing and cross-functional collaboration will raise innovation outcomes and internal efficiency. Finally, the structured innovative practices like intrapreneurship programmes will boost the Aether Innovations' capacity for problem solving, experimentation and idea generation. Finally, these changes must drive higher customer satisfaction by improving service quality and faster product development while establishing an innovation-driven and sustainable organisational culture that boosts Aether Innovations’</w:t>
      </w:r>
      <w:r>
        <w:rPr>
          <w:rFonts w:eastAsia="Times New Roman"/>
          <w:sz w:val="24"/>
          <w:szCs w:val="24"/>
          <w:lang w:val="en-GB"/>
        </w:rPr>
        <w:t xml:space="preserve"> </w:t>
      </w:r>
      <w:r>
        <w:rPr>
          <w:rFonts w:eastAsia="Times New Roman"/>
          <w:sz w:val="24"/>
          <w:szCs w:val="24"/>
          <w:lang w:val="en-GB"/>
        </w:rPr>
        <w:t>competitive edge.</w:t>
      </w:r>
    </w:p>
    <w:bookmarkStart w:id="18" w:name="_Toc224570658"/>
    <w:p>
      <w:pPr>
        <w:pStyle w:val="style2"/>
        <w:rPr>
          <w:lang w:val="en-GB"/>
        </w:rPr>
      </w:pPr>
      <w:r>
        <w:rPr>
          <w:lang w:val="en-GB"/>
        </w:rPr>
        <w:t>8. Conclusion</w:t>
      </w:r>
      <w:bookmarkEnd w:id="18"/>
      <w:r>
        <w:rPr>
          <w:lang w:val="en-GB"/>
        </w:rPr>
        <w:t xml:space="preserve"> </w:t>
      </w:r>
    </w:p>
    <w:p>
      <w:pPr>
        <w:pStyle w:val="style0"/>
        <w:spacing w:after="200" w:lineRule="auto" w:line="360"/>
        <w:jc w:val="both"/>
        <w:rPr>
          <w:rFonts w:eastAsia="Times New Roman"/>
          <w:sz w:val="24"/>
          <w:szCs w:val="24"/>
          <w:lang w:val="en-GB"/>
        </w:rPr>
      </w:pPr>
      <w:r>
        <w:rPr>
          <w:rFonts w:eastAsia="Times New Roman"/>
          <w:sz w:val="24"/>
          <w:szCs w:val="24"/>
          <w:lang w:val="en-GB"/>
        </w:rPr>
        <w:t xml:space="preserve">It is concluded that Aether Innovations’ organisation needs a hybrid model to achieve better performance because it helps motivate employees while increasing their work </w:t>
      </w:r>
      <w:r>
        <w:rPr>
          <w:rFonts w:eastAsia="Times New Roman"/>
          <w:sz w:val="24"/>
          <w:szCs w:val="24"/>
          <w:lang w:val="en-GB"/>
        </w:rPr>
        <w:t>commitment. Aether Innovations uses this method to drive performance because its organisation has an innovation-driven culture that connects business results with cultural outcomes. Aether Innovations can achieve its goals to improve innovation and customer-focused communication through cross-functional partnerships that help reduce organisational borders.</w:t>
      </w:r>
    </w:p>
    <w:p>
      <w:pPr>
        <w:pStyle w:val="style0"/>
        <w:rPr>
          <w:b/>
          <w:sz w:val="28"/>
          <w:szCs w:val="40"/>
          <w:lang w:val="en-GB"/>
        </w:rPr>
      </w:pPr>
      <w:r>
        <w:rPr>
          <w:lang w:val="en-GB"/>
        </w:rPr>
        <w:br w:type="page"/>
      </w:r>
    </w:p>
    <w:bookmarkStart w:id="19" w:name="_Toc224570659"/>
    <w:p>
      <w:pPr>
        <w:pStyle w:val="style1"/>
        <w:rPr>
          <w:lang w:val="en-GB"/>
        </w:rPr>
      </w:pPr>
      <w:r>
        <w:rPr>
          <w:lang w:val="en-GB"/>
        </w:rPr>
        <w:t>Part 2: Reflection on Learning Journey and Personal Growth</w:t>
      </w:r>
      <w:bookmarkEnd w:id="19"/>
    </w:p>
    <w:p>
      <w:pPr>
        <w:pStyle w:val="style0"/>
        <w:spacing w:after="200" w:lineRule="auto" w:line="360"/>
        <w:jc w:val="both"/>
        <w:rPr>
          <w:rFonts w:eastAsia="Times New Roman"/>
          <w:sz w:val="24"/>
          <w:szCs w:val="24"/>
          <w:lang w:val="en-GB"/>
        </w:rPr>
      </w:pPr>
      <w:r>
        <w:rPr>
          <w:rFonts w:eastAsia="Times New Roman"/>
          <w:sz w:val="24"/>
          <w:szCs w:val="24"/>
          <w:lang w:val="en-GB"/>
        </w:rPr>
        <w:t xml:space="preserve">This module improved my understanding of human capital, organisational culture and ultimately innovation across driving performances.  With the help of case studies and practical exercises, I learned to design strategies promoting both creativity and engagement. This reflection travels over applying a growth </w:t>
      </w:r>
      <w:r>
        <w:rPr>
          <w:rFonts w:eastAsia="Times New Roman"/>
          <w:sz w:val="24"/>
          <w:szCs w:val="24"/>
          <w:lang w:val="en-GB"/>
        </w:rPr>
        <w:t>mind set</w:t>
      </w:r>
      <w:r>
        <w:rPr>
          <w:rFonts w:eastAsia="Times New Roman"/>
          <w:sz w:val="24"/>
          <w:szCs w:val="24"/>
          <w:lang w:val="en-GB"/>
        </w:rPr>
        <w:t xml:space="preserve"> through leveraging the Gibbs reflective cycle and staying relevant across </w:t>
      </w:r>
      <w:r>
        <w:rPr>
          <w:rFonts w:eastAsia="Times New Roman"/>
          <w:sz w:val="24"/>
          <w:szCs w:val="24"/>
          <w:lang w:val="en-GB"/>
        </w:rPr>
        <w:t>an AI</w:t>
      </w:r>
      <w:r>
        <w:rPr>
          <w:rFonts w:eastAsia="Times New Roman"/>
          <w:sz w:val="24"/>
          <w:szCs w:val="24"/>
          <w:lang w:val="en-GB"/>
        </w:rPr>
        <w:t xml:space="preserve">-driven workplace. </w:t>
      </w:r>
    </w:p>
    <w:bookmarkStart w:id="20" w:name="_Toc224570660"/>
    <w:p>
      <w:pPr>
        <w:pStyle w:val="style2"/>
        <w:rPr>
          <w:lang w:val="en-GB"/>
        </w:rPr>
      </w:pPr>
      <w:r>
        <w:rPr>
          <w:lang w:val="en-GB"/>
        </w:rPr>
        <w:t xml:space="preserve">2.1 </w:t>
      </w:r>
      <w:r>
        <w:rPr>
          <w:lang w:val="en-GB"/>
        </w:rPr>
        <w:t>Reflection Using Gibbs’ Reflective Cycle</w:t>
      </w:r>
      <w:bookmarkEnd w:id="20"/>
      <w:r>
        <w:rPr>
          <w:lang w:val="en-GB"/>
        </w:rPr>
        <w:t xml:space="preserve"> </w:t>
      </w:r>
    </w:p>
    <w:p>
      <w:pPr>
        <w:pStyle w:val="style0"/>
        <w:spacing w:after="200" w:lineRule="auto" w:line="360"/>
        <w:jc w:val="both"/>
        <w:rPr>
          <w:rFonts w:eastAsia="Times New Roman"/>
          <w:b/>
          <w:bCs/>
          <w:i/>
          <w:sz w:val="24"/>
          <w:szCs w:val="24"/>
          <w:lang w:val="en-GB"/>
        </w:rPr>
      </w:pPr>
      <w:r>
        <w:rPr>
          <w:rFonts w:eastAsia="Times New Roman"/>
          <w:b/>
          <w:bCs/>
          <w:i/>
          <w:sz w:val="24"/>
          <w:szCs w:val="24"/>
          <w:lang w:val="en-GB"/>
        </w:rPr>
        <w:t>Description</w:t>
      </w:r>
    </w:p>
    <w:p>
      <w:pPr>
        <w:pStyle w:val="style0"/>
        <w:spacing w:after="200" w:lineRule="auto" w:line="360"/>
        <w:jc w:val="both"/>
        <w:rPr>
          <w:rFonts w:eastAsia="Times New Roman"/>
          <w:sz w:val="24"/>
          <w:szCs w:val="24"/>
          <w:lang w:val="en-GB"/>
        </w:rPr>
      </w:pPr>
      <w:r>
        <w:rPr>
          <w:rFonts w:eastAsia="Times New Roman"/>
          <w:sz w:val="24"/>
          <w:szCs w:val="24"/>
          <w:lang w:val="en-GB"/>
        </w:rPr>
        <w:t xml:space="preserve">During this module, I was actively involved with different topics, incorporating the cross-functional collaboration, innovation culture, performance management and ultimately the future-of-work practices. The Aether Innovations case study was specifically </w:t>
      </w:r>
      <w:r>
        <w:rPr>
          <w:rFonts w:eastAsia="Times New Roman"/>
          <w:sz w:val="24"/>
          <w:szCs w:val="24"/>
          <w:lang w:val="en-GB"/>
        </w:rPr>
        <w:t>influential</w:t>
      </w:r>
      <w:r>
        <w:rPr>
          <w:rFonts w:eastAsia="Times New Roman"/>
          <w:sz w:val="24"/>
          <w:szCs w:val="24"/>
          <w:lang w:val="en-GB"/>
        </w:rPr>
        <w:t xml:space="preserve"> which requires the close alignment of HRM theory with practical problem-solving initiatives. I also learned to critically analyse the organisational challenges and propose some human capital strategies which closely integrate with people practices with business goals. Besides that, both practical exercises and the group discussion enabled me to critically investigate the current industry practices and also understand how technology companies successfully implement the innovation (</w:t>
      </w:r>
      <w:r>
        <w:rPr>
          <w:rFonts w:eastAsia="Times New Roman"/>
          <w:sz w:val="24"/>
          <w:szCs w:val="24"/>
          <w:lang w:val="en-GB"/>
        </w:rPr>
        <w:t>Bargoni</w:t>
      </w:r>
      <w:r>
        <w:rPr>
          <w:rFonts w:eastAsia="Times New Roman"/>
          <w:sz w:val="24"/>
          <w:szCs w:val="24"/>
          <w:lang w:val="en-GB"/>
        </w:rPr>
        <w:t xml:space="preserve"> et al., 2024).  These experiences offered a clear framework for applying the theory to practice and also offered insights into designing the Learning and Development (L&amp;D) initiatives for myself and the future teams. </w:t>
      </w:r>
    </w:p>
    <w:p>
      <w:pPr>
        <w:pStyle w:val="style0"/>
        <w:spacing w:after="200" w:lineRule="auto" w:line="360"/>
        <w:jc w:val="both"/>
        <w:rPr>
          <w:rFonts w:eastAsia="Times New Roman"/>
          <w:b/>
          <w:bCs/>
          <w:i/>
          <w:sz w:val="24"/>
          <w:szCs w:val="24"/>
          <w:lang w:val="en-GB"/>
        </w:rPr>
      </w:pPr>
      <w:r>
        <w:rPr>
          <w:rFonts w:eastAsia="Times New Roman"/>
          <w:b/>
          <w:bCs/>
          <w:i/>
          <w:sz w:val="24"/>
          <w:szCs w:val="24"/>
          <w:lang w:val="en-GB"/>
        </w:rPr>
        <w:t xml:space="preserve">Feelings </w:t>
      </w:r>
    </w:p>
    <w:p>
      <w:pPr>
        <w:pStyle w:val="style0"/>
        <w:spacing w:after="200" w:lineRule="auto" w:line="360"/>
        <w:jc w:val="both"/>
        <w:rPr>
          <w:rFonts w:eastAsia="Times New Roman"/>
          <w:sz w:val="24"/>
          <w:szCs w:val="24"/>
          <w:lang w:val="en-GB"/>
        </w:rPr>
      </w:pPr>
      <w:r>
        <w:rPr>
          <w:rFonts w:eastAsia="Times New Roman"/>
          <w:sz w:val="24"/>
          <w:szCs w:val="24"/>
          <w:lang w:val="en-GB"/>
        </w:rPr>
        <w:t xml:space="preserve">Primarily, I was uncertain about applying the HR theories to a fast-growing organisation like the Aether Innovations, specifically, perfectly aligning the culture, performance and innovations. However, exploring the case studies, research alongside industry best practices gives me a sense of confidence. Besides that, identifying the different innovations like hybrid work approach, </w:t>
      </w:r>
      <w:r>
        <w:rPr>
          <w:rFonts w:eastAsia="Times New Roman"/>
          <w:sz w:val="24"/>
          <w:szCs w:val="24"/>
          <w:lang w:val="en-GB"/>
        </w:rPr>
        <w:t>intrapreneurship</w:t>
      </w:r>
      <w:r>
        <w:rPr>
          <w:rFonts w:eastAsia="Times New Roman"/>
          <w:sz w:val="24"/>
          <w:szCs w:val="24"/>
          <w:lang w:val="en-GB"/>
        </w:rPr>
        <w:t xml:space="preserve"> and innovation sprints excited me, which transformed my perspective from theory to practical application while motivating me to design more effective HR strategies. </w:t>
      </w:r>
    </w:p>
    <w:p>
      <w:pPr>
        <w:pStyle w:val="style0"/>
        <w:spacing w:after="200" w:lineRule="auto" w:line="360"/>
        <w:jc w:val="both"/>
        <w:rPr>
          <w:rFonts w:eastAsia="Times New Roman"/>
          <w:b/>
          <w:bCs/>
          <w:i/>
          <w:sz w:val="24"/>
          <w:szCs w:val="24"/>
          <w:lang w:val="en-GB"/>
        </w:rPr>
      </w:pPr>
      <w:r>
        <w:rPr>
          <w:rFonts w:eastAsia="Times New Roman"/>
          <w:b/>
          <w:bCs/>
          <w:i/>
          <w:sz w:val="24"/>
          <w:szCs w:val="24"/>
          <w:lang w:val="en-GB"/>
        </w:rPr>
        <w:t>Evaluation</w:t>
      </w:r>
    </w:p>
    <w:p>
      <w:pPr>
        <w:pStyle w:val="style0"/>
        <w:spacing w:after="200" w:lineRule="auto" w:line="360"/>
        <w:jc w:val="both"/>
        <w:rPr>
          <w:rFonts w:eastAsia="Times New Roman"/>
          <w:sz w:val="24"/>
          <w:szCs w:val="24"/>
          <w:lang w:val="en-GB"/>
        </w:rPr>
      </w:pPr>
      <w:r>
        <w:rPr>
          <w:rFonts w:eastAsia="Times New Roman"/>
          <w:sz w:val="24"/>
          <w:szCs w:val="24"/>
          <w:lang w:val="en-GB"/>
        </w:rPr>
        <w:t xml:space="preserve">The learning experience has multiple positive outcomes. I obtained a cohesive understanding of how innovation-oriented cultures alongside flexible work structures notably contributed to employee engagement as well as organisational performance. I also gain actionable insights for designing the HR strategies from the learning regarding the digital collaboration, cross-functional teams and eventually the performance-aligned job design. Despite these benefits, I was also exposed to some challenges. The prior challenge which I experienced was integrating multiple HR interventions across a holistic blueprint without duplicating the </w:t>
      </w:r>
      <w:r>
        <w:rPr/>
        <w:fldChar w:fldCharType="begin"/>
      </w:r>
      <w:r>
        <w:instrText xml:space="preserve"> HYPERLINK "http://efforts.in" </w:instrText>
      </w:r>
      <w:r>
        <w:rPr/>
        <w:fldChar w:fldCharType="separate"/>
      </w:r>
      <w:r>
        <w:rPr>
          <w:rFonts w:eastAsia="Times New Roman"/>
          <w:sz w:val="24"/>
          <w:szCs w:val="24"/>
          <w:lang w:val="en-GB"/>
        </w:rPr>
        <w:t>efforts</w:t>
      </w:r>
      <w:r>
        <w:rPr/>
        <w:fldChar w:fldCharType="end"/>
      </w:r>
      <w:r>
        <w:rPr/>
        <w:fldChar w:fldCharType="begin"/>
      </w:r>
      <w:r>
        <w:instrText xml:space="preserve"> HYPERLINK "http://efforts.in" </w:instrText>
      </w:r>
      <w:r>
        <w:rPr/>
        <w:fldChar w:fldCharType="separate"/>
      </w:r>
      <w:r>
        <w:rPr>
          <w:rFonts w:eastAsia="Times New Roman"/>
          <w:color w:val="1155cc"/>
          <w:sz w:val="24"/>
          <w:szCs w:val="24"/>
          <w:u w:val="single"/>
          <w:lang w:val="en-GB"/>
        </w:rPr>
        <w:t>.</w:t>
      </w:r>
      <w:r>
        <w:rPr/>
        <w:fldChar w:fldCharType="end"/>
      </w:r>
      <w:r>
        <w:rPr>
          <w:rFonts w:eastAsia="Times New Roman"/>
          <w:sz w:val="24"/>
          <w:szCs w:val="24"/>
          <w:lang w:val="en-GB"/>
        </w:rPr>
        <w:t xml:space="preserve"> </w:t>
      </w:r>
      <w:r>
        <w:rPr>
          <w:rFonts w:eastAsia="Times New Roman"/>
          <w:sz w:val="24"/>
          <w:szCs w:val="24"/>
          <w:lang w:val="en-GB"/>
        </w:rPr>
        <w:t>Furthermore, Eswaran (</w:t>
      </w:r>
      <w:r>
        <w:rPr>
          <w:rFonts w:eastAsia="Times New Roman"/>
          <w:sz w:val="24"/>
          <w:szCs w:val="24"/>
          <w:lang w:val="en-GB"/>
        </w:rPr>
        <w:t>2024</w:t>
      </w:r>
      <w:r>
        <w:rPr>
          <w:rFonts w:eastAsia="Times New Roman"/>
          <w:sz w:val="24"/>
          <w:szCs w:val="24"/>
          <w:lang w:val="en-GB"/>
        </w:rPr>
        <w:t>)  cited that integrating the theoretical framework</w:t>
      </w:r>
      <w:r>
        <w:rPr>
          <w:rFonts w:eastAsia="Times New Roman"/>
          <w:sz w:val="24"/>
          <w:szCs w:val="24"/>
          <w:lang w:val="en-GB"/>
        </w:rPr>
        <w:t xml:space="preserve"> with real-world scenarios </w:t>
      </w:r>
      <w:r>
        <w:rPr>
          <w:rFonts w:eastAsia="Times New Roman"/>
          <w:sz w:val="24"/>
          <w:szCs w:val="24"/>
          <w:lang w:val="en-GB"/>
        </w:rPr>
        <w:t>showcased the need for both creativity as well as  critical thinking.</w:t>
      </w:r>
      <w:r>
        <w:rPr>
          <w:rFonts w:eastAsia="Times New Roman"/>
          <w:sz w:val="24"/>
          <w:szCs w:val="24"/>
          <w:lang w:val="en-GB"/>
        </w:rPr>
        <w:t xml:space="preserve"> De</w:t>
      </w:r>
      <w:r>
        <w:rPr>
          <w:rFonts w:eastAsia="Times New Roman"/>
          <w:sz w:val="24"/>
          <w:szCs w:val="24"/>
          <w:lang w:val="en-GB"/>
        </w:rPr>
        <w:t xml:space="preserve">spite these issues, I can have said that these exercises aided me across building </w:t>
      </w:r>
      <w:r>
        <w:rPr>
          <w:rFonts w:eastAsia="Times New Roman"/>
          <w:sz w:val="24"/>
          <w:szCs w:val="24"/>
          <w:lang w:val="en-GB"/>
        </w:rPr>
        <w:t>my</w:t>
      </w:r>
      <w:r>
        <w:rPr>
          <w:rFonts w:eastAsia="Times New Roman"/>
          <w:sz w:val="24"/>
          <w:szCs w:val="24"/>
          <w:lang w:val="en-GB"/>
        </w:rPr>
        <w:t xml:space="preserve"> analytical skills </w:t>
      </w:r>
      <w:r>
        <w:rPr>
          <w:rFonts w:eastAsia="Times New Roman"/>
          <w:sz w:val="24"/>
          <w:szCs w:val="24"/>
          <w:lang w:val="en-GB"/>
        </w:rPr>
        <w:t xml:space="preserve">while critically </w:t>
      </w:r>
      <w:r>
        <w:rPr>
          <w:rFonts w:eastAsia="Times New Roman"/>
          <w:sz w:val="24"/>
          <w:szCs w:val="24"/>
          <w:lang w:val="en-GB"/>
        </w:rPr>
        <w:t>understanding the significance of employee empowerment while also appreciating the value of consistent feedback loops.</w:t>
      </w:r>
      <w:r>
        <w:rPr>
          <w:rFonts w:eastAsia="Times New Roman"/>
          <w:sz w:val="24"/>
          <w:szCs w:val="24"/>
          <w:lang w:val="en-GB"/>
        </w:rPr>
        <w:t xml:space="preserve"> </w:t>
      </w:r>
      <w:r>
        <w:rPr>
          <w:rFonts w:eastAsia="Times New Roman"/>
          <w:sz w:val="24"/>
          <w:szCs w:val="24"/>
          <w:lang w:val="en-GB"/>
        </w:rPr>
        <w:t xml:space="preserve">Overall, it can be exemplified that the module effectively bridged the gap between theory and </w:t>
      </w:r>
      <w:r>
        <w:rPr>
          <w:rFonts w:eastAsia="Times New Roman"/>
          <w:sz w:val="24"/>
          <w:szCs w:val="24"/>
          <w:lang w:val="en-GB"/>
        </w:rPr>
        <w:t>practice</w:t>
      </w:r>
      <w:r>
        <w:rPr>
          <w:rFonts w:eastAsia="Times New Roman"/>
          <w:sz w:val="24"/>
          <w:szCs w:val="24"/>
          <w:lang w:val="en-GB"/>
        </w:rPr>
        <w:t xml:space="preserve"> which offered a solid base for designing the Learning and Development approaches for myself and my peers. </w:t>
      </w:r>
    </w:p>
    <w:p>
      <w:pPr>
        <w:pStyle w:val="style0"/>
        <w:spacing w:after="200" w:lineRule="auto" w:line="360"/>
        <w:jc w:val="both"/>
        <w:rPr>
          <w:rFonts w:eastAsia="Times New Roman"/>
          <w:b/>
          <w:bCs/>
          <w:i/>
          <w:sz w:val="24"/>
          <w:szCs w:val="24"/>
          <w:lang w:val="en-GB"/>
        </w:rPr>
      </w:pPr>
      <w:r>
        <w:rPr>
          <w:rFonts w:eastAsia="Times New Roman"/>
          <w:b/>
          <w:bCs/>
          <w:i/>
          <w:sz w:val="24"/>
          <w:szCs w:val="24"/>
          <w:lang w:val="en-GB"/>
        </w:rPr>
        <w:t xml:space="preserve">Analysis </w:t>
      </w:r>
    </w:p>
    <w:p>
      <w:pPr>
        <w:pStyle w:val="style0"/>
        <w:spacing w:after="200" w:lineRule="auto" w:line="360"/>
        <w:jc w:val="both"/>
        <w:rPr>
          <w:rFonts w:eastAsia="Times New Roman"/>
          <w:sz w:val="24"/>
          <w:szCs w:val="24"/>
          <w:lang w:val="en-GB"/>
        </w:rPr>
      </w:pPr>
      <w:r>
        <w:rPr>
          <w:rFonts w:eastAsia="Times New Roman"/>
          <w:sz w:val="24"/>
          <w:szCs w:val="24"/>
          <w:lang w:val="en-GB"/>
        </w:rPr>
        <w:t xml:space="preserve">By analysing the journey of learning, I recognise that the most significant insights I obtain are the interconnection between the innovation culture, performance management and eventually the active engagement of the employees. As an example, different initiatives like </w:t>
      </w:r>
      <w:r>
        <w:rPr>
          <w:rFonts w:eastAsia="Times New Roman"/>
          <w:sz w:val="24"/>
          <w:szCs w:val="24"/>
          <w:lang w:val="en-GB"/>
        </w:rPr>
        <w:t>intrapreneurship</w:t>
      </w:r>
      <w:r>
        <w:rPr>
          <w:rFonts w:eastAsia="Times New Roman"/>
          <w:sz w:val="24"/>
          <w:szCs w:val="24"/>
          <w:lang w:val="en-GB"/>
        </w:rPr>
        <w:t xml:space="preserve"> and innovation sprints not only promote creativity but also boost motivation and skill development. Cross-functional collaboration fortifies both problem-solving and knowledge sharing which are pivotal across dynamic </w:t>
      </w:r>
      <w:r>
        <w:rPr>
          <w:rFonts w:eastAsia="Times New Roman"/>
          <w:sz w:val="24"/>
          <w:szCs w:val="24"/>
          <w:lang w:val="en-GB"/>
        </w:rPr>
        <w:t>environments</w:t>
      </w:r>
      <w:r>
        <w:rPr>
          <w:rFonts w:eastAsia="Times New Roman"/>
          <w:sz w:val="24"/>
          <w:szCs w:val="24"/>
          <w:lang w:val="en-GB"/>
        </w:rPr>
        <w:t xml:space="preserve"> (Ahmad et al., 2023). </w:t>
      </w:r>
      <w:r>
        <w:rPr>
          <w:rFonts w:eastAsia="Times New Roman"/>
          <w:sz w:val="24"/>
          <w:szCs w:val="24"/>
          <w:lang w:val="en-GB"/>
        </w:rPr>
        <w:t>T</w:t>
      </w:r>
      <w:r>
        <w:rPr>
          <w:rFonts w:eastAsia="Times New Roman"/>
          <w:sz w:val="24"/>
          <w:szCs w:val="24"/>
          <w:lang w:val="en-GB"/>
        </w:rPr>
        <w:t xml:space="preserve">he significance of cultivating a growth </w:t>
      </w:r>
      <w:r>
        <w:rPr>
          <w:rFonts w:eastAsia="Times New Roman"/>
          <w:sz w:val="24"/>
          <w:szCs w:val="24"/>
          <w:lang w:val="en-GB"/>
        </w:rPr>
        <w:t>mind set</w:t>
      </w:r>
      <w:r>
        <w:rPr>
          <w:rFonts w:eastAsia="Times New Roman"/>
          <w:sz w:val="24"/>
          <w:szCs w:val="24"/>
          <w:lang w:val="en-GB"/>
        </w:rPr>
        <w:t xml:space="preserve"> both for myself and within organisational teams</w:t>
      </w:r>
      <w:r>
        <w:rPr>
          <w:rFonts w:eastAsia="Times New Roman"/>
          <w:sz w:val="24"/>
          <w:szCs w:val="24"/>
          <w:lang w:val="en-GB"/>
        </w:rPr>
        <w:t>, has been appreciated through this.</w:t>
      </w:r>
      <w:r>
        <w:rPr>
          <w:rFonts w:eastAsia="Times New Roman"/>
          <w:sz w:val="24"/>
          <w:szCs w:val="24"/>
          <w:lang w:val="en-GB"/>
        </w:rPr>
        <w:t xml:space="preserve">  Through adopting consistent learning, experimentation, as well as reflection, I can </w:t>
      </w:r>
      <w:r>
        <w:rPr>
          <w:rFonts w:eastAsia="Times New Roman"/>
          <w:sz w:val="24"/>
          <w:szCs w:val="24"/>
          <w:lang w:val="en-GB"/>
        </w:rPr>
        <w:t>embrace to</w:t>
      </w:r>
      <w:r>
        <w:rPr>
          <w:rFonts w:eastAsia="Times New Roman"/>
          <w:sz w:val="24"/>
          <w:szCs w:val="24"/>
          <w:lang w:val="en-GB"/>
        </w:rPr>
        <w:t xml:space="preserve"> changing circumstances and also motivate others to do the same (</w:t>
      </w:r>
      <w:r>
        <w:rPr>
          <w:rFonts w:eastAsia="Times New Roman"/>
          <w:sz w:val="24"/>
          <w:szCs w:val="24"/>
          <w:lang w:val="en-GB"/>
        </w:rPr>
        <w:t>Pahwa</w:t>
      </w:r>
      <w:r>
        <w:rPr>
          <w:rFonts w:eastAsia="Times New Roman"/>
          <w:sz w:val="24"/>
          <w:szCs w:val="24"/>
          <w:lang w:val="en-GB"/>
        </w:rPr>
        <w:t xml:space="preserve">, 2024). These insights </w:t>
      </w:r>
      <w:r>
        <w:rPr>
          <w:rFonts w:eastAsia="Times New Roman"/>
          <w:sz w:val="24"/>
          <w:szCs w:val="24"/>
          <w:lang w:val="en-GB"/>
        </w:rPr>
        <w:t xml:space="preserve">highlighted </w:t>
      </w:r>
      <w:r>
        <w:rPr>
          <w:rFonts w:eastAsia="Times New Roman"/>
          <w:sz w:val="24"/>
          <w:szCs w:val="24"/>
          <w:lang w:val="en-GB"/>
        </w:rPr>
        <w:t xml:space="preserve">a </w:t>
      </w:r>
      <w:r>
        <w:rPr>
          <w:rFonts w:eastAsia="Times New Roman"/>
          <w:sz w:val="24"/>
          <w:szCs w:val="24"/>
          <w:lang w:val="en-GB"/>
        </w:rPr>
        <w:t xml:space="preserve">strong </w:t>
      </w:r>
      <w:r>
        <w:rPr>
          <w:rFonts w:eastAsia="Times New Roman"/>
          <w:sz w:val="24"/>
          <w:szCs w:val="24"/>
          <w:lang w:val="en-GB"/>
        </w:rPr>
        <w:t xml:space="preserve">baseline for my own learning and development strategy, </w:t>
      </w:r>
      <w:r>
        <w:rPr>
          <w:rFonts w:eastAsia="Times New Roman"/>
          <w:sz w:val="24"/>
          <w:szCs w:val="24"/>
          <w:lang w:val="en-GB"/>
        </w:rPr>
        <w:t xml:space="preserve">while </w:t>
      </w:r>
      <w:r>
        <w:rPr>
          <w:rFonts w:eastAsia="Times New Roman"/>
          <w:sz w:val="24"/>
          <w:szCs w:val="24"/>
          <w:lang w:val="en-GB"/>
        </w:rPr>
        <w:t xml:space="preserve">incorporating actively seeking new skills, reflecting on performance, and </w:t>
      </w:r>
      <w:r>
        <w:rPr>
          <w:rFonts w:eastAsia="Times New Roman"/>
          <w:sz w:val="24"/>
          <w:szCs w:val="24"/>
          <w:lang w:val="en-GB"/>
        </w:rPr>
        <w:t xml:space="preserve">eventually </w:t>
      </w:r>
      <w:r>
        <w:rPr>
          <w:rFonts w:eastAsia="Times New Roman"/>
          <w:sz w:val="24"/>
          <w:szCs w:val="24"/>
          <w:lang w:val="en-GB"/>
        </w:rPr>
        <w:t xml:space="preserve">applying feedback to boost the effectiveness and creativity across future roles. </w:t>
      </w:r>
    </w:p>
    <w:p>
      <w:pPr>
        <w:pStyle w:val="style0"/>
        <w:spacing w:after="200" w:lineRule="auto" w:line="360"/>
        <w:jc w:val="both"/>
        <w:rPr>
          <w:rFonts w:eastAsia="Times New Roman"/>
          <w:b/>
          <w:bCs/>
          <w:i/>
          <w:sz w:val="24"/>
          <w:szCs w:val="24"/>
          <w:lang w:val="en-GB"/>
        </w:rPr>
      </w:pPr>
      <w:r>
        <w:rPr>
          <w:rFonts w:eastAsia="Times New Roman"/>
          <w:b/>
          <w:bCs/>
          <w:i/>
          <w:sz w:val="24"/>
          <w:szCs w:val="24"/>
          <w:lang w:val="en-GB"/>
        </w:rPr>
        <w:t>Conclusion</w:t>
      </w:r>
    </w:p>
    <w:p>
      <w:pPr>
        <w:pStyle w:val="style0"/>
        <w:spacing w:after="200" w:lineRule="auto" w:line="360"/>
        <w:jc w:val="both"/>
        <w:rPr>
          <w:rFonts w:eastAsia="Times New Roman"/>
          <w:sz w:val="24"/>
          <w:szCs w:val="24"/>
          <w:lang w:val="en-GB"/>
        </w:rPr>
      </w:pPr>
      <w:r>
        <w:rPr>
          <w:rFonts w:eastAsia="Times New Roman"/>
          <w:sz w:val="24"/>
          <w:szCs w:val="24"/>
          <w:lang w:val="en-GB"/>
        </w:rPr>
        <w:t xml:space="preserve">In conclusion, it can be asserted that the module effectively highlighted the requirement for a holistic HRM approach, amalgamating the culture, work practices and the learning initiatives. Besides that, promoting innovation requires autonomy, psychological safety and eventually a sense of continuous development of skills. Reflective practices, along with the growth </w:t>
      </w:r>
      <w:r>
        <w:rPr>
          <w:rFonts w:eastAsia="Times New Roman"/>
          <w:sz w:val="24"/>
          <w:szCs w:val="24"/>
          <w:lang w:val="en-GB"/>
        </w:rPr>
        <w:t>mind set</w:t>
      </w:r>
      <w:r>
        <w:rPr>
          <w:rFonts w:eastAsia="Times New Roman"/>
          <w:sz w:val="24"/>
          <w:szCs w:val="24"/>
          <w:lang w:val="en-GB"/>
        </w:rPr>
        <w:t xml:space="preserve">, also boost my professional effectiveness and allow me to design the strategies which not only empower the employees but also steer sustainable organisational performances. </w:t>
      </w:r>
    </w:p>
    <w:p>
      <w:pPr>
        <w:pStyle w:val="style0"/>
        <w:spacing w:after="200" w:lineRule="auto" w:line="360"/>
        <w:jc w:val="both"/>
        <w:rPr>
          <w:rFonts w:eastAsia="Times New Roman"/>
          <w:b/>
          <w:bCs/>
          <w:i/>
          <w:sz w:val="24"/>
          <w:szCs w:val="24"/>
          <w:lang w:val="en-GB"/>
        </w:rPr>
      </w:pPr>
      <w:r>
        <w:rPr>
          <w:rFonts w:eastAsia="Times New Roman"/>
          <w:b/>
          <w:bCs/>
          <w:i/>
          <w:sz w:val="24"/>
          <w:szCs w:val="24"/>
          <w:lang w:val="en-GB"/>
        </w:rPr>
        <w:t xml:space="preserve">Action Plan </w:t>
      </w:r>
    </w:p>
    <w:p>
      <w:pPr>
        <w:pStyle w:val="style0"/>
        <w:spacing w:after="200" w:lineRule="auto" w:line="360"/>
        <w:jc w:val="both"/>
        <w:rPr>
          <w:rFonts w:eastAsia="Times New Roman"/>
          <w:sz w:val="24"/>
          <w:szCs w:val="24"/>
          <w:lang w:val="en-GB"/>
        </w:rPr>
      </w:pPr>
      <w:r>
        <w:rPr>
          <w:rFonts w:eastAsia="Times New Roman"/>
          <w:sz w:val="24"/>
          <w:szCs w:val="24"/>
          <w:lang w:val="en-GB"/>
        </w:rPr>
        <w:t xml:space="preserve">To cultivate a growth </w:t>
      </w:r>
      <w:r>
        <w:rPr>
          <w:rFonts w:eastAsia="Times New Roman"/>
          <w:sz w:val="24"/>
          <w:szCs w:val="24"/>
          <w:lang w:val="en-GB"/>
        </w:rPr>
        <w:t>mind set</w:t>
      </w:r>
      <w:r>
        <w:rPr>
          <w:rFonts w:eastAsia="Times New Roman"/>
          <w:sz w:val="24"/>
          <w:szCs w:val="24"/>
          <w:lang w:val="en-GB"/>
        </w:rPr>
        <w:t xml:space="preserve"> and innovation focus, I will pursue consistent professional development, engagement across cross-functional projects, gather constructive </w:t>
      </w:r>
      <w:r>
        <w:rPr>
          <w:rFonts w:eastAsia="Times New Roman"/>
          <w:sz w:val="24"/>
          <w:szCs w:val="24"/>
          <w:lang w:val="en-GB"/>
        </w:rPr>
        <w:t>feedback</w:t>
      </w:r>
      <w:r>
        <w:rPr>
          <w:rFonts w:eastAsia="Times New Roman"/>
          <w:sz w:val="24"/>
          <w:szCs w:val="24"/>
          <w:lang w:val="en-GB"/>
        </w:rPr>
        <w:t xml:space="preserve"> and take part in mentorship programs (</w:t>
      </w:r>
      <w:r>
        <w:rPr>
          <w:rFonts w:eastAsia="Times New Roman"/>
          <w:sz w:val="24"/>
          <w:szCs w:val="24"/>
          <w:lang w:val="en-GB"/>
        </w:rPr>
        <w:t>Vasudevan</w:t>
      </w:r>
      <w:r>
        <w:rPr>
          <w:rFonts w:eastAsia="Times New Roman"/>
          <w:sz w:val="24"/>
          <w:szCs w:val="24"/>
          <w:lang w:val="en-GB"/>
        </w:rPr>
        <w:t xml:space="preserve"> and Kumar, 2024). These steps will assist me in applying the theory in practice, boost the collaboration and develop a culture of creativity and innovation.  </w:t>
      </w:r>
    </w:p>
    <w:bookmarkStart w:id="21" w:name="_Toc224570661"/>
    <w:p>
      <w:pPr>
        <w:pStyle w:val="style2"/>
        <w:rPr>
          <w:lang w:val="en-GB"/>
        </w:rPr>
      </w:pPr>
      <w:r>
        <w:rPr>
          <w:lang w:val="en-GB"/>
        </w:rPr>
        <w:t xml:space="preserve">2.2 </w:t>
      </w:r>
      <w:r>
        <w:rPr>
          <w:lang w:val="en-GB"/>
        </w:rPr>
        <w:t>Staying Relevant in an AI-Driven Workplace</w:t>
      </w:r>
      <w:bookmarkEnd w:id="21"/>
      <w:r>
        <w:rPr>
          <w:lang w:val="en-GB"/>
        </w:rPr>
        <w:t xml:space="preserve"> </w:t>
      </w:r>
    </w:p>
    <w:p>
      <w:pPr>
        <w:pStyle w:val="style0"/>
        <w:spacing w:after="200" w:lineRule="auto" w:line="360"/>
        <w:jc w:val="both"/>
        <w:rPr>
          <w:rFonts w:eastAsia="Times New Roman"/>
          <w:sz w:val="24"/>
          <w:szCs w:val="24"/>
          <w:lang w:val="en-GB"/>
        </w:rPr>
      </w:pPr>
      <w:r>
        <w:rPr>
          <w:rFonts w:eastAsia="Times New Roman"/>
          <w:sz w:val="24"/>
          <w:szCs w:val="24"/>
          <w:lang w:val="en-GB"/>
        </w:rPr>
        <w:t xml:space="preserve">Since </w:t>
      </w:r>
      <w:r>
        <w:rPr>
          <w:rFonts w:eastAsia="Times New Roman"/>
          <w:sz w:val="24"/>
          <w:szCs w:val="24"/>
          <w:lang w:val="en-GB"/>
        </w:rPr>
        <w:t>the artificial</w:t>
      </w:r>
      <w:r>
        <w:rPr>
          <w:rFonts w:eastAsia="Times New Roman"/>
          <w:sz w:val="24"/>
          <w:szCs w:val="24"/>
          <w:lang w:val="en-GB"/>
        </w:rPr>
        <w:t xml:space="preserve"> intelligence </w:t>
      </w:r>
      <w:r>
        <w:rPr>
          <w:rFonts w:eastAsia="Times New Roman"/>
          <w:sz w:val="24"/>
          <w:szCs w:val="24"/>
          <w:lang w:val="en-GB"/>
        </w:rPr>
        <w:t>helps in strategic decision-making</w:t>
      </w:r>
      <w:r>
        <w:rPr>
          <w:rFonts w:eastAsia="Times New Roman"/>
          <w:sz w:val="24"/>
          <w:szCs w:val="24"/>
          <w:lang w:val="en-GB"/>
        </w:rPr>
        <w:t xml:space="preserve"> alongside automating the routine tasks</w:t>
      </w:r>
      <w:r>
        <w:rPr>
          <w:rFonts w:eastAsia="Times New Roman"/>
          <w:sz w:val="24"/>
          <w:szCs w:val="24"/>
          <w:lang w:val="en-GB"/>
        </w:rPr>
        <w:t>, staying rele</w:t>
      </w:r>
      <w:r>
        <w:rPr>
          <w:rFonts w:eastAsia="Times New Roman"/>
          <w:sz w:val="24"/>
          <w:szCs w:val="24"/>
          <w:lang w:val="en-GB"/>
        </w:rPr>
        <w:t xml:space="preserve">vant in the marketplace </w:t>
      </w:r>
      <w:r>
        <w:rPr>
          <w:rFonts w:eastAsia="Times New Roman"/>
          <w:sz w:val="24"/>
          <w:szCs w:val="24"/>
          <w:lang w:val="en-GB"/>
        </w:rPr>
        <w:t xml:space="preserve">needs </w:t>
      </w:r>
      <w:r>
        <w:rPr>
          <w:rFonts w:eastAsia="Times New Roman"/>
          <w:sz w:val="24"/>
          <w:szCs w:val="24"/>
          <w:lang w:val="en-GB"/>
        </w:rPr>
        <w:t>strong</w:t>
      </w:r>
      <w:r>
        <w:rPr>
          <w:rFonts w:eastAsia="Times New Roman"/>
          <w:sz w:val="24"/>
          <w:szCs w:val="24"/>
          <w:lang w:val="en-GB"/>
        </w:rPr>
        <w:t xml:space="preserve"> concentration on the uniquely human skills which AI cannot replace, like empathy, leadership, </w:t>
      </w:r>
      <w:r>
        <w:rPr>
          <w:rFonts w:eastAsia="Times New Roman"/>
          <w:sz w:val="24"/>
          <w:szCs w:val="24"/>
          <w:lang w:val="en-GB"/>
        </w:rPr>
        <w:t>creativity</w:t>
      </w:r>
      <w:r>
        <w:rPr>
          <w:rFonts w:eastAsia="Times New Roman"/>
          <w:sz w:val="24"/>
          <w:szCs w:val="24"/>
          <w:lang w:val="en-GB"/>
        </w:rPr>
        <w:t xml:space="preserve"> alongside strategic thinking.  </w:t>
      </w:r>
      <w:r>
        <w:rPr>
          <w:rFonts w:eastAsia="Times New Roman"/>
          <w:sz w:val="24"/>
          <w:szCs w:val="24"/>
          <w:lang w:val="en-GB"/>
        </w:rPr>
        <w:t xml:space="preserve">In context of the HR as well </w:t>
      </w:r>
      <w:r>
        <w:rPr>
          <w:rFonts w:eastAsia="Times New Roman"/>
          <w:sz w:val="24"/>
          <w:szCs w:val="24"/>
          <w:lang w:val="en-GB"/>
        </w:rPr>
        <w:t xml:space="preserve">as </w:t>
      </w:r>
      <w:r>
        <w:rPr>
          <w:rFonts w:eastAsia="Times New Roman"/>
          <w:sz w:val="24"/>
          <w:szCs w:val="24"/>
          <w:lang w:val="en-GB"/>
        </w:rPr>
        <w:t>innovation</w:t>
      </w:r>
      <w:r>
        <w:rPr>
          <w:rFonts w:eastAsia="Times New Roman"/>
          <w:sz w:val="24"/>
          <w:szCs w:val="24"/>
          <w:lang w:val="en-GB"/>
        </w:rPr>
        <w:t xml:space="preserve"> space, AI can</w:t>
      </w:r>
      <w:r>
        <w:rPr>
          <w:rFonts w:eastAsia="Times New Roman"/>
          <w:sz w:val="24"/>
          <w:szCs w:val="24"/>
          <w:lang w:val="en-GB"/>
        </w:rPr>
        <w:t xml:space="preserve"> aid across</w:t>
      </w:r>
      <w:r>
        <w:rPr>
          <w:rFonts w:eastAsia="Times New Roman"/>
          <w:sz w:val="24"/>
          <w:szCs w:val="24"/>
          <w:lang w:val="en-GB"/>
        </w:rPr>
        <w:t xml:space="preserve"> boost</w:t>
      </w:r>
      <w:r>
        <w:rPr>
          <w:rFonts w:eastAsia="Times New Roman"/>
          <w:sz w:val="24"/>
          <w:szCs w:val="24"/>
          <w:lang w:val="en-GB"/>
        </w:rPr>
        <w:t>ing</w:t>
      </w:r>
      <w:r>
        <w:rPr>
          <w:rFonts w:eastAsia="Times New Roman"/>
          <w:sz w:val="24"/>
          <w:szCs w:val="24"/>
          <w:lang w:val="en-GB"/>
        </w:rPr>
        <w:t xml:space="preserve"> productivity through automating the candidate screening, evaluating the employee engagement </w:t>
      </w:r>
      <w:r>
        <w:rPr>
          <w:rFonts w:eastAsia="Times New Roman"/>
          <w:sz w:val="24"/>
          <w:szCs w:val="24"/>
          <w:lang w:val="en-GB"/>
        </w:rPr>
        <w:t>data</w:t>
      </w:r>
      <w:r>
        <w:rPr>
          <w:rFonts w:eastAsia="Times New Roman"/>
          <w:sz w:val="24"/>
          <w:szCs w:val="24"/>
          <w:lang w:val="en-GB"/>
        </w:rPr>
        <w:t xml:space="preserve"> and ultimately generating insights for performance enhancement (</w:t>
      </w:r>
      <w:r>
        <w:rPr>
          <w:rFonts w:eastAsia="Times New Roman"/>
          <w:sz w:val="24"/>
          <w:szCs w:val="24"/>
          <w:lang w:val="en-GB"/>
        </w:rPr>
        <w:t>Sundari</w:t>
      </w:r>
      <w:r>
        <w:rPr>
          <w:rFonts w:eastAsia="Times New Roman"/>
          <w:sz w:val="24"/>
          <w:szCs w:val="24"/>
          <w:lang w:val="en-GB"/>
        </w:rPr>
        <w:t xml:space="preserve"> et al., 2024). I plan to utilise the AI tools as personal assistants to streamline the repetitive tasks, which enables me to dedicate time to strategy, creativity and ultimately human-centric decision-making.  </w:t>
      </w:r>
    </w:p>
    <w:p>
      <w:pPr>
        <w:pStyle w:val="style0"/>
        <w:spacing w:after="200" w:lineRule="auto" w:line="360"/>
        <w:jc w:val="both"/>
        <w:rPr>
          <w:rFonts w:eastAsia="Times New Roman"/>
          <w:sz w:val="24"/>
          <w:szCs w:val="24"/>
          <w:lang w:val="en-GB"/>
        </w:rPr>
      </w:pPr>
      <w:r>
        <w:rPr>
          <w:rFonts w:eastAsia="Times New Roman"/>
          <w:sz w:val="24"/>
          <w:szCs w:val="24"/>
          <w:lang w:val="en-GB"/>
        </w:rPr>
        <w:t xml:space="preserve">As an example, AI can help in detecting the skill gaps within the teams and also suggest trends across performance and innovation, but I will effectively utilise this information to make strategic and reasoned decisions, design the initiatives of learning and development or guide the cross-functional teams. Through amalgamating the AI insights with human expertise, I can maximise efficiency without heavily depending on AI for critical decisions. </w:t>
      </w:r>
    </w:p>
    <w:p>
      <w:pPr>
        <w:pStyle w:val="style0"/>
        <w:spacing w:after="200" w:lineRule="auto" w:line="360"/>
        <w:jc w:val="both"/>
        <w:rPr>
          <w:rFonts w:eastAsia="Times New Roman"/>
          <w:sz w:val="24"/>
          <w:szCs w:val="24"/>
          <w:lang w:val="en-GB"/>
        </w:rPr>
      </w:pPr>
      <w:r>
        <w:rPr>
          <w:rFonts w:eastAsia="Times New Roman"/>
          <w:sz w:val="24"/>
          <w:szCs w:val="24"/>
          <w:lang w:val="en-GB"/>
        </w:rPr>
        <w:t xml:space="preserve">In order </w:t>
      </w:r>
      <w:r>
        <w:rPr>
          <w:rFonts w:eastAsia="Times New Roman"/>
          <w:sz w:val="24"/>
          <w:szCs w:val="24"/>
          <w:lang w:val="en-GB"/>
        </w:rPr>
        <w:t xml:space="preserve">to </w:t>
      </w:r>
      <w:r>
        <w:rPr>
          <w:rFonts w:eastAsia="Times New Roman"/>
          <w:sz w:val="24"/>
          <w:szCs w:val="24"/>
          <w:lang w:val="en-GB"/>
        </w:rPr>
        <w:t>became</w:t>
      </w:r>
      <w:r>
        <w:rPr>
          <w:rFonts w:eastAsia="Times New Roman"/>
          <w:sz w:val="24"/>
          <w:szCs w:val="24"/>
          <w:lang w:val="en-GB"/>
        </w:rPr>
        <w:t xml:space="preserve"> the </w:t>
      </w:r>
      <w:r>
        <w:rPr>
          <w:rFonts w:eastAsia="Times New Roman"/>
          <w:sz w:val="24"/>
          <w:szCs w:val="24"/>
          <w:lang w:val="en-GB"/>
        </w:rPr>
        <w:t>future</w:t>
      </w:r>
      <w:r>
        <w:rPr>
          <w:rFonts w:eastAsia="Times New Roman"/>
          <w:sz w:val="24"/>
          <w:szCs w:val="24"/>
          <w:lang w:val="en-GB"/>
        </w:rPr>
        <w:t xml:space="preserve">-ready, </w:t>
      </w:r>
      <w:r>
        <w:rPr>
          <w:rFonts w:eastAsia="Times New Roman"/>
          <w:sz w:val="24"/>
          <w:szCs w:val="24"/>
          <w:lang w:val="en-GB"/>
        </w:rPr>
        <w:t xml:space="preserve">I </w:t>
      </w:r>
      <w:r>
        <w:rPr>
          <w:rFonts w:eastAsia="Times New Roman"/>
          <w:sz w:val="24"/>
          <w:szCs w:val="24"/>
          <w:lang w:val="en-GB"/>
        </w:rPr>
        <w:t>want</w:t>
      </w:r>
      <w:r>
        <w:rPr>
          <w:rFonts w:eastAsia="Times New Roman"/>
          <w:sz w:val="24"/>
          <w:szCs w:val="24"/>
          <w:lang w:val="en-GB"/>
        </w:rPr>
        <w:t xml:space="preserve"> to consistently build different skills</w:t>
      </w:r>
      <w:r>
        <w:rPr>
          <w:rFonts w:eastAsia="Times New Roman"/>
          <w:sz w:val="24"/>
          <w:szCs w:val="24"/>
          <w:lang w:val="en-GB"/>
        </w:rPr>
        <w:t xml:space="preserve"> across areas where human input is effective, like organisational design, emotional intelligence </w:t>
      </w:r>
      <w:r>
        <w:rPr>
          <w:rFonts w:eastAsia="Times New Roman"/>
          <w:sz w:val="24"/>
          <w:szCs w:val="24"/>
          <w:lang w:val="en-GB"/>
        </w:rPr>
        <w:t>and eventually innovation management.  This approach assures that artificial intelligence acts as a stimulator instead of a replacement, which enables me to solely concentrates the tasks that require a sense of strategic planning, problem-solving and eventually creativity (</w:t>
      </w:r>
      <w:r>
        <w:rPr>
          <w:rFonts w:eastAsia="Times New Roman"/>
          <w:sz w:val="24"/>
          <w:szCs w:val="24"/>
          <w:lang w:val="en-GB"/>
        </w:rPr>
        <w:t>Chukwuka</w:t>
      </w:r>
      <w:r>
        <w:rPr>
          <w:rFonts w:eastAsia="Times New Roman"/>
          <w:sz w:val="24"/>
          <w:szCs w:val="24"/>
          <w:lang w:val="en-GB"/>
        </w:rPr>
        <w:t xml:space="preserve"> and</w:t>
      </w:r>
      <w:r>
        <w:rPr>
          <w:rFonts w:eastAsia="Times New Roman"/>
          <w:sz w:val="24"/>
          <w:szCs w:val="24"/>
          <w:lang w:val="en-GB"/>
        </w:rPr>
        <w:t xml:space="preserve"> </w:t>
      </w:r>
      <w:r>
        <w:rPr>
          <w:rFonts w:eastAsia="Times New Roman"/>
          <w:sz w:val="24"/>
          <w:szCs w:val="24"/>
          <w:lang w:val="en-GB"/>
        </w:rPr>
        <w:t>Igweh</w:t>
      </w:r>
      <w:r>
        <w:rPr>
          <w:rFonts w:eastAsia="Times New Roman"/>
          <w:sz w:val="24"/>
          <w:szCs w:val="24"/>
          <w:lang w:val="en-GB"/>
        </w:rPr>
        <w:t xml:space="preserve">, 2023). With the help of this balanced approach, I </w:t>
      </w:r>
      <w:r>
        <w:rPr>
          <w:rFonts w:eastAsia="Times New Roman"/>
          <w:sz w:val="24"/>
          <w:szCs w:val="24"/>
          <w:lang w:val="en-GB"/>
        </w:rPr>
        <w:t>cannot</w:t>
      </w:r>
      <w:r>
        <w:rPr>
          <w:rFonts w:eastAsia="Times New Roman"/>
          <w:sz w:val="24"/>
          <w:szCs w:val="24"/>
          <w:lang w:val="en-GB"/>
        </w:rPr>
        <w:t xml:space="preserve"> only sustain the professional relevance but also harness the power of artificial intelligence to boost performance. </w:t>
      </w:r>
    </w:p>
    <w:p>
      <w:pPr>
        <w:pStyle w:val="style0"/>
        <w:spacing w:after="200" w:lineRule="auto" w:line="360"/>
        <w:jc w:val="both"/>
        <w:rPr>
          <w:rFonts w:eastAsia="Times New Roman"/>
          <w:sz w:val="24"/>
          <w:szCs w:val="24"/>
          <w:lang w:val="en-GB"/>
        </w:rPr>
      </w:pPr>
      <w:r>
        <w:rPr>
          <w:rFonts w:eastAsia="Times New Roman"/>
          <w:sz w:val="24"/>
          <w:szCs w:val="24"/>
          <w:lang w:val="en-GB"/>
        </w:rPr>
        <w:t xml:space="preserve">Through integrated reflective practice, continuous learning alongside the AI-assisted tools, I can improve my professional capabilities, remain adaptable across a changing workplace and eventually contribute significantly to the success of the organisation. </w:t>
      </w:r>
    </w:p>
    <w:p>
      <w:pPr>
        <w:pStyle w:val="style0"/>
        <w:rPr>
          <w:rFonts w:eastAsia="Times New Roman"/>
          <w:sz w:val="24"/>
          <w:szCs w:val="24"/>
          <w:lang w:val="en-GB"/>
        </w:rPr>
      </w:pPr>
      <w:r>
        <w:rPr>
          <w:rFonts w:eastAsia="Times New Roman"/>
          <w:sz w:val="24"/>
          <w:szCs w:val="24"/>
          <w:lang w:val="en-GB"/>
        </w:rPr>
        <w:br w:type="page"/>
      </w:r>
    </w:p>
    <w:bookmarkStart w:id="22" w:name="_Toc224570662"/>
    <w:p>
      <w:pPr>
        <w:pStyle w:val="style1"/>
        <w:rPr>
          <w:lang w:val="en-GB"/>
        </w:rPr>
      </w:pPr>
      <w:r>
        <w:rPr>
          <w:lang w:val="en-GB"/>
        </w:rPr>
        <w:t>References</w:t>
      </w:r>
      <w:bookmarkEnd w:id="22"/>
      <w:r>
        <w:rPr>
          <w:lang w:val="en-GB"/>
        </w:rPr>
        <w:t xml:space="preserve"> </w:t>
      </w:r>
    </w:p>
    <w:p>
      <w:pPr>
        <w:pStyle w:val="style94"/>
        <w:spacing w:before="240" w:beforeAutospacing="false" w:after="200" w:afterAutospacing="false" w:lineRule="auto" w:line="360"/>
        <w:jc w:val="both"/>
        <w:rPr>
          <w:rFonts w:ascii="Arial" w:cs="Arial" w:hAnsi="Arial"/>
          <w:lang w:val="fr-CA"/>
        </w:rPr>
      </w:pPr>
      <w:r>
        <w:rPr>
          <w:rFonts w:ascii="Arial" w:cs="Arial" w:hAnsi="Arial"/>
          <w:color w:val="222222"/>
          <w:shd w:val="clear" w:color="auto" w:fill="ffffff"/>
        </w:rPr>
        <w:t xml:space="preserve">Ahmad, T., </w:t>
      </w:r>
      <w:r>
        <w:rPr>
          <w:rFonts w:ascii="Arial" w:cs="Arial" w:hAnsi="Arial"/>
          <w:color w:val="222222"/>
          <w:shd w:val="clear" w:color="auto" w:fill="ffffff"/>
        </w:rPr>
        <w:t>Boit</w:t>
      </w:r>
      <w:r>
        <w:rPr>
          <w:rFonts w:ascii="Arial" w:cs="Arial" w:hAnsi="Arial"/>
          <w:color w:val="222222"/>
          <w:shd w:val="clear" w:color="auto" w:fill="ffffff"/>
        </w:rPr>
        <w:t xml:space="preserve">, J. and </w:t>
      </w:r>
      <w:r>
        <w:rPr>
          <w:rFonts w:ascii="Arial" w:cs="Arial" w:hAnsi="Arial"/>
          <w:color w:val="222222"/>
          <w:shd w:val="clear" w:color="auto" w:fill="ffffff"/>
        </w:rPr>
        <w:t>Aakula</w:t>
      </w:r>
      <w:r>
        <w:rPr>
          <w:rFonts w:ascii="Arial" w:cs="Arial" w:hAnsi="Arial"/>
          <w:color w:val="222222"/>
          <w:shd w:val="clear" w:color="auto" w:fill="ffffff"/>
        </w:rPr>
        <w:t xml:space="preserve">, A., (2023) ‘The role of cross-functional collaboration in digital transformation’, </w:t>
      </w:r>
      <w:r>
        <w:rPr>
          <w:rFonts w:ascii="Arial" w:cs="Arial" w:hAnsi="Arial"/>
          <w:i/>
          <w:iCs/>
          <w:color w:val="222222"/>
          <w:shd w:val="clear" w:color="auto" w:fill="ffffff"/>
        </w:rPr>
        <w:t>Journal of Computational Intelligence and Robotics</w:t>
      </w:r>
      <w:r>
        <w:rPr>
          <w:rFonts w:ascii="Arial" w:cs="Arial" w:hAnsi="Arial"/>
          <w:color w:val="222222"/>
          <w:shd w:val="clear" w:color="auto" w:fill="ffffff"/>
        </w:rPr>
        <w:t xml:space="preserve">, </w:t>
      </w:r>
      <w:r>
        <w:rPr>
          <w:rFonts w:ascii="Arial" w:cs="Arial" w:hAnsi="Arial"/>
          <w:i/>
          <w:iCs/>
          <w:color w:val="222222"/>
          <w:shd w:val="clear" w:color="auto" w:fill="ffffff"/>
        </w:rPr>
        <w:t>3</w:t>
      </w:r>
      <w:r>
        <w:rPr>
          <w:rFonts w:ascii="Arial" w:cs="Arial" w:hAnsi="Arial"/>
          <w:color w:val="222222"/>
          <w:shd w:val="clear" w:color="auto" w:fill="ffffff"/>
        </w:rPr>
        <w:t xml:space="preserve">(1), pp.205-42. </w:t>
      </w:r>
      <w:r>
        <w:rPr>
          <w:rFonts w:ascii="Arial" w:cs="Arial" w:hAnsi="Arial"/>
          <w:color w:val="222222"/>
          <w:shd w:val="clear" w:color="auto" w:fill="ffffff"/>
          <w:lang w:val="fr-CA"/>
        </w:rPr>
        <w:t xml:space="preserve">Available at: </w:t>
      </w:r>
      <w:r>
        <w:rPr/>
        <w:fldChar w:fldCharType="begin"/>
      </w:r>
      <w:r>
        <w:instrText xml:space="preserve"> HYPERLINK "https://www.researchgate.net/profile/Tanzeem-Ahmad-3/publication/389744145_The_Role_of_Cross-Functional_Collaboration_in_Digital_Transformation/links/67d098b3d7597000650803c2/The-Role-of-Cross-Functional-Collaboration-in-Digital-Transformation.pdf" </w:instrText>
      </w:r>
      <w:r>
        <w:rPr/>
        <w:fldChar w:fldCharType="separate"/>
      </w:r>
      <w:r>
        <w:rPr>
          <w:rStyle w:val="style85"/>
          <w:rFonts w:ascii="Arial" w:cs="Arial" w:hAnsi="Arial"/>
          <w:color w:val="1155cc"/>
          <w:shd w:val="clear" w:color="auto" w:fill="ffffff"/>
          <w:lang w:val="fr-CA"/>
        </w:rPr>
        <w:t>https://www.researchgate.net/profile/Tanzeem-Ahmad-3/publication/389744145_The_Role_of_Cross-Functional_Collaboration_in_Digital_Transformation/links/67d098b3d7597000650803c2/The-Role-of-Cross-Functional-Collaboration-in-Digital-Transformation.pdf</w:t>
      </w:r>
      <w:r>
        <w:rPr/>
        <w:fldChar w:fldCharType="end"/>
      </w:r>
    </w:p>
    <w:p>
      <w:pPr>
        <w:pStyle w:val="style94"/>
        <w:spacing w:before="240" w:lineRule="auto" w:line="360"/>
        <w:jc w:val="both"/>
        <w:rPr>
          <w:rFonts w:ascii="Arial" w:cs="Arial" w:hAnsi="Arial"/>
        </w:rPr>
      </w:pPr>
      <w:r>
        <w:rPr>
          <w:rFonts w:ascii="Arial" w:cs="Arial" w:hAnsi="Arial"/>
        </w:rPr>
        <w:t>Atlassian</w:t>
      </w:r>
      <w:r>
        <w:rPr>
          <w:rFonts w:ascii="Arial" w:cs="Arial" w:hAnsi="Arial"/>
        </w:rPr>
        <w:t xml:space="preserve"> (2019)</w:t>
      </w:r>
      <w:r>
        <w:rPr>
          <w:rFonts w:ascii="Arial" w:cs="Arial" w:hAnsi="Arial"/>
          <w:i/>
          <w:iCs/>
        </w:rPr>
        <w:t xml:space="preserve"> “24 hours of opportunity”: behind the scenes of </w:t>
      </w:r>
      <w:r>
        <w:rPr>
          <w:rFonts w:ascii="Arial" w:cs="Arial" w:hAnsi="Arial"/>
          <w:i/>
          <w:iCs/>
        </w:rPr>
        <w:t>ShipIt</w:t>
      </w:r>
      <w:r>
        <w:rPr>
          <w:rFonts w:ascii="Arial" w:cs="Arial" w:hAnsi="Arial"/>
          <w:i/>
          <w:iCs/>
        </w:rPr>
        <w:t xml:space="preserve">. </w:t>
      </w:r>
      <w:r>
        <w:rPr>
          <w:rFonts w:ascii="Arial" w:cs="Arial" w:hAnsi="Arial"/>
        </w:rPr>
        <w:t xml:space="preserve">Available at: </w:t>
      </w:r>
      <w:r>
        <w:rPr/>
        <w:fldChar w:fldCharType="begin"/>
      </w:r>
      <w:r>
        <w:instrText xml:space="preserve"> HYPERLINK "https://www.atlassian.com/blog/inside-atlassian/atlassians-shipit-hackathon-for-technical-and-non-technical-teams" \l ":~:text=ShipIt%20projects%20can%20be:%20*%20Technical%20*,an%20entirely%20virtual%20ShipIt%20for%20remote%20employees" </w:instrText>
      </w:r>
      <w:r>
        <w:rPr/>
        <w:fldChar w:fldCharType="separate"/>
      </w:r>
      <w:r>
        <w:rPr>
          <w:rStyle w:val="style85"/>
          <w:rFonts w:ascii="Arial" w:cs="Arial" w:hAnsi="Arial"/>
        </w:rPr>
        <w:t>https://www.atlassian.com/blog/inside-atlassian/atlassians-shipit-hackathon-for-technical-and-non-technical-teams#:~:text=ShipIt%20projects%20can%20be:%20*%20Technical%20*,an%20entirely%20virtual%20ShipIt%20for%20remote%20employees</w:t>
      </w:r>
      <w:r>
        <w:rPr/>
        <w:fldChar w:fldCharType="end"/>
      </w:r>
      <w:r>
        <w:rPr>
          <w:rFonts w:ascii="Arial" w:cs="Arial" w:hAnsi="Arial"/>
        </w:rPr>
        <w:t xml:space="preserve"> (Accessed on: 16 March 2026).</w:t>
      </w:r>
    </w:p>
    <w:p>
      <w:pPr>
        <w:pStyle w:val="style94"/>
        <w:spacing w:before="240" w:beforeAutospacing="false" w:after="200" w:afterAutospacing="false" w:lineRule="auto" w:line="360"/>
        <w:jc w:val="both"/>
        <w:rPr>
          <w:rFonts w:ascii="Arial" w:cs="Arial" w:hAnsi="Arial"/>
        </w:rPr>
      </w:pPr>
      <w:r>
        <w:rPr>
          <w:rFonts w:ascii="Arial" w:cs="Arial" w:hAnsi="Arial"/>
          <w:color w:val="222222"/>
          <w:shd w:val="clear" w:color="auto" w:fill="ffffff"/>
        </w:rPr>
        <w:t>Bargoni</w:t>
      </w:r>
      <w:r>
        <w:rPr>
          <w:rFonts w:ascii="Arial" w:cs="Arial" w:hAnsi="Arial"/>
          <w:color w:val="222222"/>
          <w:shd w:val="clear" w:color="auto" w:fill="ffffff"/>
        </w:rPr>
        <w:t xml:space="preserve">, A., Santoro, G., </w:t>
      </w:r>
      <w:r>
        <w:rPr>
          <w:rFonts w:ascii="Arial" w:cs="Arial" w:hAnsi="Arial"/>
          <w:color w:val="222222"/>
          <w:shd w:val="clear" w:color="auto" w:fill="ffffff"/>
        </w:rPr>
        <w:t>Petruzzelli</w:t>
      </w:r>
      <w:r>
        <w:rPr>
          <w:rFonts w:ascii="Arial" w:cs="Arial" w:hAnsi="Arial"/>
          <w:color w:val="222222"/>
          <w:shd w:val="clear" w:color="auto" w:fill="ffffff"/>
        </w:rPr>
        <w:t xml:space="preserve">, A.M. and Ferraris, A., (2024) ‘Growth hacking: A critical review to clarify its meaning and guide its practical application’, </w:t>
      </w:r>
      <w:r>
        <w:rPr>
          <w:rFonts w:ascii="Arial" w:cs="Arial" w:hAnsi="Arial"/>
          <w:i/>
          <w:iCs/>
          <w:color w:val="222222"/>
          <w:shd w:val="clear" w:color="auto" w:fill="ffffff"/>
        </w:rPr>
        <w:t>Technological Forecasting and Social Change</w:t>
      </w:r>
      <w:r>
        <w:rPr>
          <w:rFonts w:ascii="Arial" w:cs="Arial" w:hAnsi="Arial"/>
          <w:color w:val="222222"/>
          <w:shd w:val="clear" w:color="auto" w:fill="ffffff"/>
        </w:rPr>
        <w:t xml:space="preserve">, </w:t>
      </w:r>
      <w:r>
        <w:rPr>
          <w:rFonts w:ascii="Arial" w:cs="Arial" w:hAnsi="Arial"/>
          <w:i/>
          <w:iCs/>
          <w:color w:val="222222"/>
          <w:shd w:val="clear" w:color="auto" w:fill="ffffff"/>
        </w:rPr>
        <w:t>200</w:t>
      </w:r>
      <w:r>
        <w:rPr>
          <w:rFonts w:ascii="Arial" w:cs="Arial" w:hAnsi="Arial"/>
          <w:color w:val="222222"/>
          <w:shd w:val="clear" w:color="auto" w:fill="ffffff"/>
        </w:rPr>
        <w:t xml:space="preserve">, p.123111. Available at: </w:t>
      </w:r>
      <w:r>
        <w:rPr/>
        <w:fldChar w:fldCharType="begin"/>
      </w:r>
      <w:r>
        <w:instrText xml:space="preserve"> HYPERLINK "https://www.sciencedirect.com/science/article/pii/S0040162523007965" </w:instrText>
      </w:r>
      <w:r>
        <w:rPr/>
        <w:fldChar w:fldCharType="separate"/>
      </w:r>
      <w:r>
        <w:rPr>
          <w:rStyle w:val="style85"/>
          <w:rFonts w:ascii="Arial" w:cs="Arial" w:hAnsi="Arial"/>
          <w:color w:val="1155cc"/>
          <w:shd w:val="clear" w:color="auto" w:fill="ffffff"/>
        </w:rPr>
        <w:t>https://www.sciencedirect.com/science/article/pii/S0040162523007965</w:t>
      </w:r>
      <w:r>
        <w:rPr/>
        <w:fldChar w:fldCharType="end"/>
      </w:r>
    </w:p>
    <w:p>
      <w:pPr>
        <w:pStyle w:val="style94"/>
        <w:spacing w:before="240" w:lineRule="auto" w:line="360"/>
        <w:jc w:val="both"/>
        <w:rPr>
          <w:rFonts w:ascii="Arial" w:cs="Arial" w:hAnsi="Arial"/>
        </w:rPr>
      </w:pPr>
      <w:r>
        <w:rPr>
          <w:rFonts w:ascii="Arial" w:cs="Arial" w:hAnsi="Arial"/>
        </w:rPr>
        <w:t xml:space="preserve">Christopher Mims and Christopher Mims (2022) </w:t>
      </w:r>
      <w:r>
        <w:rPr>
          <w:rFonts w:ascii="Arial" w:cs="Arial" w:hAnsi="Arial"/>
          <w:i/>
          <w:iCs/>
        </w:rPr>
        <w:t xml:space="preserve">Google’s “20% time,” which brought you Gmail and AdSense, is now as good as dead. </w:t>
      </w:r>
      <w:r>
        <w:rPr>
          <w:rFonts w:ascii="Arial" w:cs="Arial" w:hAnsi="Arial"/>
        </w:rPr>
        <w:t xml:space="preserve">Available at: </w:t>
      </w:r>
      <w:r>
        <w:rPr/>
        <w:fldChar w:fldCharType="begin"/>
      </w:r>
      <w:r>
        <w:instrText xml:space="preserve"> HYPERLINK "https://qz.com/115831/googles-20-time-which-brought-you-gmail-and-adsense-is-now-as-good-as-dead" </w:instrText>
      </w:r>
      <w:r>
        <w:rPr/>
        <w:fldChar w:fldCharType="separate"/>
      </w:r>
      <w:r>
        <w:rPr>
          <w:rStyle w:val="style85"/>
          <w:rFonts w:ascii="Arial" w:cs="Arial" w:hAnsi="Arial"/>
        </w:rPr>
        <w:t>https://qz.com/115831/googles-20-time-which-brought-you-gmail-and-adsense-is-now-as-good-as-dead</w:t>
      </w:r>
      <w:r>
        <w:rPr/>
        <w:fldChar w:fldCharType="end"/>
      </w:r>
      <w:r>
        <w:rPr>
          <w:rFonts w:ascii="Arial" w:cs="Arial" w:hAnsi="Arial"/>
        </w:rPr>
        <w:t>  (Accessed on: 16 March 2026).</w:t>
      </w:r>
    </w:p>
    <w:p>
      <w:pPr>
        <w:pStyle w:val="style94"/>
        <w:spacing w:before="240" w:beforeAutospacing="false" w:after="200" w:afterAutospacing="false" w:lineRule="auto" w:line="360"/>
        <w:jc w:val="both"/>
        <w:rPr>
          <w:rFonts w:ascii="Arial" w:cs="Arial" w:hAnsi="Arial"/>
          <w:lang w:val="fr-CA"/>
        </w:rPr>
      </w:pPr>
      <w:r>
        <w:rPr>
          <w:rFonts w:ascii="Arial" w:cs="Arial" w:hAnsi="Arial"/>
          <w:color w:val="222222"/>
          <w:shd w:val="clear" w:color="auto" w:fill="ffffff"/>
        </w:rPr>
        <w:t>Chukwuka</w:t>
      </w:r>
      <w:r>
        <w:rPr>
          <w:rFonts w:ascii="Arial" w:cs="Arial" w:hAnsi="Arial"/>
          <w:color w:val="222222"/>
          <w:shd w:val="clear" w:color="auto" w:fill="ffffff"/>
        </w:rPr>
        <w:t xml:space="preserve">, E.J. and </w:t>
      </w:r>
      <w:r>
        <w:rPr>
          <w:rFonts w:ascii="Arial" w:cs="Arial" w:hAnsi="Arial"/>
          <w:color w:val="222222"/>
          <w:shd w:val="clear" w:color="auto" w:fill="ffffff"/>
        </w:rPr>
        <w:t>Igweh</w:t>
      </w:r>
      <w:r>
        <w:rPr>
          <w:rFonts w:ascii="Arial" w:cs="Arial" w:hAnsi="Arial"/>
          <w:color w:val="222222"/>
          <w:shd w:val="clear" w:color="auto" w:fill="ffffff"/>
        </w:rPr>
        <w:t xml:space="preserve">, F.O., (2024) ‘Strategic impact of artificial intelligence (AI) on </w:t>
      </w:r>
      <w:bookmarkStart w:id="23" w:name="_GoBack"/>
      <w:r>
        <w:rPr>
          <w:rFonts w:ascii="Arial" w:cs="Arial" w:hAnsi="Arial"/>
          <w:color w:val="222222"/>
          <w:shd w:val="clear" w:color="auto" w:fill="ffffff"/>
        </w:rPr>
        <w:t>entre</w:t>
      </w:r>
      <w:bookmarkEnd w:id="23"/>
      <w:r>
        <w:rPr>
          <w:rFonts w:ascii="Arial" w:cs="Arial" w:hAnsi="Arial"/>
          <w:color w:val="222222"/>
          <w:shd w:val="clear" w:color="auto" w:fill="ffffff"/>
        </w:rPr>
        <w:t xml:space="preserve">preneurial creativity and management’, </w:t>
      </w:r>
      <w:r>
        <w:rPr>
          <w:rFonts w:ascii="Arial" w:cs="Arial" w:hAnsi="Arial"/>
          <w:i/>
          <w:iCs/>
          <w:color w:val="222222"/>
          <w:shd w:val="clear" w:color="auto" w:fill="ffffff"/>
        </w:rPr>
        <w:t>International Journal of Business and Entrepreneurial Research</w:t>
      </w:r>
      <w:r>
        <w:rPr>
          <w:rFonts w:ascii="Arial" w:cs="Arial" w:hAnsi="Arial"/>
          <w:color w:val="222222"/>
          <w:shd w:val="clear" w:color="auto" w:fill="ffffff"/>
        </w:rPr>
        <w:t xml:space="preserve">, </w:t>
      </w:r>
      <w:r>
        <w:rPr>
          <w:rFonts w:ascii="Arial" w:cs="Arial" w:hAnsi="Arial"/>
          <w:i/>
          <w:iCs/>
          <w:color w:val="222222"/>
          <w:shd w:val="clear" w:color="auto" w:fill="ffffff"/>
        </w:rPr>
        <w:t>14</w:t>
      </w:r>
      <w:r>
        <w:rPr>
          <w:rFonts w:ascii="Arial" w:cs="Arial" w:hAnsi="Arial"/>
          <w:color w:val="222222"/>
          <w:shd w:val="clear" w:color="auto" w:fill="ffffff"/>
        </w:rPr>
        <w:t xml:space="preserve">(11), pp.33-46. </w:t>
      </w:r>
      <w:r>
        <w:rPr>
          <w:rFonts w:ascii="Arial" w:cs="Arial" w:hAnsi="Arial"/>
          <w:color w:val="222222"/>
          <w:shd w:val="clear" w:color="auto" w:fill="ffffff"/>
          <w:lang w:val="fr-CA"/>
        </w:rPr>
        <w:t xml:space="preserve">Available at: </w:t>
      </w:r>
      <w:r>
        <w:rPr/>
        <w:fldChar w:fldCharType="begin"/>
      </w:r>
      <w:r>
        <w:instrText xml:space="preserve"> HYPERLINK "https://unidel.edu.ng/cms/uploads/publications/unidel_pub_1729044672.pdf" </w:instrText>
      </w:r>
      <w:r>
        <w:rPr/>
        <w:fldChar w:fldCharType="separate"/>
      </w:r>
      <w:r>
        <w:rPr>
          <w:rStyle w:val="style85"/>
          <w:rFonts w:ascii="Arial" w:cs="Arial" w:hAnsi="Arial"/>
          <w:color w:val="1155cc"/>
          <w:shd w:val="clear" w:color="auto" w:fill="ffffff"/>
          <w:lang w:val="fr-CA"/>
        </w:rPr>
        <w:t>https://unidel.edu.ng/cms/uploads/publications/unidel_pub_1729044672.pdf</w:t>
      </w:r>
      <w:r>
        <w:rPr/>
        <w:fldChar w:fldCharType="end"/>
      </w:r>
    </w:p>
    <w:p>
      <w:pPr>
        <w:pStyle w:val="style94"/>
        <w:spacing w:before="240" w:beforeAutospacing="false" w:after="200" w:afterAutospacing="false" w:lineRule="auto" w:line="360"/>
        <w:jc w:val="both"/>
        <w:rPr>
          <w:rFonts w:ascii="Arial" w:cs="Arial" w:hAnsi="Arial"/>
        </w:rPr>
      </w:pPr>
      <w:r>
        <w:rPr>
          <w:rFonts w:ascii="Arial" w:cs="Arial" w:hAnsi="Arial"/>
          <w:color w:val="222222"/>
          <w:shd w:val="clear" w:color="auto" w:fill="ffffff"/>
        </w:rPr>
        <w:t xml:space="preserve">Eswaran, U., (2024) ‘Project-based learning: Fostering collaboration, creativity, and critical thinking’, In </w:t>
      </w:r>
      <w:r>
        <w:rPr>
          <w:rFonts w:ascii="Arial" w:cs="Arial" w:hAnsi="Arial"/>
          <w:i/>
          <w:iCs/>
          <w:color w:val="222222"/>
          <w:shd w:val="clear" w:color="auto" w:fill="ffffff"/>
        </w:rPr>
        <w:t>Enhancing education with intelligent systems and data-driven instruction</w:t>
      </w:r>
      <w:r>
        <w:rPr>
          <w:rFonts w:ascii="Arial" w:cs="Arial" w:hAnsi="Arial"/>
          <w:color w:val="222222"/>
          <w:shd w:val="clear" w:color="auto" w:fill="ffffff"/>
        </w:rPr>
        <w:t xml:space="preserve"> (pp. 23-43). IGI Global Scientific Publishing. Available at: </w:t>
      </w:r>
      <w:r>
        <w:rPr/>
        <w:fldChar w:fldCharType="begin"/>
      </w:r>
      <w:r>
        <w:instrText xml:space="preserve"> HYPERLINK "https://www.igi-global.com/chapter/project-based-learning/341139" </w:instrText>
      </w:r>
      <w:r>
        <w:rPr/>
        <w:fldChar w:fldCharType="separate"/>
      </w:r>
      <w:r>
        <w:rPr>
          <w:rStyle w:val="style85"/>
          <w:rFonts w:ascii="Arial" w:cs="Arial" w:hAnsi="Arial"/>
          <w:color w:val="1155cc"/>
          <w:shd w:val="clear" w:color="auto" w:fill="ffffff"/>
        </w:rPr>
        <w:t>https://www.igi-global.com/chapter/project-based-learning/341139</w:t>
      </w:r>
      <w:r>
        <w:rPr/>
        <w:fldChar w:fldCharType="end"/>
      </w:r>
    </w:p>
    <w:p>
      <w:pPr>
        <w:pStyle w:val="style94"/>
        <w:spacing w:before="240" w:lineRule="auto" w:line="360"/>
        <w:jc w:val="both"/>
        <w:rPr>
          <w:rFonts w:ascii="Arial" w:cs="Arial" w:hAnsi="Arial"/>
        </w:rPr>
      </w:pPr>
      <w:r>
        <w:rPr>
          <w:rFonts w:ascii="Arial" w:cs="Arial" w:hAnsi="Arial"/>
        </w:rPr>
        <w:t>Gagné</w:t>
      </w:r>
      <w:r>
        <w:rPr>
          <w:rFonts w:ascii="Arial" w:cs="Arial" w:hAnsi="Arial"/>
        </w:rPr>
        <w:t xml:space="preserve">, M., Parker, S.K., Griffin, M.A., Dunlop, P.D., Knight, C., </w:t>
      </w:r>
      <w:r>
        <w:rPr>
          <w:rFonts w:ascii="Arial" w:cs="Arial" w:hAnsi="Arial"/>
        </w:rPr>
        <w:t>Klonek</w:t>
      </w:r>
      <w:r>
        <w:rPr>
          <w:rFonts w:ascii="Arial" w:cs="Arial" w:hAnsi="Arial"/>
        </w:rPr>
        <w:t>, F.E. and Parent-</w:t>
      </w:r>
      <w:r>
        <w:rPr>
          <w:rFonts w:ascii="Arial" w:cs="Arial" w:hAnsi="Arial"/>
        </w:rPr>
        <w:t>Rocheleau</w:t>
      </w:r>
      <w:r>
        <w:rPr>
          <w:rFonts w:ascii="Arial" w:cs="Arial" w:hAnsi="Arial"/>
        </w:rPr>
        <w:t xml:space="preserve">, X., (2022) ‘Understanding and shaping the future of work with self-determination theory’, </w:t>
      </w:r>
      <w:r>
        <w:rPr>
          <w:rFonts w:ascii="Arial" w:cs="Arial" w:hAnsi="Arial"/>
          <w:i/>
          <w:iCs/>
        </w:rPr>
        <w:t>Nature reviews psychology</w:t>
      </w:r>
      <w:r>
        <w:rPr>
          <w:rFonts w:ascii="Arial" w:cs="Arial" w:hAnsi="Arial"/>
        </w:rPr>
        <w:t xml:space="preserve">, </w:t>
      </w:r>
      <w:r>
        <w:rPr>
          <w:rFonts w:ascii="Arial" w:cs="Arial" w:hAnsi="Arial"/>
          <w:i/>
          <w:iCs/>
        </w:rPr>
        <w:t>1</w:t>
      </w:r>
      <w:r>
        <w:rPr>
          <w:rFonts w:ascii="Arial" w:cs="Arial" w:hAnsi="Arial"/>
        </w:rPr>
        <w:t xml:space="preserve">(7), pp.378-392. Available at: </w:t>
      </w:r>
      <w:r>
        <w:rPr/>
        <w:fldChar w:fldCharType="begin"/>
      </w:r>
      <w:r>
        <w:instrText xml:space="preserve"> HYPERLINK "https://www.nature.com/articles/s44159-022-00056-w.pdf" </w:instrText>
      </w:r>
      <w:r>
        <w:rPr/>
        <w:fldChar w:fldCharType="separate"/>
      </w:r>
      <w:r>
        <w:rPr>
          <w:rStyle w:val="style85"/>
          <w:rFonts w:ascii="Arial" w:cs="Arial" w:hAnsi="Arial"/>
        </w:rPr>
        <w:t>https://www.nature.com/articles/s44159-022-00056-w.pdf</w:t>
      </w:r>
      <w:r>
        <w:rPr/>
        <w:fldChar w:fldCharType="end"/>
      </w:r>
      <w:r>
        <w:rPr>
          <w:rFonts w:ascii="Arial" w:cs="Arial" w:hAnsi="Arial"/>
        </w:rPr>
        <w:t> </w:t>
      </w:r>
    </w:p>
    <w:p>
      <w:pPr>
        <w:pStyle w:val="style94"/>
        <w:spacing w:before="240" w:lineRule="auto" w:line="360"/>
        <w:jc w:val="both"/>
        <w:rPr>
          <w:rFonts w:ascii="Arial" w:cs="Arial" w:hAnsi="Arial"/>
        </w:rPr>
      </w:pPr>
      <w:r>
        <w:rPr>
          <w:rFonts w:ascii="Arial" w:cs="Arial" w:hAnsi="Arial"/>
        </w:rPr>
        <w:t>Herth</w:t>
      </w:r>
      <w:r>
        <w:rPr>
          <w:rFonts w:ascii="Arial" w:cs="Arial" w:hAnsi="Arial"/>
        </w:rPr>
        <w:t xml:space="preserve">, A., </w:t>
      </w:r>
      <w:r>
        <w:rPr>
          <w:rFonts w:ascii="Arial" w:cs="Arial" w:hAnsi="Arial"/>
        </w:rPr>
        <w:t>Verburg</w:t>
      </w:r>
      <w:r>
        <w:rPr>
          <w:rFonts w:ascii="Arial" w:cs="Arial" w:hAnsi="Arial"/>
        </w:rPr>
        <w:t>, R. and Blok, K., (2025) ‘The Innovation Power of Living Labs to Enable Sustainability Transitions: Challenges and Opportunities of On</w:t>
      </w:r>
      <w:r>
        <w:rPr>
          <w:rFonts w:ascii="Cambria Math" w:cs="Cambria Math" w:hAnsi="Cambria Math"/>
        </w:rPr>
        <w:t>‐</w:t>
      </w:r>
      <w:r>
        <w:rPr>
          <w:rFonts w:ascii="Arial" w:cs="Arial" w:hAnsi="Arial"/>
        </w:rPr>
        <w:t xml:space="preserve">Campus Initiatives’, </w:t>
      </w:r>
      <w:r>
        <w:rPr>
          <w:rFonts w:ascii="Arial" w:cs="Arial" w:hAnsi="Arial"/>
          <w:i/>
          <w:iCs/>
        </w:rPr>
        <w:t>Creativity and Innovation Management</w:t>
      </w:r>
      <w:r>
        <w:rPr>
          <w:rFonts w:ascii="Arial" w:cs="Arial" w:hAnsi="Arial"/>
        </w:rPr>
        <w:t xml:space="preserve">, </w:t>
      </w:r>
      <w:r>
        <w:rPr>
          <w:rFonts w:ascii="Arial" w:cs="Arial" w:hAnsi="Arial"/>
          <w:i/>
          <w:iCs/>
        </w:rPr>
        <w:t>34</w:t>
      </w:r>
      <w:r>
        <w:rPr>
          <w:rFonts w:ascii="Arial" w:cs="Arial" w:hAnsi="Arial"/>
        </w:rPr>
        <w:t xml:space="preserve">(2), pp.427-442.Available at: </w:t>
      </w:r>
      <w:r>
        <w:rPr/>
        <w:fldChar w:fldCharType="begin"/>
      </w:r>
      <w:r>
        <w:instrText xml:space="preserve"> HYPERLINK "https://onlinelibrary.wiley.com/doi/pdf/10.1111/caim.12649" </w:instrText>
      </w:r>
      <w:r>
        <w:rPr/>
        <w:fldChar w:fldCharType="separate"/>
      </w:r>
      <w:r>
        <w:rPr>
          <w:rStyle w:val="style85"/>
          <w:rFonts w:ascii="Arial" w:cs="Arial" w:hAnsi="Arial"/>
        </w:rPr>
        <w:t>https://onlinelibrary.wiley.com/doi/pdf/10.1111/caim.12649</w:t>
      </w:r>
      <w:r>
        <w:rPr/>
        <w:fldChar w:fldCharType="end"/>
      </w:r>
      <w:r>
        <w:rPr>
          <w:rFonts w:ascii="Arial" w:cs="Arial" w:hAnsi="Arial"/>
        </w:rPr>
        <w:t> </w:t>
      </w:r>
    </w:p>
    <w:p>
      <w:pPr>
        <w:pStyle w:val="style94"/>
        <w:spacing w:before="240" w:lineRule="auto" w:line="360"/>
        <w:jc w:val="both"/>
        <w:rPr>
          <w:rFonts w:ascii="Arial" w:cs="Arial" w:hAnsi="Arial"/>
          <w:lang w:val="fr-CA"/>
        </w:rPr>
      </w:pPr>
      <w:r>
        <w:rPr>
          <w:rFonts w:ascii="Arial" w:cs="Arial" w:hAnsi="Arial"/>
        </w:rPr>
        <w:t xml:space="preserve">Imam, M.H. and Chowdhury, M., (2025) ‘TO WHAT EXTENT DOES THE USE OF PROJECT MANAGEMENT–ORIENTED DIGITAL COLLABORATION TOOLS AFFECT DELIVERY TIMELINES IN REMOTE TECH TEAMS?’, </w:t>
      </w:r>
      <w:r>
        <w:rPr>
          <w:rFonts w:ascii="Arial" w:cs="Arial" w:hAnsi="Arial"/>
          <w:i/>
          <w:iCs/>
        </w:rPr>
        <w:t>International Journal of Scientific Interdisciplinary Research</w:t>
      </w:r>
      <w:r>
        <w:rPr>
          <w:rFonts w:ascii="Arial" w:cs="Arial" w:hAnsi="Arial"/>
        </w:rPr>
        <w:t xml:space="preserve">, </w:t>
      </w:r>
      <w:r>
        <w:rPr>
          <w:rFonts w:ascii="Arial" w:cs="Arial" w:hAnsi="Arial"/>
          <w:i/>
          <w:iCs/>
        </w:rPr>
        <w:t>6</w:t>
      </w:r>
      <w:r>
        <w:rPr>
          <w:rFonts w:ascii="Arial" w:cs="Arial" w:hAnsi="Arial"/>
        </w:rPr>
        <w:t xml:space="preserve">(1), pp.163-184. </w:t>
      </w:r>
      <w:r>
        <w:rPr>
          <w:rFonts w:ascii="Arial" w:cs="Arial" w:hAnsi="Arial"/>
          <w:lang w:val="fr-CA"/>
        </w:rPr>
        <w:t xml:space="preserve">Available at: </w:t>
      </w:r>
      <w:r>
        <w:rPr/>
        <w:fldChar w:fldCharType="begin"/>
      </w:r>
      <w:r>
        <w:instrText xml:space="preserve"> HYPERLINK "https://ijsir.org/index.php/IJSIR/article/download/11/11" </w:instrText>
      </w:r>
      <w:r>
        <w:rPr/>
        <w:fldChar w:fldCharType="separate"/>
      </w:r>
      <w:r>
        <w:rPr>
          <w:rStyle w:val="style85"/>
          <w:rFonts w:ascii="Arial" w:cs="Arial" w:hAnsi="Arial"/>
          <w:lang w:val="fr-CA"/>
        </w:rPr>
        <w:t>https://ijsir.org/index.php/IJSIR/article/download/11/11</w:t>
      </w:r>
      <w:r>
        <w:rPr/>
        <w:fldChar w:fldCharType="end"/>
      </w:r>
      <w:r>
        <w:rPr>
          <w:rFonts w:ascii="Arial" w:cs="Arial" w:hAnsi="Arial"/>
          <w:lang w:val="fr-CA"/>
        </w:rPr>
        <w:t> </w:t>
      </w:r>
    </w:p>
    <w:p>
      <w:pPr>
        <w:pStyle w:val="style94"/>
        <w:spacing w:before="240" w:lineRule="auto" w:line="360"/>
        <w:jc w:val="both"/>
        <w:rPr>
          <w:rFonts w:ascii="Arial" w:cs="Arial" w:hAnsi="Arial"/>
        </w:rPr>
      </w:pPr>
      <w:r>
        <w:rPr>
          <w:rFonts w:ascii="Arial" w:cs="Arial" w:hAnsi="Arial"/>
        </w:rPr>
        <w:t>Jerab</w:t>
      </w:r>
      <w:r>
        <w:rPr>
          <w:rFonts w:ascii="Arial" w:cs="Arial" w:hAnsi="Arial"/>
        </w:rPr>
        <w:t xml:space="preserve">, D. and </w:t>
      </w:r>
      <w:r>
        <w:rPr>
          <w:rFonts w:ascii="Arial" w:cs="Arial" w:hAnsi="Arial"/>
        </w:rPr>
        <w:t>Mabrouk</w:t>
      </w:r>
      <w:r>
        <w:rPr>
          <w:rFonts w:ascii="Arial" w:cs="Arial" w:hAnsi="Arial"/>
        </w:rPr>
        <w:t xml:space="preserve">, T., (2023). The evolving landscape of organizational structures: A contemporary analysis. Available at SSRN 4584643. Available at: </w:t>
      </w:r>
      <w:r>
        <w:rPr/>
        <w:fldChar w:fldCharType="begin"/>
      </w:r>
      <w:r>
        <w:instrText xml:space="preserve"> HYPERLINK "https://papers.ssrn.com/sol3/Delivery.cfm?abstractid=4584643" </w:instrText>
      </w:r>
      <w:r>
        <w:rPr/>
        <w:fldChar w:fldCharType="separate"/>
      </w:r>
      <w:r>
        <w:rPr>
          <w:rStyle w:val="style85"/>
          <w:rFonts w:ascii="Arial" w:cs="Arial" w:hAnsi="Arial"/>
        </w:rPr>
        <w:t>https://papers.ssrn.com/sol3/Delivery.cfm?abstractid=4584643</w:t>
      </w:r>
      <w:r>
        <w:rPr/>
        <w:fldChar w:fldCharType="end"/>
      </w:r>
      <w:r>
        <w:rPr>
          <w:rFonts w:ascii="Arial" w:cs="Arial" w:hAnsi="Arial"/>
        </w:rPr>
        <w:t> </w:t>
      </w:r>
    </w:p>
    <w:p>
      <w:pPr>
        <w:pStyle w:val="style94"/>
        <w:spacing w:before="240" w:lineRule="auto" w:line="360"/>
        <w:jc w:val="both"/>
        <w:rPr>
          <w:rFonts w:ascii="Arial" w:cs="Arial" w:hAnsi="Arial"/>
        </w:rPr>
      </w:pPr>
      <w:r>
        <w:rPr>
          <w:rFonts w:ascii="Arial" w:cs="Arial" w:hAnsi="Arial"/>
        </w:rPr>
        <w:t xml:space="preserve">Microsoft (2021) </w:t>
      </w:r>
      <w:r>
        <w:rPr>
          <w:rFonts w:ascii="Arial" w:cs="Arial" w:hAnsi="Arial"/>
          <w:i/>
          <w:iCs/>
        </w:rPr>
        <w:t xml:space="preserve">Navigating the complexities of hybrid work together. </w:t>
      </w:r>
      <w:r>
        <w:rPr>
          <w:rFonts w:ascii="Arial" w:cs="Arial" w:hAnsi="Arial"/>
        </w:rPr>
        <w:t xml:space="preserve">Available at: </w:t>
      </w:r>
      <w:r>
        <w:rPr/>
        <w:fldChar w:fldCharType="begin"/>
      </w:r>
      <w:r>
        <w:instrText xml:space="preserve"> HYPERLINK "https://news.microsoft.com/en-in/navigating-the-complexities-of-hybrid-work-together/" \l ":~:text=The%20future%20of%20work%20is,50%20percent%20of%20the%20time" </w:instrText>
      </w:r>
      <w:r>
        <w:rPr/>
        <w:fldChar w:fldCharType="separate"/>
      </w:r>
      <w:r>
        <w:rPr>
          <w:rStyle w:val="style85"/>
          <w:rFonts w:ascii="Arial" w:cs="Arial" w:hAnsi="Arial"/>
        </w:rPr>
        <w:t>https://news.microsoft.com/en-in/navigating-the-complexities-of-hybrid-work-together/#:~:text=The%20future%20of%20work%20is,50%20percent%20of%20the%20time</w:t>
      </w:r>
      <w:r>
        <w:rPr/>
        <w:fldChar w:fldCharType="end"/>
      </w:r>
      <w:r>
        <w:rPr>
          <w:rFonts w:ascii="Arial" w:cs="Arial" w:hAnsi="Arial"/>
        </w:rPr>
        <w:t>  (Accessed on: 16 March 2026).</w:t>
      </w:r>
    </w:p>
    <w:p>
      <w:pPr>
        <w:pStyle w:val="style94"/>
        <w:spacing w:before="240" w:beforeAutospacing="false" w:after="200" w:afterAutospacing="false" w:lineRule="auto" w:line="360"/>
        <w:jc w:val="both"/>
        <w:rPr>
          <w:rFonts w:ascii="Arial" w:cs="Arial" w:hAnsi="Arial"/>
        </w:rPr>
      </w:pPr>
      <w:r>
        <w:rPr>
          <w:rFonts w:ascii="Arial" w:cs="Arial" w:hAnsi="Arial"/>
          <w:color w:val="222222"/>
          <w:shd w:val="clear" w:color="auto" w:fill="ffffff"/>
        </w:rPr>
        <w:t>Nurhaeda</w:t>
      </w:r>
      <w:r>
        <w:rPr>
          <w:rFonts w:ascii="Arial" w:cs="Arial" w:hAnsi="Arial"/>
          <w:color w:val="222222"/>
          <w:shd w:val="clear" w:color="auto" w:fill="ffffff"/>
        </w:rPr>
        <w:t xml:space="preserve">, Z., </w:t>
      </w:r>
      <w:r>
        <w:rPr>
          <w:rFonts w:ascii="Arial" w:cs="Arial" w:hAnsi="Arial"/>
          <w:color w:val="222222"/>
          <w:shd w:val="clear" w:color="auto" w:fill="ffffff"/>
        </w:rPr>
        <w:t>Maryadi</w:t>
      </w:r>
      <w:r>
        <w:rPr>
          <w:rFonts w:ascii="Arial" w:cs="Arial" w:hAnsi="Arial"/>
          <w:color w:val="222222"/>
          <w:shd w:val="clear" w:color="auto" w:fill="ffffff"/>
        </w:rPr>
        <w:t xml:space="preserve">, M., Salim, M. and </w:t>
      </w:r>
      <w:r>
        <w:rPr>
          <w:rFonts w:ascii="Arial" w:cs="Arial" w:hAnsi="Arial"/>
          <w:color w:val="222222"/>
          <w:shd w:val="clear" w:color="auto" w:fill="ffffff"/>
        </w:rPr>
        <w:t>Kitta</w:t>
      </w:r>
      <w:r>
        <w:rPr>
          <w:rFonts w:ascii="Arial" w:cs="Arial" w:hAnsi="Arial"/>
          <w:color w:val="222222"/>
          <w:shd w:val="clear" w:color="auto" w:fill="ffffff"/>
        </w:rPr>
        <w:t xml:space="preserve">, S., (2024) ‘The relationship between employee motivation, creativity and performance’, </w:t>
      </w:r>
      <w:r>
        <w:rPr>
          <w:rFonts w:ascii="Arial" w:cs="Arial" w:hAnsi="Arial"/>
          <w:i/>
          <w:iCs/>
          <w:color w:val="222222"/>
          <w:shd w:val="clear" w:color="auto" w:fill="ffffff"/>
        </w:rPr>
        <w:t>Paradoks</w:t>
      </w:r>
      <w:r>
        <w:rPr>
          <w:rFonts w:ascii="Arial" w:cs="Arial" w:hAnsi="Arial"/>
          <w:i/>
          <w:iCs/>
          <w:color w:val="222222"/>
          <w:shd w:val="clear" w:color="auto" w:fill="ffffff"/>
        </w:rPr>
        <w:t xml:space="preserve">: </w:t>
      </w:r>
      <w:r>
        <w:rPr>
          <w:rFonts w:ascii="Arial" w:cs="Arial" w:hAnsi="Arial"/>
          <w:i/>
          <w:iCs/>
          <w:color w:val="222222"/>
          <w:shd w:val="clear" w:color="auto" w:fill="ffffff"/>
        </w:rPr>
        <w:t>Jurnal</w:t>
      </w:r>
      <w:r>
        <w:rPr>
          <w:rFonts w:ascii="Arial" w:cs="Arial" w:hAnsi="Arial"/>
          <w:i/>
          <w:iCs/>
          <w:color w:val="222222"/>
          <w:shd w:val="clear" w:color="auto" w:fill="ffffff"/>
        </w:rPr>
        <w:t xml:space="preserve"> </w:t>
      </w:r>
      <w:r>
        <w:rPr>
          <w:rFonts w:ascii="Arial" w:cs="Arial" w:hAnsi="Arial"/>
          <w:i/>
          <w:iCs/>
          <w:color w:val="222222"/>
          <w:shd w:val="clear" w:color="auto" w:fill="ffffff"/>
        </w:rPr>
        <w:t>Ilmu</w:t>
      </w:r>
      <w:r>
        <w:rPr>
          <w:rFonts w:ascii="Arial" w:cs="Arial" w:hAnsi="Arial"/>
          <w:i/>
          <w:iCs/>
          <w:color w:val="222222"/>
          <w:shd w:val="clear" w:color="auto" w:fill="ffffff"/>
        </w:rPr>
        <w:t xml:space="preserve"> </w:t>
      </w:r>
      <w:r>
        <w:rPr>
          <w:rFonts w:ascii="Arial" w:cs="Arial" w:hAnsi="Arial"/>
          <w:i/>
          <w:iCs/>
          <w:color w:val="222222"/>
          <w:shd w:val="clear" w:color="auto" w:fill="ffffff"/>
        </w:rPr>
        <w:t>Ekonomi</w:t>
      </w:r>
      <w:r>
        <w:rPr>
          <w:rFonts w:ascii="Arial" w:cs="Arial" w:hAnsi="Arial"/>
          <w:color w:val="222222"/>
          <w:shd w:val="clear" w:color="auto" w:fill="ffffff"/>
        </w:rPr>
        <w:t xml:space="preserve">, </w:t>
      </w:r>
      <w:r>
        <w:rPr>
          <w:rFonts w:ascii="Arial" w:cs="Arial" w:hAnsi="Arial"/>
          <w:i/>
          <w:iCs/>
          <w:color w:val="222222"/>
          <w:shd w:val="clear" w:color="auto" w:fill="ffffff"/>
        </w:rPr>
        <w:t>7</w:t>
      </w:r>
      <w:r>
        <w:rPr>
          <w:rFonts w:ascii="Arial" w:cs="Arial" w:hAnsi="Arial"/>
          <w:color w:val="222222"/>
          <w:shd w:val="clear" w:color="auto" w:fill="ffffff"/>
        </w:rPr>
        <w:t xml:space="preserve">(4), pp.466-480. Available at: </w:t>
      </w:r>
      <w:r>
        <w:rPr/>
        <w:fldChar w:fldCharType="begin"/>
      </w:r>
      <w:r>
        <w:instrText xml:space="preserve"> HYPERLINK "https://jurnal.feb-umi.id/index.php/PARADOKS/article/download/991/720" </w:instrText>
      </w:r>
      <w:r>
        <w:rPr/>
        <w:fldChar w:fldCharType="separate"/>
      </w:r>
      <w:r>
        <w:rPr>
          <w:rStyle w:val="style85"/>
          <w:rFonts w:ascii="Arial" w:cs="Arial" w:hAnsi="Arial"/>
          <w:color w:val="1155cc"/>
          <w:shd w:val="clear" w:color="auto" w:fill="ffffff"/>
        </w:rPr>
        <w:t>https://jurnal.feb-umi.id/index.php/PARADOKS/article/download/991/720</w:t>
      </w:r>
      <w:r>
        <w:rPr/>
        <w:fldChar w:fldCharType="end"/>
      </w:r>
    </w:p>
    <w:p>
      <w:pPr>
        <w:pStyle w:val="style94"/>
        <w:spacing w:before="240" w:lineRule="auto" w:line="360"/>
        <w:jc w:val="both"/>
        <w:rPr>
          <w:rFonts w:ascii="Arial" w:cs="Arial" w:hAnsi="Arial"/>
          <w:lang w:val="fr-CA"/>
        </w:rPr>
      </w:pPr>
      <w:r>
        <w:rPr>
          <w:rFonts w:ascii="Arial" w:cs="Arial" w:hAnsi="Arial"/>
        </w:rPr>
        <w:t xml:space="preserve">Onia, S.I., (2022) ‘Education policy of Sudan and utilization of the mobile device (iPad) technology: Opportunities and challenges’, </w:t>
      </w:r>
      <w:r>
        <w:rPr>
          <w:rFonts w:ascii="Arial" w:cs="Arial" w:hAnsi="Arial"/>
          <w:i/>
          <w:iCs/>
        </w:rPr>
        <w:t>Indonesian Journal of Educational Research and Technology</w:t>
      </w:r>
      <w:r>
        <w:rPr>
          <w:rFonts w:ascii="Arial" w:cs="Arial" w:hAnsi="Arial"/>
        </w:rPr>
        <w:t xml:space="preserve">, </w:t>
      </w:r>
      <w:r>
        <w:rPr>
          <w:rFonts w:ascii="Arial" w:cs="Arial" w:hAnsi="Arial"/>
          <w:i/>
          <w:iCs/>
        </w:rPr>
        <w:t>2</w:t>
      </w:r>
      <w:r>
        <w:rPr>
          <w:rFonts w:ascii="Arial" w:cs="Arial" w:hAnsi="Arial"/>
        </w:rPr>
        <w:t xml:space="preserve">(3), pp.205-212. </w:t>
      </w:r>
      <w:r>
        <w:rPr>
          <w:rFonts w:ascii="Arial" w:cs="Arial" w:hAnsi="Arial"/>
          <w:lang w:val="fr-CA"/>
        </w:rPr>
        <w:t xml:space="preserve">Available at: </w:t>
      </w:r>
      <w:r>
        <w:rPr/>
        <w:fldChar w:fldCharType="begin"/>
      </w:r>
      <w:r>
        <w:instrText xml:space="preserve"> HYPERLINK "https://www.researchgate.net/profile/Saifaldin-Onia/publication/359369422_Education_Policy_of_Sudan_and_Utilization_of_the_Mobile_Device_iPad_Technology_Opportunities_and_Challenges_Indonesian_Journal_of_Educational_Research_and_Technology/links/62382b57d1e27a083bc0d054/Education-Policy-of-Sudan-and-Utilization-of-the-Mobile-Device-iPad-Technology-Opportunities-and-Challenges-Indonesian-Journal-of-Educational-Research-and-Technology.pdf" </w:instrText>
      </w:r>
      <w:r>
        <w:rPr/>
        <w:fldChar w:fldCharType="separate"/>
      </w:r>
      <w:r>
        <w:rPr>
          <w:rStyle w:val="style85"/>
          <w:rFonts w:ascii="Arial" w:cs="Arial" w:hAnsi="Arial"/>
          <w:lang w:val="fr-CA"/>
        </w:rPr>
        <w:t>https://www.researchgate.net/profile/Saifaldin-Onia/publication/359369422_Education_Policy_of_Sudan_and_Utilization_of_the_M</w:t>
      </w:r>
      <w:r>
        <w:rPr>
          <w:rStyle w:val="style85"/>
          <w:rFonts w:ascii="Arial" w:cs="Arial" w:hAnsi="Arial"/>
          <w:lang w:val="fr-CA"/>
        </w:rPr>
        <w:t>obile_Device_iPad_Technology_Opportunities_and_Challenges_Indonesian_Journal_of_Educational_Research_and_Technology/links/62382b57d1e27a083bc0d054/Education-Policy-of-Sudan-and-Utilization-of-the-Mobile-Device-iPad-Technology-Opportunities-and-Challenges-Indonesian-Journal-of-Educational-Research-and-Technology.pdf</w:t>
      </w:r>
      <w:r>
        <w:rPr/>
        <w:fldChar w:fldCharType="end"/>
      </w:r>
      <w:r>
        <w:rPr>
          <w:rFonts w:ascii="Arial" w:cs="Arial" w:hAnsi="Arial"/>
          <w:lang w:val="fr-CA"/>
        </w:rPr>
        <w:t> </w:t>
      </w:r>
    </w:p>
    <w:p>
      <w:pPr>
        <w:pStyle w:val="style94"/>
        <w:spacing w:before="240" w:beforeAutospacing="false" w:after="200" w:afterAutospacing="false" w:lineRule="auto" w:line="360"/>
        <w:jc w:val="both"/>
        <w:rPr>
          <w:rFonts w:ascii="Arial" w:cs="Arial" w:hAnsi="Arial"/>
          <w:lang w:val="fr-CA"/>
        </w:rPr>
      </w:pPr>
      <w:r>
        <w:rPr>
          <w:rFonts w:ascii="Arial" w:cs="Arial" w:hAnsi="Arial"/>
          <w:color w:val="222222"/>
          <w:shd w:val="clear" w:color="auto" w:fill="ffffff"/>
        </w:rPr>
        <w:t>Pahwa</w:t>
      </w:r>
      <w:r>
        <w:rPr>
          <w:rFonts w:ascii="Arial" w:cs="Arial" w:hAnsi="Arial"/>
          <w:color w:val="222222"/>
          <w:shd w:val="clear" w:color="auto" w:fill="ffffff"/>
        </w:rPr>
        <w:t xml:space="preserve">, M., (2024) ‘Learning Through Experimentation &amp; Readiness for Change: The Mediating Role of Reflective Learning’, </w:t>
      </w:r>
      <w:r>
        <w:rPr>
          <w:rFonts w:ascii="Arial" w:cs="Arial" w:hAnsi="Arial"/>
          <w:i/>
          <w:iCs/>
          <w:color w:val="222222"/>
          <w:shd w:val="clear" w:color="auto" w:fill="ffffff"/>
        </w:rPr>
        <w:t>Indian Journal of Industrial Relations</w:t>
      </w:r>
      <w:r>
        <w:rPr>
          <w:rFonts w:ascii="Arial" w:cs="Arial" w:hAnsi="Arial"/>
          <w:color w:val="222222"/>
          <w:shd w:val="clear" w:color="auto" w:fill="ffffff"/>
        </w:rPr>
        <w:t xml:space="preserve">, </w:t>
      </w:r>
      <w:r>
        <w:rPr>
          <w:rFonts w:ascii="Arial" w:cs="Arial" w:hAnsi="Arial"/>
          <w:i/>
          <w:iCs/>
          <w:color w:val="222222"/>
          <w:shd w:val="clear" w:color="auto" w:fill="ffffff"/>
        </w:rPr>
        <w:t>60</w:t>
      </w:r>
      <w:r>
        <w:rPr>
          <w:rFonts w:ascii="Arial" w:cs="Arial" w:hAnsi="Arial"/>
          <w:color w:val="222222"/>
          <w:shd w:val="clear" w:color="auto" w:fill="ffffff"/>
        </w:rPr>
        <w:t xml:space="preserve">(2). </w:t>
      </w:r>
      <w:r>
        <w:rPr>
          <w:rFonts w:ascii="Arial" w:cs="Arial" w:hAnsi="Arial"/>
          <w:color w:val="222222"/>
          <w:shd w:val="clear" w:color="auto" w:fill="ffffff"/>
          <w:lang w:val="fr-CA"/>
        </w:rPr>
        <w:t xml:space="preserve">Available at: </w:t>
      </w:r>
      <w:r>
        <w:rPr/>
        <w:fldChar w:fldCharType="begin"/>
      </w:r>
      <w:r>
        <w:instrText xml:space="preserve"> HYPERLINK "https://search.ebscohost.com/login.aspx?direct=true&amp;profile=ehost&amp;scope=site&amp;authtype=crawler&amp;jrnl=00195286&amp;AN=182003492&amp;h=ENiSX0cJb7TRECVyaRD28Fs%2BmRtjgGnWwteuCLQXMiHpdp7YgTz2T5cY6UkSFopomkkNESADcH2%2Bev2cAO2cpw%3D%3D&amp;crl=c" </w:instrText>
      </w:r>
      <w:r>
        <w:rPr/>
        <w:fldChar w:fldCharType="separate"/>
      </w:r>
      <w:r>
        <w:rPr>
          <w:rStyle w:val="style85"/>
          <w:rFonts w:ascii="Arial" w:cs="Arial" w:hAnsi="Arial"/>
          <w:color w:val="1155cc"/>
          <w:shd w:val="clear" w:color="auto" w:fill="ffffff"/>
          <w:lang w:val="fr-CA"/>
        </w:rPr>
        <w:t>https://search.ebscohost.com/login.aspx?direct=true&amp;profile=ehost&amp;scope=site&amp;authtype=crawler&amp;jrnl=00195286&amp;AN=182003492&amp;h=ENiSX0cJb7TRECVyaRD28Fs%2BmRtjgGnWwteuCLQXMiHpdp7YgTz2T5cY6UkSFopomkkNESADcH2%2Bev2cAO2cpw%3D%3D&amp;crl=c</w:t>
      </w:r>
      <w:r>
        <w:rPr/>
        <w:fldChar w:fldCharType="end"/>
      </w:r>
    </w:p>
    <w:p>
      <w:pPr>
        <w:pStyle w:val="style94"/>
        <w:spacing w:before="240" w:lineRule="auto" w:line="360"/>
        <w:jc w:val="both"/>
        <w:rPr>
          <w:rFonts w:ascii="Arial" w:cs="Arial" w:hAnsi="Arial"/>
        </w:rPr>
      </w:pPr>
      <w:r>
        <w:rPr>
          <w:rFonts w:ascii="Arial" w:cs="Arial" w:hAnsi="Arial"/>
        </w:rPr>
        <w:t>Psychsafety</w:t>
      </w:r>
      <w:r>
        <w:rPr>
          <w:rFonts w:ascii="Arial" w:cs="Arial" w:hAnsi="Arial"/>
        </w:rPr>
        <w:t xml:space="preserve"> (2026) </w:t>
      </w:r>
      <w:r>
        <w:rPr>
          <w:rFonts w:ascii="Arial" w:cs="Arial" w:hAnsi="Arial"/>
          <w:i/>
          <w:iCs/>
        </w:rPr>
        <w:t xml:space="preserve">What is Psychological </w:t>
      </w:r>
      <w:r>
        <w:rPr>
          <w:rFonts w:ascii="Arial" w:cs="Arial" w:hAnsi="Arial"/>
          <w:i/>
          <w:iCs/>
        </w:rPr>
        <w:t>Safety?.</w:t>
      </w:r>
      <w:r>
        <w:rPr>
          <w:rFonts w:ascii="Arial" w:cs="Arial" w:hAnsi="Arial"/>
        </w:rPr>
        <w:t xml:space="preserve"> Available at: </w:t>
      </w:r>
      <w:r>
        <w:rPr/>
        <w:fldChar w:fldCharType="begin"/>
      </w:r>
      <w:r>
        <w:instrText xml:space="preserve"> HYPERLINK "https://psychsafety.com/about-psychological-safety/" </w:instrText>
      </w:r>
      <w:r>
        <w:rPr/>
        <w:fldChar w:fldCharType="separate"/>
      </w:r>
      <w:r>
        <w:rPr>
          <w:rStyle w:val="style85"/>
          <w:rFonts w:ascii="Arial" w:cs="Arial" w:hAnsi="Arial"/>
        </w:rPr>
        <w:t>https://psychsafety.com/about-psychological-safety/</w:t>
      </w:r>
      <w:r>
        <w:rPr/>
        <w:fldChar w:fldCharType="end"/>
      </w:r>
      <w:r>
        <w:rPr>
          <w:rFonts w:ascii="Arial" w:cs="Arial" w:hAnsi="Arial"/>
        </w:rPr>
        <w:t xml:space="preserve"> (Accessed on: 16 March 2026).</w:t>
      </w:r>
    </w:p>
    <w:p>
      <w:pPr>
        <w:pStyle w:val="style94"/>
        <w:spacing w:before="240" w:beforeAutospacing="false" w:after="200" w:afterAutospacing="false" w:lineRule="auto" w:line="360"/>
        <w:jc w:val="both"/>
        <w:rPr>
          <w:rFonts w:ascii="Arial" w:cs="Arial" w:hAnsi="Arial"/>
          <w:lang w:val="fr-CA"/>
        </w:rPr>
      </w:pPr>
      <w:r>
        <w:rPr>
          <w:rFonts w:ascii="Arial" w:cs="Arial" w:hAnsi="Arial"/>
          <w:color w:val="222222"/>
          <w:shd w:val="clear" w:color="auto" w:fill="ffffff"/>
        </w:rPr>
        <w:t>Soegiarto</w:t>
      </w:r>
      <w:r>
        <w:rPr>
          <w:rFonts w:ascii="Arial" w:cs="Arial" w:hAnsi="Arial"/>
          <w:color w:val="222222"/>
          <w:shd w:val="clear" w:color="auto" w:fill="ffffff"/>
        </w:rPr>
        <w:t xml:space="preserve">, I., </w:t>
      </w:r>
      <w:r>
        <w:rPr>
          <w:rFonts w:ascii="Arial" w:cs="Arial" w:hAnsi="Arial"/>
          <w:color w:val="222222"/>
          <w:shd w:val="clear" w:color="auto" w:fill="ffffff"/>
        </w:rPr>
        <w:t>Sihite</w:t>
      </w:r>
      <w:r>
        <w:rPr>
          <w:rFonts w:ascii="Arial" w:cs="Arial" w:hAnsi="Arial"/>
          <w:color w:val="222222"/>
          <w:shd w:val="clear" w:color="auto" w:fill="ffffff"/>
        </w:rPr>
        <w:t xml:space="preserve">, M. and </w:t>
      </w:r>
      <w:r>
        <w:rPr>
          <w:rFonts w:ascii="Arial" w:cs="Arial" w:hAnsi="Arial"/>
          <w:color w:val="222222"/>
          <w:shd w:val="clear" w:color="auto" w:fill="ffffff"/>
        </w:rPr>
        <w:t>Usmany</w:t>
      </w:r>
      <w:r>
        <w:rPr>
          <w:rFonts w:ascii="Arial" w:cs="Arial" w:hAnsi="Arial"/>
          <w:color w:val="222222"/>
          <w:shd w:val="clear" w:color="auto" w:fill="ffffff"/>
        </w:rPr>
        <w:t xml:space="preserve">, P., (2024) ‘The influence of training and development programs, job autonomy, and organizational culture on employee job satisfaction and performance’, </w:t>
      </w:r>
      <w:r>
        <w:rPr>
          <w:rFonts w:ascii="Arial" w:cs="Arial" w:hAnsi="Arial"/>
          <w:i/>
          <w:iCs/>
          <w:color w:val="222222"/>
          <w:shd w:val="clear" w:color="auto" w:fill="ffffff"/>
        </w:rPr>
        <w:t>International Journal of Business, Law, and Education</w:t>
      </w:r>
      <w:r>
        <w:rPr>
          <w:rFonts w:ascii="Arial" w:cs="Arial" w:hAnsi="Arial"/>
          <w:color w:val="222222"/>
          <w:shd w:val="clear" w:color="auto" w:fill="ffffff"/>
        </w:rPr>
        <w:t xml:space="preserve">, </w:t>
      </w:r>
      <w:r>
        <w:rPr>
          <w:rFonts w:ascii="Arial" w:cs="Arial" w:hAnsi="Arial"/>
          <w:i/>
          <w:iCs/>
          <w:color w:val="222222"/>
          <w:shd w:val="clear" w:color="auto" w:fill="ffffff"/>
        </w:rPr>
        <w:t>5</w:t>
      </w:r>
      <w:r>
        <w:rPr>
          <w:rFonts w:ascii="Arial" w:cs="Arial" w:hAnsi="Arial"/>
          <w:color w:val="222222"/>
          <w:shd w:val="clear" w:color="auto" w:fill="ffffff"/>
        </w:rPr>
        <w:t xml:space="preserve">(2), pp.1577-1583. </w:t>
      </w:r>
      <w:r>
        <w:rPr>
          <w:rFonts w:ascii="Arial" w:cs="Arial" w:hAnsi="Arial"/>
          <w:color w:val="222222"/>
          <w:shd w:val="clear" w:color="auto" w:fill="ffffff"/>
          <w:lang w:val="fr-CA"/>
        </w:rPr>
        <w:t xml:space="preserve">Available at: </w:t>
      </w:r>
      <w:r>
        <w:rPr/>
        <w:fldChar w:fldCharType="begin"/>
      </w:r>
      <w:r>
        <w:instrText xml:space="preserve"> HYPERLINK "https://ijble.com/index.php/journal/article/download/596/614" </w:instrText>
      </w:r>
      <w:r>
        <w:rPr/>
        <w:fldChar w:fldCharType="separate"/>
      </w:r>
      <w:r>
        <w:rPr>
          <w:rStyle w:val="style85"/>
          <w:rFonts w:ascii="Arial" w:cs="Arial" w:hAnsi="Arial"/>
          <w:color w:val="1155cc"/>
          <w:shd w:val="clear" w:color="auto" w:fill="ffffff"/>
          <w:lang w:val="fr-CA"/>
        </w:rPr>
        <w:t>https://ijble.com/index.php/journal/article/download/596/614</w:t>
      </w:r>
      <w:r>
        <w:rPr/>
        <w:fldChar w:fldCharType="end"/>
      </w:r>
    </w:p>
    <w:p>
      <w:pPr>
        <w:pStyle w:val="style94"/>
        <w:spacing w:before="240" w:beforeAutospacing="false" w:after="200" w:afterAutospacing="false" w:lineRule="auto" w:line="360"/>
        <w:jc w:val="both"/>
        <w:rPr>
          <w:rFonts w:ascii="Arial" w:cs="Arial" w:hAnsi="Arial"/>
        </w:rPr>
      </w:pPr>
      <w:r>
        <w:rPr>
          <w:rFonts w:ascii="Arial" w:cs="Arial" w:hAnsi="Arial"/>
          <w:color w:val="222222"/>
          <w:shd w:val="clear" w:color="auto" w:fill="ffffff"/>
        </w:rPr>
        <w:t>Sundari</w:t>
      </w:r>
      <w:r>
        <w:rPr>
          <w:rFonts w:ascii="Arial" w:cs="Arial" w:hAnsi="Arial"/>
          <w:color w:val="222222"/>
          <w:shd w:val="clear" w:color="auto" w:fill="ffffff"/>
        </w:rPr>
        <w:t xml:space="preserve">, S., </w:t>
      </w:r>
      <w:r>
        <w:rPr>
          <w:rFonts w:ascii="Arial" w:cs="Arial" w:hAnsi="Arial"/>
          <w:color w:val="222222"/>
          <w:shd w:val="clear" w:color="auto" w:fill="ffffff"/>
        </w:rPr>
        <w:t>Silalahi</w:t>
      </w:r>
      <w:r>
        <w:rPr>
          <w:rFonts w:ascii="Arial" w:cs="Arial" w:hAnsi="Arial"/>
          <w:color w:val="222222"/>
          <w:shd w:val="clear" w:color="auto" w:fill="ffffff"/>
        </w:rPr>
        <w:t xml:space="preserve">, V.A.J.M., </w:t>
      </w:r>
      <w:r>
        <w:rPr>
          <w:rFonts w:ascii="Arial" w:cs="Arial" w:hAnsi="Arial"/>
          <w:color w:val="222222"/>
          <w:shd w:val="clear" w:color="auto" w:fill="ffffff"/>
        </w:rPr>
        <w:t>Wardani</w:t>
      </w:r>
      <w:r>
        <w:rPr>
          <w:rFonts w:ascii="Arial" w:cs="Arial" w:hAnsi="Arial"/>
          <w:color w:val="222222"/>
          <w:shd w:val="clear" w:color="auto" w:fill="ffffff"/>
        </w:rPr>
        <w:t xml:space="preserve">, F.P., </w:t>
      </w:r>
      <w:r>
        <w:rPr>
          <w:rFonts w:ascii="Arial" w:cs="Arial" w:hAnsi="Arial"/>
          <w:color w:val="222222"/>
          <w:shd w:val="clear" w:color="auto" w:fill="ffffff"/>
        </w:rPr>
        <w:t>Siahaan</w:t>
      </w:r>
      <w:r>
        <w:rPr>
          <w:rFonts w:ascii="Arial" w:cs="Arial" w:hAnsi="Arial"/>
          <w:color w:val="222222"/>
          <w:shd w:val="clear" w:color="auto" w:fill="ffffff"/>
        </w:rPr>
        <w:t xml:space="preserve">, R.S., Sacha, S., </w:t>
      </w:r>
      <w:r>
        <w:rPr>
          <w:rFonts w:ascii="Arial" w:cs="Arial" w:hAnsi="Arial"/>
          <w:color w:val="222222"/>
          <w:shd w:val="clear" w:color="auto" w:fill="ffffff"/>
        </w:rPr>
        <w:t>Krismayanti</w:t>
      </w:r>
      <w:r>
        <w:rPr>
          <w:rFonts w:ascii="Arial" w:cs="Arial" w:hAnsi="Arial"/>
          <w:color w:val="222222"/>
          <w:shd w:val="clear" w:color="auto" w:fill="ffffff"/>
        </w:rPr>
        <w:t xml:space="preserve">, Y. and </w:t>
      </w:r>
      <w:r>
        <w:rPr>
          <w:rFonts w:ascii="Arial" w:cs="Arial" w:hAnsi="Arial"/>
          <w:color w:val="222222"/>
          <w:shd w:val="clear" w:color="auto" w:fill="ffffff"/>
        </w:rPr>
        <w:t>Anjarsari</w:t>
      </w:r>
      <w:r>
        <w:rPr>
          <w:rFonts w:ascii="Arial" w:cs="Arial" w:hAnsi="Arial"/>
          <w:color w:val="222222"/>
          <w:shd w:val="clear" w:color="auto" w:fill="ffffff"/>
        </w:rPr>
        <w:t xml:space="preserve">, N., (2024) ‘Artificial intelligence (AI) and automation in human resources: Shifting the focus from routine tasks to strategic initiatives for improved employee engagement’, </w:t>
      </w:r>
      <w:r>
        <w:rPr>
          <w:rFonts w:ascii="Arial" w:cs="Arial" w:hAnsi="Arial"/>
          <w:i/>
          <w:iCs/>
          <w:color w:val="222222"/>
          <w:shd w:val="clear" w:color="auto" w:fill="ffffff"/>
        </w:rPr>
        <w:t>East Asian Journal of Multidisciplinary Research</w:t>
      </w:r>
      <w:r>
        <w:rPr>
          <w:rFonts w:ascii="Arial" w:cs="Arial" w:hAnsi="Arial"/>
          <w:color w:val="222222"/>
          <w:shd w:val="clear" w:color="auto" w:fill="ffffff"/>
        </w:rPr>
        <w:t xml:space="preserve">, </w:t>
      </w:r>
      <w:r>
        <w:rPr>
          <w:rFonts w:ascii="Arial" w:cs="Arial" w:hAnsi="Arial"/>
          <w:i/>
          <w:iCs/>
          <w:color w:val="222222"/>
          <w:shd w:val="clear" w:color="auto" w:fill="ffffff"/>
        </w:rPr>
        <w:t>3</w:t>
      </w:r>
      <w:r>
        <w:rPr>
          <w:rFonts w:ascii="Arial" w:cs="Arial" w:hAnsi="Arial"/>
          <w:color w:val="222222"/>
          <w:shd w:val="clear" w:color="auto" w:fill="ffffff"/>
        </w:rPr>
        <w:t xml:space="preserve">(10), pp.4983-4996. Available at: </w:t>
      </w:r>
      <w:r>
        <w:rPr/>
        <w:fldChar w:fldCharType="begin"/>
      </w:r>
      <w:r>
        <w:instrText xml:space="preserve"> HYPERLINK "https://pdfs.semanticscholar.org/2f86/e2f2cbebcab320997e40c8601d7079d470ee.pdf" </w:instrText>
      </w:r>
      <w:r>
        <w:rPr/>
        <w:fldChar w:fldCharType="separate"/>
      </w:r>
      <w:r>
        <w:rPr>
          <w:rStyle w:val="style85"/>
          <w:rFonts w:ascii="Arial" w:cs="Arial" w:hAnsi="Arial"/>
          <w:color w:val="1155cc"/>
          <w:shd w:val="clear" w:color="auto" w:fill="ffffff"/>
        </w:rPr>
        <w:t>https://pdfs.semanticscholar.org/2f86/e2f2cbebcab320997e40c8601d7079d470ee.pdf</w:t>
      </w:r>
      <w:r>
        <w:rPr/>
        <w:fldChar w:fldCharType="end"/>
      </w:r>
    </w:p>
    <w:p>
      <w:pPr>
        <w:pStyle w:val="style94"/>
        <w:spacing w:before="240" w:lineRule="auto" w:line="360"/>
        <w:jc w:val="both"/>
        <w:rPr>
          <w:rFonts w:ascii="Arial" w:cs="Arial" w:hAnsi="Arial"/>
          <w:lang w:val="fr-CA"/>
        </w:rPr>
      </w:pPr>
      <w:r>
        <w:rPr>
          <w:rFonts w:ascii="Arial" w:cs="Arial" w:hAnsi="Arial"/>
        </w:rPr>
        <w:t>Trzaskowska-Dmoch</w:t>
      </w:r>
      <w:r>
        <w:rPr>
          <w:rFonts w:ascii="Arial" w:cs="Arial" w:hAnsi="Arial"/>
        </w:rPr>
        <w:t xml:space="preserve">, A., </w:t>
      </w:r>
      <w:r>
        <w:rPr>
          <w:rFonts w:ascii="Arial" w:cs="Arial" w:hAnsi="Arial"/>
        </w:rPr>
        <w:t>Kocot</w:t>
      </w:r>
      <w:r>
        <w:rPr>
          <w:rFonts w:ascii="Arial" w:cs="Arial" w:hAnsi="Arial"/>
        </w:rPr>
        <w:t xml:space="preserve">, M., </w:t>
      </w:r>
      <w:r>
        <w:rPr>
          <w:rFonts w:ascii="Arial" w:cs="Arial" w:hAnsi="Arial"/>
        </w:rPr>
        <w:t>Gontarek</w:t>
      </w:r>
      <w:r>
        <w:rPr>
          <w:rFonts w:ascii="Arial" w:cs="Arial" w:hAnsi="Arial"/>
        </w:rPr>
        <w:t xml:space="preserve">, I., </w:t>
      </w:r>
      <w:r>
        <w:rPr>
          <w:rFonts w:ascii="Arial" w:cs="Arial" w:hAnsi="Arial"/>
        </w:rPr>
        <w:t>Rodowicki</w:t>
      </w:r>
      <w:r>
        <w:rPr>
          <w:rFonts w:ascii="Arial" w:cs="Arial" w:hAnsi="Arial"/>
        </w:rPr>
        <w:t xml:space="preserve">, S., </w:t>
      </w:r>
      <w:r>
        <w:rPr>
          <w:rFonts w:ascii="Arial" w:cs="Arial" w:hAnsi="Arial"/>
        </w:rPr>
        <w:t>Oleksiejuk</w:t>
      </w:r>
      <w:r>
        <w:rPr>
          <w:rFonts w:ascii="Arial" w:cs="Arial" w:hAnsi="Arial"/>
        </w:rPr>
        <w:t xml:space="preserve">, J. and </w:t>
      </w:r>
      <w:r>
        <w:rPr>
          <w:rFonts w:ascii="Arial" w:cs="Arial" w:hAnsi="Arial"/>
        </w:rPr>
        <w:t>Stasiak</w:t>
      </w:r>
      <w:r>
        <w:rPr>
          <w:rFonts w:ascii="Arial" w:cs="Arial" w:hAnsi="Arial"/>
        </w:rPr>
        <w:t xml:space="preserve">, J., (2025) ‘A management model in an agile organization based on the example of a company Spotify’. </w:t>
      </w:r>
      <w:r>
        <w:rPr>
          <w:rFonts w:ascii="Arial" w:cs="Arial" w:hAnsi="Arial"/>
          <w:lang w:val="fr-CA"/>
        </w:rPr>
        <w:t xml:space="preserve">Available at: </w:t>
      </w:r>
      <w:r>
        <w:rPr/>
        <w:fldChar w:fldCharType="begin"/>
      </w:r>
      <w:r>
        <w:instrText xml:space="preserve"> HYPERLINK "https://www.um.edu.mt/library/oar/bitstream/123456789/136648/1/ERSJ28%282%29A4.pdf" </w:instrText>
      </w:r>
      <w:r>
        <w:rPr/>
        <w:fldChar w:fldCharType="separate"/>
      </w:r>
      <w:r>
        <w:rPr>
          <w:rStyle w:val="style85"/>
          <w:rFonts w:ascii="Arial" w:cs="Arial" w:hAnsi="Arial"/>
          <w:lang w:val="fr-CA"/>
        </w:rPr>
        <w:t>https://www.um.edu.mt/library/oar/bitstream/123456789/136648/1/ERSJ28%282%29A4.pdf</w:t>
      </w:r>
      <w:r>
        <w:rPr/>
        <w:fldChar w:fldCharType="end"/>
      </w:r>
      <w:r>
        <w:rPr>
          <w:rFonts w:ascii="Arial" w:cs="Arial" w:hAnsi="Arial"/>
          <w:lang w:val="fr-CA"/>
        </w:rPr>
        <w:t> </w:t>
      </w:r>
    </w:p>
    <w:p>
      <w:pPr>
        <w:pStyle w:val="style94"/>
        <w:spacing w:before="240" w:lineRule="auto" w:line="360"/>
        <w:jc w:val="both"/>
        <w:rPr>
          <w:rFonts w:ascii="Arial" w:cs="Arial" w:hAnsi="Arial"/>
        </w:rPr>
      </w:pPr>
      <w:r>
        <w:rPr>
          <w:rFonts w:ascii="Arial" w:cs="Arial" w:hAnsi="Arial"/>
        </w:rPr>
        <w:t xml:space="preserve">Usman Ali (2026) </w:t>
      </w:r>
      <w:r>
        <w:rPr>
          <w:rFonts w:ascii="Arial" w:cs="Arial" w:hAnsi="Arial"/>
          <w:i/>
          <w:iCs/>
        </w:rPr>
        <w:t xml:space="preserve">Self Determination Theory: Motivation Explained for the MCAT. </w:t>
      </w:r>
      <w:r>
        <w:rPr>
          <w:rFonts w:ascii="Arial" w:cs="Arial" w:hAnsi="Arial"/>
        </w:rPr>
        <w:t xml:space="preserve">Available at: </w:t>
      </w:r>
      <w:r>
        <w:rPr/>
        <w:fldChar w:fldCharType="begin"/>
      </w:r>
      <w:r>
        <w:instrText xml:space="preserve"> HYPERLINK "https://kingofthecurve.org/blog/self-determination-theory-mcat" </w:instrText>
      </w:r>
      <w:r>
        <w:rPr/>
        <w:fldChar w:fldCharType="separate"/>
      </w:r>
      <w:r>
        <w:rPr>
          <w:rStyle w:val="style85"/>
          <w:rFonts w:ascii="Arial" w:cs="Arial" w:hAnsi="Arial"/>
        </w:rPr>
        <w:t>https://kingofthecurve.org/blog/self-determination-theory-mcat</w:t>
      </w:r>
      <w:r>
        <w:rPr/>
        <w:fldChar w:fldCharType="end"/>
      </w:r>
      <w:r>
        <w:rPr>
          <w:rFonts w:ascii="Arial" w:cs="Arial" w:hAnsi="Arial"/>
        </w:rPr>
        <w:t>  (Accessed on: 16 March 2026).</w:t>
      </w:r>
    </w:p>
    <w:p>
      <w:pPr>
        <w:pStyle w:val="style94"/>
        <w:spacing w:before="240" w:beforeAutospacing="false" w:after="200" w:afterAutospacing="false" w:lineRule="auto" w:line="360"/>
        <w:jc w:val="both"/>
        <w:rPr>
          <w:rStyle w:val="style85"/>
          <w:rFonts w:ascii="Arial" w:cs="Arial" w:hAnsi="Arial"/>
          <w:color w:val="1155cc"/>
          <w:shd w:val="clear" w:color="auto" w:fill="ffffff"/>
        </w:rPr>
      </w:pPr>
      <w:r>
        <w:rPr>
          <w:rFonts w:ascii="Arial" w:cs="Arial" w:hAnsi="Arial"/>
          <w:color w:val="222222"/>
          <w:shd w:val="clear" w:color="auto" w:fill="ffffff"/>
        </w:rPr>
        <w:t>Vasudevan</w:t>
      </w:r>
      <w:r>
        <w:rPr>
          <w:rFonts w:ascii="Arial" w:cs="Arial" w:hAnsi="Arial"/>
          <w:color w:val="222222"/>
          <w:shd w:val="clear" w:color="auto" w:fill="ffffff"/>
        </w:rPr>
        <w:t xml:space="preserve">, M. and Kumar, B.S., (2024) ‘Optimizing new product development: The role of cross-functional collaboration and leadership practices’, </w:t>
      </w:r>
      <w:r>
        <w:rPr>
          <w:rFonts w:ascii="Arial" w:cs="Arial" w:hAnsi="Arial"/>
          <w:i/>
          <w:iCs/>
          <w:color w:val="222222"/>
          <w:shd w:val="clear" w:color="auto" w:fill="ffffff"/>
        </w:rPr>
        <w:t>Journal of Information Systems Engineering and Management</w:t>
      </w:r>
      <w:r>
        <w:rPr>
          <w:rFonts w:ascii="Arial" w:cs="Arial" w:hAnsi="Arial"/>
          <w:color w:val="222222"/>
          <w:shd w:val="clear" w:color="auto" w:fill="ffffff"/>
        </w:rPr>
        <w:t xml:space="preserve">, </w:t>
      </w:r>
      <w:r>
        <w:rPr>
          <w:rFonts w:ascii="Arial" w:cs="Arial" w:hAnsi="Arial"/>
          <w:i/>
          <w:iCs/>
          <w:color w:val="222222"/>
          <w:shd w:val="clear" w:color="auto" w:fill="ffffff"/>
        </w:rPr>
        <w:t>19</w:t>
      </w:r>
      <w:r>
        <w:rPr>
          <w:rFonts w:ascii="Arial" w:cs="Arial" w:hAnsi="Arial"/>
          <w:color w:val="222222"/>
          <w:shd w:val="clear" w:color="auto" w:fill="ffffff"/>
        </w:rPr>
        <w:t xml:space="preserve">, pp.41-55. Available at: </w:t>
      </w:r>
      <w:r>
        <w:rPr/>
        <w:fldChar w:fldCharType="begin"/>
      </w:r>
      <w:r>
        <w:instrText xml:space="preserve"> HYPERLINK "https://papers.ssrn.com/sol3/Delivery.cfm?abstractid=5283109" </w:instrText>
      </w:r>
      <w:r>
        <w:rPr/>
        <w:fldChar w:fldCharType="separate"/>
      </w:r>
      <w:r>
        <w:rPr>
          <w:rStyle w:val="style85"/>
          <w:rFonts w:ascii="Arial" w:cs="Arial" w:hAnsi="Arial"/>
          <w:color w:val="1155cc"/>
          <w:shd w:val="clear" w:color="auto" w:fill="ffffff"/>
        </w:rPr>
        <w:t>https://papers.ssrn.com/sol3/Delivery.cfm?abstractid=5283109</w:t>
      </w:r>
      <w:r>
        <w:rPr/>
        <w:fldChar w:fldCharType="end"/>
      </w:r>
    </w:p>
    <w:p>
      <w:pPr>
        <w:pStyle w:val="style94"/>
        <w:spacing w:before="240" w:beforeAutospacing="false" w:after="200" w:afterAutospacing="false" w:lineRule="auto" w:line="360"/>
        <w:jc w:val="both"/>
        <w:rPr>
          <w:rFonts w:ascii="Arial" w:cs="Arial" w:hAnsi="Arial"/>
        </w:rPr>
      </w:pPr>
    </w:p>
    <w:sectPr>
      <w:footerReference w:type="default" r:id="rId4"/>
      <w:pgSz w:w="11909" w:h="16834"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2020204"/>
    <w:charset w:val="00"/>
    <w:family w:val="swiss"/>
    <w:pitch w:val="variable"/>
    <w:sig w:usb0="E0002EFF" w:usb1="C000785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Cambria Math">
    <w:altName w:val="Cambria Math"/>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rFonts w:ascii="Times New Roman" w:cs="Times New Roman" w:hAnsi="Times New Roman"/>
      </w:rPr>
    </w:pPr>
    <w:r>
      <w:rPr>
        <w:sz w:val="20"/>
        <w:szCs w:val="20"/>
      </w:rPr>
      <w:fldChar w:fldCharType="begin"/>
    </w:r>
    <w:r>
      <w:rPr>
        <w:sz w:val="20"/>
        <w:szCs w:val="20"/>
      </w:rPr>
      <w:instrText xml:space="preserve"> PAGE   \* MERGEFORMAT </w:instrText>
    </w:r>
    <w:r>
      <w:rPr>
        <w:sz w:val="20"/>
        <w:szCs w:val="20"/>
      </w:rPr>
      <w:fldChar w:fldCharType="separate"/>
    </w:r>
    <w:r>
      <w:rPr>
        <w:noProof/>
        <w:sz w:val="20"/>
        <w:szCs w:val="20"/>
      </w:rPr>
      <w:t>4</w:t>
    </w:r>
    <w:r>
      <w:rPr>
        <w:noProof/>
        <w:sz w:val="20"/>
        <w:szCs w:val="20"/>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7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US" w:bidi="ar-SA" w:eastAsia="en-US"/>
      </w:rPr>
    </w:rPrDefault>
    <w:pPrDefault>
      <w:pPr>
        <w:spacing w:lineRule="auto" w:line="276"/>
      </w:pPr>
    </w:pPrDefault>
  </w:docDefaults>
  <w:style w:type="paragraph" w:default="1" w:styleId="style0">
    <w:name w:val="Normal"/>
    <w:next w:val="style0"/>
    <w:pPr/>
  </w:style>
  <w:style w:type="paragraph" w:styleId="style1">
    <w:name w:val="heading 1"/>
    <w:basedOn w:val="style0"/>
    <w:next w:val="style0"/>
    <w:pPr>
      <w:keepNext/>
      <w:keepLines/>
      <w:spacing w:before="120" w:after="120" w:lineRule="auto" w:line="360"/>
      <w:jc w:val="both"/>
      <w:outlineLvl w:val="0"/>
    </w:pPr>
    <w:rPr>
      <w:b/>
      <w:sz w:val="28"/>
      <w:szCs w:val="40"/>
    </w:rPr>
  </w:style>
  <w:style w:type="paragraph" w:styleId="style2">
    <w:name w:val="heading 2"/>
    <w:basedOn w:val="style0"/>
    <w:next w:val="style0"/>
    <w:pPr>
      <w:keepNext/>
      <w:keepLines/>
      <w:spacing w:before="120" w:after="120" w:lineRule="auto" w:line="360"/>
      <w:jc w:val="both"/>
      <w:outlineLvl w:val="1"/>
    </w:pPr>
    <w:rPr>
      <w:b/>
      <w:sz w:val="26"/>
      <w:szCs w:val="32"/>
    </w:rPr>
  </w:style>
  <w:style w:type="paragraph" w:styleId="style3">
    <w:name w:val="heading 3"/>
    <w:basedOn w:val="style0"/>
    <w:next w:val="style0"/>
    <w:pPr>
      <w:keepNext/>
      <w:keepLines/>
      <w:spacing w:before="120" w:after="120" w:lineRule="auto" w:line="360"/>
      <w:jc w:val="both"/>
      <w:outlineLvl w:val="2"/>
    </w:pPr>
    <w:rPr>
      <w:b/>
      <w:sz w:val="24"/>
      <w:szCs w:val="28"/>
    </w:rPr>
  </w:style>
  <w:style w:type="paragraph" w:styleId="style4">
    <w:name w:val="heading 4"/>
    <w:basedOn w:val="style0"/>
    <w:next w:val="style0"/>
    <w:pPr>
      <w:keepNext/>
      <w:keepLines/>
      <w:spacing w:before="280" w:after="80"/>
      <w:outlineLvl w:val="3"/>
    </w:pPr>
    <w:rPr>
      <w:color w:val="666666"/>
      <w:sz w:val="24"/>
      <w:szCs w:val="24"/>
    </w:rPr>
  </w:style>
  <w:style w:type="paragraph" w:styleId="style5">
    <w:name w:val="heading 5"/>
    <w:basedOn w:val="style0"/>
    <w:next w:val="style0"/>
    <w:pPr>
      <w:keepNext/>
      <w:keepLines/>
      <w:spacing w:before="240" w:after="80"/>
      <w:outlineLvl w:val="4"/>
    </w:pPr>
    <w:rPr>
      <w:color w:val="666666"/>
    </w:rPr>
  </w:style>
  <w:style w:type="paragraph" w:styleId="style6">
    <w:name w:val="heading 6"/>
    <w:basedOn w:val="style0"/>
    <w:next w:val="style0"/>
    <w:pPr>
      <w:keepNext/>
      <w:keepLines/>
      <w:spacing w:before="240" w:after="80"/>
      <w:outlineLvl w:val="5"/>
    </w:pPr>
    <w:rPr>
      <w:i/>
      <w:iCs/>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pPr>
      <w:keepNext/>
      <w:keepLines/>
      <w:spacing w:after="60"/>
    </w:pPr>
    <w:rPr>
      <w:sz w:val="52"/>
      <w:szCs w:val="52"/>
    </w:rPr>
  </w:style>
  <w:style w:type="paragraph" w:styleId="style74">
    <w:name w:val="Subtitle"/>
    <w:basedOn w:val="style0"/>
    <w:next w:val="style0"/>
    <w:pPr>
      <w:keepNext/>
      <w:keepLines/>
      <w:spacing w:after="320"/>
    </w:pPr>
    <w:rPr>
      <w:color w:val="666666"/>
      <w:sz w:val="30"/>
      <w:szCs w:val="30"/>
    </w:rPr>
  </w:style>
  <w:style w:type="table" w:customStyle="1" w:styleId="style4098">
    <w:basedOn w:val="style4097"/>
    <w:next w:val="style4098"/>
    <w:pPr/>
    <w:rPr/>
    <w:tblPr>
      <w:tblStyleRowBandSize w:val="1"/>
      <w:tblStyleColBandSize w:val="1"/>
    </w:tblPr>
    <w:tcPr>
      <w:tcBorders/>
    </w:tc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099"/>
    <w:uiPriority w:val="99"/>
    <w:pPr>
      <w:tabs>
        <w:tab w:val="center" w:leader="none" w:pos="4680"/>
        <w:tab w:val="right" w:leader="none" w:pos="9360"/>
      </w:tabs>
      <w:spacing w:lineRule="auto" w:line="240"/>
    </w:pPr>
    <w:rPr/>
  </w:style>
  <w:style w:type="character" w:customStyle="1" w:styleId="style4099">
    <w:name w:val="Header Char_8a9c4a6d-42b3-4b54-b833-54cf011c1457"/>
    <w:basedOn w:val="style65"/>
    <w:next w:val="style4099"/>
    <w:link w:val="style31"/>
    <w:uiPriority w:val="99"/>
  </w:style>
  <w:style w:type="paragraph" w:styleId="style32">
    <w:name w:val="footer"/>
    <w:basedOn w:val="style0"/>
    <w:next w:val="style32"/>
    <w:link w:val="style4100"/>
    <w:uiPriority w:val="99"/>
    <w:pPr>
      <w:tabs>
        <w:tab w:val="center" w:leader="none" w:pos="4680"/>
        <w:tab w:val="right" w:leader="none" w:pos="9360"/>
      </w:tabs>
      <w:spacing w:lineRule="auto" w:line="240"/>
    </w:pPr>
    <w:rPr/>
  </w:style>
  <w:style w:type="character" w:customStyle="1" w:styleId="style4100">
    <w:name w:val="Footer Char_64b486ec-65b6-473e-8660-3eb1183712ec"/>
    <w:basedOn w:val="style65"/>
    <w:next w:val="style4100"/>
    <w:link w:val="style32"/>
    <w:uiPriority w:val="99"/>
  </w:style>
  <w:style w:type="paragraph" w:styleId="style266">
    <w:name w:val="TOC Heading"/>
    <w:basedOn w:val="style1"/>
    <w:next w:val="style0"/>
    <w:qFormat/>
    <w:uiPriority w:val="39"/>
    <w:pPr>
      <w:spacing w:before="240" w:after="0" w:lineRule="auto" w:line="259"/>
      <w:jc w:val="left"/>
      <w:outlineLvl w:val="9"/>
    </w:pPr>
    <w:rPr>
      <w:rFonts w:ascii="Calibri" w:cs="宋体" w:eastAsia="宋体" w:hAnsi="Calibri"/>
      <w:b w:val="false"/>
      <w:color w:val="365f91"/>
      <w:sz w:val="32"/>
      <w:szCs w:val="32"/>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tabs>
        <w:tab w:val="right" w:leader="dot" w:pos="9019"/>
      </w:tabs>
      <w:spacing w:after="100" w:lineRule="auto" w:line="360"/>
      <w:ind w:left="220"/>
      <w:jc w:val="both"/>
    </w:pPr>
    <w:rPr/>
  </w:style>
  <w:style w:type="paragraph" w:styleId="style21">
    <w:name w:val="toc 3"/>
    <w:basedOn w:val="style0"/>
    <w:next w:val="style0"/>
    <w:uiPriority w:val="39"/>
    <w:pPr>
      <w:spacing w:after="100"/>
      <w:ind w:left="44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footer" Target="footer1.xml"/><Relationship Id="rId9" Type="http://schemas.openxmlformats.org/officeDocument/2006/relationships/customXml" Target="../customXml/item1.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10706-C2F0-44D4-B101-3411A28F4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Words>3317</Words>
  <Pages>17</Pages>
  <Characters>23485</Characters>
  <Application>WPS Office</Application>
  <DocSecurity>0</DocSecurity>
  <Paragraphs>150</Paragraphs>
  <ScaleCrop>false</ScaleCrop>
  <LinksUpToDate>false</LinksUpToDate>
  <CharactersWithSpaces>26745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2026-03-16T10:46:00Z</dcterms:created>
  <dc:creator>RH</dc:creator>
  <lastModifiedBy>CPH2527</lastModifiedBy>
  <dcterms:modified xsi:type="dcterms:W3CDTF">2026-03-19T23:29:30Z</dcterms:modified>
  <revision>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2d19a7ed35c645dcae464e58ce3486d2</vt:lpwstr>
  </property>
</Properties>
</file>