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E12A9" w14:textId="77777777" w:rsidR="00A22832" w:rsidRDefault="00A22832" w:rsidP="00A22832">
      <w:pPr>
        <w:jc w:val="center"/>
        <w:rPr>
          <w:sz w:val="40"/>
          <w:szCs w:val="40"/>
        </w:rPr>
      </w:pPr>
    </w:p>
    <w:p w14:paraId="3F716C9C" w14:textId="77777777" w:rsidR="00A22832" w:rsidRDefault="00A22832" w:rsidP="00A22832">
      <w:pPr>
        <w:jc w:val="center"/>
        <w:rPr>
          <w:sz w:val="40"/>
          <w:szCs w:val="40"/>
        </w:rPr>
      </w:pPr>
    </w:p>
    <w:p w14:paraId="7AB4B9FB" w14:textId="024FC534" w:rsidR="00A22832" w:rsidRDefault="00A22832" w:rsidP="00A22832">
      <w:pPr>
        <w:jc w:val="center"/>
        <w:rPr>
          <w:sz w:val="40"/>
          <w:szCs w:val="40"/>
        </w:rPr>
      </w:pPr>
    </w:p>
    <w:p w14:paraId="40D04300" w14:textId="77777777" w:rsidR="00A22832" w:rsidRPr="00A22832" w:rsidRDefault="00A22832" w:rsidP="00A22832">
      <w:pPr>
        <w:jc w:val="center"/>
        <w:rPr>
          <w:sz w:val="32"/>
          <w:szCs w:val="32"/>
        </w:rPr>
      </w:pPr>
      <w:r w:rsidRPr="00A22832">
        <w:rPr>
          <w:sz w:val="32"/>
          <w:szCs w:val="32"/>
        </w:rPr>
        <w:t>University of Wales Trinity Saint David</w:t>
      </w:r>
    </w:p>
    <w:p w14:paraId="494D0879" w14:textId="0027F7CC" w:rsidR="00A22832" w:rsidRPr="00A22832" w:rsidRDefault="00A22832" w:rsidP="00A22832">
      <w:pPr>
        <w:jc w:val="center"/>
        <w:rPr>
          <w:sz w:val="32"/>
          <w:szCs w:val="32"/>
        </w:rPr>
      </w:pPr>
      <w:r w:rsidRPr="00A22832">
        <w:rPr>
          <w:sz w:val="32"/>
          <w:szCs w:val="32"/>
        </w:rPr>
        <w:t>ECAD6007: Who am I teaching?</w:t>
      </w:r>
    </w:p>
    <w:p w14:paraId="1859F533" w14:textId="77777777" w:rsidR="00A22832" w:rsidRPr="00A22832" w:rsidRDefault="00A22832" w:rsidP="00A22832">
      <w:pPr>
        <w:jc w:val="center"/>
        <w:rPr>
          <w:sz w:val="32"/>
          <w:szCs w:val="32"/>
        </w:rPr>
      </w:pPr>
    </w:p>
    <w:p w14:paraId="66B07A64" w14:textId="1B542DCA" w:rsidR="00A22832" w:rsidRPr="00A22832" w:rsidRDefault="00A22832" w:rsidP="00A22832">
      <w:pPr>
        <w:jc w:val="center"/>
        <w:rPr>
          <w:sz w:val="32"/>
          <w:szCs w:val="32"/>
        </w:rPr>
      </w:pPr>
    </w:p>
    <w:p w14:paraId="73820CBD" w14:textId="74539B71" w:rsidR="00A22832" w:rsidRPr="00A22832" w:rsidRDefault="00A22832" w:rsidP="00A22832">
      <w:pPr>
        <w:jc w:val="center"/>
        <w:rPr>
          <w:sz w:val="32"/>
          <w:szCs w:val="32"/>
        </w:rPr>
      </w:pPr>
    </w:p>
    <w:p w14:paraId="30DDFEEE" w14:textId="77777777" w:rsidR="00A22832" w:rsidRPr="00A22832" w:rsidRDefault="00A22832" w:rsidP="00A22832">
      <w:pPr>
        <w:jc w:val="center"/>
        <w:rPr>
          <w:sz w:val="32"/>
          <w:szCs w:val="32"/>
        </w:rPr>
      </w:pPr>
    </w:p>
    <w:p w14:paraId="020EF179" w14:textId="7D6083FF" w:rsidR="00A22832" w:rsidRPr="00A22832" w:rsidRDefault="00A22832" w:rsidP="00A22832">
      <w:pPr>
        <w:jc w:val="center"/>
        <w:rPr>
          <w:sz w:val="32"/>
          <w:szCs w:val="32"/>
        </w:rPr>
      </w:pPr>
      <w:r w:rsidRPr="00A22832">
        <w:rPr>
          <w:sz w:val="32"/>
          <w:szCs w:val="32"/>
        </w:rPr>
        <w:t>A critical evaluation and identification of next teaching and learning steps focusing on a case study of an individual learner or a group of learners, based on an observed critical incident</w:t>
      </w:r>
    </w:p>
    <w:p w14:paraId="12525540" w14:textId="77777777" w:rsidR="00A22832" w:rsidRPr="00A22832" w:rsidRDefault="00A22832" w:rsidP="00A22832">
      <w:pPr>
        <w:jc w:val="center"/>
        <w:rPr>
          <w:sz w:val="32"/>
          <w:szCs w:val="32"/>
        </w:rPr>
      </w:pPr>
    </w:p>
    <w:p w14:paraId="7B9D24C2" w14:textId="77777777" w:rsidR="00A22832" w:rsidRPr="00A22832" w:rsidRDefault="00A22832" w:rsidP="00A22832">
      <w:pPr>
        <w:jc w:val="center"/>
        <w:rPr>
          <w:sz w:val="32"/>
          <w:szCs w:val="32"/>
        </w:rPr>
      </w:pPr>
    </w:p>
    <w:p w14:paraId="56981345" w14:textId="77777777" w:rsidR="00A22832" w:rsidRPr="00A22832" w:rsidRDefault="00A22832" w:rsidP="00A22832">
      <w:pPr>
        <w:jc w:val="center"/>
        <w:rPr>
          <w:sz w:val="32"/>
          <w:szCs w:val="32"/>
        </w:rPr>
      </w:pPr>
    </w:p>
    <w:p w14:paraId="586E3FCF" w14:textId="77777777" w:rsidR="00A22832" w:rsidRPr="00A22832" w:rsidRDefault="00A22832" w:rsidP="00A22832">
      <w:pPr>
        <w:jc w:val="center"/>
        <w:rPr>
          <w:sz w:val="32"/>
          <w:szCs w:val="32"/>
        </w:rPr>
      </w:pPr>
      <w:r w:rsidRPr="00A22832">
        <w:rPr>
          <w:sz w:val="32"/>
          <w:szCs w:val="32"/>
        </w:rPr>
        <w:t>Word Count: 4400</w:t>
      </w:r>
    </w:p>
    <w:p w14:paraId="5222002F" w14:textId="77777777" w:rsidR="00A22832" w:rsidRPr="00A22832" w:rsidRDefault="00A22832" w:rsidP="00A22832">
      <w:pPr>
        <w:jc w:val="center"/>
        <w:rPr>
          <w:sz w:val="32"/>
          <w:szCs w:val="32"/>
        </w:rPr>
      </w:pPr>
    </w:p>
    <w:p w14:paraId="7D6DDB52" w14:textId="77777777" w:rsidR="00A22832" w:rsidRPr="00A22832" w:rsidRDefault="00A22832" w:rsidP="00A22832">
      <w:pPr>
        <w:jc w:val="center"/>
        <w:rPr>
          <w:sz w:val="32"/>
          <w:szCs w:val="32"/>
        </w:rPr>
      </w:pPr>
    </w:p>
    <w:p w14:paraId="7A83C73B" w14:textId="77777777" w:rsidR="00A22832" w:rsidRPr="00A22832" w:rsidRDefault="00A22832" w:rsidP="00A22832">
      <w:pPr>
        <w:jc w:val="center"/>
        <w:rPr>
          <w:sz w:val="32"/>
          <w:szCs w:val="32"/>
        </w:rPr>
      </w:pPr>
      <w:r w:rsidRPr="00A22832">
        <w:rPr>
          <w:sz w:val="32"/>
          <w:szCs w:val="32"/>
        </w:rPr>
        <w:t>2209564</w:t>
      </w:r>
    </w:p>
    <w:p w14:paraId="3DE9062E" w14:textId="5893CCA8" w:rsidR="004A3457" w:rsidRDefault="004A3457"/>
    <w:p w14:paraId="391F20B3" w14:textId="7A363A6E" w:rsidR="00A22832" w:rsidRDefault="00A22832"/>
    <w:p w14:paraId="0D6C9223" w14:textId="192F0C14" w:rsidR="00A22832" w:rsidRDefault="00A22832"/>
    <w:p w14:paraId="3CEF1A0E" w14:textId="3BC76D2B" w:rsidR="00A22832" w:rsidRDefault="00A22832"/>
    <w:p w14:paraId="6CB3DB8B" w14:textId="4AFA43EE" w:rsidR="00A22832" w:rsidRDefault="00A22832"/>
    <w:p w14:paraId="7E0CD29B" w14:textId="4CF879A5" w:rsidR="00A22832" w:rsidRDefault="00A22832"/>
    <w:p w14:paraId="735F9A29" w14:textId="35AA1453" w:rsidR="00A22832" w:rsidRDefault="00A22832"/>
    <w:p w14:paraId="58DA90B0" w14:textId="53ED964A" w:rsidR="00A22832" w:rsidRDefault="00A22832"/>
    <w:p w14:paraId="5CAB735E" w14:textId="3875B8DD" w:rsidR="00A22832" w:rsidRDefault="00A22832"/>
    <w:p w14:paraId="1741B65A" w14:textId="4EFD59C9" w:rsidR="00A22832" w:rsidRDefault="00A22832"/>
    <w:p w14:paraId="686A4B9C" w14:textId="50E38679" w:rsidR="00A22832" w:rsidRDefault="00A22832"/>
    <w:p w14:paraId="43AAB1E3" w14:textId="06773AD1" w:rsidR="00A22832" w:rsidRDefault="00A22832"/>
    <w:p w14:paraId="2718263D" w14:textId="647FC27B" w:rsidR="00A22832" w:rsidRDefault="00A22832"/>
    <w:p w14:paraId="1454DE19" w14:textId="16D930C3" w:rsidR="00A22832" w:rsidRDefault="00A22832"/>
    <w:p w14:paraId="25306DDA" w14:textId="4DF302D6" w:rsidR="00A22832" w:rsidRDefault="00A22832"/>
    <w:p w14:paraId="7EC09FE2" w14:textId="3EC2A0A1" w:rsidR="00A22832" w:rsidRDefault="00A22832"/>
    <w:p w14:paraId="2058A3C9" w14:textId="039006E0" w:rsidR="00A22832" w:rsidRDefault="00A22832"/>
    <w:p w14:paraId="43A6ABFC" w14:textId="6C20B68A" w:rsidR="00A22832" w:rsidRDefault="00A22832"/>
    <w:p w14:paraId="3E07BDB9" w14:textId="77777777" w:rsidR="00A22832" w:rsidRDefault="00A22832"/>
    <w:p w14:paraId="784DC4D2" w14:textId="77777777" w:rsidR="006A1475" w:rsidRDefault="006A1475" w:rsidP="008C4F3A">
      <w:pPr>
        <w:spacing w:line="276" w:lineRule="auto"/>
        <w:rPr>
          <w:rFonts w:cstheme="minorHAnsi"/>
          <w:b/>
          <w:bCs/>
        </w:rPr>
      </w:pPr>
    </w:p>
    <w:p w14:paraId="2C7E8AAE" w14:textId="77777777" w:rsidR="006A1475" w:rsidRDefault="006A1475" w:rsidP="008C4F3A">
      <w:pPr>
        <w:spacing w:line="276" w:lineRule="auto"/>
        <w:rPr>
          <w:rFonts w:cstheme="minorHAnsi"/>
          <w:b/>
          <w:bCs/>
        </w:rPr>
      </w:pPr>
    </w:p>
    <w:p w14:paraId="2B015E5D" w14:textId="5A849CC1" w:rsidR="00BC34FF" w:rsidRDefault="00F53519" w:rsidP="008C4F3A">
      <w:pPr>
        <w:spacing w:line="276" w:lineRule="auto"/>
        <w:rPr>
          <w:rFonts w:cstheme="minorHAnsi"/>
          <w:b/>
          <w:bCs/>
        </w:rPr>
      </w:pPr>
      <w:r w:rsidRPr="004A3457">
        <w:rPr>
          <w:rFonts w:cstheme="minorHAnsi"/>
          <w:b/>
          <w:bCs/>
        </w:rPr>
        <w:lastRenderedPageBreak/>
        <w:t xml:space="preserve">Introduction </w:t>
      </w:r>
    </w:p>
    <w:p w14:paraId="0D8DD192" w14:textId="77777777" w:rsidR="006D1517" w:rsidRDefault="006D1517" w:rsidP="004F08B2">
      <w:pPr>
        <w:spacing w:line="360" w:lineRule="auto"/>
        <w:rPr>
          <w:rFonts w:cstheme="minorHAnsi"/>
        </w:rPr>
      </w:pPr>
    </w:p>
    <w:p w14:paraId="6129F94F" w14:textId="612A1173" w:rsidR="0023562B" w:rsidRDefault="006A1475" w:rsidP="0023562B">
      <w:pPr>
        <w:spacing w:line="360" w:lineRule="auto"/>
        <w:rPr>
          <w:rFonts w:cstheme="minorHAnsi"/>
        </w:rPr>
      </w:pPr>
      <w:r w:rsidRPr="006A1475">
        <w:rPr>
          <w:rFonts w:cstheme="minorHAnsi"/>
        </w:rPr>
        <w:t xml:space="preserve">Reflection has been considered widely as one of the most essential aspects of teaching practice for decades. </w:t>
      </w:r>
      <w:r w:rsidR="00A22832" w:rsidRPr="006A1475">
        <w:rPr>
          <w:rFonts w:cstheme="minorHAnsi"/>
        </w:rPr>
        <w:t xml:space="preserve">An </w:t>
      </w:r>
      <w:r w:rsidR="006C759F" w:rsidRPr="006A1475">
        <w:rPr>
          <w:rFonts w:cstheme="minorHAnsi"/>
        </w:rPr>
        <w:t>approach when considering reflection, is Tripp’s</w:t>
      </w:r>
      <w:r w:rsidR="00DF532C" w:rsidRPr="006A1475">
        <w:rPr>
          <w:rFonts w:cstheme="minorHAnsi"/>
        </w:rPr>
        <w:t xml:space="preserve"> (1993) </w:t>
      </w:r>
      <w:r w:rsidR="00B664DB" w:rsidRPr="006A1475">
        <w:rPr>
          <w:rFonts w:cstheme="minorHAnsi"/>
        </w:rPr>
        <w:t>Critical Incident Methodology</w:t>
      </w:r>
      <w:r w:rsidR="00B170A8" w:rsidRPr="006A1475">
        <w:rPr>
          <w:rFonts w:cstheme="minorHAnsi"/>
        </w:rPr>
        <w:t xml:space="preserve">. </w:t>
      </w:r>
      <w:r w:rsidR="00DF532C" w:rsidRPr="006A1475">
        <w:rPr>
          <w:rFonts w:cstheme="minorHAnsi"/>
        </w:rPr>
        <w:t>This framework enables teachers to move from normal evaluation to a more critical perspective (</w:t>
      </w:r>
      <w:r w:rsidR="00750911" w:rsidRPr="006A1475">
        <w:rPr>
          <w:rFonts w:cstheme="minorHAnsi"/>
          <w:color w:val="000000"/>
        </w:rPr>
        <w:t>Carden et al., 2022)</w:t>
      </w:r>
      <w:r w:rsidR="00DF532C" w:rsidRPr="006A1475">
        <w:rPr>
          <w:rFonts w:cstheme="minorHAnsi"/>
        </w:rPr>
        <w:t xml:space="preserve">. To accomplish this, the term ‘critical incident’ is introduced, and according to Tripp, “a critical incident </w:t>
      </w:r>
      <w:r w:rsidR="00DF532C" w:rsidRPr="006A1475">
        <w:rPr>
          <w:rFonts w:ascii="Calibri" w:eastAsia="Calibri" w:hAnsi="Calibri" w:cs="Calibri"/>
        </w:rPr>
        <w:t xml:space="preserve">is an interpretation of the significance of an event. To take something as a critical incident is a value judgement we make, and the basis of that judgement is a significance we attach to the meaning of the incident” (Tripp </w:t>
      </w:r>
      <w:r w:rsidR="0023562B" w:rsidRPr="006A1475">
        <w:rPr>
          <w:rFonts w:ascii="Calibri" w:eastAsia="Calibri" w:hAnsi="Calibri" w:cs="Calibri"/>
        </w:rPr>
        <w:t>2011</w:t>
      </w:r>
      <w:r w:rsidR="00DF532C" w:rsidRPr="006A1475">
        <w:rPr>
          <w:rFonts w:ascii="Calibri" w:eastAsia="Calibri" w:hAnsi="Calibri" w:cs="Calibri"/>
        </w:rPr>
        <w:t>).</w:t>
      </w:r>
      <w:r w:rsidR="0023562B" w:rsidRPr="006A1475">
        <w:rPr>
          <w:rFonts w:ascii="Calibri" w:eastAsia="Calibri" w:hAnsi="Calibri" w:cs="Calibri"/>
        </w:rPr>
        <w:t xml:space="preserve"> </w:t>
      </w:r>
      <w:r w:rsidR="0023562B" w:rsidRPr="006A1475">
        <w:rPr>
          <w:rFonts w:cstheme="minorHAnsi"/>
        </w:rPr>
        <w:t xml:space="preserve">In a teaching context, this would describe the concept of issues arising during practice which then impact on the way they understand and plan for future practice </w:t>
      </w:r>
      <w:r w:rsidR="0023562B" w:rsidRPr="006A1475">
        <w:rPr>
          <w:rFonts w:cstheme="minorHAnsi"/>
          <w:color w:val="000000"/>
        </w:rPr>
        <w:t xml:space="preserve">(Carden et al., 2022). </w:t>
      </w:r>
      <w:r w:rsidR="0023562B" w:rsidRPr="006A1475">
        <w:rPr>
          <w:rFonts w:cstheme="minorHAnsi"/>
        </w:rPr>
        <w:t>However, critical incidents do not have to be considered as negative instances within a classroom – they are considered as typical and everyday occurrences that can be considered as critical purely through analysis and reflection.</w:t>
      </w:r>
      <w:r w:rsidR="0023562B" w:rsidRPr="006A1475">
        <w:rPr>
          <w:rFonts w:cstheme="minorHAnsi"/>
        </w:rPr>
        <w:t xml:space="preserve"> </w:t>
      </w:r>
      <w:r w:rsidR="0023562B" w:rsidRPr="006A1475">
        <w:rPr>
          <w:rFonts w:cstheme="minorHAnsi"/>
        </w:rPr>
        <w:t>Reflection is an incredibly important aspect of continuing professional development in teaching as it encourages deep and critical professional learning (</w:t>
      </w:r>
      <w:r w:rsidR="0023562B" w:rsidRPr="006A1475">
        <w:rPr>
          <w:rFonts w:cstheme="minorHAnsi"/>
          <w:color w:val="000000"/>
        </w:rPr>
        <w:t>Carden et al., 2022).</w:t>
      </w:r>
      <w:r w:rsidR="0023562B">
        <w:rPr>
          <w:rFonts w:cstheme="minorHAnsi"/>
          <w:color w:val="000000"/>
        </w:rPr>
        <w:t xml:space="preserve"> </w:t>
      </w:r>
    </w:p>
    <w:p w14:paraId="473B95C3" w14:textId="0CD6B82B" w:rsidR="00DF532C" w:rsidRDefault="00DF532C" w:rsidP="004F08B2">
      <w:pPr>
        <w:spacing w:line="360" w:lineRule="auto"/>
        <w:rPr>
          <w:rFonts w:ascii="Calibri" w:eastAsia="Calibri" w:hAnsi="Calibri" w:cs="Calibri"/>
        </w:rPr>
      </w:pPr>
    </w:p>
    <w:p w14:paraId="390A9347" w14:textId="79E0FAF4" w:rsidR="00F95457" w:rsidRDefault="008D6A36" w:rsidP="004F08B2">
      <w:pPr>
        <w:spacing w:line="360" w:lineRule="auto"/>
        <w:rPr>
          <w:rFonts w:cstheme="minorHAnsi"/>
        </w:rPr>
      </w:pPr>
      <w:r>
        <w:rPr>
          <w:rFonts w:ascii="Calibri" w:eastAsia="Calibri" w:hAnsi="Calibri" w:cs="Calibri"/>
        </w:rPr>
        <w:t xml:space="preserve">For this assignment, the role of critical evaluation </w:t>
      </w:r>
      <w:r w:rsidR="00EB21A0">
        <w:rPr>
          <w:rFonts w:ascii="Calibri" w:eastAsia="Calibri" w:hAnsi="Calibri" w:cs="Calibri"/>
        </w:rPr>
        <w:t>in aiding t</w:t>
      </w:r>
      <w:r>
        <w:rPr>
          <w:rFonts w:ascii="Calibri" w:eastAsia="Calibri" w:hAnsi="Calibri" w:cs="Calibri"/>
        </w:rPr>
        <w:t>eachers’ learning and professional development</w:t>
      </w:r>
      <w:r w:rsidR="00EB21A0">
        <w:rPr>
          <w:rFonts w:ascii="Calibri" w:eastAsia="Calibri" w:hAnsi="Calibri" w:cs="Calibri"/>
        </w:rPr>
        <w:t xml:space="preserve"> will be examined</w:t>
      </w:r>
      <w:r w:rsidR="00ED06EB">
        <w:rPr>
          <w:rFonts w:ascii="Calibri" w:eastAsia="Calibri" w:hAnsi="Calibri" w:cs="Calibri"/>
        </w:rPr>
        <w:t>.</w:t>
      </w:r>
      <w:r w:rsidR="00F95457">
        <w:rPr>
          <w:rFonts w:ascii="Calibri" w:eastAsia="Calibri" w:hAnsi="Calibri" w:cs="Calibri"/>
        </w:rPr>
        <w:t xml:space="preserve"> The class and school context </w:t>
      </w:r>
      <w:r w:rsidR="00ED06EB">
        <w:rPr>
          <w:rFonts w:ascii="Calibri" w:eastAsia="Calibri" w:hAnsi="Calibri" w:cs="Calibri"/>
        </w:rPr>
        <w:t>in relation to a</w:t>
      </w:r>
      <w:r w:rsidR="00A22832">
        <w:rPr>
          <w:rFonts w:ascii="Calibri" w:eastAsia="Calibri" w:hAnsi="Calibri" w:cs="Calibri"/>
        </w:rPr>
        <w:t xml:space="preserve">n </w:t>
      </w:r>
      <w:r w:rsidR="00ED06EB">
        <w:rPr>
          <w:rFonts w:ascii="Calibri" w:eastAsia="Calibri" w:hAnsi="Calibri" w:cs="Calibri"/>
        </w:rPr>
        <w:t xml:space="preserve">observed critical incident </w:t>
      </w:r>
      <w:r w:rsidR="00F95457">
        <w:rPr>
          <w:rFonts w:ascii="Calibri" w:eastAsia="Calibri" w:hAnsi="Calibri" w:cs="Calibri"/>
        </w:rPr>
        <w:t>will be discussed and its link to Donaldson’s Four Core Purposes</w:t>
      </w:r>
      <w:r w:rsidR="009A0C68">
        <w:rPr>
          <w:rFonts w:ascii="Calibri" w:eastAsia="Calibri" w:hAnsi="Calibri" w:cs="Calibri"/>
        </w:rPr>
        <w:t xml:space="preserve"> as summarised in the New Curriculum for Wales. There will then be a</w:t>
      </w:r>
      <w:r w:rsidR="009A0C68">
        <w:rPr>
          <w:rFonts w:cstheme="minorHAnsi"/>
        </w:rPr>
        <w:t xml:space="preserve"> detailed account of the incident witnessed and </w:t>
      </w:r>
      <w:r w:rsidR="00ED06EB">
        <w:rPr>
          <w:rFonts w:cstheme="minorHAnsi"/>
        </w:rPr>
        <w:t xml:space="preserve">a critical evaluation of the </w:t>
      </w:r>
      <w:r w:rsidR="009A0C68">
        <w:rPr>
          <w:rFonts w:cstheme="minorHAnsi"/>
        </w:rPr>
        <w:t>literature surrounding the importance of inclusion and engagement strategies for children with Additional Learning Needs, with a specific focus on Autistic Spectrum Disorder</w:t>
      </w:r>
      <w:r w:rsidR="00ED06EB">
        <w:rPr>
          <w:rFonts w:cstheme="minorHAnsi"/>
        </w:rPr>
        <w:t xml:space="preserve">. A reflection </w:t>
      </w:r>
      <w:r w:rsidR="00260FF7">
        <w:rPr>
          <w:rFonts w:cstheme="minorHAnsi"/>
        </w:rPr>
        <w:t>discussing</w:t>
      </w:r>
      <w:r w:rsidR="00B170A8">
        <w:rPr>
          <w:rFonts w:cstheme="minorHAnsi"/>
        </w:rPr>
        <w:t xml:space="preserve"> potential ‘next steps’ for personal and professional development will also be highlighted. </w:t>
      </w:r>
    </w:p>
    <w:p w14:paraId="4707D219" w14:textId="10B53745" w:rsidR="006F39FC" w:rsidRDefault="006F39FC" w:rsidP="004F08B2">
      <w:pPr>
        <w:spacing w:line="360" w:lineRule="auto"/>
        <w:rPr>
          <w:rFonts w:cstheme="minorHAnsi"/>
        </w:rPr>
      </w:pPr>
    </w:p>
    <w:p w14:paraId="009A91AA" w14:textId="77777777" w:rsidR="0003375E" w:rsidRPr="00261738" w:rsidRDefault="0003375E" w:rsidP="004F08B2">
      <w:pPr>
        <w:spacing w:line="360" w:lineRule="auto"/>
        <w:rPr>
          <w:rFonts w:cstheme="minorHAnsi"/>
        </w:rPr>
      </w:pPr>
    </w:p>
    <w:p w14:paraId="514FA581" w14:textId="689173CB" w:rsidR="00C017A0" w:rsidRDefault="00F53519" w:rsidP="004F08B2">
      <w:pPr>
        <w:spacing w:line="360" w:lineRule="auto"/>
        <w:rPr>
          <w:rFonts w:cstheme="minorHAnsi"/>
          <w:b/>
          <w:bCs/>
        </w:rPr>
      </w:pPr>
      <w:r w:rsidRPr="00D61FB8">
        <w:rPr>
          <w:rFonts w:cstheme="minorHAnsi"/>
          <w:b/>
          <w:bCs/>
        </w:rPr>
        <w:t>The Role of Critical Reflection</w:t>
      </w:r>
    </w:p>
    <w:p w14:paraId="53E929AB" w14:textId="32F06B53" w:rsidR="008C4F3A" w:rsidRDefault="008C4F3A" w:rsidP="004F08B2">
      <w:pPr>
        <w:spacing w:line="360" w:lineRule="auto"/>
        <w:rPr>
          <w:rFonts w:cstheme="minorHAnsi"/>
          <w:b/>
          <w:bCs/>
        </w:rPr>
      </w:pPr>
    </w:p>
    <w:p w14:paraId="489181DA" w14:textId="3E1FB330" w:rsidR="0023562B" w:rsidRDefault="008C4F3A" w:rsidP="004F08B2">
      <w:pPr>
        <w:spacing w:line="360" w:lineRule="auto"/>
        <w:rPr>
          <w:rFonts w:cstheme="minorHAnsi"/>
          <w:color w:val="000000"/>
        </w:rPr>
      </w:pPr>
      <w:r>
        <w:rPr>
          <w:rFonts w:cstheme="minorHAnsi"/>
        </w:rPr>
        <w:t>Reflection</w:t>
      </w:r>
      <w:r w:rsidR="0023562B">
        <w:rPr>
          <w:rFonts w:cstheme="minorHAnsi"/>
        </w:rPr>
        <w:t xml:space="preserve"> in teaching</w:t>
      </w:r>
      <w:r>
        <w:rPr>
          <w:rFonts w:cstheme="minorHAnsi"/>
        </w:rPr>
        <w:t xml:space="preserve"> can be described as the process of evaluating an individual’s own teaching practice by asking the question why specific events occur in a certain way (</w:t>
      </w:r>
      <w:r w:rsidRPr="00750911">
        <w:rPr>
          <w:rFonts w:cstheme="minorHAnsi"/>
          <w:color w:val="000000"/>
        </w:rPr>
        <w:t>Carden et al., 2022)</w:t>
      </w:r>
      <w:r>
        <w:rPr>
          <w:rFonts w:cstheme="minorHAnsi"/>
        </w:rPr>
        <w:t>.</w:t>
      </w:r>
      <w:r>
        <w:rPr>
          <w:rFonts w:cstheme="minorHAnsi"/>
        </w:rPr>
        <w:t xml:space="preserve">  It allows for the individual to recognise what was successful and what did not </w:t>
      </w:r>
      <w:r>
        <w:rPr>
          <w:rFonts w:cstheme="minorHAnsi"/>
        </w:rPr>
        <w:lastRenderedPageBreak/>
        <w:t>work in practice. Typically, there tends be a focus on what needs to be changed, when it is just as important to reflect on the positive, to ensure effective teaching practice is retained (</w:t>
      </w:r>
      <w:r w:rsidRPr="00750911">
        <w:rPr>
          <w:rFonts w:cstheme="minorHAnsi"/>
          <w:color w:val="000000"/>
        </w:rPr>
        <w:t>Carden et al., 2022)</w:t>
      </w:r>
      <w:r>
        <w:rPr>
          <w:rFonts w:cstheme="minorHAnsi"/>
        </w:rPr>
        <w:t xml:space="preserve">. </w:t>
      </w:r>
      <w:r>
        <w:rPr>
          <w:rFonts w:cstheme="minorHAnsi"/>
        </w:rPr>
        <w:t xml:space="preserve">Dewey (1933) first proposed what it means for teachers to be critical practitioners by describing three main attributes teachers must possess. These </w:t>
      </w:r>
      <w:r w:rsidR="006A1475">
        <w:rPr>
          <w:rFonts w:cstheme="minorHAnsi"/>
        </w:rPr>
        <w:t xml:space="preserve">are </w:t>
      </w:r>
      <w:r w:rsidR="00A22832">
        <w:rPr>
          <w:rFonts w:cstheme="minorHAnsi"/>
        </w:rPr>
        <w:t>o</w:t>
      </w:r>
      <w:r>
        <w:rPr>
          <w:rFonts w:cstheme="minorHAnsi"/>
        </w:rPr>
        <w:t>pen-mindedness – being able to take criticism and consider different viewpoints</w:t>
      </w:r>
      <w:r w:rsidR="00A22832">
        <w:rPr>
          <w:rFonts w:cstheme="minorHAnsi"/>
        </w:rPr>
        <w:t>.</w:t>
      </w:r>
      <w:r>
        <w:rPr>
          <w:rFonts w:cstheme="minorHAnsi"/>
        </w:rPr>
        <w:t xml:space="preserve"> </w:t>
      </w:r>
      <w:r w:rsidR="00A22832">
        <w:rPr>
          <w:rFonts w:cstheme="minorHAnsi"/>
        </w:rPr>
        <w:t>R</w:t>
      </w:r>
      <w:r>
        <w:rPr>
          <w:rFonts w:cstheme="minorHAnsi"/>
        </w:rPr>
        <w:t xml:space="preserve">esponsibility – being responsible for your own actions and </w:t>
      </w:r>
      <w:r w:rsidRPr="008C4F3A">
        <w:rPr>
          <w:rFonts w:cstheme="minorHAnsi"/>
        </w:rPr>
        <w:t>providing a high standard of children’s education, and wholeheartedness –</w:t>
      </w:r>
      <w:r w:rsidR="00A22832">
        <w:rPr>
          <w:rFonts w:cstheme="minorHAnsi"/>
        </w:rPr>
        <w:t xml:space="preserve"> </w:t>
      </w:r>
      <w:r w:rsidRPr="008C4F3A">
        <w:rPr>
          <w:rFonts w:cstheme="minorHAnsi"/>
        </w:rPr>
        <w:t>giving high levels</w:t>
      </w:r>
      <w:r>
        <w:rPr>
          <w:rFonts w:cstheme="minorHAnsi"/>
        </w:rPr>
        <w:t xml:space="preserve"> of enthusiasm and commitment </w:t>
      </w:r>
      <w:r w:rsidRPr="008C4F3A">
        <w:rPr>
          <w:rFonts w:cstheme="minorHAnsi"/>
          <w:color w:val="000000"/>
        </w:rPr>
        <w:t>(Griffin, 2003)</w:t>
      </w:r>
      <w:r>
        <w:rPr>
          <w:rFonts w:cstheme="minorHAnsi"/>
          <w:color w:val="000000"/>
        </w:rPr>
        <w:t xml:space="preserve">. Donald Schon (1983) further highlighted the importance of reflection </w:t>
      </w:r>
      <w:r w:rsidR="00A22832">
        <w:rPr>
          <w:rFonts w:cstheme="minorHAnsi"/>
          <w:color w:val="000000"/>
        </w:rPr>
        <w:t>as</w:t>
      </w:r>
      <w:r>
        <w:rPr>
          <w:rFonts w:cstheme="minorHAnsi"/>
          <w:color w:val="000000"/>
        </w:rPr>
        <w:t xml:space="preserve"> an essential skill for teachers to possess and develop </w:t>
      </w:r>
      <w:r w:rsidRPr="008C4F3A">
        <w:rPr>
          <w:rFonts w:cstheme="minorHAnsi"/>
          <w:color w:val="000000"/>
        </w:rPr>
        <w:t>(Liu, 2013)</w:t>
      </w:r>
      <w:r>
        <w:rPr>
          <w:rFonts w:cstheme="minorHAnsi"/>
          <w:color w:val="000000"/>
        </w:rPr>
        <w:t xml:space="preserve">.  However, </w:t>
      </w:r>
      <w:r w:rsidRPr="008C4F3A">
        <w:rPr>
          <w:rFonts w:cstheme="minorHAnsi"/>
          <w:color w:val="000000"/>
        </w:rPr>
        <w:t xml:space="preserve">Day et al., </w:t>
      </w:r>
      <w:r>
        <w:rPr>
          <w:rFonts w:cstheme="minorHAnsi"/>
          <w:color w:val="000000"/>
        </w:rPr>
        <w:t>(</w:t>
      </w:r>
      <w:r w:rsidRPr="008C4F3A">
        <w:rPr>
          <w:rFonts w:cstheme="minorHAnsi"/>
          <w:color w:val="000000"/>
        </w:rPr>
        <w:t>2006)</w:t>
      </w:r>
      <w:r>
        <w:rPr>
          <w:rFonts w:cstheme="minorHAnsi"/>
          <w:color w:val="000000"/>
        </w:rPr>
        <w:t xml:space="preserve"> suggest that reflection is not necessarily a quality that teachers naturally possess when they qualify and argue that it is a skill that is built upon alongside experience. </w:t>
      </w:r>
    </w:p>
    <w:p w14:paraId="687672C8" w14:textId="7B47B419" w:rsidR="008C4F3A" w:rsidRPr="006A1475" w:rsidRDefault="008C4F3A" w:rsidP="004F08B2">
      <w:pPr>
        <w:spacing w:line="360" w:lineRule="auto"/>
        <w:rPr>
          <w:rFonts w:cstheme="minorHAnsi"/>
        </w:rPr>
      </w:pPr>
      <w:r>
        <w:rPr>
          <w:rFonts w:cstheme="minorHAnsi"/>
          <w:color w:val="000000"/>
        </w:rPr>
        <w:t>There are multiple models of reflection that have been devised over the years.</w:t>
      </w:r>
      <w:r>
        <w:rPr>
          <w:rFonts w:cstheme="minorHAnsi"/>
        </w:rPr>
        <w:t xml:space="preserve"> Kolb (1984) proposed the idea of ‘The Learning Cycle” based upon experiential learning. The model suggests using </w:t>
      </w:r>
      <w:r w:rsidRPr="008C4F3A">
        <w:rPr>
          <w:rFonts w:cstheme="minorHAnsi"/>
          <w:color w:val="000000" w:themeColor="text1"/>
          <w:lang w:val="en-US"/>
        </w:rPr>
        <w:t xml:space="preserve">reflective observation </w:t>
      </w:r>
      <w:r w:rsidRPr="007B59B3">
        <w:rPr>
          <w:rFonts w:cstheme="minorHAnsi"/>
          <w:color w:val="000000" w:themeColor="text1"/>
          <w:lang w:val="en-US"/>
        </w:rPr>
        <w:t>to</w:t>
      </w:r>
      <w:r w:rsidRPr="008C4F3A">
        <w:rPr>
          <w:rFonts w:cstheme="minorHAnsi"/>
          <w:color w:val="000000" w:themeColor="text1"/>
          <w:lang w:val="en-US"/>
        </w:rPr>
        <w:t xml:space="preserve"> </w:t>
      </w:r>
      <w:proofErr w:type="spellStart"/>
      <w:r w:rsidRPr="007B59B3">
        <w:rPr>
          <w:rFonts w:cstheme="minorHAnsi"/>
          <w:color w:val="000000" w:themeColor="text1"/>
          <w:lang w:val="en-US"/>
        </w:rPr>
        <w:t>analyse</w:t>
      </w:r>
      <w:proofErr w:type="spellEnd"/>
      <w:r w:rsidRPr="008C4F3A">
        <w:rPr>
          <w:rFonts w:cstheme="minorHAnsi"/>
          <w:color w:val="000000" w:themeColor="text1"/>
          <w:lang w:val="en-US"/>
        </w:rPr>
        <w:t xml:space="preserve"> and draw conclusions from</w:t>
      </w:r>
      <w:r w:rsidRPr="007B59B3">
        <w:rPr>
          <w:rFonts w:cstheme="minorHAnsi"/>
          <w:color w:val="000000" w:themeColor="text1"/>
          <w:lang w:val="en-US"/>
        </w:rPr>
        <w:t xml:space="preserve"> a personal </w:t>
      </w:r>
      <w:r w:rsidRPr="008C4F3A">
        <w:rPr>
          <w:rFonts w:cstheme="minorHAnsi"/>
          <w:color w:val="000000" w:themeColor="text1"/>
          <w:lang w:val="en-US"/>
        </w:rPr>
        <w:t>experience</w:t>
      </w:r>
      <w:r w:rsidRPr="007B59B3">
        <w:rPr>
          <w:rFonts w:cstheme="minorHAnsi"/>
          <w:color w:val="000000" w:themeColor="text1"/>
          <w:lang w:val="en-US"/>
        </w:rPr>
        <w:t>, which then allows the individual to take new knowledge into future experiences, hence c</w:t>
      </w:r>
      <w:r w:rsidRPr="008C4F3A">
        <w:rPr>
          <w:rFonts w:cstheme="minorHAnsi"/>
          <w:color w:val="000000" w:themeColor="text1"/>
          <w:lang w:val="en-US"/>
        </w:rPr>
        <w:t>ompleting the cycle.</w:t>
      </w:r>
      <w:r w:rsidRPr="007B59B3">
        <w:rPr>
          <w:rFonts w:cstheme="minorHAnsi"/>
          <w:color w:val="000000" w:themeColor="text1"/>
          <w:lang w:val="en-US"/>
        </w:rPr>
        <w:t xml:space="preserve"> Similarly, Schon (19</w:t>
      </w:r>
      <w:r w:rsidR="0023562B" w:rsidRPr="007B59B3">
        <w:rPr>
          <w:rFonts w:cstheme="minorHAnsi"/>
          <w:color w:val="000000" w:themeColor="text1"/>
          <w:lang w:val="en-US"/>
        </w:rPr>
        <w:t>91</w:t>
      </w:r>
      <w:r w:rsidRPr="007B59B3">
        <w:rPr>
          <w:rFonts w:cstheme="minorHAnsi"/>
          <w:color w:val="000000" w:themeColor="text1"/>
          <w:lang w:val="en-US"/>
        </w:rPr>
        <w:t xml:space="preserve">) signified the advantage </w:t>
      </w:r>
      <w:r w:rsidRPr="007B59B3">
        <w:rPr>
          <w:rFonts w:cstheme="minorHAnsi"/>
          <w:color w:val="000000" w:themeColor="text1"/>
          <w:lang w:val="en-US"/>
        </w:rPr>
        <w:t xml:space="preserve">of considering reflection in action (during </w:t>
      </w:r>
      <w:r w:rsidR="00A22832">
        <w:rPr>
          <w:rFonts w:cstheme="minorHAnsi"/>
          <w:color w:val="000000" w:themeColor="text1"/>
          <w:lang w:val="en-US"/>
        </w:rPr>
        <w:t>the</w:t>
      </w:r>
      <w:r w:rsidRPr="007B59B3">
        <w:rPr>
          <w:rFonts w:cstheme="minorHAnsi"/>
          <w:color w:val="000000" w:themeColor="text1"/>
          <w:lang w:val="en-US"/>
        </w:rPr>
        <w:t xml:space="preserve"> event/experience) </w:t>
      </w:r>
      <w:r w:rsidR="00A22832">
        <w:rPr>
          <w:rFonts w:cstheme="minorHAnsi"/>
          <w:color w:val="000000" w:themeColor="text1"/>
          <w:lang w:val="en-US"/>
        </w:rPr>
        <w:t xml:space="preserve">and after </w:t>
      </w:r>
      <w:r w:rsidRPr="007B59B3">
        <w:rPr>
          <w:rFonts w:cstheme="minorHAnsi"/>
          <w:color w:val="000000" w:themeColor="text1"/>
          <w:lang w:val="en-US"/>
        </w:rPr>
        <w:t>the event</w:t>
      </w:r>
      <w:r w:rsidR="00A22832">
        <w:rPr>
          <w:rFonts w:cstheme="minorHAnsi"/>
          <w:color w:val="000000" w:themeColor="text1"/>
          <w:lang w:val="en-US"/>
        </w:rPr>
        <w:t>/experience</w:t>
      </w:r>
      <w:r w:rsidR="007B59B3" w:rsidRPr="007B59B3">
        <w:rPr>
          <w:rFonts w:cstheme="minorHAnsi"/>
          <w:color w:val="000000" w:themeColor="text1"/>
          <w:lang w:val="en-US"/>
        </w:rPr>
        <w:t xml:space="preserve"> has taken place</w:t>
      </w:r>
      <w:r w:rsidRPr="007B59B3">
        <w:rPr>
          <w:rFonts w:cstheme="minorHAnsi"/>
          <w:color w:val="000000" w:themeColor="text1"/>
          <w:lang w:val="en-US"/>
        </w:rPr>
        <w:t>.</w:t>
      </w:r>
      <w:r w:rsidRPr="007B59B3">
        <w:rPr>
          <w:rFonts w:cstheme="minorHAnsi"/>
          <w:color w:val="000000" w:themeColor="text1"/>
          <w:lang w:val="en-US"/>
        </w:rPr>
        <w:t xml:space="preserve"> </w:t>
      </w:r>
      <w:r w:rsidRPr="007B59B3">
        <w:rPr>
          <w:rFonts w:cstheme="minorHAnsi"/>
          <w:color w:val="000000" w:themeColor="text1"/>
        </w:rPr>
        <w:t xml:space="preserve">However, Brookfield </w:t>
      </w:r>
      <w:r w:rsidRPr="007B59B3">
        <w:rPr>
          <w:rFonts w:cstheme="minorHAnsi"/>
        </w:rPr>
        <w:t>(</w:t>
      </w:r>
      <w:r>
        <w:rPr>
          <w:rFonts w:cstheme="minorHAnsi"/>
        </w:rPr>
        <w:t xml:space="preserve">2002) proposed that reflection should consider multiple perspectives – not just what the individual themselves experiences during teaching practice. Brookfield suggested that teachers should view critical practice through four distinct lenses. (1) </w:t>
      </w:r>
      <w:r w:rsidRPr="008C4F3A">
        <w:rPr>
          <w:rFonts w:cstheme="minorHAnsi"/>
        </w:rPr>
        <w:t xml:space="preserve">The autobiographical lens </w:t>
      </w:r>
      <w:r>
        <w:rPr>
          <w:rFonts w:cstheme="minorHAnsi"/>
        </w:rPr>
        <w:t xml:space="preserve">- </w:t>
      </w:r>
      <w:r w:rsidRPr="008C4F3A">
        <w:rPr>
          <w:rFonts w:cstheme="minorHAnsi"/>
        </w:rPr>
        <w:t>their own previous experiences, reactions, and feelings</w:t>
      </w:r>
      <w:r w:rsidR="006A1475">
        <w:rPr>
          <w:rFonts w:cstheme="minorHAnsi"/>
        </w:rPr>
        <w:t>;</w:t>
      </w:r>
      <w:r w:rsidRPr="008C4F3A">
        <w:rPr>
          <w:rFonts w:cstheme="minorHAnsi"/>
        </w:rPr>
        <w:t xml:space="preserve"> </w:t>
      </w:r>
      <w:r>
        <w:rPr>
          <w:rFonts w:cstheme="minorHAnsi"/>
        </w:rPr>
        <w:t xml:space="preserve">(2) </w:t>
      </w:r>
      <w:r w:rsidRPr="008C4F3A">
        <w:rPr>
          <w:rFonts w:cstheme="minorHAnsi"/>
        </w:rPr>
        <w:t xml:space="preserve">The </w:t>
      </w:r>
      <w:r>
        <w:rPr>
          <w:rFonts w:cstheme="minorHAnsi"/>
        </w:rPr>
        <w:t>pupils’ eyes</w:t>
      </w:r>
      <w:r w:rsidR="006A1475">
        <w:rPr>
          <w:rFonts w:cstheme="minorHAnsi"/>
        </w:rPr>
        <w:t xml:space="preserve">; </w:t>
      </w:r>
      <w:r>
        <w:rPr>
          <w:rFonts w:cstheme="minorHAnsi"/>
        </w:rPr>
        <w:t>(3)</w:t>
      </w:r>
      <w:r w:rsidRPr="008C4F3A">
        <w:rPr>
          <w:rFonts w:cstheme="minorHAnsi"/>
        </w:rPr>
        <w:t xml:space="preserve"> </w:t>
      </w:r>
      <w:r w:rsidR="00A22832">
        <w:rPr>
          <w:rFonts w:cstheme="minorHAnsi"/>
        </w:rPr>
        <w:t>t</w:t>
      </w:r>
      <w:r>
        <w:rPr>
          <w:rFonts w:cstheme="minorHAnsi"/>
        </w:rPr>
        <w:t>he</w:t>
      </w:r>
      <w:r w:rsidRPr="008C4F3A">
        <w:rPr>
          <w:rFonts w:cstheme="minorHAnsi"/>
        </w:rPr>
        <w:t xml:space="preserve"> colleagues’ </w:t>
      </w:r>
      <w:r>
        <w:rPr>
          <w:rFonts w:cstheme="minorHAnsi"/>
        </w:rPr>
        <w:t>perceptions</w:t>
      </w:r>
      <w:r w:rsidRPr="008C4F3A">
        <w:rPr>
          <w:rFonts w:cstheme="minorHAnsi"/>
        </w:rPr>
        <w:t xml:space="preserve"> and previous experiences</w:t>
      </w:r>
      <w:r>
        <w:rPr>
          <w:rFonts w:cstheme="minorHAnsi"/>
        </w:rPr>
        <w:t xml:space="preserve"> and (4)</w:t>
      </w:r>
      <w:r w:rsidRPr="008C4F3A">
        <w:rPr>
          <w:rFonts w:cstheme="minorHAnsi"/>
        </w:rPr>
        <w:t xml:space="preserve"> how the experience compare</w:t>
      </w:r>
      <w:r>
        <w:rPr>
          <w:rFonts w:cstheme="minorHAnsi"/>
        </w:rPr>
        <w:t xml:space="preserve">s </w:t>
      </w:r>
      <w:r w:rsidRPr="008C4F3A">
        <w:rPr>
          <w:rFonts w:cstheme="minorHAnsi"/>
        </w:rPr>
        <w:t>to theoretical literature</w:t>
      </w:r>
      <w:r>
        <w:rPr>
          <w:rFonts w:cstheme="minorHAnsi"/>
        </w:rPr>
        <w:t xml:space="preserve">, encouraging teaching professionals to be openminded and consider all </w:t>
      </w:r>
      <w:r w:rsidR="0023562B">
        <w:rPr>
          <w:rFonts w:cstheme="minorHAnsi"/>
        </w:rPr>
        <w:t>perspectives</w:t>
      </w:r>
      <w:r>
        <w:rPr>
          <w:rFonts w:cstheme="minorHAnsi"/>
        </w:rPr>
        <w:t xml:space="preserve">. </w:t>
      </w:r>
    </w:p>
    <w:p w14:paraId="6E96FB62" w14:textId="3136D510" w:rsidR="008C4F3A" w:rsidRDefault="008C4F3A" w:rsidP="004F08B2">
      <w:pPr>
        <w:spacing w:line="360" w:lineRule="auto"/>
        <w:rPr>
          <w:rFonts w:cstheme="minorHAnsi"/>
        </w:rPr>
      </w:pPr>
    </w:p>
    <w:p w14:paraId="3205D9F3" w14:textId="464630E7" w:rsidR="008C4F3A" w:rsidRPr="0023562B" w:rsidRDefault="008C4F3A" w:rsidP="0023562B">
      <w:pPr>
        <w:spacing w:line="360" w:lineRule="auto"/>
        <w:rPr>
          <w:rFonts w:cstheme="minorHAnsi"/>
        </w:rPr>
      </w:pPr>
      <w:r>
        <w:rPr>
          <w:rFonts w:cstheme="minorHAnsi"/>
        </w:rPr>
        <w:t xml:space="preserve">As critical reflection is seen as a vital skill that teachers must require, it is with great importance that the focus on being an effective critical practitioner is established </w:t>
      </w:r>
      <w:r w:rsidR="00A22832">
        <w:rPr>
          <w:rFonts w:cstheme="minorHAnsi"/>
        </w:rPr>
        <w:t xml:space="preserve">right </w:t>
      </w:r>
      <w:r>
        <w:rPr>
          <w:rFonts w:cstheme="minorHAnsi"/>
        </w:rPr>
        <w:t xml:space="preserve">at the beginning of their teaching education and carried out at the highest level </w:t>
      </w:r>
      <w:r w:rsidRPr="008C4F3A">
        <w:rPr>
          <w:rFonts w:cstheme="minorHAnsi"/>
          <w:color w:val="000000"/>
        </w:rPr>
        <w:t>(Fraser et al., 2022)</w:t>
      </w:r>
      <w:r>
        <w:rPr>
          <w:rFonts w:cstheme="minorHAnsi"/>
          <w:color w:val="000000"/>
        </w:rPr>
        <w:t xml:space="preserve">. Current </w:t>
      </w:r>
      <w:r>
        <w:rPr>
          <w:rFonts w:cstheme="minorHAnsi"/>
        </w:rPr>
        <w:t>Initial Teacher Education (ITE) programmes have been under scrutiny in recent years as many argue that critical writing is not delivered without appropriate learning support (Ryan, 2011). This has been demonstrated i</w:t>
      </w:r>
      <w:r>
        <w:rPr>
          <w:rFonts w:cstheme="minorHAnsi"/>
        </w:rPr>
        <w:t>n Wales,</w:t>
      </w:r>
      <w:r>
        <w:rPr>
          <w:rFonts w:cstheme="minorHAnsi"/>
        </w:rPr>
        <w:t xml:space="preserve"> particularly </w:t>
      </w:r>
      <w:r w:rsidR="00A22832">
        <w:rPr>
          <w:rFonts w:cstheme="minorHAnsi"/>
        </w:rPr>
        <w:t>considering</w:t>
      </w:r>
      <w:r>
        <w:rPr>
          <w:rFonts w:cstheme="minorHAnsi"/>
        </w:rPr>
        <w:t xml:space="preserve"> the new Curriculum for Wales. </w:t>
      </w:r>
      <w:r>
        <w:rPr>
          <w:rFonts w:cstheme="minorHAnsi"/>
        </w:rPr>
        <w:t xml:space="preserve">Recently Wales has undergone huge change regarding ITE </w:t>
      </w:r>
      <w:r>
        <w:rPr>
          <w:rFonts w:cstheme="minorHAnsi"/>
        </w:rPr>
        <w:lastRenderedPageBreak/>
        <w:t xml:space="preserve">programmes coinciding with the new curriculum design. </w:t>
      </w:r>
      <w:r w:rsidR="00D84AF6">
        <w:rPr>
          <w:rFonts w:cstheme="minorHAnsi"/>
        </w:rPr>
        <w:t xml:space="preserve">Furlong (2015) highlighted the importance of critical reflection in his report of </w:t>
      </w:r>
      <w:r>
        <w:rPr>
          <w:rFonts w:cstheme="minorHAnsi"/>
        </w:rPr>
        <w:t xml:space="preserve">ITE </w:t>
      </w:r>
      <w:r w:rsidR="00D84AF6">
        <w:rPr>
          <w:rFonts w:cstheme="minorHAnsi"/>
        </w:rPr>
        <w:t xml:space="preserve">programmes in Wales. He emphasised that in </w:t>
      </w:r>
      <w:proofErr w:type="spellStart"/>
      <w:r w:rsidR="00D84AF6">
        <w:rPr>
          <w:rFonts w:cstheme="minorHAnsi"/>
        </w:rPr>
        <w:t>Wales’</w:t>
      </w:r>
      <w:proofErr w:type="spellEnd"/>
      <w:r w:rsidR="00D84AF6">
        <w:rPr>
          <w:rFonts w:cstheme="minorHAnsi"/>
        </w:rPr>
        <w:t xml:space="preserve"> current programmes there is little to no recognition of the role of reflection in the provisions. Arguing that </w:t>
      </w:r>
      <w:proofErr w:type="spellStart"/>
      <w:r w:rsidR="00D84AF6">
        <w:rPr>
          <w:rFonts w:cstheme="minorHAnsi"/>
        </w:rPr>
        <w:t>Wales’</w:t>
      </w:r>
      <w:proofErr w:type="spellEnd"/>
      <w:r w:rsidR="00D84AF6">
        <w:rPr>
          <w:rFonts w:cstheme="minorHAnsi"/>
        </w:rPr>
        <w:t xml:space="preserve"> most newly qualified teachers are not fully equipped to be active</w:t>
      </w:r>
      <w:r w:rsidR="0093104E">
        <w:rPr>
          <w:rFonts w:cstheme="minorHAnsi"/>
        </w:rPr>
        <w:t xml:space="preserve"> and successful</w:t>
      </w:r>
      <w:r w:rsidR="00D84AF6">
        <w:rPr>
          <w:rFonts w:cstheme="minorHAnsi"/>
        </w:rPr>
        <w:t xml:space="preserve"> professionals in their field</w:t>
      </w:r>
      <w:r w:rsidR="0093104E">
        <w:rPr>
          <w:rFonts w:cstheme="minorHAnsi"/>
        </w:rPr>
        <w:t xml:space="preserve"> (Furlong, 2015).</w:t>
      </w:r>
      <w:r w:rsidR="00FA1846">
        <w:rPr>
          <w:rFonts w:cstheme="minorHAnsi"/>
        </w:rPr>
        <w:t xml:space="preserve"> </w:t>
      </w:r>
      <w:r>
        <w:rPr>
          <w:rFonts w:cstheme="minorHAnsi"/>
        </w:rPr>
        <w:t>Due to this, recent literature has indicated a new model of ITE programmes which include three key dimensions; co-construction and governance; integrating university and school perspectives; and re-visioning mentoring (Furlong et al, 2021). However, it is too early to tell how the new model fairs in providing highly skilled and knowledgeable teachers to implement the new curriculum for Wales and provide the education system Wales desires (Furlong et al, 2021).</w:t>
      </w:r>
    </w:p>
    <w:p w14:paraId="7EA277C6" w14:textId="0795730C" w:rsidR="000A1DA1" w:rsidRPr="004F08B2" w:rsidRDefault="000A1DA1" w:rsidP="00B664DB">
      <w:pPr>
        <w:spacing w:line="276" w:lineRule="auto"/>
        <w:rPr>
          <w:rFonts w:cstheme="minorHAnsi"/>
          <w:highlight w:val="yellow"/>
        </w:rPr>
      </w:pPr>
    </w:p>
    <w:p w14:paraId="22060634" w14:textId="77777777" w:rsidR="008C4F3A" w:rsidRPr="00261738" w:rsidRDefault="008C4F3A" w:rsidP="002A20B6">
      <w:pPr>
        <w:spacing w:line="360" w:lineRule="auto"/>
        <w:rPr>
          <w:rFonts w:cstheme="minorHAnsi"/>
        </w:rPr>
      </w:pPr>
    </w:p>
    <w:p w14:paraId="153B49C4" w14:textId="638D13B9" w:rsidR="00F53519" w:rsidRPr="00FA5787" w:rsidRDefault="00F53519" w:rsidP="002A20B6">
      <w:pPr>
        <w:spacing w:line="360" w:lineRule="auto"/>
        <w:rPr>
          <w:rFonts w:cstheme="minorHAnsi"/>
        </w:rPr>
      </w:pPr>
      <w:r w:rsidRPr="00FA5787">
        <w:rPr>
          <w:rFonts w:cstheme="minorHAnsi"/>
          <w:b/>
          <w:bCs/>
        </w:rPr>
        <w:t>Observation</w:t>
      </w:r>
    </w:p>
    <w:p w14:paraId="2D31342B" w14:textId="77777777" w:rsidR="00345B21" w:rsidRPr="00261738" w:rsidRDefault="00345B21" w:rsidP="002A20B6">
      <w:pPr>
        <w:spacing w:line="360" w:lineRule="auto"/>
        <w:rPr>
          <w:rFonts w:cstheme="minorHAnsi"/>
          <w:u w:val="single"/>
        </w:rPr>
      </w:pPr>
    </w:p>
    <w:p w14:paraId="07964019" w14:textId="28673647" w:rsidR="00684ABC" w:rsidRDefault="00684ABC" w:rsidP="002A20B6">
      <w:pPr>
        <w:spacing w:line="360" w:lineRule="auto"/>
        <w:rPr>
          <w:rFonts w:cstheme="minorHAnsi"/>
        </w:rPr>
      </w:pPr>
      <w:r w:rsidRPr="00261738">
        <w:rPr>
          <w:rFonts w:cstheme="minorHAnsi"/>
        </w:rPr>
        <w:t xml:space="preserve">The critical incident observed took place in a </w:t>
      </w:r>
      <w:r>
        <w:rPr>
          <w:rFonts w:cstheme="minorHAnsi"/>
        </w:rPr>
        <w:t xml:space="preserve">mixed gender, </w:t>
      </w:r>
      <w:r w:rsidRPr="00261738">
        <w:rPr>
          <w:rFonts w:cstheme="minorHAnsi"/>
        </w:rPr>
        <w:t xml:space="preserve">English </w:t>
      </w:r>
      <w:r w:rsidR="00345B21">
        <w:rPr>
          <w:rFonts w:cstheme="minorHAnsi"/>
        </w:rPr>
        <w:t>m</w:t>
      </w:r>
      <w:r w:rsidRPr="00261738">
        <w:rPr>
          <w:rFonts w:cstheme="minorHAnsi"/>
        </w:rPr>
        <w:t xml:space="preserve">edium primary school, situated in the Neath Port Talbot County of South Wales. </w:t>
      </w:r>
      <w:r>
        <w:rPr>
          <w:rFonts w:cstheme="minorHAnsi"/>
        </w:rPr>
        <w:t>The school has 2</w:t>
      </w:r>
      <w:r w:rsidR="00CE35F4">
        <w:rPr>
          <w:rFonts w:cstheme="minorHAnsi"/>
        </w:rPr>
        <w:t>63</w:t>
      </w:r>
      <w:r>
        <w:rPr>
          <w:rFonts w:cstheme="minorHAnsi"/>
        </w:rPr>
        <w:t xml:space="preserve"> primary school children</w:t>
      </w:r>
      <w:r w:rsidR="00A22832">
        <w:rPr>
          <w:rFonts w:cstheme="minorHAnsi"/>
        </w:rPr>
        <w:t xml:space="preserve">, </w:t>
      </w:r>
      <w:r w:rsidR="00F52844">
        <w:rPr>
          <w:rFonts w:cstheme="minorHAnsi"/>
        </w:rPr>
        <w:t xml:space="preserve">aged between 3 </w:t>
      </w:r>
      <w:r w:rsidR="00A22832">
        <w:rPr>
          <w:rFonts w:cstheme="minorHAnsi"/>
        </w:rPr>
        <w:t>–</w:t>
      </w:r>
      <w:r w:rsidR="00F52844">
        <w:rPr>
          <w:rFonts w:cstheme="minorHAnsi"/>
        </w:rPr>
        <w:t xml:space="preserve"> 11</w:t>
      </w:r>
      <w:r w:rsidR="00A22832">
        <w:rPr>
          <w:rFonts w:cstheme="minorHAnsi"/>
        </w:rPr>
        <w:t xml:space="preserve"> </w:t>
      </w:r>
      <w:r w:rsidR="00CE35F4">
        <w:rPr>
          <w:rFonts w:cstheme="minorHAnsi"/>
        </w:rPr>
        <w:t xml:space="preserve">(My Local School, 2021). </w:t>
      </w:r>
      <w:r w:rsidR="00C345BB">
        <w:rPr>
          <w:rFonts w:cstheme="minorHAnsi"/>
        </w:rPr>
        <w:t>The school consists of single form entry classes as well as a</w:t>
      </w:r>
      <w:r w:rsidR="004454E5">
        <w:rPr>
          <w:rFonts w:cstheme="minorHAnsi"/>
        </w:rPr>
        <w:t xml:space="preserve"> </w:t>
      </w:r>
      <w:r w:rsidR="00345B21">
        <w:rPr>
          <w:rFonts w:cstheme="minorHAnsi"/>
        </w:rPr>
        <w:t>L</w:t>
      </w:r>
      <w:r w:rsidR="004454E5">
        <w:rPr>
          <w:rFonts w:cstheme="minorHAnsi"/>
        </w:rPr>
        <w:t xml:space="preserve">earning </w:t>
      </w:r>
      <w:r w:rsidR="00345B21">
        <w:rPr>
          <w:rFonts w:cstheme="minorHAnsi"/>
        </w:rPr>
        <w:t>S</w:t>
      </w:r>
      <w:r w:rsidR="004454E5">
        <w:rPr>
          <w:rFonts w:cstheme="minorHAnsi"/>
        </w:rPr>
        <w:t xml:space="preserve">upport </w:t>
      </w:r>
      <w:r w:rsidR="00345B21">
        <w:rPr>
          <w:rFonts w:cstheme="minorHAnsi"/>
        </w:rPr>
        <w:t>C</w:t>
      </w:r>
      <w:r w:rsidR="004454E5">
        <w:rPr>
          <w:rFonts w:cstheme="minorHAnsi"/>
        </w:rPr>
        <w:t>entre</w:t>
      </w:r>
      <w:r w:rsidR="00345B21">
        <w:rPr>
          <w:rFonts w:cstheme="minorHAnsi"/>
        </w:rPr>
        <w:t xml:space="preserve"> (LSC)</w:t>
      </w:r>
      <w:r w:rsidR="00C345BB">
        <w:rPr>
          <w:rFonts w:cstheme="minorHAnsi"/>
        </w:rPr>
        <w:t xml:space="preserve"> </w:t>
      </w:r>
      <w:r w:rsidR="004454E5">
        <w:rPr>
          <w:rFonts w:cstheme="minorHAnsi"/>
        </w:rPr>
        <w:t>within</w:t>
      </w:r>
      <w:r w:rsidR="00F52844">
        <w:rPr>
          <w:rFonts w:cstheme="minorHAnsi"/>
        </w:rPr>
        <w:t xml:space="preserve"> the school</w:t>
      </w:r>
      <w:r w:rsidR="004454E5">
        <w:rPr>
          <w:rFonts w:cstheme="minorHAnsi"/>
        </w:rPr>
        <w:t xml:space="preserve"> which </w:t>
      </w:r>
      <w:r w:rsidR="00F52844">
        <w:rPr>
          <w:rFonts w:cstheme="minorHAnsi"/>
        </w:rPr>
        <w:t>provid</w:t>
      </w:r>
      <w:r w:rsidR="004454E5">
        <w:rPr>
          <w:rFonts w:cstheme="minorHAnsi"/>
        </w:rPr>
        <w:t>es</w:t>
      </w:r>
      <w:r w:rsidR="00F52844">
        <w:rPr>
          <w:rFonts w:cstheme="minorHAnsi"/>
        </w:rPr>
        <w:t xml:space="preserve"> provision for key stage 2 children with </w:t>
      </w:r>
      <w:r w:rsidR="004454E5">
        <w:rPr>
          <w:rFonts w:cstheme="minorHAnsi"/>
        </w:rPr>
        <w:t>A</w:t>
      </w:r>
      <w:r w:rsidR="00F52844">
        <w:rPr>
          <w:rFonts w:cstheme="minorHAnsi"/>
        </w:rPr>
        <w:t xml:space="preserve">dditional </w:t>
      </w:r>
      <w:r w:rsidR="004454E5">
        <w:rPr>
          <w:rFonts w:cstheme="minorHAnsi"/>
        </w:rPr>
        <w:t>L</w:t>
      </w:r>
      <w:r w:rsidR="00F52844">
        <w:rPr>
          <w:rFonts w:cstheme="minorHAnsi"/>
        </w:rPr>
        <w:t xml:space="preserve">earning </w:t>
      </w:r>
      <w:r w:rsidR="004454E5">
        <w:rPr>
          <w:rFonts w:cstheme="minorHAnsi"/>
        </w:rPr>
        <w:t>N</w:t>
      </w:r>
      <w:r w:rsidR="00F52844">
        <w:rPr>
          <w:rFonts w:cstheme="minorHAnsi"/>
        </w:rPr>
        <w:t>eed</w:t>
      </w:r>
      <w:r w:rsidR="004454E5">
        <w:rPr>
          <w:rFonts w:cstheme="minorHAnsi"/>
        </w:rPr>
        <w:t>s (ALN)</w:t>
      </w:r>
      <w:r w:rsidR="00CE35F4">
        <w:rPr>
          <w:rFonts w:cstheme="minorHAnsi"/>
        </w:rPr>
        <w:t xml:space="preserve">. </w:t>
      </w:r>
      <w:r w:rsidR="00F52844">
        <w:rPr>
          <w:rFonts w:cstheme="minorHAnsi"/>
        </w:rPr>
        <w:t xml:space="preserve">These children are typically situated outside the school’s catchment area as they are </w:t>
      </w:r>
      <w:r w:rsidR="00A918AB">
        <w:rPr>
          <w:rFonts w:cstheme="minorHAnsi"/>
        </w:rPr>
        <w:t>selected and placed</w:t>
      </w:r>
      <w:r w:rsidR="00F52844">
        <w:rPr>
          <w:rFonts w:cstheme="minorHAnsi"/>
        </w:rPr>
        <w:t xml:space="preserve"> for the provision by the local authority</w:t>
      </w:r>
      <w:r w:rsidR="00CE35F4">
        <w:rPr>
          <w:rFonts w:cstheme="minorHAnsi"/>
        </w:rPr>
        <w:t xml:space="preserve"> (Estyn, 2018)</w:t>
      </w:r>
      <w:r w:rsidR="00F52844">
        <w:rPr>
          <w:rFonts w:cstheme="minorHAnsi"/>
        </w:rPr>
        <w:t xml:space="preserve">. On average, </w:t>
      </w:r>
      <w:r w:rsidR="00CE35F4">
        <w:rPr>
          <w:rFonts w:cstheme="minorHAnsi"/>
        </w:rPr>
        <w:t>the percentage of children eligible for free school meals</w:t>
      </w:r>
      <w:r w:rsidR="00A918AB">
        <w:rPr>
          <w:rFonts w:cstheme="minorHAnsi"/>
        </w:rPr>
        <w:t xml:space="preserve"> (FSM)</w:t>
      </w:r>
      <w:r w:rsidR="00CE35F4">
        <w:rPr>
          <w:rFonts w:cstheme="minorHAnsi"/>
        </w:rPr>
        <w:t xml:space="preserve"> is 4.5%, which is significantly below the local authority average of 26.9% and the Welsh average of 21.3% (My Local School, 2021).</w:t>
      </w:r>
      <w:r w:rsidR="00C345BB">
        <w:rPr>
          <w:rFonts w:cstheme="minorHAnsi"/>
        </w:rPr>
        <w:t xml:space="preserve"> The latest Estyn inspection rated the school as ‘Good’ across the board for </w:t>
      </w:r>
      <w:r w:rsidR="00C345BB" w:rsidRPr="00A22832">
        <w:rPr>
          <w:rFonts w:cstheme="minorHAnsi"/>
        </w:rPr>
        <w:t xml:space="preserve">Overall Standards, </w:t>
      </w:r>
      <w:proofErr w:type="gramStart"/>
      <w:r w:rsidR="00262C0A" w:rsidRPr="00A22832">
        <w:rPr>
          <w:rFonts w:cstheme="minorHAnsi"/>
        </w:rPr>
        <w:t>Well-being</w:t>
      </w:r>
      <w:proofErr w:type="gramEnd"/>
      <w:r w:rsidR="00A22832" w:rsidRPr="00A22832">
        <w:rPr>
          <w:rFonts w:cstheme="minorHAnsi"/>
        </w:rPr>
        <w:t xml:space="preserve"> </w:t>
      </w:r>
      <w:r w:rsidR="00C345BB" w:rsidRPr="00A22832">
        <w:rPr>
          <w:rFonts w:cstheme="minorHAnsi"/>
        </w:rPr>
        <w:t xml:space="preserve">and attitudes to learning, Teaching and learning experiences, Care, </w:t>
      </w:r>
      <w:r w:rsidR="00A22832" w:rsidRPr="00A22832">
        <w:rPr>
          <w:rFonts w:cstheme="minorHAnsi"/>
        </w:rPr>
        <w:t>S</w:t>
      </w:r>
      <w:r w:rsidR="00C345BB" w:rsidRPr="00A22832">
        <w:rPr>
          <w:rFonts w:cstheme="minorHAnsi"/>
        </w:rPr>
        <w:t>upport and Guidance and Leadership and management (Estyn 2018).</w:t>
      </w:r>
      <w:r w:rsidR="00C345BB">
        <w:rPr>
          <w:rFonts w:cstheme="minorHAnsi"/>
        </w:rPr>
        <w:t xml:space="preserve"> </w:t>
      </w:r>
    </w:p>
    <w:p w14:paraId="7A336863" w14:textId="77777777" w:rsidR="00D961DA" w:rsidRDefault="00D961DA" w:rsidP="002A20B6">
      <w:pPr>
        <w:spacing w:line="360" w:lineRule="auto"/>
        <w:rPr>
          <w:rFonts w:cstheme="minorHAnsi"/>
        </w:rPr>
      </w:pPr>
    </w:p>
    <w:p w14:paraId="22E0C515" w14:textId="56B07EF2" w:rsidR="003C53BA" w:rsidRDefault="00C345BB" w:rsidP="002A20B6">
      <w:pPr>
        <w:spacing w:line="360" w:lineRule="auto"/>
        <w:rPr>
          <w:rFonts w:cstheme="minorHAnsi"/>
        </w:rPr>
      </w:pPr>
      <w:r>
        <w:rPr>
          <w:rFonts w:cstheme="minorHAnsi"/>
        </w:rPr>
        <w:t>The observation</w:t>
      </w:r>
      <w:r w:rsidR="00B664DB">
        <w:rPr>
          <w:rFonts w:cstheme="minorHAnsi"/>
        </w:rPr>
        <w:t xml:space="preserve"> </w:t>
      </w:r>
      <w:r w:rsidR="004454E5">
        <w:rPr>
          <w:rFonts w:cstheme="minorHAnsi"/>
        </w:rPr>
        <w:t>took place in a</w:t>
      </w:r>
      <w:r w:rsidR="00262C0A" w:rsidRPr="00A22832">
        <w:rPr>
          <w:rFonts w:cstheme="minorHAnsi"/>
          <w:color w:val="FF0000"/>
        </w:rPr>
        <w:t xml:space="preserve"> </w:t>
      </w:r>
      <w:r w:rsidR="00262C0A" w:rsidRPr="000540B6">
        <w:rPr>
          <w:rFonts w:cstheme="minorHAnsi"/>
        </w:rPr>
        <w:t>Y</w:t>
      </w:r>
      <w:r w:rsidR="004454E5" w:rsidRPr="000540B6">
        <w:rPr>
          <w:rFonts w:cstheme="minorHAnsi"/>
        </w:rPr>
        <w:t xml:space="preserve">ear 3 </w:t>
      </w:r>
      <w:r w:rsidR="00F45B81" w:rsidRPr="000540B6">
        <w:rPr>
          <w:rFonts w:cstheme="minorHAnsi"/>
        </w:rPr>
        <w:t>classroom</w:t>
      </w:r>
      <w:r w:rsidR="00262C0A" w:rsidRPr="000540B6">
        <w:rPr>
          <w:rFonts w:cstheme="minorHAnsi"/>
        </w:rPr>
        <w:t>,</w:t>
      </w:r>
      <w:r w:rsidR="00262C0A">
        <w:rPr>
          <w:rFonts w:cstheme="minorHAnsi"/>
        </w:rPr>
        <w:t xml:space="preserve"> where the class size </w:t>
      </w:r>
      <w:r w:rsidR="003C53BA">
        <w:rPr>
          <w:rFonts w:cstheme="minorHAnsi"/>
        </w:rPr>
        <w:t>was</w:t>
      </w:r>
      <w:r w:rsidR="00262C0A">
        <w:rPr>
          <w:rFonts w:cstheme="minorHAnsi"/>
        </w:rPr>
        <w:t xml:space="preserve"> </w:t>
      </w:r>
      <w:r w:rsidR="006A1475">
        <w:rPr>
          <w:rFonts w:cstheme="minorHAnsi"/>
        </w:rPr>
        <w:t xml:space="preserve">approximately </w:t>
      </w:r>
      <w:r w:rsidR="00262C0A">
        <w:rPr>
          <w:rFonts w:cstheme="minorHAnsi"/>
        </w:rPr>
        <w:t xml:space="preserve">30 pupils. </w:t>
      </w:r>
      <w:r w:rsidR="00221293">
        <w:rPr>
          <w:rFonts w:cstheme="minorHAnsi"/>
        </w:rPr>
        <w:t xml:space="preserve">The classroom was situated </w:t>
      </w:r>
      <w:r w:rsidR="00A22832">
        <w:rPr>
          <w:rFonts w:cstheme="minorHAnsi"/>
        </w:rPr>
        <w:t>away</w:t>
      </w:r>
      <w:r w:rsidR="00221293">
        <w:rPr>
          <w:rFonts w:cstheme="minorHAnsi"/>
        </w:rPr>
        <w:t xml:space="preserve"> from the rest of the school, a</w:t>
      </w:r>
      <w:r w:rsidR="00A22832">
        <w:rPr>
          <w:rFonts w:cstheme="minorHAnsi"/>
        </w:rPr>
        <w:t xml:space="preserve">nd </w:t>
      </w:r>
      <w:r w:rsidR="00221293">
        <w:rPr>
          <w:rFonts w:cstheme="minorHAnsi"/>
        </w:rPr>
        <w:t>is the only class found in the upstairs area of the building.</w:t>
      </w:r>
      <w:r w:rsidR="003C53BA">
        <w:rPr>
          <w:rFonts w:cstheme="minorHAnsi"/>
        </w:rPr>
        <w:t xml:space="preserve"> </w:t>
      </w:r>
      <w:r w:rsidR="000540B6">
        <w:rPr>
          <w:rFonts w:cstheme="minorHAnsi"/>
        </w:rPr>
        <w:t>C</w:t>
      </w:r>
      <w:r w:rsidR="003C53BA">
        <w:rPr>
          <w:rFonts w:cstheme="minorHAnsi"/>
        </w:rPr>
        <w:t>lassroom staff consisted of a teacher, and four teaching assistants</w:t>
      </w:r>
      <w:r w:rsidR="000540B6">
        <w:rPr>
          <w:rFonts w:cstheme="minorHAnsi"/>
        </w:rPr>
        <w:t xml:space="preserve"> (TA)</w:t>
      </w:r>
      <w:r w:rsidR="003C53BA">
        <w:rPr>
          <w:rFonts w:cstheme="minorHAnsi"/>
        </w:rPr>
        <w:t xml:space="preserve">. </w:t>
      </w:r>
      <w:r w:rsidR="000540B6">
        <w:rPr>
          <w:rFonts w:cstheme="minorHAnsi"/>
        </w:rPr>
        <w:t xml:space="preserve">One TA was the designated classroom </w:t>
      </w:r>
      <w:r w:rsidR="0023562B">
        <w:rPr>
          <w:rFonts w:cstheme="minorHAnsi"/>
        </w:rPr>
        <w:t>assistant</w:t>
      </w:r>
      <w:r w:rsidR="000540B6">
        <w:rPr>
          <w:rFonts w:cstheme="minorHAnsi"/>
        </w:rPr>
        <w:t xml:space="preserve"> whilst the others were providing 1:1 support for three children who had ALN statements and were on </w:t>
      </w:r>
      <w:r w:rsidR="000540B6" w:rsidRPr="00A22832">
        <w:rPr>
          <w:rFonts w:cstheme="minorHAnsi"/>
          <w:color w:val="92D050"/>
        </w:rPr>
        <w:t xml:space="preserve">IDPs, </w:t>
      </w:r>
      <w:r w:rsidR="000540B6">
        <w:rPr>
          <w:rFonts w:cstheme="minorHAnsi"/>
        </w:rPr>
        <w:t xml:space="preserve">as </w:t>
      </w:r>
      <w:r w:rsidR="000540B6">
        <w:rPr>
          <w:rFonts w:cstheme="minorHAnsi"/>
        </w:rPr>
        <w:lastRenderedPageBreak/>
        <w:t>part of their provision. The “lively” dynamic of the classroom</w:t>
      </w:r>
      <w:r w:rsidR="00D961DA">
        <w:rPr>
          <w:rFonts w:cstheme="minorHAnsi"/>
        </w:rPr>
        <w:t xml:space="preserve"> was made aware to the observer</w:t>
      </w:r>
      <w:r w:rsidR="00F601F6">
        <w:rPr>
          <w:rFonts w:cstheme="minorHAnsi"/>
        </w:rPr>
        <w:t xml:space="preserve"> </w:t>
      </w:r>
      <w:r w:rsidR="000540B6">
        <w:rPr>
          <w:rFonts w:cstheme="minorHAnsi"/>
        </w:rPr>
        <w:t>before</w:t>
      </w:r>
      <w:r w:rsidR="00D961DA">
        <w:rPr>
          <w:rFonts w:cstheme="minorHAnsi"/>
        </w:rPr>
        <w:t xml:space="preserve"> the start of the school day</w:t>
      </w:r>
      <w:r w:rsidR="000540B6">
        <w:rPr>
          <w:rFonts w:cstheme="minorHAnsi"/>
        </w:rPr>
        <w:t xml:space="preserve">. </w:t>
      </w:r>
    </w:p>
    <w:p w14:paraId="3560A9FB" w14:textId="75D6CE74" w:rsidR="00F53519" w:rsidRDefault="00F53519" w:rsidP="00B664DB">
      <w:pPr>
        <w:spacing w:line="276" w:lineRule="auto"/>
        <w:rPr>
          <w:rFonts w:cstheme="minorHAnsi"/>
        </w:rPr>
      </w:pPr>
    </w:p>
    <w:p w14:paraId="4CBB2F0D" w14:textId="77777777" w:rsidR="00B664DB" w:rsidRPr="00261738" w:rsidRDefault="00B664DB" w:rsidP="00B664DB">
      <w:pPr>
        <w:spacing w:line="276" w:lineRule="auto"/>
        <w:rPr>
          <w:rFonts w:cstheme="minorHAnsi"/>
        </w:rPr>
      </w:pPr>
    </w:p>
    <w:p w14:paraId="5806F4B8" w14:textId="654F549A" w:rsidR="00F53519" w:rsidRPr="000A1DA1" w:rsidRDefault="00F53519" w:rsidP="002A20B6">
      <w:pPr>
        <w:spacing w:line="360" w:lineRule="auto"/>
        <w:rPr>
          <w:rFonts w:cstheme="minorHAnsi"/>
          <w:b/>
          <w:bCs/>
        </w:rPr>
      </w:pPr>
      <w:r w:rsidRPr="000A1DA1">
        <w:rPr>
          <w:rFonts w:cstheme="minorHAnsi"/>
          <w:b/>
          <w:bCs/>
        </w:rPr>
        <w:t>Critical Incident</w:t>
      </w:r>
    </w:p>
    <w:p w14:paraId="6E8CA09B" w14:textId="23FA41B6" w:rsidR="00262C0A" w:rsidRDefault="00262C0A" w:rsidP="002A20B6">
      <w:pPr>
        <w:spacing w:line="360" w:lineRule="auto"/>
        <w:rPr>
          <w:rFonts w:cstheme="minorHAnsi"/>
          <w:b/>
          <w:bCs/>
        </w:rPr>
      </w:pPr>
    </w:p>
    <w:p w14:paraId="0004DC85" w14:textId="72692A77" w:rsidR="004E69BF" w:rsidRPr="002A20B6" w:rsidRDefault="00262C0A" w:rsidP="002A20B6">
      <w:pPr>
        <w:spacing w:line="360" w:lineRule="auto"/>
        <w:rPr>
          <w:bCs/>
          <w:lang w:val="en-US"/>
        </w:rPr>
      </w:pPr>
      <w:r w:rsidRPr="002A20B6">
        <w:rPr>
          <w:rFonts w:cstheme="minorHAnsi"/>
        </w:rPr>
        <w:t>The critical incident</w:t>
      </w:r>
      <w:r w:rsidR="003C53BA" w:rsidRPr="002A20B6">
        <w:rPr>
          <w:rFonts w:cstheme="minorHAnsi"/>
        </w:rPr>
        <w:t xml:space="preserve"> involved </w:t>
      </w:r>
      <w:r w:rsidR="000540B6" w:rsidRPr="002A20B6">
        <w:rPr>
          <w:rFonts w:cstheme="minorHAnsi"/>
        </w:rPr>
        <w:t>one the of children with an ASD statement and their 1:1 learning support assistant.</w:t>
      </w:r>
      <w:r w:rsidR="00C62BF4" w:rsidRPr="002A20B6">
        <w:rPr>
          <w:rFonts w:cstheme="minorHAnsi"/>
        </w:rPr>
        <w:t xml:space="preserve"> </w:t>
      </w:r>
      <w:r w:rsidR="004E69BF" w:rsidRPr="002A20B6">
        <w:rPr>
          <w:rFonts w:cstheme="minorHAnsi"/>
        </w:rPr>
        <w:t xml:space="preserve">The </w:t>
      </w:r>
      <w:r w:rsidR="004E69BF" w:rsidRPr="002A20B6">
        <w:rPr>
          <w:bCs/>
          <w:lang w:val="en-US"/>
        </w:rPr>
        <w:t xml:space="preserve">class teacher was not present at the time as they were </w:t>
      </w:r>
      <w:r w:rsidR="00A22832" w:rsidRPr="002A20B6">
        <w:rPr>
          <w:bCs/>
          <w:lang w:val="en-US"/>
        </w:rPr>
        <w:t>welcoming the</w:t>
      </w:r>
      <w:r w:rsidR="004E69BF" w:rsidRPr="002A20B6">
        <w:rPr>
          <w:bCs/>
          <w:lang w:val="en-US"/>
        </w:rPr>
        <w:t xml:space="preserve"> children by the main school gates, seeing the children in one by one. </w:t>
      </w:r>
      <w:r w:rsidR="004E69BF" w:rsidRPr="00A22832">
        <w:rPr>
          <w:bCs/>
          <w:lang w:val="en-US"/>
        </w:rPr>
        <w:t xml:space="preserve">The children were </w:t>
      </w:r>
      <w:r w:rsidR="00CF5D8E" w:rsidRPr="00A22832">
        <w:rPr>
          <w:bCs/>
          <w:lang w:val="en-US"/>
        </w:rPr>
        <w:t xml:space="preserve">arriving </w:t>
      </w:r>
      <w:r w:rsidR="002A20B6" w:rsidRPr="00A22832">
        <w:rPr>
          <w:bCs/>
          <w:lang w:val="en-US"/>
        </w:rPr>
        <w:t>in</w:t>
      </w:r>
      <w:r w:rsidR="00CF5D8E" w:rsidRPr="00A22832">
        <w:rPr>
          <w:bCs/>
          <w:lang w:val="en-US"/>
        </w:rPr>
        <w:t xml:space="preserve"> the classroom one at a time, after hanging up their coats and bags and putting their lunch items into their designated boxes.</w:t>
      </w:r>
      <w:r w:rsidR="00CF5D8E" w:rsidRPr="002A20B6">
        <w:rPr>
          <w:bCs/>
          <w:lang w:val="en-US"/>
        </w:rPr>
        <w:t xml:space="preserve"> </w:t>
      </w:r>
    </w:p>
    <w:p w14:paraId="7A8F8F19" w14:textId="387BCC5D" w:rsidR="00CF5D8E" w:rsidRPr="002A20B6" w:rsidRDefault="004E69BF" w:rsidP="002A20B6">
      <w:pPr>
        <w:spacing w:line="360" w:lineRule="auto"/>
        <w:rPr>
          <w:bCs/>
          <w:lang w:val="en-US"/>
        </w:rPr>
      </w:pPr>
      <w:r w:rsidRPr="002A20B6">
        <w:rPr>
          <w:bCs/>
          <w:lang w:val="en-US"/>
        </w:rPr>
        <w:t xml:space="preserve">On entry to the classroom the child noticed a worksheet left on their desk and immediately began refusing to do the work set by the teacher and kept asking for their school iPad. </w:t>
      </w:r>
      <w:r w:rsidR="00CF5D8E" w:rsidRPr="002A20B6">
        <w:rPr>
          <w:bCs/>
          <w:lang w:val="en-US"/>
        </w:rPr>
        <w:t xml:space="preserve">The 1:1 then stepped in and took the child to their own personal visual timetable of the day and demonstrated to the child that it was morning work time. </w:t>
      </w:r>
    </w:p>
    <w:p w14:paraId="0EDFD344" w14:textId="42053883" w:rsidR="004E69BF" w:rsidRPr="002A20B6" w:rsidRDefault="00CF5D8E" w:rsidP="002A20B6">
      <w:pPr>
        <w:spacing w:line="360" w:lineRule="auto"/>
        <w:rPr>
          <w:rFonts w:ascii="Calibri" w:hAnsi="Calibri" w:cs="Calibri"/>
          <w:color w:val="000000"/>
        </w:rPr>
      </w:pPr>
      <w:r w:rsidRPr="002A20B6">
        <w:rPr>
          <w:bCs/>
          <w:lang w:val="en-US"/>
        </w:rPr>
        <w:t xml:space="preserve">The child then ran away and continually shouted “No! No!” at the TA. The TA calmly followed the child to where they sat, bringing the child a ‘Now and Next board’ - </w:t>
      </w:r>
      <w:r w:rsidR="004E69BF" w:rsidRPr="002A20B6">
        <w:rPr>
          <w:rFonts w:ascii="Calibri" w:hAnsi="Calibri" w:cs="Calibri"/>
          <w:color w:val="000000"/>
        </w:rPr>
        <w:t xml:space="preserve">Now had a picture symbolising work, she </w:t>
      </w:r>
      <w:r w:rsidR="00A22832">
        <w:rPr>
          <w:rFonts w:ascii="Calibri" w:hAnsi="Calibri" w:cs="Calibri"/>
          <w:color w:val="000000"/>
        </w:rPr>
        <w:t xml:space="preserve">then </w:t>
      </w:r>
      <w:r w:rsidR="004E69BF" w:rsidRPr="002A20B6">
        <w:rPr>
          <w:rFonts w:ascii="Calibri" w:hAnsi="Calibri" w:cs="Calibri"/>
          <w:color w:val="000000"/>
        </w:rPr>
        <w:t xml:space="preserve">asked what the child wanted to </w:t>
      </w:r>
      <w:r w:rsidR="006A1475" w:rsidRPr="002A20B6">
        <w:rPr>
          <w:rFonts w:ascii="Calibri" w:hAnsi="Calibri" w:cs="Calibri"/>
          <w:color w:val="000000"/>
        </w:rPr>
        <w:t>choose</w:t>
      </w:r>
      <w:r w:rsidR="006A1475">
        <w:rPr>
          <w:rFonts w:ascii="Calibri" w:hAnsi="Calibri" w:cs="Calibri"/>
          <w:color w:val="000000"/>
        </w:rPr>
        <w:t xml:space="preserve"> once</w:t>
      </w:r>
      <w:r w:rsidR="004E69BF" w:rsidRPr="002A20B6">
        <w:rPr>
          <w:rFonts w:ascii="Calibri" w:hAnsi="Calibri" w:cs="Calibri"/>
          <w:color w:val="000000"/>
        </w:rPr>
        <w:t xml:space="preserve"> the piece of wor</w:t>
      </w:r>
      <w:r w:rsidRPr="002A20B6">
        <w:rPr>
          <w:rFonts w:ascii="Calibri" w:hAnsi="Calibri" w:cs="Calibri"/>
          <w:color w:val="000000"/>
        </w:rPr>
        <w:t>k had been completed</w:t>
      </w:r>
      <w:r w:rsidR="004E69BF" w:rsidRPr="002A20B6">
        <w:rPr>
          <w:rFonts w:ascii="Calibri" w:hAnsi="Calibri" w:cs="Calibri"/>
          <w:color w:val="000000"/>
        </w:rPr>
        <w:t xml:space="preserve">. The child selected the picture of the iPad and stuck it on the board. Lots of </w:t>
      </w:r>
      <w:r w:rsidRPr="002A20B6">
        <w:rPr>
          <w:rFonts w:ascii="Calibri" w:hAnsi="Calibri" w:cs="Calibri"/>
          <w:color w:val="000000"/>
        </w:rPr>
        <w:t xml:space="preserve">positive language and </w:t>
      </w:r>
      <w:r w:rsidR="004E69BF" w:rsidRPr="002A20B6">
        <w:rPr>
          <w:rFonts w:ascii="Calibri" w:hAnsi="Calibri" w:cs="Calibri"/>
          <w:color w:val="000000"/>
        </w:rPr>
        <w:t>praise was used</w:t>
      </w:r>
      <w:r w:rsidRPr="002A20B6">
        <w:rPr>
          <w:rFonts w:ascii="Calibri" w:hAnsi="Calibri" w:cs="Calibri"/>
          <w:color w:val="000000"/>
        </w:rPr>
        <w:t xml:space="preserve"> as the child stood up and made their own way to the work desk. The child sat with the TA for a short while h</w:t>
      </w:r>
      <w:r w:rsidR="004E69BF" w:rsidRPr="002A20B6">
        <w:rPr>
          <w:rFonts w:ascii="Calibri" w:hAnsi="Calibri" w:cs="Calibri"/>
          <w:color w:val="000000"/>
        </w:rPr>
        <w:t>owever, not long before sitting down (roughly 2 minutes) the child began to get up and wander</w:t>
      </w:r>
      <w:r w:rsidR="00A22832">
        <w:rPr>
          <w:rFonts w:ascii="Calibri" w:hAnsi="Calibri" w:cs="Calibri"/>
          <w:color w:val="000000"/>
        </w:rPr>
        <w:t xml:space="preserve">ed </w:t>
      </w:r>
      <w:r w:rsidR="004E69BF" w:rsidRPr="002A20B6">
        <w:rPr>
          <w:rFonts w:ascii="Calibri" w:hAnsi="Calibri" w:cs="Calibri"/>
          <w:color w:val="000000"/>
        </w:rPr>
        <w:t>around the classroom looking for the iPad. The 1:1 then brought the child back to his work seat and reminded the child “work first, then iPad”</w:t>
      </w:r>
      <w:r w:rsidRPr="002A20B6">
        <w:rPr>
          <w:rFonts w:ascii="Calibri" w:hAnsi="Calibri" w:cs="Calibri"/>
          <w:color w:val="000000"/>
        </w:rPr>
        <w:t xml:space="preserve"> whilst gesturing to the now and next board</w:t>
      </w:r>
      <w:r w:rsidR="004E69BF" w:rsidRPr="002A20B6">
        <w:rPr>
          <w:rFonts w:ascii="Calibri" w:hAnsi="Calibri" w:cs="Calibri"/>
          <w:color w:val="000000"/>
        </w:rPr>
        <w:t xml:space="preserve">. The child then </w:t>
      </w:r>
      <w:r w:rsidRPr="002A20B6">
        <w:rPr>
          <w:rFonts w:ascii="Calibri" w:hAnsi="Calibri" w:cs="Calibri"/>
          <w:color w:val="000000"/>
        </w:rPr>
        <w:t>became</w:t>
      </w:r>
      <w:r w:rsidR="004E69BF" w:rsidRPr="002A20B6">
        <w:rPr>
          <w:rFonts w:ascii="Calibri" w:hAnsi="Calibri" w:cs="Calibri"/>
          <w:color w:val="000000"/>
        </w:rPr>
        <w:t xml:space="preserve"> quite agitated</w:t>
      </w:r>
      <w:r w:rsidRPr="002A20B6">
        <w:rPr>
          <w:rFonts w:ascii="Calibri" w:hAnsi="Calibri" w:cs="Calibri"/>
          <w:color w:val="000000"/>
        </w:rPr>
        <w:t>,</w:t>
      </w:r>
      <w:r w:rsidR="004E69BF" w:rsidRPr="002A20B6">
        <w:rPr>
          <w:rFonts w:ascii="Calibri" w:hAnsi="Calibri" w:cs="Calibri"/>
          <w:color w:val="000000"/>
        </w:rPr>
        <w:t xml:space="preserve"> as more and more children </w:t>
      </w:r>
      <w:r w:rsidRPr="002A20B6">
        <w:rPr>
          <w:rFonts w:ascii="Calibri" w:hAnsi="Calibri" w:cs="Calibri"/>
          <w:color w:val="000000"/>
        </w:rPr>
        <w:t>entered</w:t>
      </w:r>
      <w:r w:rsidR="004E69BF" w:rsidRPr="002A20B6">
        <w:rPr>
          <w:rFonts w:ascii="Calibri" w:hAnsi="Calibri" w:cs="Calibri"/>
          <w:color w:val="000000"/>
        </w:rPr>
        <w:t xml:space="preserve"> the classroom</w:t>
      </w:r>
      <w:r w:rsidRPr="002A20B6">
        <w:rPr>
          <w:rFonts w:ascii="Calibri" w:hAnsi="Calibri" w:cs="Calibri"/>
          <w:color w:val="000000"/>
        </w:rPr>
        <w:t>,</w:t>
      </w:r>
      <w:r w:rsidR="004E69BF" w:rsidRPr="002A20B6">
        <w:rPr>
          <w:rFonts w:ascii="Calibri" w:hAnsi="Calibri" w:cs="Calibri"/>
          <w:color w:val="000000"/>
        </w:rPr>
        <w:t xml:space="preserve"> and became quite distressed. The TA then offered the child to complete the task in the ‘breakout room’ – a quieter classroom across the corridor purposefully used </w:t>
      </w:r>
      <w:r w:rsidR="002A20B6" w:rsidRPr="002A20B6">
        <w:rPr>
          <w:rFonts w:ascii="Calibri" w:hAnsi="Calibri" w:cs="Calibri"/>
          <w:color w:val="000000"/>
        </w:rPr>
        <w:t>as a designate</w:t>
      </w:r>
      <w:r w:rsidR="00A22832">
        <w:rPr>
          <w:rFonts w:ascii="Calibri" w:hAnsi="Calibri" w:cs="Calibri"/>
          <w:color w:val="000000"/>
        </w:rPr>
        <w:t>d</w:t>
      </w:r>
      <w:r w:rsidR="002A20B6" w:rsidRPr="002A20B6">
        <w:rPr>
          <w:rFonts w:ascii="Calibri" w:hAnsi="Calibri" w:cs="Calibri"/>
          <w:color w:val="000000"/>
        </w:rPr>
        <w:t xml:space="preserve"> workspace </w:t>
      </w:r>
      <w:r w:rsidR="004E69BF" w:rsidRPr="002A20B6">
        <w:rPr>
          <w:rFonts w:ascii="Calibri" w:hAnsi="Calibri" w:cs="Calibri"/>
          <w:color w:val="000000"/>
        </w:rPr>
        <w:t xml:space="preserve">for the </w:t>
      </w:r>
      <w:r w:rsidR="002A20B6" w:rsidRPr="002A20B6">
        <w:rPr>
          <w:rFonts w:ascii="Calibri" w:hAnsi="Calibri" w:cs="Calibri"/>
          <w:color w:val="000000"/>
        </w:rPr>
        <w:t>children with ALN</w:t>
      </w:r>
      <w:r w:rsidR="004E69BF" w:rsidRPr="002A20B6">
        <w:rPr>
          <w:rFonts w:ascii="Calibri" w:hAnsi="Calibri" w:cs="Calibri"/>
          <w:color w:val="000000"/>
        </w:rPr>
        <w:t xml:space="preserve">. The child agreed and quickly exited the room, followed by the TA. Once settled in the breakout room, the 1:1 continued to help the child by scaffolding the piece of work, and they further encouraged the child by reminding the child of their iPad time. The TA further encouraged the child by using dojos as an incentive – </w:t>
      </w:r>
      <w:r w:rsidR="004E69BF" w:rsidRPr="002A20B6">
        <w:rPr>
          <w:rFonts w:ascii="Calibri" w:hAnsi="Calibri" w:cs="Calibri"/>
          <w:color w:val="000000"/>
        </w:rPr>
        <w:lastRenderedPageBreak/>
        <w:t>rewarding the child for completing work by giving dojos. All these engagement strategies seemed to work, and the child completed the task</w:t>
      </w:r>
      <w:r w:rsidR="00A22832">
        <w:rPr>
          <w:rFonts w:ascii="Calibri" w:hAnsi="Calibri" w:cs="Calibri"/>
          <w:color w:val="000000"/>
        </w:rPr>
        <w:t xml:space="preserve">, </w:t>
      </w:r>
      <w:r w:rsidR="004E69BF" w:rsidRPr="002A20B6">
        <w:rPr>
          <w:rFonts w:ascii="Calibri" w:hAnsi="Calibri" w:cs="Calibri"/>
          <w:color w:val="000000"/>
        </w:rPr>
        <w:t xml:space="preserve">had their iPad time and dojo rewards. </w:t>
      </w:r>
    </w:p>
    <w:p w14:paraId="31C99496" w14:textId="77777777" w:rsidR="002A20B6" w:rsidRDefault="002A20B6" w:rsidP="00B664DB">
      <w:pPr>
        <w:spacing w:line="276" w:lineRule="auto"/>
        <w:rPr>
          <w:rFonts w:cstheme="minorHAnsi"/>
        </w:rPr>
      </w:pPr>
    </w:p>
    <w:p w14:paraId="39E87193" w14:textId="26FF6114" w:rsidR="00423B48" w:rsidRPr="00423B48" w:rsidRDefault="00842B66" w:rsidP="004F08B2">
      <w:pPr>
        <w:spacing w:line="360" w:lineRule="auto"/>
        <w:rPr>
          <w:rFonts w:cstheme="minorHAnsi"/>
        </w:rPr>
      </w:pPr>
      <w:r>
        <w:rPr>
          <w:rFonts w:cstheme="minorHAnsi"/>
        </w:rPr>
        <w:t xml:space="preserve">As part of the new curriculum design for Wales, Donaldson </w:t>
      </w:r>
      <w:r w:rsidR="00423B48">
        <w:rPr>
          <w:rFonts w:cstheme="minorHAnsi"/>
        </w:rPr>
        <w:t xml:space="preserve">(2015) </w:t>
      </w:r>
      <w:r w:rsidR="002A20B6">
        <w:rPr>
          <w:rFonts w:cstheme="minorHAnsi"/>
        </w:rPr>
        <w:t>designed</w:t>
      </w:r>
      <w:r>
        <w:rPr>
          <w:rFonts w:cstheme="minorHAnsi"/>
        </w:rPr>
        <w:t xml:space="preserve"> </w:t>
      </w:r>
      <w:r w:rsidR="00423B48">
        <w:rPr>
          <w:rFonts w:cstheme="minorHAnsi"/>
        </w:rPr>
        <w:t>F</w:t>
      </w:r>
      <w:r>
        <w:rPr>
          <w:rFonts w:cstheme="minorHAnsi"/>
        </w:rPr>
        <w:t>our Core Purposes</w:t>
      </w:r>
      <w:r w:rsidR="00423B48">
        <w:rPr>
          <w:rFonts w:cstheme="minorHAnsi"/>
        </w:rPr>
        <w:t xml:space="preserve"> </w:t>
      </w:r>
      <w:r>
        <w:rPr>
          <w:rFonts w:cstheme="minorHAnsi"/>
        </w:rPr>
        <w:t xml:space="preserve">which </w:t>
      </w:r>
      <w:r w:rsidR="00423B48">
        <w:rPr>
          <w:rFonts w:cstheme="minorHAnsi"/>
        </w:rPr>
        <w:t xml:space="preserve">are the shared vision and aspiration for every child and young person in Wales (Welsh Government, 2021). </w:t>
      </w:r>
      <w:r w:rsidR="00423B48">
        <w:rPr>
          <w:rFonts w:cstheme="minorHAnsi"/>
        </w:rPr>
        <w:t xml:space="preserve">The critical incident </w:t>
      </w:r>
      <w:r w:rsidR="00423B48">
        <w:rPr>
          <w:rFonts w:cstheme="minorHAnsi"/>
        </w:rPr>
        <w:t xml:space="preserve">mentioned </w:t>
      </w:r>
      <w:r w:rsidR="00423B48">
        <w:rPr>
          <w:rFonts w:cstheme="minorHAnsi"/>
        </w:rPr>
        <w:t xml:space="preserve">can be linked to Donaldson’s </w:t>
      </w:r>
      <w:r w:rsidR="00423B48">
        <w:rPr>
          <w:rFonts w:cstheme="minorHAnsi"/>
        </w:rPr>
        <w:t>Four</w:t>
      </w:r>
      <w:r w:rsidR="00423B48">
        <w:rPr>
          <w:rFonts w:cstheme="minorHAnsi"/>
        </w:rPr>
        <w:t xml:space="preserve"> </w:t>
      </w:r>
      <w:r w:rsidR="00423B48">
        <w:rPr>
          <w:rFonts w:cstheme="minorHAnsi"/>
        </w:rPr>
        <w:t>C</w:t>
      </w:r>
      <w:r w:rsidR="00423B48">
        <w:rPr>
          <w:rFonts w:cstheme="minorHAnsi"/>
        </w:rPr>
        <w:t xml:space="preserve">ore </w:t>
      </w:r>
      <w:r w:rsidR="00423B48">
        <w:rPr>
          <w:rFonts w:cstheme="minorHAnsi"/>
        </w:rPr>
        <w:t>P</w:t>
      </w:r>
      <w:r w:rsidR="00423B48">
        <w:rPr>
          <w:rFonts w:cstheme="minorHAnsi"/>
        </w:rPr>
        <w:t xml:space="preserve">urposes as </w:t>
      </w:r>
      <w:r w:rsidR="00423B48">
        <w:rPr>
          <w:rFonts w:cstheme="minorHAnsi"/>
        </w:rPr>
        <w:t>one of the underpinnings for the four purposes is to</w:t>
      </w:r>
      <w:r w:rsidR="00423B48">
        <w:rPr>
          <w:rFonts w:cstheme="minorHAnsi"/>
        </w:rPr>
        <w:t xml:space="preserve"> provid</w:t>
      </w:r>
      <w:r w:rsidR="00423B48">
        <w:rPr>
          <w:rFonts w:cstheme="minorHAnsi"/>
        </w:rPr>
        <w:t>e</w:t>
      </w:r>
      <w:r w:rsidR="00423B48">
        <w:rPr>
          <w:rFonts w:cstheme="minorHAnsi"/>
        </w:rPr>
        <w:t xml:space="preserve"> an inclusive education </w:t>
      </w:r>
      <w:r w:rsidR="00423B48">
        <w:rPr>
          <w:rFonts w:cstheme="minorHAnsi"/>
        </w:rPr>
        <w:t xml:space="preserve">for all children and young people </w:t>
      </w:r>
      <w:r w:rsidR="00423B48" w:rsidRPr="00423B48">
        <w:rPr>
          <w:rFonts w:cstheme="minorHAnsi"/>
          <w:color w:val="000000"/>
        </w:rPr>
        <w:t>(Knight &amp; Crick, 2021)</w:t>
      </w:r>
      <w:r w:rsidR="00423B48">
        <w:rPr>
          <w:rFonts w:cstheme="minorHAnsi"/>
          <w:color w:val="000000"/>
        </w:rPr>
        <w:t xml:space="preserve">. </w:t>
      </w:r>
    </w:p>
    <w:p w14:paraId="5CC03C0F" w14:textId="2730C8D5" w:rsidR="00423B48" w:rsidRPr="00423B48" w:rsidRDefault="00423B48" w:rsidP="004F08B2">
      <w:pPr>
        <w:spacing w:line="360" w:lineRule="auto"/>
        <w:rPr>
          <w:rFonts w:cstheme="minorHAnsi"/>
        </w:rPr>
      </w:pPr>
      <w:r w:rsidRPr="00423B48">
        <w:rPr>
          <w:rFonts w:cstheme="minorHAnsi"/>
          <w:color w:val="000000" w:themeColor="text1"/>
        </w:rPr>
        <w:t>The new curriculum states that all children, no matter their needs, will have access to an all-encompassing education and that progression in the Areas of Learning and Experience (AOLEs), for children with ALN, is still achievable as all children progress along the same continuum</w:t>
      </w:r>
      <w:r w:rsidRPr="00423B48">
        <w:rPr>
          <w:rFonts w:cstheme="minorHAnsi"/>
          <w:color w:val="000000" w:themeColor="text1"/>
        </w:rPr>
        <w:t xml:space="preserve"> no matter their age</w:t>
      </w:r>
      <w:r>
        <w:rPr>
          <w:rFonts w:cstheme="minorHAnsi"/>
          <w:color w:val="000000" w:themeColor="text1"/>
        </w:rPr>
        <w:t xml:space="preserve"> (Donaldson, 2015). The critical incident </w:t>
      </w:r>
      <w:r>
        <w:rPr>
          <w:rFonts w:cstheme="minorHAnsi"/>
        </w:rPr>
        <w:t>encourage</w:t>
      </w:r>
      <w:r>
        <w:rPr>
          <w:rFonts w:cstheme="minorHAnsi"/>
        </w:rPr>
        <w:t>d</w:t>
      </w:r>
      <w:r>
        <w:rPr>
          <w:rFonts w:cstheme="minorHAnsi"/>
        </w:rPr>
        <w:t xml:space="preserve"> learners to have an active role </w:t>
      </w:r>
      <w:r>
        <w:rPr>
          <w:rFonts w:cstheme="minorHAnsi"/>
        </w:rPr>
        <w:t>in their education as they indicated the way in which they wanted to be</w:t>
      </w:r>
      <w:r>
        <w:rPr>
          <w:rFonts w:cstheme="minorHAnsi"/>
        </w:rPr>
        <w:t xml:space="preserve"> taught and in their </w:t>
      </w:r>
      <w:r>
        <w:rPr>
          <w:rFonts w:cstheme="minorHAnsi"/>
        </w:rPr>
        <w:t xml:space="preserve">preferred learning </w:t>
      </w:r>
      <w:r>
        <w:rPr>
          <w:rFonts w:cstheme="minorHAnsi"/>
        </w:rPr>
        <w:t>environment</w:t>
      </w:r>
      <w:r>
        <w:rPr>
          <w:rFonts w:cstheme="minorHAnsi"/>
        </w:rPr>
        <w:t xml:space="preserve"> - t</w:t>
      </w:r>
      <w:r>
        <w:rPr>
          <w:rFonts w:cstheme="minorHAnsi"/>
        </w:rPr>
        <w:t>he child had made it clear that the classroom setting was too much</w:t>
      </w:r>
      <w:r>
        <w:rPr>
          <w:rFonts w:cstheme="minorHAnsi"/>
        </w:rPr>
        <w:t xml:space="preserve"> for them. Providing a suitable and engaging learning environment for the child allowed them to feel more confident in their ability and work, whilst also encouraging the pupil to take responsibility for their own learning. Linking the critical incident with ambitious capable learners and healthy confident individuals. </w:t>
      </w:r>
    </w:p>
    <w:p w14:paraId="48E1CEAB" w14:textId="0921477D" w:rsidR="00842B66" w:rsidRDefault="00842B66" w:rsidP="00B664DB">
      <w:pPr>
        <w:spacing w:line="276" w:lineRule="auto"/>
        <w:rPr>
          <w:rFonts w:cstheme="minorHAnsi"/>
        </w:rPr>
      </w:pPr>
      <w:r>
        <w:rPr>
          <w:rFonts w:cstheme="minorHAnsi"/>
        </w:rPr>
        <w:t xml:space="preserve"> </w:t>
      </w:r>
    </w:p>
    <w:p w14:paraId="5A0F2040" w14:textId="115524A6" w:rsidR="00F53519" w:rsidRPr="00261738" w:rsidRDefault="00F53519" w:rsidP="004F08B2">
      <w:pPr>
        <w:spacing w:line="360" w:lineRule="auto"/>
        <w:rPr>
          <w:rFonts w:cstheme="minorHAnsi"/>
        </w:rPr>
      </w:pPr>
    </w:p>
    <w:p w14:paraId="0A6BAF47" w14:textId="602FE865" w:rsidR="00F53519" w:rsidRPr="00261738" w:rsidRDefault="00F53519" w:rsidP="004F08B2">
      <w:pPr>
        <w:spacing w:line="360" w:lineRule="auto"/>
        <w:rPr>
          <w:rFonts w:cstheme="minorHAnsi"/>
        </w:rPr>
      </w:pPr>
    </w:p>
    <w:p w14:paraId="502DA7F4" w14:textId="1BE3D18B" w:rsidR="00F53519" w:rsidRDefault="00F53519" w:rsidP="004F08B2">
      <w:pPr>
        <w:spacing w:line="360" w:lineRule="auto"/>
        <w:rPr>
          <w:rFonts w:cstheme="minorHAnsi"/>
          <w:b/>
          <w:bCs/>
        </w:rPr>
      </w:pPr>
      <w:r w:rsidRPr="00210661">
        <w:rPr>
          <w:rFonts w:cstheme="minorHAnsi"/>
          <w:b/>
          <w:bCs/>
        </w:rPr>
        <w:t>Literature Review</w:t>
      </w:r>
    </w:p>
    <w:p w14:paraId="0B1F3B9D" w14:textId="77777777" w:rsidR="00210661" w:rsidRDefault="00210661" w:rsidP="00210661">
      <w:pPr>
        <w:spacing w:line="360" w:lineRule="auto"/>
        <w:rPr>
          <w:rFonts w:cstheme="minorHAnsi"/>
          <w:b/>
          <w:bCs/>
        </w:rPr>
      </w:pPr>
    </w:p>
    <w:p w14:paraId="5E54E2A8" w14:textId="2E21CAF4" w:rsidR="00210661" w:rsidRPr="00B14358" w:rsidRDefault="004F08B2" w:rsidP="00210661">
      <w:pPr>
        <w:spacing w:line="360" w:lineRule="auto"/>
        <w:rPr>
          <w:rFonts w:cstheme="minorHAnsi"/>
          <w:color w:val="7030A0"/>
        </w:rPr>
      </w:pPr>
      <w:r>
        <w:rPr>
          <w:rFonts w:cstheme="minorHAnsi"/>
        </w:rPr>
        <w:t xml:space="preserve">Providing an inclusive learning environment </w:t>
      </w:r>
      <w:r w:rsidR="00633915">
        <w:rPr>
          <w:rFonts w:cstheme="minorHAnsi"/>
        </w:rPr>
        <w:t xml:space="preserve">for all pupils is one of the fundamental aspects of education as classrooms are </w:t>
      </w:r>
      <w:r w:rsidR="00633915">
        <w:rPr>
          <w:rFonts w:cstheme="minorHAnsi"/>
        </w:rPr>
        <w:t>becoming</w:t>
      </w:r>
      <w:r w:rsidR="00633915">
        <w:rPr>
          <w:rFonts w:cstheme="minorHAnsi"/>
        </w:rPr>
        <w:t xml:space="preserve"> increasingly rich in diversity, as no two classrooms are the same </w:t>
      </w:r>
      <w:r w:rsidR="00210661" w:rsidRPr="00210661">
        <w:rPr>
          <w:rFonts w:cstheme="minorHAnsi"/>
          <w:color w:val="000000"/>
        </w:rPr>
        <w:t>(Knight &amp; Crick, 2021)</w:t>
      </w:r>
      <w:r w:rsidR="00633915" w:rsidRPr="00210661">
        <w:rPr>
          <w:rFonts w:cstheme="minorHAnsi"/>
        </w:rPr>
        <w:t>.</w:t>
      </w:r>
      <w:r w:rsidR="00633915">
        <w:rPr>
          <w:rFonts w:cstheme="minorHAnsi"/>
        </w:rPr>
        <w:t xml:space="preserve"> According to UNESCO (1994) “every child has unique characteristics, interests, abilities and learning needs … education systems should be designed</w:t>
      </w:r>
      <w:r w:rsidR="00210661">
        <w:rPr>
          <w:rFonts w:cstheme="minorHAnsi"/>
        </w:rPr>
        <w:t>,</w:t>
      </w:r>
      <w:r w:rsidR="00633915">
        <w:rPr>
          <w:rFonts w:cstheme="minorHAnsi"/>
        </w:rPr>
        <w:t xml:space="preserve"> and educational programmes implemented to take into account the wide diversity of these characteristics and needs”. For schools to function effectively and ensure the best possible outcomes for their learners, classrooms, and staff, need to make sure that they allow for all children to flourish, aspire and achieve </w:t>
      </w:r>
      <w:r w:rsidR="00633915">
        <w:rPr>
          <w:rFonts w:cstheme="minorHAnsi"/>
        </w:rPr>
        <w:t>(</w:t>
      </w:r>
      <w:r w:rsidR="00633915" w:rsidRPr="00750911">
        <w:rPr>
          <w:rFonts w:cstheme="minorHAnsi"/>
          <w:color w:val="000000"/>
        </w:rPr>
        <w:t>Carden et al., 2022</w:t>
      </w:r>
      <w:r w:rsidR="00633915">
        <w:rPr>
          <w:rFonts w:cstheme="minorHAnsi"/>
          <w:color w:val="000000"/>
        </w:rPr>
        <w:t xml:space="preserve">). </w:t>
      </w:r>
      <w:r w:rsidR="002F7C6E">
        <w:rPr>
          <w:rFonts w:cstheme="minorHAnsi"/>
          <w:color w:val="000000"/>
        </w:rPr>
        <w:t>To</w:t>
      </w:r>
      <w:r w:rsidR="00633915">
        <w:rPr>
          <w:rFonts w:cstheme="minorHAnsi"/>
          <w:color w:val="000000"/>
        </w:rPr>
        <w:t xml:space="preserve"> ensure these outcomes, it is key for teachers to understand and value the needs of each child, </w:t>
      </w:r>
      <w:r w:rsidR="00633915">
        <w:rPr>
          <w:rFonts w:cstheme="minorHAnsi"/>
          <w:color w:val="000000"/>
        </w:rPr>
        <w:lastRenderedPageBreak/>
        <w:t xml:space="preserve">particularly for those with ALN, and see every child as an equal member of the class </w:t>
      </w:r>
      <w:r w:rsidR="00633915">
        <w:rPr>
          <w:rFonts w:cstheme="minorHAnsi"/>
        </w:rPr>
        <w:t>(</w:t>
      </w:r>
      <w:r w:rsidR="00633915" w:rsidRPr="00750911">
        <w:rPr>
          <w:rFonts w:cstheme="minorHAnsi"/>
          <w:color w:val="000000"/>
        </w:rPr>
        <w:t>Carden et al., 2022</w:t>
      </w:r>
      <w:r w:rsidR="00633915">
        <w:rPr>
          <w:rFonts w:cstheme="minorHAnsi"/>
          <w:color w:val="000000"/>
        </w:rPr>
        <w:t xml:space="preserve">). The importance of providing an inclusive education for children with ALN is recognised widely by professionals and teachers. However, there is much controversy as to whether inclusion regarding ALN pupils is </w:t>
      </w:r>
      <w:r w:rsidR="00210661">
        <w:rPr>
          <w:rFonts w:cstheme="minorHAnsi"/>
          <w:color w:val="000000"/>
        </w:rPr>
        <w:t>truly</w:t>
      </w:r>
      <w:r w:rsidR="00633915">
        <w:rPr>
          <w:rFonts w:cstheme="minorHAnsi"/>
          <w:color w:val="000000"/>
        </w:rPr>
        <w:t xml:space="preserve"> beneficial for their needs, particularly those with </w:t>
      </w:r>
      <w:r w:rsidR="00633915" w:rsidRPr="00210661">
        <w:rPr>
          <w:rFonts w:cstheme="minorHAnsi"/>
          <w:color w:val="000000" w:themeColor="text1"/>
        </w:rPr>
        <w:t>ASD</w:t>
      </w:r>
      <w:r w:rsidR="00210661" w:rsidRPr="00210661">
        <w:rPr>
          <w:rFonts w:cstheme="minorHAnsi"/>
          <w:color w:val="000000" w:themeColor="text1"/>
        </w:rPr>
        <w:t xml:space="preserve">. </w:t>
      </w:r>
      <w:r w:rsidR="00210661" w:rsidRPr="00210661">
        <w:rPr>
          <w:rFonts w:cstheme="minorHAnsi"/>
          <w:color w:val="000000" w:themeColor="text1"/>
        </w:rPr>
        <w:t xml:space="preserve">Despite this, it is agreed that providing children, particularly those diagnosed with ASD, an inclusive education provides </w:t>
      </w:r>
      <w:r w:rsidR="00210661" w:rsidRPr="00210661">
        <w:rPr>
          <w:rFonts w:cstheme="minorHAnsi"/>
          <w:color w:val="000000" w:themeColor="text1"/>
        </w:rPr>
        <w:t>several</w:t>
      </w:r>
      <w:r w:rsidR="00210661" w:rsidRPr="00210661">
        <w:rPr>
          <w:rFonts w:cstheme="minorHAnsi"/>
          <w:color w:val="000000" w:themeColor="text1"/>
        </w:rPr>
        <w:t xml:space="preserve"> social and academic benefits (Catalano et al., 2022). The questions arise</w:t>
      </w:r>
      <w:r w:rsidR="00210661" w:rsidRPr="00210661">
        <w:rPr>
          <w:rFonts w:cstheme="minorHAnsi"/>
          <w:color w:val="000000" w:themeColor="text1"/>
        </w:rPr>
        <w:t xml:space="preserve"> however</w:t>
      </w:r>
      <w:r w:rsidR="00210661" w:rsidRPr="00210661">
        <w:rPr>
          <w:rFonts w:cstheme="minorHAnsi"/>
          <w:color w:val="000000" w:themeColor="text1"/>
        </w:rPr>
        <w:t xml:space="preserve">, when we consider several factors such as student-teacher relationship, teacher’s </w:t>
      </w:r>
      <w:r w:rsidR="002F7C6E" w:rsidRPr="00210661">
        <w:rPr>
          <w:rFonts w:cstheme="minorHAnsi"/>
          <w:color w:val="000000" w:themeColor="text1"/>
        </w:rPr>
        <w:t>efficacy,</w:t>
      </w:r>
      <w:r w:rsidR="00210661">
        <w:rPr>
          <w:rFonts w:cstheme="minorHAnsi"/>
          <w:color w:val="000000" w:themeColor="text1"/>
        </w:rPr>
        <w:t xml:space="preserve"> </w:t>
      </w:r>
      <w:r w:rsidR="00210661" w:rsidRPr="00210661">
        <w:rPr>
          <w:rFonts w:cstheme="minorHAnsi"/>
          <w:color w:val="000000" w:themeColor="text1"/>
        </w:rPr>
        <w:t xml:space="preserve">and previous </w:t>
      </w:r>
      <w:r w:rsidR="00210661">
        <w:rPr>
          <w:rFonts w:cstheme="minorHAnsi"/>
          <w:color w:val="000000" w:themeColor="text1"/>
        </w:rPr>
        <w:t xml:space="preserve">experience, </w:t>
      </w:r>
      <w:r w:rsidR="00A22832">
        <w:rPr>
          <w:rFonts w:cstheme="minorHAnsi"/>
          <w:color w:val="000000" w:themeColor="text1"/>
        </w:rPr>
        <w:t>regarding</w:t>
      </w:r>
      <w:r w:rsidR="00210661" w:rsidRPr="00210661">
        <w:rPr>
          <w:rFonts w:cstheme="minorHAnsi"/>
          <w:color w:val="000000" w:themeColor="text1"/>
        </w:rPr>
        <w:t xml:space="preserve"> </w:t>
      </w:r>
      <w:r w:rsidR="00210661">
        <w:rPr>
          <w:rFonts w:cstheme="minorHAnsi"/>
          <w:color w:val="000000" w:themeColor="text1"/>
        </w:rPr>
        <w:t xml:space="preserve">children’s outcomes. Additionally, the question of if ASD pupils are best placed in specialised provisions or included in mainstream classes. </w:t>
      </w:r>
    </w:p>
    <w:p w14:paraId="1B289F00" w14:textId="74163EB4" w:rsidR="00210661" w:rsidRPr="00B14358" w:rsidRDefault="00210661" w:rsidP="00B14358">
      <w:pPr>
        <w:spacing w:line="360" w:lineRule="auto"/>
        <w:rPr>
          <w:rFonts w:cstheme="minorHAnsi"/>
          <w:b/>
          <w:bCs/>
          <w:u w:val="single"/>
        </w:rPr>
      </w:pPr>
    </w:p>
    <w:p w14:paraId="4727E35B" w14:textId="7351EEF9" w:rsidR="00210661" w:rsidRPr="00210661" w:rsidRDefault="00210661" w:rsidP="00210661">
      <w:pPr>
        <w:spacing w:line="360" w:lineRule="auto"/>
        <w:rPr>
          <w:rFonts w:cstheme="minorHAnsi"/>
        </w:rPr>
      </w:pPr>
      <w:r>
        <w:rPr>
          <w:rFonts w:cstheme="minorHAnsi"/>
        </w:rPr>
        <w:t xml:space="preserve">The number of children diagnosed with autism who are attending mainstream school is rising considerably (Knight &amp; Crick, 2021; </w:t>
      </w:r>
      <w:r w:rsidRPr="00210661">
        <w:rPr>
          <w:rFonts w:cstheme="minorHAnsi"/>
          <w:color w:val="000000"/>
        </w:rPr>
        <w:t>Roberts &amp; Webster, 2022)</w:t>
      </w:r>
      <w:r>
        <w:rPr>
          <w:rFonts w:cstheme="minorHAnsi"/>
          <w:color w:val="000000"/>
        </w:rPr>
        <w:t xml:space="preserve">. Therefore, </w:t>
      </w:r>
      <w:r>
        <w:rPr>
          <w:rFonts w:cstheme="minorHAnsi"/>
        </w:rPr>
        <w:t xml:space="preserve">local governments and authorities are under increasing pressure to provide children with ASD suitable provisions for their own personal needs and unfortunately, due to the high demand, often children looking for these specialised provisions are not always able to get a place. Due to the increased intake of children with ASD in mainstream school, a key challenge for these schools and teachers it to provide appropriate level of pedagogy to accommodate all children </w:t>
      </w:r>
      <w:r w:rsidRPr="00210661">
        <w:rPr>
          <w:rFonts w:cstheme="minorHAnsi"/>
          <w:color w:val="000000" w:themeColor="text1"/>
        </w:rPr>
        <w:t>(UNESCO</w:t>
      </w:r>
      <w:r>
        <w:rPr>
          <w:rFonts w:cstheme="minorHAnsi"/>
          <w:color w:val="000000" w:themeColor="text1"/>
        </w:rPr>
        <w:t>,</w:t>
      </w:r>
      <w:r w:rsidRPr="00210661">
        <w:rPr>
          <w:rFonts w:cstheme="minorHAnsi"/>
          <w:color w:val="000000" w:themeColor="text1"/>
        </w:rPr>
        <w:t xml:space="preserve"> 1994</w:t>
      </w:r>
      <w:r>
        <w:rPr>
          <w:rFonts w:cstheme="minorHAnsi"/>
          <w:color w:val="000000" w:themeColor="text1"/>
        </w:rPr>
        <w:t>). Children with autism are considerably affected by this challenge due to the range of needs and support they may require (</w:t>
      </w:r>
      <w:r w:rsidRPr="00210661">
        <w:rPr>
          <w:rFonts w:cstheme="minorHAnsi"/>
          <w:color w:val="000000"/>
        </w:rPr>
        <w:t>Roberts &amp; Webster, 2022</w:t>
      </w:r>
      <w:r>
        <w:rPr>
          <w:rFonts w:cstheme="minorHAnsi"/>
          <w:color w:val="000000"/>
        </w:rPr>
        <w:t xml:space="preserve">). As a result, research indicates that children with ASD are not acquiring the support they need, resulting in them not being able to participate and achieve in school </w:t>
      </w:r>
      <w:r w:rsidRPr="00210661">
        <w:rPr>
          <w:rFonts w:cstheme="minorHAnsi"/>
          <w:color w:val="000000"/>
        </w:rPr>
        <w:t xml:space="preserve">(van </w:t>
      </w:r>
      <w:proofErr w:type="spellStart"/>
      <w:r w:rsidRPr="00210661">
        <w:rPr>
          <w:rFonts w:cstheme="minorHAnsi"/>
          <w:color w:val="000000"/>
        </w:rPr>
        <w:t>Steensel</w:t>
      </w:r>
      <w:proofErr w:type="spellEnd"/>
      <w:r w:rsidRPr="00210661">
        <w:rPr>
          <w:rFonts w:cstheme="minorHAnsi"/>
          <w:color w:val="000000"/>
        </w:rPr>
        <w:t xml:space="preserve"> et al., 2011)</w:t>
      </w:r>
      <w:r>
        <w:rPr>
          <w:rFonts w:cstheme="minorHAnsi"/>
          <w:color w:val="000000"/>
        </w:rPr>
        <w:t>. In addition, in mainstream schools, children with autism are more likely to be suspended or withdraw from school altogether (</w:t>
      </w:r>
      <w:r w:rsidRPr="00210661">
        <w:rPr>
          <w:rFonts w:ascii="Calibri" w:hAnsi="Calibri" w:cs="Calibri"/>
          <w:color w:val="000000"/>
        </w:rPr>
        <w:t>Sciutto et al., 2012)</w:t>
      </w:r>
      <w:r>
        <w:rPr>
          <w:rFonts w:ascii="Calibri" w:hAnsi="Calibri" w:cs="Calibri"/>
          <w:color w:val="000000"/>
        </w:rPr>
        <w:t>.</w:t>
      </w:r>
    </w:p>
    <w:p w14:paraId="30A47E83" w14:textId="77777777" w:rsidR="00210661" w:rsidRDefault="00210661" w:rsidP="00210661">
      <w:pPr>
        <w:spacing w:line="360" w:lineRule="auto"/>
        <w:rPr>
          <w:rFonts w:ascii="Calibri" w:hAnsi="Calibri" w:cs="Calibri"/>
          <w:color w:val="000000"/>
        </w:rPr>
      </w:pPr>
    </w:p>
    <w:p w14:paraId="1478FA29" w14:textId="39C24A9A" w:rsidR="00210661" w:rsidRDefault="00210661" w:rsidP="00210661">
      <w:pPr>
        <w:spacing w:line="360" w:lineRule="auto"/>
        <w:rPr>
          <w:rFonts w:ascii="Calibri" w:hAnsi="Calibri" w:cs="Calibri"/>
          <w:color w:val="000000"/>
        </w:rPr>
      </w:pPr>
      <w:r>
        <w:rPr>
          <w:rFonts w:ascii="Calibri" w:hAnsi="Calibri" w:cs="Calibri"/>
          <w:color w:val="000000"/>
        </w:rPr>
        <w:t>Research investigating mainstream teacher’s perspectives indicate that they feel ill-equipped and anxious about not being fully prepared to meet the needs of their ASD pupils</w:t>
      </w:r>
    </w:p>
    <w:p w14:paraId="2134F71D" w14:textId="4F588BCF" w:rsidR="008417F9" w:rsidRPr="008417F9" w:rsidRDefault="00210661" w:rsidP="008417F9">
      <w:pPr>
        <w:spacing w:line="360" w:lineRule="auto"/>
        <w:rPr>
          <w:rFonts w:cstheme="minorHAnsi"/>
          <w:color w:val="000000"/>
        </w:rPr>
      </w:pPr>
      <w:r w:rsidRPr="00210661">
        <w:rPr>
          <w:rFonts w:cstheme="minorHAnsi"/>
          <w:color w:val="000000"/>
        </w:rPr>
        <w:t>(</w:t>
      </w:r>
      <w:proofErr w:type="spellStart"/>
      <w:r w:rsidRPr="00210661">
        <w:rPr>
          <w:rFonts w:ascii="Calibri" w:hAnsi="Calibri" w:cs="Calibri"/>
          <w:color w:val="000000"/>
        </w:rPr>
        <w:t>Ravet</w:t>
      </w:r>
      <w:proofErr w:type="spellEnd"/>
      <w:r w:rsidRPr="00210661">
        <w:rPr>
          <w:rFonts w:ascii="Calibri" w:hAnsi="Calibri" w:cs="Calibri"/>
          <w:color w:val="000000"/>
        </w:rPr>
        <w:t>, 2017</w:t>
      </w:r>
      <w:r>
        <w:rPr>
          <w:rFonts w:ascii="-webkit-standard" w:hAnsi="-webkit-standard"/>
          <w:color w:val="000000"/>
          <w:sz w:val="27"/>
          <w:szCs w:val="27"/>
        </w:rPr>
        <w:t xml:space="preserve">; </w:t>
      </w:r>
      <w:r w:rsidRPr="00210661">
        <w:rPr>
          <w:rFonts w:cstheme="minorHAnsi"/>
          <w:color w:val="000000"/>
        </w:rPr>
        <w:t>Roberts &amp; Simpson, 2016)</w:t>
      </w:r>
      <w:r>
        <w:rPr>
          <w:rFonts w:cstheme="minorHAnsi"/>
          <w:color w:val="000000"/>
        </w:rPr>
        <w:t xml:space="preserve">. This could potentially negatively affect students as it is reported that poor student-teacher relationships have a negative impact on which the degree they are socially accepted by their class peers </w:t>
      </w:r>
      <w:r w:rsidRPr="00210661">
        <w:rPr>
          <w:rFonts w:ascii="Calibri" w:hAnsi="Calibri" w:cs="Calibri"/>
          <w:color w:val="000000"/>
        </w:rPr>
        <w:t>(Robertson et al., 2003)</w:t>
      </w:r>
      <w:r>
        <w:rPr>
          <w:rFonts w:ascii="Calibri" w:hAnsi="Calibri" w:cs="Calibri"/>
          <w:color w:val="000000"/>
        </w:rPr>
        <w:t xml:space="preserve">. </w:t>
      </w:r>
      <w:r w:rsidRPr="00210661">
        <w:rPr>
          <w:rFonts w:cstheme="minorHAnsi"/>
          <w:color w:val="000000" w:themeColor="text1"/>
        </w:rPr>
        <w:t>Hong et al. (2020)</w:t>
      </w:r>
      <w:r w:rsidRPr="00210661">
        <w:rPr>
          <w:rFonts w:ascii="MinionPro" w:hAnsi="MinionPro"/>
          <w:color w:val="000000" w:themeColor="text1"/>
          <w:sz w:val="22"/>
          <w:szCs w:val="22"/>
        </w:rPr>
        <w:t xml:space="preserve"> </w:t>
      </w:r>
      <w:r>
        <w:rPr>
          <w:rFonts w:ascii="Calibri" w:hAnsi="Calibri" w:cs="Calibri"/>
          <w:color w:val="000000"/>
        </w:rPr>
        <w:t xml:space="preserve">suggests teachers were more likely to report negative attitudes toward children with ASD, if their prior experience with autistic children was limited. However, the findings aren’t </w:t>
      </w:r>
      <w:r>
        <w:rPr>
          <w:rFonts w:ascii="Calibri" w:hAnsi="Calibri" w:cs="Calibri"/>
          <w:color w:val="000000"/>
        </w:rPr>
        <w:lastRenderedPageBreak/>
        <w:t xml:space="preserve">consistent as in their study, </w:t>
      </w:r>
      <w:r w:rsidRPr="00210661">
        <w:rPr>
          <w:rFonts w:cstheme="minorHAnsi"/>
          <w:color w:val="000000"/>
        </w:rPr>
        <w:t xml:space="preserve">Humphrey &amp; Symes, </w:t>
      </w:r>
      <w:r>
        <w:rPr>
          <w:rFonts w:cstheme="minorHAnsi"/>
          <w:color w:val="000000"/>
        </w:rPr>
        <w:t>(</w:t>
      </w:r>
      <w:r w:rsidRPr="00210661">
        <w:rPr>
          <w:rFonts w:cstheme="minorHAnsi"/>
          <w:color w:val="000000"/>
        </w:rPr>
        <w:t>2013)</w:t>
      </w:r>
      <w:r>
        <w:rPr>
          <w:rFonts w:cstheme="minorHAnsi"/>
          <w:color w:val="000000"/>
        </w:rPr>
        <w:t xml:space="preserve"> did not find that teacher’s self-efficacy and views of ASD pupils were not related to any previous experience of teaching ASD pupils. Although, it was noted that staff would always want to attend further training on ASD if available. They also found that in general, teachers felt that they were able to cope with the negative behaviours associated with ASD, which contradicts recent research of </w:t>
      </w:r>
      <w:r w:rsidRPr="00210661">
        <w:rPr>
          <w:rFonts w:ascii="Calibri" w:hAnsi="Calibri" w:cs="Calibri"/>
          <w:color w:val="000000"/>
        </w:rPr>
        <w:t xml:space="preserve">Wood &amp; </w:t>
      </w:r>
      <w:proofErr w:type="spellStart"/>
      <w:r w:rsidRPr="00210661">
        <w:rPr>
          <w:rFonts w:ascii="Calibri" w:hAnsi="Calibri" w:cs="Calibri"/>
          <w:color w:val="000000"/>
        </w:rPr>
        <w:t>Happé</w:t>
      </w:r>
      <w:proofErr w:type="spellEnd"/>
      <w:r w:rsidRPr="00210661">
        <w:rPr>
          <w:rFonts w:ascii="Calibri" w:hAnsi="Calibri" w:cs="Calibri"/>
          <w:color w:val="000000"/>
        </w:rPr>
        <w:t xml:space="preserve">, </w:t>
      </w:r>
      <w:r>
        <w:rPr>
          <w:rFonts w:ascii="Calibri" w:hAnsi="Calibri" w:cs="Calibri"/>
          <w:color w:val="000000"/>
        </w:rPr>
        <w:t>(</w:t>
      </w:r>
      <w:r w:rsidRPr="00210661">
        <w:rPr>
          <w:rFonts w:ascii="Calibri" w:hAnsi="Calibri" w:cs="Calibri"/>
          <w:color w:val="000000"/>
        </w:rPr>
        <w:t>2021)</w:t>
      </w:r>
      <w:r>
        <w:rPr>
          <w:rFonts w:ascii="Calibri" w:hAnsi="Calibri" w:cs="Calibri"/>
          <w:color w:val="000000"/>
        </w:rPr>
        <w:t xml:space="preserve"> who found that generally, teachers lack the understanding and support when it comes to the behaviours of children with ASD. In consistent findings suggest that more research needs to be carried out in this field.</w:t>
      </w:r>
      <w:r w:rsidR="008417F9">
        <w:rPr>
          <w:rFonts w:ascii="Calibri" w:hAnsi="Calibri" w:cs="Calibri"/>
          <w:color w:val="000000"/>
        </w:rPr>
        <w:t xml:space="preserve"> </w:t>
      </w:r>
    </w:p>
    <w:p w14:paraId="27F90794" w14:textId="77777777" w:rsidR="00210661" w:rsidRPr="00210661" w:rsidRDefault="00210661" w:rsidP="00210661">
      <w:pPr>
        <w:spacing w:line="360" w:lineRule="auto"/>
        <w:rPr>
          <w:rFonts w:ascii="Calibri" w:hAnsi="Calibri" w:cs="Calibri"/>
          <w:color w:val="000000"/>
        </w:rPr>
      </w:pPr>
    </w:p>
    <w:p w14:paraId="25404945" w14:textId="5EF66E51" w:rsidR="00210661" w:rsidRPr="006A1475" w:rsidRDefault="00210661" w:rsidP="006A1475">
      <w:pPr>
        <w:tabs>
          <w:tab w:val="left" w:pos="5559"/>
        </w:tabs>
        <w:spacing w:line="360" w:lineRule="auto"/>
        <w:rPr>
          <w:rFonts w:cstheme="minorHAnsi"/>
          <w:color w:val="000000"/>
        </w:rPr>
      </w:pPr>
      <w:r>
        <w:rPr>
          <w:rFonts w:ascii="Calibri" w:hAnsi="Calibri" w:cs="Calibri"/>
          <w:color w:val="000000"/>
        </w:rPr>
        <w:t>Studies looking at ASD children’s perspectives</w:t>
      </w:r>
      <w:r w:rsidR="006A1475">
        <w:rPr>
          <w:rFonts w:ascii="Calibri" w:hAnsi="Calibri" w:cs="Calibri"/>
          <w:color w:val="000000"/>
        </w:rPr>
        <w:t xml:space="preserve">, </w:t>
      </w:r>
      <w:r>
        <w:rPr>
          <w:rFonts w:ascii="Calibri" w:hAnsi="Calibri" w:cs="Calibri"/>
          <w:color w:val="000000"/>
        </w:rPr>
        <w:t>report</w:t>
      </w:r>
      <w:r w:rsidR="006A1475">
        <w:rPr>
          <w:rFonts w:ascii="Calibri" w:hAnsi="Calibri" w:cs="Calibri"/>
          <w:color w:val="000000"/>
        </w:rPr>
        <w:t xml:space="preserve">ed that they </w:t>
      </w:r>
      <w:r>
        <w:rPr>
          <w:rFonts w:ascii="Calibri" w:hAnsi="Calibri" w:cs="Calibri"/>
          <w:color w:val="000000"/>
        </w:rPr>
        <w:t xml:space="preserve">ranked patient, flexible and empathetic teachers </w:t>
      </w:r>
      <w:r w:rsidR="006A1475">
        <w:rPr>
          <w:rFonts w:ascii="Calibri" w:hAnsi="Calibri" w:cs="Calibri"/>
          <w:color w:val="000000"/>
        </w:rPr>
        <w:t xml:space="preserve">as the most </w:t>
      </w:r>
      <w:r>
        <w:rPr>
          <w:rFonts w:ascii="Calibri" w:hAnsi="Calibri" w:cs="Calibri"/>
          <w:color w:val="000000"/>
        </w:rPr>
        <w:t xml:space="preserve">helpful form of support at school (Roberts &amp; Simpson, 2016; </w:t>
      </w:r>
      <w:proofErr w:type="spellStart"/>
      <w:r>
        <w:rPr>
          <w:rFonts w:ascii="Calibri" w:hAnsi="Calibri" w:cs="Calibri"/>
          <w:color w:val="000000"/>
        </w:rPr>
        <w:t>Saggers</w:t>
      </w:r>
      <w:proofErr w:type="spellEnd"/>
      <w:r>
        <w:rPr>
          <w:rFonts w:ascii="Calibri" w:hAnsi="Calibri" w:cs="Calibri"/>
          <w:color w:val="000000"/>
        </w:rPr>
        <w:t xml:space="preserve"> et al. 2018). However, Warren et al. (2020) </w:t>
      </w:r>
      <w:r w:rsidR="006A1475">
        <w:rPr>
          <w:rFonts w:ascii="Calibri" w:hAnsi="Calibri" w:cs="Calibri"/>
          <w:color w:val="000000"/>
        </w:rPr>
        <w:t>found</w:t>
      </w:r>
      <w:r>
        <w:rPr>
          <w:rFonts w:ascii="Calibri" w:hAnsi="Calibri" w:cs="Calibri"/>
          <w:color w:val="000000"/>
        </w:rPr>
        <w:t xml:space="preserve"> that children valued their friendships and peer relationships more</w:t>
      </w:r>
      <w:r w:rsidR="006A1475">
        <w:rPr>
          <w:rFonts w:ascii="Calibri" w:hAnsi="Calibri" w:cs="Calibri"/>
          <w:color w:val="000000"/>
        </w:rPr>
        <w:t xml:space="preserve">. </w:t>
      </w:r>
      <w:r>
        <w:rPr>
          <w:rFonts w:ascii="Calibri" w:hAnsi="Calibri" w:cs="Calibri"/>
          <w:color w:val="000000"/>
        </w:rPr>
        <w:t>It is argued that whilst children feel protected and a sense of belonging to their mainstream school (</w:t>
      </w:r>
      <w:r w:rsidRPr="00210661">
        <w:rPr>
          <w:rFonts w:cstheme="minorHAnsi"/>
          <w:color w:val="000000"/>
        </w:rPr>
        <w:t>Hasson et al., 2022)</w:t>
      </w:r>
      <w:r>
        <w:rPr>
          <w:rFonts w:cstheme="minorHAnsi"/>
          <w:color w:val="000000"/>
        </w:rPr>
        <w:t xml:space="preserve"> many children still feel like that they do not ‘fit in’ in mainstream settings (Humphrey &amp; Lewis, 2008). In contrast, a study which looked at the views of children with ASD who attend a resourced provision (where children spend time in both a specialised provision of smaller classes and mainstream classes) found that children enjoyed their time in mainstream classes – although the busier environment did cause some anxiety for some pupils. They found that the balance of time spent in smaller and then mainstream classes benefited the children greatly</w:t>
      </w:r>
      <w:r w:rsidR="006A1475">
        <w:rPr>
          <w:rFonts w:cstheme="minorHAnsi"/>
          <w:color w:val="000000"/>
        </w:rPr>
        <w:t xml:space="preserve">, </w:t>
      </w:r>
      <w:r>
        <w:rPr>
          <w:rFonts w:cstheme="minorHAnsi"/>
          <w:color w:val="000000"/>
        </w:rPr>
        <w:t xml:space="preserve">providing them with the best of both worlds (Warren et al., 2021). </w:t>
      </w:r>
      <w:r w:rsidR="006A1475">
        <w:rPr>
          <w:rFonts w:cstheme="minorHAnsi"/>
          <w:color w:val="000000"/>
        </w:rPr>
        <w:t>This suggest</w:t>
      </w:r>
      <w:r w:rsidR="006A1475">
        <w:rPr>
          <w:rFonts w:cstheme="minorHAnsi"/>
          <w:color w:val="000000"/>
        </w:rPr>
        <w:t>s</w:t>
      </w:r>
      <w:r w:rsidR="006A1475">
        <w:rPr>
          <w:rFonts w:cstheme="minorHAnsi"/>
          <w:color w:val="000000"/>
        </w:rPr>
        <w:t xml:space="preserve">, that allowing ASD children to </w:t>
      </w:r>
      <w:r w:rsidR="006A1475">
        <w:rPr>
          <w:rFonts w:cstheme="minorHAnsi"/>
          <w:color w:val="000000"/>
        </w:rPr>
        <w:t>integrate</w:t>
      </w:r>
      <w:r w:rsidR="006A1475">
        <w:rPr>
          <w:rFonts w:cstheme="minorHAnsi"/>
          <w:color w:val="000000"/>
        </w:rPr>
        <w:t xml:space="preserve"> </w:t>
      </w:r>
      <w:r w:rsidR="006A1475">
        <w:rPr>
          <w:rFonts w:cstheme="minorHAnsi"/>
          <w:color w:val="000000"/>
        </w:rPr>
        <w:t xml:space="preserve">in mainstream classes </w:t>
      </w:r>
      <w:r w:rsidR="006A1475">
        <w:rPr>
          <w:rFonts w:cstheme="minorHAnsi"/>
          <w:color w:val="000000"/>
        </w:rPr>
        <w:t>but also p</w:t>
      </w:r>
      <w:r w:rsidR="006A1475">
        <w:rPr>
          <w:rFonts w:cstheme="minorHAnsi"/>
          <w:color w:val="000000"/>
        </w:rPr>
        <w:t xml:space="preserve">roviding them with an alternative </w:t>
      </w:r>
      <w:r w:rsidR="006A1475">
        <w:rPr>
          <w:rFonts w:cstheme="minorHAnsi"/>
          <w:color w:val="000000"/>
        </w:rPr>
        <w:t xml:space="preserve">quieter </w:t>
      </w:r>
      <w:r w:rsidR="006A1475">
        <w:rPr>
          <w:rFonts w:cstheme="minorHAnsi"/>
          <w:color w:val="000000"/>
        </w:rPr>
        <w:t xml:space="preserve">area to go </w:t>
      </w:r>
      <w:r w:rsidR="006A1475">
        <w:rPr>
          <w:rFonts w:cstheme="minorHAnsi"/>
          <w:color w:val="000000"/>
        </w:rPr>
        <w:t>to</w:t>
      </w:r>
      <w:r w:rsidR="006A1475">
        <w:rPr>
          <w:rFonts w:cstheme="minorHAnsi"/>
          <w:color w:val="000000"/>
        </w:rPr>
        <w:t xml:space="preserve"> when they feel anxious or to complete</w:t>
      </w:r>
      <w:r w:rsidR="006A1475">
        <w:rPr>
          <w:rFonts w:cstheme="minorHAnsi"/>
          <w:color w:val="000000"/>
        </w:rPr>
        <w:t xml:space="preserve"> work in would </w:t>
      </w:r>
      <w:r w:rsidR="006A1475">
        <w:rPr>
          <w:rFonts w:cstheme="minorHAnsi"/>
          <w:color w:val="000000"/>
        </w:rPr>
        <w:t>work best. L</w:t>
      </w:r>
      <w:r w:rsidR="006A1475">
        <w:rPr>
          <w:rFonts w:cstheme="minorHAnsi"/>
          <w:color w:val="000000"/>
        </w:rPr>
        <w:t xml:space="preserve">etting ASD pupils direct their own learning would encourage independence, as they know what works best for them. </w:t>
      </w:r>
      <w:r>
        <w:rPr>
          <w:rFonts w:cstheme="minorHAnsi"/>
          <w:color w:val="000000"/>
        </w:rPr>
        <w:t xml:space="preserve">This study </w:t>
      </w:r>
      <w:r w:rsidR="006A1475">
        <w:rPr>
          <w:rFonts w:cstheme="minorHAnsi"/>
          <w:color w:val="000000"/>
        </w:rPr>
        <w:t xml:space="preserve">also </w:t>
      </w:r>
      <w:r>
        <w:rPr>
          <w:rFonts w:cstheme="minorHAnsi"/>
          <w:color w:val="000000"/>
        </w:rPr>
        <w:t xml:space="preserve">highlighted a significant lack of research considering the views of ASD pupils who attend mainstream school, as much of the research considers views of parents and teachers – showing a gap for further research (Warren et al., 2021). Furthermore, research that does consider pupils views, are typically of secondary school age, further highlighting the need for more research in primary school aged settings. </w:t>
      </w:r>
    </w:p>
    <w:p w14:paraId="08013CA4" w14:textId="5094F842" w:rsidR="00210661" w:rsidRDefault="00210661" w:rsidP="00210661">
      <w:pPr>
        <w:spacing w:line="360" w:lineRule="auto"/>
        <w:rPr>
          <w:rFonts w:cstheme="minorHAnsi"/>
        </w:rPr>
      </w:pPr>
    </w:p>
    <w:p w14:paraId="79E0F3D5" w14:textId="0C958D33" w:rsidR="00633915" w:rsidRDefault="00633915" w:rsidP="004F08B2">
      <w:pPr>
        <w:spacing w:line="360" w:lineRule="auto"/>
        <w:rPr>
          <w:rFonts w:cstheme="minorHAnsi"/>
        </w:rPr>
      </w:pPr>
      <w:r>
        <w:rPr>
          <w:rFonts w:cstheme="minorHAnsi"/>
        </w:rPr>
        <w:lastRenderedPageBreak/>
        <w:t xml:space="preserve">Behaviourism theories for explaining and managing behaviour have been embedded into school policies for decades. Many theories explaining behaviour come from experimental studies carried out by psychologists, on animals. For example, Pavlov’s dogs classical and operant conditioning experiment, which demonstrated that positive behaviour is reinforced through rewards and negative behaviour through punishment. Rewards for positive behaviour such as stickers and verbal praise are used continuously throughout the school day as well as consequences of loss of playtime and ‘time out’ for bad behaviour. </w:t>
      </w:r>
    </w:p>
    <w:p w14:paraId="60568D54" w14:textId="10304EED" w:rsidR="00210661" w:rsidRDefault="00210661" w:rsidP="004F08B2">
      <w:pPr>
        <w:spacing w:line="360" w:lineRule="auto"/>
        <w:rPr>
          <w:rFonts w:cstheme="minorHAnsi"/>
        </w:rPr>
      </w:pPr>
      <w:r>
        <w:rPr>
          <w:rFonts w:cstheme="minorHAnsi"/>
        </w:rPr>
        <w:t xml:space="preserve">However, Kohn (1999) argues that too much praise can be detrimental to children’s behaviour as it can be demotivating. Furthermore, he suggested that children only behave well </w:t>
      </w:r>
      <w:r w:rsidR="007B59B3">
        <w:rPr>
          <w:rFonts w:cstheme="minorHAnsi"/>
        </w:rPr>
        <w:t>to</w:t>
      </w:r>
      <w:r>
        <w:rPr>
          <w:rFonts w:cstheme="minorHAnsi"/>
        </w:rPr>
        <w:t xml:space="preserve"> receive praise as opposed to any intrinsic values they have learned. Porter (2014) supports these ideas, as she suggested that self-esteem is not considered in behaviourism, which could be an underlying factor in the effectiveness in praise and rewards. </w:t>
      </w:r>
    </w:p>
    <w:p w14:paraId="2D12914E" w14:textId="4E52A038" w:rsidR="00633915" w:rsidRDefault="00633915" w:rsidP="00633915">
      <w:pPr>
        <w:tabs>
          <w:tab w:val="left" w:pos="2746"/>
        </w:tabs>
        <w:spacing w:line="360" w:lineRule="auto"/>
        <w:rPr>
          <w:rFonts w:cstheme="minorHAnsi"/>
        </w:rPr>
      </w:pPr>
    </w:p>
    <w:p w14:paraId="32B809E7" w14:textId="1C4B8992" w:rsidR="00210661" w:rsidRPr="00210661" w:rsidRDefault="00633915" w:rsidP="004F08B2">
      <w:pPr>
        <w:spacing w:line="360" w:lineRule="auto"/>
        <w:rPr>
          <w:rFonts w:cstheme="minorHAnsi"/>
          <w:color w:val="000000"/>
        </w:rPr>
      </w:pPr>
      <w:r>
        <w:rPr>
          <w:rFonts w:cstheme="minorHAnsi"/>
        </w:rPr>
        <w:t xml:space="preserve">Positive reinforcement has also been recommended for teachers to use with their ASD pupils. One study found that positive reinforcement is an excellent way to improve </w:t>
      </w:r>
      <w:r w:rsidR="00210661">
        <w:rPr>
          <w:rFonts w:cstheme="minorHAnsi"/>
        </w:rPr>
        <w:t xml:space="preserve">work </w:t>
      </w:r>
      <w:r>
        <w:rPr>
          <w:rFonts w:cstheme="minorHAnsi"/>
        </w:rPr>
        <w:t xml:space="preserve">completion rates by ASD children </w:t>
      </w:r>
      <w:r w:rsidRPr="00633915">
        <w:rPr>
          <w:rFonts w:cstheme="minorHAnsi"/>
          <w:color w:val="000000"/>
        </w:rPr>
        <w:t>(</w:t>
      </w:r>
      <w:proofErr w:type="spellStart"/>
      <w:r w:rsidRPr="00633915">
        <w:rPr>
          <w:rFonts w:cstheme="minorHAnsi"/>
          <w:color w:val="000000"/>
        </w:rPr>
        <w:t>Alsedrani</w:t>
      </w:r>
      <w:proofErr w:type="spellEnd"/>
      <w:r w:rsidRPr="00633915">
        <w:rPr>
          <w:rFonts w:cstheme="minorHAnsi"/>
          <w:color w:val="000000"/>
        </w:rPr>
        <w:t>, 2017)</w:t>
      </w:r>
      <w:r>
        <w:rPr>
          <w:rFonts w:cstheme="minorHAnsi"/>
          <w:color w:val="000000"/>
        </w:rPr>
        <w:t xml:space="preserve">. Additionally, success rates were significantly increased when the positive reward stimulus was something the child preferred and shown interest in. However, not every method works for every child, so highlights the importance of obtaining a good teacher-student relationship, </w:t>
      </w:r>
      <w:r w:rsidR="00795F4A">
        <w:rPr>
          <w:rFonts w:cstheme="minorHAnsi"/>
          <w:color w:val="000000"/>
        </w:rPr>
        <w:t>to</w:t>
      </w:r>
      <w:r>
        <w:rPr>
          <w:rFonts w:cstheme="minorHAnsi"/>
          <w:color w:val="000000"/>
        </w:rPr>
        <w:t xml:space="preserve"> understand the child’s specific interests and desires </w:t>
      </w:r>
      <w:r w:rsidRPr="00633915">
        <w:rPr>
          <w:rFonts w:cstheme="minorHAnsi"/>
          <w:color w:val="000000"/>
        </w:rPr>
        <w:t>(</w:t>
      </w:r>
      <w:proofErr w:type="spellStart"/>
      <w:r w:rsidRPr="00633915">
        <w:rPr>
          <w:rFonts w:cstheme="minorHAnsi"/>
          <w:color w:val="000000"/>
        </w:rPr>
        <w:t>Alsedrani</w:t>
      </w:r>
      <w:proofErr w:type="spellEnd"/>
      <w:r w:rsidRPr="00633915">
        <w:rPr>
          <w:rFonts w:cstheme="minorHAnsi"/>
          <w:color w:val="000000"/>
        </w:rPr>
        <w:t>, 2017)</w:t>
      </w:r>
      <w:r>
        <w:rPr>
          <w:rFonts w:cstheme="minorHAnsi"/>
          <w:color w:val="000000"/>
        </w:rPr>
        <w:t>.</w:t>
      </w:r>
      <w:r>
        <w:rPr>
          <w:rFonts w:cstheme="minorHAnsi"/>
          <w:color w:val="000000"/>
        </w:rPr>
        <w:t xml:space="preserve"> </w:t>
      </w:r>
      <w:r w:rsidR="00210661">
        <w:rPr>
          <w:rFonts w:cstheme="minorHAnsi"/>
          <w:color w:val="000000"/>
        </w:rPr>
        <w:t xml:space="preserve">However, </w:t>
      </w:r>
      <w:proofErr w:type="spellStart"/>
      <w:r w:rsidR="00210661" w:rsidRPr="00210661">
        <w:rPr>
          <w:rFonts w:cstheme="minorHAnsi"/>
          <w:color w:val="000000"/>
        </w:rPr>
        <w:t>Yazici</w:t>
      </w:r>
      <w:proofErr w:type="spellEnd"/>
      <w:r w:rsidR="00210661" w:rsidRPr="00210661">
        <w:rPr>
          <w:rFonts w:cstheme="minorHAnsi"/>
          <w:color w:val="000000"/>
        </w:rPr>
        <w:t xml:space="preserve"> &amp; McKenzie </w:t>
      </w:r>
      <w:r w:rsidR="00210661">
        <w:rPr>
          <w:rFonts w:cstheme="minorHAnsi"/>
          <w:color w:val="000000"/>
        </w:rPr>
        <w:t>(</w:t>
      </w:r>
      <w:r w:rsidR="00210661" w:rsidRPr="00210661">
        <w:rPr>
          <w:rFonts w:cstheme="minorHAnsi"/>
          <w:color w:val="000000"/>
        </w:rPr>
        <w:t>2019)</w:t>
      </w:r>
      <w:r w:rsidR="00210661">
        <w:rPr>
          <w:rFonts w:cstheme="minorHAnsi"/>
          <w:color w:val="000000"/>
        </w:rPr>
        <w:t xml:space="preserve"> agrees that rewards help students with ASD, but they also found that handing out rewards too frequently may take away from the intention of education, suggesting students may preform positively deemed actions just for the rewards. These findings further support research by the early work of Kohn (1999) previously mentioned. However, </w:t>
      </w:r>
      <w:proofErr w:type="spellStart"/>
      <w:r w:rsidR="00210661" w:rsidRPr="00210661">
        <w:rPr>
          <w:rFonts w:cstheme="minorHAnsi"/>
          <w:color w:val="000000"/>
        </w:rPr>
        <w:t>Yazici</w:t>
      </w:r>
      <w:proofErr w:type="spellEnd"/>
      <w:r w:rsidR="00210661" w:rsidRPr="00210661">
        <w:rPr>
          <w:rFonts w:cstheme="minorHAnsi"/>
          <w:color w:val="000000"/>
        </w:rPr>
        <w:t xml:space="preserve"> &amp; McKenzie </w:t>
      </w:r>
      <w:r w:rsidR="00210661">
        <w:rPr>
          <w:rFonts w:cstheme="minorHAnsi"/>
          <w:color w:val="000000"/>
        </w:rPr>
        <w:t>(</w:t>
      </w:r>
      <w:r w:rsidR="00210661" w:rsidRPr="00210661">
        <w:rPr>
          <w:rFonts w:cstheme="minorHAnsi"/>
          <w:color w:val="000000"/>
        </w:rPr>
        <w:t>2019)</w:t>
      </w:r>
      <w:r w:rsidR="00210661">
        <w:rPr>
          <w:rFonts w:cstheme="minorHAnsi"/>
          <w:color w:val="000000"/>
        </w:rPr>
        <w:t xml:space="preserve"> focus was the impact of rewards on communication and social skills and not as a tool for behaviour management. </w:t>
      </w:r>
    </w:p>
    <w:p w14:paraId="3964D9C9" w14:textId="6D03D413" w:rsidR="00633915" w:rsidRDefault="00633915" w:rsidP="00633915">
      <w:pPr>
        <w:tabs>
          <w:tab w:val="left" w:pos="6949"/>
        </w:tabs>
        <w:spacing w:line="360" w:lineRule="auto"/>
        <w:rPr>
          <w:rFonts w:cstheme="minorHAnsi"/>
        </w:rPr>
      </w:pPr>
    </w:p>
    <w:p w14:paraId="02BC01F7" w14:textId="7E2172E6" w:rsidR="00633915" w:rsidRDefault="00633915" w:rsidP="004F08B2">
      <w:pPr>
        <w:spacing w:line="360" w:lineRule="auto"/>
        <w:rPr>
          <w:rFonts w:cstheme="minorHAnsi"/>
        </w:rPr>
      </w:pPr>
      <w:r w:rsidRPr="00633915">
        <w:rPr>
          <w:rFonts w:cstheme="minorHAnsi"/>
        </w:rPr>
        <w:t xml:space="preserve">Although the </w:t>
      </w:r>
      <w:r>
        <w:rPr>
          <w:rFonts w:cstheme="minorHAnsi"/>
        </w:rPr>
        <w:t>research field of positive reinforcement in schools is vast and overall, in favour, there is a limited amount of research that has been carried out on specifically ‘ClassDojo’ as a behaviour management system. This is disappointing, as it is claimed that ClassDojo is used in over ninety percent of elementary and middle schools in the United States and found in 180 countries (Robinson, 2020). Robinson (2020) suggested that</w:t>
      </w:r>
      <w:r w:rsidR="002F7C6E">
        <w:rPr>
          <w:rFonts w:cstheme="minorHAnsi"/>
        </w:rPr>
        <w:t xml:space="preserve"> since </w:t>
      </w:r>
      <w:r w:rsidR="002F7C6E">
        <w:rPr>
          <w:rFonts w:cstheme="minorHAnsi"/>
        </w:rPr>
        <w:lastRenderedPageBreak/>
        <w:t xml:space="preserve">the implementation of ClassDojo, </w:t>
      </w:r>
      <w:r>
        <w:rPr>
          <w:rFonts w:cstheme="minorHAnsi"/>
        </w:rPr>
        <w:t xml:space="preserve">the overall morale of the student’s had improved, whilst also demonstrating that students were more likely to redirect negative behaviours into positive. However, this study was only carried out in one class for a limited duration of only two months. Therefore, it is difficult to generalise to other year groups and draw long term conclusions from the study. Furthermore, the basis of this study was aimed at guided reading sessions and not general classroom context, effecting generalisability. </w:t>
      </w:r>
      <w:r w:rsidRPr="00633915">
        <w:rPr>
          <w:rFonts w:cstheme="minorHAnsi"/>
          <w:color w:val="000000"/>
        </w:rPr>
        <w:t xml:space="preserve">DiGiacomo et al., </w:t>
      </w:r>
      <w:r>
        <w:rPr>
          <w:rFonts w:cstheme="minorHAnsi"/>
          <w:color w:val="000000"/>
        </w:rPr>
        <w:t>(</w:t>
      </w:r>
      <w:r w:rsidRPr="00633915">
        <w:rPr>
          <w:rFonts w:cstheme="minorHAnsi"/>
          <w:color w:val="000000"/>
        </w:rPr>
        <w:t>2021</w:t>
      </w:r>
      <w:r>
        <w:rPr>
          <w:rFonts w:cstheme="minorHAnsi"/>
          <w:color w:val="000000"/>
        </w:rPr>
        <w:t>)</w:t>
      </w:r>
      <w:r>
        <w:rPr>
          <w:rFonts w:cstheme="minorHAnsi"/>
        </w:rPr>
        <w:t xml:space="preserve"> further highlights that despite being used internationally to reward positive behaviour, there is a significant scarcity of research looking at the difference ClassDojo makes </w:t>
      </w:r>
      <w:r w:rsidR="00795F4A">
        <w:rPr>
          <w:rFonts w:cstheme="minorHAnsi"/>
        </w:rPr>
        <w:t>regarding</w:t>
      </w:r>
      <w:r>
        <w:rPr>
          <w:rFonts w:cstheme="minorHAnsi"/>
        </w:rPr>
        <w:t xml:space="preserve"> </w:t>
      </w:r>
      <w:r w:rsidRPr="00633915">
        <w:rPr>
          <w:rFonts w:cstheme="minorHAnsi"/>
          <w:color w:val="333333"/>
          <w:shd w:val="clear" w:color="auto" w:fill="FCFCFC"/>
        </w:rPr>
        <w:t>students’ learning and educational experiences</w:t>
      </w:r>
      <w:r>
        <w:rPr>
          <w:rFonts w:cstheme="minorHAnsi"/>
          <w:color w:val="333333"/>
          <w:shd w:val="clear" w:color="auto" w:fill="FCFCFC"/>
        </w:rPr>
        <w:t>.</w:t>
      </w:r>
      <w:r>
        <w:rPr>
          <w:rFonts w:cstheme="minorHAnsi"/>
        </w:rPr>
        <w:t xml:space="preserve"> Additionally, it is unclear as to how many schools in the United Kingdom are currently using and implementing ClassDojo as a classroom behaviour managing system, indicating a clear gap in the field, suggesting that more research, particularly in the UK, based needs to be carried out. There is also little, if any, research considering ClassDojo the effectives it has when used with ALN pupils, particularly ASD.</w:t>
      </w:r>
      <w:r w:rsidR="00210661">
        <w:rPr>
          <w:rFonts w:cstheme="minorHAnsi"/>
        </w:rPr>
        <w:t xml:space="preserve"> However, from previous research it could be suggested that ASD children would benefit from the use of ClassDojo, due to the visual aspect of being able to see it on the screen, and the general supportive research of positive reinforcement. Nye et al., (2015) found that </w:t>
      </w:r>
      <w:r w:rsidR="002F7C6E">
        <w:rPr>
          <w:rFonts w:cstheme="minorHAnsi"/>
        </w:rPr>
        <w:t>when considering</w:t>
      </w:r>
      <w:r w:rsidR="00210661">
        <w:rPr>
          <w:rFonts w:cstheme="minorHAnsi"/>
        </w:rPr>
        <w:t xml:space="preserve"> classroom management for ASD pupils, teachers should aim to create a positive, </w:t>
      </w:r>
      <w:r w:rsidR="00A22832">
        <w:rPr>
          <w:rFonts w:cstheme="minorHAnsi"/>
        </w:rPr>
        <w:t>nurturing,</w:t>
      </w:r>
      <w:r w:rsidR="00210661">
        <w:rPr>
          <w:rFonts w:cstheme="minorHAnsi"/>
        </w:rPr>
        <w:t xml:space="preserve"> and caring environment for their pupils. To achieve this, they suggested teachers should utilise the use of visual aids and rewards, develop positive relationships and clear communication (Nye et al., 2015). </w:t>
      </w:r>
    </w:p>
    <w:p w14:paraId="5C74B71C" w14:textId="04A1A6B6" w:rsidR="00210661" w:rsidRDefault="00210661" w:rsidP="004F08B2">
      <w:pPr>
        <w:spacing w:line="360" w:lineRule="auto"/>
        <w:rPr>
          <w:rFonts w:cstheme="minorHAnsi"/>
        </w:rPr>
      </w:pPr>
    </w:p>
    <w:p w14:paraId="2E7F81F1" w14:textId="09AC7F26" w:rsidR="00633915" w:rsidRDefault="00210661" w:rsidP="004F08B2">
      <w:pPr>
        <w:spacing w:line="360" w:lineRule="auto"/>
        <w:rPr>
          <w:rFonts w:cstheme="minorHAnsi"/>
        </w:rPr>
      </w:pPr>
      <w:r>
        <w:rPr>
          <w:rFonts w:cstheme="minorHAnsi"/>
        </w:rPr>
        <w:t xml:space="preserve">The use of visual aids for children with ASD in the classroom is well researched and recommended widely by teachers, </w:t>
      </w:r>
      <w:proofErr w:type="gramStart"/>
      <w:r>
        <w:rPr>
          <w:rFonts w:cstheme="minorHAnsi"/>
        </w:rPr>
        <w:t>SENCO’s</w:t>
      </w:r>
      <w:proofErr w:type="gramEnd"/>
      <w:r>
        <w:rPr>
          <w:rFonts w:cstheme="minorHAnsi"/>
        </w:rPr>
        <w:t xml:space="preserve">, and professionals. As children with ASD often have social and communication issues such as social anxiety when communicating, social misunderstanding and difficulty making friends, as well as communicating verbally. Visual resources such as visual timetables and communication boards are proven to be extremely effective in alleviating these anxieties (Nye et al., 2015). Providing these resources, allows more inclusion as they access more of the content of the lessons, as they gain independence </w:t>
      </w:r>
      <w:r w:rsidRPr="00210661">
        <w:rPr>
          <w:rFonts w:ascii="Calibri" w:hAnsi="Calibri" w:cs="Calibri"/>
          <w:color w:val="000000"/>
        </w:rPr>
        <w:t>(Lindsay et al., 2013)</w:t>
      </w:r>
      <w:r>
        <w:rPr>
          <w:rFonts w:ascii="Calibri" w:hAnsi="Calibri" w:cs="Calibri"/>
          <w:color w:val="000000"/>
        </w:rPr>
        <w:t xml:space="preserve">. </w:t>
      </w:r>
      <w:r>
        <w:rPr>
          <w:rFonts w:cstheme="minorHAnsi"/>
        </w:rPr>
        <w:t>Therefore, training in using these resources effectively in classrooms is essential for teachers and support staff.</w:t>
      </w:r>
    </w:p>
    <w:p w14:paraId="15AC890F" w14:textId="267E47C3" w:rsidR="00F53519" w:rsidRDefault="00F53519" w:rsidP="004F08B2">
      <w:pPr>
        <w:spacing w:line="360" w:lineRule="auto"/>
        <w:rPr>
          <w:rFonts w:cstheme="minorHAnsi"/>
        </w:rPr>
      </w:pPr>
    </w:p>
    <w:p w14:paraId="5593BFB5" w14:textId="77777777" w:rsidR="00490732" w:rsidRPr="00261738" w:rsidRDefault="00490732" w:rsidP="004F08B2">
      <w:pPr>
        <w:spacing w:line="360" w:lineRule="auto"/>
        <w:rPr>
          <w:rFonts w:cstheme="minorHAnsi"/>
        </w:rPr>
      </w:pPr>
    </w:p>
    <w:p w14:paraId="4415918C" w14:textId="6CCDBFE3" w:rsidR="00F53519" w:rsidRPr="007B59B3" w:rsidRDefault="00F53519" w:rsidP="004F08B2">
      <w:pPr>
        <w:spacing w:line="360" w:lineRule="auto"/>
        <w:rPr>
          <w:rFonts w:cstheme="minorHAnsi"/>
          <w:b/>
          <w:bCs/>
        </w:rPr>
      </w:pPr>
      <w:r w:rsidRPr="007B59B3">
        <w:rPr>
          <w:rFonts w:cstheme="minorHAnsi"/>
          <w:b/>
          <w:bCs/>
        </w:rPr>
        <w:lastRenderedPageBreak/>
        <w:t>Reflection</w:t>
      </w:r>
    </w:p>
    <w:p w14:paraId="290E9FAF" w14:textId="2C474FB1" w:rsidR="007B59B3" w:rsidRDefault="007B59B3" w:rsidP="004F08B2">
      <w:pPr>
        <w:spacing w:line="360" w:lineRule="auto"/>
        <w:rPr>
          <w:rFonts w:cstheme="minorHAnsi"/>
          <w:b/>
          <w:bCs/>
          <w:u w:val="single"/>
        </w:rPr>
      </w:pPr>
    </w:p>
    <w:p w14:paraId="64C60C31" w14:textId="276E6BB0" w:rsidR="007B59B3" w:rsidRDefault="0023562B" w:rsidP="004F08B2">
      <w:pPr>
        <w:spacing w:line="360" w:lineRule="auto"/>
        <w:rPr>
          <w:rFonts w:cstheme="minorHAnsi"/>
        </w:rPr>
      </w:pPr>
      <w:r>
        <w:rPr>
          <w:rFonts w:cstheme="minorHAnsi"/>
        </w:rPr>
        <w:t>After analysing the literature discussed and based</w:t>
      </w:r>
      <w:r w:rsidR="00210661">
        <w:rPr>
          <w:rFonts w:cstheme="minorHAnsi"/>
        </w:rPr>
        <w:t xml:space="preserve"> on the critical incident witnessed</w:t>
      </w:r>
      <w:r w:rsidR="00B14358">
        <w:rPr>
          <w:rFonts w:cstheme="minorHAnsi"/>
        </w:rPr>
        <w:t>,</w:t>
      </w:r>
      <w:r>
        <w:rPr>
          <w:rFonts w:cstheme="minorHAnsi"/>
        </w:rPr>
        <w:t xml:space="preserve"> </w:t>
      </w:r>
      <w:r w:rsidR="007B59B3">
        <w:rPr>
          <w:rFonts w:cstheme="minorHAnsi"/>
        </w:rPr>
        <w:t>several</w:t>
      </w:r>
      <w:r w:rsidR="00210661">
        <w:rPr>
          <w:rFonts w:cstheme="minorHAnsi"/>
        </w:rPr>
        <w:t xml:space="preserve"> </w:t>
      </w:r>
      <w:r>
        <w:rPr>
          <w:rFonts w:cstheme="minorHAnsi"/>
        </w:rPr>
        <w:t xml:space="preserve">practical implications for my </w:t>
      </w:r>
      <w:r w:rsidR="00B14358">
        <w:rPr>
          <w:rFonts w:cstheme="minorHAnsi"/>
        </w:rPr>
        <w:t xml:space="preserve">future </w:t>
      </w:r>
      <w:r>
        <w:rPr>
          <w:rFonts w:cstheme="minorHAnsi"/>
        </w:rPr>
        <w:t>teaching practice can be considered</w:t>
      </w:r>
      <w:r w:rsidR="00B14358">
        <w:rPr>
          <w:rFonts w:cstheme="minorHAnsi"/>
        </w:rPr>
        <w:t>.</w:t>
      </w:r>
      <w:r w:rsidR="007B59B3">
        <w:rPr>
          <w:rFonts w:cstheme="minorHAnsi"/>
        </w:rPr>
        <w:t xml:space="preserve"> For this reflection, Schon’s (1978) Reflective Model of reflection in and on action will be used</w:t>
      </w:r>
      <w:r w:rsidR="002F7C6E">
        <w:rPr>
          <w:rFonts w:cstheme="minorHAnsi"/>
        </w:rPr>
        <w:t>.</w:t>
      </w:r>
    </w:p>
    <w:p w14:paraId="371CF100" w14:textId="0E8AED20" w:rsidR="007B59B3" w:rsidRDefault="00B14358" w:rsidP="00B14358">
      <w:pPr>
        <w:spacing w:line="360" w:lineRule="auto"/>
        <w:rPr>
          <w:rFonts w:cstheme="minorHAnsi"/>
          <w:color w:val="000000" w:themeColor="text1"/>
        </w:rPr>
      </w:pPr>
      <w:r>
        <w:rPr>
          <w:rFonts w:cstheme="minorHAnsi"/>
        </w:rPr>
        <w:t xml:space="preserve">Firstly, </w:t>
      </w:r>
      <w:r w:rsidR="007B59B3">
        <w:rPr>
          <w:rFonts w:cstheme="minorHAnsi"/>
        </w:rPr>
        <w:t xml:space="preserve">the critical incident observed showed how the ASD pupils placed in the mainstream class are </w:t>
      </w:r>
      <w:r w:rsidR="00A22832">
        <w:rPr>
          <w:rFonts w:cstheme="minorHAnsi"/>
        </w:rPr>
        <w:t>included and</w:t>
      </w:r>
      <w:r w:rsidR="007B59B3">
        <w:rPr>
          <w:rFonts w:cstheme="minorHAnsi"/>
        </w:rPr>
        <w:t xml:space="preserve"> </w:t>
      </w:r>
      <w:r w:rsidR="002F7C6E">
        <w:rPr>
          <w:rFonts w:cstheme="minorHAnsi"/>
        </w:rPr>
        <w:t>highlighted several</w:t>
      </w:r>
      <w:r w:rsidR="007B59B3">
        <w:rPr>
          <w:rFonts w:cstheme="minorHAnsi"/>
        </w:rPr>
        <w:t xml:space="preserve"> strategies that </w:t>
      </w:r>
      <w:r w:rsidR="002F7C6E">
        <w:rPr>
          <w:rFonts w:cstheme="minorHAnsi"/>
        </w:rPr>
        <w:t>were</w:t>
      </w:r>
      <w:r w:rsidR="007B59B3">
        <w:rPr>
          <w:rFonts w:cstheme="minorHAnsi"/>
        </w:rPr>
        <w:t xml:space="preserve"> put in place </w:t>
      </w:r>
      <w:r w:rsidR="006A1475">
        <w:rPr>
          <w:rFonts w:cstheme="minorHAnsi"/>
        </w:rPr>
        <w:t>to</w:t>
      </w:r>
      <w:r w:rsidR="007B59B3">
        <w:rPr>
          <w:rFonts w:cstheme="minorHAnsi"/>
        </w:rPr>
        <w:t xml:space="preserve"> make their time in the classroom as engaging and supportive as possible. This is supported by the literature as it is suggested that full inclusion of ASD pupils in the classroom is </w:t>
      </w:r>
      <w:r>
        <w:rPr>
          <w:rFonts w:cstheme="minorHAnsi"/>
        </w:rPr>
        <w:t>vital for their academic and social development</w:t>
      </w:r>
      <w:r>
        <w:rPr>
          <w:rFonts w:cstheme="minorHAnsi"/>
        </w:rPr>
        <w:t xml:space="preserve"> (</w:t>
      </w:r>
      <w:r w:rsidRPr="00210661">
        <w:rPr>
          <w:rFonts w:cstheme="minorHAnsi"/>
          <w:color w:val="000000" w:themeColor="text1"/>
        </w:rPr>
        <w:t>Catalano et al., 2022</w:t>
      </w:r>
      <w:r>
        <w:rPr>
          <w:rFonts w:cstheme="minorHAnsi"/>
          <w:color w:val="000000" w:themeColor="text1"/>
        </w:rPr>
        <w:t xml:space="preserve">). </w:t>
      </w:r>
      <w:r w:rsidR="007B59B3">
        <w:rPr>
          <w:rFonts w:cstheme="minorHAnsi"/>
          <w:color w:val="000000" w:themeColor="text1"/>
        </w:rPr>
        <w:t xml:space="preserve">During the critical incident the teacher had given all the children the same task to complete and had included the ASD pupils in class seating plan as they were all sat with their peers. In regard to the critical incident, initially the pupil could be seen as disruptive as they refused to take part in the work and preceded to walk around the classroom shouting at the TA. However, as the 1:1 TA had built a strong relationship with the child, she was able to reason with the child by using strategies they knew worked for the child. For example, showing the child the visual timetable and ‘Now and Next’ board and using lots of positive reinforcement and rewards. Furthermore, by allowing the child to direct where he wanted to complete the task (choosing a quieter area designated as the ‘breakout room’ </w:t>
      </w:r>
      <w:r w:rsidR="002F7C6E">
        <w:rPr>
          <w:rFonts w:cstheme="minorHAnsi"/>
          <w:color w:val="000000" w:themeColor="text1"/>
        </w:rPr>
        <w:t xml:space="preserve">used </w:t>
      </w:r>
      <w:r w:rsidR="007B59B3">
        <w:rPr>
          <w:rFonts w:cstheme="minorHAnsi"/>
          <w:color w:val="000000" w:themeColor="text1"/>
        </w:rPr>
        <w:t>for calming)</w:t>
      </w:r>
      <w:r w:rsidR="008417F9">
        <w:rPr>
          <w:rFonts w:cstheme="minorHAnsi"/>
          <w:color w:val="000000" w:themeColor="text1"/>
        </w:rPr>
        <w:t xml:space="preserve"> encourages independence which is linked to the </w:t>
      </w:r>
      <w:r w:rsidR="002F7C6E">
        <w:rPr>
          <w:rFonts w:cstheme="minorHAnsi"/>
          <w:color w:val="000000" w:themeColor="text1"/>
        </w:rPr>
        <w:t xml:space="preserve">four core purposes in the </w:t>
      </w:r>
      <w:r w:rsidR="008417F9">
        <w:rPr>
          <w:rFonts w:cstheme="minorHAnsi"/>
          <w:color w:val="000000" w:themeColor="text1"/>
        </w:rPr>
        <w:t>Curriculum for Wales.</w:t>
      </w:r>
    </w:p>
    <w:p w14:paraId="490A3E4B" w14:textId="77777777" w:rsidR="007B59B3" w:rsidRDefault="007B59B3" w:rsidP="00B14358">
      <w:pPr>
        <w:spacing w:line="360" w:lineRule="auto"/>
        <w:rPr>
          <w:rFonts w:cstheme="minorHAnsi"/>
          <w:color w:val="000000" w:themeColor="text1"/>
        </w:rPr>
      </w:pPr>
    </w:p>
    <w:p w14:paraId="5A60B46E" w14:textId="073FAE39" w:rsidR="007B59B3" w:rsidRDefault="007B59B3" w:rsidP="00B14358">
      <w:pPr>
        <w:spacing w:line="360" w:lineRule="auto"/>
        <w:rPr>
          <w:rFonts w:cstheme="minorHAnsi"/>
          <w:color w:val="000000" w:themeColor="text1"/>
        </w:rPr>
      </w:pPr>
      <w:r>
        <w:rPr>
          <w:rFonts w:cstheme="minorHAnsi"/>
          <w:color w:val="000000" w:themeColor="text1"/>
        </w:rPr>
        <w:t>On reflection, this strategy worked well for the teacher as the child completed the task to a good standard with support from the 1:1, with minimal disruption to the lesson. It worked positively for the child also, as they understood the task well</w:t>
      </w:r>
      <w:r w:rsidR="006A1475">
        <w:rPr>
          <w:rFonts w:cstheme="minorHAnsi"/>
          <w:color w:val="000000" w:themeColor="text1"/>
        </w:rPr>
        <w:t xml:space="preserve">, </w:t>
      </w:r>
      <w:r>
        <w:rPr>
          <w:rFonts w:cstheme="minorHAnsi"/>
          <w:color w:val="000000" w:themeColor="text1"/>
        </w:rPr>
        <w:t>once engaged</w:t>
      </w:r>
      <w:r w:rsidR="006A1475">
        <w:rPr>
          <w:rFonts w:cstheme="minorHAnsi"/>
          <w:color w:val="000000" w:themeColor="text1"/>
        </w:rPr>
        <w:t>,</w:t>
      </w:r>
      <w:r>
        <w:rPr>
          <w:rFonts w:cstheme="minorHAnsi"/>
          <w:color w:val="000000" w:themeColor="text1"/>
        </w:rPr>
        <w:t xml:space="preserve"> and managed to only have a little amount of distress. The use of rewards as an incentive worked well, as the TA was able to identify what the child wanted (iPad) and was able to use it as a stimulus to engage the child. Furthermore, with the promise of Dojo points as a reward for the child </w:t>
      </w:r>
      <w:r w:rsidR="008417F9">
        <w:rPr>
          <w:rFonts w:cstheme="minorHAnsi"/>
          <w:color w:val="000000" w:themeColor="text1"/>
        </w:rPr>
        <w:t>there was an added incentive for good work.</w:t>
      </w:r>
    </w:p>
    <w:p w14:paraId="5C212488" w14:textId="77777777" w:rsidR="007B59B3" w:rsidRDefault="007B59B3" w:rsidP="00B14358">
      <w:pPr>
        <w:spacing w:line="360" w:lineRule="auto"/>
        <w:rPr>
          <w:rFonts w:cstheme="minorHAnsi"/>
          <w:color w:val="000000" w:themeColor="text1"/>
        </w:rPr>
      </w:pPr>
    </w:p>
    <w:p w14:paraId="66B8927F" w14:textId="05643809" w:rsidR="007B59B3" w:rsidRDefault="007B59B3" w:rsidP="007B59B3">
      <w:pPr>
        <w:spacing w:line="360" w:lineRule="auto"/>
        <w:rPr>
          <w:rFonts w:cstheme="minorHAnsi"/>
          <w:color w:val="000000" w:themeColor="text1"/>
        </w:rPr>
      </w:pPr>
      <w:r>
        <w:rPr>
          <w:rFonts w:cstheme="minorHAnsi"/>
          <w:color w:val="000000" w:themeColor="text1"/>
        </w:rPr>
        <w:t xml:space="preserve">Based on the reflection, </w:t>
      </w:r>
      <w:r>
        <w:rPr>
          <w:rFonts w:cstheme="minorHAnsi"/>
          <w:color w:val="000000" w:themeColor="text1"/>
        </w:rPr>
        <w:t xml:space="preserve">I have concluded a number of next steps for my teaching practice. Firstly, I would further </w:t>
      </w:r>
      <w:r>
        <w:rPr>
          <w:rFonts w:cstheme="minorHAnsi"/>
          <w:color w:val="000000" w:themeColor="text1"/>
        </w:rPr>
        <w:t xml:space="preserve">examine </w:t>
      </w:r>
      <w:r>
        <w:rPr>
          <w:rFonts w:cstheme="minorHAnsi"/>
          <w:color w:val="000000" w:themeColor="text1"/>
        </w:rPr>
        <w:t xml:space="preserve">the </w:t>
      </w:r>
      <w:r>
        <w:rPr>
          <w:rFonts w:cstheme="minorHAnsi"/>
          <w:color w:val="000000" w:themeColor="text1"/>
        </w:rPr>
        <w:t xml:space="preserve">research </w:t>
      </w:r>
      <w:r w:rsidR="006A1475">
        <w:rPr>
          <w:rFonts w:cstheme="minorHAnsi"/>
          <w:color w:val="000000" w:themeColor="text1"/>
        </w:rPr>
        <w:t>looking at</w:t>
      </w:r>
      <w:r>
        <w:rPr>
          <w:rFonts w:cstheme="minorHAnsi"/>
          <w:color w:val="000000" w:themeColor="text1"/>
        </w:rPr>
        <w:t xml:space="preserve"> what makes a good inclusive classroom</w:t>
      </w:r>
      <w:r>
        <w:rPr>
          <w:rFonts w:cstheme="minorHAnsi"/>
          <w:color w:val="000000" w:themeColor="text1"/>
        </w:rPr>
        <w:t xml:space="preserve">, </w:t>
      </w:r>
      <w:r>
        <w:rPr>
          <w:rFonts w:cstheme="minorHAnsi"/>
          <w:color w:val="000000" w:themeColor="text1"/>
        </w:rPr>
        <w:t>especially</w:t>
      </w:r>
      <w:r w:rsidR="006A1475">
        <w:rPr>
          <w:rFonts w:cstheme="minorHAnsi"/>
          <w:color w:val="000000" w:themeColor="text1"/>
        </w:rPr>
        <w:t xml:space="preserve"> for</w:t>
      </w:r>
      <w:r>
        <w:rPr>
          <w:rFonts w:cstheme="minorHAnsi"/>
          <w:color w:val="000000" w:themeColor="text1"/>
        </w:rPr>
        <w:t xml:space="preserve"> those with ALN</w:t>
      </w:r>
      <w:r>
        <w:rPr>
          <w:rFonts w:cstheme="minorHAnsi"/>
          <w:color w:val="000000" w:themeColor="text1"/>
        </w:rPr>
        <w:t xml:space="preserve">, </w:t>
      </w:r>
      <w:r w:rsidR="006A1475">
        <w:rPr>
          <w:rFonts w:cstheme="minorHAnsi"/>
          <w:color w:val="000000" w:themeColor="text1"/>
        </w:rPr>
        <w:t xml:space="preserve">as providing a safe and welcoming space for all </w:t>
      </w:r>
      <w:r w:rsidR="006A1475">
        <w:rPr>
          <w:rFonts w:cstheme="minorHAnsi"/>
          <w:color w:val="000000" w:themeColor="text1"/>
        </w:rPr>
        <w:lastRenderedPageBreak/>
        <w:t>children</w:t>
      </w:r>
      <w:r w:rsidR="006A1475">
        <w:rPr>
          <w:rFonts w:cstheme="minorHAnsi"/>
          <w:color w:val="000000" w:themeColor="text1"/>
        </w:rPr>
        <w:t xml:space="preserve"> </w:t>
      </w:r>
      <w:r>
        <w:rPr>
          <w:rFonts w:cstheme="minorHAnsi"/>
          <w:color w:val="000000" w:themeColor="text1"/>
        </w:rPr>
        <w:t xml:space="preserve">is </w:t>
      </w:r>
      <w:r>
        <w:rPr>
          <w:rFonts w:cstheme="minorHAnsi"/>
          <w:color w:val="000000" w:themeColor="text1"/>
        </w:rPr>
        <w:t xml:space="preserve">extremely </w:t>
      </w:r>
      <w:r>
        <w:rPr>
          <w:rFonts w:cstheme="minorHAnsi"/>
          <w:color w:val="000000" w:themeColor="text1"/>
        </w:rPr>
        <w:t>important</w:t>
      </w:r>
      <w:r>
        <w:rPr>
          <w:rFonts w:cstheme="minorHAnsi"/>
          <w:color w:val="000000" w:themeColor="text1"/>
        </w:rPr>
        <w:t xml:space="preserve">. I would also try to </w:t>
      </w:r>
      <w:r>
        <w:rPr>
          <w:rFonts w:cstheme="minorHAnsi"/>
          <w:color w:val="000000" w:themeColor="text1"/>
        </w:rPr>
        <w:t>view other classrooms within the schoo</w:t>
      </w:r>
      <w:r>
        <w:rPr>
          <w:rFonts w:cstheme="minorHAnsi"/>
          <w:color w:val="000000" w:themeColor="text1"/>
        </w:rPr>
        <w:t>l and collaborate with other teachers as what inclusive strategies work for them and their class</w:t>
      </w:r>
      <w:r>
        <w:rPr>
          <w:rFonts w:cstheme="minorHAnsi"/>
          <w:color w:val="000000" w:themeColor="text1"/>
        </w:rPr>
        <w:t>. I would then potentially suggest implementing some of the ideas in my current placement classroom, and then reflect and consider if the changes benefit the children. It is important to note, that what works for one class, may not work for another as every group of learners are different (</w:t>
      </w:r>
      <w:r w:rsidRPr="00210661">
        <w:rPr>
          <w:rFonts w:cstheme="minorHAnsi"/>
          <w:color w:val="000000"/>
        </w:rPr>
        <w:t>Knight &amp; Crick, 2021</w:t>
      </w:r>
      <w:r>
        <w:rPr>
          <w:rFonts w:cstheme="minorHAnsi"/>
          <w:color w:val="000000" w:themeColor="text1"/>
        </w:rPr>
        <w:t xml:space="preserve">). </w:t>
      </w:r>
    </w:p>
    <w:p w14:paraId="0F006C86" w14:textId="77777777" w:rsidR="007B59B3" w:rsidRDefault="007B59B3" w:rsidP="007B59B3">
      <w:pPr>
        <w:spacing w:line="360" w:lineRule="auto"/>
        <w:rPr>
          <w:rFonts w:cstheme="minorHAnsi"/>
          <w:color w:val="000000" w:themeColor="text1"/>
        </w:rPr>
      </w:pPr>
    </w:p>
    <w:p w14:paraId="1AB84918" w14:textId="2ADC5CA3" w:rsidR="007B59B3" w:rsidRDefault="002F7C6E" w:rsidP="007B59B3">
      <w:pPr>
        <w:spacing w:line="360" w:lineRule="auto"/>
        <w:rPr>
          <w:rFonts w:cstheme="minorHAnsi"/>
          <w:color w:val="000000" w:themeColor="text1"/>
        </w:rPr>
      </w:pPr>
      <w:r>
        <w:rPr>
          <w:rFonts w:cstheme="minorHAnsi"/>
          <w:color w:val="000000" w:themeColor="text1"/>
        </w:rPr>
        <w:t>For m</w:t>
      </w:r>
      <w:r w:rsidR="007B59B3">
        <w:rPr>
          <w:rFonts w:cstheme="minorHAnsi"/>
          <w:color w:val="000000" w:themeColor="text1"/>
        </w:rPr>
        <w:t xml:space="preserve">y second next step, </w:t>
      </w:r>
      <w:r w:rsidR="007B59B3">
        <w:rPr>
          <w:rFonts w:cstheme="minorHAnsi"/>
          <w:color w:val="000000" w:themeColor="text1"/>
        </w:rPr>
        <w:t xml:space="preserve">I would </w:t>
      </w:r>
      <w:r w:rsidR="007B59B3">
        <w:rPr>
          <w:rFonts w:cstheme="minorHAnsi"/>
          <w:color w:val="000000" w:themeColor="text1"/>
        </w:rPr>
        <w:t xml:space="preserve">want to </w:t>
      </w:r>
      <w:r w:rsidR="007B59B3">
        <w:rPr>
          <w:rFonts w:cstheme="minorHAnsi"/>
          <w:color w:val="000000" w:themeColor="text1"/>
        </w:rPr>
        <w:t>focus on building positive relationships with my pupils</w:t>
      </w:r>
      <w:r w:rsidR="006A1475">
        <w:rPr>
          <w:rFonts w:cstheme="minorHAnsi"/>
          <w:color w:val="000000" w:themeColor="text1"/>
        </w:rPr>
        <w:t>. D</w:t>
      </w:r>
      <w:r w:rsidR="007B59B3">
        <w:rPr>
          <w:rFonts w:cstheme="minorHAnsi"/>
          <w:color w:val="000000" w:themeColor="text1"/>
        </w:rPr>
        <w:t xml:space="preserve">uring the critical incident, it was noted that the ASD pupil had a very good relationship with his 1:1, he appeared to trust the TA and listened well when the TA tried to engage the child with the task. This is supported as the research suggests, developing strong student-teacher relationships </w:t>
      </w:r>
      <w:r w:rsidR="008417F9">
        <w:rPr>
          <w:rFonts w:cstheme="minorHAnsi"/>
          <w:color w:val="000000" w:themeColor="text1"/>
        </w:rPr>
        <w:t xml:space="preserve">is vital as </w:t>
      </w:r>
      <w:r w:rsidR="008417F9">
        <w:rPr>
          <w:rFonts w:ascii="Calibri" w:hAnsi="Calibri" w:cs="Calibri"/>
          <w:color w:val="000000"/>
        </w:rPr>
        <w:t>t</w:t>
      </w:r>
      <w:r w:rsidR="008417F9">
        <w:rPr>
          <w:rFonts w:ascii="Calibri" w:hAnsi="Calibri" w:cs="Calibri"/>
          <w:color w:val="000000"/>
        </w:rPr>
        <w:t xml:space="preserve">eachers play a huge role in a child’s life, not only are they instrumental in developing academic success, </w:t>
      </w:r>
      <w:r w:rsidR="008417F9">
        <w:rPr>
          <w:rFonts w:ascii="Calibri" w:hAnsi="Calibri" w:cs="Calibri"/>
          <w:color w:val="000000"/>
        </w:rPr>
        <w:t>but they also</w:t>
      </w:r>
      <w:r w:rsidR="008417F9">
        <w:rPr>
          <w:rFonts w:ascii="Calibri" w:hAnsi="Calibri" w:cs="Calibri"/>
          <w:color w:val="000000"/>
        </w:rPr>
        <w:t xml:space="preserve"> help to shape children to </w:t>
      </w:r>
      <w:r w:rsidR="008417F9">
        <w:rPr>
          <w:rFonts w:ascii="Calibri" w:hAnsi="Calibri" w:cs="Calibri"/>
          <w:color w:val="000000"/>
        </w:rPr>
        <w:t xml:space="preserve">be </w:t>
      </w:r>
      <w:r w:rsidR="008417F9" w:rsidRPr="4638969A">
        <w:rPr>
          <w:rFonts w:ascii="Calibri" w:eastAsia="Calibri" w:hAnsi="Calibri" w:cs="Calibri"/>
        </w:rPr>
        <w:t>ambitious, capable learners</w:t>
      </w:r>
      <w:r w:rsidR="006A1475">
        <w:rPr>
          <w:rFonts w:ascii="Calibri" w:eastAsia="Calibri" w:hAnsi="Calibri" w:cs="Calibri"/>
        </w:rPr>
        <w:t xml:space="preserve">; </w:t>
      </w:r>
      <w:r w:rsidR="008417F9" w:rsidRPr="4638969A">
        <w:rPr>
          <w:rFonts w:ascii="Calibri" w:eastAsia="Calibri" w:hAnsi="Calibri" w:cs="Calibri"/>
        </w:rPr>
        <w:t>healthy, confident individuals</w:t>
      </w:r>
      <w:r w:rsidR="006A1475">
        <w:rPr>
          <w:rFonts w:ascii="Calibri" w:eastAsia="Calibri" w:hAnsi="Calibri" w:cs="Calibri"/>
        </w:rPr>
        <w:t>;</w:t>
      </w:r>
      <w:r w:rsidR="008417F9" w:rsidRPr="4638969A">
        <w:rPr>
          <w:rFonts w:ascii="Calibri" w:eastAsia="Calibri" w:hAnsi="Calibri" w:cs="Calibri"/>
        </w:rPr>
        <w:t xml:space="preserve"> enterprising</w:t>
      </w:r>
      <w:r w:rsidR="006A1475">
        <w:rPr>
          <w:rFonts w:ascii="Calibri" w:eastAsia="Calibri" w:hAnsi="Calibri" w:cs="Calibri"/>
        </w:rPr>
        <w:t xml:space="preserve"> </w:t>
      </w:r>
      <w:r w:rsidR="008417F9" w:rsidRPr="4638969A">
        <w:rPr>
          <w:rFonts w:ascii="Calibri" w:eastAsia="Calibri" w:hAnsi="Calibri" w:cs="Calibri"/>
        </w:rPr>
        <w:t>creative contributors, and ethica</w:t>
      </w:r>
      <w:r w:rsidR="008417F9">
        <w:rPr>
          <w:rFonts w:ascii="Calibri" w:eastAsia="Calibri" w:hAnsi="Calibri" w:cs="Calibri"/>
        </w:rPr>
        <w:t>lly</w:t>
      </w:r>
      <w:r w:rsidR="006A1475">
        <w:rPr>
          <w:rFonts w:ascii="Calibri" w:eastAsia="Calibri" w:hAnsi="Calibri" w:cs="Calibri"/>
        </w:rPr>
        <w:t>,</w:t>
      </w:r>
      <w:r w:rsidR="008417F9" w:rsidRPr="4638969A">
        <w:rPr>
          <w:rFonts w:ascii="Calibri" w:eastAsia="Calibri" w:hAnsi="Calibri" w:cs="Calibri"/>
        </w:rPr>
        <w:t xml:space="preserve"> informed citizens </w:t>
      </w:r>
      <w:r w:rsidR="008417F9">
        <w:rPr>
          <w:rFonts w:ascii="Calibri" w:eastAsia="Calibri" w:hAnsi="Calibri" w:cs="Calibri"/>
        </w:rPr>
        <w:t xml:space="preserve">as part of the new curriculum for Wales </w:t>
      </w:r>
      <w:r w:rsidR="008417F9" w:rsidRPr="4638969A">
        <w:rPr>
          <w:rFonts w:ascii="Calibri" w:eastAsia="Calibri" w:hAnsi="Calibri" w:cs="Calibri"/>
        </w:rPr>
        <w:t>(Donaldson 2015</w:t>
      </w:r>
      <w:r w:rsidR="008417F9">
        <w:rPr>
          <w:rFonts w:ascii="Calibri" w:eastAsia="Calibri" w:hAnsi="Calibri" w:cs="Calibri"/>
        </w:rPr>
        <w:t xml:space="preserve">; </w:t>
      </w:r>
      <w:proofErr w:type="spellStart"/>
      <w:r w:rsidR="008417F9" w:rsidRPr="008417F9">
        <w:rPr>
          <w:rFonts w:cstheme="minorHAnsi"/>
          <w:color w:val="000000"/>
        </w:rPr>
        <w:t>Roorda</w:t>
      </w:r>
      <w:proofErr w:type="spellEnd"/>
      <w:r w:rsidR="008417F9" w:rsidRPr="008417F9">
        <w:rPr>
          <w:rFonts w:cstheme="minorHAnsi"/>
          <w:color w:val="000000"/>
        </w:rPr>
        <w:t xml:space="preserve"> et al., 2011)</w:t>
      </w:r>
      <w:r w:rsidR="008417F9">
        <w:rPr>
          <w:rFonts w:cstheme="minorHAnsi"/>
          <w:color w:val="000000"/>
        </w:rPr>
        <w:t xml:space="preserve">. </w:t>
      </w:r>
      <w:r w:rsidR="007B59B3">
        <w:rPr>
          <w:rFonts w:cstheme="minorHAnsi"/>
          <w:color w:val="000000" w:themeColor="text1"/>
        </w:rPr>
        <w:t>To do this, I would have discussions with the pupils in class, try to get to know all of them as individuals</w:t>
      </w:r>
      <w:r w:rsidR="008417F9">
        <w:rPr>
          <w:rFonts w:cstheme="minorHAnsi"/>
          <w:color w:val="000000" w:themeColor="text1"/>
        </w:rPr>
        <w:t xml:space="preserve"> </w:t>
      </w:r>
      <w:r w:rsidR="007B59B3">
        <w:rPr>
          <w:rFonts w:cstheme="minorHAnsi"/>
          <w:color w:val="000000" w:themeColor="text1"/>
        </w:rPr>
        <w:t xml:space="preserve">and what they value and </w:t>
      </w:r>
      <w:r w:rsidR="008417F9">
        <w:rPr>
          <w:rFonts w:cstheme="minorHAnsi"/>
          <w:color w:val="000000" w:themeColor="text1"/>
        </w:rPr>
        <w:t>need</w:t>
      </w:r>
      <w:r w:rsidR="007B59B3">
        <w:rPr>
          <w:rFonts w:cstheme="minorHAnsi"/>
          <w:color w:val="000000" w:themeColor="text1"/>
        </w:rPr>
        <w:t xml:space="preserve"> in a classroom </w:t>
      </w:r>
      <w:r w:rsidR="008417F9">
        <w:rPr>
          <w:rFonts w:cstheme="minorHAnsi"/>
          <w:color w:val="000000" w:themeColor="text1"/>
        </w:rPr>
        <w:t>to</w:t>
      </w:r>
      <w:r w:rsidR="007B59B3">
        <w:rPr>
          <w:rFonts w:cstheme="minorHAnsi"/>
          <w:color w:val="000000" w:themeColor="text1"/>
        </w:rPr>
        <w:t xml:space="preserve"> support their development.</w:t>
      </w:r>
      <w:r w:rsidR="008417F9">
        <w:rPr>
          <w:rFonts w:cstheme="minorHAnsi"/>
          <w:color w:val="000000" w:themeColor="text1"/>
        </w:rPr>
        <w:t xml:space="preserve"> Forming these strong relationships take time, but the sooner you start the better. </w:t>
      </w:r>
    </w:p>
    <w:p w14:paraId="3ED723C4" w14:textId="5E83F80F" w:rsidR="007B59B3" w:rsidRDefault="007B59B3" w:rsidP="00B14358">
      <w:pPr>
        <w:spacing w:line="360" w:lineRule="auto"/>
        <w:rPr>
          <w:rFonts w:cstheme="minorHAnsi"/>
          <w:color w:val="000000" w:themeColor="text1"/>
        </w:rPr>
      </w:pPr>
    </w:p>
    <w:p w14:paraId="2459B8A9" w14:textId="0FAB8D6E" w:rsidR="008417F9" w:rsidRDefault="007B59B3" w:rsidP="00210661">
      <w:pPr>
        <w:spacing w:line="360" w:lineRule="auto"/>
        <w:rPr>
          <w:rFonts w:cstheme="minorHAnsi"/>
          <w:color w:val="000000" w:themeColor="text1"/>
        </w:rPr>
      </w:pPr>
      <w:r>
        <w:rPr>
          <w:rFonts w:cstheme="minorHAnsi"/>
          <w:color w:val="000000" w:themeColor="text1"/>
        </w:rPr>
        <w:t xml:space="preserve">Thirdly, I would continue to implement positive reinforcement as a behaviour management strategy, using rewards as a key motivator. </w:t>
      </w:r>
      <w:r>
        <w:rPr>
          <w:rFonts w:cstheme="minorHAnsi"/>
          <w:color w:val="000000" w:themeColor="text1"/>
        </w:rPr>
        <w:t xml:space="preserve">As the child in focus initially did not want to complete the task, the teacher and the TA used lots of praise and promise of rewards </w:t>
      </w:r>
      <w:r>
        <w:rPr>
          <w:rFonts w:cstheme="minorHAnsi"/>
          <w:color w:val="000000" w:themeColor="text1"/>
        </w:rPr>
        <w:t>to</w:t>
      </w:r>
      <w:r>
        <w:rPr>
          <w:rFonts w:cstheme="minorHAnsi"/>
          <w:color w:val="000000" w:themeColor="text1"/>
        </w:rPr>
        <w:t xml:space="preserve"> engage the child and for them to complete the worksheet. This seemed to work well for the child, as they understood</w:t>
      </w:r>
      <w:r>
        <w:rPr>
          <w:rFonts w:cstheme="minorHAnsi"/>
          <w:color w:val="000000" w:themeColor="text1"/>
        </w:rPr>
        <w:t xml:space="preserve"> what was being asked of them and the reward, they would get for completing the task. Generally, the literature supports the use of rewards/sanctions if it is not overused</w:t>
      </w:r>
      <w:r w:rsidR="008417F9">
        <w:rPr>
          <w:rFonts w:cstheme="minorHAnsi"/>
          <w:color w:val="000000" w:themeColor="text1"/>
        </w:rPr>
        <w:t xml:space="preserve"> (</w:t>
      </w:r>
      <w:proofErr w:type="spellStart"/>
      <w:r w:rsidR="008417F9" w:rsidRPr="00633915">
        <w:rPr>
          <w:rFonts w:cstheme="minorHAnsi"/>
          <w:color w:val="000000"/>
        </w:rPr>
        <w:t>Alsedrani</w:t>
      </w:r>
      <w:proofErr w:type="spellEnd"/>
      <w:r w:rsidR="008417F9" w:rsidRPr="00633915">
        <w:rPr>
          <w:rFonts w:cstheme="minorHAnsi"/>
          <w:color w:val="000000"/>
        </w:rPr>
        <w:t>, 2017</w:t>
      </w:r>
      <w:r w:rsidR="008417F9">
        <w:rPr>
          <w:rFonts w:cstheme="minorHAnsi"/>
          <w:color w:val="000000"/>
        </w:rPr>
        <w:t>;</w:t>
      </w:r>
      <w:r w:rsidR="008417F9">
        <w:rPr>
          <w:rFonts w:cstheme="minorHAnsi"/>
          <w:color w:val="000000" w:themeColor="text1"/>
        </w:rPr>
        <w:t xml:space="preserve"> </w:t>
      </w:r>
      <w:proofErr w:type="spellStart"/>
      <w:r w:rsidR="008417F9" w:rsidRPr="00210661">
        <w:rPr>
          <w:rFonts w:cstheme="minorHAnsi"/>
          <w:color w:val="000000"/>
        </w:rPr>
        <w:t>Yazici</w:t>
      </w:r>
      <w:proofErr w:type="spellEnd"/>
      <w:r w:rsidR="008417F9" w:rsidRPr="00210661">
        <w:rPr>
          <w:rFonts w:cstheme="minorHAnsi"/>
          <w:color w:val="000000"/>
        </w:rPr>
        <w:t xml:space="preserve"> &amp; McKenzie 2019</w:t>
      </w:r>
      <w:r w:rsidR="008417F9">
        <w:rPr>
          <w:rFonts w:cstheme="minorHAnsi"/>
          <w:color w:val="000000"/>
        </w:rPr>
        <w:t>).</w:t>
      </w:r>
      <w:r>
        <w:rPr>
          <w:rFonts w:cstheme="minorHAnsi"/>
          <w:color w:val="000000" w:themeColor="text1"/>
        </w:rPr>
        <w:t xml:space="preserve"> Class Dojo is a good way to present this strategy visually and children seem to show high levels of engagement with it,</w:t>
      </w:r>
      <w:r w:rsidR="002F7C6E">
        <w:rPr>
          <w:rFonts w:cstheme="minorHAnsi"/>
          <w:color w:val="000000" w:themeColor="text1"/>
        </w:rPr>
        <w:t xml:space="preserve"> </w:t>
      </w:r>
      <w:r>
        <w:rPr>
          <w:rFonts w:cstheme="minorHAnsi"/>
          <w:color w:val="000000" w:themeColor="text1"/>
        </w:rPr>
        <w:t>particularly when they are working towards a shared goal</w:t>
      </w:r>
      <w:r w:rsidR="002F7C6E">
        <w:rPr>
          <w:rFonts w:cstheme="minorHAnsi"/>
          <w:color w:val="000000" w:themeColor="text1"/>
        </w:rPr>
        <w:t>.</w:t>
      </w:r>
    </w:p>
    <w:p w14:paraId="7E51E9E0" w14:textId="1A72D0C5" w:rsidR="002F7C6E" w:rsidRDefault="002F7C6E" w:rsidP="00210661">
      <w:pPr>
        <w:spacing w:line="360" w:lineRule="auto"/>
        <w:rPr>
          <w:rFonts w:cstheme="minorHAnsi"/>
          <w:color w:val="000000" w:themeColor="text1"/>
        </w:rPr>
      </w:pPr>
    </w:p>
    <w:p w14:paraId="41BFD388" w14:textId="0D9B04A3" w:rsidR="006A1475" w:rsidRDefault="006A1475" w:rsidP="00210661">
      <w:pPr>
        <w:spacing w:line="360" w:lineRule="auto"/>
        <w:rPr>
          <w:rFonts w:cstheme="minorHAnsi"/>
          <w:color w:val="000000" w:themeColor="text1"/>
        </w:rPr>
      </w:pPr>
    </w:p>
    <w:p w14:paraId="773E22AB" w14:textId="77777777" w:rsidR="006A1475" w:rsidRPr="008417F9" w:rsidRDefault="006A1475" w:rsidP="00210661">
      <w:pPr>
        <w:spacing w:line="360" w:lineRule="auto"/>
        <w:rPr>
          <w:rFonts w:cstheme="minorHAnsi"/>
          <w:color w:val="000000" w:themeColor="text1"/>
        </w:rPr>
      </w:pPr>
    </w:p>
    <w:p w14:paraId="21577C8A" w14:textId="2C615AC4" w:rsidR="0023562B" w:rsidRPr="007B59B3" w:rsidRDefault="00F53519" w:rsidP="00210661">
      <w:pPr>
        <w:spacing w:line="360" w:lineRule="auto"/>
        <w:rPr>
          <w:rFonts w:cstheme="minorHAnsi"/>
          <w:b/>
          <w:bCs/>
        </w:rPr>
      </w:pPr>
      <w:r w:rsidRPr="007B59B3">
        <w:rPr>
          <w:rFonts w:cstheme="minorHAnsi"/>
          <w:b/>
          <w:bCs/>
        </w:rPr>
        <w:lastRenderedPageBreak/>
        <w:t>Conclusion</w:t>
      </w:r>
    </w:p>
    <w:p w14:paraId="7BDDBC85" w14:textId="5A950116" w:rsidR="0023562B" w:rsidRPr="0023562B" w:rsidRDefault="0023562B" w:rsidP="00210661">
      <w:pPr>
        <w:spacing w:line="360" w:lineRule="auto"/>
        <w:rPr>
          <w:rFonts w:cstheme="minorHAnsi"/>
        </w:rPr>
      </w:pPr>
      <w:r>
        <w:rPr>
          <w:rFonts w:cstheme="minorHAnsi"/>
        </w:rPr>
        <w:t xml:space="preserve"> </w:t>
      </w:r>
    </w:p>
    <w:p w14:paraId="02962ACB" w14:textId="1EA9A2DC" w:rsidR="00210661" w:rsidRDefault="0023562B" w:rsidP="00210661">
      <w:pPr>
        <w:spacing w:line="360" w:lineRule="auto"/>
        <w:rPr>
          <w:rFonts w:cstheme="minorHAnsi"/>
        </w:rPr>
      </w:pPr>
      <w:r>
        <w:rPr>
          <w:rFonts w:cstheme="minorHAnsi"/>
        </w:rPr>
        <w:t xml:space="preserve">The </w:t>
      </w:r>
      <w:r w:rsidR="00210661">
        <w:rPr>
          <w:rFonts w:cstheme="minorHAnsi"/>
        </w:rPr>
        <w:t xml:space="preserve">critical incident observed </w:t>
      </w:r>
      <w:r>
        <w:rPr>
          <w:rFonts w:cstheme="minorHAnsi"/>
        </w:rPr>
        <w:t>demonstrated</w:t>
      </w:r>
      <w:r w:rsidR="00210661">
        <w:rPr>
          <w:rFonts w:cstheme="minorHAnsi"/>
        </w:rPr>
        <w:t xml:space="preserve"> the importance of inclusion of ASD pupils in mainstream classrooms</w:t>
      </w:r>
      <w:r w:rsidR="00A22832">
        <w:rPr>
          <w:rFonts w:cstheme="minorHAnsi"/>
        </w:rPr>
        <w:t xml:space="preserve"> and </w:t>
      </w:r>
      <w:r w:rsidR="00210661">
        <w:rPr>
          <w:rFonts w:cstheme="minorHAnsi"/>
        </w:rPr>
        <w:t xml:space="preserve">the range of support strategies used by teachers and learning support staff, to engage pupils with ASD in mainstream lessons. </w:t>
      </w:r>
      <w:r w:rsidR="00A22832">
        <w:rPr>
          <w:rFonts w:cstheme="minorHAnsi"/>
        </w:rPr>
        <w:t xml:space="preserve">The </w:t>
      </w:r>
      <w:r w:rsidR="00210661">
        <w:rPr>
          <w:rFonts w:cstheme="minorHAnsi"/>
        </w:rPr>
        <w:t>new curriculum design for Wales and the ALN reform</w:t>
      </w:r>
      <w:r w:rsidR="00A22832">
        <w:rPr>
          <w:rFonts w:cstheme="minorHAnsi"/>
        </w:rPr>
        <w:t xml:space="preserve"> mentioned,</w:t>
      </w:r>
      <w:r w:rsidR="00210661">
        <w:rPr>
          <w:rFonts w:cstheme="minorHAnsi"/>
        </w:rPr>
        <w:t xml:space="preserve"> further </w:t>
      </w:r>
      <w:r w:rsidR="00A22832">
        <w:rPr>
          <w:rFonts w:cstheme="minorHAnsi"/>
        </w:rPr>
        <w:t>highlighted</w:t>
      </w:r>
      <w:r w:rsidR="00210661">
        <w:rPr>
          <w:rFonts w:cstheme="minorHAnsi"/>
        </w:rPr>
        <w:t xml:space="preserve"> the importance of inclusion of ASD pupils and providing an engaging learning experience for all learners, no matter their needs</w:t>
      </w:r>
      <w:r w:rsidR="00A22832">
        <w:rPr>
          <w:rFonts w:cstheme="minorHAnsi"/>
        </w:rPr>
        <w:t xml:space="preserve"> (Donaldson, 2015).</w:t>
      </w:r>
      <w:r w:rsidR="00210661">
        <w:rPr>
          <w:rFonts w:cstheme="minorHAnsi"/>
        </w:rPr>
        <w:t xml:space="preserve"> However, the question whether mainstream classrooms are suitable for children with ASD is still very much a debated and much research is still being carried out. If the support for teachers is provided, </w:t>
      </w:r>
      <w:r w:rsidR="006A1475">
        <w:rPr>
          <w:rFonts w:cstheme="minorHAnsi"/>
        </w:rPr>
        <w:t>by equipping them</w:t>
      </w:r>
      <w:r w:rsidR="00210661">
        <w:rPr>
          <w:rFonts w:cstheme="minorHAnsi"/>
        </w:rPr>
        <w:t xml:space="preserve"> with </w:t>
      </w:r>
      <w:r w:rsidR="006A1475">
        <w:rPr>
          <w:rFonts w:cstheme="minorHAnsi"/>
        </w:rPr>
        <w:t>sufficient</w:t>
      </w:r>
      <w:r w:rsidR="00210661">
        <w:rPr>
          <w:rFonts w:cstheme="minorHAnsi"/>
        </w:rPr>
        <w:t xml:space="preserve"> training and access to help from ALNCO’s or other professionals, evidence suggests that these children can still make academic and social progress</w:t>
      </w:r>
      <w:r w:rsidR="00A22832">
        <w:rPr>
          <w:rFonts w:cstheme="minorHAnsi"/>
        </w:rPr>
        <w:t xml:space="preserve"> (</w:t>
      </w:r>
      <w:r w:rsidR="00A22832" w:rsidRPr="00210661">
        <w:rPr>
          <w:rFonts w:cstheme="minorHAnsi"/>
          <w:color w:val="000000" w:themeColor="text1"/>
        </w:rPr>
        <w:t>Catalano et al., 2022</w:t>
      </w:r>
      <w:r w:rsidR="00A22832">
        <w:rPr>
          <w:rFonts w:cstheme="minorHAnsi"/>
          <w:color w:val="000000" w:themeColor="text1"/>
        </w:rPr>
        <w:t>).</w:t>
      </w:r>
      <w:r w:rsidR="00210661">
        <w:rPr>
          <w:rFonts w:cstheme="minorHAnsi"/>
        </w:rPr>
        <w:t xml:space="preserve"> The literature also suggests</w:t>
      </w:r>
      <w:r w:rsidR="00A22832">
        <w:rPr>
          <w:rFonts w:cstheme="minorHAnsi"/>
        </w:rPr>
        <w:t xml:space="preserve"> how</w:t>
      </w:r>
      <w:r w:rsidR="00210661">
        <w:rPr>
          <w:rFonts w:cstheme="minorHAnsi"/>
        </w:rPr>
        <w:t xml:space="preserve"> the use of visual aids, positive reinforcement and rewards and building strong relationships are vital for pupils with ASD to flourish</w:t>
      </w:r>
      <w:r w:rsidR="00A22832">
        <w:rPr>
          <w:rFonts w:cstheme="minorHAnsi"/>
        </w:rPr>
        <w:t xml:space="preserve"> (</w:t>
      </w:r>
      <w:proofErr w:type="spellStart"/>
      <w:r w:rsidR="00A22832" w:rsidRPr="00633915">
        <w:rPr>
          <w:rFonts w:cstheme="minorHAnsi"/>
          <w:color w:val="000000"/>
        </w:rPr>
        <w:t>Alsedrani</w:t>
      </w:r>
      <w:proofErr w:type="spellEnd"/>
      <w:r w:rsidR="00A22832" w:rsidRPr="00633915">
        <w:rPr>
          <w:rFonts w:cstheme="minorHAnsi"/>
          <w:color w:val="000000"/>
        </w:rPr>
        <w:t>, 2017</w:t>
      </w:r>
      <w:r w:rsidR="00A22832">
        <w:rPr>
          <w:rFonts w:cstheme="minorHAnsi"/>
          <w:color w:val="000000"/>
        </w:rPr>
        <w:t xml:space="preserve">; </w:t>
      </w:r>
      <w:r w:rsidR="00A22832">
        <w:rPr>
          <w:rFonts w:cstheme="minorHAnsi"/>
        </w:rPr>
        <w:t>Nye et al., 2015</w:t>
      </w:r>
      <w:r w:rsidR="00A22832">
        <w:rPr>
          <w:rFonts w:cstheme="minorHAnsi"/>
        </w:rPr>
        <w:t>)</w:t>
      </w:r>
      <w:r w:rsidR="00210661">
        <w:rPr>
          <w:rFonts w:cstheme="minorHAnsi"/>
        </w:rPr>
        <w:t xml:space="preserve">. </w:t>
      </w:r>
      <w:r w:rsidR="00210661">
        <w:rPr>
          <w:rFonts w:cstheme="minorHAnsi"/>
        </w:rPr>
        <w:t>The importance of reflection has also been indicated as a necessary skill for teacher</w:t>
      </w:r>
      <w:r w:rsidR="00210661">
        <w:rPr>
          <w:rFonts w:cstheme="minorHAnsi"/>
        </w:rPr>
        <w:t>s</w:t>
      </w:r>
      <w:r w:rsidR="002F7C6E">
        <w:rPr>
          <w:rFonts w:cstheme="minorHAnsi"/>
        </w:rPr>
        <w:t>’ pedagogy</w:t>
      </w:r>
      <w:r w:rsidR="00210661">
        <w:rPr>
          <w:rFonts w:cstheme="minorHAnsi"/>
        </w:rPr>
        <w:t>,</w:t>
      </w:r>
      <w:r w:rsidR="00210661">
        <w:rPr>
          <w:rFonts w:cstheme="minorHAnsi"/>
        </w:rPr>
        <w:t xml:space="preserve"> as </w:t>
      </w:r>
      <w:r w:rsidR="00210661" w:rsidRPr="00210661">
        <w:rPr>
          <w:rFonts w:cstheme="minorHAnsi"/>
        </w:rPr>
        <w:t>being able to effectively evaluate their own teaching practices</w:t>
      </w:r>
      <w:r w:rsidR="00210661">
        <w:rPr>
          <w:rFonts w:cstheme="minorHAnsi"/>
        </w:rPr>
        <w:t xml:space="preserve">, </w:t>
      </w:r>
      <w:r w:rsidR="002F7C6E">
        <w:rPr>
          <w:rFonts w:cstheme="minorHAnsi"/>
        </w:rPr>
        <w:t>helps</w:t>
      </w:r>
      <w:r w:rsidR="00210661" w:rsidRPr="00210661">
        <w:rPr>
          <w:rFonts w:cstheme="minorHAnsi"/>
        </w:rPr>
        <w:t xml:space="preserve"> to make learning more meaningful for their </w:t>
      </w:r>
      <w:r w:rsidR="002F7C6E">
        <w:rPr>
          <w:rFonts w:cstheme="minorHAnsi"/>
        </w:rPr>
        <w:t>students</w:t>
      </w:r>
      <w:r w:rsidR="00210661" w:rsidRPr="00210661">
        <w:rPr>
          <w:rFonts w:cstheme="minorHAnsi"/>
        </w:rPr>
        <w:t>.</w:t>
      </w:r>
    </w:p>
    <w:p w14:paraId="5E551F14" w14:textId="77777777" w:rsidR="00210661" w:rsidRDefault="00210661" w:rsidP="00210661">
      <w:pPr>
        <w:spacing w:line="360" w:lineRule="auto"/>
        <w:rPr>
          <w:rFonts w:cstheme="minorHAnsi"/>
        </w:rPr>
      </w:pPr>
    </w:p>
    <w:p w14:paraId="02991B67" w14:textId="25C4E306" w:rsidR="00210661" w:rsidRDefault="00210661" w:rsidP="00210661">
      <w:pPr>
        <w:spacing w:line="360" w:lineRule="auto"/>
        <w:rPr>
          <w:rFonts w:cstheme="minorHAnsi"/>
        </w:rPr>
      </w:pPr>
    </w:p>
    <w:p w14:paraId="0D461C0C" w14:textId="55AEBB0B" w:rsidR="006A1475" w:rsidRDefault="006A1475" w:rsidP="00210661">
      <w:pPr>
        <w:spacing w:line="360" w:lineRule="auto"/>
        <w:rPr>
          <w:rFonts w:cstheme="minorHAnsi"/>
        </w:rPr>
      </w:pPr>
    </w:p>
    <w:p w14:paraId="2B4A882A" w14:textId="65566DB3" w:rsidR="006A1475" w:rsidRDefault="006A1475" w:rsidP="00210661">
      <w:pPr>
        <w:spacing w:line="360" w:lineRule="auto"/>
        <w:rPr>
          <w:rFonts w:cstheme="minorHAnsi"/>
        </w:rPr>
      </w:pPr>
    </w:p>
    <w:p w14:paraId="3FBB5FF1" w14:textId="125C7A51" w:rsidR="006A1475" w:rsidRDefault="006A1475" w:rsidP="00210661">
      <w:pPr>
        <w:spacing w:line="360" w:lineRule="auto"/>
        <w:rPr>
          <w:rFonts w:cstheme="minorHAnsi"/>
        </w:rPr>
      </w:pPr>
    </w:p>
    <w:p w14:paraId="00CD4022" w14:textId="5D220F7F" w:rsidR="006A1475" w:rsidRDefault="006A1475" w:rsidP="00210661">
      <w:pPr>
        <w:spacing w:line="360" w:lineRule="auto"/>
        <w:rPr>
          <w:rFonts w:cstheme="minorHAnsi"/>
        </w:rPr>
      </w:pPr>
    </w:p>
    <w:p w14:paraId="7EB96F59" w14:textId="2AF1AA6F" w:rsidR="006A1475" w:rsidRDefault="006A1475" w:rsidP="00210661">
      <w:pPr>
        <w:spacing w:line="360" w:lineRule="auto"/>
        <w:rPr>
          <w:rFonts w:cstheme="minorHAnsi"/>
        </w:rPr>
      </w:pPr>
    </w:p>
    <w:p w14:paraId="14243CF8" w14:textId="4D43A500" w:rsidR="006A1475" w:rsidRDefault="006A1475" w:rsidP="00210661">
      <w:pPr>
        <w:spacing w:line="360" w:lineRule="auto"/>
        <w:rPr>
          <w:rFonts w:cstheme="minorHAnsi"/>
        </w:rPr>
      </w:pPr>
    </w:p>
    <w:p w14:paraId="371DBF9A" w14:textId="0B4C3F2E" w:rsidR="006A1475" w:rsidRDefault="006A1475" w:rsidP="00210661">
      <w:pPr>
        <w:spacing w:line="360" w:lineRule="auto"/>
        <w:rPr>
          <w:rFonts w:cstheme="minorHAnsi"/>
        </w:rPr>
      </w:pPr>
    </w:p>
    <w:p w14:paraId="07207F16" w14:textId="04B82B63" w:rsidR="006A1475" w:rsidRDefault="006A1475" w:rsidP="00210661">
      <w:pPr>
        <w:spacing w:line="360" w:lineRule="auto"/>
        <w:rPr>
          <w:rFonts w:cstheme="minorHAnsi"/>
        </w:rPr>
      </w:pPr>
    </w:p>
    <w:p w14:paraId="286537E1" w14:textId="4E1D6E15" w:rsidR="006A1475" w:rsidRDefault="006A1475" w:rsidP="00210661">
      <w:pPr>
        <w:spacing w:line="360" w:lineRule="auto"/>
        <w:rPr>
          <w:rFonts w:cstheme="minorHAnsi"/>
        </w:rPr>
      </w:pPr>
    </w:p>
    <w:p w14:paraId="5A14F012" w14:textId="704AD793" w:rsidR="006A1475" w:rsidRDefault="006A1475" w:rsidP="00210661">
      <w:pPr>
        <w:spacing w:line="360" w:lineRule="auto"/>
        <w:rPr>
          <w:rFonts w:cstheme="minorHAnsi"/>
        </w:rPr>
      </w:pPr>
    </w:p>
    <w:p w14:paraId="023D17F8" w14:textId="7CCD386B" w:rsidR="006A1475" w:rsidRDefault="006A1475" w:rsidP="00210661">
      <w:pPr>
        <w:spacing w:line="360" w:lineRule="auto"/>
        <w:rPr>
          <w:rFonts w:cstheme="minorHAnsi"/>
        </w:rPr>
      </w:pPr>
    </w:p>
    <w:p w14:paraId="67FA4AF8" w14:textId="77777777" w:rsidR="006A1475" w:rsidRDefault="006A1475" w:rsidP="00210661">
      <w:pPr>
        <w:spacing w:line="360" w:lineRule="auto"/>
        <w:rPr>
          <w:rFonts w:cstheme="minorHAnsi"/>
        </w:rPr>
      </w:pPr>
    </w:p>
    <w:p w14:paraId="5FBF15E5" w14:textId="47C91BDF" w:rsidR="00210661" w:rsidRDefault="00210661" w:rsidP="00210661">
      <w:pPr>
        <w:spacing w:line="360" w:lineRule="auto"/>
        <w:rPr>
          <w:rFonts w:cstheme="minorHAnsi"/>
        </w:rPr>
      </w:pPr>
    </w:p>
    <w:p w14:paraId="548A5CA0" w14:textId="03D84244" w:rsidR="00A22832" w:rsidRDefault="00A22832" w:rsidP="00A22832">
      <w:r>
        <w:lastRenderedPageBreak/>
        <w:t>Referenc</w:t>
      </w:r>
      <w:r w:rsidR="006A1475">
        <w:t>es</w:t>
      </w:r>
    </w:p>
    <w:p w14:paraId="5B103EEA" w14:textId="77777777" w:rsidR="00A22832" w:rsidRDefault="00A22832" w:rsidP="00A22832"/>
    <w:p w14:paraId="194A7A37"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proofErr w:type="spellStart"/>
      <w:r w:rsidRPr="0089366B">
        <w:rPr>
          <w:rFonts w:ascii="Calibri" w:hAnsi="Calibri" w:cs="Calibri"/>
          <w:color w:val="000000"/>
        </w:rPr>
        <w:t>Alsedrani</w:t>
      </w:r>
      <w:proofErr w:type="spellEnd"/>
      <w:r w:rsidRPr="0089366B">
        <w:rPr>
          <w:rFonts w:ascii="Calibri" w:hAnsi="Calibri" w:cs="Calibri"/>
          <w:color w:val="000000"/>
        </w:rPr>
        <w:t>, R. (2017) “Using individual positive reinforcement strategies to enhance task completion in children with autism spectrum disorders,”</w:t>
      </w:r>
      <w:r w:rsidRPr="0089366B">
        <w:rPr>
          <w:rStyle w:val="apple-converted-space"/>
          <w:rFonts w:ascii="Calibri" w:hAnsi="Calibri" w:cs="Calibri"/>
          <w:color w:val="000000"/>
        </w:rPr>
        <w:t> </w:t>
      </w:r>
      <w:r w:rsidRPr="0089366B">
        <w:rPr>
          <w:rFonts w:ascii="Calibri" w:hAnsi="Calibri" w:cs="Calibri"/>
          <w:i/>
          <w:iCs/>
          <w:color w:val="000000"/>
        </w:rPr>
        <w:t>American Research Journal of Humanities and Social Sciences</w:t>
      </w:r>
      <w:r w:rsidRPr="0089366B">
        <w:rPr>
          <w:rFonts w:ascii="Calibri" w:hAnsi="Calibri" w:cs="Calibri"/>
          <w:color w:val="000000"/>
        </w:rPr>
        <w:t>, 3(1). Available at: https://doi.org/10.21694/2378-7031.17001.</w:t>
      </w:r>
      <w:r w:rsidRPr="0089366B">
        <w:rPr>
          <w:rStyle w:val="apple-converted-space"/>
          <w:rFonts w:ascii="Calibri" w:hAnsi="Calibri" w:cs="Calibri"/>
          <w:color w:val="000000"/>
        </w:rPr>
        <w:t> </w:t>
      </w:r>
    </w:p>
    <w:p w14:paraId="593F5656"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Arthur-Kelly, M.</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(2009) “Issues in the use of visual supports to promote communication in individuals with autism spectrum disorder,”</w:t>
      </w:r>
      <w:r w:rsidRPr="0089366B">
        <w:rPr>
          <w:rStyle w:val="apple-converted-space"/>
          <w:rFonts w:ascii="Calibri" w:hAnsi="Calibri" w:cs="Calibri"/>
          <w:color w:val="000000"/>
        </w:rPr>
        <w:t> </w:t>
      </w:r>
      <w:r w:rsidRPr="0089366B">
        <w:rPr>
          <w:rFonts w:ascii="Calibri" w:hAnsi="Calibri" w:cs="Calibri"/>
          <w:i/>
          <w:iCs/>
          <w:color w:val="000000"/>
        </w:rPr>
        <w:t>Disability and Rehabilitation</w:t>
      </w:r>
      <w:r w:rsidRPr="0089366B">
        <w:rPr>
          <w:rFonts w:ascii="Calibri" w:hAnsi="Calibri" w:cs="Calibri"/>
          <w:color w:val="000000"/>
        </w:rPr>
        <w:t>, 31(18), pp. 1474–1486. Available at: https://doi.org/10.1080/09638280802590629.</w:t>
      </w:r>
      <w:r w:rsidRPr="0089366B">
        <w:rPr>
          <w:rStyle w:val="apple-converted-space"/>
          <w:rFonts w:ascii="Calibri" w:hAnsi="Calibri" w:cs="Calibri"/>
          <w:color w:val="000000"/>
        </w:rPr>
        <w:t> </w:t>
      </w:r>
    </w:p>
    <w:p w14:paraId="6DE01095" w14:textId="77777777" w:rsidR="00A22832"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Brookfield, S.D. (2002) “Using the lenses of critically reflective teaching in the community college classroom,”</w:t>
      </w:r>
      <w:r w:rsidRPr="0089366B">
        <w:rPr>
          <w:rStyle w:val="apple-converted-space"/>
          <w:rFonts w:ascii="Calibri" w:hAnsi="Calibri" w:cs="Calibri"/>
          <w:color w:val="000000"/>
        </w:rPr>
        <w:t> </w:t>
      </w:r>
      <w:r w:rsidRPr="0089366B">
        <w:rPr>
          <w:rFonts w:ascii="Calibri" w:hAnsi="Calibri" w:cs="Calibri"/>
          <w:i/>
          <w:iCs/>
          <w:color w:val="000000"/>
        </w:rPr>
        <w:t>New Directions for Community Colleges</w:t>
      </w:r>
      <w:r w:rsidRPr="0089366B">
        <w:rPr>
          <w:rFonts w:ascii="Calibri" w:hAnsi="Calibri" w:cs="Calibri"/>
          <w:color w:val="000000"/>
        </w:rPr>
        <w:t xml:space="preserve">, 2002(118), pp. 31–38. Available at: </w:t>
      </w:r>
      <w:hyperlink r:id="rId7" w:history="1">
        <w:r w:rsidRPr="00CA3AC5">
          <w:rPr>
            <w:rStyle w:val="Hyperlink"/>
            <w:rFonts w:ascii="Calibri" w:hAnsi="Calibri" w:cs="Calibri"/>
          </w:rPr>
          <w:t>https://doi.org/10.1002/cc.61</w:t>
        </w:r>
      </w:hyperlink>
      <w:r w:rsidRPr="0089366B">
        <w:rPr>
          <w:rFonts w:ascii="Calibri" w:hAnsi="Calibri" w:cs="Calibri"/>
          <w:color w:val="000000"/>
        </w:rPr>
        <w:t>.</w:t>
      </w:r>
      <w:r w:rsidRPr="0089366B">
        <w:rPr>
          <w:rStyle w:val="apple-converted-space"/>
          <w:rFonts w:ascii="Calibri" w:hAnsi="Calibri" w:cs="Calibri"/>
          <w:color w:val="000000"/>
        </w:rPr>
        <w:t> </w:t>
      </w:r>
    </w:p>
    <w:p w14:paraId="47E9212F" w14:textId="77777777" w:rsidR="00A22832" w:rsidRPr="0006057F" w:rsidRDefault="00A22832" w:rsidP="00A22832">
      <w:pPr>
        <w:pStyle w:val="NormalWeb"/>
        <w:ind w:left="567" w:hanging="567"/>
        <w:rPr>
          <w:rStyle w:val="apple-converted-space"/>
          <w:rFonts w:asciiTheme="minorHAnsi" w:hAnsiTheme="minorHAnsi" w:cstheme="minorHAnsi"/>
          <w:color w:val="000000"/>
        </w:rPr>
      </w:pPr>
      <w:r w:rsidRPr="0006057F">
        <w:rPr>
          <w:rFonts w:asciiTheme="minorHAnsi" w:hAnsiTheme="minorHAnsi" w:cstheme="minorHAnsi"/>
          <w:color w:val="000000"/>
        </w:rPr>
        <w:t>Carden, C. (2022)</w:t>
      </w:r>
      <w:r w:rsidRPr="0006057F">
        <w:rPr>
          <w:rStyle w:val="apple-converted-space"/>
          <w:rFonts w:asciiTheme="minorHAnsi" w:hAnsiTheme="minorHAnsi" w:cstheme="minorHAnsi"/>
          <w:color w:val="000000"/>
        </w:rPr>
        <w:t> </w:t>
      </w:r>
      <w:r w:rsidRPr="0006057F">
        <w:rPr>
          <w:rFonts w:asciiTheme="minorHAnsi" w:hAnsiTheme="minorHAnsi" w:cstheme="minorHAnsi"/>
          <w:i/>
          <w:iCs/>
          <w:color w:val="000000"/>
        </w:rPr>
        <w:t>Primary teaching: Learning and teaching in primary schools Today</w:t>
      </w:r>
      <w:r w:rsidRPr="0006057F">
        <w:rPr>
          <w:rFonts w:asciiTheme="minorHAnsi" w:hAnsiTheme="minorHAnsi" w:cstheme="minorHAnsi"/>
          <w:color w:val="000000"/>
        </w:rPr>
        <w:t xml:space="preserve">. 2nd </w:t>
      </w:r>
      <w:proofErr w:type="spellStart"/>
      <w:r w:rsidRPr="0006057F">
        <w:rPr>
          <w:rFonts w:asciiTheme="minorHAnsi" w:hAnsiTheme="minorHAnsi" w:cstheme="minorHAnsi"/>
          <w:color w:val="000000"/>
        </w:rPr>
        <w:t>edn</w:t>
      </w:r>
      <w:proofErr w:type="spellEnd"/>
      <w:r w:rsidRPr="0006057F">
        <w:rPr>
          <w:rFonts w:asciiTheme="minorHAnsi" w:hAnsiTheme="minorHAnsi" w:cstheme="minorHAnsi"/>
          <w:color w:val="000000"/>
        </w:rPr>
        <w:t>. London: Sage Publications.</w:t>
      </w:r>
      <w:r w:rsidRPr="0006057F">
        <w:rPr>
          <w:rStyle w:val="apple-converted-space"/>
          <w:rFonts w:asciiTheme="minorHAnsi" w:hAnsiTheme="minorHAnsi" w:cstheme="minorHAnsi"/>
          <w:color w:val="000000"/>
        </w:rPr>
        <w:t> </w:t>
      </w:r>
    </w:p>
    <w:p w14:paraId="55AAE80E"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Catalano, C., Fives, H. and Barnes, N. (2022) “Developing and validating the teacher self-efficacy for teaching students with autism spectrum disorder in inclusive early childhood classrooms,”</w:t>
      </w:r>
      <w:r w:rsidRPr="0089366B">
        <w:rPr>
          <w:rStyle w:val="apple-converted-space"/>
          <w:rFonts w:ascii="Calibri" w:hAnsi="Calibri" w:cs="Calibri"/>
          <w:color w:val="000000"/>
        </w:rPr>
        <w:t> </w:t>
      </w:r>
      <w:r w:rsidRPr="0089366B">
        <w:rPr>
          <w:rFonts w:ascii="Calibri" w:hAnsi="Calibri" w:cs="Calibri"/>
          <w:i/>
          <w:iCs/>
          <w:color w:val="000000"/>
        </w:rPr>
        <w:t>Journal of Early Childhood Teacher Education</w:t>
      </w:r>
      <w:r w:rsidRPr="0089366B">
        <w:rPr>
          <w:rFonts w:ascii="Calibri" w:hAnsi="Calibri" w:cs="Calibri"/>
          <w:color w:val="000000"/>
        </w:rPr>
        <w:t>, pp. 1–24. Available at: https://doi.org/10.1080/10901027.2022.2136550.</w:t>
      </w:r>
      <w:r w:rsidRPr="0089366B">
        <w:rPr>
          <w:rStyle w:val="apple-converted-space"/>
          <w:rFonts w:ascii="Calibri" w:hAnsi="Calibri" w:cs="Calibri"/>
          <w:color w:val="000000"/>
        </w:rPr>
        <w:t> </w:t>
      </w:r>
    </w:p>
    <w:p w14:paraId="18955514"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Day, C.</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(2006)</w:t>
      </w:r>
      <w:r w:rsidRPr="0089366B">
        <w:rPr>
          <w:rStyle w:val="apple-converted-space"/>
          <w:rFonts w:ascii="Calibri" w:hAnsi="Calibri" w:cs="Calibri"/>
          <w:color w:val="000000"/>
        </w:rPr>
        <w:t> </w:t>
      </w:r>
      <w:r w:rsidRPr="0089366B">
        <w:rPr>
          <w:rFonts w:ascii="Calibri" w:hAnsi="Calibri" w:cs="Calibri"/>
          <w:i/>
          <w:iCs/>
          <w:color w:val="000000"/>
        </w:rPr>
        <w:t>Variations in Teachers’ Work, Lives and Effectiveness</w:t>
      </w:r>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Research Report 743</w:t>
      </w:r>
      <w:r w:rsidRPr="0089366B">
        <w:rPr>
          <w:rFonts w:ascii="Calibri" w:hAnsi="Calibri" w:cs="Calibri"/>
          <w:color w:val="000000"/>
        </w:rPr>
        <w:t>. Available at: https://dera.ioe.ac.uk/6405/1/rr743.pdf (Accessed: October 16, 2022).</w:t>
      </w:r>
      <w:r w:rsidRPr="0089366B">
        <w:rPr>
          <w:rStyle w:val="apple-converted-space"/>
          <w:rFonts w:ascii="Calibri" w:hAnsi="Calibri" w:cs="Calibri"/>
          <w:color w:val="000000"/>
        </w:rPr>
        <w:t> </w:t>
      </w:r>
    </w:p>
    <w:p w14:paraId="33ED9AA3" w14:textId="77777777" w:rsidR="00A22832"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DiGiacomo, D.K., Greenhalgh, S. and </w:t>
      </w:r>
      <w:proofErr w:type="spellStart"/>
      <w:r w:rsidRPr="0089366B">
        <w:rPr>
          <w:rFonts w:ascii="Calibri" w:hAnsi="Calibri" w:cs="Calibri"/>
          <w:color w:val="000000"/>
        </w:rPr>
        <w:t>Barriage</w:t>
      </w:r>
      <w:proofErr w:type="spellEnd"/>
      <w:r w:rsidRPr="0089366B">
        <w:rPr>
          <w:rFonts w:ascii="Calibri" w:hAnsi="Calibri" w:cs="Calibri"/>
          <w:color w:val="000000"/>
        </w:rPr>
        <w:t xml:space="preserve">, S. (2021) “How students and principals understand </w:t>
      </w:r>
      <w:proofErr w:type="spellStart"/>
      <w:r w:rsidRPr="0089366B">
        <w:rPr>
          <w:rFonts w:ascii="Calibri" w:hAnsi="Calibri" w:cs="Calibri"/>
          <w:color w:val="000000"/>
        </w:rPr>
        <w:t>Classdojo</w:t>
      </w:r>
      <w:proofErr w:type="spellEnd"/>
      <w:r w:rsidRPr="0089366B">
        <w:rPr>
          <w:rFonts w:ascii="Calibri" w:hAnsi="Calibri" w:cs="Calibri"/>
          <w:color w:val="000000"/>
        </w:rPr>
        <w:t>: Emerging insights,”</w:t>
      </w:r>
      <w:r w:rsidRPr="0089366B">
        <w:rPr>
          <w:rStyle w:val="apple-converted-space"/>
          <w:rFonts w:ascii="Calibri" w:hAnsi="Calibri" w:cs="Calibri"/>
          <w:color w:val="000000"/>
        </w:rPr>
        <w:t> </w:t>
      </w:r>
      <w:proofErr w:type="spellStart"/>
      <w:r w:rsidRPr="0089366B">
        <w:rPr>
          <w:rFonts w:ascii="Calibri" w:hAnsi="Calibri" w:cs="Calibri"/>
          <w:i/>
          <w:iCs/>
          <w:color w:val="000000"/>
        </w:rPr>
        <w:t>TechTrends</w:t>
      </w:r>
      <w:proofErr w:type="spellEnd"/>
      <w:r w:rsidRPr="0089366B">
        <w:rPr>
          <w:rFonts w:ascii="Calibri" w:hAnsi="Calibri" w:cs="Calibri"/>
          <w:color w:val="000000"/>
        </w:rPr>
        <w:t xml:space="preserve">, 66(2), pp. 172–184. Available at: </w:t>
      </w:r>
      <w:hyperlink r:id="rId8" w:history="1">
        <w:r w:rsidRPr="00CA3AC5">
          <w:rPr>
            <w:rStyle w:val="Hyperlink"/>
            <w:rFonts w:ascii="Calibri" w:hAnsi="Calibri" w:cs="Calibri"/>
          </w:rPr>
          <w:t>https://doi.org/10.1007/s11528-021-00640-6</w:t>
        </w:r>
      </w:hyperlink>
      <w:r w:rsidRPr="0089366B">
        <w:rPr>
          <w:rFonts w:ascii="Calibri" w:hAnsi="Calibri" w:cs="Calibri"/>
          <w:color w:val="000000"/>
        </w:rPr>
        <w:t>.</w:t>
      </w:r>
      <w:r w:rsidRPr="0089366B">
        <w:rPr>
          <w:rStyle w:val="apple-converted-space"/>
          <w:rFonts w:ascii="Calibri" w:hAnsi="Calibri" w:cs="Calibri"/>
          <w:color w:val="000000"/>
        </w:rPr>
        <w:t> </w:t>
      </w:r>
    </w:p>
    <w:p w14:paraId="3D5225CC" w14:textId="77777777" w:rsidR="00A22832" w:rsidRPr="0089366B" w:rsidRDefault="00A22832" w:rsidP="00A22832">
      <w:pPr>
        <w:spacing w:line="276" w:lineRule="auto"/>
        <w:rPr>
          <w:rFonts w:ascii="Calibri" w:hAnsi="Calibri" w:cs="Calibri"/>
          <w:color w:val="000000"/>
        </w:rPr>
      </w:pPr>
      <w:r>
        <w:rPr>
          <w:rStyle w:val="apple-converted-space"/>
          <w:rFonts w:ascii="Calibri" w:hAnsi="Calibri" w:cs="Calibri"/>
          <w:color w:val="000000"/>
        </w:rPr>
        <w:t>Estyn (2018) “</w:t>
      </w:r>
      <w:r w:rsidRPr="0089366B">
        <w:rPr>
          <w:rFonts w:cstheme="minorHAnsi"/>
        </w:rPr>
        <w:t xml:space="preserve">A report on </w:t>
      </w:r>
      <w:proofErr w:type="spellStart"/>
      <w:r w:rsidRPr="0089366B">
        <w:rPr>
          <w:rFonts w:cstheme="minorHAnsi"/>
          <w:highlight w:val="black"/>
        </w:rPr>
        <w:t>Blaenhonddan</w:t>
      </w:r>
      <w:proofErr w:type="spellEnd"/>
      <w:r w:rsidRPr="0089366B">
        <w:rPr>
          <w:rFonts w:cstheme="minorHAnsi"/>
          <w:highlight w:val="black"/>
        </w:rPr>
        <w:t xml:space="preserve"> Primary</w:t>
      </w:r>
      <w:r w:rsidRPr="0089366B">
        <w:rPr>
          <w:rFonts w:cstheme="minorHAnsi"/>
        </w:rPr>
        <w:t xml:space="preserve"> School</w:t>
      </w:r>
      <w:r>
        <w:rPr>
          <w:rFonts w:cstheme="minorHAnsi"/>
        </w:rPr>
        <w:t>” Available a</w:t>
      </w:r>
      <w:r>
        <w:rPr>
          <w:rFonts w:cstheme="minorHAnsi"/>
        </w:rPr>
        <w:t>t</w:t>
      </w:r>
      <w:r>
        <w:rPr>
          <w:rFonts w:cstheme="minorHAnsi"/>
        </w:rPr>
        <w:t xml:space="preserve"> </w:t>
      </w:r>
      <w:r w:rsidRPr="0089366B">
        <w:rPr>
          <w:rFonts w:cstheme="minorHAnsi"/>
          <w:u w:val="single"/>
        </w:rPr>
        <w:t>https://www.estyn.gov.wales/system/files/2020-08</w:t>
      </w:r>
      <w:r w:rsidRPr="0089366B">
        <w:rPr>
          <w:rFonts w:cstheme="minorHAnsi"/>
          <w:highlight w:val="black"/>
          <w:u w:val="single"/>
        </w:rPr>
        <w:t>/Blaenhonddan%2520Primary%2520School</w:t>
      </w:r>
      <w:r w:rsidRPr="0089366B">
        <w:rPr>
          <w:rFonts w:cstheme="minorHAnsi"/>
          <w:u w:val="single"/>
        </w:rPr>
        <w:t>.pdf</w:t>
      </w:r>
      <w:r w:rsidRPr="0089366B">
        <w:rPr>
          <w:rFonts w:cstheme="minorHAnsi"/>
        </w:rPr>
        <w:t xml:space="preserve"> </w:t>
      </w:r>
      <w:r>
        <w:rPr>
          <w:rFonts w:cstheme="minorHAnsi"/>
        </w:rPr>
        <w:t>(Accessed 11</w:t>
      </w:r>
      <w:r w:rsidRPr="0089366B">
        <w:rPr>
          <w:rFonts w:cstheme="minorHAnsi"/>
          <w:vertAlign w:val="superscript"/>
        </w:rPr>
        <w:t>th</w:t>
      </w:r>
      <w:r>
        <w:rPr>
          <w:rFonts w:cstheme="minorHAnsi"/>
        </w:rPr>
        <w:t xml:space="preserve"> of October 2022)</w:t>
      </w:r>
    </w:p>
    <w:p w14:paraId="1380E0FF"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Fraser, M.</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(2022) “Designing a framework to improve critical reflection writing in Teacher Education Using Action Research,”</w:t>
      </w:r>
      <w:r w:rsidRPr="0089366B">
        <w:rPr>
          <w:rStyle w:val="apple-converted-space"/>
          <w:rFonts w:ascii="Calibri" w:hAnsi="Calibri" w:cs="Calibri"/>
          <w:color w:val="000000"/>
        </w:rPr>
        <w:t> </w:t>
      </w:r>
      <w:r w:rsidRPr="0089366B">
        <w:rPr>
          <w:rFonts w:ascii="Calibri" w:hAnsi="Calibri" w:cs="Calibri"/>
          <w:i/>
          <w:iCs/>
          <w:color w:val="000000"/>
        </w:rPr>
        <w:t>Educational Action Research</w:t>
      </w:r>
      <w:r w:rsidRPr="0089366B">
        <w:rPr>
          <w:rFonts w:ascii="Calibri" w:hAnsi="Calibri" w:cs="Calibri"/>
          <w:color w:val="000000"/>
        </w:rPr>
        <w:t>, pp. 1–17. Available at: https://doi.org/10.1080/09650792.2022.2038226.</w:t>
      </w:r>
      <w:r w:rsidRPr="0089366B">
        <w:rPr>
          <w:rStyle w:val="apple-converted-space"/>
          <w:rFonts w:ascii="Calibri" w:hAnsi="Calibri" w:cs="Calibri"/>
          <w:color w:val="000000"/>
        </w:rPr>
        <w:t> </w:t>
      </w:r>
    </w:p>
    <w:p w14:paraId="524460F7"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lastRenderedPageBreak/>
        <w:t>Furlong, J.</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(2021) “The reform of initial teacher education in Wales: From vision to reality,”</w:t>
      </w:r>
      <w:r w:rsidRPr="0089366B">
        <w:rPr>
          <w:rStyle w:val="apple-converted-space"/>
          <w:rFonts w:ascii="Calibri" w:hAnsi="Calibri" w:cs="Calibri"/>
          <w:color w:val="000000"/>
        </w:rPr>
        <w:t> </w:t>
      </w:r>
      <w:r w:rsidRPr="0089366B">
        <w:rPr>
          <w:rFonts w:ascii="Calibri" w:hAnsi="Calibri" w:cs="Calibri"/>
          <w:i/>
          <w:iCs/>
          <w:color w:val="000000"/>
        </w:rPr>
        <w:t>Oxford Review of Education</w:t>
      </w:r>
      <w:r w:rsidRPr="0089366B">
        <w:rPr>
          <w:rFonts w:ascii="Calibri" w:hAnsi="Calibri" w:cs="Calibri"/>
          <w:color w:val="000000"/>
        </w:rPr>
        <w:t>, 47(1), pp. 61–78. Available at: https://doi.org/10.1080/03054985.2020.1842180.</w:t>
      </w:r>
      <w:r w:rsidRPr="0089366B">
        <w:rPr>
          <w:rStyle w:val="apple-converted-space"/>
          <w:rFonts w:ascii="Calibri" w:hAnsi="Calibri" w:cs="Calibri"/>
          <w:color w:val="000000"/>
        </w:rPr>
        <w:t> </w:t>
      </w:r>
    </w:p>
    <w:p w14:paraId="2448C4C4"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Griffin, M.L. (2003) “Using critical incidents to promote and assess reflective thinking in preservice teachers,”</w:t>
      </w:r>
      <w:r w:rsidRPr="0089366B">
        <w:rPr>
          <w:rStyle w:val="apple-converted-space"/>
          <w:rFonts w:ascii="Calibri" w:hAnsi="Calibri" w:cs="Calibri"/>
          <w:color w:val="000000"/>
        </w:rPr>
        <w:t> </w:t>
      </w:r>
      <w:r w:rsidRPr="0089366B">
        <w:rPr>
          <w:rFonts w:ascii="Calibri" w:hAnsi="Calibri" w:cs="Calibri"/>
          <w:i/>
          <w:iCs/>
          <w:color w:val="000000"/>
        </w:rPr>
        <w:t>Reflective Practice</w:t>
      </w:r>
      <w:r w:rsidRPr="0089366B">
        <w:rPr>
          <w:rFonts w:ascii="Calibri" w:hAnsi="Calibri" w:cs="Calibri"/>
          <w:color w:val="000000"/>
        </w:rPr>
        <w:t xml:space="preserve">, 4(2), pp. 207–220. Available at: </w:t>
      </w:r>
      <w:hyperlink r:id="rId9" w:history="1">
        <w:r w:rsidRPr="0089366B">
          <w:rPr>
            <w:rStyle w:val="Hyperlink"/>
            <w:rFonts w:ascii="Calibri" w:hAnsi="Calibri" w:cs="Calibri"/>
          </w:rPr>
          <w:t>https://doi.org/10.1080/14623940308274</w:t>
        </w:r>
      </w:hyperlink>
      <w:r w:rsidRPr="0089366B">
        <w:rPr>
          <w:rFonts w:ascii="Calibri" w:hAnsi="Calibri" w:cs="Calibri"/>
          <w:color w:val="000000"/>
        </w:rPr>
        <w:t>.</w:t>
      </w:r>
      <w:r w:rsidRPr="0089366B">
        <w:rPr>
          <w:rStyle w:val="apple-converted-space"/>
          <w:rFonts w:ascii="Calibri" w:hAnsi="Calibri" w:cs="Calibri"/>
          <w:color w:val="000000"/>
        </w:rPr>
        <w:t> </w:t>
      </w:r>
    </w:p>
    <w:p w14:paraId="16B14F4C"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Hasson, L.</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(2022) “Inclusivity in education for Autism Spectrum Disorders: Experiences of support from the perspective of parent/carers, school teaching staff and young people on the autism spectrum,”</w:t>
      </w:r>
      <w:r w:rsidRPr="0089366B">
        <w:rPr>
          <w:rStyle w:val="apple-converted-space"/>
          <w:rFonts w:ascii="Calibri" w:hAnsi="Calibri" w:cs="Calibri"/>
          <w:color w:val="000000"/>
        </w:rPr>
        <w:t> </w:t>
      </w:r>
      <w:r w:rsidRPr="0089366B">
        <w:rPr>
          <w:rFonts w:ascii="Calibri" w:hAnsi="Calibri" w:cs="Calibri"/>
          <w:i/>
          <w:iCs/>
          <w:color w:val="000000"/>
        </w:rPr>
        <w:t>International Journal of Developmental Disabilities</w:t>
      </w:r>
      <w:r w:rsidRPr="0089366B">
        <w:rPr>
          <w:rFonts w:ascii="Calibri" w:hAnsi="Calibri" w:cs="Calibri"/>
          <w:color w:val="000000"/>
        </w:rPr>
        <w:t xml:space="preserve">, pp. 1–12. Available at: </w:t>
      </w:r>
      <w:hyperlink r:id="rId10" w:history="1">
        <w:r w:rsidRPr="0089366B">
          <w:rPr>
            <w:rStyle w:val="Hyperlink"/>
            <w:rFonts w:ascii="Calibri" w:hAnsi="Calibri" w:cs="Calibri"/>
          </w:rPr>
          <w:t>https://doi.org/10.1080/20473869.2022.2070418</w:t>
        </w:r>
      </w:hyperlink>
      <w:r w:rsidRPr="0089366B">
        <w:rPr>
          <w:rFonts w:ascii="Calibri" w:hAnsi="Calibri" w:cs="Calibri"/>
          <w:color w:val="000000"/>
        </w:rPr>
        <w:t>.</w:t>
      </w:r>
      <w:r w:rsidRPr="0089366B">
        <w:rPr>
          <w:rStyle w:val="apple-converted-space"/>
          <w:rFonts w:ascii="Calibri" w:hAnsi="Calibri" w:cs="Calibri"/>
          <w:color w:val="000000"/>
        </w:rPr>
        <w:t> </w:t>
      </w:r>
    </w:p>
    <w:p w14:paraId="2B3BE403"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Hong, S.</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(2018) “The mediation effect of preservice teacher attitude toward inclusion for students with autism in South Korea: A structural equation modelling approach,”</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xml:space="preserve">, 24(1), pp. 15–32. Available at: </w:t>
      </w:r>
      <w:hyperlink r:id="rId11" w:history="1">
        <w:r w:rsidRPr="0089366B">
          <w:rPr>
            <w:rStyle w:val="Hyperlink"/>
            <w:rFonts w:ascii="Calibri" w:hAnsi="Calibri" w:cs="Calibri"/>
          </w:rPr>
          <w:t>https://doi.org/10.1080/13603116.2018.1449021</w:t>
        </w:r>
      </w:hyperlink>
      <w:r w:rsidRPr="0089366B">
        <w:rPr>
          <w:rFonts w:ascii="Calibri" w:hAnsi="Calibri" w:cs="Calibri"/>
          <w:color w:val="000000"/>
        </w:rPr>
        <w:t>.</w:t>
      </w:r>
      <w:r w:rsidRPr="0089366B">
        <w:rPr>
          <w:rStyle w:val="apple-converted-space"/>
          <w:rFonts w:ascii="Calibri" w:hAnsi="Calibri" w:cs="Calibri"/>
          <w:color w:val="000000"/>
        </w:rPr>
        <w:t> </w:t>
      </w:r>
    </w:p>
    <w:p w14:paraId="33A712EB"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Humphrey, N. and Lewis, S. (2008) “`make me normal',”</w:t>
      </w:r>
      <w:r w:rsidRPr="0089366B">
        <w:rPr>
          <w:rStyle w:val="apple-converted-space"/>
          <w:rFonts w:ascii="Calibri" w:hAnsi="Calibri" w:cs="Calibri"/>
          <w:color w:val="000000"/>
        </w:rPr>
        <w:t> </w:t>
      </w:r>
      <w:r w:rsidRPr="0089366B">
        <w:rPr>
          <w:rFonts w:ascii="Calibri" w:hAnsi="Calibri" w:cs="Calibri"/>
          <w:i/>
          <w:iCs/>
          <w:color w:val="000000"/>
        </w:rPr>
        <w:t>Autism</w:t>
      </w:r>
      <w:r w:rsidRPr="0089366B">
        <w:rPr>
          <w:rFonts w:ascii="Calibri" w:hAnsi="Calibri" w:cs="Calibri"/>
          <w:color w:val="000000"/>
        </w:rPr>
        <w:t>, 12(1), pp. 23–46. Available at: https://doi.org/10.1177/1362361307085267.</w:t>
      </w:r>
      <w:r w:rsidRPr="0089366B">
        <w:rPr>
          <w:rStyle w:val="apple-converted-space"/>
          <w:rFonts w:ascii="Calibri" w:hAnsi="Calibri" w:cs="Calibri"/>
          <w:color w:val="000000"/>
        </w:rPr>
        <w:t> </w:t>
      </w:r>
    </w:p>
    <w:p w14:paraId="2B8D9451"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Humphrey, N. and Symes, W. (2013) “Inclusive Education for pupils with autistic spectrum disorders in secondary mainstream schools: Teacher attitudes, experience and knowledge,”</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17(1), pp. 32–46. Available at: https://doi.org/10.1080/13603116.2011.580462.</w:t>
      </w:r>
      <w:r w:rsidRPr="0089366B">
        <w:rPr>
          <w:rStyle w:val="apple-converted-space"/>
          <w:rFonts w:ascii="Calibri" w:hAnsi="Calibri" w:cs="Calibri"/>
          <w:color w:val="000000"/>
        </w:rPr>
        <w:t> </w:t>
      </w:r>
    </w:p>
    <w:p w14:paraId="717FC42F"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i/>
          <w:iCs/>
          <w:color w:val="000000"/>
        </w:rPr>
        <w:t>Introduction to Curriculum for Wales guidance</w:t>
      </w:r>
      <w:r w:rsidRPr="0089366B">
        <w:rPr>
          <w:rStyle w:val="apple-converted-space"/>
          <w:rFonts w:ascii="Calibri" w:hAnsi="Calibri" w:cs="Calibri"/>
          <w:color w:val="000000"/>
        </w:rPr>
        <w:t> </w:t>
      </w:r>
      <w:r w:rsidRPr="0089366B">
        <w:rPr>
          <w:rFonts w:ascii="Calibri" w:hAnsi="Calibri" w:cs="Calibri"/>
          <w:color w:val="000000"/>
        </w:rPr>
        <w:t>(2021)</w:t>
      </w:r>
      <w:r w:rsidRPr="0089366B">
        <w:rPr>
          <w:rStyle w:val="apple-converted-space"/>
          <w:rFonts w:ascii="Calibri" w:hAnsi="Calibri" w:cs="Calibri"/>
          <w:color w:val="000000"/>
        </w:rPr>
        <w:t> </w:t>
      </w:r>
      <w:r w:rsidRPr="0089366B">
        <w:rPr>
          <w:rFonts w:ascii="Calibri" w:hAnsi="Calibri" w:cs="Calibri"/>
          <w:i/>
          <w:iCs/>
          <w:color w:val="000000"/>
        </w:rPr>
        <w:t>Hwb</w:t>
      </w:r>
      <w:r w:rsidRPr="0089366B">
        <w:rPr>
          <w:rFonts w:ascii="Calibri" w:hAnsi="Calibri" w:cs="Calibri"/>
          <w:color w:val="000000"/>
        </w:rPr>
        <w:t>. Welsh Government. Available at: https://hwb.gov.wales/curriculum-for-wales/introduction (Accessed: October 11, 2022).</w:t>
      </w:r>
      <w:r w:rsidRPr="0089366B">
        <w:rPr>
          <w:rStyle w:val="apple-converted-space"/>
          <w:rFonts w:ascii="Calibri" w:hAnsi="Calibri" w:cs="Calibri"/>
          <w:color w:val="000000"/>
        </w:rPr>
        <w:t> </w:t>
      </w:r>
    </w:p>
    <w:p w14:paraId="4D963A55"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Knight, C. and Crick, T. (2021)</w:t>
      </w:r>
      <w:r w:rsidRPr="0089366B">
        <w:rPr>
          <w:rStyle w:val="apple-converted-space"/>
          <w:rFonts w:ascii="Calibri" w:hAnsi="Calibri" w:cs="Calibri"/>
          <w:color w:val="000000"/>
        </w:rPr>
        <w:t> </w:t>
      </w:r>
      <w:r w:rsidRPr="0089366B">
        <w:rPr>
          <w:rFonts w:ascii="Calibri" w:hAnsi="Calibri" w:cs="Calibri"/>
          <w:i/>
          <w:iCs/>
          <w:color w:val="000000"/>
        </w:rPr>
        <w:t>A Vision for Inclusive Education in Wales: The Coherence of Additional Learning Needs and National Curriculum Reform</w:t>
      </w:r>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EERA - European Educational Research Association</w:t>
      </w:r>
      <w:r w:rsidRPr="0089366B">
        <w:rPr>
          <w:rFonts w:ascii="Calibri" w:hAnsi="Calibri" w:cs="Calibri"/>
          <w:color w:val="000000"/>
        </w:rPr>
        <w:t>. Available at: https://eera-ecer.de/ecer-programmes/conference/26/contribution/50124/ (Accessed: October 11, 2022).</w:t>
      </w:r>
      <w:r w:rsidRPr="0089366B">
        <w:rPr>
          <w:rStyle w:val="apple-converted-space"/>
          <w:rFonts w:ascii="Calibri" w:hAnsi="Calibri" w:cs="Calibri"/>
          <w:color w:val="000000"/>
        </w:rPr>
        <w:t> </w:t>
      </w:r>
    </w:p>
    <w:p w14:paraId="1748A114"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Kohn, A. (1999)</w:t>
      </w:r>
      <w:r w:rsidRPr="0089366B">
        <w:rPr>
          <w:rStyle w:val="apple-converted-space"/>
          <w:rFonts w:ascii="Calibri" w:hAnsi="Calibri" w:cs="Calibri"/>
          <w:color w:val="000000"/>
        </w:rPr>
        <w:t> </w:t>
      </w:r>
      <w:r w:rsidRPr="0089366B">
        <w:rPr>
          <w:rFonts w:ascii="Calibri" w:hAnsi="Calibri" w:cs="Calibri"/>
          <w:i/>
          <w:iCs/>
          <w:color w:val="000000"/>
        </w:rPr>
        <w:t>Punished by rewards: The trouble with gold stars, incentive plans, A's, praise, and other bribes</w:t>
      </w:r>
      <w:r w:rsidRPr="0089366B">
        <w:rPr>
          <w:rFonts w:ascii="Calibri" w:hAnsi="Calibri" w:cs="Calibri"/>
          <w:color w:val="000000"/>
        </w:rPr>
        <w:t>. Dublin: Houghton Mifflin Co.</w:t>
      </w:r>
      <w:r w:rsidRPr="0089366B">
        <w:rPr>
          <w:rStyle w:val="apple-converted-space"/>
          <w:rFonts w:ascii="Calibri" w:hAnsi="Calibri" w:cs="Calibri"/>
          <w:color w:val="000000"/>
        </w:rPr>
        <w:t> </w:t>
      </w:r>
    </w:p>
    <w:p w14:paraId="585839B5"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Lindsay, S.</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(2013) “Exploring teachers' strategies for including children with autism spectrum disorder in mainstream classrooms,”</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18(2), pp. 101–122. Available at: https://doi.org/10.1080/13603116.2012.758320.</w:t>
      </w:r>
      <w:r w:rsidRPr="0089366B">
        <w:rPr>
          <w:rStyle w:val="apple-converted-space"/>
          <w:rFonts w:ascii="Calibri" w:hAnsi="Calibri" w:cs="Calibri"/>
          <w:color w:val="000000"/>
        </w:rPr>
        <w:t> </w:t>
      </w:r>
    </w:p>
    <w:p w14:paraId="4BAAAC7F"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lastRenderedPageBreak/>
        <w:t>Liu, K. (2015) “Critical reflection as a framework for transformative learning in teacher education,”</w:t>
      </w:r>
      <w:r w:rsidRPr="0089366B">
        <w:rPr>
          <w:rStyle w:val="apple-converted-space"/>
          <w:rFonts w:ascii="Calibri" w:hAnsi="Calibri" w:cs="Calibri"/>
          <w:color w:val="000000"/>
        </w:rPr>
        <w:t> </w:t>
      </w:r>
      <w:r w:rsidRPr="0089366B">
        <w:rPr>
          <w:rFonts w:ascii="Calibri" w:hAnsi="Calibri" w:cs="Calibri"/>
          <w:i/>
          <w:iCs/>
          <w:color w:val="000000"/>
        </w:rPr>
        <w:t>Educational Review</w:t>
      </w:r>
      <w:r w:rsidRPr="0089366B">
        <w:rPr>
          <w:rFonts w:ascii="Calibri" w:hAnsi="Calibri" w:cs="Calibri"/>
          <w:color w:val="000000"/>
        </w:rPr>
        <w:t>, 67(2), pp. 135–157. Available at: https://doi.org/10.1080/00131911.2013.839546.</w:t>
      </w:r>
      <w:r w:rsidRPr="0089366B">
        <w:rPr>
          <w:rStyle w:val="apple-converted-space"/>
          <w:rFonts w:ascii="Calibri" w:hAnsi="Calibri" w:cs="Calibri"/>
          <w:color w:val="000000"/>
        </w:rPr>
        <w:t> </w:t>
      </w:r>
    </w:p>
    <w:p w14:paraId="6DA85282"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i/>
          <w:iCs/>
          <w:color w:val="000000"/>
        </w:rPr>
        <w:t>My Local School</w:t>
      </w:r>
      <w:r w:rsidRPr="0089366B">
        <w:rPr>
          <w:rStyle w:val="apple-converted-space"/>
          <w:rFonts w:ascii="Calibri" w:hAnsi="Calibri" w:cs="Calibri"/>
          <w:color w:val="000000"/>
        </w:rPr>
        <w:t> </w:t>
      </w:r>
      <w:r w:rsidRPr="0089366B">
        <w:rPr>
          <w:rFonts w:ascii="Calibri" w:hAnsi="Calibri" w:cs="Calibri"/>
          <w:color w:val="000000"/>
        </w:rPr>
        <w:t>(2021)</w:t>
      </w:r>
      <w:r w:rsidRPr="0089366B">
        <w:rPr>
          <w:rStyle w:val="apple-converted-space"/>
          <w:rFonts w:ascii="Calibri" w:hAnsi="Calibri" w:cs="Calibri"/>
          <w:color w:val="000000"/>
        </w:rPr>
        <w:t> </w:t>
      </w:r>
      <w:proofErr w:type="spellStart"/>
      <w:r w:rsidRPr="0089366B">
        <w:rPr>
          <w:rFonts w:ascii="Calibri" w:hAnsi="Calibri" w:cs="Calibri"/>
          <w:i/>
          <w:iCs/>
          <w:color w:val="000000"/>
          <w:highlight w:val="black"/>
        </w:rPr>
        <w:t>Blaenhonddan</w:t>
      </w:r>
      <w:proofErr w:type="spellEnd"/>
      <w:r w:rsidRPr="0089366B">
        <w:rPr>
          <w:rFonts w:ascii="Calibri" w:hAnsi="Calibri" w:cs="Calibri"/>
          <w:i/>
          <w:iCs/>
          <w:color w:val="000000"/>
          <w:highlight w:val="black"/>
        </w:rPr>
        <w:t xml:space="preserve"> Primary</w:t>
      </w:r>
      <w:r w:rsidRPr="0089366B">
        <w:rPr>
          <w:rFonts w:ascii="Calibri" w:hAnsi="Calibri" w:cs="Calibri"/>
          <w:i/>
          <w:iCs/>
          <w:color w:val="000000"/>
        </w:rPr>
        <w:t xml:space="preserve"> School</w:t>
      </w:r>
      <w:r w:rsidRPr="0089366B">
        <w:rPr>
          <w:rFonts w:ascii="Calibri" w:hAnsi="Calibri" w:cs="Calibri"/>
          <w:color w:val="000000"/>
        </w:rPr>
        <w:t>. Welsh Government. Available at: https://mylocalschool.gov.wales/</w:t>
      </w:r>
      <w:r w:rsidRPr="0089366B">
        <w:rPr>
          <w:rFonts w:ascii="Calibri" w:hAnsi="Calibri" w:cs="Calibri"/>
          <w:color w:val="000000"/>
          <w:highlight w:val="black"/>
        </w:rPr>
        <w:t>School/6712110?lang=en#0</w:t>
      </w:r>
      <w:r w:rsidRPr="0089366B">
        <w:rPr>
          <w:rFonts w:ascii="Calibri" w:hAnsi="Calibri" w:cs="Calibri"/>
          <w:color w:val="000000"/>
        </w:rPr>
        <w:t xml:space="preserve"> (Accessed: October 8, 2022).</w:t>
      </w:r>
      <w:r w:rsidRPr="0089366B">
        <w:rPr>
          <w:rStyle w:val="apple-converted-space"/>
          <w:rFonts w:ascii="Calibri" w:hAnsi="Calibri" w:cs="Calibri"/>
          <w:color w:val="000000"/>
        </w:rPr>
        <w:t> </w:t>
      </w:r>
    </w:p>
    <w:p w14:paraId="6D724547"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Nye, E.</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(2015) “Classroom behaviour management strategies in response to problematic behaviours of primary school children with special educational needs: Views of Special Educational Needs Coordinators,”</w:t>
      </w:r>
      <w:r w:rsidRPr="0089366B">
        <w:rPr>
          <w:rStyle w:val="apple-converted-space"/>
          <w:rFonts w:ascii="Calibri" w:hAnsi="Calibri" w:cs="Calibri"/>
          <w:color w:val="000000"/>
        </w:rPr>
        <w:t> </w:t>
      </w:r>
      <w:r w:rsidRPr="0089366B">
        <w:rPr>
          <w:rFonts w:ascii="Calibri" w:hAnsi="Calibri" w:cs="Calibri"/>
          <w:i/>
          <w:iCs/>
          <w:color w:val="000000"/>
        </w:rPr>
        <w:t>Emotional and Behavioural Difficulties</w:t>
      </w:r>
      <w:r w:rsidRPr="0089366B">
        <w:rPr>
          <w:rFonts w:ascii="Calibri" w:hAnsi="Calibri" w:cs="Calibri"/>
          <w:color w:val="000000"/>
        </w:rPr>
        <w:t>, 21(1), pp. 43–60. Available at: https://doi.org/10.1080/13632752.2015.1120048.</w:t>
      </w:r>
      <w:r w:rsidRPr="0089366B">
        <w:rPr>
          <w:rStyle w:val="apple-converted-space"/>
          <w:rFonts w:ascii="Calibri" w:hAnsi="Calibri" w:cs="Calibri"/>
          <w:color w:val="000000"/>
        </w:rPr>
        <w:t> </w:t>
      </w:r>
    </w:p>
    <w:p w14:paraId="53D89EF7"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proofErr w:type="spellStart"/>
      <w:r w:rsidRPr="0089366B">
        <w:rPr>
          <w:rFonts w:ascii="Calibri" w:hAnsi="Calibri" w:cs="Calibri"/>
          <w:color w:val="000000"/>
        </w:rPr>
        <w:t>Nilholm</w:t>
      </w:r>
      <w:proofErr w:type="spellEnd"/>
      <w:r w:rsidRPr="0089366B">
        <w:rPr>
          <w:rFonts w:ascii="Calibri" w:hAnsi="Calibri" w:cs="Calibri"/>
          <w:color w:val="000000"/>
        </w:rPr>
        <w:t xml:space="preserve">, C. (2021) “Research about inclusive education in 2020 – how can we improve our theories in order to change </w:t>
      </w:r>
      <w:proofErr w:type="gramStart"/>
      <w:r w:rsidRPr="0089366B">
        <w:rPr>
          <w:rFonts w:ascii="Calibri" w:hAnsi="Calibri" w:cs="Calibri"/>
          <w:color w:val="000000"/>
        </w:rPr>
        <w:t>practice?,</w:t>
      </w:r>
      <w:proofErr w:type="gramEnd"/>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European Journal of Special Needs Education</w:t>
      </w:r>
      <w:r w:rsidRPr="0089366B">
        <w:rPr>
          <w:rFonts w:ascii="Calibri" w:hAnsi="Calibri" w:cs="Calibri"/>
          <w:color w:val="000000"/>
        </w:rPr>
        <w:t>, 36(3), pp. 358–370. Available at: https://doi.org/10.1080/08856257.2020.1754547.</w:t>
      </w:r>
      <w:r w:rsidRPr="0089366B">
        <w:rPr>
          <w:rStyle w:val="apple-converted-space"/>
          <w:rFonts w:ascii="Calibri" w:hAnsi="Calibri" w:cs="Calibri"/>
          <w:color w:val="000000"/>
        </w:rPr>
        <w:t> </w:t>
      </w:r>
    </w:p>
    <w:p w14:paraId="38575268"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Porter, L. (2014)</w:t>
      </w:r>
      <w:r w:rsidRPr="0089366B">
        <w:rPr>
          <w:rStyle w:val="apple-converted-space"/>
          <w:rFonts w:ascii="Calibri" w:hAnsi="Calibri" w:cs="Calibri"/>
          <w:color w:val="000000"/>
        </w:rPr>
        <w:t> </w:t>
      </w:r>
      <w:r w:rsidRPr="0089366B">
        <w:rPr>
          <w:rFonts w:ascii="Calibri" w:hAnsi="Calibri" w:cs="Calibri"/>
          <w:i/>
          <w:iCs/>
          <w:color w:val="000000"/>
        </w:rPr>
        <w:t>Behaviour in schools</w:t>
      </w:r>
      <w:r w:rsidRPr="0089366B">
        <w:rPr>
          <w:rFonts w:ascii="Calibri" w:hAnsi="Calibri" w:cs="Calibri"/>
          <w:color w:val="000000"/>
        </w:rPr>
        <w:t xml:space="preserve">. 3rd </w:t>
      </w:r>
      <w:proofErr w:type="spellStart"/>
      <w:r w:rsidRPr="0089366B">
        <w:rPr>
          <w:rFonts w:ascii="Calibri" w:hAnsi="Calibri" w:cs="Calibri"/>
          <w:color w:val="000000"/>
        </w:rPr>
        <w:t>edn</w:t>
      </w:r>
      <w:proofErr w:type="spellEnd"/>
      <w:r w:rsidRPr="0089366B">
        <w:rPr>
          <w:rFonts w:ascii="Calibri" w:hAnsi="Calibri" w:cs="Calibri"/>
          <w:color w:val="000000"/>
        </w:rPr>
        <w:t>. London: Open University Press.</w:t>
      </w:r>
      <w:r w:rsidRPr="0089366B">
        <w:rPr>
          <w:rStyle w:val="apple-converted-space"/>
          <w:rFonts w:ascii="Calibri" w:hAnsi="Calibri" w:cs="Calibri"/>
          <w:color w:val="000000"/>
        </w:rPr>
        <w:t> </w:t>
      </w:r>
    </w:p>
    <w:p w14:paraId="0901301C" w14:textId="77777777" w:rsidR="00A22832" w:rsidRPr="0089366B" w:rsidRDefault="00A22832" w:rsidP="00A22832">
      <w:pPr>
        <w:pStyle w:val="NormalWeb"/>
        <w:spacing w:line="276" w:lineRule="auto"/>
        <w:ind w:left="567" w:hanging="567"/>
        <w:rPr>
          <w:rFonts w:ascii="Calibri" w:hAnsi="Calibri" w:cs="Calibri"/>
          <w:color w:val="000000"/>
        </w:rPr>
      </w:pPr>
      <w:proofErr w:type="spellStart"/>
      <w:r w:rsidRPr="0089366B">
        <w:rPr>
          <w:rFonts w:ascii="Calibri" w:hAnsi="Calibri" w:cs="Calibri"/>
          <w:color w:val="000000"/>
        </w:rPr>
        <w:t>Ravet</w:t>
      </w:r>
      <w:proofErr w:type="spellEnd"/>
      <w:r w:rsidRPr="0089366B">
        <w:rPr>
          <w:rFonts w:ascii="Calibri" w:hAnsi="Calibri" w:cs="Calibri"/>
          <w:color w:val="000000"/>
        </w:rPr>
        <w:t>, J. (2017) “‘But how do I teach them?’: Autism &amp; initial teacher education (ITE),”</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22(7), pp. 714–733. Available at: https://doi.org/10.1080/13603116.2017.1412505.</w:t>
      </w:r>
      <w:r w:rsidRPr="0089366B">
        <w:rPr>
          <w:rStyle w:val="apple-converted-space"/>
          <w:rFonts w:ascii="Calibri" w:hAnsi="Calibri" w:cs="Calibri"/>
          <w:color w:val="000000"/>
        </w:rPr>
        <w:t> </w:t>
      </w:r>
    </w:p>
    <w:p w14:paraId="0D9F4ADD"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Robertson, K., Chamberlain, B. and </w:t>
      </w:r>
      <w:proofErr w:type="spellStart"/>
      <w:r w:rsidRPr="0089366B">
        <w:rPr>
          <w:rFonts w:ascii="Calibri" w:hAnsi="Calibri" w:cs="Calibri"/>
          <w:color w:val="000000"/>
        </w:rPr>
        <w:t>Kasari</w:t>
      </w:r>
      <w:proofErr w:type="spellEnd"/>
      <w:r w:rsidRPr="0089366B">
        <w:rPr>
          <w:rFonts w:ascii="Calibri" w:hAnsi="Calibri" w:cs="Calibri"/>
          <w:color w:val="000000"/>
        </w:rPr>
        <w:t>, C. (2003) “General education teachers' relationships with included students with autism,”</w:t>
      </w:r>
      <w:r w:rsidRPr="0089366B">
        <w:rPr>
          <w:rStyle w:val="apple-converted-space"/>
          <w:rFonts w:ascii="Calibri" w:hAnsi="Calibri" w:cs="Calibri"/>
          <w:color w:val="000000"/>
        </w:rPr>
        <w:t> </w:t>
      </w:r>
      <w:r w:rsidRPr="0089366B">
        <w:rPr>
          <w:rFonts w:ascii="Calibri" w:hAnsi="Calibri" w:cs="Calibri"/>
          <w:i/>
          <w:iCs/>
          <w:color w:val="000000"/>
        </w:rPr>
        <w:t>Journal of Autism and Developmental Disorders</w:t>
      </w:r>
      <w:r w:rsidRPr="0089366B">
        <w:rPr>
          <w:rFonts w:ascii="Calibri" w:hAnsi="Calibri" w:cs="Calibri"/>
          <w:color w:val="000000"/>
        </w:rPr>
        <w:t>, 33(2), pp. 123–130. Available at: https://doi.org/10.1023/a:1022979108096.</w:t>
      </w:r>
      <w:r w:rsidRPr="0089366B">
        <w:rPr>
          <w:rStyle w:val="apple-converted-space"/>
          <w:rFonts w:ascii="Calibri" w:hAnsi="Calibri" w:cs="Calibri"/>
          <w:color w:val="000000"/>
        </w:rPr>
        <w:t> </w:t>
      </w:r>
    </w:p>
    <w:p w14:paraId="3307A59A"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Roberts, J. and Simpson, K. (2016) “A review of research into stakeholder perspectives on inclusion of students with autism in mainstream schools,”</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20(10), pp. 1084–1096. Available at: https://doi.org/10.1080/13603116.2016.1145267.</w:t>
      </w:r>
      <w:r w:rsidRPr="0089366B">
        <w:rPr>
          <w:rStyle w:val="apple-converted-space"/>
          <w:rFonts w:ascii="Calibri" w:hAnsi="Calibri" w:cs="Calibri"/>
          <w:color w:val="000000"/>
        </w:rPr>
        <w:t> </w:t>
      </w:r>
    </w:p>
    <w:p w14:paraId="4768C9F4"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t>Roberts, J. and Webster, A. (2022) “Including students with autism in schools: A Whole School approach to improve outcomes for students with autism,”</w:t>
      </w:r>
      <w:r w:rsidRPr="0089366B">
        <w:rPr>
          <w:rStyle w:val="apple-converted-space"/>
          <w:rFonts w:ascii="Calibri" w:hAnsi="Calibri" w:cs="Calibri"/>
          <w:color w:val="000000"/>
        </w:rPr>
        <w:t> </w:t>
      </w:r>
      <w:r w:rsidRPr="0089366B">
        <w:rPr>
          <w:rFonts w:ascii="Calibri" w:hAnsi="Calibri" w:cs="Calibri"/>
          <w:i/>
          <w:iCs/>
          <w:color w:val="000000"/>
        </w:rPr>
        <w:t>International Journal of Inclusive Education</w:t>
      </w:r>
      <w:r w:rsidRPr="0089366B">
        <w:rPr>
          <w:rFonts w:ascii="Calibri" w:hAnsi="Calibri" w:cs="Calibri"/>
          <w:color w:val="000000"/>
        </w:rPr>
        <w:t>, 26(7), pp. 701–718. Available at: https://doi.org/10.1080/13603116.2020.1712622.</w:t>
      </w:r>
      <w:r w:rsidRPr="0089366B">
        <w:rPr>
          <w:rStyle w:val="apple-converted-space"/>
          <w:rFonts w:ascii="Calibri" w:hAnsi="Calibri" w:cs="Calibri"/>
          <w:color w:val="000000"/>
        </w:rPr>
        <w:t> </w:t>
      </w:r>
    </w:p>
    <w:p w14:paraId="1A187AA6" w14:textId="77777777" w:rsidR="00A22832"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Robinson, B. (2020) “The </w:t>
      </w:r>
      <w:proofErr w:type="spellStart"/>
      <w:r w:rsidRPr="0089366B">
        <w:rPr>
          <w:rFonts w:ascii="Calibri" w:hAnsi="Calibri" w:cs="Calibri"/>
          <w:color w:val="000000"/>
        </w:rPr>
        <w:t>Classdojo</w:t>
      </w:r>
      <w:proofErr w:type="spellEnd"/>
      <w:r w:rsidRPr="0089366B">
        <w:rPr>
          <w:rFonts w:ascii="Calibri" w:hAnsi="Calibri" w:cs="Calibri"/>
          <w:color w:val="000000"/>
        </w:rPr>
        <w:t xml:space="preserve"> app: Training in the art of </w:t>
      </w:r>
      <w:proofErr w:type="spellStart"/>
      <w:r w:rsidRPr="0089366B">
        <w:rPr>
          <w:rFonts w:ascii="Calibri" w:hAnsi="Calibri" w:cs="Calibri"/>
          <w:color w:val="000000"/>
        </w:rPr>
        <w:t>dividuation</w:t>
      </w:r>
      <w:proofErr w:type="spellEnd"/>
      <w:r w:rsidRPr="0089366B">
        <w:rPr>
          <w:rFonts w:ascii="Calibri" w:hAnsi="Calibri" w:cs="Calibri"/>
          <w:color w:val="000000"/>
        </w:rPr>
        <w:t>,”</w:t>
      </w:r>
      <w:r w:rsidRPr="0089366B">
        <w:rPr>
          <w:rStyle w:val="apple-converted-space"/>
          <w:rFonts w:ascii="Calibri" w:hAnsi="Calibri" w:cs="Calibri"/>
          <w:color w:val="000000"/>
        </w:rPr>
        <w:t> </w:t>
      </w:r>
      <w:r w:rsidRPr="0089366B">
        <w:rPr>
          <w:rFonts w:ascii="Calibri" w:hAnsi="Calibri" w:cs="Calibri"/>
          <w:i/>
          <w:iCs/>
          <w:color w:val="000000"/>
        </w:rPr>
        <w:t>International Journal of Qualitative Studies in Education</w:t>
      </w:r>
      <w:r w:rsidRPr="0089366B">
        <w:rPr>
          <w:rFonts w:ascii="Calibri" w:hAnsi="Calibri" w:cs="Calibri"/>
          <w:color w:val="000000"/>
        </w:rPr>
        <w:t xml:space="preserve">, 34(7), pp. 598–612. Available at: </w:t>
      </w:r>
      <w:hyperlink r:id="rId12" w:history="1">
        <w:r w:rsidRPr="00CA3AC5">
          <w:rPr>
            <w:rStyle w:val="Hyperlink"/>
            <w:rFonts w:ascii="Calibri" w:hAnsi="Calibri" w:cs="Calibri"/>
          </w:rPr>
          <w:t>https://doi.org/10.1080/09518398.2020.1771460</w:t>
        </w:r>
      </w:hyperlink>
      <w:r w:rsidRPr="0089366B">
        <w:rPr>
          <w:rFonts w:ascii="Calibri" w:hAnsi="Calibri" w:cs="Calibri"/>
          <w:color w:val="000000"/>
        </w:rPr>
        <w:t>.</w:t>
      </w:r>
      <w:r w:rsidRPr="0089366B">
        <w:rPr>
          <w:rStyle w:val="apple-converted-space"/>
          <w:rFonts w:ascii="Calibri" w:hAnsi="Calibri" w:cs="Calibri"/>
          <w:color w:val="000000"/>
        </w:rPr>
        <w:t> </w:t>
      </w:r>
    </w:p>
    <w:p w14:paraId="3825E016" w14:textId="77777777" w:rsidR="00A22832" w:rsidRPr="00FB1A2C" w:rsidRDefault="00A22832" w:rsidP="00A22832">
      <w:pPr>
        <w:pStyle w:val="NormalWeb"/>
        <w:ind w:left="567" w:hanging="567"/>
        <w:rPr>
          <w:rFonts w:asciiTheme="minorHAnsi" w:hAnsiTheme="minorHAnsi" w:cstheme="minorHAnsi"/>
          <w:color w:val="000000"/>
        </w:rPr>
      </w:pPr>
      <w:proofErr w:type="spellStart"/>
      <w:r w:rsidRPr="00FB1A2C">
        <w:rPr>
          <w:rFonts w:asciiTheme="minorHAnsi" w:hAnsiTheme="minorHAnsi" w:cstheme="minorHAnsi"/>
          <w:color w:val="000000"/>
        </w:rPr>
        <w:lastRenderedPageBreak/>
        <w:t>Roorda</w:t>
      </w:r>
      <w:proofErr w:type="spellEnd"/>
      <w:r w:rsidRPr="00FB1A2C">
        <w:rPr>
          <w:rFonts w:asciiTheme="minorHAnsi" w:hAnsiTheme="minorHAnsi" w:cstheme="minorHAnsi"/>
          <w:color w:val="000000"/>
        </w:rPr>
        <w:t>, D.L.</w:t>
      </w:r>
      <w:r w:rsidRPr="00FB1A2C">
        <w:rPr>
          <w:rStyle w:val="apple-converted-space"/>
          <w:rFonts w:asciiTheme="minorHAnsi" w:hAnsiTheme="minorHAnsi" w:cstheme="minorHAnsi"/>
          <w:color w:val="000000"/>
        </w:rPr>
        <w:t> </w:t>
      </w:r>
      <w:r w:rsidRPr="00FB1A2C">
        <w:rPr>
          <w:rFonts w:asciiTheme="minorHAnsi" w:hAnsiTheme="minorHAnsi" w:cstheme="minorHAnsi"/>
          <w:i/>
          <w:iCs/>
          <w:color w:val="000000"/>
        </w:rPr>
        <w:t>et al.</w:t>
      </w:r>
      <w:r w:rsidRPr="00FB1A2C">
        <w:rPr>
          <w:rStyle w:val="apple-converted-space"/>
          <w:rFonts w:asciiTheme="minorHAnsi" w:hAnsiTheme="minorHAnsi" w:cstheme="minorHAnsi"/>
          <w:color w:val="000000"/>
        </w:rPr>
        <w:t> </w:t>
      </w:r>
      <w:r w:rsidRPr="00FB1A2C">
        <w:rPr>
          <w:rFonts w:asciiTheme="minorHAnsi" w:hAnsiTheme="minorHAnsi" w:cstheme="minorHAnsi"/>
          <w:color w:val="000000"/>
        </w:rPr>
        <w:t>(2011) “The influence of affective teacher–student relationships on students’ school engagement and achievement,”</w:t>
      </w:r>
      <w:r w:rsidRPr="00FB1A2C">
        <w:rPr>
          <w:rStyle w:val="apple-converted-space"/>
          <w:rFonts w:asciiTheme="minorHAnsi" w:hAnsiTheme="minorHAnsi" w:cstheme="minorHAnsi"/>
          <w:color w:val="000000"/>
        </w:rPr>
        <w:t> </w:t>
      </w:r>
      <w:r w:rsidRPr="00FB1A2C">
        <w:rPr>
          <w:rFonts w:asciiTheme="minorHAnsi" w:hAnsiTheme="minorHAnsi" w:cstheme="minorHAnsi"/>
          <w:i/>
          <w:iCs/>
          <w:color w:val="000000"/>
        </w:rPr>
        <w:t>Review of Educational Research</w:t>
      </w:r>
      <w:r w:rsidRPr="00FB1A2C">
        <w:rPr>
          <w:rFonts w:asciiTheme="minorHAnsi" w:hAnsiTheme="minorHAnsi" w:cstheme="minorHAnsi"/>
          <w:color w:val="000000"/>
        </w:rPr>
        <w:t>, 81(4), pp. 493–529. Available at: https://doi.org/10.3102/0034654311421793.</w:t>
      </w:r>
      <w:r w:rsidRPr="00FB1A2C">
        <w:rPr>
          <w:rStyle w:val="apple-converted-space"/>
          <w:rFonts w:asciiTheme="minorHAnsi" w:hAnsiTheme="minorHAnsi" w:cstheme="minorHAnsi"/>
          <w:color w:val="000000"/>
        </w:rPr>
        <w:t> </w:t>
      </w:r>
    </w:p>
    <w:p w14:paraId="20128529"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Ryan, M. (2011) “Improving reflective writing in higher education: A Social Semiotic Perspective,”</w:t>
      </w:r>
      <w:r w:rsidRPr="0089366B">
        <w:rPr>
          <w:rStyle w:val="apple-converted-space"/>
          <w:rFonts w:ascii="Calibri" w:hAnsi="Calibri" w:cs="Calibri"/>
          <w:color w:val="000000"/>
        </w:rPr>
        <w:t> </w:t>
      </w:r>
      <w:r w:rsidRPr="0089366B">
        <w:rPr>
          <w:rFonts w:ascii="Calibri" w:hAnsi="Calibri" w:cs="Calibri"/>
          <w:i/>
          <w:iCs/>
          <w:color w:val="000000"/>
        </w:rPr>
        <w:t>Teaching in Higher Education</w:t>
      </w:r>
      <w:r w:rsidRPr="0089366B">
        <w:rPr>
          <w:rFonts w:ascii="Calibri" w:hAnsi="Calibri" w:cs="Calibri"/>
          <w:color w:val="000000"/>
        </w:rPr>
        <w:t xml:space="preserve">, 16(1). Available at: </w:t>
      </w:r>
      <w:hyperlink r:id="rId13" w:history="1">
        <w:r w:rsidRPr="0089366B">
          <w:rPr>
            <w:rStyle w:val="Hyperlink"/>
            <w:rFonts w:ascii="Calibri" w:hAnsi="Calibri" w:cs="Calibri"/>
          </w:rPr>
          <w:t>https://doi.org/10.1080/13562517.2010.507311</w:t>
        </w:r>
      </w:hyperlink>
      <w:r w:rsidRPr="0089366B">
        <w:rPr>
          <w:rFonts w:ascii="Calibri" w:hAnsi="Calibri" w:cs="Calibri"/>
          <w:color w:val="000000"/>
        </w:rPr>
        <w:t>.</w:t>
      </w:r>
      <w:r w:rsidRPr="0089366B">
        <w:rPr>
          <w:rStyle w:val="apple-converted-space"/>
          <w:rFonts w:ascii="Calibri" w:hAnsi="Calibri" w:cs="Calibri"/>
          <w:color w:val="000000"/>
        </w:rPr>
        <w:t> </w:t>
      </w:r>
    </w:p>
    <w:p w14:paraId="018B2F38" w14:textId="77777777" w:rsidR="00A22832" w:rsidRDefault="00A22832" w:rsidP="00A22832">
      <w:pPr>
        <w:pStyle w:val="NormalWeb"/>
        <w:spacing w:line="276" w:lineRule="auto"/>
        <w:ind w:left="567" w:hanging="567"/>
        <w:rPr>
          <w:rFonts w:ascii="Calibri" w:hAnsi="Calibri" w:cs="Calibri"/>
          <w:color w:val="1C1651"/>
        </w:rPr>
      </w:pPr>
      <w:proofErr w:type="spellStart"/>
      <w:r w:rsidRPr="0089366B">
        <w:rPr>
          <w:rFonts w:ascii="Calibri" w:hAnsi="Calibri" w:cs="Calibri"/>
          <w:color w:val="1C1651"/>
        </w:rPr>
        <w:t>Saggers</w:t>
      </w:r>
      <w:proofErr w:type="spellEnd"/>
      <w:r w:rsidRPr="0089366B">
        <w:rPr>
          <w:rFonts w:ascii="Calibri" w:hAnsi="Calibri" w:cs="Calibri"/>
          <w:color w:val="1C1651"/>
        </w:rPr>
        <w:t xml:space="preserve">, B., Klug, D., Harper-Hill, K., Ashburner, J., Costley, D., Clark, T., Bruck, S., </w:t>
      </w:r>
      <w:proofErr w:type="spellStart"/>
      <w:r w:rsidRPr="0089366B">
        <w:rPr>
          <w:rFonts w:ascii="Calibri" w:hAnsi="Calibri" w:cs="Calibri"/>
          <w:color w:val="1C1651"/>
        </w:rPr>
        <w:t>Trembath</w:t>
      </w:r>
      <w:proofErr w:type="spellEnd"/>
      <w:r w:rsidRPr="0089366B">
        <w:rPr>
          <w:rFonts w:ascii="Calibri" w:hAnsi="Calibri" w:cs="Calibri"/>
          <w:color w:val="1C1651"/>
        </w:rPr>
        <w:t xml:space="preserve">, D., Webster, A. A., &amp; Carrington, S. (2018). </w:t>
      </w:r>
      <w:r w:rsidRPr="0089366B">
        <w:rPr>
          <w:rFonts w:ascii="Calibri" w:hAnsi="Calibri" w:cs="Calibri"/>
          <w:i/>
          <w:iCs/>
          <w:color w:val="1C1651"/>
        </w:rPr>
        <w:t xml:space="preserve">Australian autism educational needs analysis – What are the needs of schools, </w:t>
      </w:r>
      <w:proofErr w:type="gramStart"/>
      <w:r w:rsidRPr="0089366B">
        <w:rPr>
          <w:rFonts w:ascii="Calibri" w:hAnsi="Calibri" w:cs="Calibri"/>
          <w:i/>
          <w:iCs/>
          <w:color w:val="1C1651"/>
        </w:rPr>
        <w:t>parents</w:t>
      </w:r>
      <w:proofErr w:type="gramEnd"/>
      <w:r w:rsidRPr="0089366B">
        <w:rPr>
          <w:rFonts w:ascii="Calibri" w:hAnsi="Calibri" w:cs="Calibri"/>
          <w:i/>
          <w:iCs/>
          <w:color w:val="1C1651"/>
        </w:rPr>
        <w:t xml:space="preserve"> and students on the autism spectrum? Full report and executive summary</w:t>
      </w:r>
      <w:r w:rsidRPr="0089366B">
        <w:rPr>
          <w:rFonts w:ascii="Calibri" w:hAnsi="Calibri" w:cs="Calibri"/>
          <w:color w:val="1C1651"/>
        </w:rPr>
        <w:t xml:space="preserve">, version 2. Cooperative Research Centre for Living with Autism, Brisbane </w:t>
      </w:r>
    </w:p>
    <w:p w14:paraId="539F2918" w14:textId="77777777" w:rsidR="00A22832" w:rsidRPr="00DC57BA" w:rsidRDefault="00A22832" w:rsidP="00A22832">
      <w:pPr>
        <w:pStyle w:val="NormalWeb"/>
        <w:ind w:left="567" w:hanging="567"/>
        <w:rPr>
          <w:rStyle w:val="apple-converted-space"/>
          <w:rFonts w:asciiTheme="minorHAnsi" w:hAnsiTheme="minorHAnsi" w:cstheme="minorHAnsi"/>
          <w:color w:val="000000"/>
        </w:rPr>
      </w:pPr>
      <w:r w:rsidRPr="00DC57BA">
        <w:rPr>
          <w:rFonts w:asciiTheme="minorHAnsi" w:hAnsiTheme="minorHAnsi" w:cstheme="minorHAnsi"/>
          <w:color w:val="000000"/>
        </w:rPr>
        <w:t>Schon, D.A. (1991)</w:t>
      </w:r>
      <w:r w:rsidRPr="00DC57BA">
        <w:rPr>
          <w:rStyle w:val="apple-converted-space"/>
          <w:rFonts w:asciiTheme="minorHAnsi" w:hAnsiTheme="minorHAnsi" w:cstheme="minorHAnsi"/>
          <w:color w:val="000000"/>
        </w:rPr>
        <w:t> </w:t>
      </w:r>
      <w:r w:rsidRPr="00DC57BA">
        <w:rPr>
          <w:rFonts w:asciiTheme="minorHAnsi" w:hAnsiTheme="minorHAnsi" w:cstheme="minorHAnsi"/>
          <w:i/>
          <w:iCs/>
          <w:color w:val="000000"/>
        </w:rPr>
        <w:t>The reflective practitioner: How professionals think in action</w:t>
      </w:r>
      <w:r w:rsidRPr="00DC57BA">
        <w:rPr>
          <w:rFonts w:asciiTheme="minorHAnsi" w:hAnsiTheme="minorHAnsi" w:cstheme="minorHAnsi"/>
          <w:color w:val="000000"/>
        </w:rPr>
        <w:t>. Aldershot, U.K.: Ashgate. Available at: https://www.taylorfrancis.com/books/mono/10.4324/9781315237473/reflective-practitioner-donald-schön (Accessed: October 11, 2022).</w:t>
      </w:r>
      <w:r w:rsidRPr="00DC57BA">
        <w:rPr>
          <w:rStyle w:val="apple-converted-space"/>
          <w:rFonts w:asciiTheme="minorHAnsi" w:hAnsiTheme="minorHAnsi" w:cstheme="minorHAnsi"/>
          <w:color w:val="000000"/>
        </w:rPr>
        <w:t> </w:t>
      </w:r>
    </w:p>
    <w:p w14:paraId="1BF86EF0"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Sciutto, M.</w:t>
      </w:r>
      <w:r w:rsidRPr="0089366B">
        <w:rPr>
          <w:rStyle w:val="apple-converted-space"/>
          <w:rFonts w:ascii="Calibri" w:hAnsi="Calibri" w:cs="Calibri"/>
          <w:color w:val="000000"/>
        </w:rPr>
        <w:t> </w:t>
      </w:r>
      <w:r w:rsidRPr="0089366B">
        <w:rPr>
          <w:rFonts w:ascii="Calibri" w:hAnsi="Calibri" w:cs="Calibri"/>
          <w:i/>
          <w:iCs/>
          <w:color w:val="000000"/>
        </w:rPr>
        <w:t>et al.</w:t>
      </w:r>
      <w:r w:rsidRPr="0089366B">
        <w:rPr>
          <w:rStyle w:val="apple-converted-space"/>
          <w:rFonts w:ascii="Calibri" w:hAnsi="Calibri" w:cs="Calibri"/>
          <w:color w:val="000000"/>
        </w:rPr>
        <w:t> </w:t>
      </w:r>
      <w:r w:rsidRPr="0089366B">
        <w:rPr>
          <w:rFonts w:ascii="Calibri" w:hAnsi="Calibri" w:cs="Calibri"/>
          <w:color w:val="000000"/>
        </w:rPr>
        <w:t xml:space="preserve">(2012) “A qualitative analysis of the school experiences of students with </w:t>
      </w:r>
      <w:proofErr w:type="spellStart"/>
      <w:r w:rsidRPr="0089366B">
        <w:rPr>
          <w:rFonts w:ascii="Calibri" w:hAnsi="Calibri" w:cs="Calibri"/>
          <w:color w:val="000000"/>
        </w:rPr>
        <w:t>asperger</w:t>
      </w:r>
      <w:proofErr w:type="spellEnd"/>
      <w:r w:rsidRPr="0089366B">
        <w:rPr>
          <w:rFonts w:ascii="Calibri" w:hAnsi="Calibri" w:cs="Calibri"/>
          <w:color w:val="000000"/>
        </w:rPr>
        <w:t xml:space="preserve"> syndrome,”</w:t>
      </w:r>
      <w:r w:rsidRPr="0089366B">
        <w:rPr>
          <w:rStyle w:val="apple-converted-space"/>
          <w:rFonts w:ascii="Calibri" w:hAnsi="Calibri" w:cs="Calibri"/>
          <w:color w:val="000000"/>
        </w:rPr>
        <w:t> </w:t>
      </w:r>
      <w:r w:rsidRPr="0089366B">
        <w:rPr>
          <w:rFonts w:ascii="Calibri" w:hAnsi="Calibri" w:cs="Calibri"/>
          <w:i/>
          <w:iCs/>
          <w:color w:val="000000"/>
        </w:rPr>
        <w:t>Focus on Autism and Other Developmental Disabilities</w:t>
      </w:r>
      <w:r w:rsidRPr="0089366B">
        <w:rPr>
          <w:rFonts w:ascii="Calibri" w:hAnsi="Calibri" w:cs="Calibri"/>
          <w:color w:val="000000"/>
        </w:rPr>
        <w:t xml:space="preserve">, 27(3), pp. 177–188. Available at: </w:t>
      </w:r>
      <w:hyperlink r:id="rId14" w:history="1">
        <w:r w:rsidRPr="0089366B">
          <w:rPr>
            <w:rStyle w:val="Hyperlink"/>
            <w:rFonts w:ascii="Calibri" w:hAnsi="Calibri" w:cs="Calibri"/>
          </w:rPr>
          <w:t>https://doi.org/10.1177/1088357612450511</w:t>
        </w:r>
      </w:hyperlink>
      <w:r w:rsidRPr="0089366B">
        <w:rPr>
          <w:rFonts w:ascii="Calibri" w:hAnsi="Calibri" w:cs="Calibri"/>
          <w:color w:val="000000"/>
        </w:rPr>
        <w:t>.</w:t>
      </w:r>
      <w:r w:rsidRPr="0089366B">
        <w:rPr>
          <w:rStyle w:val="apple-converted-space"/>
          <w:rFonts w:ascii="Calibri" w:hAnsi="Calibri" w:cs="Calibri"/>
          <w:color w:val="000000"/>
        </w:rPr>
        <w:t> </w:t>
      </w:r>
    </w:p>
    <w:p w14:paraId="24C4BDBD"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Tripp, D. (2011)</w:t>
      </w:r>
      <w:r w:rsidRPr="0089366B">
        <w:rPr>
          <w:rStyle w:val="apple-converted-space"/>
          <w:rFonts w:ascii="Calibri" w:hAnsi="Calibri" w:cs="Calibri"/>
          <w:color w:val="000000"/>
        </w:rPr>
        <w:t> </w:t>
      </w:r>
      <w:r w:rsidRPr="0089366B">
        <w:rPr>
          <w:rFonts w:ascii="Calibri" w:hAnsi="Calibri" w:cs="Calibri"/>
          <w:i/>
          <w:iCs/>
          <w:color w:val="000000"/>
        </w:rPr>
        <w:t>Critical incidents in teaching: Developing professional judgement</w:t>
      </w:r>
      <w:r w:rsidRPr="0089366B">
        <w:rPr>
          <w:rFonts w:ascii="Calibri" w:hAnsi="Calibri" w:cs="Calibri"/>
          <w:color w:val="000000"/>
        </w:rPr>
        <w:t>. London: Routledge.</w:t>
      </w:r>
      <w:r w:rsidRPr="0089366B">
        <w:rPr>
          <w:rStyle w:val="apple-converted-space"/>
          <w:rFonts w:ascii="Calibri" w:hAnsi="Calibri" w:cs="Calibri"/>
          <w:color w:val="000000"/>
        </w:rPr>
        <w:t> </w:t>
      </w:r>
      <w:r>
        <w:rPr>
          <w:rStyle w:val="apple-converted-space"/>
          <w:rFonts w:ascii="Calibri" w:hAnsi="Calibri" w:cs="Calibri"/>
          <w:color w:val="000000"/>
        </w:rPr>
        <w:t xml:space="preserve">Available at: </w:t>
      </w:r>
      <w:hyperlink r:id="rId15" w:history="1">
        <w:r w:rsidRPr="00CA3AC5">
          <w:rPr>
            <w:rStyle w:val="Hyperlink"/>
            <w:rFonts w:ascii="Calibri" w:hAnsi="Calibri" w:cs="Calibri"/>
          </w:rPr>
          <w:t>https://www.taylorfrancis.com/books/mono/10.4324/9780203802014/critical-incidents-teaching-classic-edition-david-tripp</w:t>
        </w:r>
      </w:hyperlink>
      <w:r>
        <w:rPr>
          <w:rStyle w:val="apple-converted-space"/>
          <w:rFonts w:ascii="Calibri" w:hAnsi="Calibri" w:cs="Calibri"/>
          <w:color w:val="000000"/>
        </w:rPr>
        <w:t xml:space="preserve"> </w:t>
      </w:r>
    </w:p>
    <w:p w14:paraId="2AAFB941"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UNESCO (1994)</w:t>
      </w:r>
      <w:r w:rsidRPr="0089366B">
        <w:rPr>
          <w:rStyle w:val="apple-converted-space"/>
          <w:rFonts w:ascii="Calibri" w:hAnsi="Calibri" w:cs="Calibri"/>
          <w:color w:val="000000"/>
        </w:rPr>
        <w:t> </w:t>
      </w:r>
      <w:r w:rsidRPr="0089366B">
        <w:rPr>
          <w:rFonts w:ascii="Calibri" w:hAnsi="Calibri" w:cs="Calibri"/>
          <w:i/>
          <w:iCs/>
          <w:color w:val="000000"/>
        </w:rPr>
        <w:t>The Salamanca Statement and Framework for Action on Special Needs Education</w:t>
      </w:r>
      <w:r w:rsidRPr="0089366B">
        <w:rPr>
          <w:rFonts w:ascii="Calibri" w:hAnsi="Calibri" w:cs="Calibri"/>
          <w:color w:val="000000"/>
        </w:rPr>
        <w:t>. Available at: https://www.european-agency.org/sites/default/files/salamanca-statement-and-framework.pdf (Accessed: October 15, 2022).</w:t>
      </w:r>
      <w:r w:rsidRPr="0089366B">
        <w:rPr>
          <w:rStyle w:val="apple-converted-space"/>
          <w:rFonts w:ascii="Calibri" w:hAnsi="Calibri" w:cs="Calibri"/>
          <w:color w:val="000000"/>
        </w:rPr>
        <w:t> </w:t>
      </w:r>
    </w:p>
    <w:p w14:paraId="3262B1EE"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 xml:space="preserve">van </w:t>
      </w:r>
      <w:proofErr w:type="spellStart"/>
      <w:r w:rsidRPr="0089366B">
        <w:rPr>
          <w:rFonts w:ascii="Calibri" w:hAnsi="Calibri" w:cs="Calibri"/>
          <w:color w:val="000000"/>
        </w:rPr>
        <w:t>Steensel</w:t>
      </w:r>
      <w:proofErr w:type="spellEnd"/>
      <w:r w:rsidRPr="0089366B">
        <w:rPr>
          <w:rFonts w:ascii="Calibri" w:hAnsi="Calibri" w:cs="Calibri"/>
          <w:color w:val="000000"/>
        </w:rPr>
        <w:t xml:space="preserve">, F.J., </w:t>
      </w:r>
      <w:proofErr w:type="spellStart"/>
      <w:r w:rsidRPr="0089366B">
        <w:rPr>
          <w:rFonts w:ascii="Calibri" w:hAnsi="Calibri" w:cs="Calibri"/>
          <w:color w:val="000000"/>
        </w:rPr>
        <w:t>Bögels</w:t>
      </w:r>
      <w:proofErr w:type="spellEnd"/>
      <w:r w:rsidRPr="0089366B">
        <w:rPr>
          <w:rFonts w:ascii="Calibri" w:hAnsi="Calibri" w:cs="Calibri"/>
          <w:color w:val="000000"/>
        </w:rPr>
        <w:t>, S.M. and Perrin, S. (2011) “</w:t>
      </w:r>
      <w:proofErr w:type="gramStart"/>
      <w:r w:rsidRPr="0089366B">
        <w:rPr>
          <w:rFonts w:ascii="Calibri" w:hAnsi="Calibri" w:cs="Calibri"/>
          <w:color w:val="000000"/>
        </w:rPr>
        <w:t>Anxiety disorders</w:t>
      </w:r>
      <w:proofErr w:type="gramEnd"/>
      <w:r w:rsidRPr="0089366B">
        <w:rPr>
          <w:rFonts w:ascii="Calibri" w:hAnsi="Calibri" w:cs="Calibri"/>
          <w:color w:val="000000"/>
        </w:rPr>
        <w:t xml:space="preserve"> in children and adolescents with autistic spectrum disorders: A meta-analysis,”</w:t>
      </w:r>
      <w:r w:rsidRPr="0089366B">
        <w:rPr>
          <w:rStyle w:val="apple-converted-space"/>
          <w:rFonts w:ascii="Calibri" w:hAnsi="Calibri" w:cs="Calibri"/>
          <w:color w:val="000000"/>
        </w:rPr>
        <w:t> </w:t>
      </w:r>
      <w:r w:rsidRPr="0089366B">
        <w:rPr>
          <w:rFonts w:ascii="Calibri" w:hAnsi="Calibri" w:cs="Calibri"/>
          <w:i/>
          <w:iCs/>
          <w:color w:val="000000"/>
        </w:rPr>
        <w:t>Clinical Child and Family Psychology Review</w:t>
      </w:r>
      <w:r w:rsidRPr="0089366B">
        <w:rPr>
          <w:rFonts w:ascii="Calibri" w:hAnsi="Calibri" w:cs="Calibri"/>
          <w:color w:val="000000"/>
        </w:rPr>
        <w:t>, 14(3), pp. 302–317. Available at: https://doi.org/10.1007/s10567-011-0097-0.</w:t>
      </w:r>
      <w:r w:rsidRPr="0089366B">
        <w:rPr>
          <w:rStyle w:val="apple-converted-space"/>
          <w:rFonts w:ascii="Calibri" w:hAnsi="Calibri" w:cs="Calibri"/>
          <w:color w:val="000000"/>
        </w:rPr>
        <w:t> </w:t>
      </w:r>
    </w:p>
    <w:p w14:paraId="0F50BD99" w14:textId="77777777" w:rsidR="00A22832" w:rsidRPr="0089366B" w:rsidRDefault="00A22832" w:rsidP="00A22832">
      <w:pPr>
        <w:pStyle w:val="NormalWeb"/>
        <w:spacing w:line="276" w:lineRule="auto"/>
        <w:ind w:left="567" w:hanging="567"/>
        <w:rPr>
          <w:rStyle w:val="apple-converted-space"/>
          <w:rFonts w:ascii="Calibri" w:hAnsi="Calibri" w:cs="Calibri"/>
          <w:color w:val="000000"/>
        </w:rPr>
      </w:pPr>
      <w:r w:rsidRPr="0089366B">
        <w:rPr>
          <w:rFonts w:ascii="Calibri" w:hAnsi="Calibri" w:cs="Calibri"/>
          <w:color w:val="000000"/>
        </w:rPr>
        <w:t>Warren, A., Buckingham, K. and Parsons, S. (2020) “Everyday experiences of inclusion in primary resourced provision: The voices of autistic pupils and their teachers,”</w:t>
      </w:r>
      <w:r w:rsidRPr="0089366B">
        <w:rPr>
          <w:rStyle w:val="apple-converted-space"/>
          <w:rFonts w:ascii="Calibri" w:hAnsi="Calibri" w:cs="Calibri"/>
          <w:color w:val="000000"/>
        </w:rPr>
        <w:t> </w:t>
      </w:r>
      <w:r w:rsidRPr="0089366B">
        <w:rPr>
          <w:rFonts w:ascii="Calibri" w:hAnsi="Calibri" w:cs="Calibri"/>
          <w:i/>
          <w:iCs/>
          <w:color w:val="000000"/>
        </w:rPr>
        <w:t>European Journal of Special Needs Education</w:t>
      </w:r>
      <w:r w:rsidRPr="0089366B">
        <w:rPr>
          <w:rFonts w:ascii="Calibri" w:hAnsi="Calibri" w:cs="Calibri"/>
          <w:color w:val="000000"/>
        </w:rPr>
        <w:t xml:space="preserve">, 36(5), pp. 803–818. Available at: </w:t>
      </w:r>
      <w:hyperlink r:id="rId16" w:history="1">
        <w:r w:rsidRPr="0089366B">
          <w:rPr>
            <w:rStyle w:val="Hyperlink"/>
            <w:rFonts w:ascii="Calibri" w:hAnsi="Calibri" w:cs="Calibri"/>
          </w:rPr>
          <w:t>https://doi.org/10.1080/08856257.2020.1823166</w:t>
        </w:r>
      </w:hyperlink>
      <w:r w:rsidRPr="0089366B">
        <w:rPr>
          <w:rFonts w:ascii="Calibri" w:hAnsi="Calibri" w:cs="Calibri"/>
          <w:color w:val="000000"/>
        </w:rPr>
        <w:t>.</w:t>
      </w:r>
      <w:r w:rsidRPr="0089366B">
        <w:rPr>
          <w:rStyle w:val="apple-converted-space"/>
          <w:rFonts w:ascii="Calibri" w:hAnsi="Calibri" w:cs="Calibri"/>
          <w:color w:val="000000"/>
        </w:rPr>
        <w:t> </w:t>
      </w:r>
    </w:p>
    <w:p w14:paraId="27864AA9" w14:textId="77777777" w:rsidR="00A22832" w:rsidRPr="0089366B" w:rsidRDefault="00A22832" w:rsidP="00A22832">
      <w:pPr>
        <w:pStyle w:val="NormalWeb"/>
        <w:spacing w:line="276" w:lineRule="auto"/>
        <w:ind w:left="567" w:hanging="567"/>
        <w:rPr>
          <w:rFonts w:ascii="Calibri" w:hAnsi="Calibri" w:cs="Calibri"/>
          <w:color w:val="000000"/>
        </w:rPr>
      </w:pPr>
      <w:r w:rsidRPr="0089366B">
        <w:rPr>
          <w:rFonts w:ascii="Calibri" w:hAnsi="Calibri" w:cs="Calibri"/>
          <w:color w:val="000000"/>
        </w:rPr>
        <w:lastRenderedPageBreak/>
        <w:t xml:space="preserve">Wood, R. and </w:t>
      </w:r>
      <w:proofErr w:type="spellStart"/>
      <w:r w:rsidRPr="0089366B">
        <w:rPr>
          <w:rFonts w:ascii="Calibri" w:hAnsi="Calibri" w:cs="Calibri"/>
          <w:color w:val="000000"/>
        </w:rPr>
        <w:t>Happé</w:t>
      </w:r>
      <w:proofErr w:type="spellEnd"/>
      <w:r w:rsidRPr="0089366B">
        <w:rPr>
          <w:rFonts w:ascii="Calibri" w:hAnsi="Calibri" w:cs="Calibri"/>
          <w:color w:val="000000"/>
        </w:rPr>
        <w:t>, F. (2021) “What are the views and experiences of autistic teachers? findings from an online survey in the UK,”</w:t>
      </w:r>
      <w:r w:rsidRPr="0089366B">
        <w:rPr>
          <w:rStyle w:val="apple-converted-space"/>
          <w:rFonts w:ascii="Calibri" w:hAnsi="Calibri" w:cs="Calibri"/>
          <w:color w:val="000000"/>
        </w:rPr>
        <w:t> </w:t>
      </w:r>
      <w:r w:rsidRPr="0089366B">
        <w:rPr>
          <w:rFonts w:ascii="Calibri" w:hAnsi="Calibri" w:cs="Calibri"/>
          <w:i/>
          <w:iCs/>
          <w:color w:val="000000"/>
        </w:rPr>
        <w:t>Disability &amp; Society</w:t>
      </w:r>
      <w:r w:rsidRPr="0089366B">
        <w:rPr>
          <w:rFonts w:ascii="Calibri" w:hAnsi="Calibri" w:cs="Calibri"/>
          <w:color w:val="000000"/>
        </w:rPr>
        <w:t>, pp. 1–26. Available at: https://doi.org/10.1080/09687599.2021.1916888.</w:t>
      </w:r>
      <w:r w:rsidRPr="0089366B">
        <w:rPr>
          <w:rStyle w:val="apple-converted-space"/>
          <w:rFonts w:ascii="Calibri" w:hAnsi="Calibri" w:cs="Calibri"/>
          <w:color w:val="000000"/>
        </w:rPr>
        <w:t> </w:t>
      </w:r>
    </w:p>
    <w:p w14:paraId="65EAF216" w14:textId="77777777" w:rsidR="00A22832" w:rsidRPr="0089366B" w:rsidRDefault="00A22832" w:rsidP="00A22832">
      <w:pPr>
        <w:pStyle w:val="NormalWeb"/>
        <w:spacing w:line="276" w:lineRule="auto"/>
        <w:ind w:left="567" w:hanging="567"/>
        <w:rPr>
          <w:rFonts w:ascii="Calibri" w:hAnsi="Calibri" w:cs="Calibri"/>
          <w:color w:val="000000"/>
        </w:rPr>
      </w:pPr>
      <w:proofErr w:type="spellStart"/>
      <w:r w:rsidRPr="0089366B">
        <w:rPr>
          <w:rFonts w:ascii="Calibri" w:hAnsi="Calibri" w:cs="Calibri"/>
          <w:color w:val="000000"/>
        </w:rPr>
        <w:t>Yazici</w:t>
      </w:r>
      <w:proofErr w:type="spellEnd"/>
      <w:r w:rsidRPr="0089366B">
        <w:rPr>
          <w:rFonts w:ascii="Calibri" w:hAnsi="Calibri" w:cs="Calibri"/>
          <w:color w:val="000000"/>
        </w:rPr>
        <w:t xml:space="preserve">, M.S. and McKenzie, B. (2019) “Strategies used to develop socio-communicative skills among children with autism in a </w:t>
      </w:r>
      <w:proofErr w:type="spellStart"/>
      <w:r w:rsidRPr="0089366B">
        <w:rPr>
          <w:rFonts w:ascii="Calibri" w:hAnsi="Calibri" w:cs="Calibri"/>
          <w:color w:val="000000"/>
        </w:rPr>
        <w:t>turkish</w:t>
      </w:r>
      <w:proofErr w:type="spellEnd"/>
      <w:r w:rsidRPr="0089366B">
        <w:rPr>
          <w:rFonts w:ascii="Calibri" w:hAnsi="Calibri" w:cs="Calibri"/>
          <w:color w:val="000000"/>
        </w:rPr>
        <w:t xml:space="preserve"> special education school and implications for development of Practice,”</w:t>
      </w:r>
      <w:r w:rsidRPr="0089366B">
        <w:rPr>
          <w:rStyle w:val="apple-converted-space"/>
          <w:rFonts w:ascii="Calibri" w:hAnsi="Calibri" w:cs="Calibri"/>
          <w:color w:val="000000"/>
        </w:rPr>
        <w:t> </w:t>
      </w:r>
      <w:r w:rsidRPr="0089366B">
        <w:rPr>
          <w:rFonts w:ascii="Calibri" w:hAnsi="Calibri" w:cs="Calibri"/>
          <w:i/>
          <w:iCs/>
          <w:color w:val="000000"/>
        </w:rPr>
        <w:t>International Journal of Disability, Development and Education</w:t>
      </w:r>
      <w:r w:rsidRPr="0089366B">
        <w:rPr>
          <w:rFonts w:ascii="Calibri" w:hAnsi="Calibri" w:cs="Calibri"/>
          <w:color w:val="000000"/>
        </w:rPr>
        <w:t>, 67(5), pp. 515–535. Available at: https://doi.org/10.1080/1034912x.2019.1614152.</w:t>
      </w:r>
      <w:r w:rsidRPr="0089366B">
        <w:rPr>
          <w:rStyle w:val="apple-converted-space"/>
          <w:rFonts w:ascii="Calibri" w:hAnsi="Calibri" w:cs="Calibri"/>
          <w:color w:val="000000"/>
        </w:rPr>
        <w:t> </w:t>
      </w:r>
    </w:p>
    <w:p w14:paraId="093F180D" w14:textId="77777777" w:rsidR="00A22832" w:rsidRPr="00210661" w:rsidRDefault="00A22832" w:rsidP="00210661">
      <w:pPr>
        <w:spacing w:line="360" w:lineRule="auto"/>
        <w:rPr>
          <w:rFonts w:cstheme="minorHAnsi"/>
        </w:rPr>
      </w:pPr>
    </w:p>
    <w:sectPr w:rsidR="00A22832" w:rsidRPr="002106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AA409" w14:textId="77777777" w:rsidR="0014563B" w:rsidRDefault="0014563B" w:rsidP="00F53519">
      <w:r>
        <w:separator/>
      </w:r>
    </w:p>
  </w:endnote>
  <w:endnote w:type="continuationSeparator" w:id="0">
    <w:p w14:paraId="21E2F49C" w14:textId="77777777" w:rsidR="0014563B" w:rsidRDefault="0014563B" w:rsidP="00F535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webkit-standard">
    <w:altName w:val="Cambria"/>
    <w:panose1 w:val="020B0604020202020204"/>
    <w:charset w:val="00"/>
    <w:family w:val="roman"/>
    <w:notTrueType/>
    <w:pitch w:val="default"/>
  </w:font>
  <w:font w:name="Minion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1D855" w14:textId="77777777" w:rsidR="0014563B" w:rsidRDefault="0014563B" w:rsidP="00F53519">
      <w:r>
        <w:separator/>
      </w:r>
    </w:p>
  </w:footnote>
  <w:footnote w:type="continuationSeparator" w:id="0">
    <w:p w14:paraId="3C5A7CA4" w14:textId="77777777" w:rsidR="0014563B" w:rsidRDefault="0014563B" w:rsidP="00F535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1E77"/>
    <w:multiLevelType w:val="hybridMultilevel"/>
    <w:tmpl w:val="0B587096"/>
    <w:lvl w:ilvl="0" w:tplc="CAD28202">
      <w:start w:val="1"/>
      <w:numFmt w:val="bullet"/>
      <w:lvlText w:val="•"/>
      <w:lvlJc w:val="left"/>
      <w:pPr>
        <w:tabs>
          <w:tab w:val="num" w:pos="720"/>
        </w:tabs>
        <w:ind w:left="720" w:hanging="360"/>
      </w:pPr>
      <w:rPr>
        <w:rFonts w:ascii="Arial" w:hAnsi="Arial" w:hint="default"/>
      </w:rPr>
    </w:lvl>
    <w:lvl w:ilvl="1" w:tplc="18C80E9A" w:tentative="1">
      <w:start w:val="1"/>
      <w:numFmt w:val="bullet"/>
      <w:lvlText w:val="•"/>
      <w:lvlJc w:val="left"/>
      <w:pPr>
        <w:tabs>
          <w:tab w:val="num" w:pos="1440"/>
        </w:tabs>
        <w:ind w:left="1440" w:hanging="360"/>
      </w:pPr>
      <w:rPr>
        <w:rFonts w:ascii="Arial" w:hAnsi="Arial" w:hint="default"/>
      </w:rPr>
    </w:lvl>
    <w:lvl w:ilvl="2" w:tplc="ACE2EAF8">
      <w:start w:val="1"/>
      <w:numFmt w:val="bullet"/>
      <w:lvlText w:val="•"/>
      <w:lvlJc w:val="left"/>
      <w:pPr>
        <w:tabs>
          <w:tab w:val="num" w:pos="2160"/>
        </w:tabs>
        <w:ind w:left="2160" w:hanging="360"/>
      </w:pPr>
      <w:rPr>
        <w:rFonts w:ascii="Arial" w:hAnsi="Arial" w:hint="default"/>
      </w:rPr>
    </w:lvl>
    <w:lvl w:ilvl="3" w:tplc="CE228036" w:tentative="1">
      <w:start w:val="1"/>
      <w:numFmt w:val="bullet"/>
      <w:lvlText w:val="•"/>
      <w:lvlJc w:val="left"/>
      <w:pPr>
        <w:tabs>
          <w:tab w:val="num" w:pos="2880"/>
        </w:tabs>
        <w:ind w:left="2880" w:hanging="360"/>
      </w:pPr>
      <w:rPr>
        <w:rFonts w:ascii="Arial" w:hAnsi="Arial" w:hint="default"/>
      </w:rPr>
    </w:lvl>
    <w:lvl w:ilvl="4" w:tplc="166C82F8" w:tentative="1">
      <w:start w:val="1"/>
      <w:numFmt w:val="bullet"/>
      <w:lvlText w:val="•"/>
      <w:lvlJc w:val="left"/>
      <w:pPr>
        <w:tabs>
          <w:tab w:val="num" w:pos="3600"/>
        </w:tabs>
        <w:ind w:left="3600" w:hanging="360"/>
      </w:pPr>
      <w:rPr>
        <w:rFonts w:ascii="Arial" w:hAnsi="Arial" w:hint="default"/>
      </w:rPr>
    </w:lvl>
    <w:lvl w:ilvl="5" w:tplc="CD1E73FC" w:tentative="1">
      <w:start w:val="1"/>
      <w:numFmt w:val="bullet"/>
      <w:lvlText w:val="•"/>
      <w:lvlJc w:val="left"/>
      <w:pPr>
        <w:tabs>
          <w:tab w:val="num" w:pos="4320"/>
        </w:tabs>
        <w:ind w:left="4320" w:hanging="360"/>
      </w:pPr>
      <w:rPr>
        <w:rFonts w:ascii="Arial" w:hAnsi="Arial" w:hint="default"/>
      </w:rPr>
    </w:lvl>
    <w:lvl w:ilvl="6" w:tplc="F0AA6B38" w:tentative="1">
      <w:start w:val="1"/>
      <w:numFmt w:val="bullet"/>
      <w:lvlText w:val="•"/>
      <w:lvlJc w:val="left"/>
      <w:pPr>
        <w:tabs>
          <w:tab w:val="num" w:pos="5040"/>
        </w:tabs>
        <w:ind w:left="5040" w:hanging="360"/>
      </w:pPr>
      <w:rPr>
        <w:rFonts w:ascii="Arial" w:hAnsi="Arial" w:hint="default"/>
      </w:rPr>
    </w:lvl>
    <w:lvl w:ilvl="7" w:tplc="BD62F0EC" w:tentative="1">
      <w:start w:val="1"/>
      <w:numFmt w:val="bullet"/>
      <w:lvlText w:val="•"/>
      <w:lvlJc w:val="left"/>
      <w:pPr>
        <w:tabs>
          <w:tab w:val="num" w:pos="5760"/>
        </w:tabs>
        <w:ind w:left="5760" w:hanging="360"/>
      </w:pPr>
      <w:rPr>
        <w:rFonts w:ascii="Arial" w:hAnsi="Arial" w:hint="default"/>
      </w:rPr>
    </w:lvl>
    <w:lvl w:ilvl="8" w:tplc="1BE819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98795E"/>
    <w:multiLevelType w:val="hybridMultilevel"/>
    <w:tmpl w:val="A12ED252"/>
    <w:lvl w:ilvl="0" w:tplc="1A1E536E">
      <w:start w:val="1"/>
      <w:numFmt w:val="bullet"/>
      <w:lvlText w:val="•"/>
      <w:lvlJc w:val="left"/>
      <w:pPr>
        <w:tabs>
          <w:tab w:val="num" w:pos="720"/>
        </w:tabs>
        <w:ind w:left="720" w:hanging="360"/>
      </w:pPr>
      <w:rPr>
        <w:rFonts w:ascii="Arial" w:hAnsi="Arial" w:hint="default"/>
      </w:rPr>
    </w:lvl>
    <w:lvl w:ilvl="1" w:tplc="1206ADA6">
      <w:numFmt w:val="bullet"/>
      <w:lvlText w:val="•"/>
      <w:lvlJc w:val="left"/>
      <w:pPr>
        <w:tabs>
          <w:tab w:val="num" w:pos="1440"/>
        </w:tabs>
        <w:ind w:left="1440" w:hanging="360"/>
      </w:pPr>
      <w:rPr>
        <w:rFonts w:ascii="Arial" w:hAnsi="Arial" w:hint="default"/>
      </w:rPr>
    </w:lvl>
    <w:lvl w:ilvl="2" w:tplc="56382048" w:tentative="1">
      <w:start w:val="1"/>
      <w:numFmt w:val="bullet"/>
      <w:lvlText w:val="•"/>
      <w:lvlJc w:val="left"/>
      <w:pPr>
        <w:tabs>
          <w:tab w:val="num" w:pos="2160"/>
        </w:tabs>
        <w:ind w:left="2160" w:hanging="360"/>
      </w:pPr>
      <w:rPr>
        <w:rFonts w:ascii="Arial" w:hAnsi="Arial" w:hint="default"/>
      </w:rPr>
    </w:lvl>
    <w:lvl w:ilvl="3" w:tplc="DB96C5F0" w:tentative="1">
      <w:start w:val="1"/>
      <w:numFmt w:val="bullet"/>
      <w:lvlText w:val="•"/>
      <w:lvlJc w:val="left"/>
      <w:pPr>
        <w:tabs>
          <w:tab w:val="num" w:pos="2880"/>
        </w:tabs>
        <w:ind w:left="2880" w:hanging="360"/>
      </w:pPr>
      <w:rPr>
        <w:rFonts w:ascii="Arial" w:hAnsi="Arial" w:hint="default"/>
      </w:rPr>
    </w:lvl>
    <w:lvl w:ilvl="4" w:tplc="0B90E8D0" w:tentative="1">
      <w:start w:val="1"/>
      <w:numFmt w:val="bullet"/>
      <w:lvlText w:val="•"/>
      <w:lvlJc w:val="left"/>
      <w:pPr>
        <w:tabs>
          <w:tab w:val="num" w:pos="3600"/>
        </w:tabs>
        <w:ind w:left="3600" w:hanging="360"/>
      </w:pPr>
      <w:rPr>
        <w:rFonts w:ascii="Arial" w:hAnsi="Arial" w:hint="default"/>
      </w:rPr>
    </w:lvl>
    <w:lvl w:ilvl="5" w:tplc="10388990" w:tentative="1">
      <w:start w:val="1"/>
      <w:numFmt w:val="bullet"/>
      <w:lvlText w:val="•"/>
      <w:lvlJc w:val="left"/>
      <w:pPr>
        <w:tabs>
          <w:tab w:val="num" w:pos="4320"/>
        </w:tabs>
        <w:ind w:left="4320" w:hanging="360"/>
      </w:pPr>
      <w:rPr>
        <w:rFonts w:ascii="Arial" w:hAnsi="Arial" w:hint="default"/>
      </w:rPr>
    </w:lvl>
    <w:lvl w:ilvl="6" w:tplc="CAAE02CA" w:tentative="1">
      <w:start w:val="1"/>
      <w:numFmt w:val="bullet"/>
      <w:lvlText w:val="•"/>
      <w:lvlJc w:val="left"/>
      <w:pPr>
        <w:tabs>
          <w:tab w:val="num" w:pos="5040"/>
        </w:tabs>
        <w:ind w:left="5040" w:hanging="360"/>
      </w:pPr>
      <w:rPr>
        <w:rFonts w:ascii="Arial" w:hAnsi="Arial" w:hint="default"/>
      </w:rPr>
    </w:lvl>
    <w:lvl w:ilvl="7" w:tplc="51D4C870" w:tentative="1">
      <w:start w:val="1"/>
      <w:numFmt w:val="bullet"/>
      <w:lvlText w:val="•"/>
      <w:lvlJc w:val="left"/>
      <w:pPr>
        <w:tabs>
          <w:tab w:val="num" w:pos="5760"/>
        </w:tabs>
        <w:ind w:left="5760" w:hanging="360"/>
      </w:pPr>
      <w:rPr>
        <w:rFonts w:ascii="Arial" w:hAnsi="Arial" w:hint="default"/>
      </w:rPr>
    </w:lvl>
    <w:lvl w:ilvl="8" w:tplc="12F6BE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AF46E0"/>
    <w:multiLevelType w:val="hybridMultilevel"/>
    <w:tmpl w:val="659EBDAE"/>
    <w:lvl w:ilvl="0" w:tplc="70CA6894">
      <w:start w:val="1"/>
      <w:numFmt w:val="bullet"/>
      <w:lvlText w:val="•"/>
      <w:lvlJc w:val="left"/>
      <w:pPr>
        <w:tabs>
          <w:tab w:val="num" w:pos="720"/>
        </w:tabs>
        <w:ind w:left="720" w:hanging="360"/>
      </w:pPr>
      <w:rPr>
        <w:rFonts w:ascii="Arial" w:hAnsi="Arial" w:hint="default"/>
      </w:rPr>
    </w:lvl>
    <w:lvl w:ilvl="1" w:tplc="50542A0A" w:tentative="1">
      <w:start w:val="1"/>
      <w:numFmt w:val="bullet"/>
      <w:lvlText w:val="•"/>
      <w:lvlJc w:val="left"/>
      <w:pPr>
        <w:tabs>
          <w:tab w:val="num" w:pos="1440"/>
        </w:tabs>
        <w:ind w:left="1440" w:hanging="360"/>
      </w:pPr>
      <w:rPr>
        <w:rFonts w:ascii="Arial" w:hAnsi="Arial" w:hint="default"/>
      </w:rPr>
    </w:lvl>
    <w:lvl w:ilvl="2" w:tplc="3344339E" w:tentative="1">
      <w:start w:val="1"/>
      <w:numFmt w:val="bullet"/>
      <w:lvlText w:val="•"/>
      <w:lvlJc w:val="left"/>
      <w:pPr>
        <w:tabs>
          <w:tab w:val="num" w:pos="2160"/>
        </w:tabs>
        <w:ind w:left="2160" w:hanging="360"/>
      </w:pPr>
      <w:rPr>
        <w:rFonts w:ascii="Arial" w:hAnsi="Arial" w:hint="default"/>
      </w:rPr>
    </w:lvl>
    <w:lvl w:ilvl="3" w:tplc="AA68C220" w:tentative="1">
      <w:start w:val="1"/>
      <w:numFmt w:val="bullet"/>
      <w:lvlText w:val="•"/>
      <w:lvlJc w:val="left"/>
      <w:pPr>
        <w:tabs>
          <w:tab w:val="num" w:pos="2880"/>
        </w:tabs>
        <w:ind w:left="2880" w:hanging="360"/>
      </w:pPr>
      <w:rPr>
        <w:rFonts w:ascii="Arial" w:hAnsi="Arial" w:hint="default"/>
      </w:rPr>
    </w:lvl>
    <w:lvl w:ilvl="4" w:tplc="E8BAB834" w:tentative="1">
      <w:start w:val="1"/>
      <w:numFmt w:val="bullet"/>
      <w:lvlText w:val="•"/>
      <w:lvlJc w:val="left"/>
      <w:pPr>
        <w:tabs>
          <w:tab w:val="num" w:pos="3600"/>
        </w:tabs>
        <w:ind w:left="3600" w:hanging="360"/>
      </w:pPr>
      <w:rPr>
        <w:rFonts w:ascii="Arial" w:hAnsi="Arial" w:hint="default"/>
      </w:rPr>
    </w:lvl>
    <w:lvl w:ilvl="5" w:tplc="1B528B4A" w:tentative="1">
      <w:start w:val="1"/>
      <w:numFmt w:val="bullet"/>
      <w:lvlText w:val="•"/>
      <w:lvlJc w:val="left"/>
      <w:pPr>
        <w:tabs>
          <w:tab w:val="num" w:pos="4320"/>
        </w:tabs>
        <w:ind w:left="4320" w:hanging="360"/>
      </w:pPr>
      <w:rPr>
        <w:rFonts w:ascii="Arial" w:hAnsi="Arial" w:hint="default"/>
      </w:rPr>
    </w:lvl>
    <w:lvl w:ilvl="6" w:tplc="F6780B62" w:tentative="1">
      <w:start w:val="1"/>
      <w:numFmt w:val="bullet"/>
      <w:lvlText w:val="•"/>
      <w:lvlJc w:val="left"/>
      <w:pPr>
        <w:tabs>
          <w:tab w:val="num" w:pos="5040"/>
        </w:tabs>
        <w:ind w:left="5040" w:hanging="360"/>
      </w:pPr>
      <w:rPr>
        <w:rFonts w:ascii="Arial" w:hAnsi="Arial" w:hint="default"/>
      </w:rPr>
    </w:lvl>
    <w:lvl w:ilvl="7" w:tplc="141AA97A" w:tentative="1">
      <w:start w:val="1"/>
      <w:numFmt w:val="bullet"/>
      <w:lvlText w:val="•"/>
      <w:lvlJc w:val="left"/>
      <w:pPr>
        <w:tabs>
          <w:tab w:val="num" w:pos="5760"/>
        </w:tabs>
        <w:ind w:left="5760" w:hanging="360"/>
      </w:pPr>
      <w:rPr>
        <w:rFonts w:ascii="Arial" w:hAnsi="Arial" w:hint="default"/>
      </w:rPr>
    </w:lvl>
    <w:lvl w:ilvl="8" w:tplc="2392DD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D74985"/>
    <w:multiLevelType w:val="hybridMultilevel"/>
    <w:tmpl w:val="FDB6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47C49"/>
    <w:multiLevelType w:val="hybridMultilevel"/>
    <w:tmpl w:val="8DDA87C6"/>
    <w:lvl w:ilvl="0" w:tplc="C65689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C434DD"/>
    <w:multiLevelType w:val="multilevel"/>
    <w:tmpl w:val="8694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4689838">
    <w:abstractNumId w:val="0"/>
  </w:num>
  <w:num w:numId="2" w16cid:durableId="589776063">
    <w:abstractNumId w:val="1"/>
  </w:num>
  <w:num w:numId="3" w16cid:durableId="139004228">
    <w:abstractNumId w:val="3"/>
  </w:num>
  <w:num w:numId="4" w16cid:durableId="341204682">
    <w:abstractNumId w:val="2"/>
  </w:num>
  <w:num w:numId="5" w16cid:durableId="1864246413">
    <w:abstractNumId w:val="4"/>
  </w:num>
  <w:num w:numId="6" w16cid:durableId="4713672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C31"/>
    <w:rsid w:val="0003375E"/>
    <w:rsid w:val="000540B6"/>
    <w:rsid w:val="000A1DA1"/>
    <w:rsid w:val="00115C31"/>
    <w:rsid w:val="0014563B"/>
    <w:rsid w:val="00210661"/>
    <w:rsid w:val="00221293"/>
    <w:rsid w:val="0023562B"/>
    <w:rsid w:val="00260FF7"/>
    <w:rsid w:val="00261738"/>
    <w:rsid w:val="00262C0A"/>
    <w:rsid w:val="0028754B"/>
    <w:rsid w:val="002A20B6"/>
    <w:rsid w:val="002F7C6E"/>
    <w:rsid w:val="0033344B"/>
    <w:rsid w:val="00340DF3"/>
    <w:rsid w:val="00345B21"/>
    <w:rsid w:val="003C53BA"/>
    <w:rsid w:val="00423B48"/>
    <w:rsid w:val="004454E5"/>
    <w:rsid w:val="00481C5F"/>
    <w:rsid w:val="00490732"/>
    <w:rsid w:val="004A3457"/>
    <w:rsid w:val="004E69BF"/>
    <w:rsid w:val="004F08B2"/>
    <w:rsid w:val="00633915"/>
    <w:rsid w:val="006345C6"/>
    <w:rsid w:val="00643AD4"/>
    <w:rsid w:val="00684ABC"/>
    <w:rsid w:val="00694D5E"/>
    <w:rsid w:val="006A1475"/>
    <w:rsid w:val="006C759F"/>
    <w:rsid w:val="006D1517"/>
    <w:rsid w:val="006F39FC"/>
    <w:rsid w:val="00720978"/>
    <w:rsid w:val="00750911"/>
    <w:rsid w:val="00795F4A"/>
    <w:rsid w:val="007B59B3"/>
    <w:rsid w:val="00815FB7"/>
    <w:rsid w:val="00817D85"/>
    <w:rsid w:val="008417F9"/>
    <w:rsid w:val="00842B66"/>
    <w:rsid w:val="008C4F3A"/>
    <w:rsid w:val="008D6A36"/>
    <w:rsid w:val="008E2ADC"/>
    <w:rsid w:val="0093104E"/>
    <w:rsid w:val="009A0C68"/>
    <w:rsid w:val="009A7872"/>
    <w:rsid w:val="009E5A8D"/>
    <w:rsid w:val="00A22832"/>
    <w:rsid w:val="00A22E32"/>
    <w:rsid w:val="00A918AB"/>
    <w:rsid w:val="00A92F61"/>
    <w:rsid w:val="00AF2C8B"/>
    <w:rsid w:val="00B02B89"/>
    <w:rsid w:val="00B14358"/>
    <w:rsid w:val="00B170A8"/>
    <w:rsid w:val="00B664DB"/>
    <w:rsid w:val="00BC34FF"/>
    <w:rsid w:val="00BC74BF"/>
    <w:rsid w:val="00C017A0"/>
    <w:rsid w:val="00C345BB"/>
    <w:rsid w:val="00C62BF4"/>
    <w:rsid w:val="00CE30F4"/>
    <w:rsid w:val="00CE35F4"/>
    <w:rsid w:val="00CF5D8E"/>
    <w:rsid w:val="00D134E5"/>
    <w:rsid w:val="00D36041"/>
    <w:rsid w:val="00D61FB8"/>
    <w:rsid w:val="00D81C4D"/>
    <w:rsid w:val="00D84AF6"/>
    <w:rsid w:val="00D961DA"/>
    <w:rsid w:val="00DF532C"/>
    <w:rsid w:val="00EB21A0"/>
    <w:rsid w:val="00ED06EB"/>
    <w:rsid w:val="00F0681F"/>
    <w:rsid w:val="00F45B81"/>
    <w:rsid w:val="00F52844"/>
    <w:rsid w:val="00F53519"/>
    <w:rsid w:val="00F601F6"/>
    <w:rsid w:val="00F82187"/>
    <w:rsid w:val="00F95457"/>
    <w:rsid w:val="00FA1846"/>
    <w:rsid w:val="00FA3DF9"/>
    <w:rsid w:val="00FA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F103A"/>
  <w15:chartTrackingRefBased/>
  <w15:docId w15:val="{A3E6AEE8-581D-0448-B8E3-3E9E9211C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75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3519"/>
    <w:pPr>
      <w:tabs>
        <w:tab w:val="center" w:pos="4513"/>
        <w:tab w:val="right" w:pos="9026"/>
      </w:tabs>
    </w:pPr>
  </w:style>
  <w:style w:type="character" w:customStyle="1" w:styleId="HeaderChar">
    <w:name w:val="Header Char"/>
    <w:basedOn w:val="DefaultParagraphFont"/>
    <w:link w:val="Header"/>
    <w:uiPriority w:val="99"/>
    <w:rsid w:val="00F53519"/>
  </w:style>
  <w:style w:type="paragraph" w:styleId="Footer">
    <w:name w:val="footer"/>
    <w:basedOn w:val="Normal"/>
    <w:link w:val="FooterChar"/>
    <w:uiPriority w:val="99"/>
    <w:unhideWhenUsed/>
    <w:rsid w:val="00F53519"/>
    <w:pPr>
      <w:tabs>
        <w:tab w:val="center" w:pos="4513"/>
        <w:tab w:val="right" w:pos="9026"/>
      </w:tabs>
    </w:pPr>
  </w:style>
  <w:style w:type="character" w:customStyle="1" w:styleId="FooterChar">
    <w:name w:val="Footer Char"/>
    <w:basedOn w:val="DefaultParagraphFont"/>
    <w:link w:val="Footer"/>
    <w:uiPriority w:val="99"/>
    <w:rsid w:val="00F53519"/>
  </w:style>
  <w:style w:type="paragraph" w:styleId="NormalWeb">
    <w:name w:val="Normal (Web)"/>
    <w:basedOn w:val="Normal"/>
    <w:uiPriority w:val="99"/>
    <w:unhideWhenUsed/>
    <w:rsid w:val="00684AB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8C4F3A"/>
    <w:pPr>
      <w:ind w:left="720"/>
      <w:contextualSpacing/>
    </w:pPr>
  </w:style>
  <w:style w:type="character" w:customStyle="1" w:styleId="apple-converted-space">
    <w:name w:val="apple-converted-space"/>
    <w:basedOn w:val="DefaultParagraphFont"/>
    <w:rsid w:val="00633915"/>
  </w:style>
  <w:style w:type="character" w:styleId="Hyperlink">
    <w:name w:val="Hyperlink"/>
    <w:basedOn w:val="DefaultParagraphFont"/>
    <w:uiPriority w:val="99"/>
    <w:unhideWhenUsed/>
    <w:rsid w:val="00633915"/>
    <w:rPr>
      <w:color w:val="0563C1" w:themeColor="hyperlink"/>
      <w:u w:val="single"/>
    </w:rPr>
  </w:style>
  <w:style w:type="character" w:styleId="UnresolvedMention">
    <w:name w:val="Unresolved Mention"/>
    <w:basedOn w:val="DefaultParagraphFont"/>
    <w:uiPriority w:val="99"/>
    <w:semiHidden/>
    <w:unhideWhenUsed/>
    <w:rsid w:val="00633915"/>
    <w:rPr>
      <w:color w:val="605E5C"/>
      <w:shd w:val="clear" w:color="auto" w:fill="E1DFDD"/>
    </w:rPr>
  </w:style>
  <w:style w:type="character" w:customStyle="1" w:styleId="ref-lnk">
    <w:name w:val="ref-lnk"/>
    <w:basedOn w:val="DefaultParagraphFont"/>
    <w:rsid w:val="00210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332574">
      <w:bodyDiv w:val="1"/>
      <w:marLeft w:val="0"/>
      <w:marRight w:val="0"/>
      <w:marTop w:val="0"/>
      <w:marBottom w:val="0"/>
      <w:divBdr>
        <w:top w:val="none" w:sz="0" w:space="0" w:color="auto"/>
        <w:left w:val="none" w:sz="0" w:space="0" w:color="auto"/>
        <w:bottom w:val="none" w:sz="0" w:space="0" w:color="auto"/>
        <w:right w:val="none" w:sz="0" w:space="0" w:color="auto"/>
      </w:divBdr>
      <w:divsChild>
        <w:div w:id="2108382769">
          <w:marLeft w:val="0"/>
          <w:marRight w:val="0"/>
          <w:marTop w:val="0"/>
          <w:marBottom w:val="0"/>
          <w:divBdr>
            <w:top w:val="none" w:sz="0" w:space="0" w:color="auto"/>
            <w:left w:val="none" w:sz="0" w:space="0" w:color="auto"/>
            <w:bottom w:val="none" w:sz="0" w:space="0" w:color="auto"/>
            <w:right w:val="none" w:sz="0" w:space="0" w:color="auto"/>
          </w:divBdr>
          <w:divsChild>
            <w:div w:id="352611085">
              <w:marLeft w:val="0"/>
              <w:marRight w:val="0"/>
              <w:marTop w:val="0"/>
              <w:marBottom w:val="0"/>
              <w:divBdr>
                <w:top w:val="none" w:sz="0" w:space="0" w:color="auto"/>
                <w:left w:val="none" w:sz="0" w:space="0" w:color="auto"/>
                <w:bottom w:val="none" w:sz="0" w:space="0" w:color="auto"/>
                <w:right w:val="none" w:sz="0" w:space="0" w:color="auto"/>
              </w:divBdr>
              <w:divsChild>
                <w:div w:id="95285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303779">
      <w:bodyDiv w:val="1"/>
      <w:marLeft w:val="0"/>
      <w:marRight w:val="0"/>
      <w:marTop w:val="0"/>
      <w:marBottom w:val="0"/>
      <w:divBdr>
        <w:top w:val="none" w:sz="0" w:space="0" w:color="auto"/>
        <w:left w:val="none" w:sz="0" w:space="0" w:color="auto"/>
        <w:bottom w:val="none" w:sz="0" w:space="0" w:color="auto"/>
        <w:right w:val="none" w:sz="0" w:space="0" w:color="auto"/>
      </w:divBdr>
    </w:div>
    <w:div w:id="662126428">
      <w:bodyDiv w:val="1"/>
      <w:marLeft w:val="0"/>
      <w:marRight w:val="0"/>
      <w:marTop w:val="0"/>
      <w:marBottom w:val="0"/>
      <w:divBdr>
        <w:top w:val="none" w:sz="0" w:space="0" w:color="auto"/>
        <w:left w:val="none" w:sz="0" w:space="0" w:color="auto"/>
        <w:bottom w:val="none" w:sz="0" w:space="0" w:color="auto"/>
        <w:right w:val="none" w:sz="0" w:space="0" w:color="auto"/>
      </w:divBdr>
      <w:divsChild>
        <w:div w:id="126821675">
          <w:marLeft w:val="0"/>
          <w:marRight w:val="0"/>
          <w:marTop w:val="0"/>
          <w:marBottom w:val="0"/>
          <w:divBdr>
            <w:top w:val="none" w:sz="0" w:space="0" w:color="auto"/>
            <w:left w:val="none" w:sz="0" w:space="0" w:color="auto"/>
            <w:bottom w:val="none" w:sz="0" w:space="0" w:color="auto"/>
            <w:right w:val="none" w:sz="0" w:space="0" w:color="auto"/>
          </w:divBdr>
          <w:divsChild>
            <w:div w:id="1387031036">
              <w:marLeft w:val="0"/>
              <w:marRight w:val="0"/>
              <w:marTop w:val="0"/>
              <w:marBottom w:val="0"/>
              <w:divBdr>
                <w:top w:val="none" w:sz="0" w:space="0" w:color="auto"/>
                <w:left w:val="none" w:sz="0" w:space="0" w:color="auto"/>
                <w:bottom w:val="none" w:sz="0" w:space="0" w:color="auto"/>
                <w:right w:val="none" w:sz="0" w:space="0" w:color="auto"/>
              </w:divBdr>
              <w:divsChild>
                <w:div w:id="20212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155790">
          <w:marLeft w:val="0"/>
          <w:marRight w:val="0"/>
          <w:marTop w:val="0"/>
          <w:marBottom w:val="0"/>
          <w:divBdr>
            <w:top w:val="none" w:sz="0" w:space="0" w:color="auto"/>
            <w:left w:val="none" w:sz="0" w:space="0" w:color="auto"/>
            <w:bottom w:val="none" w:sz="0" w:space="0" w:color="auto"/>
            <w:right w:val="none" w:sz="0" w:space="0" w:color="auto"/>
          </w:divBdr>
          <w:divsChild>
            <w:div w:id="1480923132">
              <w:marLeft w:val="0"/>
              <w:marRight w:val="0"/>
              <w:marTop w:val="0"/>
              <w:marBottom w:val="0"/>
              <w:divBdr>
                <w:top w:val="none" w:sz="0" w:space="0" w:color="auto"/>
                <w:left w:val="none" w:sz="0" w:space="0" w:color="auto"/>
                <w:bottom w:val="none" w:sz="0" w:space="0" w:color="auto"/>
                <w:right w:val="none" w:sz="0" w:space="0" w:color="auto"/>
              </w:divBdr>
              <w:divsChild>
                <w:div w:id="1983655524">
                  <w:marLeft w:val="0"/>
                  <w:marRight w:val="0"/>
                  <w:marTop w:val="0"/>
                  <w:marBottom w:val="0"/>
                  <w:divBdr>
                    <w:top w:val="none" w:sz="0" w:space="0" w:color="auto"/>
                    <w:left w:val="none" w:sz="0" w:space="0" w:color="auto"/>
                    <w:bottom w:val="none" w:sz="0" w:space="0" w:color="auto"/>
                    <w:right w:val="none" w:sz="0" w:space="0" w:color="auto"/>
                  </w:divBdr>
                </w:div>
              </w:divsChild>
            </w:div>
            <w:div w:id="1515338790">
              <w:marLeft w:val="0"/>
              <w:marRight w:val="0"/>
              <w:marTop w:val="0"/>
              <w:marBottom w:val="0"/>
              <w:divBdr>
                <w:top w:val="none" w:sz="0" w:space="0" w:color="auto"/>
                <w:left w:val="none" w:sz="0" w:space="0" w:color="auto"/>
                <w:bottom w:val="none" w:sz="0" w:space="0" w:color="auto"/>
                <w:right w:val="none" w:sz="0" w:space="0" w:color="auto"/>
              </w:divBdr>
              <w:divsChild>
                <w:div w:id="94978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395757">
      <w:bodyDiv w:val="1"/>
      <w:marLeft w:val="0"/>
      <w:marRight w:val="0"/>
      <w:marTop w:val="0"/>
      <w:marBottom w:val="0"/>
      <w:divBdr>
        <w:top w:val="none" w:sz="0" w:space="0" w:color="auto"/>
        <w:left w:val="none" w:sz="0" w:space="0" w:color="auto"/>
        <w:bottom w:val="none" w:sz="0" w:space="0" w:color="auto"/>
        <w:right w:val="none" w:sz="0" w:space="0" w:color="auto"/>
      </w:divBdr>
      <w:divsChild>
        <w:div w:id="1567648713">
          <w:marLeft w:val="1800"/>
          <w:marRight w:val="0"/>
          <w:marTop w:val="100"/>
          <w:marBottom w:val="0"/>
          <w:divBdr>
            <w:top w:val="none" w:sz="0" w:space="0" w:color="auto"/>
            <w:left w:val="none" w:sz="0" w:space="0" w:color="auto"/>
            <w:bottom w:val="none" w:sz="0" w:space="0" w:color="auto"/>
            <w:right w:val="none" w:sz="0" w:space="0" w:color="auto"/>
          </w:divBdr>
        </w:div>
        <w:div w:id="254175714">
          <w:marLeft w:val="1800"/>
          <w:marRight w:val="0"/>
          <w:marTop w:val="100"/>
          <w:marBottom w:val="0"/>
          <w:divBdr>
            <w:top w:val="none" w:sz="0" w:space="0" w:color="auto"/>
            <w:left w:val="none" w:sz="0" w:space="0" w:color="auto"/>
            <w:bottom w:val="none" w:sz="0" w:space="0" w:color="auto"/>
            <w:right w:val="none" w:sz="0" w:space="0" w:color="auto"/>
          </w:divBdr>
        </w:div>
        <w:div w:id="68160725">
          <w:marLeft w:val="1800"/>
          <w:marRight w:val="0"/>
          <w:marTop w:val="100"/>
          <w:marBottom w:val="0"/>
          <w:divBdr>
            <w:top w:val="none" w:sz="0" w:space="0" w:color="auto"/>
            <w:left w:val="none" w:sz="0" w:space="0" w:color="auto"/>
            <w:bottom w:val="none" w:sz="0" w:space="0" w:color="auto"/>
            <w:right w:val="none" w:sz="0" w:space="0" w:color="auto"/>
          </w:divBdr>
        </w:div>
        <w:div w:id="1295986917">
          <w:marLeft w:val="1800"/>
          <w:marRight w:val="0"/>
          <w:marTop w:val="100"/>
          <w:marBottom w:val="0"/>
          <w:divBdr>
            <w:top w:val="none" w:sz="0" w:space="0" w:color="auto"/>
            <w:left w:val="none" w:sz="0" w:space="0" w:color="auto"/>
            <w:bottom w:val="none" w:sz="0" w:space="0" w:color="auto"/>
            <w:right w:val="none" w:sz="0" w:space="0" w:color="auto"/>
          </w:divBdr>
        </w:div>
        <w:div w:id="1812290621">
          <w:marLeft w:val="1800"/>
          <w:marRight w:val="0"/>
          <w:marTop w:val="100"/>
          <w:marBottom w:val="0"/>
          <w:divBdr>
            <w:top w:val="none" w:sz="0" w:space="0" w:color="auto"/>
            <w:left w:val="none" w:sz="0" w:space="0" w:color="auto"/>
            <w:bottom w:val="none" w:sz="0" w:space="0" w:color="auto"/>
            <w:right w:val="none" w:sz="0" w:space="0" w:color="auto"/>
          </w:divBdr>
        </w:div>
      </w:divsChild>
    </w:div>
    <w:div w:id="794953810">
      <w:bodyDiv w:val="1"/>
      <w:marLeft w:val="0"/>
      <w:marRight w:val="0"/>
      <w:marTop w:val="0"/>
      <w:marBottom w:val="0"/>
      <w:divBdr>
        <w:top w:val="none" w:sz="0" w:space="0" w:color="auto"/>
        <w:left w:val="none" w:sz="0" w:space="0" w:color="auto"/>
        <w:bottom w:val="none" w:sz="0" w:space="0" w:color="auto"/>
        <w:right w:val="none" w:sz="0" w:space="0" w:color="auto"/>
      </w:divBdr>
      <w:divsChild>
        <w:div w:id="716470655">
          <w:marLeft w:val="360"/>
          <w:marRight w:val="0"/>
          <w:marTop w:val="200"/>
          <w:marBottom w:val="0"/>
          <w:divBdr>
            <w:top w:val="none" w:sz="0" w:space="0" w:color="auto"/>
            <w:left w:val="none" w:sz="0" w:space="0" w:color="auto"/>
            <w:bottom w:val="none" w:sz="0" w:space="0" w:color="auto"/>
            <w:right w:val="none" w:sz="0" w:space="0" w:color="auto"/>
          </w:divBdr>
        </w:div>
      </w:divsChild>
    </w:div>
    <w:div w:id="901213943">
      <w:bodyDiv w:val="1"/>
      <w:marLeft w:val="0"/>
      <w:marRight w:val="0"/>
      <w:marTop w:val="0"/>
      <w:marBottom w:val="0"/>
      <w:divBdr>
        <w:top w:val="none" w:sz="0" w:space="0" w:color="auto"/>
        <w:left w:val="none" w:sz="0" w:space="0" w:color="auto"/>
        <w:bottom w:val="none" w:sz="0" w:space="0" w:color="auto"/>
        <w:right w:val="none" w:sz="0" w:space="0" w:color="auto"/>
      </w:divBdr>
      <w:divsChild>
        <w:div w:id="1273786801">
          <w:marLeft w:val="0"/>
          <w:marRight w:val="0"/>
          <w:marTop w:val="0"/>
          <w:marBottom w:val="0"/>
          <w:divBdr>
            <w:top w:val="none" w:sz="0" w:space="0" w:color="auto"/>
            <w:left w:val="none" w:sz="0" w:space="0" w:color="auto"/>
            <w:bottom w:val="none" w:sz="0" w:space="0" w:color="auto"/>
            <w:right w:val="none" w:sz="0" w:space="0" w:color="auto"/>
          </w:divBdr>
          <w:divsChild>
            <w:div w:id="397825842">
              <w:marLeft w:val="0"/>
              <w:marRight w:val="0"/>
              <w:marTop w:val="0"/>
              <w:marBottom w:val="0"/>
              <w:divBdr>
                <w:top w:val="none" w:sz="0" w:space="0" w:color="auto"/>
                <w:left w:val="none" w:sz="0" w:space="0" w:color="auto"/>
                <w:bottom w:val="none" w:sz="0" w:space="0" w:color="auto"/>
                <w:right w:val="none" w:sz="0" w:space="0" w:color="auto"/>
              </w:divBdr>
              <w:divsChild>
                <w:div w:id="208741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58702">
      <w:bodyDiv w:val="1"/>
      <w:marLeft w:val="0"/>
      <w:marRight w:val="0"/>
      <w:marTop w:val="0"/>
      <w:marBottom w:val="0"/>
      <w:divBdr>
        <w:top w:val="none" w:sz="0" w:space="0" w:color="auto"/>
        <w:left w:val="none" w:sz="0" w:space="0" w:color="auto"/>
        <w:bottom w:val="none" w:sz="0" w:space="0" w:color="auto"/>
        <w:right w:val="none" w:sz="0" w:space="0" w:color="auto"/>
      </w:divBdr>
      <w:divsChild>
        <w:div w:id="1447848362">
          <w:marLeft w:val="0"/>
          <w:marRight w:val="0"/>
          <w:marTop w:val="0"/>
          <w:marBottom w:val="0"/>
          <w:divBdr>
            <w:top w:val="none" w:sz="0" w:space="0" w:color="auto"/>
            <w:left w:val="none" w:sz="0" w:space="0" w:color="auto"/>
            <w:bottom w:val="none" w:sz="0" w:space="0" w:color="auto"/>
            <w:right w:val="none" w:sz="0" w:space="0" w:color="auto"/>
          </w:divBdr>
          <w:divsChild>
            <w:div w:id="473723254">
              <w:marLeft w:val="0"/>
              <w:marRight w:val="0"/>
              <w:marTop w:val="0"/>
              <w:marBottom w:val="0"/>
              <w:divBdr>
                <w:top w:val="none" w:sz="0" w:space="0" w:color="auto"/>
                <w:left w:val="none" w:sz="0" w:space="0" w:color="auto"/>
                <w:bottom w:val="none" w:sz="0" w:space="0" w:color="auto"/>
                <w:right w:val="none" w:sz="0" w:space="0" w:color="auto"/>
              </w:divBdr>
              <w:divsChild>
                <w:div w:id="102309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578726">
      <w:bodyDiv w:val="1"/>
      <w:marLeft w:val="0"/>
      <w:marRight w:val="0"/>
      <w:marTop w:val="0"/>
      <w:marBottom w:val="0"/>
      <w:divBdr>
        <w:top w:val="none" w:sz="0" w:space="0" w:color="auto"/>
        <w:left w:val="none" w:sz="0" w:space="0" w:color="auto"/>
        <w:bottom w:val="none" w:sz="0" w:space="0" w:color="auto"/>
        <w:right w:val="none" w:sz="0" w:space="0" w:color="auto"/>
      </w:divBdr>
    </w:div>
    <w:div w:id="1343437312">
      <w:bodyDiv w:val="1"/>
      <w:marLeft w:val="0"/>
      <w:marRight w:val="0"/>
      <w:marTop w:val="0"/>
      <w:marBottom w:val="0"/>
      <w:divBdr>
        <w:top w:val="none" w:sz="0" w:space="0" w:color="auto"/>
        <w:left w:val="none" w:sz="0" w:space="0" w:color="auto"/>
        <w:bottom w:val="none" w:sz="0" w:space="0" w:color="auto"/>
        <w:right w:val="none" w:sz="0" w:space="0" w:color="auto"/>
      </w:divBdr>
    </w:div>
    <w:div w:id="1461727607">
      <w:bodyDiv w:val="1"/>
      <w:marLeft w:val="0"/>
      <w:marRight w:val="0"/>
      <w:marTop w:val="0"/>
      <w:marBottom w:val="0"/>
      <w:divBdr>
        <w:top w:val="none" w:sz="0" w:space="0" w:color="auto"/>
        <w:left w:val="none" w:sz="0" w:space="0" w:color="auto"/>
        <w:bottom w:val="none" w:sz="0" w:space="0" w:color="auto"/>
        <w:right w:val="none" w:sz="0" w:space="0" w:color="auto"/>
      </w:divBdr>
      <w:divsChild>
        <w:div w:id="1007026709">
          <w:marLeft w:val="0"/>
          <w:marRight w:val="0"/>
          <w:marTop w:val="0"/>
          <w:marBottom w:val="0"/>
          <w:divBdr>
            <w:top w:val="none" w:sz="0" w:space="0" w:color="auto"/>
            <w:left w:val="none" w:sz="0" w:space="0" w:color="auto"/>
            <w:bottom w:val="none" w:sz="0" w:space="0" w:color="auto"/>
            <w:right w:val="none" w:sz="0" w:space="0" w:color="auto"/>
          </w:divBdr>
          <w:divsChild>
            <w:div w:id="1002048948">
              <w:marLeft w:val="0"/>
              <w:marRight w:val="0"/>
              <w:marTop w:val="0"/>
              <w:marBottom w:val="0"/>
              <w:divBdr>
                <w:top w:val="none" w:sz="0" w:space="0" w:color="auto"/>
                <w:left w:val="none" w:sz="0" w:space="0" w:color="auto"/>
                <w:bottom w:val="none" w:sz="0" w:space="0" w:color="auto"/>
                <w:right w:val="none" w:sz="0" w:space="0" w:color="auto"/>
              </w:divBdr>
              <w:divsChild>
                <w:div w:id="174229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110906">
      <w:bodyDiv w:val="1"/>
      <w:marLeft w:val="0"/>
      <w:marRight w:val="0"/>
      <w:marTop w:val="0"/>
      <w:marBottom w:val="0"/>
      <w:divBdr>
        <w:top w:val="none" w:sz="0" w:space="0" w:color="auto"/>
        <w:left w:val="none" w:sz="0" w:space="0" w:color="auto"/>
        <w:bottom w:val="none" w:sz="0" w:space="0" w:color="auto"/>
        <w:right w:val="none" w:sz="0" w:space="0" w:color="auto"/>
      </w:divBdr>
    </w:div>
    <w:div w:id="1608997518">
      <w:bodyDiv w:val="1"/>
      <w:marLeft w:val="0"/>
      <w:marRight w:val="0"/>
      <w:marTop w:val="0"/>
      <w:marBottom w:val="0"/>
      <w:divBdr>
        <w:top w:val="none" w:sz="0" w:space="0" w:color="auto"/>
        <w:left w:val="none" w:sz="0" w:space="0" w:color="auto"/>
        <w:bottom w:val="none" w:sz="0" w:space="0" w:color="auto"/>
        <w:right w:val="none" w:sz="0" w:space="0" w:color="auto"/>
      </w:divBdr>
      <w:divsChild>
        <w:div w:id="2129231063">
          <w:marLeft w:val="0"/>
          <w:marRight w:val="0"/>
          <w:marTop w:val="0"/>
          <w:marBottom w:val="0"/>
          <w:divBdr>
            <w:top w:val="none" w:sz="0" w:space="0" w:color="auto"/>
            <w:left w:val="none" w:sz="0" w:space="0" w:color="auto"/>
            <w:bottom w:val="none" w:sz="0" w:space="0" w:color="auto"/>
            <w:right w:val="none" w:sz="0" w:space="0" w:color="auto"/>
          </w:divBdr>
          <w:divsChild>
            <w:div w:id="544146259">
              <w:marLeft w:val="0"/>
              <w:marRight w:val="0"/>
              <w:marTop w:val="0"/>
              <w:marBottom w:val="0"/>
              <w:divBdr>
                <w:top w:val="none" w:sz="0" w:space="0" w:color="auto"/>
                <w:left w:val="none" w:sz="0" w:space="0" w:color="auto"/>
                <w:bottom w:val="none" w:sz="0" w:space="0" w:color="auto"/>
                <w:right w:val="none" w:sz="0" w:space="0" w:color="auto"/>
              </w:divBdr>
              <w:divsChild>
                <w:div w:id="180211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042975">
      <w:bodyDiv w:val="1"/>
      <w:marLeft w:val="0"/>
      <w:marRight w:val="0"/>
      <w:marTop w:val="0"/>
      <w:marBottom w:val="0"/>
      <w:divBdr>
        <w:top w:val="none" w:sz="0" w:space="0" w:color="auto"/>
        <w:left w:val="none" w:sz="0" w:space="0" w:color="auto"/>
        <w:bottom w:val="none" w:sz="0" w:space="0" w:color="auto"/>
        <w:right w:val="none" w:sz="0" w:space="0" w:color="auto"/>
      </w:divBdr>
    </w:div>
    <w:div w:id="1782725435">
      <w:bodyDiv w:val="1"/>
      <w:marLeft w:val="0"/>
      <w:marRight w:val="0"/>
      <w:marTop w:val="0"/>
      <w:marBottom w:val="0"/>
      <w:divBdr>
        <w:top w:val="none" w:sz="0" w:space="0" w:color="auto"/>
        <w:left w:val="none" w:sz="0" w:space="0" w:color="auto"/>
        <w:bottom w:val="none" w:sz="0" w:space="0" w:color="auto"/>
        <w:right w:val="none" w:sz="0" w:space="0" w:color="auto"/>
      </w:divBdr>
      <w:divsChild>
        <w:div w:id="624392027">
          <w:marLeft w:val="0"/>
          <w:marRight w:val="0"/>
          <w:marTop w:val="0"/>
          <w:marBottom w:val="0"/>
          <w:divBdr>
            <w:top w:val="none" w:sz="0" w:space="0" w:color="auto"/>
            <w:left w:val="none" w:sz="0" w:space="0" w:color="auto"/>
            <w:bottom w:val="none" w:sz="0" w:space="0" w:color="auto"/>
            <w:right w:val="none" w:sz="0" w:space="0" w:color="auto"/>
          </w:divBdr>
        </w:div>
        <w:div w:id="346061759">
          <w:marLeft w:val="0"/>
          <w:marRight w:val="0"/>
          <w:marTop w:val="0"/>
          <w:marBottom w:val="0"/>
          <w:divBdr>
            <w:top w:val="none" w:sz="0" w:space="0" w:color="auto"/>
            <w:left w:val="none" w:sz="0" w:space="0" w:color="auto"/>
            <w:bottom w:val="none" w:sz="0" w:space="0" w:color="auto"/>
            <w:right w:val="none" w:sz="0" w:space="0" w:color="auto"/>
          </w:divBdr>
        </w:div>
      </w:divsChild>
    </w:div>
    <w:div w:id="1860773189">
      <w:bodyDiv w:val="1"/>
      <w:marLeft w:val="0"/>
      <w:marRight w:val="0"/>
      <w:marTop w:val="0"/>
      <w:marBottom w:val="0"/>
      <w:divBdr>
        <w:top w:val="none" w:sz="0" w:space="0" w:color="auto"/>
        <w:left w:val="none" w:sz="0" w:space="0" w:color="auto"/>
        <w:bottom w:val="none" w:sz="0" w:space="0" w:color="auto"/>
        <w:right w:val="none" w:sz="0" w:space="0" w:color="auto"/>
      </w:divBdr>
      <w:divsChild>
        <w:div w:id="481047412">
          <w:marLeft w:val="0"/>
          <w:marRight w:val="0"/>
          <w:marTop w:val="0"/>
          <w:marBottom w:val="0"/>
          <w:divBdr>
            <w:top w:val="none" w:sz="0" w:space="0" w:color="auto"/>
            <w:left w:val="none" w:sz="0" w:space="0" w:color="auto"/>
            <w:bottom w:val="none" w:sz="0" w:space="0" w:color="auto"/>
            <w:right w:val="none" w:sz="0" w:space="0" w:color="auto"/>
          </w:divBdr>
          <w:divsChild>
            <w:div w:id="1214389387">
              <w:marLeft w:val="0"/>
              <w:marRight w:val="0"/>
              <w:marTop w:val="0"/>
              <w:marBottom w:val="0"/>
              <w:divBdr>
                <w:top w:val="none" w:sz="0" w:space="0" w:color="auto"/>
                <w:left w:val="none" w:sz="0" w:space="0" w:color="auto"/>
                <w:bottom w:val="none" w:sz="0" w:space="0" w:color="auto"/>
                <w:right w:val="none" w:sz="0" w:space="0" w:color="auto"/>
              </w:divBdr>
              <w:divsChild>
                <w:div w:id="17642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141268">
      <w:bodyDiv w:val="1"/>
      <w:marLeft w:val="0"/>
      <w:marRight w:val="0"/>
      <w:marTop w:val="0"/>
      <w:marBottom w:val="0"/>
      <w:divBdr>
        <w:top w:val="none" w:sz="0" w:space="0" w:color="auto"/>
        <w:left w:val="none" w:sz="0" w:space="0" w:color="auto"/>
        <w:bottom w:val="none" w:sz="0" w:space="0" w:color="auto"/>
        <w:right w:val="none" w:sz="0" w:space="0" w:color="auto"/>
      </w:divBdr>
      <w:divsChild>
        <w:div w:id="4599425">
          <w:marLeft w:val="360"/>
          <w:marRight w:val="0"/>
          <w:marTop w:val="200"/>
          <w:marBottom w:val="0"/>
          <w:divBdr>
            <w:top w:val="none" w:sz="0" w:space="0" w:color="auto"/>
            <w:left w:val="none" w:sz="0" w:space="0" w:color="auto"/>
            <w:bottom w:val="none" w:sz="0" w:space="0" w:color="auto"/>
            <w:right w:val="none" w:sz="0" w:space="0" w:color="auto"/>
          </w:divBdr>
        </w:div>
        <w:div w:id="786317224">
          <w:marLeft w:val="360"/>
          <w:marRight w:val="0"/>
          <w:marTop w:val="200"/>
          <w:marBottom w:val="0"/>
          <w:divBdr>
            <w:top w:val="none" w:sz="0" w:space="0" w:color="auto"/>
            <w:left w:val="none" w:sz="0" w:space="0" w:color="auto"/>
            <w:bottom w:val="none" w:sz="0" w:space="0" w:color="auto"/>
            <w:right w:val="none" w:sz="0" w:space="0" w:color="auto"/>
          </w:divBdr>
        </w:div>
        <w:div w:id="1364750655">
          <w:marLeft w:val="1080"/>
          <w:marRight w:val="0"/>
          <w:marTop w:val="100"/>
          <w:marBottom w:val="0"/>
          <w:divBdr>
            <w:top w:val="none" w:sz="0" w:space="0" w:color="auto"/>
            <w:left w:val="none" w:sz="0" w:space="0" w:color="auto"/>
            <w:bottom w:val="none" w:sz="0" w:space="0" w:color="auto"/>
            <w:right w:val="none" w:sz="0" w:space="0" w:color="auto"/>
          </w:divBdr>
        </w:div>
        <w:div w:id="1797523862">
          <w:marLeft w:val="1080"/>
          <w:marRight w:val="0"/>
          <w:marTop w:val="100"/>
          <w:marBottom w:val="0"/>
          <w:divBdr>
            <w:top w:val="none" w:sz="0" w:space="0" w:color="auto"/>
            <w:left w:val="none" w:sz="0" w:space="0" w:color="auto"/>
            <w:bottom w:val="none" w:sz="0" w:space="0" w:color="auto"/>
            <w:right w:val="none" w:sz="0" w:space="0" w:color="auto"/>
          </w:divBdr>
        </w:div>
        <w:div w:id="126363420">
          <w:marLeft w:val="1080"/>
          <w:marRight w:val="0"/>
          <w:marTop w:val="100"/>
          <w:marBottom w:val="0"/>
          <w:divBdr>
            <w:top w:val="none" w:sz="0" w:space="0" w:color="auto"/>
            <w:left w:val="none" w:sz="0" w:space="0" w:color="auto"/>
            <w:bottom w:val="none" w:sz="0" w:space="0" w:color="auto"/>
            <w:right w:val="none" w:sz="0" w:space="0" w:color="auto"/>
          </w:divBdr>
        </w:div>
      </w:divsChild>
    </w:div>
    <w:div w:id="1967152721">
      <w:bodyDiv w:val="1"/>
      <w:marLeft w:val="0"/>
      <w:marRight w:val="0"/>
      <w:marTop w:val="0"/>
      <w:marBottom w:val="0"/>
      <w:divBdr>
        <w:top w:val="none" w:sz="0" w:space="0" w:color="auto"/>
        <w:left w:val="none" w:sz="0" w:space="0" w:color="auto"/>
        <w:bottom w:val="none" w:sz="0" w:space="0" w:color="auto"/>
        <w:right w:val="none" w:sz="0" w:space="0" w:color="auto"/>
      </w:divBdr>
      <w:divsChild>
        <w:div w:id="513033954">
          <w:marLeft w:val="0"/>
          <w:marRight w:val="0"/>
          <w:marTop w:val="0"/>
          <w:marBottom w:val="0"/>
          <w:divBdr>
            <w:top w:val="none" w:sz="0" w:space="0" w:color="auto"/>
            <w:left w:val="none" w:sz="0" w:space="0" w:color="auto"/>
            <w:bottom w:val="none" w:sz="0" w:space="0" w:color="auto"/>
            <w:right w:val="none" w:sz="0" w:space="0" w:color="auto"/>
          </w:divBdr>
          <w:divsChild>
            <w:div w:id="1077703699">
              <w:marLeft w:val="0"/>
              <w:marRight w:val="0"/>
              <w:marTop w:val="0"/>
              <w:marBottom w:val="0"/>
              <w:divBdr>
                <w:top w:val="none" w:sz="0" w:space="0" w:color="auto"/>
                <w:left w:val="none" w:sz="0" w:space="0" w:color="auto"/>
                <w:bottom w:val="none" w:sz="0" w:space="0" w:color="auto"/>
                <w:right w:val="none" w:sz="0" w:space="0" w:color="auto"/>
              </w:divBdr>
              <w:divsChild>
                <w:div w:id="84767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743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528-021-00640-6" TargetMode="External"/><Relationship Id="rId13" Type="http://schemas.openxmlformats.org/officeDocument/2006/relationships/hyperlink" Target="https://doi.org/10.1080/13562517.2010.50731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2/cc.61" TargetMode="External"/><Relationship Id="rId12" Type="http://schemas.openxmlformats.org/officeDocument/2006/relationships/hyperlink" Target="https://doi.org/10.1080/09518398.2020.177146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08856257.2020.182316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603116.2018.1449021" TargetMode="External"/><Relationship Id="rId5" Type="http://schemas.openxmlformats.org/officeDocument/2006/relationships/footnotes" Target="footnotes.xml"/><Relationship Id="rId15" Type="http://schemas.openxmlformats.org/officeDocument/2006/relationships/hyperlink" Target="https://www.taylorfrancis.com/books/mono/10.4324/9780203802014/critical-incidents-teaching-classic-edition-david-tripp" TargetMode="External"/><Relationship Id="rId10" Type="http://schemas.openxmlformats.org/officeDocument/2006/relationships/hyperlink" Target="https://doi.org/10.1080/20473869.2022.2070418" TargetMode="External"/><Relationship Id="rId4" Type="http://schemas.openxmlformats.org/officeDocument/2006/relationships/webSettings" Target="webSettings.xml"/><Relationship Id="rId9" Type="http://schemas.openxmlformats.org/officeDocument/2006/relationships/hyperlink" Target="https://doi.org/10.1080/14623940308274" TargetMode="External"/><Relationship Id="rId14" Type="http://schemas.openxmlformats.org/officeDocument/2006/relationships/hyperlink" Target="https://doi.org/10.1177/1088357612450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312</TotalTime>
  <Pages>18</Pages>
  <Words>5836</Words>
  <Characters>33271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Wills (Maesmarchog Community Primary School)</dc:creator>
  <cp:keywords/>
  <dc:description/>
  <cp:lastModifiedBy>Amy Wills (2209564)</cp:lastModifiedBy>
  <cp:revision>9</cp:revision>
  <dcterms:created xsi:type="dcterms:W3CDTF">2022-11-06T16:31:00Z</dcterms:created>
  <dcterms:modified xsi:type="dcterms:W3CDTF">2022-11-07T20:19:00Z</dcterms:modified>
</cp:coreProperties>
</file>