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89B2DF8" w:rsidP="2D88EA34" w:rsidRDefault="189B2DF8" w14:paraId="37EEDCA1" w14:textId="65477F24">
      <w:pPr>
        <w:pStyle w:val="Normal"/>
        <w:jc w:val="left"/>
      </w:pPr>
      <w:r w:rsidR="189B2DF8">
        <w:drawing>
          <wp:inline wp14:editId="181E2C34" wp14:anchorId="4A08183A">
            <wp:extent cx="1914525" cy="647700"/>
            <wp:effectExtent l="0" t="0" r="0" b="0"/>
            <wp:docPr id="761190923" name="" title=""/>
            <wp:cNvGraphicFramePr>
              <a:graphicFrameLocks noChangeAspect="1"/>
            </wp:cNvGraphicFramePr>
            <a:graphic>
              <a:graphicData uri="http://schemas.openxmlformats.org/drawingml/2006/picture">
                <pic:pic>
                  <pic:nvPicPr>
                    <pic:cNvPr id="0" name=""/>
                    <pic:cNvPicPr/>
                  </pic:nvPicPr>
                  <pic:blipFill>
                    <a:blip r:embed="Rf54d99e42c134d8f">
                      <a:extLst>
                        <a:ext xmlns:a="http://schemas.openxmlformats.org/drawingml/2006/main" uri="{28A0092B-C50C-407E-A947-70E740481C1C}">
                          <a14:useLocalDpi val="0"/>
                        </a:ext>
                      </a:extLst>
                    </a:blip>
                    <a:stretch>
                      <a:fillRect/>
                    </a:stretch>
                  </pic:blipFill>
                  <pic:spPr>
                    <a:xfrm>
                      <a:off x="0" y="0"/>
                      <a:ext cx="1914525" cy="647700"/>
                    </a:xfrm>
                    <a:prstGeom prst="rect">
                      <a:avLst/>
                    </a:prstGeom>
                  </pic:spPr>
                </pic:pic>
              </a:graphicData>
            </a:graphic>
          </wp:inline>
        </w:drawing>
      </w:r>
    </w:p>
    <w:p w:rsidR="189B2DF8" w:rsidP="2D88EA34" w:rsidRDefault="189B2DF8" w14:paraId="739BA200" w14:textId="17E66F05">
      <w:pPr>
        <w:jc w:val="center"/>
      </w:pPr>
      <w:r w:rsidRPr="2D88EA34" w:rsidR="189B2DF8">
        <w:rPr>
          <w:rFonts w:ascii="Georgia" w:hAnsi="Georgia" w:eastAsia="Georgia" w:cs="Georgia"/>
          <w:noProof w:val="0"/>
          <w:color w:val="000000" w:themeColor="text1" w:themeTint="FF" w:themeShade="FF"/>
          <w:sz w:val="21"/>
          <w:szCs w:val="21"/>
          <w:lang w:val="en-GB"/>
        </w:rPr>
        <w:t xml:space="preserve"> </w:t>
      </w:r>
    </w:p>
    <w:p w:rsidR="189B2DF8" w:rsidP="2D88EA34" w:rsidRDefault="189B2DF8" w14:paraId="269BADB3" w14:textId="43C3EB44">
      <w:pPr>
        <w:jc w:val="center"/>
      </w:pPr>
      <w:r w:rsidRPr="2D88EA34" w:rsidR="189B2DF8">
        <w:rPr>
          <w:rFonts w:ascii="Georgia" w:hAnsi="Georgia" w:eastAsia="Georgia" w:cs="Georgia"/>
          <w:noProof w:val="0"/>
          <w:color w:val="000000" w:themeColor="text1" w:themeTint="FF" w:themeShade="FF"/>
          <w:sz w:val="21"/>
          <w:szCs w:val="21"/>
          <w:lang w:val="en-GB"/>
        </w:rPr>
        <w:t xml:space="preserve"> </w:t>
      </w:r>
    </w:p>
    <w:p w:rsidR="189B2DF8" w:rsidP="2D88EA34" w:rsidRDefault="189B2DF8" w14:paraId="0D1BC181" w14:textId="0D5A1BC4">
      <w:pPr>
        <w:jc w:val="center"/>
      </w:pPr>
      <w:r w:rsidRPr="2D88EA34" w:rsidR="189B2DF8">
        <w:rPr>
          <w:rFonts w:ascii="Arial" w:hAnsi="Arial" w:eastAsia="Arial" w:cs="Arial"/>
          <w:b w:val="1"/>
          <w:bCs w:val="1"/>
          <w:noProof w:val="0"/>
          <w:color w:val="000000" w:themeColor="text1" w:themeTint="FF" w:themeShade="FF"/>
          <w:sz w:val="28"/>
          <w:szCs w:val="28"/>
          <w:lang w:val="en-GB"/>
        </w:rPr>
        <w:t xml:space="preserve">Postgraduate/Distance Learning </w:t>
      </w:r>
    </w:p>
    <w:p w:rsidR="189B2DF8" w:rsidP="2D88EA34" w:rsidRDefault="189B2DF8" w14:paraId="794C76A4" w14:textId="26858584">
      <w:pPr>
        <w:jc w:val="center"/>
      </w:pPr>
      <w:r w:rsidRPr="2D88EA34" w:rsidR="189B2DF8">
        <w:rPr>
          <w:rFonts w:ascii="Arial" w:hAnsi="Arial" w:eastAsia="Arial" w:cs="Arial"/>
          <w:b w:val="1"/>
          <w:bCs w:val="1"/>
          <w:noProof w:val="0"/>
          <w:color w:val="000000" w:themeColor="text1" w:themeTint="FF" w:themeShade="FF"/>
          <w:sz w:val="28"/>
          <w:szCs w:val="28"/>
          <w:lang w:val="en-GB"/>
        </w:rPr>
        <w:t>Assignment coversheet &amp; feedback form</w:t>
      </w:r>
    </w:p>
    <w:p w:rsidR="189B2DF8" w:rsidP="2D88EA34" w:rsidRDefault="189B2DF8" w14:paraId="475E21B0" w14:textId="7C690EED">
      <w:pPr>
        <w:jc w:val="center"/>
      </w:pPr>
      <w:r w:rsidRPr="2D88EA34" w:rsidR="189B2DF8">
        <w:rPr>
          <w:rFonts w:ascii="Arial" w:hAnsi="Arial" w:eastAsia="Arial" w:cs="Arial"/>
          <w:noProof w:val="0"/>
          <w:color w:val="000000" w:themeColor="text1" w:themeTint="FF" w:themeShade="FF"/>
          <w:sz w:val="28"/>
          <w:szCs w:val="28"/>
          <w:lang w:val="en-GB"/>
        </w:rPr>
        <w:t xml:space="preserve"> </w:t>
      </w:r>
    </w:p>
    <w:p w:rsidR="189B2DF8" w:rsidP="2D88EA34" w:rsidRDefault="189B2DF8" w14:paraId="6AA93D0A" w14:textId="6B142571">
      <w:pPr>
        <w:pStyle w:val="Heading3"/>
      </w:pPr>
      <w:r w:rsidRPr="2D88EA34" w:rsidR="189B2DF8">
        <w:rPr>
          <w:rFonts w:ascii="Tahoma" w:hAnsi="Tahoma" w:eastAsia="Tahoma" w:cs="Tahoma"/>
          <w:b w:val="1"/>
          <w:bCs w:val="1"/>
          <w:noProof w:val="0"/>
          <w:sz w:val="20"/>
          <w:szCs w:val="20"/>
          <w:lang w:val="en-GB"/>
        </w:rPr>
        <w:t>THIS SHEET MUST BE THE FIRST PAGE OF THE ASSIGNMENT YOU ARE SUBMITTING  (DO NOT SEND AS A SEPARATE FILE)</w:t>
      </w:r>
    </w:p>
    <w:p w:rsidR="189B2DF8" w:rsidP="2D88EA34" w:rsidRDefault="189B2DF8" w14:paraId="65FA6F0E" w14:textId="7B75DB10">
      <w:pPr>
        <w:pStyle w:val="Heading3"/>
      </w:pPr>
      <w:r w:rsidRPr="2D88EA34" w:rsidR="189B2DF8">
        <w:rPr>
          <w:rFonts w:ascii="Trebuchet MS" w:hAnsi="Trebuchet MS" w:eastAsia="Trebuchet MS" w:cs="Trebuchet MS"/>
          <w:b w:val="1"/>
          <w:bCs w:val="1"/>
          <w:noProof w:val="0"/>
          <w:sz w:val="20"/>
          <w:szCs w:val="20"/>
          <w:lang w:val="en-GB"/>
        </w:rPr>
        <w:t xml:space="preserve"> </w:t>
      </w:r>
    </w:p>
    <w:tbl>
      <w:tblPr>
        <w:tblStyle w:val="TableNormal"/>
        <w:tblW w:w="0" w:type="auto"/>
        <w:tblLayout w:type="fixed"/>
        <w:tblLook w:val="04A0" w:firstRow="1" w:lastRow="0" w:firstColumn="1" w:lastColumn="0" w:noHBand="0" w:noVBand="1"/>
      </w:tblPr>
      <w:tblGrid>
        <w:gridCol w:w="4785"/>
        <w:gridCol w:w="420"/>
        <w:gridCol w:w="1560"/>
        <w:gridCol w:w="285"/>
        <w:gridCol w:w="1800"/>
      </w:tblGrid>
      <w:tr w:rsidR="2D88EA34" w:rsidTr="2D88EA34" w14:paraId="7765891E">
        <w:trPr>
          <w:trHeight w:val="61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362700E9" w14:textId="254981D5">
            <w:r w:rsidRPr="2D88EA34" w:rsidR="2D88EA34">
              <w:rPr>
                <w:rFonts w:ascii="Arial" w:hAnsi="Arial" w:eastAsia="Arial" w:cs="Arial"/>
                <w:b w:val="1"/>
                <w:bCs w:val="1"/>
                <w:color w:val="000000" w:themeColor="text1" w:themeTint="FF" w:themeShade="FF"/>
                <w:sz w:val="22"/>
                <w:szCs w:val="22"/>
              </w:rPr>
              <w:t>For completion by the student</w:t>
            </w:r>
            <w:r w:rsidRPr="2D88EA34" w:rsidR="2D88EA34">
              <w:rPr>
                <w:rFonts w:ascii="Arial" w:hAnsi="Arial" w:eastAsia="Arial" w:cs="Arial"/>
                <w:color w:val="000000" w:themeColor="text1" w:themeTint="FF" w:themeShade="FF"/>
                <w:sz w:val="22"/>
                <w:szCs w:val="22"/>
              </w:rPr>
              <w:t>:</w:t>
            </w:r>
          </w:p>
        </w:tc>
      </w:tr>
      <w:tr w:rsidR="2D88EA34" w:rsidTr="2D88EA34" w14:paraId="54ED28B2">
        <w:trPr>
          <w:trHeight w:val="720"/>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20A1AD2C" w14:textId="6BE818D8">
            <w:r w:rsidRPr="2D88EA34" w:rsidR="2D88EA34">
              <w:rPr>
                <w:rFonts w:ascii="Arial" w:hAnsi="Arial" w:eastAsia="Arial" w:cs="Arial"/>
                <w:color w:val="000000" w:themeColor="text1" w:themeTint="FF" w:themeShade="FF"/>
                <w:sz w:val="22"/>
                <w:szCs w:val="22"/>
              </w:rPr>
              <w:t>Student Name: Karen Hanson</w:t>
            </w:r>
          </w:p>
          <w:p w:rsidR="2D88EA34" w:rsidRDefault="2D88EA34" w14:paraId="60AB7B61" w14:textId="2EDF50FC">
            <w:r w:rsidRPr="2D88EA34" w:rsidR="2D88EA34">
              <w:rPr>
                <w:rFonts w:ascii="Arial" w:hAnsi="Arial" w:eastAsia="Arial" w:cs="Arial"/>
                <w:color w:val="000000" w:themeColor="text1" w:themeTint="FF" w:themeShade="FF"/>
                <w:sz w:val="22"/>
                <w:szCs w:val="22"/>
              </w:rPr>
              <w:t xml:space="preserve"> </w:t>
            </w:r>
          </w:p>
          <w:p w:rsidR="2D88EA34" w:rsidRDefault="2D88EA34" w14:paraId="402675C8" w14:textId="62C95372">
            <w:r w:rsidRPr="2D88EA34" w:rsidR="2D88EA34">
              <w:rPr>
                <w:rFonts w:ascii="Arial" w:hAnsi="Arial" w:eastAsia="Arial" w:cs="Arial"/>
                <w:color w:val="000000" w:themeColor="text1" w:themeTint="FF" w:themeShade="FF"/>
                <w:sz w:val="22"/>
                <w:szCs w:val="22"/>
              </w:rPr>
              <w:t xml:space="preserve">Student </w:t>
            </w:r>
            <w:r w:rsidRPr="2D88EA34" w:rsidR="2D88EA34">
              <w:rPr>
                <w:rFonts w:ascii="Arial" w:hAnsi="Arial" w:eastAsia="Arial" w:cs="Arial"/>
                <w:b w:val="1"/>
                <w:bCs w:val="1"/>
                <w:color w:val="000000" w:themeColor="text1" w:themeTint="FF" w:themeShade="FF"/>
                <w:sz w:val="22"/>
                <w:szCs w:val="22"/>
                <w:u w:val="single"/>
              </w:rPr>
              <w:t>University</w:t>
            </w:r>
            <w:r w:rsidRPr="2D88EA34" w:rsidR="2D88EA34">
              <w:rPr>
                <w:rFonts w:ascii="Arial" w:hAnsi="Arial" w:eastAsia="Arial" w:cs="Arial"/>
                <w:color w:val="000000" w:themeColor="text1" w:themeTint="FF" w:themeShade="FF"/>
                <w:sz w:val="22"/>
                <w:szCs w:val="22"/>
                <w:u w:val="single"/>
              </w:rPr>
              <w:t xml:space="preserve"> </w:t>
            </w:r>
            <w:r w:rsidRPr="2D88EA34" w:rsidR="2D88EA34">
              <w:rPr>
                <w:rFonts w:ascii="Arial" w:hAnsi="Arial" w:eastAsia="Arial" w:cs="Arial"/>
                <w:color w:val="000000" w:themeColor="text1" w:themeTint="FF" w:themeShade="FF"/>
                <w:sz w:val="22"/>
                <w:szCs w:val="22"/>
              </w:rPr>
              <w:t xml:space="preserve">Email: </w:t>
            </w:r>
            <w:hyperlink r:id="Ra612fc0ee2f3479b">
              <w:r w:rsidRPr="2D88EA34" w:rsidR="2D88EA34">
                <w:rPr>
                  <w:rStyle w:val="Hyperlink"/>
                  <w:rFonts w:ascii="Arial" w:hAnsi="Arial" w:eastAsia="Arial" w:cs="Arial"/>
                  <w:sz w:val="22"/>
                  <w:szCs w:val="22"/>
                </w:rPr>
                <w:t>2113844@student.uwtsd.ac.uk</w:t>
              </w:r>
            </w:hyperlink>
          </w:p>
        </w:tc>
      </w:tr>
      <w:tr w:rsidR="2D88EA34" w:rsidTr="2D88EA34" w14:paraId="680E312E">
        <w:trPr>
          <w:trHeight w:val="855"/>
        </w:trPr>
        <w:tc>
          <w:tcPr>
            <w:tcW w:w="478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151897C6" w14:textId="50DDE9CE">
            <w:r w:rsidRPr="2D88EA34" w:rsidR="2D88EA34">
              <w:rPr>
                <w:rFonts w:ascii="Arial" w:hAnsi="Arial" w:eastAsia="Arial" w:cs="Arial"/>
                <w:color w:val="000000" w:themeColor="text1" w:themeTint="FF" w:themeShade="FF"/>
                <w:sz w:val="22"/>
                <w:szCs w:val="22"/>
              </w:rPr>
              <w:t>Module code: HPCA7014</w:t>
            </w:r>
          </w:p>
          <w:p w:rsidR="2D88EA34" w:rsidRDefault="2D88EA34" w14:paraId="7C86E4CB" w14:textId="6D2AC767">
            <w:r w:rsidRPr="2D88EA34" w:rsidR="2D88EA34">
              <w:rPr>
                <w:rFonts w:ascii="Arial" w:hAnsi="Arial" w:eastAsia="Arial" w:cs="Arial"/>
                <w:color w:val="000000" w:themeColor="text1" w:themeTint="FF" w:themeShade="FF"/>
                <w:sz w:val="22"/>
                <w:szCs w:val="22"/>
              </w:rPr>
              <w:t xml:space="preserve"> </w:t>
            </w:r>
          </w:p>
          <w:p w:rsidR="2D88EA34" w:rsidRDefault="2D88EA34" w14:paraId="36ED11A5" w14:textId="6A70D243">
            <w:r w:rsidRPr="2D88EA34" w:rsidR="2D88EA34">
              <w:rPr>
                <w:rFonts w:ascii="Arial" w:hAnsi="Arial" w:eastAsia="Arial" w:cs="Arial"/>
                <w:color w:val="000000" w:themeColor="text1" w:themeTint="FF" w:themeShade="FF"/>
                <w:sz w:val="22"/>
                <w:szCs w:val="22"/>
              </w:rPr>
              <w:t>Module title: Sacred Geography</w:t>
            </w:r>
          </w:p>
          <w:p w:rsidR="2D88EA34" w:rsidRDefault="2D88EA34" w14:paraId="4A6D8240" w14:textId="4E3356FD">
            <w:r w:rsidRPr="2D88EA34" w:rsidR="2D88EA34">
              <w:rPr>
                <w:rFonts w:ascii="Arial" w:hAnsi="Arial" w:eastAsia="Arial" w:cs="Arial"/>
                <w:color w:val="000000" w:themeColor="text1" w:themeTint="FF" w:themeShade="FF"/>
                <w:sz w:val="22"/>
                <w:szCs w:val="22"/>
              </w:rPr>
              <w:t xml:space="preserve"> </w:t>
            </w:r>
          </w:p>
          <w:p w:rsidR="2D88EA34" w:rsidRDefault="2D88EA34" w14:paraId="52657435" w14:textId="6456C494">
            <w:r w:rsidRPr="2D88EA34" w:rsidR="2D88EA34">
              <w:rPr>
                <w:rFonts w:ascii="Arial" w:hAnsi="Arial" w:eastAsia="Arial" w:cs="Arial"/>
                <w:color w:val="000000" w:themeColor="text1" w:themeTint="FF" w:themeShade="FF"/>
                <w:sz w:val="22"/>
                <w:szCs w:val="22"/>
              </w:rPr>
              <w:t xml:space="preserve"> </w:t>
            </w:r>
          </w:p>
        </w:tc>
        <w:tc>
          <w:tcPr>
            <w:tcW w:w="2265" w:type="dxa"/>
            <w:gridSpan w:val="3"/>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7240B2FA" w14:textId="6748F0D1">
            <w:r w:rsidRPr="2D88EA34" w:rsidR="2D88EA34">
              <w:rPr>
                <w:rFonts w:ascii="Arial" w:hAnsi="Arial" w:eastAsia="Arial" w:cs="Arial"/>
                <w:color w:val="000000" w:themeColor="text1" w:themeTint="FF" w:themeShade="FF"/>
                <w:sz w:val="22"/>
                <w:szCs w:val="22"/>
              </w:rPr>
              <w:t>Student ID number:</w:t>
            </w:r>
          </w:p>
          <w:p w:rsidR="2D88EA34" w:rsidRDefault="2D88EA34" w14:paraId="370E081F" w14:textId="61207787">
            <w:r w:rsidRPr="2D88EA34" w:rsidR="2D88EA34">
              <w:rPr>
                <w:rFonts w:ascii="Arial" w:hAnsi="Arial" w:eastAsia="Arial" w:cs="Arial"/>
                <w:color w:val="000000" w:themeColor="text1" w:themeTint="FF" w:themeShade="FF"/>
                <w:sz w:val="22"/>
                <w:szCs w:val="22"/>
              </w:rPr>
              <w:t>2113844</w:t>
            </w:r>
          </w:p>
        </w:tc>
        <w:tc>
          <w:tcPr>
            <w:tcW w:w="1800" w:type="dxa"/>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2D88EA34" w:rsidRDefault="2D88EA34" w14:paraId="4E93334E" w14:textId="7D4C2897">
            <w:r w:rsidRPr="2D88EA34" w:rsidR="2D88EA34">
              <w:rPr>
                <w:rFonts w:ascii="Arial" w:hAnsi="Arial" w:eastAsia="Arial" w:cs="Arial"/>
                <w:color w:val="000000" w:themeColor="text1" w:themeTint="FF" w:themeShade="FF"/>
                <w:sz w:val="22"/>
                <w:szCs w:val="22"/>
              </w:rPr>
              <w:t>Educational support needs:</w:t>
            </w:r>
          </w:p>
          <w:p w:rsidR="2D88EA34" w:rsidRDefault="2D88EA34" w14:paraId="045BC854" w14:textId="4D8C0053">
            <w:r w:rsidRPr="2D88EA34" w:rsidR="2D88EA34">
              <w:rPr>
                <w:rFonts w:ascii="Arial" w:hAnsi="Arial" w:eastAsia="Arial" w:cs="Arial"/>
                <w:color w:val="000000" w:themeColor="text1" w:themeTint="FF" w:themeShade="FF"/>
                <w:sz w:val="22"/>
                <w:szCs w:val="22"/>
              </w:rPr>
              <w:t>No</w:t>
            </w:r>
          </w:p>
        </w:tc>
      </w:tr>
      <w:tr w:rsidR="2D88EA34" w:rsidTr="2D88EA34" w14:paraId="6AF07435">
        <w:trPr>
          <w:trHeight w:val="1140"/>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29492D4A" w14:textId="71A27802">
            <w:r w:rsidRPr="2D88EA34" w:rsidR="2D88EA34">
              <w:rPr>
                <w:rFonts w:ascii="Arial" w:hAnsi="Arial" w:eastAsia="Arial" w:cs="Arial"/>
                <w:color w:val="000000" w:themeColor="text1" w:themeTint="FF" w:themeShade="FF"/>
                <w:sz w:val="22"/>
                <w:szCs w:val="22"/>
              </w:rPr>
              <w:t>Assignment title: Compare and critically contrast Mircea Eliade and Emile Durkheim’s view of sacred space.</w:t>
            </w:r>
          </w:p>
          <w:p w:rsidR="2D88EA34" w:rsidRDefault="2D88EA34" w14:paraId="6D290B6C" w14:textId="61167D07">
            <w:r w:rsidRPr="2D88EA34" w:rsidR="2D88EA34">
              <w:rPr>
                <w:rFonts w:ascii="Arial" w:hAnsi="Arial" w:eastAsia="Arial" w:cs="Arial"/>
                <w:color w:val="000000" w:themeColor="text1" w:themeTint="FF" w:themeShade="FF"/>
                <w:sz w:val="22"/>
                <w:szCs w:val="22"/>
              </w:rPr>
              <w:t xml:space="preserve"> </w:t>
            </w:r>
          </w:p>
          <w:p w:rsidR="2D88EA34" w:rsidRDefault="2D88EA34" w14:paraId="5EC8CB21" w14:textId="7E6FC2ED">
            <w:r w:rsidRPr="2D88EA34" w:rsidR="2D88EA34">
              <w:rPr>
                <w:rFonts w:ascii="Arial" w:hAnsi="Arial" w:eastAsia="Arial" w:cs="Arial"/>
                <w:color w:val="000000" w:themeColor="text1" w:themeTint="FF" w:themeShade="FF"/>
                <w:sz w:val="22"/>
                <w:szCs w:val="22"/>
              </w:rPr>
              <w:t xml:space="preserve"> </w:t>
            </w:r>
          </w:p>
          <w:p w:rsidR="2D88EA34" w:rsidRDefault="2D88EA34" w14:paraId="4C8D68CA" w14:textId="00EF8875">
            <w:r w:rsidRPr="2D88EA34" w:rsidR="2D88EA34">
              <w:rPr>
                <w:rFonts w:ascii="Arial" w:hAnsi="Arial" w:eastAsia="Arial" w:cs="Arial"/>
                <w:color w:val="000000" w:themeColor="text1" w:themeTint="FF" w:themeShade="FF"/>
                <w:sz w:val="22"/>
                <w:szCs w:val="22"/>
              </w:rPr>
              <w:t>Assignment due date: 14</w:t>
            </w:r>
            <w:r w:rsidRPr="2D88EA34" w:rsidR="2D88EA34">
              <w:rPr>
                <w:rFonts w:ascii="Arial" w:hAnsi="Arial" w:eastAsia="Arial" w:cs="Arial"/>
                <w:color w:val="000000" w:themeColor="text1" w:themeTint="FF" w:themeShade="FF"/>
                <w:sz w:val="22"/>
                <w:szCs w:val="22"/>
                <w:vertAlign w:val="superscript"/>
              </w:rPr>
              <w:t>th</w:t>
            </w:r>
            <w:r w:rsidRPr="2D88EA34" w:rsidR="2D88EA34">
              <w:rPr>
                <w:rFonts w:ascii="Arial" w:hAnsi="Arial" w:eastAsia="Arial" w:cs="Arial"/>
                <w:color w:val="000000" w:themeColor="text1" w:themeTint="FF" w:themeShade="FF"/>
                <w:sz w:val="22"/>
                <w:szCs w:val="22"/>
              </w:rPr>
              <w:t xml:space="preserve"> November 2022</w:t>
            </w:r>
          </w:p>
        </w:tc>
      </w:tr>
      <w:tr w:rsidR="2D88EA34" w:rsidTr="2D88EA34" w14:paraId="17DF1D2B">
        <w:trPr>
          <w:trHeight w:val="97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3A761C17" w14:textId="33DADA10">
            <w:r w:rsidRPr="2D88EA34" w:rsidR="2D88EA34">
              <w:rPr>
                <w:rFonts w:ascii="Arial" w:hAnsi="Arial" w:eastAsia="Arial" w:cs="Arial"/>
                <w:color w:val="000000" w:themeColor="text1" w:themeTint="FF" w:themeShade="FF"/>
                <w:sz w:val="22"/>
                <w:szCs w:val="22"/>
              </w:rPr>
              <w:t>This assignment is for the       1</w:t>
            </w:r>
            <w:r w:rsidRPr="2D88EA34" w:rsidR="2D88EA34">
              <w:rPr>
                <w:rFonts w:ascii="Arial" w:hAnsi="Arial" w:eastAsia="Arial" w:cs="Arial"/>
                <w:color w:val="000000" w:themeColor="text1" w:themeTint="FF" w:themeShade="FF"/>
                <w:sz w:val="22"/>
                <w:szCs w:val="22"/>
                <w:vertAlign w:val="superscript"/>
              </w:rPr>
              <w:t xml:space="preserve">st </w:t>
            </w:r>
            <w:r w:rsidRPr="2D88EA34" w:rsidR="2D88EA34">
              <w:rPr>
                <w:rFonts w:ascii="Arial" w:hAnsi="Arial" w:eastAsia="Arial" w:cs="Arial"/>
                <w:color w:val="000000" w:themeColor="text1" w:themeTint="FF" w:themeShade="FF"/>
                <w:sz w:val="22"/>
                <w:szCs w:val="22"/>
              </w:rPr>
              <w:t xml:space="preserve">    module of the degree</w:t>
            </w:r>
          </w:p>
        </w:tc>
      </w:tr>
      <w:tr w:rsidR="2D88EA34" w:rsidTr="2D88EA34" w14:paraId="7DBAF501">
        <w:trPr>
          <w:trHeight w:val="97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2D88EA34" w:rsidRDefault="2D88EA34" w14:paraId="045C797A" w14:textId="429C9F9F">
            <w:r w:rsidRPr="2D88EA34" w:rsidR="2D88EA34">
              <w:rPr>
                <w:rFonts w:ascii="Arial" w:hAnsi="Arial" w:eastAsia="Arial" w:cs="Arial"/>
                <w:color w:val="000000" w:themeColor="text1" w:themeTint="FF" w:themeShade="FF"/>
                <w:sz w:val="22"/>
                <w:szCs w:val="22"/>
              </w:rPr>
              <w:t>I confirm that this is my original work and that I have adhered to the University policy on plagiarism.</w:t>
            </w:r>
          </w:p>
          <w:p w:rsidR="2D88EA34" w:rsidRDefault="2D88EA34" w14:paraId="4C64C5A4" w14:textId="77B4FC9E">
            <w:r w:rsidRPr="2D88EA34" w:rsidR="2D88EA34">
              <w:rPr>
                <w:rFonts w:ascii="Arial" w:hAnsi="Arial" w:eastAsia="Arial" w:cs="Arial"/>
                <w:color w:val="000000" w:themeColor="text1" w:themeTint="FF" w:themeShade="FF"/>
                <w:sz w:val="22"/>
                <w:szCs w:val="22"/>
              </w:rPr>
              <w:t>Signed ……Karen Hanson………………………………………………………</w:t>
            </w:r>
          </w:p>
          <w:p w:rsidR="2D88EA34" w:rsidRDefault="2D88EA34" w14:paraId="31C9A4DA" w14:textId="5953F088">
            <w:r w:rsidRPr="2D88EA34" w:rsidR="2D88EA34">
              <w:rPr>
                <w:rFonts w:ascii="Calibri" w:hAnsi="Calibri" w:eastAsia="Calibri" w:cs="Calibri"/>
                <w:b w:val="1"/>
                <w:bCs w:val="1"/>
                <w:color w:val="000000" w:themeColor="text1" w:themeTint="FF" w:themeShade="FF"/>
                <w:sz w:val="24"/>
                <w:szCs w:val="24"/>
              </w:rPr>
              <w:t xml:space="preserve">Email submission:if you are submitting this form via email, please tick this box </w:t>
            </w:r>
            <w:r w:rsidRPr="2D88EA34" w:rsidR="2D88EA34">
              <w:rPr>
                <w:rFonts w:ascii="Calibri" w:hAnsi="Calibri" w:eastAsia="Calibri" w:cs="Calibri"/>
                <w:b w:val="1"/>
                <w:bCs w:val="1"/>
                <w:color w:val="000000" w:themeColor="text1" w:themeTint="FF" w:themeShade="FF"/>
                <w:sz w:val="44"/>
                <w:szCs w:val="44"/>
              </w:rPr>
              <w:t>□</w:t>
            </w:r>
          </w:p>
          <w:p w:rsidR="2D88EA34" w:rsidRDefault="2D88EA34" w14:paraId="626E4B82" w14:textId="3BC639ED">
            <w:r w:rsidRPr="2D88EA34" w:rsidR="2D88EA34">
              <w:rPr>
                <w:rFonts w:ascii="Calibri" w:hAnsi="Calibri" w:eastAsia="Calibri" w:cs="Calibri"/>
                <w:b w:val="1"/>
                <w:bCs w:val="1"/>
                <w:color w:val="000000" w:themeColor="text1" w:themeTint="FF" w:themeShade="FF"/>
                <w:sz w:val="24"/>
                <w:szCs w:val="24"/>
              </w:rPr>
              <w:t>(as a substitute for your signature) to confirm that you agree to the above declaration.</w:t>
            </w:r>
          </w:p>
        </w:tc>
      </w:tr>
      <w:tr w:rsidR="2D88EA34" w:rsidTr="2D88EA34" w14:paraId="080859C5">
        <w:trPr>
          <w:trHeight w:val="397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3FD5DA2C" w14:textId="6F30BF5D">
            <w:r w:rsidRPr="2D88EA34" w:rsidR="2D88EA34">
              <w:rPr>
                <w:rFonts w:ascii="Arial" w:hAnsi="Arial" w:eastAsia="Arial" w:cs="Arial"/>
                <w:b w:val="1"/>
                <w:bCs w:val="1"/>
                <w:color w:val="000000" w:themeColor="text1" w:themeTint="FF" w:themeShade="FF"/>
                <w:sz w:val="21"/>
                <w:szCs w:val="21"/>
              </w:rPr>
              <w:t xml:space="preserve"> </w:t>
            </w:r>
          </w:p>
          <w:p w:rsidR="2D88EA34" w:rsidRDefault="2D88EA34" w14:paraId="0CC1A7B0" w14:textId="633F4F17">
            <w:r w:rsidRPr="2D88EA34" w:rsidR="2D88EA34">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6975"/>
              <w:gridCol w:w="1665"/>
            </w:tblGrid>
            <w:tr w:rsidR="2D88EA34" w:rsidTr="2D88EA34" w14:paraId="3382C601">
              <w:tc>
                <w:tcPr>
                  <w:tcW w:w="6975" w:type="dxa"/>
                  <w:tcBorders>
                    <w:top w:val="single" w:sz="8"/>
                    <w:left w:val="single" w:sz="8"/>
                    <w:bottom w:val="single" w:sz="8"/>
                    <w:right w:val="single" w:sz="8"/>
                  </w:tcBorders>
                  <w:tcMar>
                    <w:left w:w="108" w:type="dxa"/>
                    <w:right w:w="108" w:type="dxa"/>
                  </w:tcMar>
                  <w:vAlign w:val="top"/>
                </w:tcPr>
                <w:p w:rsidR="2D88EA34" w:rsidRDefault="2D88EA34" w14:paraId="2CF2A718" w14:textId="421B989A">
                  <w:r w:rsidRPr="2D88EA34" w:rsidR="2D88EA34">
                    <w:rPr>
                      <w:rFonts w:ascii="Arial" w:hAnsi="Arial" w:eastAsia="Arial" w:cs="Arial"/>
                      <w:color w:val="000000" w:themeColor="text1" w:themeTint="FF" w:themeShade="FF"/>
                      <w:sz w:val="20"/>
                      <w:szCs w:val="20"/>
                    </w:rPr>
                    <w:t xml:space="preserve"> </w:t>
                  </w:r>
                </w:p>
                <w:p w:rsidR="2D88EA34" w:rsidRDefault="2D88EA34" w14:paraId="591AF656" w14:textId="66274A68">
                  <w:r w:rsidRPr="2D88EA34" w:rsidR="2D88EA34">
                    <w:rPr>
                      <w:rFonts w:ascii="Arial" w:hAnsi="Arial" w:eastAsia="Arial" w:cs="Arial"/>
                      <w:color w:val="000000" w:themeColor="text1" w:themeTint="FF" w:themeShade="FF"/>
                      <w:sz w:val="20"/>
                      <w:szCs w:val="20"/>
                    </w:rPr>
                    <w:t>1</w:t>
                  </w:r>
                  <w:r w:rsidRPr="2D88EA34" w:rsidR="2D88EA34">
                    <w:rPr>
                      <w:rFonts w:ascii="Arial" w:hAnsi="Arial" w:eastAsia="Arial" w:cs="Arial"/>
                      <w:color w:val="000000" w:themeColor="text1" w:themeTint="FF" w:themeShade="FF"/>
                      <w:sz w:val="20"/>
                      <w:szCs w:val="20"/>
                      <w:vertAlign w:val="superscript"/>
                    </w:rPr>
                    <w:t>st</w:t>
                  </w:r>
                  <w:r w:rsidRPr="2D88EA34" w:rsidR="2D88EA34">
                    <w:rPr>
                      <w:rFonts w:ascii="Arial" w:hAnsi="Arial" w:eastAsia="Arial" w:cs="Arial"/>
                      <w:color w:val="000000" w:themeColor="text1" w:themeTint="FF" w:themeShade="FF"/>
                      <w:sz w:val="20"/>
                      <w:szCs w:val="20"/>
                    </w:rPr>
                    <w:t xml:space="preserve"> Marker’s Provisional mark</w:t>
                  </w:r>
                </w:p>
              </w:tc>
              <w:tc>
                <w:tcPr>
                  <w:tcW w:w="1665" w:type="dxa"/>
                  <w:tcBorders>
                    <w:top w:val="single" w:sz="8"/>
                    <w:left w:val="single" w:sz="8"/>
                    <w:bottom w:val="single" w:sz="8"/>
                    <w:right w:val="single" w:sz="8"/>
                  </w:tcBorders>
                  <w:tcMar>
                    <w:left w:w="108" w:type="dxa"/>
                    <w:right w:w="108" w:type="dxa"/>
                  </w:tcMar>
                  <w:vAlign w:val="top"/>
                </w:tcPr>
                <w:p w:rsidR="2D88EA34" w:rsidRDefault="2D88EA34" w14:paraId="2097754F" w14:textId="4FA25C00">
                  <w:r w:rsidRPr="2D88EA34" w:rsidR="2D88EA34">
                    <w:rPr>
                      <w:rFonts w:ascii="Arial" w:hAnsi="Arial" w:eastAsia="Arial" w:cs="Arial"/>
                      <w:color w:val="000000" w:themeColor="text1" w:themeTint="FF" w:themeShade="FF"/>
                      <w:sz w:val="20"/>
                      <w:szCs w:val="20"/>
                    </w:rPr>
                    <w:t xml:space="preserve"> </w:t>
                  </w:r>
                </w:p>
              </w:tc>
            </w:tr>
            <w:tr w:rsidR="2D88EA34" w:rsidTr="2D88EA34" w14:paraId="26997AEC">
              <w:tc>
                <w:tcPr>
                  <w:tcW w:w="6975" w:type="dxa"/>
                  <w:tcBorders>
                    <w:top w:val="single" w:sz="8"/>
                    <w:left w:val="single" w:sz="8"/>
                    <w:bottom w:val="single" w:sz="8"/>
                    <w:right w:val="single" w:sz="8"/>
                  </w:tcBorders>
                  <w:tcMar>
                    <w:left w:w="108" w:type="dxa"/>
                    <w:right w:w="108" w:type="dxa"/>
                  </w:tcMar>
                  <w:vAlign w:val="top"/>
                </w:tcPr>
                <w:p w:rsidR="2D88EA34" w:rsidRDefault="2D88EA34" w14:paraId="7D70E81C" w14:textId="42B1E914">
                  <w:r w:rsidRPr="2D88EA34" w:rsidR="2D88EA34">
                    <w:rPr>
                      <w:rFonts w:ascii="Arial" w:hAnsi="Arial" w:eastAsia="Arial" w:cs="Arial"/>
                      <w:color w:val="000000" w:themeColor="text1" w:themeTint="FF" w:themeShade="FF"/>
                      <w:sz w:val="20"/>
                      <w:szCs w:val="20"/>
                    </w:rPr>
                    <w:t xml:space="preserve"> </w:t>
                  </w:r>
                </w:p>
                <w:p w:rsidR="2D88EA34" w:rsidRDefault="2D88EA34" w14:paraId="6CD5B642" w14:textId="2A53471E">
                  <w:r w:rsidRPr="2D88EA34" w:rsidR="2D88EA34">
                    <w:rPr>
                      <w:rFonts w:ascii="Arial" w:hAnsi="Arial" w:eastAsia="Arial" w:cs="Arial"/>
                      <w:color w:val="000000" w:themeColor="text1" w:themeTint="FF" w:themeShade="FF"/>
                      <w:sz w:val="20"/>
                      <w:szCs w:val="20"/>
                    </w:rPr>
                    <w:t>2</w:t>
                  </w:r>
                  <w:r w:rsidRPr="2D88EA34" w:rsidR="2D88EA34">
                    <w:rPr>
                      <w:rFonts w:ascii="Arial" w:hAnsi="Arial" w:eastAsia="Arial" w:cs="Arial"/>
                      <w:color w:val="000000" w:themeColor="text1" w:themeTint="FF" w:themeShade="FF"/>
                      <w:sz w:val="20"/>
                      <w:szCs w:val="20"/>
                      <w:vertAlign w:val="superscript"/>
                    </w:rPr>
                    <w:t>nd</w:t>
                  </w:r>
                  <w:r w:rsidRPr="2D88EA34" w:rsidR="2D88EA34">
                    <w:rPr>
                      <w:rFonts w:ascii="Arial" w:hAnsi="Arial" w:eastAsia="Arial" w:cs="Arial"/>
                      <w:color w:val="000000" w:themeColor="text1" w:themeTint="FF" w:themeShade="FF"/>
                      <w:sz w:val="20"/>
                      <w:szCs w:val="20"/>
                    </w:rPr>
                    <w:t xml:space="preserve"> Marker’s/Moderator’s provisional mark</w:t>
                  </w:r>
                </w:p>
              </w:tc>
              <w:tc>
                <w:tcPr>
                  <w:tcW w:w="1665" w:type="dxa"/>
                  <w:tcBorders>
                    <w:top w:val="single" w:sz="8"/>
                    <w:left w:val="single" w:sz="8"/>
                    <w:bottom w:val="single" w:sz="8"/>
                    <w:right w:val="single" w:sz="8"/>
                  </w:tcBorders>
                  <w:tcMar>
                    <w:left w:w="108" w:type="dxa"/>
                    <w:right w:w="108" w:type="dxa"/>
                  </w:tcMar>
                  <w:vAlign w:val="top"/>
                </w:tcPr>
                <w:p w:rsidR="2D88EA34" w:rsidRDefault="2D88EA34" w14:paraId="24F50E71" w14:textId="6DC6BB89">
                  <w:r w:rsidRPr="2D88EA34" w:rsidR="2D88EA34">
                    <w:rPr>
                      <w:rFonts w:ascii="Arial" w:hAnsi="Arial" w:eastAsia="Arial" w:cs="Arial"/>
                      <w:color w:val="000000" w:themeColor="text1" w:themeTint="FF" w:themeShade="FF"/>
                      <w:sz w:val="20"/>
                      <w:szCs w:val="20"/>
                    </w:rPr>
                    <w:t xml:space="preserve"> </w:t>
                  </w:r>
                </w:p>
              </w:tc>
            </w:tr>
            <w:tr w:rsidR="2D88EA34" w:rsidTr="2D88EA34" w14:paraId="5EB83D97">
              <w:tc>
                <w:tcPr>
                  <w:tcW w:w="6975" w:type="dxa"/>
                  <w:tcBorders>
                    <w:top w:val="single" w:sz="8"/>
                    <w:left w:val="single" w:sz="8"/>
                    <w:bottom w:val="single" w:sz="8"/>
                    <w:right w:val="single" w:sz="8"/>
                  </w:tcBorders>
                  <w:tcMar>
                    <w:left w:w="108" w:type="dxa"/>
                    <w:right w:w="108" w:type="dxa"/>
                  </w:tcMar>
                  <w:vAlign w:val="top"/>
                </w:tcPr>
                <w:p w:rsidR="2D88EA34" w:rsidRDefault="2D88EA34" w14:paraId="66451378" w14:textId="57577367">
                  <w:r w:rsidRPr="2D88EA34" w:rsidR="2D88EA34">
                    <w:rPr>
                      <w:rFonts w:ascii="Arial" w:hAnsi="Arial" w:eastAsia="Arial" w:cs="Arial"/>
                      <w:color w:val="000000" w:themeColor="text1" w:themeTint="FF" w:themeShade="FF"/>
                      <w:sz w:val="20"/>
                      <w:szCs w:val="20"/>
                    </w:rPr>
                    <w:t xml:space="preserve"> </w:t>
                  </w:r>
                </w:p>
                <w:p w:rsidR="2D88EA34" w:rsidRDefault="2D88EA34" w14:paraId="189CE69A" w14:textId="5CD75044">
                  <w:r w:rsidRPr="2D88EA34" w:rsidR="2D88EA34">
                    <w:rPr>
                      <w:rFonts w:ascii="Arial" w:hAnsi="Arial" w:eastAsia="Arial" w:cs="Arial"/>
                      <w:color w:val="000000" w:themeColor="text1" w:themeTint="FF" w:themeShade="FF"/>
                      <w:sz w:val="20"/>
                      <w:szCs w:val="20"/>
                    </w:rPr>
                    <w:t>External Examiner’s mark (if relevant)</w:t>
                  </w:r>
                </w:p>
              </w:tc>
              <w:tc>
                <w:tcPr>
                  <w:tcW w:w="1665" w:type="dxa"/>
                  <w:tcBorders>
                    <w:top w:val="single" w:sz="8"/>
                    <w:left w:val="single" w:sz="8"/>
                    <w:bottom w:val="single" w:sz="8"/>
                    <w:right w:val="single" w:sz="8"/>
                  </w:tcBorders>
                  <w:tcMar>
                    <w:left w:w="108" w:type="dxa"/>
                    <w:right w:w="108" w:type="dxa"/>
                  </w:tcMar>
                  <w:vAlign w:val="top"/>
                </w:tcPr>
                <w:p w:rsidR="2D88EA34" w:rsidRDefault="2D88EA34" w14:paraId="47095ED6" w14:textId="4A71A783">
                  <w:r w:rsidRPr="2D88EA34" w:rsidR="2D88EA34">
                    <w:rPr>
                      <w:rFonts w:ascii="Arial" w:hAnsi="Arial" w:eastAsia="Arial" w:cs="Arial"/>
                      <w:color w:val="000000" w:themeColor="text1" w:themeTint="FF" w:themeShade="FF"/>
                      <w:sz w:val="20"/>
                      <w:szCs w:val="20"/>
                    </w:rPr>
                    <w:t xml:space="preserve"> </w:t>
                  </w:r>
                </w:p>
              </w:tc>
            </w:tr>
            <w:tr w:rsidR="2D88EA34" w:rsidTr="2D88EA34" w14:paraId="37D153A0">
              <w:tc>
                <w:tcPr>
                  <w:tcW w:w="6975" w:type="dxa"/>
                  <w:tcBorders>
                    <w:top w:val="single" w:sz="8"/>
                    <w:left w:val="single" w:sz="8"/>
                    <w:bottom w:val="single" w:sz="8"/>
                    <w:right w:val="single" w:sz="8"/>
                  </w:tcBorders>
                  <w:tcMar>
                    <w:left w:w="108" w:type="dxa"/>
                    <w:right w:w="108" w:type="dxa"/>
                  </w:tcMar>
                  <w:vAlign w:val="top"/>
                </w:tcPr>
                <w:p w:rsidR="2D88EA34" w:rsidRDefault="2D88EA34" w14:paraId="5AC0C4B4" w14:textId="3747C95E">
                  <w:r w:rsidRPr="2D88EA34" w:rsidR="2D88EA34">
                    <w:rPr>
                      <w:rFonts w:ascii="Arial" w:hAnsi="Arial" w:eastAsia="Arial" w:cs="Arial"/>
                      <w:color w:val="000000" w:themeColor="text1" w:themeTint="FF" w:themeShade="FF"/>
                      <w:sz w:val="20"/>
                      <w:szCs w:val="20"/>
                    </w:rPr>
                    <w:t xml:space="preserve"> </w:t>
                  </w:r>
                </w:p>
                <w:p w:rsidR="2D88EA34" w:rsidRDefault="2D88EA34" w14:paraId="2BA1A11C" w14:textId="45A02D23">
                  <w:r w:rsidRPr="2D88EA34" w:rsidR="2D88EA34">
                    <w:rPr>
                      <w:rFonts w:ascii="Arial" w:hAnsi="Arial" w:eastAsia="Arial" w:cs="Arial"/>
                      <w:b w:val="1"/>
                      <w:bCs w:val="1"/>
                      <w:color w:val="000000" w:themeColor="text1" w:themeTint="FF" w:themeShade="FF"/>
                      <w:sz w:val="20"/>
                      <w:szCs w:val="20"/>
                    </w:rPr>
                    <w:t>Final Mark</w:t>
                  </w:r>
                </w:p>
                <w:p w:rsidR="2D88EA34" w:rsidRDefault="2D88EA34" w14:paraId="66AD55EB" w14:textId="228AC663">
                  <w:r w:rsidRPr="2D88EA34" w:rsidR="2D88EA34">
                    <w:rPr>
                      <w:rFonts w:ascii="Arial" w:hAnsi="Arial" w:eastAsia="Arial" w:cs="Arial"/>
                      <w:color w:val="000000" w:themeColor="text1" w:themeTint="FF" w:themeShade="FF"/>
                      <w:sz w:val="20"/>
                      <w:szCs w:val="20"/>
                    </w:rPr>
                    <w:t xml:space="preserve"> </w:t>
                  </w:r>
                </w:p>
              </w:tc>
              <w:tc>
                <w:tcPr>
                  <w:tcW w:w="1665" w:type="dxa"/>
                  <w:tcBorders>
                    <w:top w:val="single" w:sz="8"/>
                    <w:left w:val="single" w:sz="8"/>
                    <w:bottom w:val="single" w:sz="8"/>
                    <w:right w:val="single" w:sz="8"/>
                  </w:tcBorders>
                  <w:tcMar>
                    <w:left w:w="108" w:type="dxa"/>
                    <w:right w:w="108" w:type="dxa"/>
                  </w:tcMar>
                  <w:vAlign w:val="top"/>
                </w:tcPr>
                <w:p w:rsidR="2D88EA34" w:rsidRDefault="2D88EA34" w14:paraId="3A952928" w14:textId="1F7142B4">
                  <w:r w:rsidRPr="2D88EA34" w:rsidR="2D88EA34">
                    <w:rPr>
                      <w:rFonts w:ascii="Arial" w:hAnsi="Arial" w:eastAsia="Arial" w:cs="Arial"/>
                      <w:color w:val="000000" w:themeColor="text1" w:themeTint="FF" w:themeShade="FF"/>
                      <w:sz w:val="20"/>
                      <w:szCs w:val="20"/>
                    </w:rPr>
                    <w:t xml:space="preserve"> </w:t>
                  </w:r>
                </w:p>
              </w:tc>
            </w:tr>
          </w:tbl>
          <w:p w:rsidR="2D88EA34" w:rsidRDefault="2D88EA34" w14:paraId="66E89620" w14:textId="61303414">
            <w:r w:rsidRPr="2D88EA34" w:rsidR="2D88EA34">
              <w:rPr>
                <w:rFonts w:ascii="Arial" w:hAnsi="Arial" w:eastAsia="Arial" w:cs="Arial"/>
                <w:b w:val="1"/>
                <w:bCs w:val="1"/>
                <w:color w:val="000000" w:themeColor="text1" w:themeTint="FF" w:themeShade="FF"/>
                <w:sz w:val="22"/>
                <w:szCs w:val="22"/>
              </w:rPr>
              <w:t xml:space="preserve"> </w:t>
            </w:r>
          </w:p>
          <w:p w:rsidR="2D88EA34" w:rsidRDefault="2D88EA34" w14:paraId="4700DC92" w14:textId="74D2FF8E">
            <w:r w:rsidRPr="2D88EA34" w:rsidR="2D88EA34">
              <w:rPr>
                <w:rFonts w:ascii="Arial" w:hAnsi="Arial" w:eastAsia="Arial" w:cs="Arial"/>
                <w:b w:val="1"/>
                <w:bCs w:val="1"/>
                <w:color w:val="000000" w:themeColor="text1" w:themeTint="FF" w:themeShade="FF"/>
                <w:sz w:val="22"/>
                <w:szCs w:val="22"/>
              </w:rPr>
              <w:t>NB.</w:t>
            </w:r>
            <w:r w:rsidRPr="2D88EA34" w:rsidR="2D88EA34">
              <w:rPr>
                <w:rFonts w:ascii="Arial" w:hAnsi="Arial" w:eastAsia="Arial" w:cs="Arial"/>
                <w:color w:val="000000" w:themeColor="text1" w:themeTint="FF" w:themeShade="FF"/>
                <w:sz w:val="22"/>
                <w:szCs w:val="22"/>
              </w:rPr>
              <w:t xml:space="preserve">  All marks are provisional until confirmed by the Final Examination Board.</w:t>
            </w:r>
          </w:p>
          <w:p w:rsidR="2D88EA34" w:rsidRDefault="2D88EA34" w14:paraId="4BCB6614" w14:textId="2067E3C7">
            <w:r w:rsidRPr="2D88EA34" w:rsidR="2D88EA34">
              <w:rPr>
                <w:rFonts w:ascii="Arial" w:hAnsi="Arial" w:eastAsia="Arial" w:cs="Arial"/>
                <w:b w:val="1"/>
                <w:bCs w:val="1"/>
                <w:color w:val="000000" w:themeColor="text1" w:themeTint="FF" w:themeShade="FF"/>
                <w:sz w:val="22"/>
                <w:szCs w:val="22"/>
              </w:rPr>
              <w:t xml:space="preserve"> </w:t>
            </w:r>
          </w:p>
          <w:p w:rsidR="2D88EA34" w:rsidRDefault="2D88EA34" w14:paraId="42D3AD8F" w14:textId="232C5DA3">
            <w:r w:rsidRPr="2D88EA34" w:rsidR="2D88EA34">
              <w:rPr>
                <w:rFonts w:ascii="Arial" w:hAnsi="Arial" w:eastAsia="Arial" w:cs="Arial"/>
                <w:b w:val="1"/>
                <w:bCs w:val="1"/>
                <w:color w:val="000000" w:themeColor="text1" w:themeTint="FF" w:themeShade="FF"/>
                <w:sz w:val="22"/>
                <w:szCs w:val="22"/>
              </w:rPr>
              <w:t xml:space="preserve"> </w:t>
            </w:r>
          </w:p>
          <w:p w:rsidR="2D88EA34" w:rsidRDefault="2D88EA34" w14:paraId="6FE875CE" w14:textId="473D1374">
            <w:r w:rsidRPr="2D88EA34" w:rsidR="2D88EA34">
              <w:rPr>
                <w:rFonts w:ascii="Arial" w:hAnsi="Arial" w:eastAsia="Arial" w:cs="Arial"/>
                <w:b w:val="1"/>
                <w:bCs w:val="1"/>
                <w:color w:val="000000" w:themeColor="text1" w:themeTint="FF" w:themeShade="FF"/>
                <w:sz w:val="22"/>
                <w:szCs w:val="22"/>
              </w:rPr>
              <w:t xml:space="preserve"> </w:t>
            </w:r>
          </w:p>
          <w:p w:rsidR="2D88EA34" w:rsidRDefault="2D88EA34" w14:paraId="5A8D0653" w14:textId="4287AED4">
            <w:r w:rsidRPr="2D88EA34" w:rsidR="2D88EA34">
              <w:rPr>
                <w:rFonts w:ascii="Arial" w:hAnsi="Arial" w:eastAsia="Arial" w:cs="Arial"/>
                <w:b w:val="1"/>
                <w:bCs w:val="1"/>
                <w:color w:val="000000" w:themeColor="text1" w:themeTint="FF" w:themeShade="FF"/>
                <w:sz w:val="22"/>
                <w:szCs w:val="22"/>
              </w:rPr>
              <w:t xml:space="preserve"> </w:t>
            </w:r>
          </w:p>
          <w:p w:rsidR="2D88EA34" w:rsidRDefault="2D88EA34" w14:paraId="20F524BD" w14:textId="0728F6CF">
            <w:r w:rsidRPr="2D88EA34" w:rsidR="2D88EA34">
              <w:rPr>
                <w:rFonts w:ascii="Arial" w:hAnsi="Arial" w:eastAsia="Arial" w:cs="Arial"/>
                <w:b w:val="1"/>
                <w:bCs w:val="1"/>
                <w:color w:val="000000" w:themeColor="text1" w:themeTint="FF" w:themeShade="FF"/>
                <w:sz w:val="22"/>
                <w:szCs w:val="22"/>
              </w:rPr>
              <w:t xml:space="preserve"> </w:t>
            </w:r>
          </w:p>
          <w:p w:rsidR="2D88EA34" w:rsidRDefault="2D88EA34" w14:paraId="6F9C9ACA" w14:textId="38CDD96E">
            <w:r w:rsidRPr="2D88EA34" w:rsidR="2D88EA34">
              <w:rPr>
                <w:rFonts w:ascii="Arial" w:hAnsi="Arial" w:eastAsia="Arial" w:cs="Arial"/>
                <w:b w:val="1"/>
                <w:bCs w:val="1"/>
                <w:color w:val="000000" w:themeColor="text1" w:themeTint="FF" w:themeShade="FF"/>
                <w:sz w:val="22"/>
                <w:szCs w:val="22"/>
              </w:rPr>
              <w:t>For completion by Marker 1 :</w:t>
            </w:r>
          </w:p>
          <w:p w:rsidR="2D88EA34" w:rsidRDefault="2D88EA34" w14:paraId="1ED9A963" w14:textId="395D6770">
            <w:r w:rsidRPr="2D88EA34" w:rsidR="2D88EA34">
              <w:rPr>
                <w:rFonts w:ascii="Arial" w:hAnsi="Arial" w:eastAsia="Arial" w:cs="Arial"/>
                <w:color w:val="000000" w:themeColor="text1" w:themeTint="FF" w:themeShade="FF"/>
                <w:sz w:val="22"/>
                <w:szCs w:val="22"/>
              </w:rPr>
              <w:t>Comments:</w:t>
            </w:r>
          </w:p>
          <w:p w:rsidR="2D88EA34" w:rsidRDefault="2D88EA34" w14:paraId="3C48D78C" w14:textId="6272724E">
            <w:r w:rsidRPr="2D88EA34" w:rsidR="2D88EA34">
              <w:rPr>
                <w:rFonts w:ascii="Arial" w:hAnsi="Arial" w:eastAsia="Arial" w:cs="Arial"/>
                <w:color w:val="000000" w:themeColor="text1" w:themeTint="FF" w:themeShade="FF"/>
                <w:sz w:val="22"/>
                <w:szCs w:val="22"/>
              </w:rPr>
              <w:t xml:space="preserve"> </w:t>
            </w:r>
          </w:p>
        </w:tc>
      </w:tr>
      <w:tr w:rsidR="2D88EA34" w:rsidTr="2D88EA34" w14:paraId="1672DCC8">
        <w:trPr>
          <w:trHeight w:val="495"/>
        </w:trPr>
        <w:tc>
          <w:tcPr>
            <w:tcW w:w="6765"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532B05D0" w14:textId="6E21016A">
            <w:r w:rsidRPr="2D88EA34" w:rsidR="2D88EA34">
              <w:rPr>
                <w:rFonts w:ascii="Arial" w:hAnsi="Arial" w:eastAsia="Arial" w:cs="Arial"/>
                <w:color w:val="000000" w:themeColor="text1" w:themeTint="FF" w:themeShade="FF"/>
                <w:sz w:val="22"/>
                <w:szCs w:val="22"/>
              </w:rPr>
              <w:t>Marker’s signature:</w:t>
            </w:r>
          </w:p>
        </w:tc>
        <w:tc>
          <w:tcPr>
            <w:tcW w:w="2085"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2D88EA34" w:rsidRDefault="2D88EA34" w14:paraId="1440B1FD" w14:textId="07E3A086">
            <w:r w:rsidRPr="2D88EA34" w:rsidR="2D88EA34">
              <w:rPr>
                <w:rFonts w:ascii="Arial" w:hAnsi="Arial" w:eastAsia="Arial" w:cs="Arial"/>
                <w:color w:val="000000" w:themeColor="text1" w:themeTint="FF" w:themeShade="FF"/>
                <w:sz w:val="22"/>
                <w:szCs w:val="22"/>
              </w:rPr>
              <w:t>Date:</w:t>
            </w:r>
          </w:p>
        </w:tc>
      </w:tr>
      <w:tr w:rsidR="2D88EA34" w:rsidTr="2D88EA34" w14:paraId="3200D159">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0037FB93" w14:textId="21088432">
            <w:r w:rsidRPr="2D88EA34" w:rsidR="2D88EA34">
              <w:rPr>
                <w:rFonts w:ascii="Arial" w:hAnsi="Arial" w:eastAsia="Arial" w:cs="Arial"/>
                <w:i w:val="1"/>
                <w:iCs w:val="1"/>
                <w:color w:val="000000" w:themeColor="text1" w:themeTint="FF" w:themeShade="FF"/>
                <w:sz w:val="22"/>
                <w:szCs w:val="22"/>
              </w:rPr>
              <w:t xml:space="preserve"> </w:t>
            </w:r>
          </w:p>
          <w:p w:rsidR="2D88EA34" w:rsidRDefault="2D88EA34" w14:paraId="0476C9B9" w14:textId="40EDDA08">
            <w:r w:rsidRPr="2D88EA34" w:rsidR="2D88EA34">
              <w:rPr>
                <w:rFonts w:ascii="Arial" w:hAnsi="Arial" w:eastAsia="Arial" w:cs="Arial"/>
                <w:b w:val="1"/>
                <w:bCs w:val="1"/>
                <w:color w:val="000000" w:themeColor="text1" w:themeTint="FF" w:themeShade="FF"/>
                <w:sz w:val="22"/>
                <w:szCs w:val="22"/>
              </w:rPr>
              <w:t>For completion by Marker 2/Moderator:</w:t>
            </w:r>
          </w:p>
          <w:p w:rsidR="2D88EA34" w:rsidRDefault="2D88EA34" w14:paraId="27E32C1E" w14:textId="39E422C4">
            <w:r w:rsidRPr="2D88EA34" w:rsidR="2D88EA34">
              <w:rPr>
                <w:rFonts w:ascii="Arial" w:hAnsi="Arial" w:eastAsia="Arial" w:cs="Arial"/>
                <w:b w:val="1"/>
                <w:bCs w:val="1"/>
                <w:color w:val="000000" w:themeColor="text1" w:themeTint="FF" w:themeShade="FF"/>
                <w:sz w:val="22"/>
                <w:szCs w:val="22"/>
              </w:rPr>
              <w:t xml:space="preserve"> </w:t>
            </w:r>
          </w:p>
          <w:p w:rsidR="2D88EA34" w:rsidRDefault="2D88EA34" w14:paraId="3C689849" w14:textId="76CB2A24">
            <w:r w:rsidRPr="2D88EA34" w:rsidR="2D88EA34">
              <w:rPr>
                <w:rFonts w:ascii="Arial" w:hAnsi="Arial" w:eastAsia="Arial" w:cs="Arial"/>
                <w:color w:val="000000" w:themeColor="text1" w:themeTint="FF" w:themeShade="FF"/>
                <w:sz w:val="22"/>
                <w:szCs w:val="22"/>
              </w:rPr>
              <w:t>Comments:</w:t>
            </w:r>
          </w:p>
          <w:p w:rsidR="2D88EA34" w:rsidRDefault="2D88EA34" w14:paraId="564AF2B0" w14:textId="41A6D92F">
            <w:r w:rsidRPr="2D88EA34" w:rsidR="2D88EA34">
              <w:rPr>
                <w:rFonts w:ascii="Arial" w:hAnsi="Arial" w:eastAsia="Arial" w:cs="Arial"/>
                <w:color w:val="000000" w:themeColor="text1" w:themeTint="FF" w:themeShade="FF"/>
                <w:sz w:val="22"/>
                <w:szCs w:val="22"/>
              </w:rPr>
              <w:t xml:space="preserve"> </w:t>
            </w:r>
          </w:p>
          <w:p w:rsidR="2D88EA34" w:rsidRDefault="2D88EA34" w14:paraId="5E86C77B" w14:textId="5EEAE1FB">
            <w:r w:rsidRPr="2D88EA34" w:rsidR="2D88EA34">
              <w:rPr>
                <w:rFonts w:ascii="Arial" w:hAnsi="Arial" w:eastAsia="Arial" w:cs="Arial"/>
                <w:color w:val="000000" w:themeColor="text1" w:themeTint="FF" w:themeShade="FF"/>
                <w:sz w:val="22"/>
                <w:szCs w:val="22"/>
              </w:rPr>
              <w:t xml:space="preserve"> </w:t>
            </w:r>
          </w:p>
          <w:p w:rsidR="2D88EA34" w:rsidRDefault="2D88EA34" w14:paraId="7689864A" w14:textId="6276FBE5">
            <w:r w:rsidRPr="2D88EA34" w:rsidR="2D88EA34">
              <w:rPr>
                <w:rFonts w:ascii="Arial" w:hAnsi="Arial" w:eastAsia="Arial" w:cs="Arial"/>
                <w:color w:val="000000" w:themeColor="text1" w:themeTint="FF" w:themeShade="FF"/>
                <w:sz w:val="22"/>
                <w:szCs w:val="22"/>
              </w:rPr>
              <w:t xml:space="preserve"> </w:t>
            </w:r>
          </w:p>
          <w:p w:rsidR="2D88EA34" w:rsidRDefault="2D88EA34" w14:paraId="6C509A33" w14:textId="53AD9CAE">
            <w:r w:rsidRPr="2D88EA34" w:rsidR="2D88EA34">
              <w:rPr>
                <w:rFonts w:ascii="Arial" w:hAnsi="Arial" w:eastAsia="Arial" w:cs="Arial"/>
                <w:color w:val="000000" w:themeColor="text1" w:themeTint="FF" w:themeShade="FF"/>
                <w:sz w:val="22"/>
                <w:szCs w:val="22"/>
              </w:rPr>
              <w:t xml:space="preserve"> </w:t>
            </w:r>
          </w:p>
          <w:p w:rsidR="2D88EA34" w:rsidRDefault="2D88EA34" w14:paraId="7C63D7BB" w14:textId="58C31562">
            <w:r w:rsidRPr="2D88EA34" w:rsidR="2D88EA34">
              <w:rPr>
                <w:rFonts w:ascii="Arial" w:hAnsi="Arial" w:eastAsia="Arial" w:cs="Arial"/>
                <w:color w:val="000000" w:themeColor="text1" w:themeTint="FF" w:themeShade="FF"/>
                <w:sz w:val="22"/>
                <w:szCs w:val="22"/>
              </w:rPr>
              <w:t xml:space="preserve"> </w:t>
            </w:r>
          </w:p>
          <w:p w:rsidR="2D88EA34" w:rsidRDefault="2D88EA34" w14:paraId="4785BA01" w14:textId="4CB0D49C">
            <w:r w:rsidRPr="2D88EA34" w:rsidR="2D88EA34">
              <w:rPr>
                <w:rFonts w:ascii="Arial" w:hAnsi="Arial" w:eastAsia="Arial" w:cs="Arial"/>
                <w:color w:val="000000" w:themeColor="text1" w:themeTint="FF" w:themeShade="FF"/>
                <w:sz w:val="22"/>
                <w:szCs w:val="22"/>
              </w:rPr>
              <w:t xml:space="preserve"> </w:t>
            </w:r>
          </w:p>
          <w:p w:rsidR="2D88EA34" w:rsidRDefault="2D88EA34" w14:paraId="3DAF18E6" w14:textId="68205710">
            <w:r w:rsidRPr="2D88EA34" w:rsidR="2D88EA34">
              <w:rPr>
                <w:rFonts w:ascii="Arial" w:hAnsi="Arial" w:eastAsia="Arial" w:cs="Arial"/>
                <w:color w:val="000000" w:themeColor="text1" w:themeTint="FF" w:themeShade="FF"/>
                <w:sz w:val="22"/>
                <w:szCs w:val="22"/>
              </w:rPr>
              <w:t xml:space="preserve"> </w:t>
            </w:r>
          </w:p>
          <w:p w:rsidR="2D88EA34" w:rsidRDefault="2D88EA34" w14:paraId="3C768D0F" w14:textId="7682F5A7">
            <w:r w:rsidRPr="2D88EA34" w:rsidR="2D88EA34">
              <w:rPr>
                <w:rFonts w:ascii="Arial" w:hAnsi="Arial" w:eastAsia="Arial" w:cs="Arial"/>
                <w:color w:val="000000" w:themeColor="text1" w:themeTint="FF" w:themeShade="FF"/>
                <w:sz w:val="22"/>
                <w:szCs w:val="22"/>
              </w:rPr>
              <w:t xml:space="preserve"> </w:t>
            </w:r>
          </w:p>
          <w:p w:rsidR="2D88EA34" w:rsidRDefault="2D88EA34" w14:paraId="0B534935" w14:textId="18CD608E">
            <w:r w:rsidRPr="2D88EA34" w:rsidR="2D88EA34">
              <w:rPr>
                <w:rFonts w:ascii="Arial" w:hAnsi="Arial" w:eastAsia="Arial" w:cs="Arial"/>
                <w:color w:val="000000" w:themeColor="text1" w:themeTint="FF" w:themeShade="FF"/>
                <w:sz w:val="22"/>
                <w:szCs w:val="22"/>
              </w:rPr>
              <w:t xml:space="preserve"> </w:t>
            </w:r>
          </w:p>
          <w:p w:rsidR="2D88EA34" w:rsidRDefault="2D88EA34" w14:paraId="2D3DBD00" w14:textId="0C9EFB9D">
            <w:r w:rsidRPr="2D88EA34" w:rsidR="2D88EA34">
              <w:rPr>
                <w:rFonts w:ascii="Arial" w:hAnsi="Arial" w:eastAsia="Arial" w:cs="Arial"/>
                <w:color w:val="000000" w:themeColor="text1" w:themeTint="FF" w:themeShade="FF"/>
                <w:sz w:val="22"/>
                <w:szCs w:val="22"/>
              </w:rPr>
              <w:t xml:space="preserve"> </w:t>
            </w:r>
          </w:p>
          <w:p w:rsidR="2D88EA34" w:rsidRDefault="2D88EA34" w14:paraId="0377EF3C" w14:textId="61BDE33D">
            <w:r w:rsidRPr="2D88EA34" w:rsidR="2D88EA34">
              <w:rPr>
                <w:rFonts w:ascii="Arial" w:hAnsi="Arial" w:eastAsia="Arial" w:cs="Arial"/>
                <w:color w:val="000000" w:themeColor="text1" w:themeTint="FF" w:themeShade="FF"/>
                <w:sz w:val="22"/>
                <w:szCs w:val="22"/>
              </w:rPr>
              <w:t xml:space="preserve"> </w:t>
            </w:r>
          </w:p>
          <w:p w:rsidR="2D88EA34" w:rsidRDefault="2D88EA34" w14:paraId="3B03B1F8" w14:textId="12D441E0">
            <w:r w:rsidRPr="2D88EA34" w:rsidR="2D88EA34">
              <w:rPr>
                <w:rFonts w:ascii="Arial" w:hAnsi="Arial" w:eastAsia="Arial" w:cs="Arial"/>
                <w:color w:val="000000" w:themeColor="text1" w:themeTint="FF" w:themeShade="FF"/>
                <w:sz w:val="22"/>
                <w:szCs w:val="22"/>
              </w:rPr>
              <w:t xml:space="preserve"> </w:t>
            </w:r>
          </w:p>
        </w:tc>
      </w:tr>
      <w:tr w:rsidR="2D88EA34" w:rsidTr="2D88EA34" w14:paraId="66DF5E85">
        <w:trPr>
          <w:trHeight w:val="720"/>
        </w:trPr>
        <w:tc>
          <w:tcPr>
            <w:tcW w:w="5205"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165138B9" w14:textId="10ABCC78">
            <w:r w:rsidRPr="2D88EA34" w:rsidR="2D88EA34">
              <w:rPr>
                <w:rFonts w:ascii="Arial" w:hAnsi="Arial" w:eastAsia="Arial" w:cs="Arial"/>
                <w:color w:val="000000" w:themeColor="text1" w:themeTint="FF" w:themeShade="FF"/>
                <w:sz w:val="22"/>
                <w:szCs w:val="22"/>
              </w:rPr>
              <w:t>Marker’s Signature:</w:t>
            </w:r>
          </w:p>
        </w:tc>
        <w:tc>
          <w:tcPr>
            <w:tcW w:w="3645" w:type="dxa"/>
            <w:gridSpan w:val="3"/>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2D88EA34" w:rsidRDefault="2D88EA34" w14:paraId="4F59CB0B" w14:textId="1FE53663">
            <w:r w:rsidRPr="2D88EA34" w:rsidR="2D88EA34">
              <w:rPr>
                <w:rFonts w:ascii="Arial" w:hAnsi="Arial" w:eastAsia="Arial" w:cs="Arial"/>
                <w:color w:val="000000" w:themeColor="text1" w:themeTint="FF" w:themeShade="FF"/>
                <w:sz w:val="22"/>
                <w:szCs w:val="22"/>
              </w:rPr>
              <w:t>Date:</w:t>
            </w:r>
          </w:p>
        </w:tc>
      </w:tr>
      <w:tr w:rsidR="2D88EA34" w:rsidTr="2D88EA34" w14:paraId="3662BEC6">
        <w:trPr>
          <w:trHeight w:val="720"/>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2D12EACC" w14:textId="18A606F9">
            <w:r w:rsidRPr="2D88EA34" w:rsidR="2D88EA34">
              <w:rPr>
                <w:rFonts w:ascii="Arial" w:hAnsi="Arial" w:eastAsia="Arial" w:cs="Arial"/>
                <w:b w:val="1"/>
                <w:bCs w:val="1"/>
                <w:color w:val="000000" w:themeColor="text1" w:themeTint="FF" w:themeShade="FF"/>
                <w:sz w:val="22"/>
                <w:szCs w:val="22"/>
              </w:rPr>
              <w:t>External Examiner’s comments (if relevant)</w:t>
            </w:r>
          </w:p>
          <w:p w:rsidR="2D88EA34" w:rsidRDefault="2D88EA34" w14:paraId="7968BA2A" w14:textId="07ECD7DC">
            <w:r w:rsidRPr="2D88EA34" w:rsidR="2D88EA34">
              <w:rPr>
                <w:rFonts w:ascii="Arial" w:hAnsi="Arial" w:eastAsia="Arial" w:cs="Arial"/>
                <w:color w:val="000000" w:themeColor="text1" w:themeTint="FF" w:themeShade="FF"/>
                <w:sz w:val="22"/>
                <w:szCs w:val="22"/>
              </w:rPr>
              <w:t xml:space="preserve"> </w:t>
            </w:r>
          </w:p>
          <w:p w:rsidR="2D88EA34" w:rsidRDefault="2D88EA34" w14:paraId="0C5B4C51" w14:textId="7A1577B3">
            <w:r w:rsidRPr="2D88EA34" w:rsidR="2D88EA34">
              <w:rPr>
                <w:rFonts w:ascii="Arial" w:hAnsi="Arial" w:eastAsia="Arial" w:cs="Arial"/>
                <w:color w:val="000000" w:themeColor="text1" w:themeTint="FF" w:themeShade="FF"/>
                <w:sz w:val="22"/>
                <w:szCs w:val="22"/>
              </w:rPr>
              <w:t xml:space="preserve"> </w:t>
            </w:r>
          </w:p>
          <w:p w:rsidR="2D88EA34" w:rsidRDefault="2D88EA34" w14:paraId="4F9698A3" w14:textId="1FDC001D">
            <w:r w:rsidRPr="2D88EA34" w:rsidR="2D88EA34">
              <w:rPr>
                <w:rFonts w:ascii="Arial" w:hAnsi="Arial" w:eastAsia="Arial" w:cs="Arial"/>
                <w:color w:val="000000" w:themeColor="text1" w:themeTint="FF" w:themeShade="FF"/>
                <w:sz w:val="22"/>
                <w:szCs w:val="22"/>
              </w:rPr>
              <w:t xml:space="preserve"> </w:t>
            </w:r>
          </w:p>
          <w:p w:rsidR="2D88EA34" w:rsidRDefault="2D88EA34" w14:paraId="2B2790F6" w14:textId="53326602">
            <w:r w:rsidRPr="2D88EA34" w:rsidR="2D88EA34">
              <w:rPr>
                <w:rFonts w:ascii="Arial" w:hAnsi="Arial" w:eastAsia="Arial" w:cs="Arial"/>
                <w:color w:val="000000" w:themeColor="text1" w:themeTint="FF" w:themeShade="FF"/>
                <w:sz w:val="22"/>
                <w:szCs w:val="22"/>
              </w:rPr>
              <w:t xml:space="preserve"> </w:t>
            </w:r>
          </w:p>
          <w:p w:rsidR="2D88EA34" w:rsidRDefault="2D88EA34" w14:paraId="01ED0361" w14:textId="553B4086">
            <w:r w:rsidRPr="2D88EA34" w:rsidR="2D88EA34">
              <w:rPr>
                <w:rFonts w:ascii="Arial" w:hAnsi="Arial" w:eastAsia="Arial" w:cs="Arial"/>
                <w:color w:val="000000" w:themeColor="text1" w:themeTint="FF" w:themeShade="FF"/>
                <w:sz w:val="22"/>
                <w:szCs w:val="22"/>
              </w:rPr>
              <w:t xml:space="preserve"> </w:t>
            </w:r>
          </w:p>
          <w:p w:rsidR="2D88EA34" w:rsidRDefault="2D88EA34" w14:paraId="4B43912C" w14:textId="787E63C5">
            <w:r w:rsidRPr="2D88EA34" w:rsidR="2D88EA34">
              <w:rPr>
                <w:rFonts w:ascii="Arial" w:hAnsi="Arial" w:eastAsia="Arial" w:cs="Arial"/>
                <w:color w:val="000000" w:themeColor="text1" w:themeTint="FF" w:themeShade="FF"/>
                <w:sz w:val="22"/>
                <w:szCs w:val="22"/>
              </w:rPr>
              <w:t xml:space="preserve"> </w:t>
            </w:r>
          </w:p>
          <w:p w:rsidR="2D88EA34" w:rsidRDefault="2D88EA34" w14:paraId="43759DE9" w14:textId="16DDD1CD">
            <w:r w:rsidRPr="2D88EA34" w:rsidR="2D88EA34">
              <w:rPr>
                <w:rFonts w:ascii="Arial" w:hAnsi="Arial" w:eastAsia="Arial" w:cs="Arial"/>
                <w:color w:val="000000" w:themeColor="text1" w:themeTint="FF" w:themeShade="FF"/>
                <w:sz w:val="22"/>
                <w:szCs w:val="22"/>
              </w:rPr>
              <w:t xml:space="preserve"> </w:t>
            </w:r>
          </w:p>
          <w:p w:rsidR="2D88EA34" w:rsidRDefault="2D88EA34" w14:paraId="5F35B5BD" w14:textId="09D17772">
            <w:r w:rsidRPr="2D88EA34" w:rsidR="2D88EA34">
              <w:rPr>
                <w:rFonts w:ascii="Arial" w:hAnsi="Arial" w:eastAsia="Arial" w:cs="Arial"/>
                <w:color w:val="000000" w:themeColor="text1" w:themeTint="FF" w:themeShade="FF"/>
                <w:sz w:val="22"/>
                <w:szCs w:val="22"/>
              </w:rPr>
              <w:t xml:space="preserve"> </w:t>
            </w:r>
          </w:p>
          <w:p w:rsidR="2D88EA34" w:rsidRDefault="2D88EA34" w14:paraId="75306726" w14:textId="3D82B2F0">
            <w:r w:rsidRPr="2D88EA34" w:rsidR="2D88EA34">
              <w:rPr>
                <w:rFonts w:ascii="Arial" w:hAnsi="Arial" w:eastAsia="Arial" w:cs="Arial"/>
                <w:color w:val="000000" w:themeColor="text1" w:themeTint="FF" w:themeShade="FF"/>
                <w:sz w:val="22"/>
                <w:szCs w:val="22"/>
              </w:rPr>
              <w:t xml:space="preserve"> </w:t>
            </w:r>
          </w:p>
          <w:p w:rsidR="2D88EA34" w:rsidRDefault="2D88EA34" w14:paraId="35F5D5AC" w14:textId="2E808544">
            <w:r w:rsidRPr="2D88EA34" w:rsidR="2D88EA34">
              <w:rPr>
                <w:rFonts w:ascii="Arial" w:hAnsi="Arial" w:eastAsia="Arial" w:cs="Arial"/>
                <w:color w:val="000000" w:themeColor="text1" w:themeTint="FF" w:themeShade="FF"/>
                <w:sz w:val="22"/>
                <w:szCs w:val="22"/>
              </w:rPr>
              <w:t xml:space="preserve"> </w:t>
            </w:r>
          </w:p>
          <w:p w:rsidR="2D88EA34" w:rsidRDefault="2D88EA34" w14:paraId="15C65E56" w14:textId="238B72E9">
            <w:r w:rsidRPr="2D88EA34" w:rsidR="2D88EA34">
              <w:rPr>
                <w:rFonts w:ascii="Arial" w:hAnsi="Arial" w:eastAsia="Arial" w:cs="Arial"/>
                <w:color w:val="000000" w:themeColor="text1" w:themeTint="FF" w:themeShade="FF"/>
                <w:sz w:val="22"/>
                <w:szCs w:val="22"/>
              </w:rPr>
              <w:t xml:space="preserve"> </w:t>
            </w:r>
          </w:p>
        </w:tc>
      </w:tr>
      <w:tr w:rsidR="2D88EA34" w:rsidTr="2D88EA34" w14:paraId="7E4E015D">
        <w:trPr>
          <w:trHeight w:val="720"/>
        </w:trPr>
        <w:tc>
          <w:tcPr>
            <w:tcW w:w="5205"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D88EA34" w:rsidRDefault="2D88EA34" w14:paraId="42A1E132" w14:textId="2F63F32C">
            <w:r w:rsidRPr="2D88EA34" w:rsidR="2D88EA34">
              <w:rPr>
                <w:rFonts w:ascii="Arial" w:hAnsi="Arial" w:eastAsia="Arial" w:cs="Arial"/>
                <w:color w:val="000000" w:themeColor="text1" w:themeTint="FF" w:themeShade="FF"/>
                <w:sz w:val="22"/>
                <w:szCs w:val="22"/>
              </w:rPr>
              <w:t>External Examiner’s Signature:</w:t>
            </w:r>
          </w:p>
        </w:tc>
        <w:tc>
          <w:tcPr>
            <w:tcW w:w="3645" w:type="dxa"/>
            <w:gridSpan w:val="3"/>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2D88EA34" w:rsidRDefault="2D88EA34" w14:paraId="1595FD5A" w14:textId="4DDB39EC">
            <w:r w:rsidRPr="2D88EA34" w:rsidR="2D88EA34">
              <w:rPr>
                <w:rFonts w:ascii="Arial" w:hAnsi="Arial" w:eastAsia="Arial" w:cs="Arial"/>
                <w:color w:val="000000" w:themeColor="text1" w:themeTint="FF" w:themeShade="FF"/>
                <w:sz w:val="22"/>
                <w:szCs w:val="22"/>
              </w:rPr>
              <w:t>Date:</w:t>
            </w:r>
          </w:p>
        </w:tc>
      </w:tr>
    </w:tbl>
    <w:p w:rsidR="2D88EA34" w:rsidP="2D88EA34" w:rsidRDefault="2D88EA34" w14:paraId="61BE522A" w14:textId="4C38630A">
      <w:pPr>
        <w:pStyle w:val="Normal"/>
        <w:jc w:val="center"/>
        <w:rPr>
          <w:u w:val="single"/>
        </w:rPr>
      </w:pPr>
    </w:p>
    <w:p w:rsidR="2D88EA34" w:rsidP="2D88EA34" w:rsidRDefault="2D88EA34" w14:paraId="37442B10" w14:textId="1E4AF2B3">
      <w:pPr>
        <w:jc w:val="center"/>
        <w:rPr>
          <w:u w:val="single"/>
        </w:rPr>
      </w:pPr>
    </w:p>
    <w:p w:rsidR="2D88EA34" w:rsidP="2D88EA34" w:rsidRDefault="2D88EA34" w14:paraId="04AE5B36" w14:textId="50F72202">
      <w:pPr>
        <w:jc w:val="center"/>
        <w:rPr>
          <w:u w:val="single"/>
        </w:rPr>
      </w:pPr>
    </w:p>
    <w:p w:rsidR="2D88EA34" w:rsidP="2D88EA34" w:rsidRDefault="2D88EA34" w14:paraId="1E40C9CE" w14:textId="3A7C39A9">
      <w:pPr>
        <w:jc w:val="center"/>
        <w:rPr>
          <w:u w:val="single"/>
        </w:rPr>
      </w:pPr>
    </w:p>
    <w:p w:rsidR="2D88EA34" w:rsidP="2D88EA34" w:rsidRDefault="2D88EA34" w14:paraId="20581FA2" w14:textId="338F57C8">
      <w:pPr>
        <w:jc w:val="center"/>
        <w:rPr>
          <w:u w:val="single"/>
        </w:rPr>
      </w:pPr>
    </w:p>
    <w:p w:rsidR="2D88EA34" w:rsidP="2D88EA34" w:rsidRDefault="2D88EA34" w14:paraId="6C591B28" w14:textId="288C70AE">
      <w:pPr>
        <w:jc w:val="center"/>
        <w:rPr>
          <w:u w:val="single"/>
        </w:rPr>
      </w:pPr>
    </w:p>
    <w:p w:rsidR="2D88EA34" w:rsidP="2D88EA34" w:rsidRDefault="2D88EA34" w14:paraId="3B3889C7" w14:textId="633DD5BA">
      <w:pPr>
        <w:jc w:val="center"/>
        <w:rPr>
          <w:u w:val="single"/>
        </w:rPr>
      </w:pPr>
    </w:p>
    <w:p xmlns:wp14="http://schemas.microsoft.com/office/word/2010/wordml" w:rsidP="5881B92A" w14:paraId="5E5787A5" wp14:textId="68E7C103">
      <w:pPr>
        <w:jc w:val="center"/>
        <w:rPr>
          <w:u w:val="single"/>
        </w:rPr>
      </w:pPr>
      <w:r w:rsidRPr="2D88EA34" w:rsidR="15AFD36E">
        <w:rPr>
          <w:u w:val="single"/>
        </w:rPr>
        <w:t xml:space="preserve">Compare and </w:t>
      </w:r>
      <w:r w:rsidRPr="2D88EA34" w:rsidR="0DA4C189">
        <w:rPr>
          <w:u w:val="single"/>
        </w:rPr>
        <w:t>cr</w:t>
      </w:r>
      <w:r w:rsidRPr="2D88EA34" w:rsidR="15AFD36E">
        <w:rPr>
          <w:u w:val="single"/>
        </w:rPr>
        <w:t xml:space="preserve">itically </w:t>
      </w:r>
      <w:r w:rsidRPr="2D88EA34" w:rsidR="222CDA13">
        <w:rPr>
          <w:u w:val="single"/>
        </w:rPr>
        <w:t>c</w:t>
      </w:r>
      <w:r w:rsidRPr="2D88EA34" w:rsidR="15AFD36E">
        <w:rPr>
          <w:u w:val="single"/>
        </w:rPr>
        <w:t xml:space="preserve">ontrast Mircea Eliade and Emile Durkheim's </w:t>
      </w:r>
      <w:r w:rsidRPr="2D88EA34" w:rsidR="1CEBDF64">
        <w:rPr>
          <w:u w:val="single"/>
        </w:rPr>
        <w:t>v</w:t>
      </w:r>
      <w:r w:rsidRPr="2D88EA34" w:rsidR="15AFD36E">
        <w:rPr>
          <w:u w:val="single"/>
        </w:rPr>
        <w:t xml:space="preserve">iew of </w:t>
      </w:r>
      <w:r w:rsidRPr="2D88EA34" w:rsidR="7DF9BF1F">
        <w:rPr>
          <w:u w:val="single"/>
        </w:rPr>
        <w:t>sacred space</w:t>
      </w:r>
    </w:p>
    <w:p w:rsidR="2D88EA34" w:rsidP="2D88EA34" w:rsidRDefault="2D88EA34" w14:paraId="546FC2CD" w14:textId="2A6351D8">
      <w:pPr>
        <w:pStyle w:val="Normal"/>
        <w:jc w:val="center"/>
        <w:rPr>
          <w:u w:val="single"/>
        </w:rPr>
      </w:pPr>
    </w:p>
    <w:p w:rsidR="5A6B28E0" w:rsidP="5881B92A" w:rsidRDefault="5A6B28E0" w14:paraId="270C1794" w14:textId="1098EB4F">
      <w:pPr>
        <w:pStyle w:val="Normal"/>
        <w:jc w:val="both"/>
        <w:rPr>
          <w:u w:val="none"/>
        </w:rPr>
      </w:pPr>
      <w:r w:rsidR="5A6B28E0">
        <w:rPr>
          <w:u w:val="none"/>
        </w:rPr>
        <w:t xml:space="preserve">The aim of this essay is to </w:t>
      </w:r>
      <w:r w:rsidR="7C1FE7B1">
        <w:rPr>
          <w:u w:val="none"/>
        </w:rPr>
        <w:t xml:space="preserve">compare and critically </w:t>
      </w:r>
      <w:r w:rsidR="6387F4E1">
        <w:rPr>
          <w:u w:val="none"/>
        </w:rPr>
        <w:t>contrast the major views o</w:t>
      </w:r>
      <w:r w:rsidR="001877B2">
        <w:rPr>
          <w:u w:val="none"/>
        </w:rPr>
        <w:t>f</w:t>
      </w:r>
      <w:r w:rsidR="6387F4E1">
        <w:rPr>
          <w:u w:val="none"/>
        </w:rPr>
        <w:t xml:space="preserve"> Mircea Eliade and Emile Durkheim </w:t>
      </w:r>
      <w:r w:rsidR="312C0A56">
        <w:rPr>
          <w:u w:val="none"/>
        </w:rPr>
        <w:t>regarding</w:t>
      </w:r>
      <w:r w:rsidR="6387F4E1">
        <w:rPr>
          <w:u w:val="none"/>
        </w:rPr>
        <w:t xml:space="preserve"> an understanding of sacred space. This </w:t>
      </w:r>
      <w:r w:rsidR="6875F33C">
        <w:rPr>
          <w:u w:val="none"/>
        </w:rPr>
        <w:t>essay</w:t>
      </w:r>
      <w:r w:rsidR="6387F4E1">
        <w:rPr>
          <w:u w:val="none"/>
        </w:rPr>
        <w:t xml:space="preserve"> will </w:t>
      </w:r>
      <w:r w:rsidR="1E0FCF7C">
        <w:rPr>
          <w:u w:val="none"/>
        </w:rPr>
        <w:t xml:space="preserve">consider the </w:t>
      </w:r>
      <w:r w:rsidR="5F6AEA4A">
        <w:rPr>
          <w:u w:val="none"/>
        </w:rPr>
        <w:t>antithetical</w:t>
      </w:r>
      <w:r w:rsidR="1E0FCF7C">
        <w:rPr>
          <w:u w:val="none"/>
        </w:rPr>
        <w:t xml:space="preserve"> perspectives of Eliade and Durkheim that continue to define </w:t>
      </w:r>
      <w:r w:rsidR="4D3F8B62">
        <w:rPr>
          <w:u w:val="none"/>
        </w:rPr>
        <w:t xml:space="preserve">the field of sacred space in terms of a physical landscape meeting with the human mind and soul. </w:t>
      </w:r>
    </w:p>
    <w:p w:rsidR="420974F2" w:rsidP="5881B92A" w:rsidRDefault="420974F2" w14:paraId="7B2A98AE" w14:textId="559860A8">
      <w:pPr>
        <w:pStyle w:val="Normal"/>
        <w:jc w:val="both"/>
        <w:rPr>
          <w:u w:val="none"/>
        </w:rPr>
      </w:pPr>
      <w:r w:rsidR="420974F2">
        <w:rPr>
          <w:u w:val="none"/>
        </w:rPr>
        <w:t xml:space="preserve">A background of both writers will now be given, as to understand the thinking of Eliade and Durkheim is to understand </w:t>
      </w:r>
      <w:r w:rsidR="6EFFFCFF">
        <w:rPr>
          <w:u w:val="none"/>
        </w:rPr>
        <w:t xml:space="preserve">the </w:t>
      </w:r>
      <w:r w:rsidR="074AC123">
        <w:rPr>
          <w:u w:val="none"/>
        </w:rPr>
        <w:t xml:space="preserve">rapidly changing world and the </w:t>
      </w:r>
      <w:r w:rsidR="0A8528E2">
        <w:rPr>
          <w:u w:val="none"/>
        </w:rPr>
        <w:t xml:space="preserve">resulting </w:t>
      </w:r>
      <w:r w:rsidR="074AC123">
        <w:rPr>
          <w:u w:val="none"/>
        </w:rPr>
        <w:t xml:space="preserve">state of flux from which </w:t>
      </w:r>
      <w:r w:rsidR="3D688C3B">
        <w:rPr>
          <w:u w:val="none"/>
        </w:rPr>
        <w:t xml:space="preserve">both </w:t>
      </w:r>
      <w:r w:rsidR="074AC123">
        <w:rPr>
          <w:u w:val="none"/>
        </w:rPr>
        <w:t xml:space="preserve">theories </w:t>
      </w:r>
      <w:r w:rsidR="00E42ABF">
        <w:rPr>
          <w:u w:val="none"/>
        </w:rPr>
        <w:t>emerged</w:t>
      </w:r>
      <w:r w:rsidR="00E42ABF">
        <w:rPr>
          <w:u w:val="none"/>
        </w:rPr>
        <w:t xml:space="preserve">. </w:t>
      </w:r>
      <w:r w:rsidR="2021F060">
        <w:rPr>
          <w:u w:val="none"/>
        </w:rPr>
        <w:t xml:space="preserve">Mircea Eliade (1907-1986) was a Romanian thinker, born in Bucharest and receiving much of his scholarly training </w:t>
      </w:r>
      <w:r w:rsidR="68E93664">
        <w:rPr>
          <w:u w:val="none"/>
        </w:rPr>
        <w:t>within</w:t>
      </w:r>
      <w:r w:rsidR="2021F060">
        <w:rPr>
          <w:u w:val="none"/>
        </w:rPr>
        <w:t xml:space="preserve"> his nat</w:t>
      </w:r>
      <w:r w:rsidR="0D725F56">
        <w:rPr>
          <w:u w:val="none"/>
        </w:rPr>
        <w:t>ive land</w:t>
      </w:r>
      <w:r w:rsidRPr="5881B92A">
        <w:rPr>
          <w:rStyle w:val="FootnoteReference"/>
          <w:u w:val="none"/>
        </w:rPr>
        <w:footnoteReference w:id="2718"/>
      </w:r>
      <w:r w:rsidR="168F2B57">
        <w:rPr>
          <w:u w:val="none"/>
        </w:rPr>
        <w:t>. Eliade was well learned in ancient languages and religion, spending time in India and travelling around Europe</w:t>
      </w:r>
      <w:r w:rsidRPr="5881B92A">
        <w:rPr>
          <w:rStyle w:val="FootnoteReference"/>
          <w:u w:val="none"/>
        </w:rPr>
        <w:footnoteReference w:id="27382"/>
      </w:r>
      <w:r w:rsidR="27C27DEF">
        <w:rPr>
          <w:u w:val="none"/>
        </w:rPr>
        <w:t xml:space="preserve"> where he became involved with politics</w:t>
      </w:r>
      <w:r w:rsidR="2FCCF675">
        <w:rPr>
          <w:u w:val="none"/>
        </w:rPr>
        <w:t xml:space="preserve"> by aligning</w:t>
      </w:r>
      <w:r w:rsidR="27C27DEF">
        <w:rPr>
          <w:u w:val="none"/>
        </w:rPr>
        <w:t xml:space="preserve"> with right wing forces</w:t>
      </w:r>
      <w:r w:rsidRPr="5881B92A">
        <w:rPr>
          <w:rStyle w:val="FootnoteReference"/>
          <w:u w:val="none"/>
        </w:rPr>
        <w:footnoteReference w:id="2537"/>
      </w:r>
      <w:r w:rsidR="27825582">
        <w:rPr>
          <w:u w:val="none"/>
        </w:rPr>
        <w:t>. After World War II, Eliade would not be welcomed back to a communi</w:t>
      </w:r>
      <w:r w:rsidR="41C94C85">
        <w:rPr>
          <w:u w:val="none"/>
        </w:rPr>
        <w:t>st Romania</w:t>
      </w:r>
      <w:r w:rsidRPr="5881B92A">
        <w:rPr>
          <w:rStyle w:val="FootnoteReference"/>
          <w:u w:val="none"/>
        </w:rPr>
        <w:footnoteReference w:id="24335"/>
      </w:r>
      <w:r w:rsidR="16442FAC">
        <w:rPr>
          <w:u w:val="none"/>
        </w:rPr>
        <w:t xml:space="preserve"> and eventually moved to the United States where he would work at the University of Chicago as</w:t>
      </w:r>
      <w:r w:rsidR="4666E65E">
        <w:rPr>
          <w:u w:val="none"/>
        </w:rPr>
        <w:t xml:space="preserve"> P</w:t>
      </w:r>
      <w:r w:rsidR="16442FAC">
        <w:rPr>
          <w:u w:val="none"/>
        </w:rPr>
        <w:t>rofessor of</w:t>
      </w:r>
      <w:r w:rsidR="4573957B">
        <w:rPr>
          <w:u w:val="none"/>
        </w:rPr>
        <w:t xml:space="preserve"> History and Religion</w:t>
      </w:r>
      <w:r w:rsidRPr="5881B92A">
        <w:rPr>
          <w:rStyle w:val="FootnoteReference"/>
          <w:u w:val="none"/>
        </w:rPr>
        <w:footnoteReference w:id="11169"/>
      </w:r>
      <w:r w:rsidR="7168E9A2">
        <w:rPr>
          <w:u w:val="none"/>
        </w:rPr>
        <w:t>.</w:t>
      </w:r>
    </w:p>
    <w:p w:rsidR="452E54B7" w:rsidP="5881B92A" w:rsidRDefault="452E54B7" w14:paraId="39DF27E5" w14:textId="0F3AFE33">
      <w:pPr>
        <w:pStyle w:val="Normal"/>
        <w:jc w:val="both"/>
        <w:rPr>
          <w:u w:val="none"/>
        </w:rPr>
      </w:pPr>
      <w:r w:rsidR="452E54B7">
        <w:rPr>
          <w:u w:val="none"/>
        </w:rPr>
        <w:t xml:space="preserve">An erudite scholar, Eliade </w:t>
      </w:r>
      <w:r w:rsidR="452E54B7">
        <w:rPr>
          <w:u w:val="none"/>
        </w:rPr>
        <w:t>represented</w:t>
      </w:r>
      <w:r w:rsidR="452E54B7">
        <w:rPr>
          <w:u w:val="none"/>
        </w:rPr>
        <w:t xml:space="preserve"> a tradition</w:t>
      </w:r>
      <w:r w:rsidR="5FC05758">
        <w:rPr>
          <w:u w:val="none"/>
        </w:rPr>
        <w:t xml:space="preserve"> which resisted a social-</w:t>
      </w:r>
      <w:r w:rsidR="32C9CF4B">
        <w:rPr>
          <w:u w:val="none"/>
        </w:rPr>
        <w:t>scientific</w:t>
      </w:r>
      <w:r w:rsidR="5FC05758">
        <w:rPr>
          <w:u w:val="none"/>
        </w:rPr>
        <w:t xml:space="preserve"> approach to the sacred, arguing </w:t>
      </w:r>
      <w:r w:rsidR="769E17EA">
        <w:rPr>
          <w:u w:val="none"/>
        </w:rPr>
        <w:t>that</w:t>
      </w:r>
      <w:r w:rsidR="5FC05758">
        <w:rPr>
          <w:u w:val="none"/>
        </w:rPr>
        <w:t xml:space="preserve"> </w:t>
      </w:r>
      <w:r w:rsidR="4E6E4FC1">
        <w:rPr>
          <w:u w:val="none"/>
        </w:rPr>
        <w:t>religion</w:t>
      </w:r>
      <w:r w:rsidR="5FC05758">
        <w:rPr>
          <w:u w:val="none"/>
        </w:rPr>
        <w:t xml:space="preserve"> cannot be reduced merely to a social, </w:t>
      </w:r>
      <w:r w:rsidR="3F4EB262">
        <w:rPr>
          <w:u w:val="none"/>
        </w:rPr>
        <w:t>economic,</w:t>
      </w:r>
      <w:r w:rsidR="5FC05758">
        <w:rPr>
          <w:u w:val="none"/>
        </w:rPr>
        <w:t xml:space="preserve"> or psychological force</w:t>
      </w:r>
      <w:r w:rsidRPr="5881B92A">
        <w:rPr>
          <w:rStyle w:val="FootnoteReference"/>
          <w:u w:val="none"/>
        </w:rPr>
        <w:footnoteReference w:id="28401"/>
      </w:r>
      <w:bookmarkStart w:name="_Int_T6972MEK" w:id="1439183507"/>
      <w:r w:rsidR="62B5A5F5">
        <w:rPr>
          <w:u w:val="none"/>
        </w:rPr>
        <w:t xml:space="preserve">. </w:t>
      </w:r>
      <w:bookmarkEnd w:id="1439183507"/>
      <w:r w:rsidR="62B5A5F5">
        <w:rPr>
          <w:u w:val="none"/>
        </w:rPr>
        <w:t xml:space="preserve">Unlike Durkheim, whose works have appeared in one, decisive text, Eliade's theories are spread throughout </w:t>
      </w:r>
      <w:r w:rsidR="7A46675B">
        <w:rPr>
          <w:u w:val="none"/>
        </w:rPr>
        <w:t>several</w:t>
      </w:r>
      <w:r w:rsidR="62B5A5F5">
        <w:rPr>
          <w:u w:val="none"/>
        </w:rPr>
        <w:t xml:space="preserve"> texts </w:t>
      </w:r>
      <w:r w:rsidR="69C5ABDE">
        <w:rPr>
          <w:u w:val="none"/>
        </w:rPr>
        <w:t xml:space="preserve">and his thinking has influenced academic thinking </w:t>
      </w:r>
      <w:r w:rsidR="537FEBC1">
        <w:rPr>
          <w:u w:val="none"/>
        </w:rPr>
        <w:t xml:space="preserve">as a </w:t>
      </w:r>
      <w:r w:rsidR="49A78FDD">
        <w:rPr>
          <w:u w:val="none"/>
        </w:rPr>
        <w:t xml:space="preserve">means of </w:t>
      </w:r>
      <w:r w:rsidR="69C5ABDE">
        <w:rPr>
          <w:u w:val="none"/>
        </w:rPr>
        <w:t>elucidat</w:t>
      </w:r>
      <w:r w:rsidR="2BE74242">
        <w:rPr>
          <w:u w:val="none"/>
        </w:rPr>
        <w:t>ing</w:t>
      </w:r>
      <w:r w:rsidR="69C5ABDE">
        <w:rPr>
          <w:u w:val="none"/>
        </w:rPr>
        <w:t xml:space="preserve"> </w:t>
      </w:r>
      <w:r w:rsidR="6A964606">
        <w:rPr>
          <w:u w:val="none"/>
        </w:rPr>
        <w:t>the sacred as a phenomenological reality as opposed to being seen only through the social, political, and historical lens of comparative thought</w:t>
      </w:r>
      <w:r w:rsidRPr="5881B92A">
        <w:rPr>
          <w:rStyle w:val="FootnoteReference"/>
          <w:u w:val="none"/>
        </w:rPr>
        <w:footnoteReference w:id="1408"/>
      </w:r>
      <w:r w:rsidR="6379472E">
        <w:rPr>
          <w:u w:val="none"/>
        </w:rPr>
        <w:t>.</w:t>
      </w:r>
    </w:p>
    <w:p w:rsidR="26993BAA" w:rsidP="5881B92A" w:rsidRDefault="26993BAA" w14:paraId="043D68C4" w14:textId="6C92CB2B">
      <w:pPr>
        <w:pStyle w:val="Normal"/>
        <w:jc w:val="both"/>
        <w:rPr>
          <w:u w:val="none"/>
        </w:rPr>
      </w:pPr>
      <w:r w:rsidR="26993BAA">
        <w:rPr>
          <w:u w:val="none"/>
        </w:rPr>
        <w:t>In contrast, Emile Durkheim (1958-1917), rejected the solely phenomenological and transcendent view o</w:t>
      </w:r>
      <w:r w:rsidR="34973807">
        <w:rPr>
          <w:u w:val="none"/>
        </w:rPr>
        <w:t xml:space="preserve">f the sacred and </w:t>
      </w:r>
      <w:r w:rsidR="34973807">
        <w:rPr>
          <w:u w:val="none"/>
        </w:rPr>
        <w:t>attempted</w:t>
      </w:r>
      <w:r w:rsidR="34973807">
        <w:rPr>
          <w:u w:val="none"/>
        </w:rPr>
        <w:t xml:space="preserve"> to define the sacred at a '</w:t>
      </w:r>
      <w:r w:rsidR="3229C78C">
        <w:rPr>
          <w:u w:val="none"/>
        </w:rPr>
        <w:t xml:space="preserve"> </w:t>
      </w:r>
      <w:r w:rsidRPr="5881B92A" w:rsidR="3229C78C">
        <w:rPr>
          <w:rFonts w:ascii="Calibri" w:hAnsi="Calibri" w:eastAsia="Calibri" w:cs="Calibri"/>
          <w:noProof w:val="0"/>
          <w:sz w:val="22"/>
          <w:szCs w:val="22"/>
          <w:lang w:val="en-GB"/>
        </w:rPr>
        <w:t xml:space="preserve">causalistic </w:t>
      </w:r>
      <w:r w:rsidR="34973807">
        <w:rPr>
          <w:u w:val="none"/>
        </w:rPr>
        <w:t xml:space="preserve">level' </w:t>
      </w:r>
      <w:r w:rsidR="4C70BE8F">
        <w:rPr>
          <w:u w:val="none"/>
        </w:rPr>
        <w:t xml:space="preserve">by </w:t>
      </w:r>
      <w:r w:rsidR="4C70BE8F">
        <w:rPr>
          <w:u w:val="none"/>
        </w:rPr>
        <w:t>determining</w:t>
      </w:r>
      <w:r w:rsidR="4C70BE8F">
        <w:rPr>
          <w:u w:val="none"/>
        </w:rPr>
        <w:t xml:space="preserve"> the collective identity, historical </w:t>
      </w:r>
      <w:r w:rsidR="4C70BE8F">
        <w:rPr>
          <w:u w:val="none"/>
        </w:rPr>
        <w:t>values,</w:t>
      </w:r>
      <w:r w:rsidR="4C70BE8F">
        <w:rPr>
          <w:u w:val="none"/>
        </w:rPr>
        <w:t xml:space="preserve"> and sociological origins</w:t>
      </w:r>
      <w:r w:rsidRPr="5881B92A">
        <w:rPr>
          <w:rStyle w:val="FootnoteReference"/>
          <w:u w:val="none"/>
        </w:rPr>
        <w:footnoteReference w:id="7611"/>
      </w:r>
      <w:r w:rsidR="24C7A6F0">
        <w:rPr>
          <w:u w:val="none"/>
        </w:rPr>
        <w:t xml:space="preserve">. A French </w:t>
      </w:r>
      <w:r w:rsidR="1DDCDE6A">
        <w:rPr>
          <w:u w:val="none"/>
        </w:rPr>
        <w:t>S</w:t>
      </w:r>
      <w:r w:rsidR="24C7A6F0">
        <w:rPr>
          <w:u w:val="none"/>
        </w:rPr>
        <w:t xml:space="preserve">ociologist of </w:t>
      </w:r>
      <w:r w:rsidR="36D808D0">
        <w:rPr>
          <w:u w:val="none"/>
        </w:rPr>
        <w:t>R</w:t>
      </w:r>
      <w:r w:rsidR="24C7A6F0">
        <w:rPr>
          <w:u w:val="none"/>
        </w:rPr>
        <w:t xml:space="preserve">eligion and writing at the beginning of the </w:t>
      </w:r>
      <w:r w:rsidR="17FA7A28">
        <w:rPr>
          <w:u w:val="none"/>
        </w:rPr>
        <w:t>twentieth</w:t>
      </w:r>
      <w:r w:rsidR="24C7A6F0">
        <w:rPr>
          <w:u w:val="none"/>
        </w:rPr>
        <w:t xml:space="preserve"> century, Durkheim was </w:t>
      </w:r>
      <w:r w:rsidR="0C3E4E16">
        <w:rPr>
          <w:u w:val="none"/>
        </w:rPr>
        <w:t xml:space="preserve">trained </w:t>
      </w:r>
      <w:r w:rsidR="78C89BEF">
        <w:rPr>
          <w:u w:val="none"/>
        </w:rPr>
        <w:t xml:space="preserve">in the study of social sciences </w:t>
      </w:r>
      <w:r w:rsidR="3E8A6BD1">
        <w:rPr>
          <w:u w:val="none"/>
        </w:rPr>
        <w:t xml:space="preserve">that was gaining popularity at the end of the nineteenth century and </w:t>
      </w:r>
      <w:r w:rsidR="4E0DCE36">
        <w:rPr>
          <w:u w:val="none"/>
        </w:rPr>
        <w:t>subsequently</w:t>
      </w:r>
      <w:r w:rsidR="3E8A6BD1">
        <w:rPr>
          <w:u w:val="none"/>
        </w:rPr>
        <w:t xml:space="preserve"> is regarded as the 'fo</w:t>
      </w:r>
      <w:r w:rsidR="5F37F938">
        <w:rPr>
          <w:u w:val="none"/>
        </w:rPr>
        <w:t>under of the first school of sociological thought'</w:t>
      </w:r>
      <w:r w:rsidRPr="5881B92A">
        <w:rPr>
          <w:rStyle w:val="FootnoteReference"/>
          <w:u w:val="none"/>
        </w:rPr>
        <w:footnoteReference w:id="13051"/>
      </w:r>
      <w:r w:rsidR="26935001">
        <w:rPr>
          <w:u w:val="none"/>
        </w:rPr>
        <w:t>.</w:t>
      </w:r>
    </w:p>
    <w:p w:rsidR="26935001" w:rsidP="5881B92A" w:rsidRDefault="26935001" w14:paraId="0BAE168F" w14:textId="73F6D913">
      <w:pPr>
        <w:pStyle w:val="Normal"/>
        <w:jc w:val="both"/>
        <w:rPr>
          <w:u w:val="none"/>
        </w:rPr>
      </w:pPr>
      <w:r w:rsidR="26935001">
        <w:rPr>
          <w:u w:val="none"/>
        </w:rPr>
        <w:t xml:space="preserve">Rejecting intellectual theories of the time such as Edward </w:t>
      </w:r>
      <w:r w:rsidR="13E3BEF7">
        <w:rPr>
          <w:u w:val="none"/>
        </w:rPr>
        <w:t xml:space="preserve">Burnett </w:t>
      </w:r>
      <w:r w:rsidR="26935001">
        <w:rPr>
          <w:u w:val="none"/>
        </w:rPr>
        <w:t>Tyl</w:t>
      </w:r>
      <w:r w:rsidR="089BF837">
        <w:rPr>
          <w:u w:val="none"/>
        </w:rPr>
        <w:t>o</w:t>
      </w:r>
      <w:r w:rsidR="26935001">
        <w:rPr>
          <w:u w:val="none"/>
        </w:rPr>
        <w:t>r's postulation of humans as primitive philosophers</w:t>
      </w:r>
      <w:r w:rsidRPr="5881B92A">
        <w:rPr>
          <w:rStyle w:val="FootnoteReference"/>
          <w:u w:val="none"/>
        </w:rPr>
        <w:footnoteReference w:id="23670"/>
      </w:r>
      <w:r w:rsidR="01976E0B">
        <w:rPr>
          <w:u w:val="none"/>
        </w:rPr>
        <w:t xml:space="preserve">, Durkheim </w:t>
      </w:r>
      <w:r w:rsidR="01976E0B">
        <w:rPr>
          <w:u w:val="none"/>
        </w:rPr>
        <w:t>sought</w:t>
      </w:r>
      <w:r w:rsidR="01976E0B">
        <w:rPr>
          <w:u w:val="none"/>
        </w:rPr>
        <w:t xml:space="preserve"> to understand the sacred primarily as a social force functioning to build and </w:t>
      </w:r>
      <w:r w:rsidR="01976E0B">
        <w:rPr>
          <w:u w:val="none"/>
        </w:rPr>
        <w:t>maintain</w:t>
      </w:r>
      <w:r w:rsidR="01976E0B">
        <w:rPr>
          <w:u w:val="none"/>
        </w:rPr>
        <w:t xml:space="preserve"> social life</w:t>
      </w:r>
      <w:r w:rsidR="63A01640">
        <w:rPr>
          <w:u w:val="none"/>
        </w:rPr>
        <w:t xml:space="preserve"> through shared belief</w:t>
      </w:r>
      <w:r w:rsidRPr="5881B92A">
        <w:rPr>
          <w:rStyle w:val="FootnoteReference"/>
          <w:u w:val="none"/>
        </w:rPr>
        <w:footnoteReference w:id="313"/>
      </w:r>
      <w:r w:rsidR="395FC3D0">
        <w:rPr>
          <w:u w:val="none"/>
        </w:rPr>
        <w:t xml:space="preserve">. As an </w:t>
      </w:r>
      <w:r w:rsidR="0A3E4104">
        <w:rPr>
          <w:u w:val="none"/>
        </w:rPr>
        <w:t>accomplished</w:t>
      </w:r>
      <w:r w:rsidR="395FC3D0">
        <w:rPr>
          <w:u w:val="none"/>
        </w:rPr>
        <w:t xml:space="preserve"> </w:t>
      </w:r>
      <w:r w:rsidR="41661D18">
        <w:rPr>
          <w:u w:val="none"/>
        </w:rPr>
        <w:t>academic</w:t>
      </w:r>
      <w:r w:rsidR="395FC3D0">
        <w:rPr>
          <w:u w:val="none"/>
        </w:rPr>
        <w:t xml:space="preserve"> and appointed professor at the University of Paris</w:t>
      </w:r>
      <w:r w:rsidR="0658C2A3">
        <w:rPr>
          <w:u w:val="none"/>
        </w:rPr>
        <w:t xml:space="preserve"> in 1902</w:t>
      </w:r>
      <w:r w:rsidRPr="5881B92A">
        <w:rPr>
          <w:rStyle w:val="FootnoteReference"/>
          <w:u w:val="none"/>
        </w:rPr>
        <w:footnoteReference w:id="14855"/>
      </w:r>
      <w:r w:rsidR="395FC3D0">
        <w:rPr>
          <w:u w:val="none"/>
        </w:rPr>
        <w:t>, Durkheim</w:t>
      </w:r>
      <w:r w:rsidR="21CF026A">
        <w:rPr>
          <w:u w:val="none"/>
        </w:rPr>
        <w:t xml:space="preserve"> went on to write 'The </w:t>
      </w:r>
      <w:r w:rsidR="2F5C9368">
        <w:rPr>
          <w:u w:val="none"/>
        </w:rPr>
        <w:t>Elementary</w:t>
      </w:r>
      <w:r w:rsidR="21CF026A">
        <w:rPr>
          <w:u w:val="none"/>
        </w:rPr>
        <w:t xml:space="preserve"> Forms of Religious Life' in 1912, in which the fundamental distinction</w:t>
      </w:r>
      <w:r w:rsidR="03D7AAA0">
        <w:rPr>
          <w:u w:val="none"/>
        </w:rPr>
        <w:t xml:space="preserve"> on</w:t>
      </w:r>
      <w:r w:rsidR="75A9C9CE">
        <w:rPr>
          <w:u w:val="none"/>
        </w:rPr>
        <w:t xml:space="preserve"> </w:t>
      </w:r>
      <w:r w:rsidR="03D7AAA0">
        <w:rPr>
          <w:u w:val="none"/>
        </w:rPr>
        <w:t xml:space="preserve">sociological rather than </w:t>
      </w:r>
      <w:r w:rsidR="4E4AE4C5">
        <w:rPr>
          <w:u w:val="none"/>
        </w:rPr>
        <w:t xml:space="preserve">ontological </w:t>
      </w:r>
      <w:r w:rsidR="18260019">
        <w:rPr>
          <w:u w:val="none"/>
        </w:rPr>
        <w:t xml:space="preserve">thinking </w:t>
      </w:r>
      <w:r w:rsidR="4E4AE4C5">
        <w:rPr>
          <w:u w:val="none"/>
        </w:rPr>
        <w:t>when</w:t>
      </w:r>
      <w:r w:rsidR="03D7AAA0">
        <w:rPr>
          <w:u w:val="none"/>
        </w:rPr>
        <w:t xml:space="preserve"> </w:t>
      </w:r>
      <w:r w:rsidR="03D7AAA0">
        <w:rPr>
          <w:u w:val="none"/>
        </w:rPr>
        <w:t>regarding</w:t>
      </w:r>
      <w:r w:rsidR="03D7AAA0">
        <w:rPr>
          <w:u w:val="none"/>
        </w:rPr>
        <w:t xml:space="preserve"> the sacred was to become u</w:t>
      </w:r>
      <w:r w:rsidR="517BC014">
        <w:rPr>
          <w:u w:val="none"/>
        </w:rPr>
        <w:t xml:space="preserve">biquitous in </w:t>
      </w:r>
      <w:r w:rsidR="517BC014">
        <w:rPr>
          <w:u w:val="none"/>
        </w:rPr>
        <w:t>subsequent</w:t>
      </w:r>
      <w:r w:rsidR="517BC014">
        <w:rPr>
          <w:u w:val="none"/>
        </w:rPr>
        <w:t xml:space="preserve"> </w:t>
      </w:r>
      <w:r w:rsidR="11BF69B5">
        <w:rPr>
          <w:u w:val="none"/>
        </w:rPr>
        <w:t xml:space="preserve">social </w:t>
      </w:r>
      <w:r w:rsidR="4436905E">
        <w:rPr>
          <w:u w:val="none"/>
        </w:rPr>
        <w:t>research</w:t>
      </w:r>
      <w:r w:rsidRPr="5881B92A">
        <w:rPr>
          <w:rStyle w:val="FootnoteReference"/>
          <w:u w:val="none"/>
        </w:rPr>
        <w:footnoteReference w:id="16289"/>
      </w:r>
      <w:r w:rsidR="62B0CE47">
        <w:rPr>
          <w:u w:val="none"/>
        </w:rPr>
        <w:t>.</w:t>
      </w:r>
    </w:p>
    <w:p w:rsidR="093A48E9" w:rsidP="5881B92A" w:rsidRDefault="093A48E9" w14:paraId="194DA232" w14:textId="072B93C6">
      <w:pPr>
        <w:pStyle w:val="Normal"/>
        <w:spacing w:after="0" w:afterAutospacing="off"/>
        <w:jc w:val="both"/>
        <w:rPr>
          <w:rStyle w:val="FootnoteReference"/>
          <w:u w:val="none"/>
        </w:rPr>
      </w:pPr>
      <w:r w:rsidR="093A48E9">
        <w:rPr>
          <w:u w:val="none"/>
        </w:rPr>
        <w:t xml:space="preserve">Turning now to the major themes </w:t>
      </w:r>
      <w:r w:rsidR="093A48E9">
        <w:rPr>
          <w:u w:val="none"/>
        </w:rPr>
        <w:t>regarding</w:t>
      </w:r>
      <w:r w:rsidR="093A48E9">
        <w:rPr>
          <w:u w:val="none"/>
        </w:rPr>
        <w:t xml:space="preserve"> sacred space </w:t>
      </w:r>
      <w:r w:rsidR="1EE70ABA">
        <w:rPr>
          <w:u w:val="none"/>
        </w:rPr>
        <w:t xml:space="preserve">as </w:t>
      </w:r>
      <w:r w:rsidR="093A48E9">
        <w:rPr>
          <w:u w:val="none"/>
        </w:rPr>
        <w:t xml:space="preserve">discussed by Eliade and Durkheim. </w:t>
      </w:r>
      <w:r w:rsidR="44B2FF75">
        <w:rPr>
          <w:u w:val="none"/>
        </w:rPr>
        <w:t xml:space="preserve">Like Durkheim, </w:t>
      </w:r>
      <w:r w:rsidR="62F4FF9E">
        <w:rPr>
          <w:u w:val="none"/>
        </w:rPr>
        <w:t xml:space="preserve">Eliade understood the sacred as a distinction from the profane </w:t>
      </w:r>
      <w:r w:rsidR="24501A6D">
        <w:rPr>
          <w:u w:val="none"/>
        </w:rPr>
        <w:t xml:space="preserve">reality of mundane life, 'the sacred always manifests itself as a reality of a wholly different order from "natural </w:t>
      </w:r>
      <w:r w:rsidR="1325EF6B">
        <w:rPr>
          <w:u w:val="none"/>
        </w:rPr>
        <w:t>realities"'</w:t>
      </w:r>
      <w:r w:rsidRPr="5881B92A">
        <w:rPr>
          <w:rStyle w:val="FootnoteReference"/>
          <w:u w:val="none"/>
        </w:rPr>
        <w:footnoteReference w:id="12311"/>
      </w:r>
      <w:r w:rsidR="2C72BB44">
        <w:rPr>
          <w:u w:val="none"/>
        </w:rPr>
        <w:t xml:space="preserve">. </w:t>
      </w:r>
      <w:r w:rsidR="7B85BDDB">
        <w:rPr>
          <w:u w:val="none"/>
        </w:rPr>
        <w:t xml:space="preserve">Durkheim, in addition, asserts a 'logical chasm' between the sacred and the profane that the mind </w:t>
      </w:r>
      <w:r w:rsidR="77585B50">
        <w:rPr>
          <w:u w:val="none"/>
        </w:rPr>
        <w:t>cannot</w:t>
      </w:r>
      <w:r w:rsidR="7B85BDDB">
        <w:rPr>
          <w:u w:val="none"/>
        </w:rPr>
        <w:t xml:space="preserve"> coherently connect </w:t>
      </w:r>
      <w:r w:rsidR="2596BFC0">
        <w:rPr>
          <w:u w:val="none"/>
        </w:rPr>
        <w:t>being antithetical in nature</w:t>
      </w:r>
      <w:r w:rsidRPr="5881B92A">
        <w:rPr>
          <w:rStyle w:val="FootnoteReference"/>
          <w:u w:val="none"/>
        </w:rPr>
        <w:footnoteReference w:id="4976"/>
      </w:r>
      <w:r w:rsidR="3013ABE2">
        <w:rPr>
          <w:u w:val="none"/>
        </w:rPr>
        <w:t xml:space="preserve">. This sentiment of setting apart the sacred from the profane is analogous with </w:t>
      </w:r>
      <w:r w:rsidR="24CBE522">
        <w:rPr>
          <w:u w:val="none"/>
        </w:rPr>
        <w:t>Eli</w:t>
      </w:r>
      <w:r w:rsidR="2CCB9CBD">
        <w:rPr>
          <w:u w:val="none"/>
        </w:rPr>
        <w:t>a</w:t>
      </w:r>
      <w:r w:rsidR="24CBE522">
        <w:rPr>
          <w:u w:val="none"/>
        </w:rPr>
        <w:t>dean</w:t>
      </w:r>
      <w:r w:rsidR="3013ABE2">
        <w:rPr>
          <w:u w:val="none"/>
        </w:rPr>
        <w:t xml:space="preserve"> and D</w:t>
      </w:r>
      <w:r w:rsidR="041E57BB">
        <w:rPr>
          <w:u w:val="none"/>
        </w:rPr>
        <w:t xml:space="preserve">urkheimian thinking yet as Mathew Evans notes, </w:t>
      </w:r>
      <w:r w:rsidR="6003355F">
        <w:rPr>
          <w:u w:val="none"/>
        </w:rPr>
        <w:t>'For Eliade (the sacred) means something very different than it does for Durkheim'</w:t>
      </w:r>
      <w:r w:rsidRPr="5881B92A">
        <w:rPr>
          <w:rStyle w:val="FootnoteReference"/>
          <w:u w:val="none"/>
        </w:rPr>
        <w:footnoteReference w:id="9386"/>
      </w:r>
      <w:r w:rsidR="5881B92A">
        <w:rPr>
          <w:u w:val="none"/>
        </w:rPr>
        <w:t>.</w:t>
      </w:r>
      <w:r w:rsidR="35B05146">
        <w:rPr>
          <w:u w:val="none"/>
        </w:rPr>
        <w:t xml:space="preserve"> </w:t>
      </w:r>
    </w:p>
    <w:p w:rsidR="5881B92A" w:rsidP="5881B92A" w:rsidRDefault="5881B92A" w14:paraId="53FBAD6F" w14:textId="726193D3">
      <w:pPr>
        <w:pStyle w:val="Normal"/>
        <w:spacing w:after="0" w:afterAutospacing="off"/>
        <w:jc w:val="both"/>
        <w:rPr>
          <w:u w:val="none"/>
        </w:rPr>
      </w:pPr>
    </w:p>
    <w:p w:rsidR="46411CAC" w:rsidP="5881B92A" w:rsidRDefault="46411CAC" w14:paraId="3BCFC8CD" w14:textId="622B0309">
      <w:pPr>
        <w:pStyle w:val="Normal"/>
        <w:jc w:val="both"/>
        <w:rPr>
          <w:u w:val="none"/>
        </w:rPr>
      </w:pPr>
      <w:r w:rsidR="46411CAC">
        <w:rPr>
          <w:u w:val="none"/>
        </w:rPr>
        <w:t>For Durkheim, the sacred is developed through an elementary social form, 'a unified system of beliefs and practices related to sacred things'</w:t>
      </w:r>
      <w:r w:rsidRPr="5881B92A">
        <w:rPr>
          <w:rStyle w:val="FootnoteReference"/>
          <w:u w:val="none"/>
        </w:rPr>
        <w:footnoteReference w:id="19366"/>
      </w:r>
      <w:r w:rsidR="1C00CA3C">
        <w:rPr>
          <w:u w:val="none"/>
        </w:rPr>
        <w:t xml:space="preserve">. The need for social life and order effectuated, as suggested by David Greenwald, the </w:t>
      </w:r>
      <w:r w:rsidR="45A344C3">
        <w:rPr>
          <w:u w:val="none"/>
        </w:rPr>
        <w:t xml:space="preserve">ability of the </w:t>
      </w:r>
      <w:r w:rsidR="1C00CA3C">
        <w:rPr>
          <w:u w:val="none"/>
        </w:rPr>
        <w:t xml:space="preserve">sacred to impose </w:t>
      </w:r>
      <w:r w:rsidR="5D5BE50A">
        <w:rPr>
          <w:u w:val="none"/>
        </w:rPr>
        <w:t>'upon an unstable world of sensory experience a common set of distinctions'</w:t>
      </w:r>
      <w:r w:rsidRPr="5881B92A">
        <w:rPr>
          <w:rStyle w:val="FootnoteReference"/>
          <w:u w:val="none"/>
        </w:rPr>
        <w:footnoteReference w:id="20574"/>
      </w:r>
      <w:r w:rsidR="60121AA7">
        <w:rPr>
          <w:u w:val="none"/>
        </w:rPr>
        <w:t xml:space="preserve">. </w:t>
      </w:r>
    </w:p>
    <w:p w:rsidR="60121AA7" w:rsidP="5881B92A" w:rsidRDefault="60121AA7" w14:paraId="0709A190" w14:textId="5FF5403A">
      <w:pPr>
        <w:pStyle w:val="Normal"/>
        <w:jc w:val="both"/>
        <w:rPr>
          <w:u w:val="none"/>
        </w:rPr>
      </w:pPr>
      <w:r w:rsidR="60121AA7">
        <w:rPr>
          <w:u w:val="none"/>
        </w:rPr>
        <w:t xml:space="preserve">Unlike Durkheim's supposition that the sacred, 'constitutes a centre of </w:t>
      </w:r>
      <w:r w:rsidR="216D3576">
        <w:rPr>
          <w:u w:val="none"/>
        </w:rPr>
        <w:t>organization</w:t>
      </w:r>
      <w:r w:rsidR="60121AA7">
        <w:rPr>
          <w:u w:val="none"/>
        </w:rPr>
        <w:t xml:space="preserve"> about which gravitate a group of beliefs and rites'</w:t>
      </w:r>
      <w:r w:rsidRPr="5881B92A">
        <w:rPr>
          <w:rStyle w:val="FootnoteReference"/>
          <w:u w:val="none"/>
        </w:rPr>
        <w:footnoteReference w:id="28567"/>
      </w:r>
      <w:r w:rsidR="16256EB6">
        <w:rPr>
          <w:u w:val="none"/>
        </w:rPr>
        <w:t xml:space="preserve">, Eliade, in contrast, asserts that the sacred is an external event, 'it manifests itself, shows itself', in an event defined </w:t>
      </w:r>
      <w:r w:rsidR="186CDBA9">
        <w:rPr>
          <w:u w:val="none"/>
        </w:rPr>
        <w:t>'</w:t>
      </w:r>
      <w:r w:rsidR="25249EF9">
        <w:rPr>
          <w:u w:val="none"/>
        </w:rPr>
        <w:t>h</w:t>
      </w:r>
      <w:r w:rsidR="431BF6C3">
        <w:rPr>
          <w:u w:val="none"/>
        </w:rPr>
        <w:t>ierophan</w:t>
      </w:r>
      <w:r w:rsidR="5A36BF21">
        <w:rPr>
          <w:u w:val="none"/>
        </w:rPr>
        <w:t>y'</w:t>
      </w:r>
      <w:r w:rsidRPr="5881B92A">
        <w:rPr>
          <w:rStyle w:val="FootnoteReference"/>
          <w:u w:val="none"/>
        </w:rPr>
        <w:footnoteReference w:id="15094"/>
      </w:r>
      <w:r w:rsidR="688FEAF3">
        <w:rPr>
          <w:u w:val="none"/>
        </w:rPr>
        <w:t xml:space="preserve">. Evans notes how the terms, </w:t>
      </w:r>
      <w:r w:rsidR="0DF49148">
        <w:rPr>
          <w:u w:val="none"/>
        </w:rPr>
        <w:t>'</w:t>
      </w:r>
      <w:r w:rsidR="6E0812D6">
        <w:rPr>
          <w:u w:val="none"/>
        </w:rPr>
        <w:t>"</w:t>
      </w:r>
      <w:r w:rsidR="2D849A43">
        <w:rPr>
          <w:u w:val="none"/>
        </w:rPr>
        <w:t>holy", "transcendent" or some other term connoting an unseen order of existence would better capture what Eliade means</w:t>
      </w:r>
      <w:r w:rsidR="3BAC284B">
        <w:rPr>
          <w:u w:val="none"/>
        </w:rPr>
        <w:t>'</w:t>
      </w:r>
      <w:r w:rsidRPr="5881B92A">
        <w:rPr>
          <w:rStyle w:val="FootnoteReference"/>
          <w:u w:val="none"/>
        </w:rPr>
        <w:footnoteReference w:id="14289"/>
      </w:r>
      <w:r w:rsidR="47E1D853">
        <w:rPr>
          <w:u w:val="none"/>
        </w:rPr>
        <w:t xml:space="preserve"> </w:t>
      </w:r>
      <w:r w:rsidR="1C4282D6">
        <w:rPr>
          <w:u w:val="none"/>
        </w:rPr>
        <w:t>regarding</w:t>
      </w:r>
      <w:r w:rsidR="47E1D853">
        <w:rPr>
          <w:u w:val="none"/>
        </w:rPr>
        <w:t xml:space="preserve"> sacredness.</w:t>
      </w:r>
    </w:p>
    <w:p w:rsidR="272F65AE" w:rsidP="5881B92A" w:rsidRDefault="272F65AE" w14:paraId="0D7B4356" w14:textId="3D46E9D6">
      <w:pPr>
        <w:pStyle w:val="Normal"/>
        <w:jc w:val="both"/>
        <w:rPr>
          <w:u w:val="none"/>
        </w:rPr>
      </w:pPr>
      <w:r w:rsidR="272F65AE">
        <w:rPr>
          <w:u w:val="none"/>
        </w:rPr>
        <w:t xml:space="preserve">This definition by Evans is comparable with that of Randall Studstill who defines Eliade's phenomenological use of hierophony </w:t>
      </w:r>
      <w:r w:rsidR="6DEFE2FA">
        <w:rPr>
          <w:u w:val="none"/>
        </w:rPr>
        <w:t>as 'any manifestation of the sacred.'</w:t>
      </w:r>
      <w:r w:rsidRPr="5881B92A">
        <w:rPr>
          <w:rStyle w:val="FootnoteReference"/>
          <w:u w:val="none"/>
        </w:rPr>
        <w:footnoteReference w:id="26548"/>
      </w:r>
      <w:r w:rsidR="7DE93E67">
        <w:rPr>
          <w:u w:val="none"/>
        </w:rPr>
        <w:t xml:space="preserve"> The sacred as an external event </w:t>
      </w:r>
      <w:r w:rsidR="65C611C5">
        <w:rPr>
          <w:u w:val="none"/>
        </w:rPr>
        <w:t>'that shows itself to us'</w:t>
      </w:r>
      <w:r w:rsidRPr="5881B92A">
        <w:rPr>
          <w:rStyle w:val="FootnoteReference"/>
          <w:u w:val="none"/>
        </w:rPr>
        <w:footnoteReference w:id="28335"/>
      </w:r>
      <w:r w:rsidR="1BE09632">
        <w:rPr>
          <w:u w:val="none"/>
        </w:rPr>
        <w:t>, is therefore disanalogous to Durkheim's assertion that the sacred is viewed as a means of organising social life through rules of conduct</w:t>
      </w:r>
      <w:r w:rsidRPr="5881B92A">
        <w:rPr>
          <w:rStyle w:val="FootnoteReference"/>
          <w:u w:val="none"/>
        </w:rPr>
        <w:footnoteReference w:id="763"/>
      </w:r>
      <w:r w:rsidR="192A6095">
        <w:rPr>
          <w:u w:val="none"/>
        </w:rPr>
        <w:t>.</w:t>
      </w:r>
      <w:r w:rsidR="7A2CBC8D">
        <w:rPr>
          <w:u w:val="none"/>
        </w:rPr>
        <w:t xml:space="preserve"> </w:t>
      </w:r>
    </w:p>
    <w:p w:rsidR="7A2CBC8D" w:rsidP="5881B92A" w:rsidRDefault="7A2CBC8D" w14:paraId="1CB6EFC8" w14:textId="63627EA3">
      <w:pPr>
        <w:pStyle w:val="Normal"/>
        <w:jc w:val="both"/>
        <w:rPr>
          <w:u w:val="none"/>
        </w:rPr>
      </w:pPr>
      <w:r w:rsidR="7A2CBC8D">
        <w:rPr>
          <w:u w:val="none"/>
        </w:rPr>
        <w:t xml:space="preserve">Having established Eliade's and Durkheim's position on the 'sacred', an understanding of the concept of 'space' will now </w:t>
      </w:r>
      <w:r w:rsidR="6C2EC030">
        <w:rPr>
          <w:u w:val="none"/>
        </w:rPr>
        <w:t>be considered</w:t>
      </w:r>
      <w:r w:rsidR="6C2EC030">
        <w:rPr>
          <w:u w:val="none"/>
        </w:rPr>
        <w:t xml:space="preserve">. </w:t>
      </w:r>
      <w:r w:rsidR="6C2EC030">
        <w:rPr>
          <w:u w:val="none"/>
        </w:rPr>
        <w:t>A</w:t>
      </w:r>
      <w:r w:rsidR="3A4DE704">
        <w:rPr>
          <w:u w:val="none"/>
        </w:rPr>
        <w:t>ccording to Eliade, man has 'conquered</w:t>
      </w:r>
      <w:r w:rsidR="3A4DE704">
        <w:rPr>
          <w:u w:val="none"/>
        </w:rPr>
        <w:t xml:space="preserve"> the cosmos'</w:t>
      </w:r>
      <w:r w:rsidR="2ACA849F">
        <w:rPr>
          <w:u w:val="none"/>
        </w:rPr>
        <w:t xml:space="preserve"> through developing two emergent ways of relating to reality, one sacred, one profane</w:t>
      </w:r>
      <w:r w:rsidRPr="5881B92A">
        <w:rPr>
          <w:rStyle w:val="FootnoteReference"/>
          <w:u w:val="none"/>
        </w:rPr>
        <w:footnoteReference w:id="10197"/>
      </w:r>
      <w:r w:rsidR="2B4EB6C1">
        <w:rPr>
          <w:u w:val="none"/>
        </w:rPr>
        <w:t xml:space="preserve"> and as Aurel Codaban points out, the use of hierophonies act</w:t>
      </w:r>
      <w:r w:rsidR="6FD60034">
        <w:rPr>
          <w:u w:val="none"/>
        </w:rPr>
        <w:t xml:space="preserve"> </w:t>
      </w:r>
      <w:r w:rsidR="2B4EB6C1">
        <w:rPr>
          <w:u w:val="none"/>
        </w:rPr>
        <w:t xml:space="preserve">as a </w:t>
      </w:r>
      <w:r w:rsidR="2556BCA4">
        <w:rPr>
          <w:u w:val="none"/>
        </w:rPr>
        <w:t>manifestation</w:t>
      </w:r>
      <w:r w:rsidR="2B4EB6C1">
        <w:rPr>
          <w:u w:val="none"/>
        </w:rPr>
        <w:t xml:space="preserve"> </w:t>
      </w:r>
      <w:r w:rsidR="73FD3F45">
        <w:rPr>
          <w:u w:val="none"/>
        </w:rPr>
        <w:t>'in space and tim</w:t>
      </w:r>
      <w:r w:rsidR="719B2B6A">
        <w:rPr>
          <w:u w:val="none"/>
        </w:rPr>
        <w:t>e.</w:t>
      </w:r>
      <w:r w:rsidR="73FD3F45">
        <w:rPr>
          <w:u w:val="none"/>
        </w:rPr>
        <w:t>'</w:t>
      </w:r>
      <w:r w:rsidRPr="5881B92A">
        <w:rPr>
          <w:rStyle w:val="FootnoteReference"/>
          <w:u w:val="none"/>
        </w:rPr>
        <w:footnoteReference w:id="24112"/>
      </w:r>
      <w:r w:rsidR="0DC451CE">
        <w:rPr>
          <w:u w:val="none"/>
        </w:rPr>
        <w:t xml:space="preserve"> Within an understanding of time and space in Eliade's ontology, Codaban unpacks the very understanding of homogeneity </w:t>
      </w:r>
      <w:r w:rsidR="3040109C">
        <w:rPr>
          <w:u w:val="none"/>
        </w:rPr>
        <w:t>that allows the sacred to manifest in the phenomenologica</w:t>
      </w:r>
      <w:r w:rsidR="0349888F">
        <w:rPr>
          <w:u w:val="none"/>
        </w:rPr>
        <w:t>l world</w:t>
      </w:r>
      <w:r w:rsidRPr="5881B92A">
        <w:rPr>
          <w:rStyle w:val="FootnoteReference"/>
          <w:u w:val="none"/>
        </w:rPr>
        <w:footnoteReference w:id="18963"/>
      </w:r>
      <w:r w:rsidR="000F20D0">
        <w:rPr>
          <w:u w:val="none"/>
        </w:rPr>
        <w:t xml:space="preserve">. </w:t>
      </w:r>
      <w:r w:rsidR="777686F0">
        <w:rPr>
          <w:u w:val="none"/>
        </w:rPr>
        <w:t xml:space="preserve">Larry Shiner </w:t>
      </w:r>
      <w:r w:rsidR="777686F0">
        <w:rPr>
          <w:u w:val="none"/>
        </w:rPr>
        <w:t>observes</w:t>
      </w:r>
      <w:r w:rsidR="777686F0">
        <w:rPr>
          <w:u w:val="none"/>
        </w:rPr>
        <w:t xml:space="preserve"> the possibility of a 'lived space'</w:t>
      </w:r>
      <w:r w:rsidR="56C8F989">
        <w:rPr>
          <w:u w:val="none"/>
        </w:rPr>
        <w:t xml:space="preserve">; </w:t>
      </w:r>
      <w:r w:rsidR="777686F0">
        <w:rPr>
          <w:u w:val="none"/>
        </w:rPr>
        <w:t>the possibility therefore of both the homogenous space of objectifying thought and the luminosity of sacred pl</w:t>
      </w:r>
      <w:r w:rsidR="2B5568B5">
        <w:rPr>
          <w:u w:val="none"/>
        </w:rPr>
        <w:t>aces'</w:t>
      </w:r>
      <w:r w:rsidRPr="5881B92A">
        <w:rPr>
          <w:rStyle w:val="FootnoteReference"/>
          <w:u w:val="none"/>
        </w:rPr>
        <w:footnoteReference w:id="13684"/>
      </w:r>
      <w:r w:rsidR="25673A28">
        <w:rPr>
          <w:u w:val="none"/>
        </w:rPr>
        <w:t>.</w:t>
      </w:r>
      <w:r w:rsidR="189A0D60">
        <w:rPr>
          <w:u w:val="none"/>
        </w:rPr>
        <w:t xml:space="preserve"> Eliade </w:t>
      </w:r>
      <w:r w:rsidR="3AF82335">
        <w:rPr>
          <w:u w:val="none"/>
        </w:rPr>
        <w:t xml:space="preserve">however, </w:t>
      </w:r>
      <w:r w:rsidR="189A0D60">
        <w:rPr>
          <w:u w:val="none"/>
        </w:rPr>
        <w:t xml:space="preserve">would insist that the space holds the sacredness and not the mind and thus, </w:t>
      </w:r>
      <w:r w:rsidR="053A7481">
        <w:rPr>
          <w:u w:val="none"/>
        </w:rPr>
        <w:t>regardless of the homologies 'that seem to force themselves on the mind spontaneously'</w:t>
      </w:r>
      <w:r w:rsidRPr="5881B92A">
        <w:rPr>
          <w:rStyle w:val="FootnoteReference"/>
          <w:u w:val="none"/>
        </w:rPr>
        <w:footnoteReference w:id="4230"/>
      </w:r>
      <w:r w:rsidR="3CF7FB8E">
        <w:rPr>
          <w:u w:val="none"/>
        </w:rPr>
        <w:t xml:space="preserve">, it is the sacred space that </w:t>
      </w:r>
      <w:r w:rsidR="3CF7FB8E">
        <w:rPr>
          <w:u w:val="none"/>
        </w:rPr>
        <w:t>possesses</w:t>
      </w:r>
      <w:r w:rsidR="3CF7FB8E">
        <w:rPr>
          <w:u w:val="none"/>
        </w:rPr>
        <w:t xml:space="preserve"> existential value</w:t>
      </w:r>
      <w:r w:rsidRPr="5881B92A">
        <w:rPr>
          <w:rStyle w:val="FootnoteReference"/>
          <w:u w:val="none"/>
        </w:rPr>
        <w:footnoteReference w:id="15936"/>
      </w:r>
      <w:r w:rsidR="10017381">
        <w:rPr>
          <w:u w:val="none"/>
        </w:rPr>
        <w:t>.</w:t>
      </w:r>
    </w:p>
    <w:p w:rsidR="2DF8CB4B" w:rsidP="5881B92A" w:rsidRDefault="2DF8CB4B" w14:paraId="3E924906" w14:textId="4C7BD09C">
      <w:pPr>
        <w:pStyle w:val="Normal"/>
        <w:jc w:val="both"/>
        <w:rPr>
          <w:rFonts w:ascii="Calibri" w:hAnsi="Calibri" w:eastAsia="Calibri" w:cs="Calibri"/>
          <w:noProof w:val="0"/>
          <w:sz w:val="22"/>
          <w:szCs w:val="22"/>
          <w:lang w:val="en-GB"/>
        </w:rPr>
      </w:pPr>
      <w:r w:rsidR="2DF8CB4B">
        <w:rPr>
          <w:u w:val="none"/>
        </w:rPr>
        <w:t>Per contra, Durkheim</w:t>
      </w:r>
      <w:r w:rsidR="39E35625">
        <w:rPr>
          <w:u w:val="none"/>
        </w:rPr>
        <w:t xml:space="preserve"> </w:t>
      </w:r>
      <w:r w:rsidR="39E35625">
        <w:rPr>
          <w:u w:val="none"/>
        </w:rPr>
        <w:t>maintains</w:t>
      </w:r>
      <w:r w:rsidR="39E35625">
        <w:rPr>
          <w:u w:val="none"/>
        </w:rPr>
        <w:t xml:space="preserve"> in his epistemological assertions, that sacredness exists only in the individual and moreover, collective minds</w:t>
      </w:r>
      <w:r w:rsidR="452B1CE5">
        <w:rPr>
          <w:u w:val="none"/>
        </w:rPr>
        <w:t>, 'when the representation expressing it in the mind is gifted with such a force that it automatically causes or inhibits actions'</w:t>
      </w:r>
      <w:r w:rsidRPr="5881B92A">
        <w:rPr>
          <w:rStyle w:val="FootnoteReference"/>
          <w:u w:val="none"/>
        </w:rPr>
        <w:footnoteReference w:id="3946"/>
      </w:r>
      <w:r w:rsidR="03D00217">
        <w:rPr>
          <w:u w:val="none"/>
        </w:rPr>
        <w:t xml:space="preserve">. </w:t>
      </w:r>
      <w:r w:rsidR="0D7C5DF6">
        <w:rPr>
          <w:u w:val="none"/>
        </w:rPr>
        <w:t>According to Karen Fields, the "collective consci</w:t>
      </w:r>
      <w:r w:rsidR="5203A769">
        <w:rPr>
          <w:u w:val="none"/>
        </w:rPr>
        <w:t xml:space="preserve">ousness" is the achievement of </w:t>
      </w:r>
      <w:r w:rsidR="369B625E">
        <w:rPr>
          <w:u w:val="none"/>
        </w:rPr>
        <w:t>mind, and</w:t>
      </w:r>
      <w:r w:rsidR="5203A769">
        <w:rPr>
          <w:u w:val="none"/>
        </w:rPr>
        <w:t xml:space="preserve"> </w:t>
      </w:r>
      <w:r w:rsidR="018E34CD">
        <w:rPr>
          <w:u w:val="none"/>
        </w:rPr>
        <w:t xml:space="preserve">considers, </w:t>
      </w:r>
      <w:r w:rsidR="2B73B5C0">
        <w:rPr>
          <w:u w:val="none"/>
        </w:rPr>
        <w:t xml:space="preserve">that for Durkheim, </w:t>
      </w:r>
      <w:r w:rsidR="5203A769">
        <w:rPr>
          <w:u w:val="none"/>
        </w:rPr>
        <w:t xml:space="preserve">the emphasis </w:t>
      </w:r>
      <w:r w:rsidR="56118041">
        <w:rPr>
          <w:u w:val="none"/>
        </w:rPr>
        <w:t xml:space="preserve">is on the collective mind and </w:t>
      </w:r>
      <w:r w:rsidR="4B842741">
        <w:rPr>
          <w:u w:val="none"/>
        </w:rPr>
        <w:t xml:space="preserve">collective </w:t>
      </w:r>
      <w:r w:rsidR="56118041">
        <w:rPr>
          <w:u w:val="none"/>
        </w:rPr>
        <w:t>consciousness uniting with the sacred</w:t>
      </w:r>
      <w:r w:rsidRPr="5881B92A">
        <w:rPr>
          <w:rStyle w:val="FootnoteReference"/>
          <w:u w:val="none"/>
        </w:rPr>
        <w:footnoteReference w:id="24884"/>
      </w:r>
      <w:r w:rsidR="36D6C4BF">
        <w:rPr>
          <w:u w:val="none"/>
        </w:rPr>
        <w:t>. T</w:t>
      </w:r>
      <w:r w:rsidR="03D00217">
        <w:rPr>
          <w:u w:val="none"/>
        </w:rPr>
        <w:t>he Sacred therefore, according to Durkheim, is represented as such in the mind</w:t>
      </w:r>
      <w:r w:rsidRPr="5881B92A">
        <w:rPr>
          <w:rStyle w:val="FootnoteReference"/>
          <w:u w:val="none"/>
        </w:rPr>
        <w:footnoteReference w:id="16549"/>
      </w:r>
      <w:r w:rsidR="21C5F45D">
        <w:rPr>
          <w:u w:val="none"/>
        </w:rPr>
        <w:t xml:space="preserve"> and according to Hartati and Rudyansjah, </w:t>
      </w:r>
      <w:r w:rsidR="7B3602B3">
        <w:rPr>
          <w:u w:val="none"/>
        </w:rPr>
        <w:t xml:space="preserve">the sacred </w:t>
      </w:r>
      <w:bookmarkStart w:name="_Int_u2GfDhdr" w:id="1441729636"/>
      <w:r w:rsidR="0E155EB2">
        <w:rPr>
          <w:u w:val="none"/>
        </w:rPr>
        <w:t>can</w:t>
      </w:r>
      <w:bookmarkEnd w:id="1441729636"/>
      <w:r w:rsidR="7B3602B3">
        <w:rPr>
          <w:u w:val="none"/>
        </w:rPr>
        <w:t xml:space="preserve"> 'unite the moral community' in </w:t>
      </w:r>
      <w:r w:rsidR="0A26F9DD">
        <w:rPr>
          <w:u w:val="none"/>
        </w:rPr>
        <w:t>Durkheimian</w:t>
      </w:r>
      <w:r w:rsidR="7B3602B3">
        <w:rPr>
          <w:u w:val="none"/>
        </w:rPr>
        <w:t xml:space="preserve"> thought and moreover </w:t>
      </w:r>
      <w:r w:rsidR="06226272">
        <w:rPr>
          <w:u w:val="none"/>
        </w:rPr>
        <w:t>appear 'as a cosmic reality' in El</w:t>
      </w:r>
      <w:r w:rsidR="06226272">
        <w:rPr>
          <w:u w:val="none"/>
        </w:rPr>
        <w:t>i</w:t>
      </w:r>
      <w:r w:rsidR="04C8C7BD">
        <w:rPr>
          <w:u w:val="none"/>
        </w:rPr>
        <w:t>a</w:t>
      </w:r>
      <w:r w:rsidR="06226272">
        <w:rPr>
          <w:u w:val="none"/>
        </w:rPr>
        <w:t>dean thought</w:t>
      </w:r>
      <w:r w:rsidRPr="5881B92A">
        <w:rPr>
          <w:rStyle w:val="FootnoteReference"/>
          <w:u w:val="none"/>
        </w:rPr>
        <w:footnoteReference w:id="19939"/>
      </w:r>
      <w:r w:rsidR="3A8FD24B">
        <w:rPr>
          <w:u w:val="none"/>
        </w:rPr>
        <w:t xml:space="preserve">. </w:t>
      </w:r>
    </w:p>
    <w:p w:rsidR="6A098A62" w:rsidP="5881B92A" w:rsidRDefault="6A098A62" w14:paraId="2FFFDDDE" w14:textId="17390419">
      <w:pPr>
        <w:pStyle w:val="Normal"/>
        <w:jc w:val="both"/>
        <w:rPr>
          <w:u w:val="none"/>
        </w:rPr>
      </w:pPr>
      <w:r w:rsidR="6A098A62">
        <w:rPr>
          <w:u w:val="none"/>
        </w:rPr>
        <w:t>This</w:t>
      </w:r>
      <w:r w:rsidR="3A8FD24B">
        <w:rPr>
          <w:u w:val="none"/>
        </w:rPr>
        <w:t xml:space="preserve"> is precisely what distinguishes Durkheim's </w:t>
      </w:r>
      <w:r w:rsidR="2CDDA90B">
        <w:rPr>
          <w:u w:val="none"/>
        </w:rPr>
        <w:t xml:space="preserve">understanding of a moral centre </w:t>
      </w:r>
      <w:r w:rsidR="2CDDA90B">
        <w:rPr>
          <w:u w:val="none"/>
        </w:rPr>
        <w:t>regarding</w:t>
      </w:r>
      <w:r w:rsidR="2CDDA90B">
        <w:rPr>
          <w:u w:val="none"/>
        </w:rPr>
        <w:t xml:space="preserve"> sacred place</w:t>
      </w:r>
      <w:r w:rsidRPr="5881B92A">
        <w:rPr>
          <w:rStyle w:val="FootnoteReference"/>
          <w:u w:val="none"/>
        </w:rPr>
        <w:footnoteReference w:id="3744"/>
      </w:r>
      <w:r w:rsidR="265FD243">
        <w:rPr>
          <w:u w:val="none"/>
        </w:rPr>
        <w:t xml:space="preserve"> with Eliade's notion of a </w:t>
      </w:r>
      <w:r w:rsidR="6BFD7D77">
        <w:rPr>
          <w:u w:val="none"/>
        </w:rPr>
        <w:t>centre point 'where s</w:t>
      </w:r>
      <w:r w:rsidR="4B4FF010">
        <w:rPr>
          <w:u w:val="none"/>
        </w:rPr>
        <w:t>pace becomes sacred'</w:t>
      </w:r>
      <w:r w:rsidRPr="5881B92A">
        <w:rPr>
          <w:rStyle w:val="FootnoteReference"/>
          <w:u w:val="none"/>
        </w:rPr>
        <w:footnoteReference w:id="26297"/>
      </w:r>
      <w:r w:rsidR="1509FDD1">
        <w:rPr>
          <w:u w:val="none"/>
        </w:rPr>
        <w:t xml:space="preserve">. The </w:t>
      </w:r>
      <w:r w:rsidR="2F203C90">
        <w:rPr>
          <w:u w:val="none"/>
        </w:rPr>
        <w:t xml:space="preserve">Achilpa's </w:t>
      </w:r>
      <w:r w:rsidR="37B0408D">
        <w:rPr>
          <w:u w:val="none"/>
        </w:rPr>
        <w:t>pole</w:t>
      </w:r>
      <w:r w:rsidR="1808F1BD">
        <w:rPr>
          <w:u w:val="none"/>
        </w:rPr>
        <w:t>,</w:t>
      </w:r>
      <w:r w:rsidR="5C9E744A">
        <w:rPr>
          <w:u w:val="none"/>
        </w:rPr>
        <w:t xml:space="preserve"> as Eliade observes, </w:t>
      </w:r>
      <w:r w:rsidR="26C9022D">
        <w:rPr>
          <w:u w:val="none"/>
        </w:rPr>
        <w:t xml:space="preserve">is </w:t>
      </w:r>
      <w:r w:rsidR="4D1B11E5">
        <w:rPr>
          <w:u w:val="none"/>
        </w:rPr>
        <w:t>a symbol of</w:t>
      </w:r>
      <w:r w:rsidR="0D4FD63E">
        <w:rPr>
          <w:u w:val="none"/>
        </w:rPr>
        <w:t xml:space="preserve"> a cosmic union of mind, </w:t>
      </w:r>
      <w:r w:rsidR="3F5CE478">
        <w:rPr>
          <w:u w:val="none"/>
        </w:rPr>
        <w:t>body,</w:t>
      </w:r>
      <w:r w:rsidR="37B0408D">
        <w:rPr>
          <w:u w:val="none"/>
        </w:rPr>
        <w:t xml:space="preserve"> </w:t>
      </w:r>
      <w:r w:rsidR="26F0C1E2">
        <w:rPr>
          <w:u w:val="none"/>
        </w:rPr>
        <w:t>and land</w:t>
      </w:r>
      <w:r w:rsidR="2C00AC39">
        <w:rPr>
          <w:u w:val="none"/>
        </w:rPr>
        <w:t xml:space="preserve">, </w:t>
      </w:r>
      <w:r w:rsidRPr="5881B92A" w:rsidR="2C00AC39">
        <w:rPr>
          <w:rFonts w:ascii="Calibri" w:hAnsi="Calibri" w:eastAsia="Calibri" w:cs="Calibri"/>
          <w:noProof w:val="0"/>
          <w:sz w:val="22"/>
          <w:szCs w:val="22"/>
          <w:lang w:val="en-GB"/>
        </w:rPr>
        <w:t>the axis mundi connecting a</w:t>
      </w:r>
      <w:r w:rsidRPr="5881B92A" w:rsidR="7881C010">
        <w:rPr>
          <w:rFonts w:ascii="Calibri" w:hAnsi="Calibri" w:eastAsia="Calibri" w:cs="Calibri"/>
          <w:noProof w:val="0"/>
          <w:sz w:val="22"/>
          <w:szCs w:val="22"/>
          <w:lang w:val="en-GB"/>
        </w:rPr>
        <w:t xml:space="preserve"> </w:t>
      </w:r>
      <w:r w:rsidRPr="5881B92A" w:rsidR="2C00AC39">
        <w:rPr>
          <w:rFonts w:ascii="Calibri" w:hAnsi="Calibri" w:eastAsia="Calibri" w:cs="Calibri"/>
          <w:noProof w:val="0"/>
          <w:sz w:val="22"/>
          <w:szCs w:val="22"/>
          <w:lang w:val="en-GB"/>
        </w:rPr>
        <w:t>place to the sacred and</w:t>
      </w:r>
      <w:r w:rsidR="26ED994C">
        <w:rPr>
          <w:u w:val="none"/>
        </w:rPr>
        <w:t xml:space="preserve"> as</w:t>
      </w:r>
      <w:r w:rsidR="78ECC239">
        <w:rPr>
          <w:u w:val="none"/>
        </w:rPr>
        <w:t xml:space="preserve"> Zali and Aran </w:t>
      </w:r>
      <w:r w:rsidR="29D35DD6">
        <w:rPr>
          <w:u w:val="none"/>
        </w:rPr>
        <w:t>point out</w:t>
      </w:r>
      <w:r w:rsidR="01D37F34">
        <w:rPr>
          <w:u w:val="none"/>
        </w:rPr>
        <w:t>,</w:t>
      </w:r>
      <w:r w:rsidR="75287837">
        <w:rPr>
          <w:u w:val="none"/>
        </w:rPr>
        <w:t xml:space="preserve"> an instrument in wh</w:t>
      </w:r>
      <w:r w:rsidR="255C90CE">
        <w:rPr>
          <w:u w:val="none"/>
        </w:rPr>
        <w:t>ich, 'the sacred places the place in its plac</w:t>
      </w:r>
      <w:r w:rsidR="099ADEEB">
        <w:rPr>
          <w:u w:val="none"/>
        </w:rPr>
        <w:t>e' from an innate cosmology that man carries within himself</w:t>
      </w:r>
      <w:r w:rsidRPr="5881B92A">
        <w:rPr>
          <w:rStyle w:val="FootnoteReference"/>
          <w:rFonts w:ascii="Calibri" w:hAnsi="Calibri" w:eastAsia="Calibri" w:cs="Calibri"/>
          <w:noProof w:val="0"/>
          <w:sz w:val="22"/>
          <w:szCs w:val="22"/>
          <w:lang w:val="en-GB"/>
        </w:rPr>
        <w:footnoteReference w:id="12469"/>
      </w:r>
      <w:r w:rsidR="7FCB7EE8">
        <w:rPr>
          <w:u w:val="none"/>
        </w:rPr>
        <w:t>.</w:t>
      </w:r>
      <w:r w:rsidR="2D1DD185">
        <w:rPr>
          <w:u w:val="none"/>
        </w:rPr>
        <w:t xml:space="preserve"> Eliade is however reconciled with Durkheim in asserting that space is not an endless void but is subject to change yet for Eliade, it is a sacred event, a hierophany, that disturbs the homogeneity of space</w:t>
      </w:r>
      <w:r w:rsidRPr="5881B92A">
        <w:rPr>
          <w:rStyle w:val="FootnoteReference"/>
          <w:u w:val="none"/>
        </w:rPr>
        <w:footnoteReference w:id="24815"/>
      </w:r>
      <w:r w:rsidR="729F4622">
        <w:rPr>
          <w:u w:val="none"/>
        </w:rPr>
        <w:t>,</w:t>
      </w:r>
      <w:r w:rsidR="2D1DD185">
        <w:rPr>
          <w:u w:val="none"/>
        </w:rPr>
        <w:t xml:space="preserve"> whilst for Durkheim, it is social facts that exist beyond the temporal quality of homogenous space. </w:t>
      </w:r>
      <w:r w:rsidRPr="5881B92A">
        <w:rPr>
          <w:rStyle w:val="FootnoteReference"/>
          <w:u w:val="none"/>
        </w:rPr>
        <w:footnoteReference w:id="6397"/>
      </w:r>
    </w:p>
    <w:p w:rsidR="17B80ADE" w:rsidP="5881B92A" w:rsidRDefault="17B80ADE" w14:paraId="24F3990B" w14:textId="443A6E5F">
      <w:pPr>
        <w:pStyle w:val="Normal"/>
        <w:jc w:val="both"/>
        <w:rPr>
          <w:u w:val="none"/>
        </w:rPr>
      </w:pPr>
      <w:r w:rsidR="17B80ADE">
        <w:rPr>
          <w:u w:val="none"/>
        </w:rPr>
        <w:t xml:space="preserve">Using the example of the sacred space within a cave, Eliade </w:t>
      </w:r>
      <w:r w:rsidR="6659F77C">
        <w:rPr>
          <w:u w:val="none"/>
        </w:rPr>
        <w:t>c</w:t>
      </w:r>
      <w:r w:rsidR="17B80ADE">
        <w:rPr>
          <w:u w:val="none"/>
        </w:rPr>
        <w:t xml:space="preserve">onsiders the threshold as 'the </w:t>
      </w:r>
      <w:r w:rsidR="7D7113DA">
        <w:rPr>
          <w:u w:val="none"/>
        </w:rPr>
        <w:t>paradoxical place where those worlds communicate, where passage from the profane to the sacred world becomes possible'</w:t>
      </w:r>
      <w:r w:rsidRPr="5881B92A">
        <w:rPr>
          <w:rStyle w:val="FootnoteReference"/>
          <w:u w:val="none"/>
        </w:rPr>
        <w:footnoteReference w:id="6832"/>
      </w:r>
      <w:r w:rsidR="3D6692DB">
        <w:rPr>
          <w:u w:val="none"/>
        </w:rPr>
        <w:t xml:space="preserve">. Likewise, Durkheim notes the threshold that </w:t>
      </w:r>
      <w:r w:rsidR="3D6692DB">
        <w:rPr>
          <w:u w:val="none"/>
        </w:rPr>
        <w:t>maintains</w:t>
      </w:r>
      <w:r w:rsidR="3D6692DB">
        <w:rPr>
          <w:u w:val="none"/>
        </w:rPr>
        <w:t xml:space="preserve"> the external profane and internal 'domain of sacred things'</w:t>
      </w:r>
      <w:r w:rsidRPr="5881B92A">
        <w:rPr>
          <w:rStyle w:val="FootnoteReference"/>
          <w:u w:val="none"/>
        </w:rPr>
        <w:footnoteReference w:id="180"/>
      </w:r>
      <w:r w:rsidR="04514F47">
        <w:rPr>
          <w:u w:val="none"/>
        </w:rPr>
        <w:t xml:space="preserve">. </w:t>
      </w:r>
      <w:r w:rsidR="30ECCB15">
        <w:rPr>
          <w:u w:val="none"/>
        </w:rPr>
        <w:t xml:space="preserve">Evidential </w:t>
      </w:r>
      <w:r w:rsidR="7F944DC3">
        <w:rPr>
          <w:u w:val="none"/>
        </w:rPr>
        <w:t>data concerning a sacred cave that allows a space for votive offerings</w:t>
      </w:r>
      <w:r w:rsidR="4755FEF6">
        <w:rPr>
          <w:u w:val="none"/>
        </w:rPr>
        <w:t xml:space="preserve">, religious </w:t>
      </w:r>
      <w:r w:rsidR="4755FEF6">
        <w:rPr>
          <w:u w:val="none"/>
        </w:rPr>
        <w:t>treasures,</w:t>
      </w:r>
      <w:r w:rsidR="4755FEF6">
        <w:rPr>
          <w:u w:val="none"/>
        </w:rPr>
        <w:t xml:space="preserve"> and a space in which the souls of the dead </w:t>
      </w:r>
      <w:r w:rsidR="4755FEF6">
        <w:rPr>
          <w:u w:val="none"/>
        </w:rPr>
        <w:t>reside</w:t>
      </w:r>
      <w:r w:rsidRPr="5881B92A">
        <w:rPr>
          <w:rStyle w:val="FootnoteReference"/>
          <w:u w:val="none"/>
        </w:rPr>
        <w:footnoteReference w:id="25388"/>
      </w:r>
      <w:r w:rsidR="22F810C8">
        <w:rPr>
          <w:u w:val="none"/>
        </w:rPr>
        <w:t xml:space="preserve"> is expounded by Durkheim and in response, Alexander Riley </w:t>
      </w:r>
      <w:r w:rsidR="22F810C8">
        <w:rPr>
          <w:u w:val="none"/>
        </w:rPr>
        <w:t>observes</w:t>
      </w:r>
      <w:r w:rsidR="22F810C8">
        <w:rPr>
          <w:u w:val="none"/>
        </w:rPr>
        <w:t xml:space="preserve"> that it is the totemic representation</w:t>
      </w:r>
      <w:r w:rsidR="4374F41B">
        <w:rPr>
          <w:u w:val="none"/>
        </w:rPr>
        <w:t xml:space="preserve">al myths</w:t>
      </w:r>
      <w:r w:rsidR="22F810C8">
        <w:rPr>
          <w:u w:val="none"/>
        </w:rPr>
        <w:t xml:space="preserve"> store</w:t>
      </w:r>
      <w:r w:rsidR="64532B96">
        <w:rPr>
          <w:u w:val="none"/>
        </w:rPr>
        <w:t>d within the sacred space of a cave that</w:t>
      </w:r>
      <w:r w:rsidR="5BC19A73">
        <w:rPr>
          <w:u w:val="none"/>
        </w:rPr>
        <w:t xml:space="preserve"> </w:t>
      </w:r>
      <w:r w:rsidR="64532B96">
        <w:rPr>
          <w:u w:val="none"/>
        </w:rPr>
        <w:t>allows for the cave's distin</w:t>
      </w:r>
      <w:r w:rsidR="0500B8FE">
        <w:rPr>
          <w:u w:val="none"/>
        </w:rPr>
        <w:t>ction from the profane and the</w:t>
      </w:r>
      <w:r w:rsidR="67096133">
        <w:rPr>
          <w:u w:val="none"/>
        </w:rPr>
        <w:t>refore the awareness of and moreover access to</w:t>
      </w:r>
      <w:r w:rsidR="50A9A5CE">
        <w:rPr>
          <w:u w:val="none"/>
        </w:rPr>
        <w:t xml:space="preserve"> the cave</w:t>
      </w:r>
      <w:r w:rsidR="67096133">
        <w:rPr>
          <w:u w:val="none"/>
        </w:rPr>
        <w:t>, would be prohibited to those considered profane</w:t>
      </w:r>
      <w:r w:rsidRPr="5881B92A">
        <w:rPr>
          <w:rStyle w:val="FootnoteReference"/>
          <w:u w:val="none"/>
        </w:rPr>
        <w:footnoteReference w:id="10939"/>
      </w:r>
      <w:r w:rsidR="5A58A69F">
        <w:rPr>
          <w:u w:val="none"/>
        </w:rPr>
        <w:t xml:space="preserve">. Riley </w:t>
      </w:r>
      <w:r w:rsidR="50C6F103">
        <w:rPr>
          <w:u w:val="none"/>
        </w:rPr>
        <w:t>further considers</w:t>
      </w:r>
      <w:r w:rsidR="7CBC452A">
        <w:rPr>
          <w:u w:val="none"/>
        </w:rPr>
        <w:t xml:space="preserve">, </w:t>
      </w:r>
      <w:r w:rsidR="5A58A69F">
        <w:rPr>
          <w:u w:val="none"/>
        </w:rPr>
        <w:t xml:space="preserve">that for Durkheim, the social group is </w:t>
      </w:r>
      <w:r w:rsidR="5A58A69F">
        <w:rPr>
          <w:u w:val="none"/>
        </w:rPr>
        <w:t>sym</w:t>
      </w:r>
      <w:r w:rsidR="112F5B11">
        <w:rPr>
          <w:u w:val="none"/>
        </w:rPr>
        <w:t>bolised within the totems found within the cave as well as moderated access to the sacred space</w:t>
      </w:r>
      <w:r w:rsidRPr="5881B92A">
        <w:rPr>
          <w:rStyle w:val="FootnoteReference"/>
          <w:u w:val="none"/>
        </w:rPr>
        <w:footnoteReference w:id="15937"/>
      </w:r>
      <w:r w:rsidR="3E175FF9">
        <w:rPr>
          <w:u w:val="none"/>
        </w:rPr>
        <w:t>.</w:t>
      </w:r>
    </w:p>
    <w:p w:rsidR="3E175FF9" w:rsidP="5881B92A" w:rsidRDefault="3E175FF9" w14:paraId="103CA78D" w14:textId="6616193A">
      <w:pPr>
        <w:pStyle w:val="Normal"/>
        <w:jc w:val="both"/>
        <w:rPr>
          <w:u w:val="none"/>
        </w:rPr>
      </w:pPr>
      <w:r w:rsidR="3E175FF9">
        <w:rPr>
          <w:u w:val="none"/>
        </w:rPr>
        <w:t xml:space="preserve">Eliade does not reject the </w:t>
      </w:r>
      <w:r w:rsidR="7F727AC7">
        <w:rPr>
          <w:u w:val="none"/>
        </w:rPr>
        <w:t>representative</w:t>
      </w:r>
      <w:r w:rsidR="3E175FF9">
        <w:rPr>
          <w:u w:val="none"/>
        </w:rPr>
        <w:t xml:space="preserve"> myths found within the cave, </w:t>
      </w:r>
      <w:r w:rsidR="0723D72D">
        <w:rPr>
          <w:u w:val="none"/>
        </w:rPr>
        <w:t>as Bernadette Brady points out, 'Eliade claimed that humanity developed these myths as a dialogue with these forces'</w:t>
      </w:r>
      <w:r w:rsidRPr="5881B92A">
        <w:rPr>
          <w:rStyle w:val="FootnoteReference"/>
          <w:u w:val="none"/>
        </w:rPr>
        <w:footnoteReference w:id="458"/>
      </w:r>
      <w:r w:rsidR="1CF3D98A">
        <w:rPr>
          <w:u w:val="none"/>
        </w:rPr>
        <w:t>, yet 'caves are secret retreats (and) represe</w:t>
      </w:r>
      <w:r w:rsidR="76E0E9A4">
        <w:rPr>
          <w:u w:val="none"/>
        </w:rPr>
        <w:t>nt a pa</w:t>
      </w:r>
      <w:r w:rsidR="15E151E1">
        <w:rPr>
          <w:u w:val="none"/>
        </w:rPr>
        <w:t>radisal world and hence are difficult to enter'</w:t>
      </w:r>
      <w:r w:rsidRPr="5881B92A">
        <w:rPr>
          <w:rStyle w:val="FootnoteReference"/>
          <w:u w:val="none"/>
        </w:rPr>
        <w:footnoteReference w:id="20438"/>
      </w:r>
      <w:r w:rsidR="686697B1">
        <w:rPr>
          <w:u w:val="none"/>
        </w:rPr>
        <w:t>. The numinous quality of the sacred space presented within a cave</w:t>
      </w:r>
      <w:r w:rsidR="50D5D64B">
        <w:rPr>
          <w:u w:val="none"/>
        </w:rPr>
        <w:t xml:space="preserve"> is elucidated by Eliade not only through </w:t>
      </w:r>
      <w:r w:rsidR="32DE7E81">
        <w:rPr>
          <w:u w:val="none"/>
        </w:rPr>
        <w:t>a</w:t>
      </w:r>
      <w:r w:rsidR="50D5D64B">
        <w:rPr>
          <w:u w:val="none"/>
        </w:rPr>
        <w:t xml:space="preserve"> distinction from t</w:t>
      </w:r>
      <w:r w:rsidR="1230F11A">
        <w:rPr>
          <w:u w:val="none"/>
        </w:rPr>
        <w:t>he profane in agreement with Durkheim, but furthermore</w:t>
      </w:r>
      <w:r w:rsidR="2130215D">
        <w:rPr>
          <w:u w:val="none"/>
        </w:rPr>
        <w:t>, as</w:t>
      </w:r>
      <w:r w:rsidR="1230F11A">
        <w:rPr>
          <w:u w:val="none"/>
        </w:rPr>
        <w:t xml:space="preserve"> the </w:t>
      </w:r>
      <w:r w:rsidR="5FD5068E">
        <w:rPr>
          <w:u w:val="none"/>
        </w:rPr>
        <w:t>recognition</w:t>
      </w:r>
      <w:r w:rsidR="1230F11A">
        <w:rPr>
          <w:u w:val="none"/>
        </w:rPr>
        <w:t xml:space="preserve"> of a 'strong, significant space' that implies th</w:t>
      </w:r>
      <w:r w:rsidR="4D257584">
        <w:rPr>
          <w:u w:val="none"/>
        </w:rPr>
        <w:t>e manifestation of</w:t>
      </w:r>
      <w:r w:rsidR="1230F11A">
        <w:rPr>
          <w:u w:val="none"/>
        </w:rPr>
        <w:t xml:space="preserve"> a hierophany</w:t>
      </w:r>
      <w:r w:rsidRPr="5881B92A">
        <w:rPr>
          <w:rStyle w:val="FootnoteReference"/>
          <w:u w:val="none"/>
        </w:rPr>
        <w:footnoteReference w:id="13308"/>
      </w:r>
      <w:r w:rsidR="5CA8D7E9">
        <w:rPr>
          <w:u w:val="none"/>
        </w:rPr>
        <w:t>.</w:t>
      </w:r>
    </w:p>
    <w:p w:rsidR="52B98567" w:rsidP="5881B92A" w:rsidRDefault="52B98567" w14:paraId="50B332C4" w14:textId="1C13D693">
      <w:pPr>
        <w:pStyle w:val="Normal"/>
        <w:jc w:val="both"/>
        <w:rPr>
          <w:u w:val="none"/>
        </w:rPr>
      </w:pPr>
      <w:r w:rsidR="52B98567">
        <w:rPr>
          <w:u w:val="none"/>
        </w:rPr>
        <w:t xml:space="preserve">Regarding the dichotomous distinction of homogeneous space presenting as </w:t>
      </w:r>
      <w:r w:rsidR="79497710">
        <w:rPr>
          <w:u w:val="none"/>
        </w:rPr>
        <w:t xml:space="preserve">either </w:t>
      </w:r>
      <w:r w:rsidRPr="5881B92A" w:rsidR="765CE5F7">
        <w:rPr>
          <w:rFonts w:ascii="Calibri" w:hAnsi="Calibri" w:eastAsia="Calibri" w:cs="Calibri"/>
          <w:noProof w:val="0"/>
          <w:sz w:val="22"/>
          <w:szCs w:val="22"/>
          <w:lang w:val="en-GB"/>
        </w:rPr>
        <w:t>hierophanic or</w:t>
      </w:r>
      <w:r w:rsidR="79497710">
        <w:rPr>
          <w:u w:val="none"/>
        </w:rPr>
        <w:t xml:space="preserve"> heterogeneous in </w:t>
      </w:r>
      <w:r w:rsidR="44F97FAC">
        <w:rPr>
          <w:u w:val="none"/>
        </w:rPr>
        <w:t>manifestation</w:t>
      </w:r>
      <w:r w:rsidR="79497710">
        <w:rPr>
          <w:u w:val="none"/>
        </w:rPr>
        <w:t xml:space="preserve">, </w:t>
      </w:r>
      <w:r w:rsidR="08D4B602">
        <w:rPr>
          <w:u w:val="none"/>
        </w:rPr>
        <w:t>Lindsay Jones affirms Eliade's position on places such as caves being, 'more powerful and intr</w:t>
      </w:r>
      <w:r w:rsidR="50966734">
        <w:rPr>
          <w:u w:val="none"/>
        </w:rPr>
        <w:t xml:space="preserve">insically more sacred </w:t>
      </w:r>
      <w:r w:rsidR="772658DD">
        <w:rPr>
          <w:u w:val="none"/>
        </w:rPr>
        <w:t>than</w:t>
      </w:r>
      <w:r w:rsidR="50966734">
        <w:rPr>
          <w:u w:val="none"/>
        </w:rPr>
        <w:t xml:space="preserve"> other places...checkered with hierophanies or "hotspots" if you will, where the sacred has made itself more </w:t>
      </w:r>
      <w:r w:rsidR="72F8F652">
        <w:rPr>
          <w:u w:val="none"/>
        </w:rPr>
        <w:t>available</w:t>
      </w:r>
      <w:r w:rsidR="50966734">
        <w:rPr>
          <w:u w:val="none"/>
        </w:rPr>
        <w:t>'</w:t>
      </w:r>
      <w:r w:rsidRPr="5881B92A">
        <w:rPr>
          <w:rStyle w:val="FootnoteReference"/>
          <w:u w:val="none"/>
        </w:rPr>
        <w:footnoteReference w:id="11985"/>
      </w:r>
      <w:r w:rsidR="5602D26E">
        <w:rPr>
          <w:u w:val="none"/>
        </w:rPr>
        <w:t>.</w:t>
      </w:r>
      <w:r w:rsidR="466BFDC9">
        <w:rPr>
          <w:u w:val="none"/>
        </w:rPr>
        <w:t xml:space="preserve"> </w:t>
      </w:r>
      <w:r w:rsidR="5602D26E">
        <w:rPr>
          <w:u w:val="none"/>
        </w:rPr>
        <w:t xml:space="preserve">If Eliade required the </w:t>
      </w:r>
      <w:r w:rsidR="10F756D9">
        <w:rPr>
          <w:u w:val="none"/>
        </w:rPr>
        <w:t>numinous</w:t>
      </w:r>
      <w:r w:rsidR="5602D26E">
        <w:rPr>
          <w:u w:val="none"/>
        </w:rPr>
        <w:t xml:space="preserve"> </w:t>
      </w:r>
      <w:r w:rsidR="466536AA">
        <w:rPr>
          <w:u w:val="none"/>
        </w:rPr>
        <w:t>experience</w:t>
      </w:r>
      <w:r w:rsidR="5602D26E">
        <w:rPr>
          <w:u w:val="none"/>
        </w:rPr>
        <w:t xml:space="preserve"> of </w:t>
      </w:r>
      <w:r w:rsidR="6A67652F">
        <w:rPr>
          <w:u w:val="none"/>
        </w:rPr>
        <w:t xml:space="preserve">hierophonic space to reveal itself, Robert Meagher asserts that the sacred is a projection and moreover a relative experience excluded from the </w:t>
      </w:r>
      <w:r w:rsidR="6FE999C3">
        <w:rPr>
          <w:u w:val="none"/>
        </w:rPr>
        <w:t>analysis of behaviour and science</w:t>
      </w:r>
      <w:r w:rsidRPr="5881B92A">
        <w:rPr>
          <w:rStyle w:val="FootnoteReference"/>
          <w:u w:val="none"/>
        </w:rPr>
        <w:footnoteReference w:id="13830"/>
      </w:r>
      <w:r w:rsidR="61AD1FF6">
        <w:rPr>
          <w:u w:val="none"/>
        </w:rPr>
        <w:t xml:space="preserve"> and there comes </w:t>
      </w:r>
      <w:r w:rsidR="6AC9EBF7">
        <w:rPr>
          <w:u w:val="none"/>
        </w:rPr>
        <w:t xml:space="preserve">the </w:t>
      </w:r>
      <w:r w:rsidR="61AD1FF6">
        <w:rPr>
          <w:u w:val="none"/>
        </w:rPr>
        <w:t xml:space="preserve">necessity </w:t>
      </w:r>
      <w:r w:rsidR="152E2DF4">
        <w:rPr>
          <w:u w:val="none"/>
        </w:rPr>
        <w:t xml:space="preserve">therefore </w:t>
      </w:r>
      <w:r w:rsidR="61AD1FF6">
        <w:rPr>
          <w:u w:val="none"/>
        </w:rPr>
        <w:t xml:space="preserve">to </w:t>
      </w:r>
      <w:r w:rsidR="4439FA4E">
        <w:rPr>
          <w:u w:val="none"/>
        </w:rPr>
        <w:t>consecrate</w:t>
      </w:r>
      <w:r w:rsidR="61AD1FF6">
        <w:rPr>
          <w:u w:val="none"/>
        </w:rPr>
        <w:t xml:space="preserve"> a space as a shift from the profan</w:t>
      </w:r>
      <w:r w:rsidR="2D175431">
        <w:rPr>
          <w:u w:val="none"/>
        </w:rPr>
        <w:t>e</w:t>
      </w:r>
      <w:r w:rsidRPr="5881B92A">
        <w:rPr>
          <w:rStyle w:val="FootnoteReference"/>
          <w:u w:val="none"/>
        </w:rPr>
        <w:footnoteReference w:id="17483"/>
      </w:r>
      <w:r w:rsidR="4578095F">
        <w:rPr>
          <w:u w:val="none"/>
        </w:rPr>
        <w:t>.</w:t>
      </w:r>
      <w:r w:rsidR="0B77795F">
        <w:rPr>
          <w:u w:val="none"/>
        </w:rPr>
        <w:t xml:space="preserve"> </w:t>
      </w:r>
    </w:p>
    <w:p w:rsidR="0B77795F" w:rsidP="2D88EA34" w:rsidRDefault="0B77795F" w14:paraId="7AA05C9D" w14:textId="3CBF38DD">
      <w:pPr>
        <w:pStyle w:val="Normal"/>
        <w:jc w:val="both"/>
        <w:rPr>
          <w:noProof w:val="0"/>
          <w:u w:val="none"/>
          <w:lang w:val="en-GB"/>
        </w:rPr>
      </w:pPr>
      <w:r w:rsidR="0B77795F">
        <w:rPr>
          <w:u w:val="none"/>
        </w:rPr>
        <w:t xml:space="preserve">Nonetheless, the ontological recognition of a social reality derived from the collective worship </w:t>
      </w:r>
      <w:r w:rsidR="0BAE59F1">
        <w:rPr>
          <w:u w:val="none"/>
        </w:rPr>
        <w:t xml:space="preserve">within a</w:t>
      </w:r>
      <w:r w:rsidR="0B77795F">
        <w:rPr>
          <w:u w:val="none"/>
        </w:rPr>
        <w:t xml:space="preserve"> sacred space such as a </w:t>
      </w:r>
      <w:r w:rsidR="679DBD52">
        <w:rPr>
          <w:u w:val="none"/>
        </w:rPr>
        <w:t xml:space="preserve">cave</w:t>
      </w:r>
      <w:r w:rsidR="679DBD52">
        <w:rPr>
          <w:u w:val="none"/>
        </w:rPr>
        <w:t xml:space="preserve"> </w:t>
      </w:r>
      <w:r w:rsidR="679DBD52">
        <w:rPr>
          <w:u w:val="none"/>
        </w:rPr>
        <w:t>provide</w:t>
      </w:r>
      <w:r w:rsidR="679DBD52">
        <w:rPr>
          <w:u w:val="none"/>
        </w:rPr>
        <w:t>s</w:t>
      </w:r>
      <w:r w:rsidR="0B77795F">
        <w:rPr>
          <w:u w:val="none"/>
        </w:rPr>
        <w:t xml:space="preserve"> the means of sharing i</w:t>
      </w:r>
      <w:r w:rsidR="1393117A">
        <w:rPr>
          <w:u w:val="none"/>
        </w:rPr>
        <w:t xml:space="preserve">ntention and condoning or rewarding</w:t>
      </w:r>
      <w:r w:rsidR="1393117A">
        <w:rPr>
          <w:u w:val="none"/>
        </w:rPr>
        <w:t xml:space="preserve"> </w:t>
      </w:r>
      <w:r w:rsidR="1393117A">
        <w:rPr>
          <w:u w:val="none"/>
        </w:rPr>
        <w:t>subsequen</w:t>
      </w:r>
      <w:r w:rsidR="1393117A">
        <w:rPr>
          <w:u w:val="none"/>
        </w:rPr>
        <w:t>t</w:t>
      </w:r>
      <w:r w:rsidR="1393117A">
        <w:rPr>
          <w:u w:val="none"/>
        </w:rPr>
        <w:t xml:space="preserve"> </w:t>
      </w:r>
      <w:r w:rsidR="6088EF5B">
        <w:rPr>
          <w:u w:val="none"/>
        </w:rPr>
        <w:t xml:space="preserve">behaviours as </w:t>
      </w:r>
      <w:r w:rsidR="22A9AE0B">
        <w:rPr>
          <w:u w:val="none"/>
        </w:rPr>
        <w:t>posited</w:t>
      </w:r>
      <w:r w:rsidR="6088EF5B">
        <w:rPr>
          <w:u w:val="none"/>
        </w:rPr>
        <w:t xml:space="preserve"> by John Keely</w:t>
      </w:r>
      <w:r w:rsidR="0B61B22C">
        <w:rPr>
          <w:u w:val="none"/>
        </w:rPr>
        <w:t xml:space="preserve"> who presents Durkheim's argument against man's innate disposition to be compelled and moreover, </w:t>
      </w:r>
      <w:r w:rsidR="5FAFDDA9">
        <w:rPr>
          <w:u w:val="none"/>
        </w:rPr>
        <w:t>blinded</w:t>
      </w:r>
      <w:r w:rsidR="0B61B22C">
        <w:rPr>
          <w:u w:val="none"/>
        </w:rPr>
        <w:t xml:space="preserve"> by the sacred</w:t>
      </w:r>
      <w:r w:rsidRPr="5881B92A">
        <w:rPr>
          <w:rStyle w:val="FootnoteReference"/>
          <w:u w:val="none"/>
        </w:rPr>
        <w:footnoteReference w:id="12376"/>
      </w:r>
      <w:r w:rsidR="32435C94">
        <w:rPr>
          <w:u w:val="none"/>
        </w:rPr>
        <w:t>.</w:t>
      </w:r>
      <w:r w:rsidR="3AD63DCF">
        <w:rPr>
          <w:u w:val="none"/>
        </w:rPr>
        <w:t xml:space="preserve"> </w:t>
      </w:r>
      <w:r w:rsidR="4CF78DCE">
        <w:rPr>
          <w:u w:val="none"/>
        </w:rPr>
        <w:t>Additionally, Arnold Jafe postulates that Eliade's ontology</w:t>
      </w:r>
      <w:r w:rsidR="4CF78DCE">
        <w:rPr>
          <w:u w:val="none"/>
        </w:rPr>
        <w:t xml:space="preserve"> regardin</w:t>
      </w:r>
      <w:r w:rsidR="4CF78DCE">
        <w:rPr>
          <w:u w:val="none"/>
        </w:rPr>
        <w:t>g sacred space lacks the historical texts,</w:t>
      </w:r>
      <w:r w:rsidRPr="2C79EC50" w:rsidR="4CF78DCE">
        <w:rPr>
          <w:rFonts w:ascii="Calibri" w:hAnsi="Calibri" w:eastAsia="Calibri" w:cs="Calibri" w:asciiTheme="minorAscii" w:hAnsiTheme="minorAscii" w:eastAsiaTheme="minorAscii" w:cstheme="minorAscii"/>
          <w:u w:val="none"/>
        </w:rPr>
        <w:t xml:space="preserve"> events, </w:t>
      </w:r>
      <w:r w:rsidRPr="2D88EA34" w:rsidR="4CF78D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epistemes, and processes</w:t>
      </w:r>
      <w:r w:rsidRPr="2C79EC50">
        <w:rPr>
          <w:rStyle w:val="FootnoteReference"/>
          <w:rFonts w:ascii="Calibri" w:hAnsi="Calibri" w:eastAsia="Calibri" w:cs="Calibri"/>
          <w:noProof w:val="0"/>
          <w:sz w:val="22"/>
          <w:szCs w:val="22"/>
          <w:lang w:val="en-GB"/>
        </w:rPr>
        <w:footnoteReference w:id="32395"/>
      </w:r>
      <w:r w:rsidRPr="2D88EA34" w:rsidR="4CF78D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Durkheim</w:t>
      </w:r>
      <w:r w:rsidRPr="2D88EA34" w:rsidR="4CF78D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possesse</w:t>
      </w:r>
      <w:r w:rsidRPr="2D88EA34" w:rsidR="4CF78D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in his sociological theorems.</w:t>
      </w:r>
      <w:r w:rsidR="4CF78DCE">
        <w:rPr>
          <w:u w:val="none"/>
        </w:rPr>
        <w:t xml:space="preserve"> </w:t>
      </w:r>
      <w:r w:rsidR="5FF88D06">
        <w:rPr>
          <w:u w:val="none"/>
        </w:rPr>
        <w:t>In response to this antithetical understanding of the sacred, Stirrat makes the distinction that Durkheim's notion of the sacred is concerned with space and time</w:t>
      </w:r>
      <w:r w:rsidR="5FF88D06">
        <w:rPr>
          <w:u w:val="none"/>
        </w:rPr>
        <w:t xml:space="preserve"> wherea</w:t>
      </w:r>
      <w:r w:rsidR="5FF88D06">
        <w:rPr>
          <w:u w:val="none"/>
        </w:rPr>
        <w:t>s Eliade's model of the sacred exists independently of human mind and experience</w:t>
      </w:r>
      <w:r w:rsidRPr="2D88EA34">
        <w:rPr>
          <w:rStyle w:val="FootnoteReference"/>
          <w:u w:val="none"/>
        </w:rPr>
        <w:footnoteReference w:id="10580"/>
      </w:r>
      <w:r w:rsidR="5FF88D06">
        <w:rPr>
          <w:u w:val="none"/>
        </w:rPr>
        <w:t>.</w:t>
      </w:r>
    </w:p>
    <w:p w:rsidR="0B77795F" w:rsidP="5881B92A" w:rsidRDefault="0B77795F" w14:paraId="661A6131" w14:textId="219FF480">
      <w:pPr>
        <w:pStyle w:val="Normal"/>
        <w:jc w:val="both"/>
        <w:rPr>
          <w:u w:val="none"/>
        </w:rPr>
      </w:pPr>
      <w:r w:rsidR="3AD63DCF">
        <w:rPr>
          <w:u w:val="none"/>
        </w:rPr>
        <w:t xml:space="preserve">To Durkheim, the social reality that is derived from a sacred place requires a </w:t>
      </w:r>
      <w:r w:rsidR="65C701CD">
        <w:rPr>
          <w:u w:val="none"/>
        </w:rPr>
        <w:t xml:space="preserve">detailed </w:t>
      </w:r>
      <w:r w:rsidR="3AD63DCF">
        <w:rPr>
          <w:u w:val="none"/>
        </w:rPr>
        <w:t xml:space="preserve">series of beliefs</w:t>
      </w:r>
      <w:r w:rsidR="4A59A034">
        <w:rPr>
          <w:u w:val="none"/>
        </w:rPr>
        <w:t xml:space="preserve">, </w:t>
      </w:r>
      <w:r w:rsidR="4A59A034">
        <w:rPr>
          <w:u w:val="none"/>
        </w:rPr>
        <w:t>rites,</w:t>
      </w:r>
      <w:r w:rsidR="4A59A034">
        <w:rPr>
          <w:u w:val="none"/>
        </w:rPr>
        <w:t xml:space="preserve"> and rituals to distinguish from profane places and perpetuate the need for social order</w:t>
      </w:r>
      <w:r w:rsidRPr="5881B92A">
        <w:rPr>
          <w:rStyle w:val="FootnoteReference"/>
          <w:u w:val="none"/>
        </w:rPr>
        <w:footnoteReference w:id="6108"/>
      </w:r>
      <w:r w:rsidR="054E249F">
        <w:rPr>
          <w:u w:val="none"/>
        </w:rPr>
        <w:t xml:space="preserve">, in contrast to the </w:t>
      </w:r>
      <w:r w:rsidR="5B0DD22E">
        <w:rPr>
          <w:u w:val="none"/>
        </w:rPr>
        <w:t>teleological</w:t>
      </w:r>
      <w:r w:rsidR="054E249F">
        <w:rPr>
          <w:u w:val="none"/>
        </w:rPr>
        <w:t xml:space="preserve"> </w:t>
      </w:r>
      <w:r w:rsidR="054E249F">
        <w:rPr>
          <w:u w:val="none"/>
        </w:rPr>
        <w:t>methodology</w:t>
      </w:r>
      <w:r w:rsidR="0085BEDD">
        <w:rPr>
          <w:u w:val="none"/>
        </w:rPr>
        <w:t xml:space="preserve"> </w:t>
      </w:r>
      <w:r w:rsidR="5DC407CB">
        <w:rPr>
          <w:u w:val="none"/>
        </w:rPr>
        <w:t xml:space="preserve">asserted </w:t>
      </w:r>
      <w:r w:rsidR="0085BEDD">
        <w:rPr>
          <w:u w:val="none"/>
        </w:rPr>
        <w:t>by Eliade which denies that the sacred can exist independently in th</w:t>
      </w:r>
      <w:r w:rsidR="08045A3C">
        <w:rPr>
          <w:u w:val="none"/>
        </w:rPr>
        <w:t xml:space="preserve">e mind but </w:t>
      </w:r>
      <w:bookmarkStart w:name="_Int_5eI6NKxx" w:id="1510661300"/>
      <w:r w:rsidR="08045A3C">
        <w:rPr>
          <w:u w:val="none"/>
        </w:rPr>
        <w:t>rather in</w:t>
      </w:r>
      <w:bookmarkEnd w:id="1510661300"/>
      <w:r w:rsidR="08045A3C">
        <w:rPr>
          <w:u w:val="none"/>
        </w:rPr>
        <w:t xml:space="preserve"> the permanent numinous quality o</w:t>
      </w:r>
      <w:r w:rsidR="707398D5">
        <w:rPr>
          <w:u w:val="none"/>
        </w:rPr>
        <w:t>f hierophonic  space</w:t>
      </w:r>
      <w:r w:rsidRPr="5881B92A">
        <w:rPr>
          <w:rStyle w:val="FootnoteReference"/>
          <w:u w:val="none"/>
        </w:rPr>
        <w:footnoteReference w:id="22882"/>
      </w:r>
      <w:r w:rsidR="4ECBE044">
        <w:rPr>
          <w:u w:val="none"/>
        </w:rPr>
        <w:t xml:space="preserve">. </w:t>
      </w:r>
      <w:r w:rsidR="45197466">
        <w:rPr>
          <w:u w:val="none"/>
        </w:rPr>
        <w:t xml:space="preserve">Durkheim is </w:t>
      </w:r>
      <w:r w:rsidR="7D7A2110">
        <w:rPr>
          <w:u w:val="none"/>
        </w:rPr>
        <w:t xml:space="preserve">furthermore </w:t>
      </w:r>
      <w:r w:rsidR="45197466">
        <w:rPr>
          <w:u w:val="none"/>
        </w:rPr>
        <w:t xml:space="preserve">explicit </w:t>
      </w:r>
      <w:r w:rsidR="60552EF8">
        <w:rPr>
          <w:u w:val="none"/>
        </w:rPr>
        <w:t xml:space="preserve">i</w:t>
      </w:r>
      <w:r w:rsidR="45197466">
        <w:rPr>
          <w:u w:val="none"/>
        </w:rPr>
        <w:t xml:space="preserve">n</w:t>
      </w:r>
      <w:r w:rsidR="63BCA2FA">
        <w:rPr>
          <w:u w:val="none"/>
        </w:rPr>
        <w:t xml:space="preserve"> </w:t>
      </w:r>
      <w:r w:rsidR="2E9D30A0">
        <w:rPr>
          <w:u w:val="none"/>
        </w:rPr>
        <w:t xml:space="preserve">asserting that 'the gods also have need of man', as 'withou</w:t>
      </w:r>
      <w:r w:rsidR="4E29D010">
        <w:rPr>
          <w:u w:val="none"/>
        </w:rPr>
        <w:t xml:space="preserve">t offerings and </w:t>
      </w:r>
      <w:r w:rsidR="78EEA3E6">
        <w:rPr>
          <w:u w:val="none"/>
        </w:rPr>
        <w:t xml:space="preserve">sacrifices</w:t>
      </w:r>
      <w:r w:rsidR="4E29D010">
        <w:rPr>
          <w:u w:val="none"/>
        </w:rPr>
        <w:t xml:space="preserve"> they would di</w:t>
      </w:r>
      <w:r w:rsidR="497B3462">
        <w:rPr>
          <w:u w:val="none"/>
        </w:rPr>
        <w:t xml:space="preserve">e'</w:t>
      </w:r>
      <w:r w:rsidR="497B3462">
        <w:rPr>
          <w:u w:val="none"/>
        </w:rPr>
        <w:t xml:space="preserve"> and therefore sacred space has 'been conceived by the human mind</w:t>
      </w:r>
      <w:r w:rsidR="4E29D010">
        <w:rPr>
          <w:u w:val="none"/>
        </w:rPr>
        <w:t xml:space="preserve">'</w:t>
      </w:r>
      <w:r w:rsidRPr="2D88EA34">
        <w:rPr>
          <w:rStyle w:val="FootnoteReference"/>
          <w:u w:val="none"/>
        </w:rPr>
        <w:footnoteReference w:id="14912"/>
      </w:r>
      <w:r w:rsidR="7B862728">
        <w:rPr>
          <w:u w:val="none"/>
        </w:rPr>
        <w:t xml:space="preserve">.</w:t>
      </w:r>
      <w:r w:rsidR="79109E84">
        <w:rPr>
          <w:u w:val="none"/>
        </w:rPr>
        <w:t xml:space="preserve"> </w:t>
      </w:r>
      <w:r w:rsidR="2CF4E1C2">
        <w:rPr>
          <w:u w:val="none"/>
        </w:rPr>
        <w:t xml:space="preserve">In </w:t>
      </w:r>
      <w:r w:rsidR="00995737">
        <w:rPr>
          <w:u w:val="none"/>
        </w:rPr>
        <w:t xml:space="preserve">c</w:t>
      </w:r>
      <w:r w:rsidR="2CF4E1C2">
        <w:rPr>
          <w:u w:val="none"/>
        </w:rPr>
        <w:t xml:space="preserve">ontrast, Eliade's ontology afford</w:t>
      </w:r>
      <w:r w:rsidR="4C50F017">
        <w:rPr>
          <w:u w:val="none"/>
        </w:rPr>
        <w:t xml:space="preserve">s a</w:t>
      </w:r>
      <w:r w:rsidR="2CF4E1C2">
        <w:rPr>
          <w:u w:val="none"/>
        </w:rPr>
        <w:t xml:space="preserve"> </w:t>
      </w:r>
      <w:r w:rsidR="1E365E78">
        <w:rPr>
          <w:u w:val="none"/>
        </w:rPr>
        <w:t xml:space="preserve">divine level of existence </w:t>
      </w:r>
      <w:r w:rsidR="4BB118A7">
        <w:rPr>
          <w:u w:val="none"/>
        </w:rPr>
        <w:t xml:space="preserve">that </w:t>
      </w:r>
      <w:r w:rsidR="1348E841">
        <w:rPr>
          <w:u w:val="none"/>
        </w:rPr>
        <w:t xml:space="preserve">introduces</w:t>
      </w:r>
      <w:r w:rsidR="4BB118A7">
        <w:rPr>
          <w:u w:val="none"/>
        </w:rPr>
        <w:t xml:space="preserve"> </w:t>
      </w:r>
      <w:r w:rsidR="4BB118A7">
        <w:rPr>
          <w:u w:val="none"/>
        </w:rPr>
        <w:t xml:space="preserve">hierophoni</w:t>
      </w:r>
      <w:r w:rsidR="39B05112">
        <w:rPr>
          <w:u w:val="none"/>
        </w:rPr>
        <w:t xml:space="preserve">c space as a means of communicating with the ever-present gods</w:t>
      </w:r>
      <w:r w:rsidR="4BB118A7">
        <w:rPr>
          <w:u w:val="none"/>
        </w:rPr>
        <w:t xml:space="preserve"> </w:t>
      </w:r>
      <w:r w:rsidR="4BB118A7">
        <w:rPr>
          <w:u w:val="none"/>
        </w:rPr>
        <w:t xml:space="preserve">as </w:t>
      </w:r>
      <w:r w:rsidR="46FA4401">
        <w:rPr>
          <w:u w:val="none"/>
        </w:rPr>
        <w:t xml:space="preserve">it is</w:t>
      </w:r>
      <w:r w:rsidR="4BB118A7">
        <w:rPr>
          <w:u w:val="none"/>
        </w:rPr>
        <w:t xml:space="preserve"> </w:t>
      </w:r>
      <w:r w:rsidR="62D77C7D">
        <w:rPr>
          <w:u w:val="none"/>
        </w:rPr>
        <w:t xml:space="preserve">the</w:t>
      </w:r>
      <w:r w:rsidR="09C2E66F">
        <w:rPr>
          <w:u w:val="none"/>
        </w:rPr>
        <w:t xml:space="preserve"> sacred space that reveals 'absolute reality'</w:t>
      </w:r>
      <w:r w:rsidRPr="2D88EA34">
        <w:rPr>
          <w:rStyle w:val="FootnoteReference"/>
          <w:u w:val="none"/>
        </w:rPr>
        <w:footnoteReference w:id="26565"/>
      </w:r>
      <w:r w:rsidR="6332F4C5">
        <w:rPr>
          <w:u w:val="none"/>
        </w:rPr>
        <w:t xml:space="preserve">.</w:t>
      </w:r>
    </w:p>
    <w:p w:rsidR="0B77795F" w:rsidP="63EBA88A" w:rsidRDefault="0B77795F" w14:paraId="7FD9A05B" w14:textId="2CD25302">
      <w:pPr>
        <w:pStyle w:val="Normal"/>
        <w:jc w:val="both"/>
        <w:rPr>
          <w:noProof w:val="0"/>
          <w:u w:val="none"/>
          <w:lang w:val="en-GB"/>
        </w:rPr>
      </w:pPr>
      <w:r w:rsidR="4F53ADC6">
        <w:rPr>
          <w:u w:val="none"/>
        </w:rPr>
        <w:t xml:space="preserve">Yet Victor Turner attempts to reconcile the antithetical </w:t>
      </w:r>
      <w:r w:rsidR="304F32EA">
        <w:rPr>
          <w:u w:val="none"/>
        </w:rPr>
        <w:t xml:space="preserve">theories </w:t>
      </w:r>
      <w:r w:rsidR="4F53ADC6">
        <w:rPr>
          <w:u w:val="none"/>
        </w:rPr>
        <w:t xml:space="preserve">of sacred space </w:t>
      </w:r>
      <w:r w:rsidR="3C2015AE">
        <w:rPr>
          <w:u w:val="none"/>
        </w:rPr>
        <w:t xml:space="preserve">by Durkheim and Eliade </w:t>
      </w:r>
      <w:r w:rsidR="608748A6">
        <w:rPr>
          <w:u w:val="none"/>
        </w:rPr>
        <w:t xml:space="preserve">through </w:t>
      </w:r>
      <w:r w:rsidR="3C2015AE">
        <w:rPr>
          <w:u w:val="none"/>
        </w:rPr>
        <w:t>identifying</w:t>
      </w:r>
      <w:r w:rsidR="3C2015AE">
        <w:rPr>
          <w:u w:val="none"/>
        </w:rPr>
        <w:t xml:space="preserve"> pilgrimage centres as </w:t>
      </w:r>
      <w:r w:rsidR="1B666E07">
        <w:rPr>
          <w:u w:val="none"/>
        </w:rPr>
        <w:t xml:space="preserve">unique </w:t>
      </w:r>
      <w:r w:rsidR="70A17A2F">
        <w:rPr>
          <w:u w:val="none"/>
        </w:rPr>
        <w:t xml:space="preserve">places </w:t>
      </w:r>
      <w:r w:rsidR="1B666E07">
        <w:rPr>
          <w:u w:val="none"/>
        </w:rPr>
        <w:t xml:space="preserve">in which the paradoxical stances </w:t>
      </w:r>
      <w:r w:rsidR="5428EEF6">
        <w:rPr>
          <w:u w:val="none"/>
        </w:rPr>
        <w:t xml:space="preserve">are intimately intertwined</w:t>
      </w:r>
      <w:r w:rsidRPr="2D88EA34">
        <w:rPr>
          <w:rStyle w:val="FootnoteReference"/>
          <w:u w:val="none"/>
        </w:rPr>
        <w:footnoteReference w:id="16446"/>
      </w:r>
      <w:r w:rsidR="5428EEF6">
        <w:rPr>
          <w:u w:val="none"/>
        </w:rPr>
        <w:t xml:space="preserve">. Turner attested that </w:t>
      </w:r>
      <w:r w:rsidR="27BB82ED">
        <w:rPr>
          <w:u w:val="none"/>
        </w:rPr>
        <w:t xml:space="preserve">the hierarchical structures </w:t>
      </w:r>
      <w:r w:rsidR="65D74C1A">
        <w:rPr>
          <w:u w:val="none"/>
        </w:rPr>
        <w:t>within the</w:t>
      </w:r>
      <w:r w:rsidR="27BB82ED">
        <w:rPr>
          <w:u w:val="none"/>
        </w:rPr>
        <w:t xml:space="preserve"> Catholic Church</w:t>
      </w:r>
      <w:r w:rsidR="1F16CECE">
        <w:rPr>
          <w:u w:val="none"/>
        </w:rPr>
        <w:t xml:space="preserve"> as well as the hierophanic</w:t>
      </w:r>
      <w:r w:rsidR="4529BEB3">
        <w:rPr>
          <w:u w:val="none"/>
        </w:rPr>
        <w:t xml:space="preserve"> </w:t>
      </w:r>
      <w:r w:rsidR="1F16CECE">
        <w:rPr>
          <w:u w:val="none"/>
        </w:rPr>
        <w:t>symbolism of relics</w:t>
      </w:r>
      <w:r w:rsidR="5AAAC576">
        <w:rPr>
          <w:u w:val="none"/>
        </w:rPr>
        <w:t xml:space="preserve"> and sacred sites allow for an understanding of the sacred beyond the dichotomous branches of the social and divine</w:t>
      </w:r>
      <w:r w:rsidRPr="2C79EC50">
        <w:rPr>
          <w:rStyle w:val="FootnoteReference"/>
          <w:u w:val="none"/>
        </w:rPr>
        <w:footnoteReference w:id="11866"/>
      </w:r>
      <w:r w:rsidR="4F40B5DE">
        <w:rPr>
          <w:u w:val="none"/>
        </w:rPr>
        <w:t xml:space="preserve">. </w:t>
      </w:r>
      <w:r w:rsidR="23C6D652">
        <w:rPr>
          <w:u w:val="none"/>
        </w:rPr>
        <w:t xml:space="preserve">I</w:t>
      </w:r>
      <w:r w:rsidR="4F40B5DE">
        <w:rPr>
          <w:u w:val="none"/>
        </w:rPr>
        <w:t xml:space="preserve">n addition, </w:t>
      </w:r>
      <w:bookmarkStart w:name="_Int_x42SLMSn" w:id="607001505"/>
      <w:r w:rsidR="49EB6C1C">
        <w:rPr>
          <w:u w:val="none"/>
        </w:rPr>
        <w:t>Gunzburg,</w:t>
      </w:r>
      <w:bookmarkEnd w:id="607001505"/>
      <w:r w:rsidR="4F40B5DE">
        <w:rPr>
          <w:u w:val="none"/>
        </w:rPr>
        <w:t xml:space="preserve"> and Brady </w:t>
      </w:r>
      <w:r w:rsidR="1436C7FC">
        <w:rPr>
          <w:u w:val="none"/>
        </w:rPr>
        <w:t xml:space="preserve">in reference to sacred landscape, 'fuse </w:t>
      </w:r>
      <w:r w:rsidR="3144AE2A">
        <w:rPr>
          <w:u w:val="none"/>
        </w:rPr>
        <w:t xml:space="preserve">ideas of space, </w:t>
      </w:r>
      <w:r w:rsidR="3144AE2A">
        <w:rPr>
          <w:u w:val="none"/>
        </w:rPr>
        <w:t>place,</w:t>
      </w:r>
      <w:r w:rsidR="3144AE2A">
        <w:rPr>
          <w:u w:val="none"/>
        </w:rPr>
        <w:t xml:space="preserve"> and material religion with cultural </w:t>
      </w:r>
      <w:r w:rsidR="5DB4AB43">
        <w:rPr>
          <w:u w:val="none"/>
        </w:rPr>
        <w:t>environmentalism</w:t>
      </w:r>
      <w:r w:rsidR="6BBCD7D0">
        <w:rPr>
          <w:u w:val="none"/>
        </w:rPr>
        <w:t>'</w:t>
      </w:r>
      <w:r w:rsidR="3144AE2A">
        <w:rPr>
          <w:u w:val="none"/>
        </w:rPr>
        <w:t xml:space="preserve"> </w:t>
      </w:r>
      <w:r w:rsidR="02129972">
        <w:rPr>
          <w:u w:val="none"/>
        </w:rPr>
        <w:t xml:space="preserve">when considering the Eliadean </w:t>
      </w:r>
      <w:r w:rsidR="19A35AD8">
        <w:rPr>
          <w:u w:val="none"/>
        </w:rPr>
        <w:t>position of sacredness being intrinsic to a place with the Durk</w:t>
      </w:r>
      <w:r w:rsidR="2C52EBE2">
        <w:rPr>
          <w:u w:val="none"/>
        </w:rPr>
        <w:t>heimian belief that reverence is constructed by the people o</w:t>
      </w:r>
      <w:r w:rsidR="337E8903">
        <w:rPr>
          <w:u w:val="none"/>
        </w:rPr>
        <w:t>r</w:t>
      </w:r>
      <w:r w:rsidR="2C52EBE2">
        <w:rPr>
          <w:u w:val="none"/>
        </w:rPr>
        <w:t xml:space="preserve"> </w:t>
      </w:r>
      <w:r w:rsidR="03646A0A">
        <w:rPr>
          <w:u w:val="none"/>
        </w:rPr>
        <w:t xml:space="preserve">through '</w:t>
      </w:r>
      <w:r w:rsidR="2C52EBE2">
        <w:rPr>
          <w:u w:val="none"/>
        </w:rPr>
        <w:t>a mutual endeavour</w:t>
      </w:r>
      <w:r w:rsidR="3E014906">
        <w:rPr>
          <w:u w:val="none"/>
        </w:rPr>
        <w:t>'</w:t>
      </w:r>
      <w:r w:rsidRPr="2C79EC50">
        <w:rPr>
          <w:rStyle w:val="FootnoteReference"/>
          <w:u w:val="none"/>
        </w:rPr>
        <w:footnoteReference w:id="7395"/>
      </w:r>
      <w:r w:rsidR="770E44F4">
        <w:rPr>
          <w:u w:val="none"/>
        </w:rPr>
        <w:t>.</w:t>
      </w:r>
      <w:r w:rsidR="205A5543">
        <w:rPr>
          <w:u w:val="none"/>
        </w:rPr>
        <w:t xml:space="preserve"> </w:t>
      </w:r>
    </w:p>
    <w:p w:rsidR="0B77795F" w:rsidP="2C79EC50" w:rsidRDefault="0B77795F" w14:paraId="5FF11E42" w14:textId="3285547B">
      <w:pPr>
        <w:pStyle w:val="Normal"/>
        <w:jc w:val="both"/>
        <w:rPr>
          <w:u w:val="none"/>
        </w:rPr>
      </w:pPr>
      <w:r w:rsidR="205A5543">
        <w:rPr>
          <w:u w:val="none"/>
        </w:rPr>
        <w:t xml:space="preserve">Comparably, Beldon Lane </w:t>
      </w:r>
      <w:r w:rsidR="6F2608C6">
        <w:rPr>
          <w:u w:val="none"/>
        </w:rPr>
        <w:t xml:space="preserve">argues that the schism between the phenomenological, </w:t>
      </w:r>
      <w:r w:rsidR="63F0FAF0">
        <w:rPr>
          <w:u w:val="none"/>
        </w:rPr>
        <w:t>ontological,</w:t>
      </w:r>
      <w:r w:rsidR="6F2608C6">
        <w:rPr>
          <w:u w:val="none"/>
        </w:rPr>
        <w:t xml:space="preserve"> and sociological </w:t>
      </w:r>
      <w:r w:rsidR="6F2608C6">
        <w:rPr>
          <w:u w:val="none"/>
        </w:rPr>
        <w:t>regarding</w:t>
      </w:r>
      <w:r w:rsidR="6F2608C6">
        <w:rPr>
          <w:u w:val="none"/>
        </w:rPr>
        <w:t xml:space="preserve"> sacred space </w:t>
      </w:r>
      <w:r w:rsidR="5CFAA9DE">
        <w:rPr>
          <w:u w:val="none"/>
        </w:rPr>
        <w:t xml:space="preserve">can be united as all aspects are interwoven </w:t>
      </w:r>
      <w:r w:rsidR="0158980D">
        <w:rPr>
          <w:u w:val="none"/>
        </w:rPr>
        <w:t>and considered</w:t>
      </w:r>
      <w:r w:rsidR="1B9F8F10">
        <w:rPr>
          <w:u w:val="none"/>
        </w:rPr>
        <w:t xml:space="preserve"> that whilst </w:t>
      </w:r>
      <w:r w:rsidR="5AAFA5E3">
        <w:rPr>
          <w:u w:val="none"/>
        </w:rPr>
        <w:t xml:space="preserve">in Elidean terms, </w:t>
      </w:r>
      <w:r w:rsidR="1B9F8F10">
        <w:rPr>
          <w:u w:val="none"/>
        </w:rPr>
        <w:t xml:space="preserve">a 'sacred place Is not chosen it </w:t>
      </w:r>
      <w:r w:rsidR="467DD548">
        <w:rPr>
          <w:u w:val="none"/>
        </w:rPr>
        <w:t>chooses</w:t>
      </w:r>
      <w:r w:rsidR="492F2103">
        <w:rPr>
          <w:u w:val="none"/>
        </w:rPr>
        <w:t>'</w:t>
      </w:r>
      <w:r w:rsidR="1C113A18">
        <w:rPr>
          <w:u w:val="none"/>
        </w:rPr>
        <w:t xml:space="preserve">, </w:t>
      </w:r>
      <w:r w:rsidR="15A42A4E">
        <w:rPr>
          <w:u w:val="none"/>
        </w:rPr>
        <w:t xml:space="preserve">and </w:t>
      </w:r>
      <w:r w:rsidR="1C113A18">
        <w:rPr>
          <w:u w:val="none"/>
        </w:rPr>
        <w:t xml:space="preserve">in </w:t>
      </w:r>
      <w:r w:rsidR="1C113A18">
        <w:rPr>
          <w:u w:val="none"/>
        </w:rPr>
        <w:t>Durkheimian</w:t>
      </w:r>
      <w:r w:rsidR="1C113A18">
        <w:rPr>
          <w:u w:val="none"/>
        </w:rPr>
        <w:t xml:space="preserve"> terms, </w:t>
      </w:r>
      <w:r w:rsidR="1B9F8F10">
        <w:rPr>
          <w:u w:val="none"/>
        </w:rPr>
        <w:t xml:space="preserve">though </w:t>
      </w:r>
      <w:r w:rsidR="22062574">
        <w:rPr>
          <w:u w:val="none"/>
        </w:rPr>
        <w:t xml:space="preserve">ordinary, a sacred place is </w:t>
      </w:r>
      <w:r w:rsidR="3F4F90EF">
        <w:rPr>
          <w:u w:val="none"/>
        </w:rPr>
        <w:t>'</w:t>
      </w:r>
      <w:r w:rsidR="22062574">
        <w:rPr>
          <w:u w:val="none"/>
        </w:rPr>
        <w:t>ritually m</w:t>
      </w:r>
      <w:r w:rsidR="3353B2CE">
        <w:rPr>
          <w:u w:val="none"/>
        </w:rPr>
        <w:t>ade</w:t>
      </w:r>
      <w:r w:rsidR="22062574">
        <w:rPr>
          <w:u w:val="none"/>
        </w:rPr>
        <w:t xml:space="preserve"> extraordinary'</w:t>
      </w:r>
      <w:r w:rsidR="6C0F9B2C">
        <w:rPr>
          <w:u w:val="none"/>
        </w:rPr>
        <w:t xml:space="preserve">, the</w:t>
      </w:r>
      <w:r w:rsidR="3991A6E1">
        <w:rPr>
          <w:u w:val="none"/>
        </w:rPr>
        <w:t xml:space="preserve"> physical landscape therefore informs sacred experience and vision</w:t>
      </w:r>
      <w:r w:rsidRPr="63EBA88A">
        <w:rPr>
          <w:rStyle w:val="FootnoteReference"/>
          <w:u w:val="none"/>
        </w:rPr>
        <w:footnoteReference w:id="22312"/>
      </w:r>
      <w:r w:rsidR="0FC74D79">
        <w:rPr>
          <w:u w:val="none"/>
        </w:rPr>
        <w:t>.</w:t>
      </w:r>
      <w:r w:rsidR="0C82DF68">
        <w:rPr>
          <w:u w:val="none"/>
        </w:rPr>
        <w:t xml:space="preserve"> </w:t>
      </w:r>
      <w:r w:rsidR="75748B79">
        <w:rPr>
          <w:u w:val="none"/>
        </w:rPr>
        <w:t>Lane further examines su</w:t>
      </w:r>
      <w:r w:rsidR="31E03CD2">
        <w:rPr>
          <w:u w:val="none"/>
        </w:rPr>
        <w:t xml:space="preserve">bjective experience and perceptio</w:t>
      </w:r>
      <w:r w:rsidR="31E03CD2">
        <w:rPr>
          <w:u w:val="none"/>
        </w:rPr>
        <w:t xml:space="preserve">n </w:t>
      </w:r>
      <w:r w:rsidR="31E03CD2">
        <w:rPr>
          <w:u w:val="none"/>
        </w:rPr>
        <w:t>regardi</w:t>
      </w:r>
      <w:r w:rsidR="31E03CD2">
        <w:rPr>
          <w:u w:val="none"/>
        </w:rPr>
        <w:t>ng</w:t>
      </w:r>
      <w:r w:rsidR="31E03CD2">
        <w:rPr>
          <w:u w:val="none"/>
        </w:rPr>
        <w:t xml:space="preserve"> the sacred landscape </w:t>
      </w:r>
      <w:r w:rsidR="23653EB1">
        <w:rPr>
          <w:u w:val="none"/>
        </w:rPr>
        <w:t xml:space="preserve">and </w:t>
      </w:r>
      <w:r w:rsidR="71CA6E41">
        <w:rPr>
          <w:u w:val="none"/>
        </w:rPr>
        <w:t xml:space="preserve">that </w:t>
      </w:r>
      <w:r w:rsidR="23653EB1">
        <w:rPr>
          <w:u w:val="none"/>
        </w:rPr>
        <w:t xml:space="preserve">a deep connection to a place that is not experienced by others would conflict with Eliade's notion of hierophony, a place </w:t>
      </w:r>
      <w:r w:rsidR="3AF60017">
        <w:rPr>
          <w:u w:val="none"/>
        </w:rPr>
        <w:t>that would be sacred for all</w:t>
      </w:r>
      <w:r w:rsidRPr="63EBA88A">
        <w:rPr>
          <w:rStyle w:val="FootnoteReference"/>
          <w:u w:val="none"/>
        </w:rPr>
        <w:footnoteReference w:id="24013"/>
      </w:r>
      <w:r w:rsidR="73B88106">
        <w:rPr>
          <w:u w:val="none"/>
        </w:rPr>
        <w:t xml:space="preserve">. Though similar</w:t>
      </w:r>
      <w:r w:rsidR="5CCEF15F">
        <w:rPr>
          <w:u w:val="none"/>
        </w:rPr>
        <w:t xml:space="preserve">ities can be drawn </w:t>
      </w:r>
      <w:r w:rsidR="73B88106">
        <w:rPr>
          <w:u w:val="none"/>
        </w:rPr>
        <w:t xml:space="preserve">to the Durkheimian approach in which 'a place can become anything </w:t>
      </w:r>
      <w:r w:rsidR="3EA660DE">
        <w:rPr>
          <w:u w:val="none"/>
        </w:rPr>
        <w:t xml:space="preserve">its patrons conceive it to be', Lane acknowledges the shared experiences of the sacred place and the physical topography that </w:t>
      </w:r>
      <w:r w:rsidR="74AB7BD2">
        <w:rPr>
          <w:u w:val="none"/>
        </w:rPr>
        <w:t>emanates</w:t>
      </w:r>
      <w:r w:rsidR="3EA660DE">
        <w:rPr>
          <w:u w:val="none"/>
        </w:rPr>
        <w:t xml:space="preserve"> the numinous</w:t>
      </w:r>
      <w:r w:rsidRPr="63EBA88A">
        <w:rPr>
          <w:rStyle w:val="FootnoteReference"/>
          <w:u w:val="none"/>
        </w:rPr>
        <w:footnoteReference w:id="4832"/>
      </w:r>
      <w:r w:rsidR="2411E94C">
        <w:rPr>
          <w:u w:val="none"/>
        </w:rPr>
        <w:t>.</w:t>
      </w:r>
      <w:r w:rsidR="70A2C653">
        <w:rPr>
          <w:u w:val="none"/>
        </w:rPr>
        <w:t xml:space="preserve"> </w:t>
      </w:r>
    </w:p>
    <w:p w:rsidR="0B77795F" w:rsidP="2C79EC50" w:rsidRDefault="0B77795F" w14:paraId="6F49A9CD" w14:textId="49AA0940">
      <w:pPr>
        <w:pStyle w:val="Normal"/>
        <w:jc w:val="both"/>
        <w:rPr>
          <w:u w:val="none"/>
        </w:rPr>
      </w:pPr>
      <w:r w:rsidR="0DEDC530">
        <w:rPr>
          <w:u w:val="none"/>
        </w:rPr>
        <w:t>In closing</w:t>
      </w:r>
      <w:r w:rsidR="70A2C653">
        <w:rPr>
          <w:u w:val="none"/>
        </w:rPr>
        <w:t xml:space="preserve">, the two views </w:t>
      </w:r>
      <w:r w:rsidR="7D7C7EC6">
        <w:rPr>
          <w:u w:val="none"/>
        </w:rPr>
        <w:t xml:space="preserve">of Durkheim and Eliade </w:t>
      </w:r>
      <w:r w:rsidR="70A2C653">
        <w:rPr>
          <w:u w:val="none"/>
        </w:rPr>
        <w:t xml:space="preserve">can be </w:t>
      </w:r>
      <w:r w:rsidR="2A7306D4">
        <w:rPr>
          <w:u w:val="none"/>
        </w:rPr>
        <w:t xml:space="preserve">further </w:t>
      </w:r>
      <w:r w:rsidR="70A2C653">
        <w:rPr>
          <w:u w:val="none"/>
        </w:rPr>
        <w:t xml:space="preserve">merged to </w:t>
      </w:r>
      <w:r w:rsidR="70A2C653">
        <w:rPr>
          <w:u w:val="none"/>
        </w:rPr>
        <w:t>provide</w:t>
      </w:r>
      <w:r w:rsidR="70A2C653">
        <w:rPr>
          <w:u w:val="none"/>
        </w:rPr>
        <w:t xml:space="preserve"> a position </w:t>
      </w:r>
      <w:r w:rsidR="4FF538EC">
        <w:rPr>
          <w:u w:val="none"/>
        </w:rPr>
        <w:t>regarding</w:t>
      </w:r>
      <w:r w:rsidR="4FF538EC">
        <w:rPr>
          <w:u w:val="none"/>
        </w:rPr>
        <w:t xml:space="preserve"> sacred space that is not exclusi</w:t>
      </w:r>
      <w:r w:rsidR="50796B0E">
        <w:rPr>
          <w:u w:val="none"/>
        </w:rPr>
        <w:t>vely derived from the human mind</w:t>
      </w:r>
      <w:r w:rsidR="2058E474">
        <w:rPr>
          <w:u w:val="none"/>
        </w:rPr>
        <w:t xml:space="preserve">. </w:t>
      </w:r>
      <w:r w:rsidR="75302794">
        <w:rPr>
          <w:u w:val="none"/>
        </w:rPr>
        <w:t>Campbell and Foor argue</w:t>
      </w:r>
      <w:r w:rsidR="759FBD55">
        <w:rPr>
          <w:u w:val="none"/>
        </w:rPr>
        <w:t>,</w:t>
      </w:r>
      <w:r w:rsidR="19F24E10">
        <w:rPr>
          <w:u w:val="none"/>
        </w:rPr>
        <w:t xml:space="preserve"> </w:t>
      </w:r>
      <w:r w:rsidR="18FAC8A4">
        <w:rPr>
          <w:u w:val="none"/>
        </w:rPr>
        <w:t xml:space="preserve">that </w:t>
      </w:r>
      <w:r w:rsidR="19F24E10">
        <w:rPr>
          <w:u w:val="none"/>
        </w:rPr>
        <w:t>in Elidean terms</w:t>
      </w:r>
      <w:r w:rsidR="75302794">
        <w:rPr>
          <w:u w:val="none"/>
        </w:rPr>
        <w:t xml:space="preserve">, </w:t>
      </w:r>
      <w:r w:rsidR="032E23F2">
        <w:rPr>
          <w:u w:val="none"/>
        </w:rPr>
        <w:t xml:space="preserve">the sacred power </w:t>
      </w:r>
      <w:r w:rsidR="1ACF894D">
        <w:rPr>
          <w:u w:val="none"/>
        </w:rPr>
        <w:t xml:space="preserve">granting </w:t>
      </w:r>
      <w:r w:rsidR="032E23F2">
        <w:rPr>
          <w:u w:val="none"/>
        </w:rPr>
        <w:t xml:space="preserve">communion with the landscape is not exclusively </w:t>
      </w:r>
      <w:r w:rsidR="5905A5D4">
        <w:rPr>
          <w:u w:val="none"/>
        </w:rPr>
        <w:t xml:space="preserve">a </w:t>
      </w:r>
      <w:r w:rsidR="032E23F2">
        <w:rPr>
          <w:u w:val="none"/>
        </w:rPr>
        <w:t>human</w:t>
      </w:r>
      <w:r w:rsidR="6A5FB6B4">
        <w:rPr>
          <w:u w:val="none"/>
        </w:rPr>
        <w:t xml:space="preserve"> quality</w:t>
      </w:r>
      <w:r w:rsidR="032E23F2">
        <w:rPr>
          <w:u w:val="none"/>
        </w:rPr>
        <w:t>, '</w:t>
      </w:r>
      <w:r w:rsidR="6AAC8699">
        <w:rPr>
          <w:u w:val="none"/>
        </w:rPr>
        <w:t>In their creations and placements on the landscape</w:t>
      </w:r>
      <w:r w:rsidR="2DD20C97">
        <w:rPr>
          <w:u w:val="none"/>
        </w:rPr>
        <w:t>, all beings are endowed with a specific sacred power</w:t>
      </w:r>
      <w:r w:rsidR="6AAC8699">
        <w:rPr>
          <w:u w:val="none"/>
        </w:rPr>
        <w:t>.</w:t>
      </w:r>
      <w:r w:rsidR="52979311">
        <w:rPr>
          <w:u w:val="none"/>
        </w:rPr>
        <w:t xml:space="preserve"> A</w:t>
      </w:r>
      <w:r w:rsidR="6AAC8699">
        <w:rPr>
          <w:u w:val="none"/>
        </w:rPr>
        <w:t xml:space="preserve">ll </w:t>
      </w:r>
      <w:r w:rsidR="2C07A168">
        <w:rPr>
          <w:u w:val="none"/>
        </w:rPr>
        <w:t xml:space="preserve">animals and animated natural objects </w:t>
      </w:r>
      <w:r w:rsidR="2C07A168">
        <w:rPr>
          <w:u w:val="none"/>
        </w:rPr>
        <w:t>possess</w:t>
      </w:r>
      <w:r w:rsidR="2C07A168">
        <w:rPr>
          <w:u w:val="none"/>
        </w:rPr>
        <w:t xml:space="preserve"> </w:t>
      </w:r>
      <w:r w:rsidR="50810A86">
        <w:rPr>
          <w:u w:val="none"/>
        </w:rPr>
        <w:t xml:space="preserve">sacred </w:t>
      </w:r>
      <w:r w:rsidR="2C07A168">
        <w:rPr>
          <w:u w:val="none"/>
        </w:rPr>
        <w:t>power'</w:t>
      </w:r>
      <w:r w:rsidRPr="2D88EA34">
        <w:rPr>
          <w:rStyle w:val="FootnoteReference"/>
          <w:u w:val="none"/>
        </w:rPr>
        <w:footnoteReference w:id="11279"/>
      </w:r>
      <w:r w:rsidR="21D7FB94">
        <w:rPr>
          <w:u w:val="none"/>
        </w:rPr>
        <w:t>.</w:t>
      </w:r>
      <w:r w:rsidR="456A22BA">
        <w:rPr>
          <w:u w:val="none"/>
        </w:rPr>
        <w:t xml:space="preserve"> Campbell and Floor</w:t>
      </w:r>
      <w:r w:rsidR="5B4126FC">
        <w:rPr>
          <w:u w:val="none"/>
        </w:rPr>
        <w:t xml:space="preserve"> further </w:t>
      </w:r>
      <w:r w:rsidR="7C7F2867">
        <w:rPr>
          <w:u w:val="none"/>
        </w:rPr>
        <w:t>posit that</w:t>
      </w:r>
      <w:r w:rsidR="669BE243">
        <w:rPr>
          <w:u w:val="none"/>
        </w:rPr>
        <w:t xml:space="preserve"> </w:t>
      </w:r>
      <w:r w:rsidR="037D5FAF">
        <w:rPr>
          <w:u w:val="none"/>
        </w:rPr>
        <w:t>whil</w:t>
      </w:r>
      <w:r w:rsidR="17AA8B06">
        <w:rPr>
          <w:u w:val="none"/>
        </w:rPr>
        <w:t>st</w:t>
      </w:r>
      <w:r w:rsidR="037D5FAF">
        <w:rPr>
          <w:u w:val="none"/>
        </w:rPr>
        <w:t xml:space="preserve"> animals naturally </w:t>
      </w:r>
      <w:r w:rsidR="037D5FAF">
        <w:rPr>
          <w:u w:val="none"/>
        </w:rPr>
        <w:t>possess</w:t>
      </w:r>
      <w:r w:rsidR="037D5FAF">
        <w:rPr>
          <w:u w:val="none"/>
        </w:rPr>
        <w:t xml:space="preserve"> this sacred power</w:t>
      </w:r>
      <w:r w:rsidR="6F65789D">
        <w:rPr>
          <w:u w:val="none"/>
        </w:rPr>
        <w:t xml:space="preserve">, 'humans also can </w:t>
      </w:r>
      <w:r w:rsidR="6F65789D">
        <w:rPr>
          <w:u w:val="none"/>
        </w:rPr>
        <w:t>possess</w:t>
      </w:r>
      <w:r w:rsidR="6F65789D">
        <w:rPr>
          <w:u w:val="none"/>
        </w:rPr>
        <w:t xml:space="preserve"> it thr</w:t>
      </w:r>
      <w:r w:rsidR="76FCFD9E">
        <w:rPr>
          <w:u w:val="none"/>
        </w:rPr>
        <w:t>ough ceremony, ritual, prayer and sacrific</w:t>
      </w:r>
      <w:r w:rsidR="142A39EE">
        <w:rPr>
          <w:u w:val="none"/>
        </w:rPr>
        <w:t>e'</w:t>
      </w:r>
      <w:r w:rsidRPr="2D88EA34">
        <w:rPr>
          <w:rStyle w:val="FootnoteReference"/>
          <w:u w:val="none"/>
        </w:rPr>
        <w:footnoteReference w:id="26922"/>
      </w:r>
      <w:r w:rsidR="1CF8200A">
        <w:rPr>
          <w:u w:val="none"/>
        </w:rPr>
        <w:t xml:space="preserve">, </w:t>
      </w:r>
      <w:r w:rsidR="14F4309D">
        <w:rPr>
          <w:u w:val="none"/>
        </w:rPr>
        <w:t>i</w:t>
      </w:r>
      <w:r w:rsidR="625E34EC">
        <w:rPr>
          <w:u w:val="none"/>
        </w:rPr>
        <w:t xml:space="preserve">mbuing </w:t>
      </w:r>
      <w:r w:rsidR="32207364">
        <w:rPr>
          <w:u w:val="none"/>
        </w:rPr>
        <w:t xml:space="preserve">the </w:t>
      </w:r>
      <w:r w:rsidR="3802D7A6">
        <w:rPr>
          <w:u w:val="none"/>
        </w:rPr>
        <w:t>Durkheimian</w:t>
      </w:r>
      <w:r w:rsidR="589FDF81">
        <w:rPr>
          <w:u w:val="none"/>
        </w:rPr>
        <w:t xml:space="preserve"> </w:t>
      </w:r>
      <w:r w:rsidR="427512F2">
        <w:rPr>
          <w:u w:val="none"/>
        </w:rPr>
        <w:t xml:space="preserve">stance </w:t>
      </w:r>
      <w:r w:rsidR="09CB006E">
        <w:rPr>
          <w:u w:val="none"/>
        </w:rPr>
        <w:t>that the sacred is 'eminently s</w:t>
      </w:r>
      <w:r w:rsidR="44BF84D8">
        <w:rPr>
          <w:u w:val="none"/>
        </w:rPr>
        <w:t>ocial</w:t>
      </w:r>
      <w:r w:rsidR="09CB006E">
        <w:rPr>
          <w:u w:val="none"/>
        </w:rPr>
        <w:t>'</w:t>
      </w:r>
      <w:r w:rsidRPr="2D88EA34">
        <w:rPr>
          <w:rStyle w:val="FootnoteReference"/>
          <w:u w:val="none"/>
        </w:rPr>
        <w:footnoteReference w:id="10954"/>
      </w:r>
      <w:r w:rsidR="17C8FCCB">
        <w:rPr>
          <w:u w:val="none"/>
        </w:rPr>
        <w:t>.</w:t>
      </w:r>
    </w:p>
    <w:p w:rsidR="0B77795F" w:rsidP="2C79EC50" w:rsidRDefault="0B77795F" w14:paraId="5AC25F95" w14:textId="27C19BE8">
      <w:pPr>
        <w:pStyle w:val="Normal"/>
        <w:jc w:val="both"/>
        <w:rPr>
          <w:u w:val="none"/>
        </w:rPr>
      </w:pPr>
      <w:r w:rsidR="293990F2">
        <w:rPr>
          <w:u w:val="none"/>
        </w:rPr>
        <w:t>T</w:t>
      </w:r>
      <w:r w:rsidR="34D23C59">
        <w:rPr>
          <w:u w:val="none"/>
        </w:rPr>
        <w:t xml:space="preserve">o sum up, the evidence suggests two divergent </w:t>
      </w:r>
      <w:r w:rsidR="5F128EC9">
        <w:rPr>
          <w:u w:val="none"/>
        </w:rPr>
        <w:t>methodologies</w:t>
      </w:r>
      <w:r w:rsidR="34D23C59">
        <w:rPr>
          <w:u w:val="none"/>
        </w:rPr>
        <w:t xml:space="preserve"> concerning sacred space</w:t>
      </w:r>
      <w:r w:rsidR="206DA998">
        <w:rPr>
          <w:u w:val="none"/>
        </w:rPr>
        <w:t xml:space="preserve">, Durkheim </w:t>
      </w:r>
      <w:r w:rsidR="206DA998">
        <w:rPr>
          <w:u w:val="none"/>
        </w:rPr>
        <w:t>representing</w:t>
      </w:r>
      <w:r w:rsidR="206DA998">
        <w:rPr>
          <w:u w:val="none"/>
        </w:rPr>
        <w:t xml:space="preserve"> </w:t>
      </w:r>
      <w:r w:rsidR="5CA480C3">
        <w:rPr>
          <w:u w:val="none"/>
        </w:rPr>
        <w:t xml:space="preserve">the </w:t>
      </w:r>
      <w:r w:rsidR="206DA998">
        <w:rPr>
          <w:u w:val="none"/>
        </w:rPr>
        <w:t>human construct an</w:t>
      </w:r>
      <w:r w:rsidR="206DA998">
        <w:rPr>
          <w:u w:val="none"/>
        </w:rPr>
        <w:t xml:space="preserve">d Eliade </w:t>
      </w:r>
      <w:r w:rsidR="206DA998">
        <w:rPr>
          <w:u w:val="none"/>
        </w:rPr>
        <w:t>representing</w:t>
      </w:r>
      <w:r w:rsidR="206DA998">
        <w:rPr>
          <w:u w:val="none"/>
        </w:rPr>
        <w:t xml:space="preserve"> the natural construct. As expressed, Durkheim explored </w:t>
      </w:r>
      <w:r w:rsidR="68FE5EBA">
        <w:rPr>
          <w:u w:val="none"/>
        </w:rPr>
        <w:t xml:space="preserve">the identity derived </w:t>
      </w:r>
      <w:r w:rsidR="788CCA25">
        <w:rPr>
          <w:u w:val="none"/>
        </w:rPr>
        <w:t xml:space="preserve">from </w:t>
      </w:r>
      <w:r w:rsidR="68FE5EBA">
        <w:rPr>
          <w:u w:val="none"/>
        </w:rPr>
        <w:t xml:space="preserve">the sacred </w:t>
      </w:r>
      <w:r w:rsidR="472AFA79">
        <w:rPr>
          <w:u w:val="none"/>
        </w:rPr>
        <w:t xml:space="preserve">through a sociological approach that considered beliefs and practices as an influence on social </w:t>
      </w:r>
      <w:r w:rsidR="129D2909">
        <w:rPr>
          <w:u w:val="none"/>
        </w:rPr>
        <w:t xml:space="preserve">cohesion </w:t>
      </w:r>
      <w:r w:rsidR="4B964218">
        <w:rPr>
          <w:u w:val="none"/>
        </w:rPr>
        <w:t>w</w:t>
      </w:r>
      <w:r w:rsidR="44B6E7A4">
        <w:rPr>
          <w:u w:val="none"/>
        </w:rPr>
        <w:t xml:space="preserve">hilst Eliade explored </w:t>
      </w:r>
      <w:r w:rsidR="7ACB0F82">
        <w:rPr>
          <w:u w:val="none"/>
        </w:rPr>
        <w:t xml:space="preserve">the </w:t>
      </w:r>
      <w:r w:rsidR="0D5EE7AF">
        <w:rPr>
          <w:u w:val="none"/>
        </w:rPr>
        <w:t>experience</w:t>
      </w:r>
      <w:r w:rsidR="7ACB0F82">
        <w:rPr>
          <w:u w:val="none"/>
        </w:rPr>
        <w:t xml:space="preserve"> derived from the sacred through a phenomenological approach that explored </w:t>
      </w:r>
      <w:r w:rsidR="0D7AA08D">
        <w:rPr>
          <w:u w:val="none"/>
        </w:rPr>
        <w:t xml:space="preserve">religious </w:t>
      </w:r>
      <w:r w:rsidR="0A4038CE">
        <w:rPr>
          <w:u w:val="none"/>
        </w:rPr>
        <w:t xml:space="preserve">belief and symbolism </w:t>
      </w:r>
      <w:r w:rsidR="03D83CE6">
        <w:rPr>
          <w:u w:val="none"/>
        </w:rPr>
        <w:t xml:space="preserve">as a way of connecting with the </w:t>
      </w:r>
      <w:r w:rsidR="45129CA4">
        <w:rPr>
          <w:u w:val="none"/>
        </w:rPr>
        <w:t>divine.</w:t>
      </w:r>
    </w:p>
    <w:p w:rsidR="0B77795F" w:rsidP="63EBA88A" w:rsidRDefault="0B77795F" w14:paraId="59E7DBA6" w14:textId="49818188">
      <w:pPr>
        <w:pStyle w:val="Normal"/>
        <w:bidi w:val="0"/>
        <w:spacing w:before="0" w:beforeAutospacing="off" w:after="160" w:afterAutospacing="off" w:line="259" w:lineRule="auto"/>
        <w:ind w:left="0" w:right="0"/>
        <w:jc w:val="both"/>
        <w:rPr>
          <w:u w:val="none"/>
        </w:rPr>
      </w:pPr>
      <w:r w:rsidR="261B744E">
        <w:rPr>
          <w:u w:val="none"/>
        </w:rPr>
        <w:t xml:space="preserve">Yet despite, Durkheim's assertion that man </w:t>
      </w:r>
      <w:r w:rsidR="261B744E">
        <w:rPr>
          <w:u w:val="none"/>
        </w:rPr>
        <w:t>is required to</w:t>
      </w:r>
      <w:r w:rsidR="261B744E">
        <w:rPr>
          <w:u w:val="none"/>
        </w:rPr>
        <w:t xml:space="preserve"> make and </w:t>
      </w:r>
      <w:r w:rsidR="261B744E">
        <w:rPr>
          <w:u w:val="none"/>
        </w:rPr>
        <w:t>main</w:t>
      </w:r>
      <w:r w:rsidR="7A9EB5C1">
        <w:rPr>
          <w:u w:val="none"/>
        </w:rPr>
        <w:t>tain</w:t>
      </w:r>
      <w:r w:rsidR="261B744E">
        <w:rPr>
          <w:u w:val="none"/>
        </w:rPr>
        <w:t xml:space="preserve"> sacredness within a </w:t>
      </w:r>
      <w:r w:rsidR="0BC8E0C4">
        <w:rPr>
          <w:u w:val="none"/>
        </w:rPr>
        <w:t>determined</w:t>
      </w:r>
      <w:r w:rsidR="261B744E">
        <w:rPr>
          <w:u w:val="none"/>
        </w:rPr>
        <w:t xml:space="preserve"> place </w:t>
      </w:r>
      <w:r w:rsidR="5A7AC217">
        <w:rPr>
          <w:u w:val="none"/>
        </w:rPr>
        <w:t xml:space="preserve">and Eliade's belief </w:t>
      </w:r>
      <w:r w:rsidR="4033CB14">
        <w:rPr>
          <w:u w:val="none"/>
        </w:rPr>
        <w:t xml:space="preserve">that the divine erupts from hierophonic space, the two </w:t>
      </w:r>
      <w:r w:rsidR="7ED8B045">
        <w:rPr>
          <w:u w:val="none"/>
        </w:rPr>
        <w:t>theorists</w:t>
      </w:r>
      <w:r w:rsidR="4033CB14">
        <w:rPr>
          <w:u w:val="none"/>
        </w:rPr>
        <w:t xml:space="preserve"> can be reconciled through</w:t>
      </w:r>
      <w:r w:rsidR="794D7A94">
        <w:rPr>
          <w:u w:val="none"/>
        </w:rPr>
        <w:t xml:space="preserve"> </w:t>
      </w:r>
      <w:r w:rsidR="794D7A94">
        <w:rPr>
          <w:u w:val="none"/>
        </w:rPr>
        <w:t>acknowledg</w:t>
      </w:r>
      <w:r w:rsidR="016A073E">
        <w:rPr>
          <w:u w:val="none"/>
        </w:rPr>
        <w:t>ing</w:t>
      </w:r>
      <w:r w:rsidR="794D7A94">
        <w:rPr>
          <w:u w:val="none"/>
        </w:rPr>
        <w:t xml:space="preserve"> </w:t>
      </w:r>
      <w:r w:rsidR="282FDFBD">
        <w:rPr>
          <w:u w:val="none"/>
        </w:rPr>
        <w:t>the</w:t>
      </w:r>
      <w:r w:rsidR="787219E1">
        <w:rPr>
          <w:u w:val="none"/>
        </w:rPr>
        <w:t xml:space="preserve"> </w:t>
      </w:r>
      <w:r w:rsidR="787219E1">
        <w:rPr>
          <w:u w:val="none"/>
        </w:rPr>
        <w:t>distinction between the sacred and the profane.</w:t>
      </w:r>
      <w:r w:rsidR="2894D094">
        <w:rPr>
          <w:u w:val="none"/>
        </w:rPr>
        <w:t xml:space="preserve"> Irrespective of whether sacred spaces are constructed or discovered</w:t>
      </w:r>
      <w:r w:rsidR="0A207706">
        <w:rPr>
          <w:u w:val="none"/>
        </w:rPr>
        <w:t xml:space="preserve">, the topic of sacred space </w:t>
      </w:r>
      <w:r w:rsidR="3AF1F72D">
        <w:rPr>
          <w:u w:val="none"/>
        </w:rPr>
        <w:t xml:space="preserve">is a highly disputable </w:t>
      </w:r>
      <w:r w:rsidR="4478F80D">
        <w:rPr>
          <w:u w:val="none"/>
        </w:rPr>
        <w:t xml:space="preserve">field of study and one for much ontological, </w:t>
      </w:r>
      <w:r w:rsidR="3014654C">
        <w:rPr>
          <w:u w:val="none"/>
        </w:rPr>
        <w:t>sociological,</w:t>
      </w:r>
      <w:r w:rsidR="4478F80D">
        <w:rPr>
          <w:u w:val="none"/>
        </w:rPr>
        <w:t xml:space="preserve"> and phenomenological discourse.</w:t>
      </w:r>
      <w:r w:rsidR="18945EBE">
        <w:rPr>
          <w:u w:val="none"/>
        </w:rPr>
        <w:t xml:space="preserve"> </w:t>
      </w:r>
    </w:p>
    <w:p w:rsidR="0B77795F" w:rsidP="63EBA88A" w:rsidRDefault="0B77795F" w14:paraId="15B15DF5" w14:textId="11845E0C">
      <w:pPr>
        <w:pStyle w:val="Normal"/>
        <w:bidi w:val="0"/>
        <w:spacing w:before="0" w:beforeAutospacing="off" w:after="160" w:afterAutospacing="off" w:line="259" w:lineRule="auto"/>
        <w:ind w:left="0" w:right="0"/>
        <w:jc w:val="both"/>
        <w:rPr>
          <w:u w:val="none"/>
        </w:rPr>
      </w:pPr>
    </w:p>
    <w:p w:rsidR="63EBA88A" w:rsidP="63EBA88A" w:rsidRDefault="63EBA88A" w14:paraId="77A42D83" w14:textId="4AA5D5E6">
      <w:pPr>
        <w:pStyle w:val="Normal"/>
        <w:bidi w:val="0"/>
        <w:spacing w:before="0" w:beforeAutospacing="off" w:after="160" w:afterAutospacing="off" w:line="259" w:lineRule="auto"/>
        <w:ind w:left="0" w:right="0"/>
        <w:jc w:val="both"/>
        <w:rPr>
          <w:u w:val="none"/>
        </w:rPr>
      </w:pPr>
    </w:p>
    <w:p w:rsidR="5881B92A" w:rsidP="5881B92A" w:rsidRDefault="5881B92A" w14:paraId="7662AD12" w14:textId="12FDBB69">
      <w:pPr>
        <w:pStyle w:val="Normal"/>
        <w:jc w:val="both"/>
        <w:rPr>
          <w:u w:val="none"/>
        </w:rPr>
      </w:pPr>
    </w:p>
    <w:p w:rsidR="5881B92A" w:rsidP="5881B92A" w:rsidRDefault="5881B92A" w14:paraId="13C63D74" w14:textId="775280D5">
      <w:pPr>
        <w:pStyle w:val="Normal"/>
        <w:jc w:val="both"/>
        <w:rPr>
          <w:u w:val="none"/>
        </w:rPr>
      </w:pPr>
    </w:p>
    <w:p w:rsidR="5881B92A" w:rsidP="5881B92A" w:rsidRDefault="5881B92A" w14:paraId="4424D432" w14:textId="1AA1C3DE">
      <w:pPr>
        <w:pStyle w:val="Normal"/>
        <w:jc w:val="both"/>
        <w:rPr>
          <w:u w:val="none"/>
        </w:rPr>
      </w:pPr>
    </w:p>
    <w:p w:rsidR="2D88EA34" w:rsidP="2D88EA34" w:rsidRDefault="2D88EA34" w14:paraId="490A67D1" w14:textId="798BA419">
      <w:pPr>
        <w:pStyle w:val="Normal"/>
        <w:jc w:val="both"/>
        <w:rPr>
          <w:u w:val="none"/>
        </w:rPr>
      </w:pPr>
    </w:p>
    <w:p w:rsidR="2D88EA34" w:rsidP="2D88EA34" w:rsidRDefault="2D88EA34" w14:paraId="0D40379D" w14:textId="0F1353B5">
      <w:pPr>
        <w:pStyle w:val="Normal"/>
        <w:jc w:val="both"/>
        <w:rPr>
          <w:u w:val="none"/>
        </w:rPr>
      </w:pPr>
    </w:p>
    <w:p w:rsidR="2D88EA34" w:rsidP="2D88EA34" w:rsidRDefault="2D88EA34" w14:paraId="635986F8" w14:textId="4B1A56C7">
      <w:pPr>
        <w:pStyle w:val="Normal"/>
        <w:jc w:val="both"/>
        <w:rPr>
          <w:u w:val="none"/>
        </w:rPr>
      </w:pPr>
    </w:p>
    <w:p w:rsidR="2D88EA34" w:rsidP="2D88EA34" w:rsidRDefault="2D88EA34" w14:paraId="1D1D5D3C" w14:textId="1A590EA5">
      <w:pPr>
        <w:pStyle w:val="Normal"/>
        <w:jc w:val="both"/>
        <w:rPr>
          <w:u w:val="none"/>
        </w:rPr>
      </w:pPr>
    </w:p>
    <w:p w:rsidR="2D88EA34" w:rsidP="2D88EA34" w:rsidRDefault="2D88EA34" w14:paraId="3BACD2CC" w14:textId="35C6DD1B">
      <w:pPr>
        <w:pStyle w:val="Normal"/>
        <w:jc w:val="both"/>
        <w:rPr>
          <w:u w:val="none"/>
        </w:rPr>
      </w:pPr>
    </w:p>
    <w:p w:rsidR="2D88EA34" w:rsidP="2D88EA34" w:rsidRDefault="2D88EA34" w14:paraId="2EFAA47D" w14:textId="2A35D2E3">
      <w:pPr>
        <w:pStyle w:val="Normal"/>
        <w:jc w:val="both"/>
        <w:rPr>
          <w:u w:val="none"/>
        </w:rPr>
      </w:pPr>
    </w:p>
    <w:p w:rsidR="2D88EA34" w:rsidP="2D88EA34" w:rsidRDefault="2D88EA34" w14:paraId="63BABA0B" w14:textId="41D1652C">
      <w:pPr>
        <w:pStyle w:val="Normal"/>
        <w:jc w:val="both"/>
        <w:rPr>
          <w:u w:val="none"/>
        </w:rPr>
      </w:pPr>
    </w:p>
    <w:p w:rsidR="2D88EA34" w:rsidP="2D88EA34" w:rsidRDefault="2D88EA34" w14:paraId="0580ED47" w14:textId="2A0BE8B4">
      <w:pPr>
        <w:pStyle w:val="Normal"/>
        <w:jc w:val="both"/>
        <w:rPr>
          <w:u w:val="none"/>
        </w:rPr>
      </w:pPr>
    </w:p>
    <w:p w:rsidR="0C197D6E" w:rsidP="2D88EA34" w:rsidRDefault="0C197D6E" w14:paraId="7228B718" w14:textId="03BB9B21">
      <w:pPr>
        <w:rPr>
          <w:rFonts w:ascii="Calibri" w:hAnsi="Calibri" w:eastAsia="Calibri" w:cs="Calibri"/>
          <w:noProof w:val="0"/>
          <w:sz w:val="22"/>
          <w:szCs w:val="22"/>
          <w:lang w:val="en-GB"/>
        </w:rPr>
      </w:pPr>
      <w:r w:rsidRPr="2D88EA34" w:rsidR="0C197D6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Bibliography</w:t>
      </w:r>
    </w:p>
    <w:p w:rsidR="009FACD2" w:rsidP="2D88EA34" w:rsidRDefault="009FACD2" w14:paraId="2BCAEED6" w14:textId="41976327">
      <w:pPr>
        <w:pStyle w:val="Normal"/>
        <w:bidi w:val="0"/>
        <w:jc w:val="both"/>
        <w:rPr>
          <w:i w:val="0"/>
          <w:iCs w:val="0"/>
        </w:rPr>
      </w:pPr>
      <w:r w:rsidR="009FACD2">
        <w:rPr/>
        <w:t xml:space="preserve">Arnold, Jafe, </w:t>
      </w:r>
      <w:r w:rsidRPr="2D88EA34" w:rsidR="009FACD2">
        <w:rPr>
          <w:i w:val="1"/>
          <w:iCs w:val="1"/>
        </w:rPr>
        <w:t xml:space="preserve">The Eternal Return: Mircea Eliade’s Homo Religiosus and the Cognitive Science of Religion, </w:t>
      </w:r>
      <w:r w:rsidRPr="2D88EA34" w:rsidR="009FACD2">
        <w:rPr>
          <w:i w:val="0"/>
          <w:iCs w:val="0"/>
        </w:rPr>
        <w:t>(Bushuls Center for Syncretic Studies, 2018)</w:t>
      </w:r>
    </w:p>
    <w:p w:rsidR="0355E26F" w:rsidP="2D88EA34" w:rsidRDefault="0355E26F" w14:paraId="7FC1D44F" w14:textId="4A92386B">
      <w:pPr>
        <w:pStyle w:val="Normal"/>
        <w:bidi w:val="0"/>
        <w:jc w:val="both"/>
        <w:rPr>
          <w:i w:val="0"/>
          <w:iCs w:val="0"/>
        </w:rPr>
      </w:pPr>
      <w:bookmarkStart w:name="_Int_NXIvt7vO" w:id="1391372894"/>
      <w:r w:rsidR="0355E26F">
        <w:rPr/>
        <w:t xml:space="preserve">Brady, Bernadette, </w:t>
      </w:r>
      <w:r w:rsidRPr="2D88EA34" w:rsidR="0355E26F">
        <w:rPr>
          <w:i w:val="1"/>
          <w:iCs w:val="1"/>
        </w:rPr>
        <w:t xml:space="preserve">Cosmos, Chaosmos and Astrology, </w:t>
      </w:r>
      <w:r w:rsidRPr="2D88EA34" w:rsidR="0355E26F">
        <w:rPr>
          <w:i w:val="0"/>
          <w:iCs w:val="0"/>
        </w:rPr>
        <w:t>(Sophia Centre Press, 2014)</w:t>
      </w:r>
      <w:bookmarkEnd w:id="1391372894"/>
    </w:p>
    <w:p w:rsidR="6DF01BC7" w:rsidP="2D88EA34" w:rsidRDefault="6DF01BC7" w14:paraId="4B71E38B" w14:textId="55975F84">
      <w:pPr>
        <w:pStyle w:val="Normal"/>
        <w:bidi w:val="0"/>
        <w:jc w:val="both"/>
        <w:rPr>
          <w:b w:val="0"/>
          <w:bCs w:val="0"/>
          <w:i w:val="0"/>
          <w:iCs w:val="0"/>
          <w:caps w:val="0"/>
          <w:smallCaps w:val="0"/>
          <w:noProof w:val="0"/>
          <w:color w:val="000000" w:themeColor="text1" w:themeTint="FF" w:themeShade="FF"/>
          <w:sz w:val="22"/>
          <w:szCs w:val="22"/>
          <w:lang w:val="en-GB"/>
        </w:rPr>
      </w:pPr>
      <w:r w:rsidRPr="2D88EA34" w:rsidR="6DF01BC7">
        <w:rPr>
          <w:b w:val="0"/>
          <w:bCs w:val="0"/>
          <w:i w:val="0"/>
          <w:iCs w:val="0"/>
          <w:caps w:val="0"/>
          <w:smallCaps w:val="0"/>
          <w:noProof w:val="0"/>
          <w:color w:val="000000" w:themeColor="text1" w:themeTint="FF" w:themeShade="FF"/>
          <w:sz w:val="22"/>
          <w:szCs w:val="22"/>
          <w:lang w:val="en-GB"/>
        </w:rPr>
        <w:t xml:space="preserve">Campbell, Gregory, R., and Foor, Thomas A., </w:t>
      </w:r>
      <w:r w:rsidRPr="2D88EA34" w:rsidR="6DF01BC7">
        <w:rPr>
          <w:b w:val="0"/>
          <w:bCs w:val="0"/>
          <w:i w:val="1"/>
          <w:iCs w:val="1"/>
          <w:caps w:val="0"/>
          <w:smallCaps w:val="0"/>
          <w:noProof w:val="0"/>
          <w:color w:val="000000" w:themeColor="text1" w:themeTint="FF" w:themeShade="FF"/>
          <w:sz w:val="22"/>
          <w:szCs w:val="22"/>
          <w:lang w:val="en-GB"/>
        </w:rPr>
        <w:t>ENTERING SACRED LANDSCAPES: CULTURAL EXPECTATIONS VERSUS LEGAL REALITIES IN THE NORTHWESTERN PLAINS</w:t>
      </w:r>
      <w:r w:rsidRPr="2D88EA34" w:rsidR="6DF01BC7">
        <w:rPr>
          <w:b w:val="0"/>
          <w:bCs w:val="0"/>
          <w:i w:val="0"/>
          <w:iCs w:val="0"/>
          <w:caps w:val="0"/>
          <w:smallCaps w:val="0"/>
          <w:noProof w:val="0"/>
          <w:color w:val="000000" w:themeColor="text1" w:themeTint="FF" w:themeShade="FF"/>
          <w:sz w:val="22"/>
          <w:szCs w:val="22"/>
          <w:lang w:val="en-GB"/>
        </w:rPr>
        <w:t>, (Great Plains Quarterly, vol. 24, no. 3, 2004)</w:t>
      </w:r>
    </w:p>
    <w:p w:rsidR="5BCBC59B" w:rsidP="2D88EA34" w:rsidRDefault="5BCBC59B" w14:paraId="1266211B" w14:textId="46CB22C5">
      <w:pPr>
        <w:pStyle w:val="Normal"/>
        <w:bidi w:val="0"/>
        <w:jc w:val="both"/>
      </w:pPr>
      <w:r w:rsidR="5BCBC59B">
        <w:rPr/>
        <w:t xml:space="preserve">Codoban, Aurel, </w:t>
      </w:r>
      <w:r w:rsidRPr="2D88EA34" w:rsidR="5BCBC59B">
        <w:rPr>
          <w:i w:val="1"/>
          <w:iCs w:val="1"/>
        </w:rPr>
        <w:t>Eliade’s Idea of Ultimate Reality and Meaning: A Disanthropomorphized, ’Weakened’ Transcendence'</w:t>
      </w:r>
      <w:r w:rsidR="5BCBC59B">
        <w:rPr/>
        <w:t>, (Ultimate Reality and Meaning 21.2 1998)</w:t>
      </w:r>
    </w:p>
    <w:p w:rsidR="3910057B" w:rsidP="2D88EA34" w:rsidRDefault="3910057B" w14:paraId="21BDC2DB" w14:textId="61FF3D43">
      <w:pPr>
        <w:pStyle w:val="Normal"/>
        <w:bidi w:val="0"/>
        <w:jc w:val="both"/>
        <w:rPr>
          <w:i w:val="0"/>
          <w:iCs w:val="0"/>
        </w:rPr>
      </w:pPr>
      <w:r w:rsidR="3910057B">
        <w:rPr/>
        <w:t>Douglas,</w:t>
      </w:r>
      <w:r w:rsidR="418AA0C3">
        <w:rPr/>
        <w:t xml:space="preserve"> Allen,</w:t>
      </w:r>
      <w:r w:rsidR="3910057B">
        <w:rPr/>
        <w:t xml:space="preserve"> </w:t>
      </w:r>
      <w:r w:rsidRPr="2D88EA34" w:rsidR="3910057B">
        <w:rPr>
          <w:i w:val="1"/>
          <w:iCs w:val="1"/>
        </w:rPr>
        <w:t xml:space="preserve">Eliade and History, </w:t>
      </w:r>
      <w:r w:rsidRPr="2D88EA34" w:rsidR="3910057B">
        <w:rPr>
          <w:i w:val="0"/>
          <w:iCs w:val="0"/>
        </w:rPr>
        <w:t>(The Journal of Religion, Vol. 68, No. 4, 1988)</w:t>
      </w:r>
    </w:p>
    <w:p w:rsidR="7612BC9E" w:rsidP="2D88EA34" w:rsidRDefault="7612BC9E" w14:paraId="7899B630" w14:textId="4A5D5035">
      <w:pPr>
        <w:pStyle w:val="FootnoteText"/>
        <w:bidi w:val="0"/>
        <w:rPr>
          <w:i w:val="0"/>
          <w:iCs w:val="0"/>
          <w:sz w:val="22"/>
          <w:szCs w:val="22"/>
        </w:rPr>
      </w:pPr>
      <w:r w:rsidRPr="2D88EA34" w:rsidR="7612BC9E">
        <w:rPr>
          <w:sz w:val="22"/>
          <w:szCs w:val="22"/>
        </w:rPr>
        <w:t xml:space="preserve">Durkheim, Emile, </w:t>
      </w:r>
      <w:r w:rsidRPr="2D88EA34" w:rsidR="7612BC9E">
        <w:rPr>
          <w:i w:val="1"/>
          <w:iCs w:val="1"/>
          <w:sz w:val="22"/>
          <w:szCs w:val="22"/>
        </w:rPr>
        <w:t xml:space="preserve">The Elementary Forms of Religious Life', </w:t>
      </w:r>
      <w:r w:rsidRPr="2D88EA34" w:rsidR="7612BC9E">
        <w:rPr>
          <w:i w:val="0"/>
          <w:iCs w:val="0"/>
          <w:sz w:val="22"/>
          <w:szCs w:val="22"/>
        </w:rPr>
        <w:t>Trans. Robert Ward Swain, (George Allen &amp; Unwin Limited: London, 1971), p. 213.</w:t>
      </w:r>
    </w:p>
    <w:p w:rsidR="2D88EA34" w:rsidP="2D88EA34" w:rsidRDefault="2D88EA34" w14:paraId="346D2865" w14:textId="00C0BE3F">
      <w:pPr>
        <w:pStyle w:val="FootnoteText"/>
        <w:bidi w:val="0"/>
        <w:rPr>
          <w:i w:val="0"/>
          <w:iCs w:val="0"/>
          <w:sz w:val="22"/>
          <w:szCs w:val="22"/>
        </w:rPr>
      </w:pPr>
    </w:p>
    <w:p w:rsidR="155727BD" w:rsidP="2D88EA34" w:rsidRDefault="155727BD" w14:paraId="73BCD10D" w14:textId="5BE706F0">
      <w:pPr>
        <w:pStyle w:val="Normal"/>
        <w:bidi w:val="0"/>
        <w:jc w:val="both"/>
      </w:pPr>
      <w:r w:rsidR="155727BD">
        <w:rPr/>
        <w:t xml:space="preserve">Eliade, Mircea, </w:t>
      </w:r>
      <w:r w:rsidRPr="2D88EA34" w:rsidR="155727BD">
        <w:rPr>
          <w:i w:val="1"/>
          <w:iCs w:val="1"/>
        </w:rPr>
        <w:t xml:space="preserve">Patterns in Comparative Religion, </w:t>
      </w:r>
      <w:r w:rsidRPr="2D88EA34" w:rsidR="155727BD">
        <w:rPr>
          <w:i w:val="0"/>
          <w:iCs w:val="0"/>
        </w:rPr>
        <w:t>(Sheed and Ward: London, 1993)</w:t>
      </w:r>
    </w:p>
    <w:p w:rsidR="7612BC9E" w:rsidP="2D88EA34" w:rsidRDefault="7612BC9E" w14:paraId="1DE326E6" w14:textId="20989C73">
      <w:pPr>
        <w:pStyle w:val="Normal"/>
        <w:bidi w:val="0"/>
        <w:jc w:val="both"/>
      </w:pPr>
      <w:r w:rsidR="7612BC9E">
        <w:rPr/>
        <w:t xml:space="preserve">Eliade, Mircea, </w:t>
      </w:r>
      <w:r w:rsidRPr="2D88EA34" w:rsidR="7612BC9E">
        <w:rPr>
          <w:i w:val="1"/>
          <w:iCs w:val="1"/>
        </w:rPr>
        <w:t xml:space="preserve">The Sacred and The Profane: The Nature of Religion, </w:t>
      </w:r>
      <w:r w:rsidRPr="2D88EA34" w:rsidR="7612BC9E">
        <w:rPr>
          <w:i w:val="0"/>
          <w:iCs w:val="0"/>
        </w:rPr>
        <w:t>Trans. Willard R. Trask, (Harcourt Brace &amp; Company, 1987)</w:t>
      </w:r>
    </w:p>
    <w:p w:rsidR="7612BC9E" w:rsidP="2D88EA34" w:rsidRDefault="7612BC9E" w14:paraId="415AA4EB" w14:textId="18AB29B6">
      <w:pPr>
        <w:pStyle w:val="Normal"/>
        <w:bidi w:val="0"/>
        <w:jc w:val="both"/>
        <w:rPr>
          <w:i w:val="0"/>
          <w:iCs w:val="0"/>
        </w:rPr>
      </w:pPr>
      <w:r w:rsidR="7612BC9E">
        <w:rPr/>
        <w:t xml:space="preserve">Evans, Mathew T, </w:t>
      </w:r>
      <w:r w:rsidRPr="2D88EA34" w:rsidR="7612BC9E">
        <w:rPr>
          <w:i w:val="1"/>
          <w:iCs w:val="1"/>
        </w:rPr>
        <w:t xml:space="preserve">The Sacred: Differentiating, </w:t>
      </w:r>
      <w:bookmarkStart w:name="_Int_BgHUsmwB" w:id="979723960"/>
      <w:r w:rsidRPr="2D88EA34" w:rsidR="7612BC9E">
        <w:rPr>
          <w:i w:val="1"/>
          <w:iCs w:val="1"/>
        </w:rPr>
        <w:t>Clarifying</w:t>
      </w:r>
      <w:bookmarkEnd w:id="979723960"/>
      <w:r w:rsidRPr="2D88EA34" w:rsidR="7612BC9E">
        <w:rPr>
          <w:i w:val="1"/>
          <w:iCs w:val="1"/>
        </w:rPr>
        <w:t xml:space="preserve"> and extending concepts, </w:t>
      </w:r>
      <w:r w:rsidRPr="2D88EA34" w:rsidR="7612BC9E">
        <w:rPr>
          <w:i w:val="0"/>
          <w:iCs w:val="0"/>
        </w:rPr>
        <w:t>(Review of Religious Research, Vol. 45, No. 1, 2003)</w:t>
      </w:r>
    </w:p>
    <w:p w:rsidR="4184CE98" w:rsidP="2D88EA34" w:rsidRDefault="4184CE98" w14:paraId="1C834990" w14:textId="3DCB1E21">
      <w:pPr>
        <w:pStyle w:val="Normal"/>
        <w:bidi w:val="0"/>
        <w:jc w:val="both"/>
      </w:pPr>
      <w:r w:rsidR="4184CE98">
        <w:rPr/>
        <w:t xml:space="preserve">Fields, Karen, E, </w:t>
      </w:r>
      <w:r w:rsidRPr="2D88EA34" w:rsidR="4184CE98">
        <w:rPr>
          <w:i w:val="1"/>
          <w:iCs w:val="1"/>
        </w:rPr>
        <w:t xml:space="preserve">Elementary Forms of Religious Life: A New Translation, </w:t>
      </w:r>
      <w:r w:rsidRPr="2D88EA34" w:rsidR="4184CE98">
        <w:rPr>
          <w:i w:val="0"/>
          <w:iCs w:val="0"/>
        </w:rPr>
        <w:t>(Free Press, 1995)</w:t>
      </w:r>
    </w:p>
    <w:p w:rsidR="7612BC9E" w:rsidP="2D88EA34" w:rsidRDefault="7612BC9E" w14:paraId="0AC642EA" w14:textId="160C66AC">
      <w:pPr>
        <w:pStyle w:val="Normal"/>
        <w:bidi w:val="0"/>
        <w:jc w:val="both"/>
      </w:pPr>
      <w:r w:rsidR="7612BC9E">
        <w:rPr/>
        <w:t xml:space="preserve">Greenwald, David E., </w:t>
      </w:r>
      <w:r w:rsidRPr="2D88EA34" w:rsidR="7612BC9E">
        <w:rPr>
          <w:i w:val="1"/>
          <w:iCs w:val="1"/>
        </w:rPr>
        <w:t>Durkheim on Society, Thought and Ritual</w:t>
      </w:r>
      <w:r w:rsidR="7612BC9E">
        <w:rPr/>
        <w:t>, (Sociological Analysis, vol. 34, no. 3, 1973)</w:t>
      </w:r>
    </w:p>
    <w:p w:rsidR="7612BC9E" w:rsidP="2D88EA34" w:rsidRDefault="7612BC9E" w14:paraId="3AC06206" w14:textId="2FF558B4">
      <w:pPr>
        <w:pStyle w:val="Normal"/>
        <w:bidi w:val="0"/>
        <w:jc w:val="both"/>
      </w:pPr>
      <w:r w:rsidR="7612BC9E">
        <w:rPr/>
        <w:t xml:space="preserve">Guilford, Dudley, </w:t>
      </w:r>
      <w:r w:rsidRPr="2D88EA34" w:rsidR="7612BC9E">
        <w:rPr>
          <w:i w:val="1"/>
          <w:iCs w:val="1"/>
        </w:rPr>
        <w:t>Mircea Eliade as the ‘Anti-Historian' of Religions</w:t>
      </w:r>
      <w:r w:rsidR="7612BC9E">
        <w:rPr/>
        <w:t>, (Journal of the American Academy of Religion, vol. 44, no. 2, 1976)</w:t>
      </w:r>
    </w:p>
    <w:p w:rsidR="52C66383" w:rsidP="2D88EA34" w:rsidRDefault="52C66383" w14:paraId="7F2286D1" w14:textId="16D790FD">
      <w:pPr>
        <w:pStyle w:val="Normal"/>
        <w:bidi w:val="0"/>
        <w:jc w:val="both"/>
      </w:pPr>
      <w:r w:rsidR="52C66383">
        <w:rPr/>
        <w:t xml:space="preserve">Gunzburg, Darrelyn and Brady, Bernadette, </w:t>
      </w:r>
      <w:r w:rsidRPr="2D88EA34" w:rsidR="52C66383">
        <w:rPr>
          <w:i w:val="1"/>
          <w:iCs w:val="1"/>
        </w:rPr>
        <w:t>Space, Place and Religious Landscapes: Living Mountains</w:t>
      </w:r>
      <w:r w:rsidR="52C66383">
        <w:rPr/>
        <w:t>, (Bloomsbury, 2021)</w:t>
      </w:r>
    </w:p>
    <w:p w:rsidR="2E9B83AF" w:rsidP="2D88EA34" w:rsidRDefault="2E9B83AF" w14:paraId="62E41FB0" w14:textId="09B9FA74">
      <w:pPr>
        <w:pStyle w:val="Normal"/>
        <w:bidi w:val="0"/>
        <w:jc w:val="both"/>
      </w:pPr>
      <w:r w:rsidR="2E9B83AF">
        <w:rPr/>
        <w:t xml:space="preserve">Gurevitch, Zali, and Gideon Aran, </w:t>
      </w:r>
      <w:r w:rsidRPr="2D88EA34" w:rsidR="2E9B83AF">
        <w:rPr>
          <w:i w:val="1"/>
          <w:iCs w:val="1"/>
        </w:rPr>
        <w:t>Never in Place: Eliade and Judaïc Sacred Space</w:t>
      </w:r>
      <w:r w:rsidR="2E9B83AF">
        <w:rPr/>
        <w:t xml:space="preserve">, (Archives de Sciences Sociales </w:t>
      </w:r>
      <w:r w:rsidR="2E9B83AF">
        <w:rPr/>
        <w:t>Des</w:t>
      </w:r>
      <w:r w:rsidR="2E9B83AF">
        <w:rPr/>
        <w:t xml:space="preserve"> Religions, vol. 39, no. 87, 1994)</w:t>
      </w:r>
    </w:p>
    <w:p w:rsidR="7612BC9E" w:rsidP="2D88EA34" w:rsidRDefault="7612BC9E" w14:paraId="077E2A14" w14:textId="309E8FC3">
      <w:pPr>
        <w:pStyle w:val="Normal"/>
        <w:bidi w:val="0"/>
        <w:jc w:val="both"/>
        <w:rPr>
          <w:b w:val="0"/>
          <w:bCs w:val="0"/>
          <w:i w:val="0"/>
          <w:iCs w:val="0"/>
          <w:caps w:val="0"/>
          <w:smallCaps w:val="0"/>
          <w:noProof w:val="0"/>
          <w:color w:val="000000" w:themeColor="text1" w:themeTint="FF" w:themeShade="FF"/>
          <w:sz w:val="22"/>
          <w:szCs w:val="22"/>
          <w:lang w:val="en-GB"/>
        </w:rPr>
      </w:pPr>
      <w:r w:rsidRPr="2D88EA34" w:rsidR="7612BC9E">
        <w:rPr>
          <w:b w:val="0"/>
          <w:bCs w:val="0"/>
          <w:i w:val="0"/>
          <w:iCs w:val="0"/>
          <w:caps w:val="0"/>
          <w:smallCaps w:val="0"/>
          <w:noProof w:val="0"/>
          <w:color w:val="000000" w:themeColor="text1" w:themeTint="FF" w:themeShade="FF"/>
          <w:sz w:val="22"/>
          <w:szCs w:val="22"/>
          <w:lang w:val="en-GB"/>
        </w:rPr>
        <w:t xml:space="preserve">Gupta, Anoop, </w:t>
      </w:r>
      <w:r w:rsidRPr="2D88EA34" w:rsidR="7612BC9E">
        <w:rPr>
          <w:b w:val="0"/>
          <w:bCs w:val="0"/>
          <w:i w:val="1"/>
          <w:iCs w:val="1"/>
          <w:caps w:val="0"/>
          <w:smallCaps w:val="0"/>
          <w:noProof w:val="0"/>
          <w:color w:val="000000" w:themeColor="text1" w:themeTint="FF" w:themeShade="FF"/>
          <w:sz w:val="22"/>
          <w:szCs w:val="22"/>
          <w:lang w:val="en-GB"/>
        </w:rPr>
        <w:t>Durkheim,</w:t>
      </w:r>
      <w:r w:rsidRPr="2D88EA34" w:rsidR="7612BC9E">
        <w:rPr>
          <w:b w:val="0"/>
          <w:bCs w:val="0"/>
          <w:i w:val="0"/>
          <w:iCs w:val="0"/>
          <w:caps w:val="0"/>
          <w:smallCaps w:val="0"/>
          <w:noProof w:val="0"/>
          <w:color w:val="000000" w:themeColor="text1" w:themeTint="FF" w:themeShade="FF"/>
          <w:sz w:val="22"/>
          <w:szCs w:val="22"/>
          <w:lang w:val="en-GB"/>
        </w:rPr>
        <w:t xml:space="preserve"> </w:t>
      </w:r>
      <w:r w:rsidRPr="2D88EA34" w:rsidR="7612BC9E">
        <w:rPr>
          <w:b w:val="0"/>
          <w:bCs w:val="0"/>
          <w:i w:val="1"/>
          <w:iCs w:val="1"/>
          <w:caps w:val="0"/>
          <w:smallCaps w:val="0"/>
          <w:noProof w:val="0"/>
          <w:color w:val="000000" w:themeColor="text1" w:themeTint="FF" w:themeShade="FF"/>
          <w:sz w:val="22"/>
          <w:szCs w:val="22"/>
          <w:lang w:val="en-GB"/>
        </w:rPr>
        <w:t>Kierkegaard’s Romantic Legacy: Two Theories of the Self</w:t>
      </w:r>
      <w:r w:rsidRPr="2D88EA34" w:rsidR="7612BC9E">
        <w:rPr>
          <w:b w:val="0"/>
          <w:bCs w:val="0"/>
          <w:i w:val="0"/>
          <w:iCs w:val="0"/>
          <w:caps w:val="0"/>
          <w:smallCaps w:val="0"/>
          <w:noProof w:val="0"/>
          <w:color w:val="000000" w:themeColor="text1" w:themeTint="FF" w:themeShade="FF"/>
          <w:sz w:val="22"/>
          <w:szCs w:val="22"/>
          <w:lang w:val="en-GB"/>
        </w:rPr>
        <w:t>, (University of Ottawa Press, 2005)</w:t>
      </w:r>
    </w:p>
    <w:p w:rsidR="20530F0F" w:rsidP="2D88EA34" w:rsidRDefault="20530F0F" w14:paraId="7C13EF7E" w14:textId="3E26CCC3">
      <w:pPr>
        <w:pStyle w:val="Normal"/>
        <w:bidi w:val="0"/>
        <w:jc w:val="both"/>
        <w:rPr>
          <w:b w:val="0"/>
          <w:bCs w:val="0"/>
          <w:i w:val="0"/>
          <w:iCs w:val="0"/>
          <w:caps w:val="0"/>
          <w:smallCaps w:val="0"/>
          <w:noProof w:val="0"/>
          <w:color w:val="000000" w:themeColor="text1" w:themeTint="FF" w:themeShade="FF"/>
          <w:sz w:val="22"/>
          <w:szCs w:val="22"/>
          <w:lang w:val="en-GB"/>
        </w:rPr>
      </w:pPr>
      <w:r w:rsidRPr="2D88EA34" w:rsidR="20530F0F">
        <w:rPr>
          <w:b w:val="0"/>
          <w:bCs w:val="0"/>
          <w:i w:val="0"/>
          <w:iCs w:val="0"/>
          <w:caps w:val="0"/>
          <w:smallCaps w:val="0"/>
          <w:noProof w:val="0"/>
          <w:color w:val="000000" w:themeColor="text1" w:themeTint="FF" w:themeShade="FF"/>
          <w:sz w:val="22"/>
          <w:szCs w:val="22"/>
          <w:lang w:val="en-GB"/>
        </w:rPr>
        <w:t xml:space="preserve">Halls, W. D., </w:t>
      </w:r>
      <w:r w:rsidRPr="2D88EA34" w:rsidR="20530F0F">
        <w:rPr>
          <w:b w:val="0"/>
          <w:bCs w:val="0"/>
          <w:i w:val="1"/>
          <w:iCs w:val="1"/>
          <w:caps w:val="0"/>
          <w:smallCaps w:val="0"/>
          <w:noProof w:val="0"/>
          <w:color w:val="000000" w:themeColor="text1" w:themeTint="FF" w:themeShade="FF"/>
          <w:sz w:val="22"/>
          <w:szCs w:val="22"/>
          <w:lang w:val="en-GB"/>
        </w:rPr>
        <w:t>The Cultural and Educational Influence of Durkheim, 1900-1945,</w:t>
      </w:r>
      <w:r w:rsidRPr="2D88EA34" w:rsidR="20530F0F">
        <w:rPr>
          <w:b w:val="0"/>
          <w:bCs w:val="0"/>
          <w:i w:val="0"/>
          <w:iCs w:val="0"/>
          <w:caps w:val="0"/>
          <w:smallCaps w:val="0"/>
          <w:noProof w:val="0"/>
          <w:color w:val="000000" w:themeColor="text1" w:themeTint="FF" w:themeShade="FF"/>
          <w:sz w:val="22"/>
          <w:szCs w:val="22"/>
          <w:lang w:val="en-GB"/>
        </w:rPr>
        <w:t xml:space="preserve"> (Durkheimian Studies / Études Durkheimiennes, vol. 2, 1996)</w:t>
      </w:r>
    </w:p>
    <w:p w:rsidR="73DDF5B2" w:rsidP="2D88EA34" w:rsidRDefault="73DDF5B2" w14:paraId="371ACF42" w14:textId="51CB343A">
      <w:pPr>
        <w:pStyle w:val="Normal"/>
        <w:bidi w:val="0"/>
        <w:jc w:val="both"/>
        <w:rPr>
          <w:b w:val="0"/>
          <w:bCs w:val="0"/>
          <w:i w:val="0"/>
          <w:iCs w:val="0"/>
          <w:caps w:val="0"/>
          <w:smallCaps w:val="0"/>
          <w:noProof w:val="0"/>
          <w:color w:val="000000" w:themeColor="text1" w:themeTint="FF" w:themeShade="FF"/>
          <w:sz w:val="22"/>
          <w:szCs w:val="22"/>
          <w:lang w:val="en-GB"/>
        </w:rPr>
      </w:pPr>
      <w:bookmarkStart w:name="_Int_S5s8QOJ5" w:id="2123661887"/>
      <w:r w:rsidRPr="2D88EA34" w:rsidR="73DDF5B2">
        <w:rPr>
          <w:b w:val="0"/>
          <w:bCs w:val="0"/>
          <w:i w:val="0"/>
          <w:iCs w:val="0"/>
          <w:caps w:val="0"/>
          <w:smallCaps w:val="0"/>
          <w:noProof w:val="0"/>
          <w:color w:val="000000" w:themeColor="text1" w:themeTint="FF" w:themeShade="FF"/>
          <w:sz w:val="22"/>
          <w:szCs w:val="22"/>
          <w:lang w:val="en-GB"/>
        </w:rPr>
        <w:t xml:space="preserve">Hartati, Celerina, Dewi and Rudyansjah, Tony, </w:t>
      </w:r>
      <w:r w:rsidRPr="2D88EA34" w:rsidR="73DDF5B2">
        <w:rPr>
          <w:b w:val="0"/>
          <w:bCs w:val="0"/>
          <w:i w:val="1"/>
          <w:iCs w:val="1"/>
          <w:caps w:val="0"/>
          <w:smallCaps w:val="0"/>
          <w:noProof w:val="0"/>
          <w:color w:val="000000" w:themeColor="text1" w:themeTint="FF" w:themeShade="FF"/>
          <w:sz w:val="22"/>
          <w:szCs w:val="22"/>
          <w:lang w:val="en-GB"/>
        </w:rPr>
        <w:t>Transformation of the sacred and the profane in space and time case study Chinese ritual in Chinese temple in Bekasi, West Java, Indonesia, (</w:t>
      </w:r>
      <w:r w:rsidRPr="2D88EA34" w:rsidR="73DDF5B2">
        <w:rPr>
          <w:b w:val="0"/>
          <w:bCs w:val="0"/>
          <w:i w:val="0"/>
          <w:iCs w:val="0"/>
          <w:caps w:val="0"/>
          <w:smallCaps w:val="0"/>
          <w:noProof w:val="0"/>
          <w:color w:val="000000" w:themeColor="text1" w:themeTint="FF" w:themeShade="FF"/>
          <w:sz w:val="22"/>
          <w:szCs w:val="22"/>
          <w:lang w:val="en-GB"/>
        </w:rPr>
        <w:t>Kasetsart Journal of Social Sciences, Volume, 042, Issue 1, 2021)</w:t>
      </w:r>
      <w:bookmarkEnd w:id="2123661887"/>
    </w:p>
    <w:p w:rsidR="68468436" w:rsidP="2D88EA34" w:rsidRDefault="68468436" w14:paraId="31924D57" w14:textId="15B2DDE9">
      <w:pPr>
        <w:pStyle w:val="Normal"/>
        <w:bidi w:val="0"/>
        <w:jc w:val="both"/>
      </w:pPr>
      <w:r w:rsidR="68468436">
        <w:rPr/>
        <w:t xml:space="preserve">Jones, Lindsay, </w:t>
      </w:r>
      <w:r w:rsidRPr="2D88EA34" w:rsidR="68468436">
        <w:rPr>
          <w:i w:val="1"/>
          <w:iCs w:val="1"/>
        </w:rPr>
        <w:t>Jewish Place and Placelessness: Historical and Academic Challenges (or ‘What the Study of Jewish Space and Place Suggests to Me about the Aztecs’),</w:t>
      </w:r>
      <w:r w:rsidR="68468436">
        <w:rPr/>
        <w:t xml:space="preserve"> (Shofar, vol. 17, no. 1, 1998)</w:t>
      </w:r>
    </w:p>
    <w:p w:rsidR="7642DDC8" w:rsidP="2D88EA34" w:rsidRDefault="7642DDC8" w14:paraId="0FA87522" w14:textId="4E83AAE5">
      <w:pPr>
        <w:pStyle w:val="Normal"/>
        <w:bidi w:val="0"/>
        <w:jc w:val="both"/>
        <w:rPr>
          <w:i w:val="0"/>
          <w:iCs w:val="0"/>
          <w:sz w:val="20"/>
          <w:szCs w:val="20"/>
        </w:rPr>
      </w:pPr>
      <w:r w:rsidR="7642DDC8">
        <w:rPr/>
        <w:t>Kelly, John D., T</w:t>
      </w:r>
      <w:r w:rsidRPr="2D88EA34" w:rsidR="7642DDC8">
        <w:rPr>
          <w:i w:val="1"/>
          <w:iCs w:val="1"/>
        </w:rPr>
        <w:t xml:space="preserve">he elementary forms of moral life? Responsibility, sacred </w:t>
      </w:r>
      <w:bookmarkStart w:name="_Int_UdK1WcKE" w:id="1908511708"/>
      <w:r w:rsidRPr="2D88EA34" w:rsidR="7642DDC8">
        <w:rPr>
          <w:i w:val="1"/>
          <w:iCs w:val="1"/>
        </w:rPr>
        <w:t>things</w:t>
      </w:r>
      <w:bookmarkEnd w:id="1908511708"/>
      <w:r w:rsidRPr="2D88EA34" w:rsidR="7642DDC8">
        <w:rPr>
          <w:i w:val="1"/>
          <w:iCs w:val="1"/>
        </w:rPr>
        <w:t xml:space="preserve"> and Durkheim’s ontological turn, </w:t>
      </w:r>
      <w:r w:rsidRPr="2D88EA34" w:rsidR="7642DDC8">
        <w:rPr>
          <w:i w:val="0"/>
          <w:iCs w:val="0"/>
        </w:rPr>
        <w:t>(HAU: Journal of Ethnographic Theory 4:1, 2014</w:t>
      </w:r>
      <w:r w:rsidRPr="2D88EA34" w:rsidR="7642DDC8">
        <w:rPr>
          <w:i w:val="0"/>
          <w:iCs w:val="0"/>
          <w:sz w:val="20"/>
          <w:szCs w:val="20"/>
        </w:rPr>
        <w:t>)</w:t>
      </w:r>
    </w:p>
    <w:p w:rsidR="7782E0D0" w:rsidP="2D88EA34" w:rsidRDefault="7782E0D0" w14:paraId="194CD5BD" w14:textId="35390D9F">
      <w:pPr>
        <w:pStyle w:val="Normal"/>
        <w:bidi w:val="0"/>
        <w:jc w:val="both"/>
        <w:rPr>
          <w:i w:val="0"/>
          <w:iCs w:val="0"/>
        </w:rPr>
      </w:pPr>
      <w:r w:rsidR="7782E0D0">
        <w:rPr/>
        <w:t xml:space="preserve">Lane, Beldon C., </w:t>
      </w:r>
      <w:r w:rsidRPr="2D88EA34" w:rsidR="7782E0D0">
        <w:rPr>
          <w:i w:val="1"/>
          <w:iCs w:val="1"/>
        </w:rPr>
        <w:t xml:space="preserve">Giving Voice to Place: Three Models for Understanding American Sacred Space, </w:t>
      </w:r>
      <w:r w:rsidRPr="2D88EA34" w:rsidR="7782E0D0">
        <w:rPr>
          <w:i w:val="0"/>
          <w:iCs w:val="0"/>
        </w:rPr>
        <w:t>(Religion and American Culture, Journal of Interpretation, Vol. 11, No 1, 2001)</w:t>
      </w:r>
      <w:r w:rsidR="7782E0D0">
        <w:rPr/>
        <w:t xml:space="preserve"> </w:t>
      </w:r>
    </w:p>
    <w:p w:rsidR="7782E0D0" w:rsidP="2D88EA34" w:rsidRDefault="7782E0D0" w14:paraId="4396B697" w14:textId="17A18BC9">
      <w:pPr>
        <w:pStyle w:val="Normal"/>
        <w:bidi w:val="0"/>
        <w:jc w:val="both"/>
        <w:rPr>
          <w:i w:val="0"/>
          <w:iCs w:val="0"/>
        </w:rPr>
      </w:pPr>
      <w:r w:rsidR="7782E0D0">
        <w:rPr/>
        <w:t>Lane, Beldon C.,</w:t>
      </w:r>
      <w:r w:rsidR="72520814">
        <w:rPr/>
        <w:t xml:space="preserve"> </w:t>
      </w:r>
      <w:r w:rsidRPr="2D88EA34" w:rsidR="72520814">
        <w:rPr>
          <w:i w:val="1"/>
          <w:iCs w:val="1"/>
        </w:rPr>
        <w:t xml:space="preserve">Landscapes of The Sacred: Geography and Narrative in American Spirituality, </w:t>
      </w:r>
      <w:r w:rsidRPr="2D88EA34" w:rsidR="72520814">
        <w:rPr>
          <w:i w:val="0"/>
          <w:iCs w:val="0"/>
        </w:rPr>
        <w:t>(Paulist Press: New York, 1988)</w:t>
      </w:r>
    </w:p>
    <w:p w:rsidR="79C31D65" w:rsidP="2D88EA34" w:rsidRDefault="79C31D65" w14:paraId="6F66B0E5" w14:textId="3AF6154E">
      <w:pPr>
        <w:pStyle w:val="FootnoteText"/>
        <w:bidi w:val="0"/>
        <w:rPr>
          <w:i w:val="1"/>
          <w:iCs w:val="1"/>
          <w:sz w:val="22"/>
          <w:szCs w:val="22"/>
        </w:rPr>
      </w:pPr>
      <w:r w:rsidRPr="2D88EA34" w:rsidR="79C31D65">
        <w:rPr>
          <w:sz w:val="22"/>
          <w:szCs w:val="22"/>
        </w:rPr>
        <w:t>Matei, Calinescu†, Eliade</w:t>
      </w:r>
      <w:r w:rsidRPr="2D88EA34" w:rsidR="79C31D65">
        <w:rPr>
          <w:i w:val="1"/>
          <w:iCs w:val="1"/>
          <w:sz w:val="22"/>
          <w:szCs w:val="22"/>
        </w:rPr>
        <w:t xml:space="preserve"> and Ionesco in the Post–World War II Years: Questions of Identity in Exile,</w:t>
      </w:r>
    </w:p>
    <w:p w:rsidR="79C31D65" w:rsidP="2D88EA34" w:rsidRDefault="79C31D65" w14:paraId="4184A5E1" w14:textId="00BEFE6D">
      <w:pPr>
        <w:pStyle w:val="Normal"/>
        <w:jc w:val="both"/>
      </w:pPr>
      <w:r w:rsidR="79C31D65">
        <w:rPr/>
        <w:t xml:space="preserve"> in Christian Wedemeyer, and Wendy Doniger (eds), </w:t>
      </w:r>
      <w:r w:rsidRPr="2D88EA34" w:rsidR="79C31D65">
        <w:rPr>
          <w:i w:val="1"/>
          <w:iCs w:val="1"/>
        </w:rPr>
        <w:t>Hermeneutics, Politics, and the History of Religions: The Contested Legacies of Joachim Wach and Mircea Eliade, (</w:t>
      </w:r>
      <w:r w:rsidR="79C31D65">
        <w:rPr/>
        <w:t>New York, 2010; Oxford Academic, 1 May 2010)</w:t>
      </w:r>
    </w:p>
    <w:p w:rsidR="79C31D65" w:rsidP="2D88EA34" w:rsidRDefault="79C31D65" w14:paraId="03BE4644" w14:textId="7B804AEE">
      <w:pPr>
        <w:pStyle w:val="Normal"/>
        <w:bidi w:val="0"/>
        <w:jc w:val="both"/>
        <w:rPr>
          <w:i w:val="1"/>
          <w:iCs w:val="1"/>
        </w:rPr>
      </w:pPr>
      <w:r w:rsidRPr="2D88EA34" w:rsidR="79C31D65">
        <w:rPr>
          <w:sz w:val="22"/>
          <w:szCs w:val="22"/>
        </w:rPr>
        <w:t xml:space="preserve">Masuzawa, Tomoko, </w:t>
      </w:r>
      <w:r w:rsidRPr="2D88EA34" w:rsidR="79C31D65">
        <w:rPr>
          <w:i w:val="1"/>
          <w:iCs w:val="1"/>
          <w:sz w:val="22"/>
          <w:szCs w:val="22"/>
        </w:rPr>
        <w:t>The Sacred Difference in the Elementary Forms: On Durkheim's Last Quest</w:t>
      </w:r>
      <w:r w:rsidRPr="2D88EA34" w:rsidR="79C31D65">
        <w:rPr>
          <w:sz w:val="22"/>
          <w:szCs w:val="22"/>
        </w:rPr>
        <w:t>, (Representations, No. 23. 1988)</w:t>
      </w:r>
    </w:p>
    <w:p w:rsidR="79C31D65" w:rsidP="2D88EA34" w:rsidRDefault="79C31D65" w14:paraId="085252FC" w14:textId="670CAC1B">
      <w:pPr>
        <w:pStyle w:val="Normal"/>
        <w:bidi w:val="0"/>
        <w:jc w:val="both"/>
        <w:rPr>
          <w:b w:val="0"/>
          <w:bCs w:val="0"/>
          <w:i w:val="0"/>
          <w:iCs w:val="0"/>
          <w:caps w:val="0"/>
          <w:smallCaps w:val="0"/>
          <w:noProof w:val="0"/>
          <w:color w:val="000000" w:themeColor="text1" w:themeTint="FF" w:themeShade="FF"/>
          <w:sz w:val="22"/>
          <w:szCs w:val="22"/>
          <w:lang w:val="en-GB"/>
        </w:rPr>
      </w:pPr>
      <w:r w:rsidRPr="2D88EA34" w:rsidR="79C31D65">
        <w:rPr>
          <w:b w:val="0"/>
          <w:bCs w:val="0"/>
          <w:i w:val="0"/>
          <w:iCs w:val="0"/>
          <w:caps w:val="0"/>
          <w:smallCaps w:val="0"/>
          <w:noProof w:val="0"/>
          <w:color w:val="000000" w:themeColor="text1" w:themeTint="FF" w:themeShade="FF"/>
          <w:sz w:val="22"/>
          <w:szCs w:val="22"/>
          <w:lang w:val="en-GB"/>
        </w:rPr>
        <w:t xml:space="preserve">Meagher, Robert E, </w:t>
      </w:r>
      <w:r w:rsidRPr="2D88EA34" w:rsidR="79C31D65">
        <w:rPr>
          <w:b w:val="0"/>
          <w:bCs w:val="0"/>
          <w:i w:val="1"/>
          <w:iCs w:val="1"/>
          <w:caps w:val="0"/>
          <w:smallCaps w:val="0"/>
          <w:noProof w:val="0"/>
          <w:color w:val="000000" w:themeColor="text1" w:themeTint="FF" w:themeShade="FF"/>
          <w:sz w:val="22"/>
          <w:szCs w:val="22"/>
          <w:lang w:val="en-GB"/>
        </w:rPr>
        <w:t>Mircea Eliade: Methodology and the Meaning of the Sacred</w:t>
      </w:r>
      <w:r w:rsidRPr="2D88EA34" w:rsidR="79C31D65">
        <w:rPr>
          <w:b w:val="0"/>
          <w:bCs w:val="0"/>
          <w:i w:val="0"/>
          <w:iCs w:val="0"/>
          <w:caps w:val="0"/>
          <w:smallCaps w:val="0"/>
          <w:noProof w:val="0"/>
          <w:color w:val="000000" w:themeColor="text1" w:themeTint="FF" w:themeShade="FF"/>
          <w:sz w:val="22"/>
          <w:szCs w:val="22"/>
          <w:lang w:val="en-GB"/>
        </w:rPr>
        <w:t>, (Hermathena, no. 128, 1980)</w:t>
      </w:r>
    </w:p>
    <w:p w:rsidR="79C31D65" w:rsidP="2D88EA34" w:rsidRDefault="79C31D65" w14:paraId="1B753142" w14:textId="6D1526A9">
      <w:pPr>
        <w:pStyle w:val="Normal"/>
        <w:bidi w:val="0"/>
        <w:jc w:val="both"/>
        <w:rPr>
          <w:i w:val="0"/>
          <w:iCs w:val="0"/>
        </w:rPr>
      </w:pPr>
      <w:r w:rsidR="79C31D65">
        <w:rPr/>
        <w:t xml:space="preserve">Norman, Manea, and Camiller,  Patrick, </w:t>
      </w:r>
      <w:r w:rsidRPr="2D88EA34" w:rsidR="79C31D65">
        <w:rPr>
          <w:i w:val="1"/>
          <w:iCs w:val="1"/>
        </w:rPr>
        <w:t xml:space="preserve">Blasphemy and Carnival, </w:t>
      </w:r>
      <w:r w:rsidRPr="2D88EA34" w:rsidR="79C31D65">
        <w:rPr>
          <w:i w:val="0"/>
          <w:iCs w:val="0"/>
        </w:rPr>
        <w:t>(World Policy Journal, Vol. 13, No. 1, 1996)</w:t>
      </w:r>
    </w:p>
    <w:p w:rsidR="79C31D65" w:rsidP="2D88EA34" w:rsidRDefault="79C31D65" w14:paraId="4486921B" w14:textId="3D17F2D4">
      <w:pPr>
        <w:pStyle w:val="Normal"/>
        <w:bidi w:val="0"/>
        <w:jc w:val="both"/>
      </w:pPr>
      <w:r w:rsidR="79C31D65">
        <w:rPr/>
        <w:t xml:space="preserve">Paden, William E., </w:t>
      </w:r>
      <w:r w:rsidRPr="2D88EA34" w:rsidR="79C31D65">
        <w:rPr>
          <w:i w:val="1"/>
          <w:iCs w:val="1"/>
        </w:rPr>
        <w:t xml:space="preserve">Before ‘The Sacred’ Became Theological: Rereading the Durkheimian, </w:t>
      </w:r>
      <w:r w:rsidRPr="2D88EA34" w:rsidR="79C31D65">
        <w:rPr>
          <w:i w:val="0"/>
          <w:iCs w:val="0"/>
        </w:rPr>
        <w:t>(Legacy, Method &amp; Theory in the Study of Religion, vol. 3, no. 1, 1991)</w:t>
      </w:r>
    </w:p>
    <w:p w:rsidR="79C31D65" w:rsidP="2D88EA34" w:rsidRDefault="79C31D65" w14:paraId="5C799530" w14:textId="3AA89994">
      <w:pPr>
        <w:pStyle w:val="Normal"/>
        <w:bidi w:val="0"/>
        <w:jc w:val="both"/>
      </w:pPr>
      <w:r w:rsidR="79C31D65">
        <w:rPr/>
        <w:t xml:space="preserve">Riley, Alexander, </w:t>
      </w:r>
      <w:r w:rsidRPr="2D88EA34" w:rsidR="79C31D65">
        <w:rPr>
          <w:i w:val="1"/>
          <w:iCs w:val="1"/>
        </w:rPr>
        <w:t>Flags, Totem Bodies, and the Meanings of 9/11: A Durkheimian Tour of a September 11th Ceremony at the Flight 93 Chapel</w:t>
      </w:r>
      <w:r w:rsidR="79C31D65">
        <w:rPr/>
        <w:t>, (The Canadian Journal of Sociology / Cahiers Canadiens de Sociologie, vol. 39, no. 4, 2014)</w:t>
      </w:r>
    </w:p>
    <w:p w:rsidR="79C31D65" w:rsidP="2D88EA34" w:rsidRDefault="79C31D65" w14:paraId="04A70454" w14:textId="449F757D">
      <w:pPr>
        <w:pStyle w:val="Normal"/>
        <w:bidi w:val="0"/>
        <w:jc w:val="both"/>
        <w:rPr>
          <w:b w:val="0"/>
          <w:bCs w:val="0"/>
          <w:i w:val="0"/>
          <w:iCs w:val="0"/>
          <w:caps w:val="0"/>
          <w:smallCaps w:val="0"/>
          <w:noProof w:val="0"/>
          <w:color w:val="000000" w:themeColor="text1" w:themeTint="FF" w:themeShade="FF"/>
          <w:sz w:val="22"/>
          <w:szCs w:val="22"/>
          <w:lang w:val="en-GB"/>
        </w:rPr>
      </w:pPr>
      <w:r w:rsidRPr="2D88EA34" w:rsidR="79C31D65">
        <w:rPr>
          <w:b w:val="0"/>
          <w:bCs w:val="0"/>
          <w:i w:val="0"/>
          <w:iCs w:val="0"/>
          <w:caps w:val="0"/>
          <w:smallCaps w:val="0"/>
          <w:noProof w:val="0"/>
          <w:color w:val="000000" w:themeColor="text1" w:themeTint="FF" w:themeShade="FF"/>
          <w:sz w:val="22"/>
          <w:szCs w:val="22"/>
          <w:lang w:val="en-GB"/>
        </w:rPr>
        <w:t xml:space="preserve">Shiner, Larry E, </w:t>
      </w:r>
      <w:r w:rsidRPr="2D88EA34" w:rsidR="79C31D65">
        <w:rPr>
          <w:b w:val="0"/>
          <w:bCs w:val="0"/>
          <w:i w:val="1"/>
          <w:iCs w:val="1"/>
          <w:caps w:val="0"/>
          <w:smallCaps w:val="0"/>
          <w:noProof w:val="0"/>
          <w:color w:val="000000" w:themeColor="text1" w:themeTint="FF" w:themeShade="FF"/>
          <w:sz w:val="22"/>
          <w:szCs w:val="22"/>
          <w:lang w:val="en-GB"/>
        </w:rPr>
        <w:t>Sacred Space, Profane Space, Human Space</w:t>
      </w:r>
      <w:r w:rsidRPr="2D88EA34" w:rsidR="79C31D65">
        <w:rPr>
          <w:b w:val="0"/>
          <w:bCs w:val="0"/>
          <w:i w:val="0"/>
          <w:iCs w:val="0"/>
          <w:caps w:val="0"/>
          <w:smallCaps w:val="0"/>
          <w:noProof w:val="0"/>
          <w:color w:val="000000" w:themeColor="text1" w:themeTint="FF" w:themeShade="FF"/>
          <w:sz w:val="22"/>
          <w:szCs w:val="22"/>
          <w:lang w:val="en-GB"/>
        </w:rPr>
        <w:t xml:space="preserve">, </w:t>
      </w:r>
      <w:r w:rsidRPr="2D88EA34" w:rsidR="79C31D65">
        <w:rPr>
          <w:b w:val="0"/>
          <w:bCs w:val="0"/>
          <w:i w:val="1"/>
          <w:iCs w:val="1"/>
          <w:caps w:val="0"/>
          <w:smallCaps w:val="0"/>
          <w:noProof w:val="0"/>
          <w:color w:val="000000" w:themeColor="text1" w:themeTint="FF" w:themeShade="FF"/>
          <w:sz w:val="22"/>
          <w:szCs w:val="22"/>
          <w:lang w:val="en-GB"/>
        </w:rPr>
        <w:t>(</w:t>
      </w:r>
      <w:r w:rsidRPr="2D88EA34" w:rsidR="79C31D65">
        <w:rPr>
          <w:b w:val="0"/>
          <w:bCs w:val="0"/>
          <w:i w:val="0"/>
          <w:iCs w:val="0"/>
          <w:caps w:val="0"/>
          <w:smallCaps w:val="0"/>
          <w:noProof w:val="0"/>
          <w:color w:val="000000" w:themeColor="text1" w:themeTint="FF" w:themeShade="FF"/>
          <w:sz w:val="22"/>
          <w:szCs w:val="22"/>
          <w:lang w:val="en-GB"/>
        </w:rPr>
        <w:t>Journal of the American Academy of Religion, vol. 40, no. 4, 1972)</w:t>
      </w:r>
    </w:p>
    <w:p w:rsidR="5FF21F6A" w:rsidP="2D88EA34" w:rsidRDefault="5FF21F6A" w14:paraId="609F6E2D" w14:textId="38F57633">
      <w:pPr>
        <w:pStyle w:val="Normal"/>
        <w:bidi w:val="0"/>
        <w:jc w:val="both"/>
        <w:rPr>
          <w:i w:val="0"/>
          <w:iCs w:val="0"/>
        </w:rPr>
      </w:pPr>
      <w:r w:rsidR="5FF21F6A">
        <w:rPr/>
        <w:t xml:space="preserve">Stirrat, R. L., </w:t>
      </w:r>
      <w:r w:rsidRPr="2D88EA34" w:rsidR="5FF21F6A">
        <w:rPr>
          <w:i w:val="1"/>
          <w:iCs w:val="1"/>
        </w:rPr>
        <w:t xml:space="preserve">Sacred Models, </w:t>
      </w:r>
      <w:r w:rsidRPr="2D88EA34" w:rsidR="5FF21F6A">
        <w:rPr>
          <w:i w:val="0"/>
          <w:iCs w:val="0"/>
        </w:rPr>
        <w:t>(MAN, vol. 19, no. 2, 1984</w:t>
      </w:r>
    </w:p>
    <w:p w:rsidR="79C31D65" w:rsidP="2D88EA34" w:rsidRDefault="79C31D65" w14:paraId="0F1D3E74" w14:textId="03A54AC0">
      <w:pPr>
        <w:pStyle w:val="Normal"/>
        <w:bidi w:val="0"/>
        <w:jc w:val="both"/>
        <w:rPr>
          <w:b w:val="0"/>
          <w:bCs w:val="0"/>
          <w:i w:val="0"/>
          <w:iCs w:val="0"/>
          <w:caps w:val="0"/>
          <w:smallCaps w:val="0"/>
          <w:noProof w:val="0"/>
          <w:color w:val="000000" w:themeColor="text1" w:themeTint="FF" w:themeShade="FF"/>
          <w:sz w:val="22"/>
          <w:szCs w:val="22"/>
          <w:lang w:val="en-GB"/>
        </w:rPr>
      </w:pPr>
      <w:r w:rsidRPr="2D88EA34" w:rsidR="79C31D65">
        <w:rPr>
          <w:b w:val="0"/>
          <w:bCs w:val="0"/>
          <w:i w:val="0"/>
          <w:iCs w:val="0"/>
          <w:caps w:val="0"/>
          <w:smallCaps w:val="0"/>
          <w:noProof w:val="0"/>
          <w:color w:val="000000" w:themeColor="text1" w:themeTint="FF" w:themeShade="FF"/>
          <w:sz w:val="22"/>
          <w:szCs w:val="22"/>
          <w:lang w:val="en-GB"/>
        </w:rPr>
        <w:t xml:space="preserve">Studstill, Randall, </w:t>
      </w:r>
      <w:r w:rsidRPr="2D88EA34" w:rsidR="79C31D65">
        <w:rPr>
          <w:b w:val="0"/>
          <w:bCs w:val="0"/>
          <w:i w:val="1"/>
          <w:iCs w:val="1"/>
          <w:caps w:val="0"/>
          <w:smallCaps w:val="0"/>
          <w:noProof w:val="0"/>
          <w:color w:val="000000" w:themeColor="text1" w:themeTint="FF" w:themeShade="FF"/>
          <w:sz w:val="22"/>
          <w:szCs w:val="22"/>
          <w:lang w:val="en-GB"/>
        </w:rPr>
        <w:t>Eliade, Phenomenology, and the Sacred</w:t>
      </w:r>
      <w:r w:rsidRPr="2D88EA34" w:rsidR="79C31D65">
        <w:rPr>
          <w:b w:val="0"/>
          <w:bCs w:val="0"/>
          <w:i w:val="0"/>
          <w:iCs w:val="0"/>
          <w:caps w:val="0"/>
          <w:smallCaps w:val="0"/>
          <w:noProof w:val="0"/>
          <w:color w:val="000000" w:themeColor="text1" w:themeTint="FF" w:themeShade="FF"/>
          <w:sz w:val="22"/>
          <w:szCs w:val="22"/>
          <w:lang w:val="en-GB"/>
        </w:rPr>
        <w:t>, (</w:t>
      </w:r>
      <w:r w:rsidRPr="2D88EA34" w:rsidR="79C31D65">
        <w:rPr>
          <w:b w:val="0"/>
          <w:bCs w:val="0"/>
          <w:i w:val="1"/>
          <w:iCs w:val="1"/>
          <w:caps w:val="0"/>
          <w:smallCaps w:val="0"/>
          <w:noProof w:val="0"/>
          <w:color w:val="000000" w:themeColor="text1" w:themeTint="FF" w:themeShade="FF"/>
          <w:sz w:val="22"/>
          <w:szCs w:val="22"/>
          <w:lang w:val="en-GB"/>
        </w:rPr>
        <w:t>R</w:t>
      </w:r>
      <w:r w:rsidRPr="2D88EA34" w:rsidR="79C31D65">
        <w:rPr>
          <w:b w:val="0"/>
          <w:bCs w:val="0"/>
          <w:i w:val="0"/>
          <w:iCs w:val="0"/>
          <w:caps w:val="0"/>
          <w:smallCaps w:val="0"/>
          <w:noProof w:val="0"/>
          <w:color w:val="000000" w:themeColor="text1" w:themeTint="FF" w:themeShade="FF"/>
          <w:sz w:val="22"/>
          <w:szCs w:val="22"/>
          <w:lang w:val="en-GB"/>
        </w:rPr>
        <w:t>eligious Studies, vol. 36, no. 2, 2000)</w:t>
      </w:r>
    </w:p>
    <w:p w:rsidR="46FDE644" w:rsidP="2D88EA34" w:rsidRDefault="46FDE644" w14:paraId="4A463813" w14:textId="03F09ED4">
      <w:pPr>
        <w:pStyle w:val="Normal"/>
        <w:bidi w:val="0"/>
        <w:jc w:val="both"/>
        <w:rPr>
          <w:i w:val="0"/>
          <w:iCs w:val="0"/>
        </w:rPr>
      </w:pPr>
      <w:r w:rsidR="46FDE644">
        <w:rPr/>
        <w:t xml:space="preserve">Thomas, </w:t>
      </w:r>
      <w:r w:rsidR="46FDE644">
        <w:rPr/>
        <w:t>Altizer, J.</w:t>
      </w:r>
      <w:r w:rsidR="3910057B">
        <w:rPr/>
        <w:t xml:space="preserve"> J, </w:t>
      </w:r>
      <w:r w:rsidRPr="2D88EA34" w:rsidR="3910057B">
        <w:rPr>
          <w:i w:val="1"/>
          <w:iCs w:val="1"/>
        </w:rPr>
        <w:t xml:space="preserve">Mircea Eliade and the Recovery of the Sacred, </w:t>
      </w:r>
      <w:r w:rsidRPr="2D88EA34" w:rsidR="3910057B">
        <w:rPr>
          <w:i w:val="0"/>
          <w:iCs w:val="0"/>
        </w:rPr>
        <w:t>(The Christian Scholar, Vol. 45, No. 4, 1962)</w:t>
      </w:r>
    </w:p>
    <w:p w:rsidR="17E90181" w:rsidP="2D88EA34" w:rsidRDefault="17E90181" w14:paraId="75FB8D4D" w14:textId="1B036081">
      <w:pPr>
        <w:pStyle w:val="Normal"/>
        <w:bidi w:val="0"/>
        <w:jc w:val="both"/>
        <w:rPr>
          <w:i w:val="0"/>
          <w:iCs w:val="0"/>
        </w:rPr>
      </w:pPr>
      <w:r w:rsidR="17E90181">
        <w:rPr/>
        <w:t>Turner, Victor,</w:t>
      </w:r>
      <w:r w:rsidRPr="2D88EA34" w:rsidR="17E90181">
        <w:rPr>
          <w:i w:val="1"/>
          <w:iCs w:val="1"/>
        </w:rPr>
        <w:t xml:space="preserve"> The Drums of Affliction, (Oxford University Press, 1969) </w:t>
      </w:r>
      <w:r w:rsidRPr="2D88EA34" w:rsidR="17E90181">
        <w:rPr>
          <w:i w:val="0"/>
          <w:iCs w:val="0"/>
        </w:rPr>
        <w:t xml:space="preserve">cited in Stirrat, R. L., </w:t>
      </w:r>
      <w:r w:rsidRPr="2D88EA34" w:rsidR="17E90181">
        <w:rPr>
          <w:i w:val="1"/>
          <w:iCs w:val="1"/>
        </w:rPr>
        <w:t xml:space="preserve">Sacred Models, </w:t>
      </w:r>
      <w:r w:rsidRPr="2D88EA34" w:rsidR="17E90181">
        <w:rPr>
          <w:i w:val="0"/>
          <w:iCs w:val="0"/>
        </w:rPr>
        <w:t>(MAN, vol. 19, no. 2, 1984)</w:t>
      </w:r>
    </w:p>
    <w:p w:rsidR="34D4E90C" w:rsidP="2D88EA34" w:rsidRDefault="34D4E90C" w14:paraId="32CCE3D4" w14:textId="2B24F29B">
      <w:pPr>
        <w:pStyle w:val="Normal"/>
        <w:bidi w:val="0"/>
        <w:jc w:val="both"/>
        <w:rPr>
          <w:i w:val="0"/>
          <w:iCs w:val="0"/>
          <w:sz w:val="22"/>
          <w:szCs w:val="22"/>
        </w:rPr>
      </w:pPr>
      <w:r w:rsidRPr="2D88EA34" w:rsidR="34D4E90C">
        <w:rPr>
          <w:sz w:val="22"/>
          <w:szCs w:val="22"/>
        </w:rPr>
        <w:t xml:space="preserve">Tylor, Edward B., </w:t>
      </w:r>
      <w:r w:rsidRPr="2D88EA34" w:rsidR="34D4E90C">
        <w:rPr>
          <w:i w:val="1"/>
          <w:iCs w:val="1"/>
          <w:sz w:val="22"/>
          <w:szCs w:val="22"/>
        </w:rPr>
        <w:t xml:space="preserve">Religion and Culture, </w:t>
      </w:r>
      <w:r w:rsidRPr="2D88EA34" w:rsidR="34D4E90C">
        <w:rPr>
          <w:i w:val="0"/>
          <w:iCs w:val="0"/>
          <w:sz w:val="22"/>
          <w:szCs w:val="22"/>
        </w:rPr>
        <w:t>(Bloomsbury, 2017)</w:t>
      </w:r>
    </w:p>
    <w:p w:rsidR="2D88EA34" w:rsidP="2D88EA34" w:rsidRDefault="2D88EA34" w14:paraId="76775F7B" w14:textId="435BD79E">
      <w:pPr>
        <w:pStyle w:val="Normal"/>
        <w:bidi w:val="0"/>
        <w:jc w:val="both"/>
        <w:rPr>
          <w:b w:val="0"/>
          <w:bCs w:val="0"/>
          <w:i w:val="0"/>
          <w:iCs w:val="0"/>
          <w:caps w:val="0"/>
          <w:smallCaps w:val="0"/>
          <w:noProof w:val="0"/>
          <w:color w:val="000000" w:themeColor="text1" w:themeTint="FF" w:themeShade="FF"/>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5881B92A" w:rsidRDefault="5881B92A" w14:paraId="0B0192CC" w14:textId="027B4DC2">
      <w:pPr>
        <w:spacing w:after="0" w:line="240" w:lineRule="auto"/>
      </w:pPr>
      <w:r>
        <w:separator/>
      </w:r>
    </w:p>
  </w:footnote>
  <w:footnote w:type="continuationSeparator" w:id="0">
    <w:p w:rsidR="5881B92A" w:rsidRDefault="5881B92A" w14:paraId="08DF84DD" w14:textId="1807570A">
      <w:pPr>
        <w:spacing w:after="0" w:line="240" w:lineRule="auto"/>
      </w:pPr>
      <w:r>
        <w:continuationSeparator/>
      </w:r>
    </w:p>
  </w:footnote>
  <w:footnote w:id="2718">
    <w:p w:rsidR="5881B92A" w:rsidP="5881B92A" w:rsidRDefault="5881B92A" w14:paraId="3DE92050" w14:textId="1AF325CE">
      <w:pPr>
        <w:pStyle w:val="FootnoteText"/>
        <w:bidi w:val="0"/>
      </w:pPr>
      <w:r w:rsidRPr="5881B92A">
        <w:rPr>
          <w:rStyle w:val="FootnoteReference"/>
        </w:rPr>
        <w:footnoteRef/>
      </w:r>
      <w:r w:rsidR="2D88EA34">
        <w:rPr/>
        <w:t xml:space="preserve"> Douglas</w:t>
      </w:r>
      <w:r w:rsidR="2D88EA34">
        <w:rPr/>
        <w:t xml:space="preserve"> </w:t>
      </w:r>
      <w:r w:rsidR="2D88EA34">
        <w:rPr/>
        <w:t>Allen,</w:t>
      </w:r>
      <w:r w:rsidR="2D88EA34">
        <w:rPr/>
        <w:t xml:space="preserve"> </w:t>
      </w:r>
      <w:r w:rsidRPr="2D88EA34" w:rsidR="2D88EA34">
        <w:rPr>
          <w:i w:val="1"/>
          <w:iCs w:val="1"/>
        </w:rPr>
        <w:t xml:space="preserve">Eliade and History, </w:t>
      </w:r>
      <w:r w:rsidRPr="2D88EA34" w:rsidR="2D88EA34">
        <w:rPr>
          <w:i w:val="0"/>
          <w:iCs w:val="0"/>
        </w:rPr>
        <w:t xml:space="preserve">(The Journal of Religion, Vol. 68, No. 4, 1988), p. 545. </w:t>
      </w:r>
      <w:hyperlink r:id="R943532683eca45fd">
        <w:r w:rsidRPr="2D88EA34" w:rsidR="2D88EA34">
          <w:rPr>
            <w:rStyle w:val="Hyperlink"/>
            <w:i w:val="0"/>
            <w:iCs w:val="0"/>
          </w:rPr>
          <w:t>http://www.jstor.org/stable/1202518</w:t>
        </w:r>
      </w:hyperlink>
      <w:r w:rsidRPr="2D88EA34" w:rsidR="2D88EA34">
        <w:rPr>
          <w:i w:val="0"/>
          <w:iCs w:val="0"/>
        </w:rPr>
        <w:t xml:space="preserve"> </w:t>
      </w:r>
    </w:p>
  </w:footnote>
  <w:footnote w:id="27382">
    <w:p w:rsidR="5881B92A" w:rsidP="2D88EA34" w:rsidRDefault="5881B92A" w14:paraId="50E8DF05" w14:textId="0E77126A">
      <w:pPr>
        <w:pStyle w:val="FootnoteText"/>
        <w:bidi w:val="0"/>
        <w:rPr>
          <w:i w:val="0"/>
          <w:iCs w:val="0"/>
        </w:rPr>
      </w:pPr>
      <w:r w:rsidRPr="5881B92A">
        <w:rPr>
          <w:rStyle w:val="FootnoteReference"/>
        </w:rPr>
        <w:footnoteRef/>
      </w:r>
      <w:r w:rsidR="2D88EA34">
        <w:rPr/>
        <w:t xml:space="preserve">  Thomas</w:t>
      </w:r>
      <w:r w:rsidR="2D88EA34">
        <w:rPr/>
        <w:t xml:space="preserve"> </w:t>
      </w:r>
      <w:r w:rsidR="2D88EA34">
        <w:rPr/>
        <w:t xml:space="preserve">J. J</w:t>
      </w:r>
      <w:r w:rsidR="2D88EA34">
        <w:rPr/>
        <w:t xml:space="preserve">.</w:t>
      </w:r>
      <w:r w:rsidR="2D88EA34">
        <w:rPr/>
        <w:t xml:space="preserve"> </w:t>
      </w:r>
      <w:r w:rsidR="2D88EA34">
        <w:rPr/>
        <w:t>Altizer,</w:t>
      </w:r>
      <w:r w:rsidRPr="2D88EA34" w:rsidR="2D88EA34">
        <w:rPr>
          <w:i w:val="1"/>
          <w:iCs w:val="1"/>
        </w:rPr>
        <w:t xml:space="preserve"> </w:t>
      </w:r>
      <w:r w:rsidRPr="2D88EA34" w:rsidR="2D88EA34">
        <w:rPr>
          <w:i w:val="1"/>
          <w:iCs w:val="1"/>
        </w:rPr>
        <w:t xml:space="preserve">Mircea Eliade and the Recovery of the Sacred, </w:t>
      </w:r>
      <w:r w:rsidR="2D88EA34">
        <w:t xml:space="preserve">(The Christian Scholar, Vol. 45, No. 4, 1962), p. 269, </w:t>
      </w:r>
      <w:r w:rsidRPr="5881B92A" w:rsidR="5881B92A">
        <w:rPr>
          <w:i w:val="0"/>
          <w:iCs w:val="0"/>
        </w:rPr>
        <w:t xml:space="preserve"> </w:t>
      </w:r>
      <w:r w:rsidRPr="2D88EA34" w:rsidR="2D88EA34">
        <w:rPr>
          <w:rStyle w:val="Hyperlink"/>
          <w:i w:val="0"/>
          <w:iCs w:val="0"/>
        </w:rPr>
        <w:t>http://www.jstor.org/stable/41177305</w:t>
      </w:r>
      <w:r w:rsidRPr="2D88EA34" w:rsidR="2D88EA34">
        <w:rPr>
          <w:i w:val="0"/>
          <w:iCs w:val="0"/>
        </w:rPr>
        <w:t xml:space="preserve"> </w:t>
      </w:r>
    </w:p>
  </w:footnote>
  <w:footnote w:id="2537">
    <w:p w:rsidR="5881B92A" w:rsidP="2D88EA34" w:rsidRDefault="5881B92A" w14:paraId="5E00EF3D" w14:textId="532F6F21">
      <w:pPr>
        <w:pStyle w:val="FootnoteText"/>
        <w:bidi w:val="0"/>
        <w:rPr>
          <w:i w:val="0"/>
          <w:iCs w:val="0"/>
        </w:rPr>
      </w:pPr>
      <w:r w:rsidRPr="5881B92A">
        <w:rPr>
          <w:rStyle w:val="FootnoteReference"/>
        </w:rPr>
        <w:footnoteRef/>
      </w:r>
      <w:r w:rsidR="2D88EA34">
        <w:rPr/>
        <w:t xml:space="preserve"> Norman</w:t>
      </w:r>
      <w:r w:rsidR="2D88EA34">
        <w:rPr/>
        <w:t xml:space="preserve"> Manea,</w:t>
      </w:r>
      <w:r w:rsidR="2D88EA34">
        <w:rPr/>
        <w:t xml:space="preserve"> and Patrick</w:t>
      </w:r>
      <w:r w:rsidR="2D88EA34">
        <w:rPr/>
        <w:t xml:space="preserve"> </w:t>
      </w:r>
      <w:r w:rsidR="2D88EA34">
        <w:rPr/>
        <w:t>Camiller,</w:t>
      </w:r>
      <w:r w:rsidRPr="2D88EA34" w:rsidR="2D88EA34">
        <w:rPr>
          <w:i w:val="1"/>
          <w:iCs w:val="1"/>
        </w:rPr>
        <w:t xml:space="preserve"> </w:t>
      </w:r>
      <w:r w:rsidRPr="2D88EA34" w:rsidR="2D88EA34">
        <w:rPr>
          <w:i w:val="1"/>
          <w:iCs w:val="1"/>
        </w:rPr>
        <w:t>B</w:t>
      </w:r>
      <w:r w:rsidRPr="2D88EA34" w:rsidR="2D88EA34">
        <w:rPr>
          <w:i w:val="1"/>
          <w:iCs w:val="1"/>
        </w:rPr>
        <w:t xml:space="preserve">lasphemy and Carnival, </w:t>
      </w:r>
      <w:r w:rsidRPr="2D88EA34" w:rsidR="2D88EA34">
        <w:rPr>
          <w:i w:val="0"/>
          <w:iCs w:val="0"/>
        </w:rPr>
        <w:t xml:space="preserve">(World Policy Journal, Vol. 13, No. 1, 1996), p. 71. </w:t>
      </w:r>
      <w:hyperlink r:id="R97e26df987a24a12">
        <w:r w:rsidRPr="2D88EA34" w:rsidR="2D88EA34">
          <w:rPr>
            <w:rStyle w:val="Hyperlink"/>
            <w:i w:val="0"/>
            <w:iCs w:val="0"/>
          </w:rPr>
          <w:t>http://www.jstor.org/stable/40209462</w:t>
        </w:r>
      </w:hyperlink>
    </w:p>
  </w:footnote>
  <w:footnote w:id="24335">
    <w:p w:rsidR="5881B92A" w:rsidP="5881B92A" w:rsidRDefault="5881B92A" w14:paraId="02400C43" w14:textId="1190024D">
      <w:pPr>
        <w:pStyle w:val="FootnoteText"/>
        <w:bidi w:val="0"/>
      </w:pPr>
      <w:r w:rsidRPr="5881B92A">
        <w:rPr>
          <w:rStyle w:val="FootnoteReference"/>
        </w:rPr>
        <w:footnoteRef/>
      </w:r>
      <w:r w:rsidR="2D88EA34">
        <w:rPr/>
        <w:t xml:space="preserve"> </w:t>
      </w:r>
      <w:r w:rsidR="2D88EA34">
        <w:rPr/>
        <w:t xml:space="preserve">Matei </w:t>
      </w:r>
      <w:r w:rsidR="2D88EA34">
        <w:rPr/>
        <w:t xml:space="preserve">Calinescu</w:t>
      </w:r>
      <w:r w:rsidR="2D88EA34">
        <w:rPr/>
        <w:t xml:space="preserve">†, Eliade</w:t>
      </w:r>
      <w:r w:rsidRPr="2D88EA34" w:rsidR="2D88EA34">
        <w:rPr>
          <w:i w:val="1"/>
          <w:iCs w:val="1"/>
        </w:rPr>
        <w:t xml:space="preserve"> and Ionesco in the Post–World War II Years: Questions of Identity in Exile,</w:t>
      </w:r>
    </w:p>
    <w:p w:rsidR="5881B92A" w:rsidP="5881B92A" w:rsidRDefault="5881B92A" w14:paraId="0F6FF5EE" w14:textId="2CD23ADD">
      <w:pPr>
        <w:pStyle w:val="FootnoteText"/>
      </w:pPr>
      <w:r w:rsidR="5881B92A">
        <w:rPr/>
        <w:t xml:space="preserve"> in Christian Wedemeyer, and Wendy Doniger (eds), </w:t>
      </w:r>
      <w:r w:rsidRPr="5881B92A" w:rsidR="5881B92A">
        <w:rPr>
          <w:i w:val="1"/>
          <w:iCs w:val="1"/>
        </w:rPr>
        <w:t>Hermeneutics, Politics, and the History of Religions: The Contested Legacies of Joachim Wach and Mircea Eliade, (</w:t>
      </w:r>
      <w:r w:rsidR="5881B92A">
        <w:rPr/>
        <w:t xml:space="preserve">New York, 2010; Oxford Academic, 1 May 2010), </w:t>
      </w:r>
      <w:hyperlink r:id="Rda366bfdf2cb4215">
        <w:r w:rsidRPr="5881B92A" w:rsidR="5881B92A">
          <w:rPr>
            <w:rStyle w:val="Hyperlink"/>
          </w:rPr>
          <w:t>https://doi.org/10.1093/acprof:oso/9780195394337.003.0005</w:t>
        </w:r>
      </w:hyperlink>
      <w:r w:rsidR="5881B92A">
        <w:rPr/>
        <w:t xml:space="preserve"> </w:t>
      </w:r>
    </w:p>
  </w:footnote>
  <w:footnote w:id="11169">
    <w:p w:rsidR="5881B92A" w:rsidP="5881B92A" w:rsidRDefault="5881B92A" w14:paraId="562129D3" w14:textId="52DA8A5B">
      <w:pPr>
        <w:pStyle w:val="FootnoteText"/>
        <w:bidi w:val="0"/>
      </w:pPr>
      <w:r w:rsidRPr="5881B92A">
        <w:rPr>
          <w:rStyle w:val="FootnoteReference"/>
        </w:rPr>
        <w:footnoteRef/>
      </w:r>
      <w:r w:rsidR="5881B92A">
        <w:rPr/>
        <w:t xml:space="preserve"> Calinescu†, Matei, </w:t>
      </w:r>
      <w:r w:rsidRPr="5881B92A" w:rsidR="5881B92A">
        <w:rPr>
          <w:i w:val="1"/>
          <w:iCs w:val="1"/>
        </w:rPr>
        <w:t xml:space="preserve">Eliade and Ionesco, </w:t>
      </w:r>
      <w:r w:rsidRPr="5881B92A" w:rsidR="5881B92A">
        <w:rPr>
          <w:i w:val="0"/>
          <w:iCs w:val="0"/>
        </w:rPr>
        <w:t>p. 109.</w:t>
      </w:r>
    </w:p>
  </w:footnote>
  <w:footnote w:id="28401">
    <w:p w:rsidR="5881B92A" w:rsidP="5881B92A" w:rsidRDefault="5881B92A" w14:paraId="596A259B" w14:textId="62348A35">
      <w:pPr>
        <w:pStyle w:val="FootnoteText"/>
        <w:bidi w:val="0"/>
      </w:pPr>
      <w:r w:rsidRPr="5881B92A">
        <w:rPr>
          <w:rStyle w:val="FootnoteReference"/>
        </w:rPr>
        <w:footnoteRef/>
      </w:r>
      <w:r w:rsidR="2D88EA34">
        <w:rPr/>
        <w:t xml:space="preserve"> </w:t>
      </w:r>
      <w:r w:rsidR="2D88EA34">
        <w:rPr/>
        <w:t>Dudley</w:t>
      </w:r>
      <w:r w:rsidR="2D88EA34">
        <w:rPr/>
        <w:t xml:space="preserve"> Guilford</w:t>
      </w:r>
      <w:r w:rsidR="2D88EA34">
        <w:rPr/>
        <w:t xml:space="preserve">, </w:t>
      </w:r>
      <w:r w:rsidRPr="2D88EA34" w:rsidR="2D88EA34">
        <w:rPr>
          <w:i w:val="1"/>
          <w:iCs w:val="1"/>
        </w:rPr>
        <w:t xml:space="preserve">Mircea Eliade as the ‘Anti-Historian' of Religions</w:t>
      </w:r>
      <w:r w:rsidR="2D88EA34">
        <w:rPr/>
        <w:t xml:space="preserve">, (Journal of the American Academy of Religion, vol. 44, no. 2, 1976), p. </w:t>
      </w:r>
      <w:r w:rsidR="2D88EA34">
        <w:rPr/>
        <w:t xml:space="preserve">349, </w:t>
      </w:r>
      <w:hyperlink r:id="R4cb99d046b0c4a6d">
        <w:r w:rsidRPr="5881B92A" w:rsidR="2D88EA34">
          <w:rPr>
            <w:rStyle w:val="Hyperlink"/>
          </w:rPr>
          <w:t>http://www.jstor.org/stable/1462346</w:t>
        </w:r>
      </w:hyperlink>
      <w:r w:rsidR="2D88EA34">
        <w:rPr/>
        <w:t xml:space="preserve"> </w:t>
      </w:r>
    </w:p>
  </w:footnote>
  <w:footnote w:id="1408">
    <w:p w:rsidR="5881B92A" w:rsidP="5881B92A" w:rsidRDefault="5881B92A" w14:paraId="1FFB1E2E" w14:textId="68F6D2CE">
      <w:pPr>
        <w:pStyle w:val="FootnoteText"/>
        <w:bidi w:val="0"/>
        <w:spacing w:before="0" w:beforeAutospacing="off" w:after="0" w:afterAutospacing="off" w:line="240" w:lineRule="auto"/>
        <w:ind w:left="0" w:right="0"/>
        <w:jc w:val="left"/>
      </w:pPr>
      <w:r w:rsidRPr="5881B92A">
        <w:rPr>
          <w:rStyle w:val="FootnoteReference"/>
        </w:rPr>
        <w:footnoteRef/>
      </w:r>
      <w:r w:rsidR="2D88EA34">
        <w:rPr/>
        <w:t xml:space="preserve">  Randall</w:t>
      </w:r>
      <w:r w:rsidR="2D88EA34">
        <w:rPr/>
        <w:t xml:space="preserve"> </w:t>
      </w:r>
      <w:r w:rsidR="2D88EA34">
        <w:rPr/>
        <w:t>Studstill,</w:t>
      </w:r>
      <w:r w:rsidRPr="2D88EA34" w:rsidR="2D88EA34">
        <w:rPr>
          <w:i w:val="1"/>
          <w:iCs w:val="1"/>
        </w:rPr>
        <w:t xml:space="preserve"> </w:t>
      </w:r>
      <w:r w:rsidRPr="2D88EA34" w:rsidR="2D88EA34">
        <w:rPr>
          <w:i w:val="1"/>
          <w:iCs w:val="1"/>
        </w:rPr>
        <w:t xml:space="preserve">Eliade, Phenomenology, and the Sacred</w:t>
      </w:r>
      <w:r w:rsidR="2D88EA34">
        <w:t xml:space="preserve">, (Religious Studies, vol. 36, no. 2, 2000), pp. 178–9,  </w:t>
      </w:r>
      <w:r w:rsidRPr="2D88EA34" w:rsidR="2D88EA34">
        <w:rPr>
          <w:rStyle w:val="Hyperlink"/>
        </w:rPr>
        <w:t>http://www.jstor.org/stable/20008280</w:t>
      </w:r>
    </w:p>
  </w:footnote>
  <w:footnote w:id="7611">
    <w:p w:rsidR="5881B92A" w:rsidP="5881B92A" w:rsidRDefault="5881B92A" w14:paraId="50BDAE06" w14:textId="210BEAC2">
      <w:pPr>
        <w:pStyle w:val="FootnoteText"/>
        <w:bidi w:val="0"/>
      </w:pPr>
      <w:r w:rsidRPr="5881B92A">
        <w:rPr>
          <w:rStyle w:val="FootnoteReference"/>
        </w:rPr>
        <w:footnoteRef/>
      </w:r>
      <w:r w:rsidR="2D88EA34">
        <w:rPr/>
        <w:t xml:space="preserve"> William E.</w:t>
      </w:r>
      <w:r w:rsidR="2D88EA34">
        <w:rPr/>
        <w:t xml:space="preserve"> </w:t>
      </w:r>
      <w:r w:rsidR="2D88EA34">
        <w:rPr/>
        <w:t xml:space="preserve">Paden, </w:t>
      </w:r>
      <w:bookmarkStart w:name="_Int_ncrKCtqz" w:id="57824892"/>
      <w:r w:rsidRPr="2D88EA34" w:rsidR="2D88EA34">
        <w:rPr>
          <w:i w:val="1"/>
          <w:iCs w:val="1"/>
        </w:rPr>
        <w:t>Before</w:t>
      </w:r>
      <w:bookmarkEnd w:id="57824892"/>
      <w:r w:rsidRPr="2D88EA34" w:rsidR="2D88EA34">
        <w:rPr>
          <w:i w:val="1"/>
          <w:iCs w:val="1"/>
        </w:rPr>
        <w:t xml:space="preserve"> ‘The Sacred’ Became Theological: Rereading the </w:t>
      </w:r>
      <w:r w:rsidRPr="2D88EA34" w:rsidR="2D88EA34">
        <w:rPr>
          <w:i w:val="1"/>
          <w:iCs w:val="1"/>
        </w:rPr>
        <w:t>Durkhe</w:t>
      </w:r>
      <w:r w:rsidRPr="2D88EA34" w:rsidR="2D88EA34">
        <w:rPr>
          <w:i w:val="1"/>
          <w:iCs w:val="1"/>
        </w:rPr>
        <w:t>i</w:t>
      </w:r>
      <w:r w:rsidRPr="2D88EA34" w:rsidR="2D88EA34">
        <w:rPr>
          <w:i w:val="1"/>
          <w:iCs w:val="1"/>
        </w:rPr>
        <w:t>mian</w:t>
      </w:r>
      <w:r w:rsidRPr="2D88EA34" w:rsidR="2D88EA34">
        <w:rPr>
          <w:i w:val="1"/>
          <w:iCs w:val="1"/>
        </w:rPr>
        <w:t>,</w:t>
      </w:r>
      <w:r w:rsidRPr="2D88EA34" w:rsidR="2D88EA34">
        <w:rPr>
          <w:i w:val="1"/>
          <w:iCs w:val="1"/>
        </w:rPr>
        <w:t xml:space="preserve"> </w:t>
      </w:r>
      <w:r w:rsidRPr="2D88EA34" w:rsidR="2D88EA34">
        <w:rPr>
          <w:i w:val="0"/>
          <w:iCs w:val="0"/>
        </w:rPr>
        <w:t>(</w:t>
      </w:r>
      <w:r w:rsidRPr="2D88EA34" w:rsidR="2D88EA34">
        <w:rPr>
          <w:i w:val="0"/>
          <w:iCs w:val="0"/>
        </w:rPr>
        <w:t>Legacy, Method</w:t>
      </w:r>
      <w:r w:rsidR="2D88EA34">
        <w:rPr/>
        <w:t xml:space="preserve"> &amp; Theory in the Study of Religion, vol. 3, no. 1, 1991</w:t>
      </w:r>
      <w:r w:rsidR="2D88EA34">
        <w:rPr/>
        <w:t>)</w:t>
      </w:r>
      <w:r w:rsidR="2D88EA34">
        <w:rPr/>
        <w:t>, pp. 1</w:t>
      </w:r>
      <w:r w:rsidR="2D88EA34">
        <w:rPr/>
        <w:t>3</w:t>
      </w:r>
      <w:r w:rsidR="2D88EA34">
        <w:rPr/>
        <w:t>–</w:t>
      </w:r>
      <w:r w:rsidR="2D88EA34">
        <w:rPr/>
        <w:t>19</w:t>
      </w:r>
      <w:r w:rsidR="2D88EA34">
        <w:rPr/>
        <w:t xml:space="preserve">, </w:t>
      </w:r>
      <w:hyperlink r:id="R69152245c3b24232">
        <w:r w:rsidRPr="5881B92A" w:rsidR="2D88EA34">
          <w:rPr>
            <w:rStyle w:val="Hyperlink"/>
          </w:rPr>
          <w:t>http://www.jstor.org/stable/23549544</w:t>
        </w:r>
      </w:hyperlink>
      <w:r w:rsidR="2D88EA34">
        <w:rPr/>
        <w:t xml:space="preserve"> </w:t>
      </w:r>
    </w:p>
  </w:footnote>
  <w:footnote w:id="13051">
    <w:p w:rsidR="5881B92A" w:rsidP="2D88EA34" w:rsidRDefault="5881B92A" w14:paraId="4483A96F" w14:textId="044947FB">
      <w:pPr>
        <w:pStyle w:val="FootnoteText"/>
        <w:bidi w:val="0"/>
        <w:rPr>
          <w:noProof w:val="0"/>
          <w:sz w:val="22"/>
          <w:szCs w:val="22"/>
          <w:lang w:val="en-GB"/>
        </w:rPr>
      </w:pPr>
      <w:r w:rsidRPr="5881B92A">
        <w:rPr>
          <w:rStyle w:val="FootnoteReference"/>
        </w:rPr>
        <w:footnoteRef/>
      </w:r>
      <w:r w:rsidR="2D88EA34">
        <w:rPr/>
        <w:t xml:space="preserve"> </w:t>
      </w:r>
      <w:r w:rsidRPr="2D88EA34" w:rsidR="2D88EA34">
        <w:rPr>
          <w:b w:val="0"/>
          <w:bCs w:val="0"/>
          <w:i w:val="0"/>
          <w:iCs w:val="0"/>
          <w:caps w:val="0"/>
          <w:smallCaps w:val="0"/>
          <w:noProof w:val="0"/>
          <w:color w:val="000000" w:themeColor="text1" w:themeTint="FF" w:themeShade="FF"/>
          <w:sz w:val="22"/>
          <w:szCs w:val="22"/>
          <w:lang w:val="en-GB"/>
        </w:rPr>
        <w:t xml:space="preserve">Anoop</w:t>
      </w:r>
      <w:r w:rsidRPr="2D88EA34" w:rsidR="2D88EA34">
        <w:rPr>
          <w:b w:val="0"/>
          <w:bCs w:val="0"/>
          <w:i w:val="0"/>
          <w:iCs w:val="0"/>
          <w:caps w:val="0"/>
          <w:smallCaps w:val="0"/>
          <w:noProof w:val="0"/>
          <w:color w:val="000000" w:themeColor="text1" w:themeTint="FF" w:themeShade="FF"/>
          <w:sz w:val="22"/>
          <w:szCs w:val="22"/>
          <w:lang w:val="en-GB"/>
        </w:rPr>
        <w:t xml:space="preserve"> </w:t>
      </w:r>
      <w:r w:rsidRPr="2D88EA34" w:rsidR="2D88EA34">
        <w:rPr>
          <w:b w:val="0"/>
          <w:bCs w:val="0"/>
          <w:i w:val="0"/>
          <w:iCs w:val="0"/>
          <w:caps w:val="0"/>
          <w:smallCaps w:val="0"/>
          <w:noProof w:val="0"/>
          <w:color w:val="000000" w:themeColor="text1" w:themeTint="FF" w:themeShade="FF"/>
          <w:sz w:val="22"/>
          <w:szCs w:val="22"/>
          <w:lang w:val="en-GB"/>
        </w:rPr>
        <w:t xml:space="preserve">Gupta, </w:t>
      </w:r>
      <w:r w:rsidRPr="2D88EA34" w:rsidR="2D88EA34">
        <w:rPr>
          <w:b w:val="0"/>
          <w:bCs w:val="0"/>
          <w:i w:val="1"/>
          <w:iCs w:val="1"/>
          <w:caps w:val="0"/>
          <w:smallCaps w:val="0"/>
          <w:noProof w:val="0"/>
          <w:color w:val="000000" w:themeColor="text1" w:themeTint="FF" w:themeShade="FF"/>
          <w:sz w:val="22"/>
          <w:szCs w:val="22"/>
          <w:lang w:val="en-GB"/>
        </w:rPr>
        <w:t>Durkheim,</w:t>
      </w:r>
      <w:r w:rsidRPr="2D88EA34" w:rsidR="2D88EA34">
        <w:rPr>
          <w:b w:val="0"/>
          <w:bCs w:val="0"/>
          <w:i w:val="0"/>
          <w:iCs w:val="0"/>
          <w:caps w:val="0"/>
          <w:smallCaps w:val="0"/>
          <w:noProof w:val="0"/>
          <w:color w:val="000000" w:themeColor="text1" w:themeTint="FF" w:themeShade="FF"/>
          <w:sz w:val="22"/>
          <w:szCs w:val="22"/>
          <w:lang w:val="en-GB"/>
        </w:rPr>
        <w:t xml:space="preserve"> </w:t>
      </w:r>
      <w:r w:rsidRPr="2D88EA34" w:rsidR="2D88EA34">
        <w:rPr>
          <w:b w:val="0"/>
          <w:bCs w:val="0"/>
          <w:i w:val="1"/>
          <w:iCs w:val="1"/>
          <w:caps w:val="0"/>
          <w:smallCaps w:val="0"/>
          <w:noProof w:val="0"/>
          <w:color w:val="000000" w:themeColor="text1" w:themeTint="FF" w:themeShade="FF"/>
          <w:sz w:val="22"/>
          <w:szCs w:val="22"/>
          <w:lang w:val="en-GB"/>
        </w:rPr>
        <w:t>Kierkegaard’s Romantic Legacy: Two Theories of the Self</w:t>
      </w:r>
      <w:r w:rsidRPr="2D88EA34" w:rsidR="2D88EA34">
        <w:rPr>
          <w:b w:val="0"/>
          <w:bCs w:val="0"/>
          <w:i w:val="0"/>
          <w:iCs w:val="0"/>
          <w:caps w:val="0"/>
          <w:smallCaps w:val="0"/>
          <w:noProof w:val="0"/>
          <w:color w:val="000000" w:themeColor="text1" w:themeTint="FF" w:themeShade="FF"/>
          <w:sz w:val="22"/>
          <w:szCs w:val="22"/>
          <w:lang w:val="en-GB"/>
        </w:rPr>
        <w:t xml:space="preserve">, </w:t>
      </w:r>
      <w:r w:rsidRPr="2D88EA34" w:rsidR="2D88EA34">
        <w:rPr>
          <w:b w:val="0"/>
          <w:bCs w:val="0"/>
          <w:i w:val="0"/>
          <w:iCs w:val="0"/>
          <w:caps w:val="0"/>
          <w:smallCaps w:val="0"/>
          <w:noProof w:val="0"/>
          <w:color w:val="000000" w:themeColor="text1" w:themeTint="FF" w:themeShade="FF"/>
          <w:sz w:val="22"/>
          <w:szCs w:val="22"/>
          <w:lang w:val="en-GB"/>
        </w:rPr>
        <w:t xml:space="preserve">(</w:t>
      </w:r>
      <w:r w:rsidRPr="2D88EA34" w:rsidR="2D88EA34">
        <w:rPr>
          <w:b w:val="0"/>
          <w:bCs w:val="0"/>
          <w:i w:val="0"/>
          <w:iCs w:val="0"/>
          <w:caps w:val="0"/>
          <w:smallCaps w:val="0"/>
          <w:noProof w:val="0"/>
          <w:color w:val="000000" w:themeColor="text1" w:themeTint="FF" w:themeShade="FF"/>
          <w:sz w:val="22"/>
          <w:szCs w:val="22"/>
          <w:lang w:val="en-GB"/>
        </w:rPr>
        <w:t xml:space="preserve">University of Ottawa Press, 2005</w:t>
      </w:r>
      <w:r w:rsidRPr="2D88EA34" w:rsidR="2D88EA34">
        <w:rPr>
          <w:b w:val="0"/>
          <w:bCs w:val="0"/>
          <w:i w:val="0"/>
          <w:iCs w:val="0"/>
          <w:caps w:val="0"/>
          <w:smallCaps w:val="0"/>
          <w:noProof w:val="0"/>
          <w:color w:val="000000" w:themeColor="text1" w:themeTint="FF" w:themeShade="FF"/>
          <w:sz w:val="22"/>
          <w:szCs w:val="22"/>
          <w:lang w:val="en-GB"/>
        </w:rPr>
        <w:t xml:space="preserve">)</w:t>
      </w:r>
      <w:r w:rsidRPr="2D88EA34" w:rsidR="2D88EA34">
        <w:rPr>
          <w:b w:val="0"/>
          <w:bCs w:val="0"/>
          <w:i w:val="0"/>
          <w:iCs w:val="0"/>
          <w:caps w:val="0"/>
          <w:smallCaps w:val="0"/>
          <w:noProof w:val="0"/>
          <w:color w:val="000000" w:themeColor="text1" w:themeTint="FF" w:themeShade="FF"/>
          <w:sz w:val="22"/>
          <w:szCs w:val="22"/>
          <w:lang w:val="en-GB"/>
        </w:rPr>
        <w:t xml:space="preserve">, p. 69, </w:t>
      </w:r>
      <w:hyperlink r:id="R29918d79845448c9">
        <w:r w:rsidRPr="2D88EA34" w:rsidR="2D88EA34">
          <w:rPr>
            <w:rStyle w:val="Hyperlink"/>
            <w:b w:val="0"/>
            <w:bCs w:val="0"/>
            <w:i w:val="0"/>
            <w:iCs w:val="0"/>
            <w:caps w:val="0"/>
            <w:smallCaps w:val="0"/>
            <w:noProof w:val="0"/>
            <w:sz w:val="22"/>
            <w:szCs w:val="22"/>
            <w:lang w:val="en-GB"/>
          </w:rPr>
          <w:t>https://doi.org/10.2307/j.ctt1ckpgbc.11</w:t>
        </w:r>
      </w:hyperlink>
      <w:r w:rsidRPr="2D88EA34" w:rsidR="2D88EA34">
        <w:rPr>
          <w:b w:val="0"/>
          <w:bCs w:val="0"/>
          <w:i w:val="0"/>
          <w:iCs w:val="0"/>
          <w:caps w:val="0"/>
          <w:smallCaps w:val="0"/>
          <w:noProof w:val="0"/>
          <w:color w:val="000000" w:themeColor="text1" w:themeTint="FF" w:themeShade="FF"/>
          <w:sz w:val="22"/>
          <w:szCs w:val="22"/>
          <w:lang w:val="en-GB"/>
        </w:rPr>
        <w:t xml:space="preserve"> </w:t>
      </w:r>
    </w:p>
  </w:footnote>
  <w:footnote w:id="23670">
    <w:p w:rsidR="5881B92A" w:rsidP="2D88EA34" w:rsidRDefault="5881B92A" w14:paraId="6B40536D" w14:textId="10C7EED9">
      <w:pPr>
        <w:pStyle w:val="FootnoteText"/>
        <w:bidi w:val="0"/>
        <w:rPr>
          <w:i w:val="0"/>
          <w:iCs w:val="0"/>
          <w:sz w:val="22"/>
          <w:szCs w:val="22"/>
        </w:rPr>
      </w:pPr>
      <w:r w:rsidRPr="5881B92A">
        <w:rPr>
          <w:rStyle w:val="FootnoteReference"/>
        </w:rPr>
        <w:footnoteRef/>
      </w:r>
      <w:r w:rsidR="2D88EA34">
        <w:rPr/>
        <w:t xml:space="preserve"> Edward B. </w:t>
      </w:r>
      <w:r w:rsidRPr="2D88EA34" w:rsidR="2D88EA34">
        <w:rPr>
          <w:sz w:val="20"/>
          <w:szCs w:val="20"/>
        </w:rPr>
        <w:t xml:space="preserve">Tylor, </w:t>
      </w:r>
      <w:r w:rsidRPr="2D88EA34" w:rsidR="2D88EA34">
        <w:rPr>
          <w:i w:val="1"/>
          <w:iCs w:val="1"/>
          <w:sz w:val="20"/>
          <w:szCs w:val="20"/>
        </w:rPr>
        <w:t xml:space="preserve">Religion and Culture, </w:t>
      </w:r>
      <w:r w:rsidRPr="2D88EA34" w:rsidR="2D88EA34">
        <w:rPr>
          <w:i w:val="0"/>
          <w:iCs w:val="0"/>
          <w:sz w:val="20"/>
          <w:szCs w:val="20"/>
        </w:rPr>
        <w:t>(Bloomsbury, 2017), p. 167.</w:t>
      </w:r>
    </w:p>
  </w:footnote>
  <w:footnote w:id="313">
    <w:p w:rsidR="5881B92A" w:rsidP="5881B92A" w:rsidRDefault="5881B92A" w14:paraId="7BEB1B0B" w14:textId="7A4DD29F">
      <w:pPr>
        <w:pStyle w:val="FootnoteText"/>
        <w:bidi w:val="0"/>
      </w:pPr>
      <w:r w:rsidRPr="5881B92A">
        <w:rPr>
          <w:rStyle w:val="FootnoteReference"/>
        </w:rPr>
        <w:footnoteRef/>
      </w:r>
      <w:r w:rsidR="2D88EA34">
        <w:rPr/>
        <w:t xml:space="preserve"> Emile</w:t>
      </w:r>
      <w:r w:rsidR="2D88EA34">
        <w:rPr/>
        <w:t xml:space="preserve"> </w:t>
      </w:r>
      <w:r w:rsidRPr="2D88EA34" w:rsidR="2D88EA34">
        <w:rPr>
          <w:sz w:val="20"/>
          <w:szCs w:val="20"/>
        </w:rPr>
        <w:t xml:space="preserve">Durkheim, </w:t>
      </w:r>
      <w:r w:rsidRPr="2D88EA34" w:rsidR="2D88EA34">
        <w:rPr>
          <w:i w:val="1"/>
          <w:iCs w:val="1"/>
          <w:sz w:val="20"/>
          <w:szCs w:val="20"/>
        </w:rPr>
        <w:t xml:space="preserve">The Elementary Forms of Religious Life', </w:t>
      </w:r>
      <w:r w:rsidRPr="2D88EA34" w:rsidR="2D88EA34">
        <w:rPr>
          <w:i w:val="0"/>
          <w:iCs w:val="0"/>
          <w:sz w:val="20"/>
          <w:szCs w:val="20"/>
        </w:rPr>
        <w:t>Trans. Robert Ward Swain, (George Allen &amp; Unwin Limited: London, 1971), p. 213.</w:t>
      </w:r>
    </w:p>
  </w:footnote>
  <w:footnote w:id="16289">
    <w:p w:rsidR="5881B92A" w:rsidP="2D88EA34" w:rsidRDefault="5881B92A" w14:paraId="0C3F22F5" w14:textId="71D762CF">
      <w:pPr>
        <w:pStyle w:val="FootnoteText"/>
        <w:bidi w:val="0"/>
        <w:rPr>
          <w:i w:val="1"/>
          <w:iCs w:val="1"/>
        </w:rPr>
      </w:pPr>
      <w:r w:rsidRPr="5881B92A">
        <w:rPr>
          <w:rStyle w:val="FootnoteReference"/>
        </w:rPr>
        <w:footnoteRef/>
      </w:r>
      <w:r w:rsidR="2D88EA34">
        <w:rPr/>
        <w:t xml:space="preserve"> </w:t>
      </w:r>
      <w:r w:rsidRPr="2D88EA34" w:rsidR="2D88EA34">
        <w:rPr>
          <w:sz w:val="22"/>
          <w:szCs w:val="22"/>
        </w:rPr>
        <w:t xml:space="preserve">Tomoko</w:t>
      </w:r>
      <w:r w:rsidRPr="2D88EA34" w:rsidR="2D88EA34">
        <w:rPr>
          <w:sz w:val="22"/>
          <w:szCs w:val="22"/>
        </w:rPr>
        <w:t xml:space="preserve"> </w:t>
      </w:r>
      <w:r w:rsidRPr="2D88EA34" w:rsidR="2D88EA34">
        <w:rPr>
          <w:sz w:val="22"/>
          <w:szCs w:val="22"/>
        </w:rPr>
        <w:t xml:space="preserve">Masuzawa, </w:t>
      </w:r>
      <w:r w:rsidRPr="2D88EA34" w:rsidR="2D88EA34">
        <w:rPr>
          <w:i w:val="1"/>
          <w:iCs w:val="1"/>
          <w:sz w:val="22"/>
          <w:szCs w:val="22"/>
        </w:rPr>
        <w:t>The Sacred Difference in the Elementary Forms: On Durkheim's Last Quest</w:t>
      </w:r>
      <w:r w:rsidRPr="2D88EA34" w:rsidR="2D88EA34">
        <w:rPr>
          <w:sz w:val="22"/>
          <w:szCs w:val="22"/>
        </w:rPr>
        <w:t>, (Representations, No. 23. 1988), p. 28.</w:t>
      </w:r>
    </w:p>
  </w:footnote>
  <w:footnote w:id="12311">
    <w:p w:rsidR="5881B92A" w:rsidP="5881B92A" w:rsidRDefault="5881B92A" w14:paraId="27950B26" w14:textId="0721CBC3">
      <w:pPr>
        <w:pStyle w:val="FootnoteText"/>
        <w:bidi w:val="0"/>
      </w:pPr>
      <w:r w:rsidRPr="5881B92A">
        <w:rPr>
          <w:rStyle w:val="FootnoteReference"/>
        </w:rPr>
        <w:footnoteRef/>
      </w:r>
      <w:r w:rsidR="2D88EA34">
        <w:rPr/>
        <w:t xml:space="preserve"> Mircea </w:t>
      </w:r>
      <w:r w:rsidR="2D88EA34">
        <w:rPr/>
        <w:t xml:space="preserve">Eliade, </w:t>
      </w:r>
      <w:r w:rsidRPr="2D88EA34" w:rsidR="2D88EA34">
        <w:rPr>
          <w:i w:val="1"/>
          <w:iCs w:val="1"/>
        </w:rPr>
        <w:t xml:space="preserve">The Sacred and The Profane: The Nature of Religion, </w:t>
      </w:r>
      <w:r w:rsidRPr="2D88EA34" w:rsidR="2D88EA34">
        <w:rPr>
          <w:i w:val="0"/>
          <w:iCs w:val="0"/>
        </w:rPr>
        <w:t>Trans. Willard R. Trask, (Harcourt Brace &amp; Company, 1987), p. 10.</w:t>
      </w:r>
    </w:p>
  </w:footnote>
  <w:footnote w:id="14855">
    <w:p w:rsidR="5881B92A" w:rsidP="5881B92A" w:rsidRDefault="5881B92A" w14:paraId="6A7FA219" w14:textId="032138EC">
      <w:pPr>
        <w:pStyle w:val="FootnoteText"/>
        <w:bidi w:val="0"/>
        <w:rPr>
          <w:noProof w:val="0"/>
          <w:lang w:val="en-GB"/>
        </w:rPr>
      </w:pPr>
      <w:r w:rsidRPr="5881B92A">
        <w:rPr>
          <w:rStyle w:val="FootnoteReference"/>
        </w:rPr>
        <w:footnoteRef/>
      </w:r>
      <w:r w:rsidRPr="5881B92A" w:rsidR="2D88EA34">
        <w:rPr>
          <w:sz w:val="20"/>
          <w:szCs w:val="20"/>
        </w:rPr>
        <w:t xml:space="preserve"> </w:t>
      </w:r>
      <w:r w:rsidRPr="2D88EA34" w:rsidR="2D88EA34">
        <w:rPr>
          <w:b w:val="0"/>
          <w:bCs w:val="0"/>
          <w:i w:val="0"/>
          <w:iCs w:val="0"/>
          <w:caps w:val="0"/>
          <w:smallCaps w:val="0"/>
          <w:noProof w:val="0"/>
          <w:color w:val="000000" w:themeColor="text1" w:themeTint="FF" w:themeShade="FF"/>
          <w:sz w:val="20"/>
          <w:szCs w:val="20"/>
          <w:lang w:val="en-GB"/>
        </w:rPr>
        <w:t xml:space="preserve">W. D. </w:t>
      </w:r>
      <w:r w:rsidRPr="2D88EA34" w:rsidR="2D88EA34">
        <w:rPr>
          <w:b w:val="0"/>
          <w:bCs w:val="0"/>
          <w:i w:val="0"/>
          <w:iCs w:val="0"/>
          <w:caps w:val="0"/>
          <w:smallCaps w:val="0"/>
          <w:noProof w:val="0"/>
          <w:color w:val="000000" w:themeColor="text1" w:themeTint="FF" w:themeShade="FF"/>
          <w:sz w:val="20"/>
          <w:szCs w:val="20"/>
          <w:lang w:val="en-GB"/>
        </w:rPr>
        <w:t xml:space="preserve">Halls, </w:t>
      </w:r>
      <w:r w:rsidRPr="2D88EA34" w:rsidR="2D88EA34">
        <w:rPr>
          <w:b w:val="0"/>
          <w:bCs w:val="0"/>
          <w:i w:val="1"/>
          <w:iCs w:val="1"/>
          <w:caps w:val="0"/>
          <w:smallCaps w:val="0"/>
          <w:noProof w:val="0"/>
          <w:color w:val="000000" w:themeColor="text1" w:themeTint="FF" w:themeShade="FF"/>
          <w:sz w:val="20"/>
          <w:szCs w:val="20"/>
          <w:lang w:val="en-GB"/>
        </w:rPr>
        <w:t>The Cultural and Educational Influence of Durkheim, 1900-1945</w:t>
      </w:r>
      <w:r w:rsidRPr="2D88EA34" w:rsidR="2D88EA34">
        <w:rPr>
          <w:b w:val="0"/>
          <w:bCs w:val="0"/>
          <w:i w:val="1"/>
          <w:iCs w:val="1"/>
          <w:caps w:val="0"/>
          <w:smallCaps w:val="0"/>
          <w:noProof w:val="0"/>
          <w:color w:val="000000" w:themeColor="text1" w:themeTint="FF" w:themeShade="FF"/>
          <w:sz w:val="20"/>
          <w:szCs w:val="20"/>
          <w:lang w:val="en-GB"/>
        </w:rPr>
        <w:t>,</w:t>
      </w:r>
      <w:r w:rsidRPr="2D88EA34" w:rsidR="2D88EA34">
        <w:rPr>
          <w:b w:val="0"/>
          <w:bCs w:val="0"/>
          <w:i w:val="0"/>
          <w:iCs w:val="0"/>
          <w:caps w:val="0"/>
          <w:smallCaps w:val="0"/>
          <w:noProof w:val="0"/>
          <w:color w:val="000000" w:themeColor="text1" w:themeTint="FF" w:themeShade="FF"/>
          <w:sz w:val="20"/>
          <w:szCs w:val="20"/>
          <w:lang w:val="en-GB"/>
        </w:rPr>
        <w:t xml:space="preserve"> </w:t>
      </w:r>
      <w:r w:rsidRPr="2D88EA34" w:rsidR="2D88EA34">
        <w:rPr>
          <w:b w:val="0"/>
          <w:bCs w:val="0"/>
          <w:i w:val="0"/>
          <w:iCs w:val="0"/>
          <w:caps w:val="0"/>
          <w:smallCaps w:val="0"/>
          <w:noProof w:val="0"/>
          <w:color w:val="000000" w:themeColor="text1" w:themeTint="FF" w:themeShade="FF"/>
          <w:sz w:val="20"/>
          <w:szCs w:val="20"/>
          <w:lang w:val="en-GB"/>
        </w:rPr>
        <w:t>(</w:t>
      </w:r>
      <w:r w:rsidRPr="2D88EA34" w:rsidR="2D88EA34">
        <w:rPr>
          <w:b w:val="0"/>
          <w:bCs w:val="0"/>
          <w:i w:val="0"/>
          <w:iCs w:val="0"/>
          <w:caps w:val="0"/>
          <w:smallCaps w:val="0"/>
          <w:noProof w:val="0"/>
          <w:color w:val="000000" w:themeColor="text1" w:themeTint="FF" w:themeShade="FF"/>
          <w:sz w:val="20"/>
          <w:szCs w:val="20"/>
          <w:lang w:val="en-GB"/>
        </w:rPr>
        <w:t>Durkheimian Studies / Études Durkheimiennes</w:t>
      </w:r>
      <w:r w:rsidRPr="2D88EA34" w:rsidR="2D88EA34">
        <w:rPr>
          <w:b w:val="0"/>
          <w:bCs w:val="0"/>
          <w:i w:val="0"/>
          <w:iCs w:val="0"/>
          <w:caps w:val="0"/>
          <w:smallCaps w:val="0"/>
          <w:noProof w:val="0"/>
          <w:color w:val="000000" w:themeColor="text1" w:themeTint="FF" w:themeShade="FF"/>
          <w:sz w:val="20"/>
          <w:szCs w:val="20"/>
          <w:lang w:val="en-GB"/>
        </w:rPr>
        <w:t>, vol. 2, 1996</w:t>
      </w:r>
      <w:r w:rsidRPr="2D88EA34" w:rsidR="2D88EA34">
        <w:rPr>
          <w:b w:val="0"/>
          <w:bCs w:val="0"/>
          <w:i w:val="0"/>
          <w:iCs w:val="0"/>
          <w:caps w:val="0"/>
          <w:smallCaps w:val="0"/>
          <w:noProof w:val="0"/>
          <w:color w:val="000000" w:themeColor="text1" w:themeTint="FF" w:themeShade="FF"/>
          <w:sz w:val="20"/>
          <w:szCs w:val="20"/>
          <w:lang w:val="en-GB"/>
        </w:rPr>
        <w:t>)</w:t>
      </w:r>
      <w:r w:rsidRPr="2D88EA34" w:rsidR="2D88EA34">
        <w:rPr>
          <w:b w:val="0"/>
          <w:bCs w:val="0"/>
          <w:i w:val="0"/>
          <w:iCs w:val="0"/>
          <w:caps w:val="0"/>
          <w:smallCaps w:val="0"/>
          <w:noProof w:val="0"/>
          <w:color w:val="000000" w:themeColor="text1" w:themeTint="FF" w:themeShade="FF"/>
          <w:sz w:val="20"/>
          <w:szCs w:val="20"/>
          <w:lang w:val="en-GB"/>
        </w:rPr>
        <w:t>, p. 122</w:t>
      </w:r>
      <w:r w:rsidRPr="2D88EA34" w:rsidR="2D88EA34">
        <w:rPr>
          <w:b w:val="0"/>
          <w:bCs w:val="0"/>
          <w:i w:val="0"/>
          <w:iCs w:val="0"/>
          <w:caps w:val="0"/>
          <w:smallCaps w:val="0"/>
          <w:noProof w:val="0"/>
          <w:color w:val="000000" w:themeColor="text1" w:themeTint="FF" w:themeShade="FF"/>
          <w:sz w:val="20"/>
          <w:szCs w:val="20"/>
          <w:lang w:val="en-GB"/>
        </w:rPr>
        <w:t xml:space="preserve">, </w:t>
      </w:r>
      <w:r w:rsidRPr="2D88EA34" w:rsidR="2D88EA34">
        <w:rPr>
          <w:b w:val="0"/>
          <w:bCs w:val="0"/>
          <w:i w:val="0"/>
          <w:iCs w:val="0"/>
          <w:caps w:val="0"/>
          <w:smallCaps w:val="0"/>
          <w:noProof w:val="0"/>
          <w:color w:val="000000" w:themeColor="text1" w:themeTint="FF" w:themeShade="FF"/>
          <w:sz w:val="20"/>
          <w:szCs w:val="20"/>
          <w:lang w:val="en-GB"/>
        </w:rPr>
        <w:t xml:space="preserve"> </w:t>
      </w:r>
      <w:hyperlink r:id="Rd1165f6e9174441f">
        <w:r w:rsidRPr="2D88EA34" w:rsidR="2D88EA34">
          <w:rPr>
            <w:rStyle w:val="Hyperlink"/>
            <w:b w:val="0"/>
            <w:bCs w:val="0"/>
            <w:i w:val="0"/>
            <w:iCs w:val="0"/>
            <w:caps w:val="0"/>
            <w:smallCaps w:val="0"/>
            <w:noProof w:val="0"/>
            <w:sz w:val="20"/>
            <w:szCs w:val="20"/>
            <w:lang w:val="en-GB"/>
          </w:rPr>
          <w:t>http://www.jstor.org/stable/44709227</w:t>
        </w:r>
      </w:hyperlink>
      <w:r w:rsidRPr="2D88EA34" w:rsidR="2D88EA34">
        <w:rPr>
          <w:b w:val="0"/>
          <w:bCs w:val="0"/>
          <w:i w:val="0"/>
          <w:iCs w:val="0"/>
          <w:caps w:val="0"/>
          <w:smallCaps w:val="0"/>
          <w:noProof w:val="0"/>
          <w:color w:val="000000" w:themeColor="text1" w:themeTint="FF" w:themeShade="FF"/>
          <w:sz w:val="20"/>
          <w:szCs w:val="20"/>
          <w:lang w:val="en-GB"/>
        </w:rPr>
        <w:t xml:space="preserve"> </w:t>
      </w:r>
    </w:p>
  </w:footnote>
  <w:footnote w:id="4976">
    <w:p w:rsidR="5881B92A" w:rsidP="5881B92A" w:rsidRDefault="5881B92A" w14:paraId="233CDC41" w14:textId="07E76359">
      <w:pPr>
        <w:pStyle w:val="FootnoteText"/>
        <w:bidi w:val="0"/>
      </w:pPr>
      <w:r w:rsidRPr="5881B92A">
        <w:rPr>
          <w:rStyle w:val="FootnoteReference"/>
        </w:rPr>
        <w:footnoteRef/>
      </w:r>
      <w:r w:rsidR="2D88EA34">
        <w:rPr/>
        <w:t xml:space="preserve"> Durkheim, </w:t>
      </w:r>
      <w:r w:rsidRPr="2D88EA34" w:rsidR="2D88EA34">
        <w:rPr>
          <w:i w:val="1"/>
          <w:iCs w:val="1"/>
        </w:rPr>
        <w:t xml:space="preserve">The </w:t>
      </w:r>
      <w:r w:rsidRPr="2D88EA34" w:rsidR="2D88EA34">
        <w:rPr>
          <w:i w:val="1"/>
          <w:iCs w:val="1"/>
        </w:rPr>
        <w:t xml:space="preserve">Elementary Forms, </w:t>
      </w:r>
      <w:r w:rsidRPr="2D88EA34" w:rsidR="2D88EA34">
        <w:rPr>
          <w:i w:val="0"/>
          <w:iCs w:val="0"/>
        </w:rPr>
        <w:t>p. 40.</w:t>
      </w:r>
    </w:p>
  </w:footnote>
  <w:footnote w:id="9386">
    <w:p w:rsidR="5881B92A" w:rsidP="2D88EA34" w:rsidRDefault="5881B92A" w14:paraId="13AFD565" w14:textId="0D45B1FC">
      <w:pPr>
        <w:pStyle w:val="FootnoteText"/>
        <w:bidi w:val="0"/>
        <w:rPr>
          <w:i w:val="0"/>
          <w:iCs w:val="0"/>
        </w:rPr>
      </w:pPr>
      <w:r w:rsidRPr="5881B92A">
        <w:rPr>
          <w:rStyle w:val="FootnoteReference"/>
        </w:rPr>
        <w:footnoteRef/>
      </w:r>
      <w:r w:rsidR="2D88EA34">
        <w:rPr/>
        <w:t xml:space="preserve"> Mathew T</w:t>
      </w:r>
      <w:r w:rsidR="2D88EA34">
        <w:rPr/>
        <w:t xml:space="preserve">.</w:t>
      </w:r>
      <w:r w:rsidR="2D88EA34">
        <w:rPr/>
        <w:t xml:space="preserve"> </w:t>
      </w:r>
      <w:r w:rsidR="2D88EA34">
        <w:rPr/>
        <w:t xml:space="preserve">Evans, </w:t>
      </w:r>
      <w:r w:rsidRPr="2D88EA34" w:rsidR="2D88EA34">
        <w:rPr>
          <w:i w:val="1"/>
          <w:iCs w:val="1"/>
        </w:rPr>
        <w:t xml:space="preserve">The Sacred: Differentiating, Clarifying and extending concepts, </w:t>
      </w:r>
      <w:r w:rsidRPr="2D88EA34" w:rsidR="2D88EA34">
        <w:rPr>
          <w:i w:val="0"/>
          <w:iCs w:val="0"/>
        </w:rPr>
        <w:t xml:space="preserve">(Review of Religious Research, Vol. 45, </w:t>
      </w:r>
      <w:r w:rsidRPr="2D88EA34" w:rsidR="2D88EA34">
        <w:rPr>
          <w:i w:val="0"/>
          <w:iCs w:val="0"/>
        </w:rPr>
        <w:t xml:space="preserve">No. 1, 2003), p. 37, </w:t>
      </w:r>
      <w:hyperlink r:id="Rf8df71eded794a0c">
        <w:r w:rsidRPr="2D88EA34" w:rsidR="2D88EA34">
          <w:rPr>
            <w:rStyle w:val="Hyperlink"/>
            <w:i w:val="0"/>
            <w:iCs w:val="0"/>
          </w:rPr>
          <w:t>https://jstor.org/stable/3512498</w:t>
        </w:r>
      </w:hyperlink>
      <w:r w:rsidRPr="2D88EA34" w:rsidR="2D88EA34">
        <w:rPr>
          <w:i w:val="0"/>
          <w:iCs w:val="0"/>
        </w:rPr>
        <w:t xml:space="preserve"> </w:t>
      </w:r>
    </w:p>
  </w:footnote>
  <w:footnote w:id="19366">
    <w:p w:rsidR="5881B92A" w:rsidP="5881B92A" w:rsidRDefault="5881B92A" w14:paraId="38C03B0F" w14:textId="751897F9">
      <w:pPr>
        <w:pStyle w:val="FootnoteText"/>
        <w:bidi w:val="0"/>
      </w:pPr>
      <w:r w:rsidRPr="5881B92A">
        <w:rPr>
          <w:rStyle w:val="FootnoteReference"/>
        </w:rPr>
        <w:footnoteRef/>
      </w:r>
      <w:r w:rsidR="2D88EA34">
        <w:rPr/>
        <w:t xml:space="preserve"> Durkheim, </w:t>
      </w:r>
      <w:r w:rsidRPr="2D88EA34" w:rsidR="2D88EA34">
        <w:rPr>
          <w:i w:val="1"/>
          <w:iCs w:val="1"/>
        </w:rPr>
        <w:t xml:space="preserve">The </w:t>
      </w:r>
      <w:r w:rsidRPr="2D88EA34" w:rsidR="2D88EA34">
        <w:rPr>
          <w:i w:val="1"/>
          <w:iCs w:val="1"/>
        </w:rPr>
        <w:t xml:space="preserve">Elementary Forms,</w:t>
      </w:r>
      <w:r w:rsidR="2D88EA34">
        <w:rPr/>
        <w:t xml:space="preserve"> p. 47.</w:t>
      </w:r>
    </w:p>
  </w:footnote>
  <w:footnote w:id="20574">
    <w:p w:rsidR="5881B92A" w:rsidP="5881B92A" w:rsidRDefault="5881B92A" w14:paraId="148759F0" w14:textId="5B417978">
      <w:pPr>
        <w:pStyle w:val="FootnoteText"/>
        <w:bidi w:val="0"/>
      </w:pPr>
      <w:r w:rsidRPr="5881B92A">
        <w:rPr>
          <w:rStyle w:val="FootnoteReference"/>
        </w:rPr>
        <w:footnoteRef/>
      </w:r>
      <w:r w:rsidR="2D88EA34">
        <w:rPr/>
        <w:t xml:space="preserve"> David E. </w:t>
      </w:r>
      <w:r w:rsidR="2D88EA34">
        <w:rPr/>
        <w:t xml:space="preserve">Greenwald, </w:t>
      </w:r>
      <w:r w:rsidRPr="2D88EA34" w:rsidR="2D88EA34">
        <w:rPr>
          <w:i w:val="1"/>
          <w:iCs w:val="1"/>
        </w:rPr>
        <w:t>Durkheim on Society, Thought and Ritual</w:t>
      </w:r>
      <w:r w:rsidR="2D88EA34">
        <w:rPr/>
        <w:t xml:space="preserve">, (Sociological Analysis, vol. 34, no. 3, 1973), p. 166. </w:t>
      </w:r>
      <w:hyperlink r:id="R7825e5aa0dfe47fc">
        <w:r w:rsidRPr="5881B92A" w:rsidR="2D88EA34">
          <w:rPr>
            <w:rStyle w:val="Hyperlink"/>
          </w:rPr>
          <w:t>https://doi.org/10.2307/3709771</w:t>
        </w:r>
      </w:hyperlink>
      <w:r w:rsidR="2D88EA34">
        <w:rPr/>
        <w:t xml:space="preserve"> </w:t>
      </w:r>
    </w:p>
  </w:footnote>
  <w:footnote w:id="28567">
    <w:p w:rsidR="5881B92A" w:rsidP="5881B92A" w:rsidRDefault="5881B92A" w14:paraId="34863294" w14:textId="79C4E8D5">
      <w:pPr>
        <w:pStyle w:val="FootnoteText"/>
        <w:bidi w:val="0"/>
        <w:spacing w:before="0" w:beforeAutospacing="off" w:after="0" w:afterAutospacing="off" w:line="240" w:lineRule="auto"/>
        <w:ind w:left="0" w:right="0"/>
        <w:jc w:val="left"/>
        <w:rPr>
          <w:noProof w:val="0"/>
          <w:lang w:val="en-GB"/>
        </w:rPr>
      </w:pPr>
      <w:r w:rsidRPr="5881B92A">
        <w:rPr>
          <w:rStyle w:val="FootnoteReference"/>
        </w:rPr>
        <w:footnoteRef/>
      </w:r>
      <w:r w:rsidR="2D88EA34">
        <w:rPr/>
        <w:t xml:space="preserve"> </w:t>
      </w:r>
      <w:r w:rsidRPr="2D88EA34" w:rsidR="2D88EA34">
        <w:rPr>
          <w:b w:val="0"/>
          <w:bCs w:val="0"/>
          <w:i w:val="0"/>
          <w:iCs w:val="0"/>
          <w:caps w:val="0"/>
          <w:smallCaps w:val="0"/>
          <w:noProof w:val="0"/>
          <w:color w:val="000000" w:themeColor="text1" w:themeTint="FF" w:themeShade="FF"/>
          <w:sz w:val="20"/>
          <w:szCs w:val="20"/>
          <w:lang w:val="en-GB"/>
        </w:rPr>
        <w:t>Durkheim,</w:t>
      </w:r>
      <w:r w:rsidRPr="2D88EA34" w:rsidR="2D88EA34">
        <w:rPr>
          <w:b w:val="0"/>
          <w:bCs w:val="0"/>
          <w:i w:val="1"/>
          <w:iCs w:val="1"/>
          <w:caps w:val="0"/>
          <w:smallCaps w:val="0"/>
          <w:noProof w:val="0"/>
          <w:color w:val="000000" w:themeColor="text1" w:themeTint="FF" w:themeShade="FF"/>
          <w:sz w:val="20"/>
          <w:szCs w:val="20"/>
          <w:lang w:val="en-GB"/>
        </w:rPr>
        <w:t xml:space="preserve"> </w:t>
      </w:r>
      <w:r w:rsidRPr="2D88EA34" w:rsidR="2D88EA34">
        <w:rPr>
          <w:b w:val="0"/>
          <w:bCs w:val="0"/>
          <w:i w:val="1"/>
          <w:iCs w:val="1"/>
          <w:caps w:val="0"/>
          <w:smallCaps w:val="0"/>
          <w:noProof w:val="0"/>
          <w:color w:val="000000" w:themeColor="text1" w:themeTint="FF" w:themeShade="FF"/>
          <w:sz w:val="20"/>
          <w:szCs w:val="20"/>
          <w:lang w:val="en-GB"/>
        </w:rPr>
        <w:t xml:space="preserve">The </w:t>
      </w:r>
      <w:r w:rsidRPr="2D88EA34" w:rsidR="2D88EA34">
        <w:rPr>
          <w:b w:val="0"/>
          <w:bCs w:val="0"/>
          <w:i w:val="1"/>
          <w:iCs w:val="1"/>
          <w:caps w:val="0"/>
          <w:smallCaps w:val="0"/>
          <w:noProof w:val="0"/>
          <w:color w:val="000000" w:themeColor="text1" w:themeTint="FF" w:themeShade="FF"/>
          <w:sz w:val="20"/>
          <w:szCs w:val="20"/>
          <w:lang w:val="en-GB"/>
        </w:rPr>
        <w:t>Elementary Forms</w:t>
      </w:r>
      <w:r w:rsidRPr="2D88EA34" w:rsidR="2D88EA34">
        <w:rPr>
          <w:b w:val="0"/>
          <w:bCs w:val="0"/>
          <w:i w:val="1"/>
          <w:iCs w:val="1"/>
          <w:caps w:val="0"/>
          <w:smallCaps w:val="0"/>
          <w:noProof w:val="0"/>
          <w:color w:val="000000" w:themeColor="text1" w:themeTint="FF" w:themeShade="FF"/>
          <w:sz w:val="20"/>
          <w:szCs w:val="20"/>
          <w:lang w:val="en-GB"/>
        </w:rPr>
        <w:t xml:space="preserve">, </w:t>
      </w:r>
      <w:r w:rsidRPr="2D88EA34" w:rsidR="2D88EA34">
        <w:rPr>
          <w:b w:val="0"/>
          <w:bCs w:val="0"/>
          <w:i w:val="0"/>
          <w:iCs w:val="0"/>
          <w:caps w:val="0"/>
          <w:smallCaps w:val="0"/>
          <w:noProof w:val="0"/>
          <w:color w:val="000000" w:themeColor="text1" w:themeTint="FF" w:themeShade="FF"/>
          <w:sz w:val="20"/>
          <w:szCs w:val="20"/>
          <w:lang w:val="en-GB"/>
        </w:rPr>
        <w:t>p.</w:t>
      </w:r>
      <w:r w:rsidRPr="2D88EA34" w:rsidR="2D88EA34">
        <w:rPr>
          <w:b w:val="0"/>
          <w:bCs w:val="0"/>
          <w:i w:val="0"/>
          <w:iCs w:val="0"/>
          <w:caps w:val="0"/>
          <w:smallCaps w:val="0"/>
          <w:noProof w:val="0"/>
          <w:color w:val="000000" w:themeColor="text1" w:themeTint="FF" w:themeShade="FF"/>
          <w:sz w:val="20"/>
          <w:szCs w:val="20"/>
          <w:lang w:val="en-GB"/>
        </w:rPr>
        <w:t>41.</w:t>
      </w:r>
    </w:p>
  </w:footnote>
  <w:footnote w:id="15094">
    <w:p w:rsidR="5881B92A" w:rsidP="2D88EA34" w:rsidRDefault="5881B92A" w14:paraId="297360BF" w14:textId="229AA128">
      <w:pPr>
        <w:pStyle w:val="FootnoteText"/>
        <w:bidi w:val="0"/>
        <w:rPr>
          <w:i w:val="0"/>
          <w:iCs w:val="0"/>
        </w:rPr>
      </w:pPr>
      <w:r w:rsidRPr="5881B92A">
        <w:rPr>
          <w:rStyle w:val="FootnoteReference"/>
        </w:rPr>
        <w:footnoteRef/>
      </w:r>
      <w:r w:rsidR="2D88EA34">
        <w:rPr/>
        <w:t xml:space="preserve"> Eliade, </w:t>
      </w:r>
      <w:r w:rsidRPr="2D88EA34" w:rsidR="2D88EA34">
        <w:rPr>
          <w:i w:val="1"/>
          <w:iCs w:val="1"/>
        </w:rPr>
        <w:t xml:space="preserve">The Sacred and The Profane, </w:t>
      </w:r>
      <w:r w:rsidRPr="2D88EA34" w:rsidR="2D88EA34">
        <w:rPr>
          <w:i w:val="0"/>
          <w:iCs w:val="0"/>
        </w:rPr>
        <w:t>p. 11.</w:t>
      </w:r>
    </w:p>
  </w:footnote>
  <w:footnote w:id="14289">
    <w:p w:rsidR="5881B92A" w:rsidP="5881B92A" w:rsidRDefault="5881B92A" w14:paraId="36DD1919" w14:textId="209E0910">
      <w:pPr>
        <w:pStyle w:val="FootnoteText"/>
        <w:bidi w:val="0"/>
        <w:rPr>
          <w:i w:val="0"/>
          <w:iCs w:val="0"/>
        </w:rPr>
      </w:pPr>
      <w:r w:rsidRPr="5881B92A">
        <w:rPr>
          <w:rStyle w:val="FootnoteReference"/>
        </w:rPr>
        <w:footnoteRef/>
      </w:r>
      <w:r w:rsidR="5881B92A">
        <w:rPr/>
        <w:t xml:space="preserve"> Evans, </w:t>
      </w:r>
      <w:r w:rsidRPr="5881B92A" w:rsidR="5881B92A">
        <w:rPr>
          <w:i w:val="1"/>
          <w:iCs w:val="1"/>
        </w:rPr>
        <w:t xml:space="preserve">The Sacred, </w:t>
      </w:r>
      <w:r w:rsidRPr="5881B92A" w:rsidR="5881B92A">
        <w:rPr>
          <w:i w:val="0"/>
          <w:iCs w:val="0"/>
        </w:rPr>
        <w:t>p. 37.</w:t>
      </w:r>
    </w:p>
  </w:footnote>
  <w:footnote w:id="26548">
    <w:p w:rsidR="5881B92A" w:rsidP="5881B92A" w:rsidRDefault="5881B92A" w14:paraId="14CBEABD" w14:textId="102895AB">
      <w:pPr>
        <w:pStyle w:val="FootnoteText"/>
        <w:bidi w:val="0"/>
        <w:rPr>
          <w:noProof w:val="0"/>
          <w:lang w:val="en-GB"/>
        </w:rPr>
      </w:pPr>
      <w:r w:rsidRPr="5881B92A">
        <w:rPr>
          <w:rStyle w:val="FootnoteReference"/>
        </w:rPr>
        <w:footnoteRef/>
      </w:r>
      <w:r w:rsidR="2D88EA34">
        <w:rPr/>
        <w:t xml:space="preserve"> </w:t>
      </w:r>
      <w:r w:rsidRPr="2D88EA34" w:rsidR="2D88EA34">
        <w:rPr>
          <w:b w:val="0"/>
          <w:bCs w:val="0"/>
          <w:i w:val="0"/>
          <w:iCs w:val="0"/>
          <w:caps w:val="0"/>
          <w:smallCaps w:val="0"/>
          <w:noProof w:val="0"/>
          <w:color w:val="000000" w:themeColor="text1" w:themeTint="FF" w:themeShade="FF"/>
          <w:sz w:val="20"/>
          <w:szCs w:val="20"/>
          <w:lang w:val="en-GB"/>
        </w:rPr>
        <w:t xml:space="preserve">Randall </w:t>
      </w:r>
      <w:r w:rsidRPr="2D88EA34" w:rsidR="2D88EA34">
        <w:rPr>
          <w:b w:val="0"/>
          <w:bCs w:val="0"/>
          <w:i w:val="0"/>
          <w:iCs w:val="0"/>
          <w:caps w:val="0"/>
          <w:smallCaps w:val="0"/>
          <w:noProof w:val="0"/>
          <w:color w:val="000000" w:themeColor="text1" w:themeTint="FF" w:themeShade="FF"/>
          <w:sz w:val="20"/>
          <w:szCs w:val="20"/>
          <w:lang w:val="en-GB"/>
        </w:rPr>
        <w:t xml:space="preserve">Studstill, </w:t>
      </w:r>
      <w:r w:rsidRPr="2D88EA34" w:rsidR="2D88EA34">
        <w:rPr>
          <w:b w:val="0"/>
          <w:bCs w:val="0"/>
          <w:i w:val="1"/>
          <w:iCs w:val="1"/>
          <w:caps w:val="0"/>
          <w:smallCaps w:val="0"/>
          <w:noProof w:val="0"/>
          <w:color w:val="000000" w:themeColor="text1" w:themeTint="FF" w:themeShade="FF"/>
          <w:sz w:val="20"/>
          <w:szCs w:val="20"/>
          <w:lang w:val="en-GB"/>
        </w:rPr>
        <w:t>Eliade, Phenomenology, and the Sacred</w:t>
      </w:r>
      <w:r w:rsidRPr="2D88EA34" w:rsidR="2D88EA34">
        <w:rPr>
          <w:b w:val="0"/>
          <w:bCs w:val="0"/>
          <w:i w:val="0"/>
          <w:iCs w:val="0"/>
          <w:caps w:val="0"/>
          <w:smallCaps w:val="0"/>
          <w:noProof w:val="0"/>
          <w:color w:val="000000" w:themeColor="text1" w:themeTint="FF" w:themeShade="FF"/>
          <w:sz w:val="20"/>
          <w:szCs w:val="20"/>
          <w:lang w:val="en-GB"/>
        </w:rPr>
        <w:t>, (</w:t>
      </w:r>
      <w:r w:rsidRPr="2D88EA34" w:rsidR="2D88EA34">
        <w:rPr>
          <w:b w:val="0"/>
          <w:bCs w:val="0"/>
          <w:i w:val="1"/>
          <w:iCs w:val="1"/>
          <w:caps w:val="0"/>
          <w:smallCaps w:val="0"/>
          <w:noProof w:val="0"/>
          <w:color w:val="000000" w:themeColor="text1" w:themeTint="FF" w:themeShade="FF"/>
          <w:sz w:val="20"/>
          <w:szCs w:val="20"/>
          <w:lang w:val="en-GB"/>
        </w:rPr>
        <w:t>R</w:t>
      </w:r>
      <w:r w:rsidRPr="2D88EA34" w:rsidR="2D88EA34">
        <w:rPr>
          <w:b w:val="0"/>
          <w:bCs w:val="0"/>
          <w:i w:val="0"/>
          <w:iCs w:val="0"/>
          <w:caps w:val="0"/>
          <w:smallCaps w:val="0"/>
          <w:noProof w:val="0"/>
          <w:color w:val="000000" w:themeColor="text1" w:themeTint="FF" w:themeShade="FF"/>
          <w:sz w:val="20"/>
          <w:szCs w:val="20"/>
          <w:lang w:val="en-GB"/>
        </w:rPr>
        <w:t xml:space="preserve">eligious Studies, vol. 36, no. 2, 2000), p. 178, </w:t>
      </w:r>
      <w:hyperlink r:id="R0476740899544da9">
        <w:r w:rsidRPr="2D88EA34" w:rsidR="2D88EA34">
          <w:rPr>
            <w:rStyle w:val="Hyperlink"/>
            <w:b w:val="0"/>
            <w:bCs w:val="0"/>
            <w:i w:val="0"/>
            <w:iCs w:val="0"/>
            <w:caps w:val="0"/>
            <w:smallCaps w:val="0"/>
            <w:noProof w:val="0"/>
            <w:sz w:val="20"/>
            <w:szCs w:val="20"/>
            <w:lang w:val="en-GB"/>
          </w:rPr>
          <w:t>http://www.jstor.org/stable/20008280</w:t>
        </w:r>
      </w:hyperlink>
      <w:r w:rsidRPr="2D88EA34" w:rsidR="2D88EA34">
        <w:rPr>
          <w:b w:val="0"/>
          <w:bCs w:val="0"/>
          <w:i w:val="0"/>
          <w:iCs w:val="0"/>
          <w:caps w:val="0"/>
          <w:smallCaps w:val="0"/>
          <w:noProof w:val="0"/>
          <w:color w:val="000000" w:themeColor="text1" w:themeTint="FF" w:themeShade="FF"/>
          <w:sz w:val="20"/>
          <w:szCs w:val="20"/>
          <w:lang w:val="en-GB"/>
        </w:rPr>
        <w:t xml:space="preserve"> </w:t>
      </w:r>
    </w:p>
  </w:footnote>
  <w:footnote w:id="28335">
    <w:p w:rsidR="5881B92A" w:rsidP="2D88EA34" w:rsidRDefault="5881B92A" w14:paraId="214AAB01" w14:textId="7D8F55A4">
      <w:pPr>
        <w:pStyle w:val="FootnoteText"/>
        <w:bidi w:val="0"/>
        <w:rPr>
          <w:i w:val="0"/>
          <w:iCs w:val="0"/>
        </w:rPr>
      </w:pPr>
      <w:r w:rsidRPr="5881B92A">
        <w:rPr>
          <w:rStyle w:val="FootnoteReference"/>
        </w:rPr>
        <w:footnoteRef/>
      </w:r>
      <w:r w:rsidR="2D88EA34">
        <w:rPr/>
        <w:t xml:space="preserve">  Eliade,</w:t>
      </w:r>
      <w:r w:rsidR="2D88EA34">
        <w:rPr/>
        <w:t xml:space="preserve"> </w:t>
      </w:r>
      <w:r w:rsidRPr="2D88EA34" w:rsidR="2D88EA34">
        <w:rPr>
          <w:i w:val="1"/>
          <w:iCs w:val="1"/>
        </w:rPr>
        <w:t xml:space="preserve">The Sacred and The Profane, </w:t>
      </w:r>
      <w:r w:rsidRPr="2D88EA34" w:rsidR="2D88EA34">
        <w:rPr>
          <w:i w:val="0"/>
          <w:iCs w:val="0"/>
        </w:rPr>
        <w:t>p. 11.</w:t>
      </w:r>
    </w:p>
  </w:footnote>
  <w:footnote w:id="763">
    <w:p w:rsidR="5881B92A" w:rsidP="5881B92A" w:rsidRDefault="5881B92A" w14:paraId="40DAEFDF" w14:textId="66CADC09">
      <w:pPr>
        <w:pStyle w:val="FootnoteText"/>
        <w:bidi w:val="0"/>
      </w:pPr>
      <w:r w:rsidRPr="5881B92A">
        <w:rPr>
          <w:rStyle w:val="FootnoteReference"/>
        </w:rPr>
        <w:footnoteRef/>
      </w:r>
      <w:r w:rsidR="2D88EA34">
        <w:rPr/>
        <w:t xml:space="preserve"> Durkheim, </w:t>
      </w:r>
      <w:r w:rsidRPr="2D88EA34" w:rsidR="2D88EA34">
        <w:rPr>
          <w:i w:val="1"/>
          <w:iCs w:val="1"/>
        </w:rPr>
        <w:t xml:space="preserve">The </w:t>
      </w:r>
      <w:r w:rsidRPr="2D88EA34" w:rsidR="2D88EA34">
        <w:rPr>
          <w:i w:val="1"/>
          <w:iCs w:val="1"/>
        </w:rPr>
        <w:t xml:space="preserve">Elementary Forms</w:t>
      </w:r>
      <w:r w:rsidR="2D88EA34">
        <w:rPr/>
        <w:t xml:space="preserve">, p. 207.</w:t>
      </w:r>
    </w:p>
  </w:footnote>
  <w:footnote w:id="10197">
    <w:p w:rsidR="5881B92A" w:rsidP="2D88EA34" w:rsidRDefault="5881B92A" w14:paraId="3E592DA0" w14:textId="26054529">
      <w:pPr>
        <w:pStyle w:val="FootnoteText"/>
        <w:bidi w:val="0"/>
        <w:rPr>
          <w:i w:val="0"/>
          <w:iCs w:val="0"/>
        </w:rPr>
      </w:pPr>
      <w:r w:rsidRPr="5881B92A">
        <w:rPr>
          <w:rStyle w:val="FootnoteReference"/>
        </w:rPr>
        <w:footnoteRef/>
      </w:r>
      <w:r w:rsidR="2D88EA34">
        <w:rPr/>
        <w:t xml:space="preserve"> Eliade, </w:t>
      </w:r>
      <w:r w:rsidRPr="2D88EA34" w:rsidR="2D88EA34">
        <w:rPr>
          <w:i w:val="1"/>
          <w:iCs w:val="1"/>
        </w:rPr>
        <w:t xml:space="preserve">The Sacred and The Profane, </w:t>
      </w:r>
      <w:r w:rsidRPr="2D88EA34" w:rsidR="2D88EA34">
        <w:rPr>
          <w:i w:val="0"/>
          <w:iCs w:val="0"/>
        </w:rPr>
        <w:t>p. 14.</w:t>
      </w:r>
    </w:p>
  </w:footnote>
  <w:footnote w:id="24112">
    <w:p w:rsidR="5881B92A" w:rsidP="5881B92A" w:rsidRDefault="5881B92A" w14:paraId="6DBBA5B9" w14:textId="1569961B">
      <w:pPr>
        <w:pStyle w:val="FootnoteText"/>
        <w:bidi w:val="0"/>
      </w:pPr>
      <w:r w:rsidRPr="5881B92A">
        <w:rPr>
          <w:rStyle w:val="FootnoteReference"/>
        </w:rPr>
        <w:footnoteRef/>
      </w:r>
      <w:r w:rsidR="2D88EA34">
        <w:rPr/>
        <w:t xml:space="preserve"> Aurel</w:t>
      </w:r>
      <w:r w:rsidR="2D88EA34">
        <w:rPr/>
        <w:t xml:space="preserve"> Codoban,</w:t>
      </w:r>
      <w:r w:rsidRPr="2D88EA34" w:rsidR="2D88EA34">
        <w:rPr>
          <w:i w:val="1"/>
          <w:iCs w:val="1"/>
        </w:rPr>
        <w:t xml:space="preserve"> E</w:t>
      </w:r>
      <w:r w:rsidRPr="2D88EA34" w:rsidR="2D88EA34">
        <w:rPr>
          <w:i w:val="1"/>
          <w:iCs w:val="1"/>
        </w:rPr>
        <w:t>liade’s</w:t>
      </w:r>
      <w:r w:rsidRPr="2D88EA34" w:rsidR="2D88EA34">
        <w:rPr>
          <w:i w:val="1"/>
          <w:iCs w:val="1"/>
        </w:rPr>
        <w:t xml:space="preserve"> Idea of Ultimate Reality and Meaning: A Disanthropomorphized, ’Weakened’ Transcendence</w:t>
      </w:r>
      <w:r w:rsidRPr="2D88EA34" w:rsidR="2D88EA34">
        <w:rPr>
          <w:i w:val="1"/>
          <w:iCs w:val="1"/>
        </w:rPr>
        <w:t>'</w:t>
      </w:r>
      <w:r w:rsidR="2D88EA34">
        <w:rPr/>
        <w:t xml:space="preserve">, </w:t>
      </w:r>
      <w:r w:rsidR="2D88EA34">
        <w:rPr/>
        <w:t>(</w:t>
      </w:r>
      <w:r w:rsidR="2D88EA34">
        <w:rPr/>
        <w:t>Ultimate</w:t>
      </w:r>
      <w:r w:rsidR="2D88EA34">
        <w:rPr/>
        <w:t xml:space="preserve"> Reality and Meaning 21.2 1998), pp. 86-87</w:t>
      </w:r>
      <w:r w:rsidR="2D88EA34">
        <w:rPr/>
        <w:t xml:space="preserve">, </w:t>
      </w:r>
      <w:hyperlink r:id="R5384600d00f94d78">
        <w:r w:rsidRPr="5881B92A" w:rsidR="2D88EA34">
          <w:rPr>
            <w:rStyle w:val="Hyperlink"/>
          </w:rPr>
          <w:t>https://doi.org/10.3138/URAM.21.2.84</w:t>
        </w:r>
      </w:hyperlink>
      <w:r w:rsidR="2D88EA34">
        <w:rPr/>
        <w:t xml:space="preserve"> </w:t>
      </w:r>
    </w:p>
  </w:footnote>
  <w:footnote w:id="18963">
    <w:p w:rsidR="5881B92A" w:rsidP="5881B92A" w:rsidRDefault="5881B92A" w14:paraId="5160CE3D" w14:textId="3A8DD0BA">
      <w:pPr>
        <w:pStyle w:val="FootnoteText"/>
        <w:bidi w:val="0"/>
      </w:pPr>
      <w:r w:rsidRPr="5881B92A">
        <w:rPr>
          <w:rStyle w:val="FootnoteReference"/>
        </w:rPr>
        <w:footnoteRef/>
      </w:r>
      <w:r w:rsidR="5881B92A">
        <w:rPr/>
        <w:t xml:space="preserve"> Codaban, </w:t>
      </w:r>
      <w:r w:rsidRPr="5881B92A" w:rsidR="5881B92A">
        <w:rPr>
          <w:i w:val="1"/>
          <w:iCs w:val="1"/>
        </w:rPr>
        <w:t>Eliade's Ideas</w:t>
      </w:r>
      <w:r w:rsidRPr="5881B92A" w:rsidR="5881B92A">
        <w:rPr>
          <w:i w:val="0"/>
          <w:iCs w:val="0"/>
        </w:rPr>
        <w:t>, p. 86.</w:t>
      </w:r>
    </w:p>
  </w:footnote>
  <w:footnote w:id="13684">
    <w:p w:rsidR="5881B92A" w:rsidP="5881B92A" w:rsidRDefault="5881B92A" w14:paraId="6F124832" w14:textId="2FCBC5DE">
      <w:pPr>
        <w:pStyle w:val="FootnoteText"/>
        <w:bidi w:val="0"/>
        <w:rPr>
          <w:noProof w:val="0"/>
          <w:lang w:val="en-GB"/>
        </w:rPr>
      </w:pPr>
      <w:r w:rsidRPr="5881B92A">
        <w:rPr>
          <w:rStyle w:val="FootnoteReference"/>
        </w:rPr>
        <w:footnoteRef/>
      </w:r>
      <w:r w:rsidR="2D88EA34">
        <w:rPr/>
        <w:t xml:space="preserve"> </w:t>
      </w:r>
      <w:r w:rsidRPr="2D88EA34" w:rsidR="2D88EA34">
        <w:rPr>
          <w:b w:val="0"/>
          <w:bCs w:val="0"/>
          <w:i w:val="0"/>
          <w:iCs w:val="0"/>
          <w:caps w:val="0"/>
          <w:smallCaps w:val="0"/>
          <w:noProof w:val="0"/>
          <w:color w:val="000000" w:themeColor="text1" w:themeTint="FF" w:themeShade="FF"/>
          <w:sz w:val="20"/>
          <w:szCs w:val="20"/>
          <w:lang w:val="en-GB"/>
        </w:rPr>
        <w:t xml:space="preserve">Larry E</w:t>
      </w:r>
      <w:r w:rsidRPr="2D88EA34" w:rsidR="2D88EA34">
        <w:rPr>
          <w:b w:val="0"/>
          <w:bCs w:val="0"/>
          <w:i w:val="0"/>
          <w:iCs w:val="0"/>
          <w:caps w:val="0"/>
          <w:smallCaps w:val="0"/>
          <w:noProof w:val="0"/>
          <w:color w:val="000000" w:themeColor="text1" w:themeTint="FF" w:themeShade="FF"/>
          <w:sz w:val="20"/>
          <w:szCs w:val="20"/>
          <w:lang w:val="en-GB"/>
        </w:rPr>
        <w:t xml:space="preserve">.</w:t>
      </w:r>
      <w:r w:rsidRPr="2D88EA34" w:rsidR="2D88EA34">
        <w:rPr>
          <w:b w:val="0"/>
          <w:bCs w:val="0"/>
          <w:i w:val="0"/>
          <w:iCs w:val="0"/>
          <w:caps w:val="0"/>
          <w:smallCaps w:val="0"/>
          <w:noProof w:val="0"/>
          <w:color w:val="000000" w:themeColor="text1" w:themeTint="FF" w:themeShade="FF"/>
          <w:sz w:val="20"/>
          <w:szCs w:val="20"/>
          <w:lang w:val="en-GB"/>
        </w:rPr>
        <w:t xml:space="preserve"> </w:t>
      </w:r>
      <w:r w:rsidRPr="2D88EA34" w:rsidR="2D88EA34">
        <w:rPr>
          <w:b w:val="0"/>
          <w:bCs w:val="0"/>
          <w:i w:val="0"/>
          <w:iCs w:val="0"/>
          <w:caps w:val="0"/>
          <w:smallCaps w:val="0"/>
          <w:noProof w:val="0"/>
          <w:color w:val="000000" w:themeColor="text1" w:themeTint="FF" w:themeShade="FF"/>
          <w:sz w:val="20"/>
          <w:szCs w:val="20"/>
          <w:lang w:val="en-GB"/>
        </w:rPr>
        <w:t xml:space="preserve">Shiner, </w:t>
      </w:r>
      <w:r w:rsidRPr="2D88EA34" w:rsidR="2D88EA34">
        <w:rPr>
          <w:b w:val="0"/>
          <w:bCs w:val="0"/>
          <w:i w:val="1"/>
          <w:iCs w:val="1"/>
          <w:caps w:val="0"/>
          <w:smallCaps w:val="0"/>
          <w:noProof w:val="0"/>
          <w:color w:val="000000" w:themeColor="text1" w:themeTint="FF" w:themeShade="FF"/>
          <w:sz w:val="20"/>
          <w:szCs w:val="20"/>
          <w:lang w:val="en-GB"/>
        </w:rPr>
        <w:t>Sacred Space, Profane Space, Human Space</w:t>
      </w:r>
      <w:r w:rsidRPr="2D88EA34" w:rsidR="2D88EA34">
        <w:rPr>
          <w:b w:val="0"/>
          <w:bCs w:val="0"/>
          <w:i w:val="0"/>
          <w:iCs w:val="0"/>
          <w:caps w:val="0"/>
          <w:smallCaps w:val="0"/>
          <w:noProof w:val="0"/>
          <w:color w:val="000000" w:themeColor="text1" w:themeTint="FF" w:themeShade="FF"/>
          <w:sz w:val="20"/>
          <w:szCs w:val="20"/>
          <w:lang w:val="en-GB"/>
        </w:rPr>
        <w:t xml:space="preserve">, </w:t>
      </w:r>
      <w:r w:rsidRPr="2D88EA34" w:rsidR="2D88EA34">
        <w:rPr>
          <w:b w:val="0"/>
          <w:bCs w:val="0"/>
          <w:i w:val="1"/>
          <w:iCs w:val="1"/>
          <w:caps w:val="0"/>
          <w:smallCaps w:val="0"/>
          <w:noProof w:val="0"/>
          <w:color w:val="000000" w:themeColor="text1" w:themeTint="FF" w:themeShade="FF"/>
          <w:sz w:val="20"/>
          <w:szCs w:val="20"/>
          <w:lang w:val="en-GB"/>
        </w:rPr>
        <w:t>(</w:t>
      </w:r>
      <w:r w:rsidRPr="2D88EA34" w:rsidR="2D88EA34">
        <w:rPr>
          <w:b w:val="0"/>
          <w:bCs w:val="0"/>
          <w:i w:val="0"/>
          <w:iCs w:val="0"/>
          <w:caps w:val="0"/>
          <w:smallCaps w:val="0"/>
          <w:noProof w:val="0"/>
          <w:color w:val="000000" w:themeColor="text1" w:themeTint="FF" w:themeShade="FF"/>
          <w:sz w:val="20"/>
          <w:szCs w:val="20"/>
          <w:lang w:val="en-GB"/>
        </w:rPr>
        <w:t xml:space="preserve">Journal of the American Academy of Religion, vol. 40, no. 4, 1972), p. 425, </w:t>
      </w:r>
      <w:hyperlink r:id="Rd14ff2d979394fc3">
        <w:r w:rsidRPr="2D88EA34" w:rsidR="2D88EA34">
          <w:rPr>
            <w:rStyle w:val="Hyperlink"/>
            <w:b w:val="0"/>
            <w:bCs w:val="0"/>
            <w:i w:val="0"/>
            <w:iCs w:val="0"/>
            <w:caps w:val="0"/>
            <w:smallCaps w:val="0"/>
            <w:noProof w:val="0"/>
            <w:sz w:val="20"/>
            <w:szCs w:val="20"/>
            <w:lang w:val="en-GB"/>
          </w:rPr>
          <w:t>http://www.jstor.org/stable/1460891</w:t>
        </w:r>
      </w:hyperlink>
      <w:r w:rsidRPr="2D88EA34" w:rsidR="2D88EA34">
        <w:rPr>
          <w:b w:val="0"/>
          <w:bCs w:val="0"/>
          <w:i w:val="0"/>
          <w:iCs w:val="0"/>
          <w:caps w:val="0"/>
          <w:smallCaps w:val="0"/>
          <w:noProof w:val="0"/>
          <w:color w:val="000000" w:themeColor="text1" w:themeTint="FF" w:themeShade="FF"/>
          <w:sz w:val="20"/>
          <w:szCs w:val="20"/>
          <w:lang w:val="en-GB"/>
        </w:rPr>
        <w:t xml:space="preserve"> </w:t>
      </w:r>
    </w:p>
  </w:footnote>
  <w:footnote w:id="4230">
    <w:p w:rsidR="5881B92A" w:rsidP="2D88EA34" w:rsidRDefault="5881B92A" w14:paraId="5A6E859B" w14:textId="52ED5DF3">
      <w:pPr>
        <w:pStyle w:val="FootnoteText"/>
        <w:bidi w:val="0"/>
        <w:rPr>
          <w:i w:val="0"/>
          <w:iCs w:val="0"/>
        </w:rPr>
      </w:pPr>
      <w:r w:rsidRPr="5881B92A">
        <w:rPr>
          <w:rStyle w:val="FootnoteReference"/>
        </w:rPr>
        <w:footnoteRef/>
      </w:r>
      <w:r w:rsidR="2D88EA34">
        <w:rPr/>
        <w:t xml:space="preserve"> Eliade, </w:t>
      </w:r>
      <w:r w:rsidRPr="2D88EA34" w:rsidR="2D88EA34">
        <w:rPr>
          <w:i w:val="1"/>
          <w:iCs w:val="1"/>
        </w:rPr>
        <w:t xml:space="preserve">The Sacred and The Profane, </w:t>
      </w:r>
      <w:r w:rsidRPr="2D88EA34" w:rsidR="2D88EA34">
        <w:rPr>
          <w:i w:val="0"/>
          <w:iCs w:val="0"/>
        </w:rPr>
        <w:t>p. 15.</w:t>
      </w:r>
    </w:p>
  </w:footnote>
  <w:footnote w:id="15936">
    <w:p w:rsidR="5881B92A" w:rsidP="2D88EA34" w:rsidRDefault="5881B92A" w14:paraId="11964FE7" w14:textId="06376FA3">
      <w:pPr>
        <w:pStyle w:val="FootnoteText"/>
        <w:bidi w:val="0"/>
        <w:rPr>
          <w:i w:val="0"/>
          <w:iCs w:val="0"/>
        </w:rPr>
      </w:pPr>
      <w:r w:rsidRPr="5881B92A">
        <w:rPr>
          <w:rStyle w:val="FootnoteReference"/>
        </w:rPr>
        <w:footnoteRef/>
      </w:r>
      <w:r w:rsidR="2D88EA34">
        <w:rPr/>
        <w:t xml:space="preserve"> Eliade, </w:t>
      </w:r>
      <w:r w:rsidRPr="2D88EA34" w:rsidR="2D88EA34">
        <w:rPr>
          <w:i w:val="1"/>
          <w:iCs w:val="1"/>
        </w:rPr>
        <w:t xml:space="preserve">The Sacred and The Profane, </w:t>
      </w:r>
      <w:r w:rsidRPr="2D88EA34" w:rsidR="2D88EA34">
        <w:rPr>
          <w:i w:val="0"/>
          <w:iCs w:val="0"/>
        </w:rPr>
        <w:t>p. 22.</w:t>
      </w:r>
    </w:p>
  </w:footnote>
  <w:footnote w:id="3946">
    <w:p w:rsidR="5881B92A" w:rsidP="5881B92A" w:rsidRDefault="5881B92A" w14:paraId="2ED4725F" w14:textId="648645B7">
      <w:pPr>
        <w:pStyle w:val="FootnoteText"/>
        <w:bidi w:val="0"/>
      </w:pPr>
      <w:r w:rsidRPr="5881B92A">
        <w:rPr>
          <w:rStyle w:val="FootnoteReference"/>
        </w:rPr>
        <w:footnoteRef/>
      </w:r>
      <w:r w:rsidR="5881B92A">
        <w:rPr/>
        <w:t xml:space="preserve"> Durkheim, </w:t>
      </w:r>
      <w:r w:rsidRPr="5881B92A" w:rsidR="5881B92A">
        <w:rPr>
          <w:i w:val="1"/>
          <w:iCs w:val="1"/>
        </w:rPr>
        <w:t>The Elementary Forms</w:t>
      </w:r>
      <w:r w:rsidR="5881B92A">
        <w:rPr/>
        <w:t>, p. 207.</w:t>
      </w:r>
    </w:p>
  </w:footnote>
  <w:footnote w:id="16549">
    <w:p w:rsidR="5881B92A" w:rsidP="5881B92A" w:rsidRDefault="5881B92A" w14:paraId="43678F7D" w14:textId="14D2BB40">
      <w:pPr>
        <w:pStyle w:val="FootnoteText"/>
        <w:bidi w:val="0"/>
      </w:pPr>
      <w:r w:rsidRPr="5881B92A">
        <w:rPr>
          <w:rStyle w:val="FootnoteReference"/>
        </w:rPr>
        <w:footnoteRef/>
      </w:r>
      <w:r w:rsidR="2D88EA34">
        <w:rPr/>
        <w:t xml:space="preserve"> Durkheim, </w:t>
      </w:r>
      <w:r w:rsidRPr="2D88EA34" w:rsidR="2D88EA34">
        <w:rPr>
          <w:i w:val="1"/>
          <w:iCs w:val="1"/>
        </w:rPr>
        <w:t xml:space="preserve">The Elementary Forms</w:t>
      </w:r>
      <w:r w:rsidR="2D88EA34">
        <w:rPr/>
        <w:t xml:space="preserve">, p. 345.</w:t>
      </w:r>
    </w:p>
  </w:footnote>
  <w:footnote w:id="19939">
    <w:p w:rsidR="5881B92A" w:rsidP="2D88EA34" w:rsidRDefault="5881B92A" w14:paraId="17B95A73" w14:textId="513B2F19">
      <w:pPr>
        <w:pStyle w:val="FootnoteText"/>
        <w:bidi w:val="0"/>
        <w:rPr>
          <w:b w:val="0"/>
          <w:bCs w:val="0"/>
          <w:i w:val="0"/>
          <w:iCs w:val="0"/>
          <w:caps w:val="0"/>
          <w:smallCaps w:val="0"/>
          <w:noProof w:val="0"/>
          <w:color w:val="000000" w:themeColor="text1" w:themeTint="FF" w:themeShade="FF"/>
          <w:sz w:val="20"/>
          <w:szCs w:val="20"/>
          <w:lang w:val="en-GB"/>
        </w:rPr>
      </w:pPr>
      <w:r w:rsidRPr="5881B92A">
        <w:rPr>
          <w:rStyle w:val="FootnoteReference"/>
          <w:color w:val="000000" w:themeColor="text1" w:themeTint="FF" w:themeShade="FF"/>
          <w:sz w:val="20"/>
          <w:szCs w:val="20"/>
        </w:rPr>
        <w:footnoteRef/>
      </w:r>
      <w:r w:rsidRPr="2D88EA34" w:rsidR="2D88EA34">
        <w:rPr>
          <w:b w:val="0"/>
          <w:bCs w:val="0"/>
          <w:i w:val="0"/>
          <w:iCs w:val="0"/>
          <w:caps w:val="0"/>
          <w:smallCaps w:val="0"/>
          <w:noProof w:val="0"/>
          <w:color w:val="000000" w:themeColor="text1" w:themeTint="FF" w:themeShade="FF"/>
          <w:sz w:val="20"/>
          <w:szCs w:val="20"/>
          <w:lang w:val="en-GB"/>
        </w:rPr>
        <w:t xml:space="preserve">Celerina</w:t>
      </w:r>
      <w:r w:rsidRPr="2D88EA34" w:rsidR="2D88EA34">
        <w:rPr>
          <w:b w:val="0"/>
          <w:bCs w:val="0"/>
          <w:i w:val="0"/>
          <w:iCs w:val="0"/>
          <w:caps w:val="0"/>
          <w:smallCaps w:val="0"/>
          <w:noProof w:val="0"/>
          <w:color w:val="000000" w:themeColor="text1" w:themeTint="FF" w:themeShade="FF"/>
          <w:sz w:val="20"/>
          <w:szCs w:val="20"/>
          <w:lang w:val="en-GB"/>
        </w:rPr>
        <w:t xml:space="preserve"> Dewi Hartati,</w:t>
      </w:r>
      <w:r w:rsidRPr="2D88EA34" w:rsidR="2D88EA34">
        <w:rPr>
          <w:b w:val="0"/>
          <w:bCs w:val="0"/>
          <w:i w:val="0"/>
          <w:iCs w:val="0"/>
          <w:caps w:val="0"/>
          <w:smallCaps w:val="0"/>
          <w:noProof w:val="0"/>
          <w:color w:val="000000" w:themeColor="text1" w:themeTint="FF" w:themeShade="FF"/>
          <w:sz w:val="20"/>
          <w:szCs w:val="20"/>
          <w:lang w:val="en-GB"/>
        </w:rPr>
        <w:t xml:space="preserve"> and Tony </w:t>
      </w:r>
      <w:r w:rsidRPr="2D88EA34" w:rsidR="2D88EA34">
        <w:rPr>
          <w:b w:val="0"/>
          <w:bCs w:val="0"/>
          <w:i w:val="0"/>
          <w:iCs w:val="0"/>
          <w:caps w:val="0"/>
          <w:smallCaps w:val="0"/>
          <w:noProof w:val="0"/>
          <w:color w:val="000000" w:themeColor="text1" w:themeTint="FF" w:themeShade="FF"/>
          <w:sz w:val="20"/>
          <w:szCs w:val="20"/>
          <w:lang w:val="en-GB"/>
        </w:rPr>
        <w:t xml:space="preserve">Rudyansjah, </w:t>
      </w:r>
      <w:r w:rsidRPr="2D88EA34" w:rsidR="2D88EA34">
        <w:rPr>
          <w:b w:val="0"/>
          <w:bCs w:val="0"/>
          <w:i w:val="1"/>
          <w:iCs w:val="1"/>
          <w:caps w:val="0"/>
          <w:smallCaps w:val="0"/>
          <w:noProof w:val="0"/>
          <w:color w:val="000000" w:themeColor="text1" w:themeTint="FF" w:themeShade="FF"/>
          <w:sz w:val="20"/>
          <w:szCs w:val="20"/>
          <w:lang w:val="en-GB"/>
        </w:rPr>
        <w:t>Transformation of the sacred and the profane in space and time case study Chinese ritual in Chinese temple in Bekasi, West Java, Indonesia, (</w:t>
      </w:r>
      <w:r w:rsidRPr="2D88EA34" w:rsidR="2D88EA34">
        <w:rPr>
          <w:b w:val="0"/>
          <w:bCs w:val="0"/>
          <w:i w:val="0"/>
          <w:iCs w:val="0"/>
          <w:caps w:val="0"/>
          <w:smallCaps w:val="0"/>
          <w:noProof w:val="0"/>
          <w:color w:val="000000" w:themeColor="text1" w:themeTint="FF" w:themeShade="FF"/>
          <w:sz w:val="20"/>
          <w:szCs w:val="20"/>
          <w:lang w:val="en-GB"/>
        </w:rPr>
        <w:t xml:space="preserve">Kasetsart Journal of Social </w:t>
      </w:r>
      <w:r w:rsidRPr="2D88EA34" w:rsidR="2D88EA34">
        <w:rPr>
          <w:b w:val="0"/>
          <w:bCs w:val="0"/>
          <w:i w:val="0"/>
          <w:iCs w:val="0"/>
          <w:caps w:val="0"/>
          <w:smallCaps w:val="0"/>
          <w:noProof w:val="0"/>
          <w:color w:val="000000" w:themeColor="text1" w:themeTint="FF" w:themeShade="FF"/>
          <w:sz w:val="20"/>
          <w:szCs w:val="20"/>
          <w:lang w:val="en-GB"/>
        </w:rPr>
        <w:t>Sciences, Volume</w:t>
      </w:r>
      <w:r w:rsidRPr="2D88EA34" w:rsidR="2D88EA34">
        <w:rPr>
          <w:b w:val="0"/>
          <w:bCs w:val="0"/>
          <w:i w:val="0"/>
          <w:iCs w:val="0"/>
          <w:caps w:val="0"/>
          <w:smallCaps w:val="0"/>
          <w:noProof w:val="0"/>
          <w:color w:val="000000" w:themeColor="text1" w:themeTint="FF" w:themeShade="FF"/>
          <w:sz w:val="20"/>
          <w:szCs w:val="20"/>
          <w:lang w:val="en-GB"/>
        </w:rPr>
        <w:t xml:space="preserve">, 042, Issue 1, 2021) pp. 43-44, </w:t>
      </w:r>
    </w:p>
    <w:p w:rsidR="5881B92A" w:rsidP="5881B92A" w:rsidRDefault="5881B92A" w14:paraId="258A78B0" w14:textId="2E8AE2F5">
      <w:pPr>
        <w:pStyle w:val="FootnoteText"/>
        <w:bidi w:val="0"/>
        <w:rPr>
          <w:b w:val="0"/>
          <w:bCs w:val="0"/>
          <w:i w:val="0"/>
          <w:iCs w:val="0"/>
          <w:caps w:val="0"/>
          <w:smallCaps w:val="0"/>
          <w:noProof w:val="0"/>
          <w:color w:val="212529"/>
          <w:sz w:val="20"/>
          <w:szCs w:val="20"/>
          <w:lang w:val="en-GB"/>
        </w:rPr>
      </w:pPr>
      <w:hyperlink r:id="Ra852643cf66e4f45">
        <w:r w:rsidRPr="5881B92A" w:rsidR="5881B92A">
          <w:rPr>
            <w:rStyle w:val="Hyperlink"/>
            <w:b w:val="0"/>
            <w:bCs w:val="0"/>
            <w:i w:val="0"/>
            <w:iCs w:val="0"/>
            <w:caps w:val="0"/>
            <w:smallCaps w:val="0"/>
            <w:noProof w:val="0"/>
            <w:sz w:val="20"/>
            <w:szCs w:val="20"/>
            <w:lang w:val="en-GB"/>
          </w:rPr>
          <w:t>https://so04.tci-thaijo.org/index.php/kjss/article/view/249431/169437</w:t>
        </w:r>
      </w:hyperlink>
      <w:r w:rsidRPr="5881B92A" w:rsidR="5881B92A">
        <w:rPr>
          <w:b w:val="0"/>
          <w:bCs w:val="0"/>
          <w:i w:val="0"/>
          <w:iCs w:val="0"/>
          <w:caps w:val="0"/>
          <w:smallCaps w:val="0"/>
          <w:noProof w:val="0"/>
          <w:color w:val="212529"/>
          <w:sz w:val="20"/>
          <w:szCs w:val="20"/>
          <w:lang w:val="en-GB"/>
        </w:rPr>
        <w:t xml:space="preserve"> </w:t>
      </w:r>
    </w:p>
  </w:footnote>
  <w:footnote w:id="3744">
    <w:p w:rsidR="5881B92A" w:rsidP="5881B92A" w:rsidRDefault="5881B92A" w14:paraId="0E2F5774" w14:textId="12B01C82">
      <w:pPr>
        <w:pStyle w:val="FootnoteText"/>
        <w:bidi w:val="0"/>
      </w:pPr>
      <w:r w:rsidRPr="5881B92A">
        <w:rPr>
          <w:rStyle w:val="FootnoteReference"/>
        </w:rPr>
        <w:footnoteRef/>
      </w:r>
      <w:r w:rsidR="5881B92A">
        <w:rPr/>
        <w:t xml:space="preserve"> Durkheim, </w:t>
      </w:r>
      <w:r w:rsidRPr="5881B92A" w:rsidR="5881B92A">
        <w:rPr>
          <w:i w:val="1"/>
          <w:iCs w:val="1"/>
        </w:rPr>
        <w:t>The Elementary Forms</w:t>
      </w:r>
      <w:r w:rsidRPr="5881B92A" w:rsidR="5881B92A">
        <w:rPr>
          <w:i w:val="0"/>
          <w:iCs w:val="0"/>
        </w:rPr>
        <w:t>, pp. 16-17.</w:t>
      </w:r>
    </w:p>
  </w:footnote>
  <w:footnote w:id="26297">
    <w:p w:rsidR="5881B92A" w:rsidP="5881B92A" w:rsidRDefault="5881B92A" w14:paraId="6FDD2A57" w14:textId="398E3774">
      <w:pPr>
        <w:pStyle w:val="FootnoteText"/>
        <w:bidi w:val="0"/>
      </w:pPr>
      <w:r w:rsidRPr="5881B92A">
        <w:rPr>
          <w:rStyle w:val="FootnoteReference"/>
        </w:rPr>
        <w:footnoteRef/>
      </w:r>
      <w:r w:rsidR="5881B92A">
        <w:rPr/>
        <w:t xml:space="preserve"> </w:t>
      </w:r>
      <w:r w:rsidR="5881B92A">
        <w:rPr/>
        <w:t>Eliade</w:t>
      </w:r>
      <w:r w:rsidR="5881B92A">
        <w:rPr/>
        <w:t xml:space="preserve">, </w:t>
      </w:r>
      <w:r w:rsidRPr="5881B92A" w:rsidR="5881B92A">
        <w:rPr>
          <w:i w:val="1"/>
          <w:iCs w:val="1"/>
        </w:rPr>
        <w:t xml:space="preserve">The Sacred and The Profane, pp. </w:t>
      </w:r>
      <w:r w:rsidRPr="5881B92A" w:rsidR="5881B92A">
        <w:rPr>
          <w:i w:val="0"/>
          <w:iCs w:val="0"/>
        </w:rPr>
        <w:t>44-45.</w:t>
      </w:r>
    </w:p>
  </w:footnote>
  <w:footnote w:id="12469">
    <w:p w:rsidR="5881B92A" w:rsidP="5881B92A" w:rsidRDefault="5881B92A" w14:paraId="5475EAA3" w14:textId="5FECF872">
      <w:pPr>
        <w:pStyle w:val="FootnoteText"/>
        <w:bidi w:val="0"/>
      </w:pPr>
      <w:r w:rsidRPr="5881B92A">
        <w:rPr>
          <w:rStyle w:val="FootnoteReference"/>
        </w:rPr>
        <w:footnoteRef/>
      </w:r>
      <w:r w:rsidR="2D88EA34">
        <w:rPr/>
        <w:t xml:space="preserve"> Zali</w:t>
      </w:r>
      <w:r w:rsidR="2D88EA34">
        <w:rPr/>
        <w:t xml:space="preserve"> </w:t>
      </w:r>
      <w:r w:rsidR="2D88EA34">
        <w:rPr/>
        <w:t xml:space="preserve">Gurevitch, </w:t>
      </w:r>
      <w:r w:rsidR="2D88EA34">
        <w:rPr/>
        <w:t xml:space="preserve">and Aran</w:t>
      </w:r>
      <w:r w:rsidR="2D88EA34">
        <w:rPr/>
        <w:t xml:space="preserve"> </w:t>
      </w:r>
      <w:r w:rsidR="2D88EA34">
        <w:rPr/>
        <w:t>Gideon,</w:t>
      </w:r>
      <w:r w:rsidR="2D88EA34">
        <w:rPr/>
        <w:t xml:space="preserve"> </w:t>
      </w:r>
      <w:r w:rsidRPr="2D88EA34" w:rsidR="2D88EA34">
        <w:rPr>
          <w:i w:val="1"/>
          <w:iCs w:val="1"/>
        </w:rPr>
        <w:t>Never in Place: Eliade and Judaïc Sacred Space</w:t>
      </w:r>
      <w:r w:rsidR="2D88EA34">
        <w:rPr/>
        <w:t xml:space="preserve">, (Archives de Sciences Sociales </w:t>
      </w:r>
      <w:bookmarkStart w:name="_Int_kY9LvTMR" w:id="1122107376"/>
      <w:r w:rsidR="2D88EA34">
        <w:rPr/>
        <w:t>Des</w:t>
      </w:r>
      <w:bookmarkEnd w:id="1122107376"/>
      <w:r w:rsidR="2D88EA34">
        <w:rPr/>
        <w:t xml:space="preserve"> Religions, vol. 39, no. 87, 1994), p</w:t>
      </w:r>
      <w:r w:rsidR="2D88EA34">
        <w:rPr/>
        <w:t xml:space="preserve">. 136, </w:t>
      </w:r>
      <w:hyperlink r:id="R43287dea4c834be6">
        <w:r w:rsidRPr="5881B92A" w:rsidR="2D88EA34">
          <w:rPr>
            <w:rStyle w:val="Hyperlink"/>
          </w:rPr>
          <w:t>http://www.jstor.org/stable/30116233</w:t>
        </w:r>
      </w:hyperlink>
      <w:r w:rsidR="2D88EA34">
        <w:rPr/>
        <w:t xml:space="preserve">  </w:t>
      </w:r>
    </w:p>
  </w:footnote>
  <w:footnote w:id="24884">
    <w:p w:rsidR="5881B92A" w:rsidP="5881B92A" w:rsidRDefault="5881B92A" w14:paraId="00FFCC6A" w14:textId="5C680804">
      <w:pPr>
        <w:pStyle w:val="FootnoteText"/>
        <w:bidi w:val="0"/>
      </w:pPr>
      <w:r w:rsidRPr="5881B92A">
        <w:rPr>
          <w:rStyle w:val="FootnoteReference"/>
        </w:rPr>
        <w:footnoteRef/>
      </w:r>
      <w:r w:rsidR="2D88EA34">
        <w:rPr/>
        <w:t xml:space="preserve"> Karen E</w:t>
      </w:r>
      <w:r w:rsidR="2D88EA34">
        <w:rPr/>
        <w:t xml:space="preserve">. </w:t>
      </w:r>
      <w:r w:rsidR="2D88EA34">
        <w:rPr/>
        <w:t xml:space="preserve">Fields, </w:t>
      </w:r>
      <w:r w:rsidRPr="2D88EA34" w:rsidR="2D88EA34">
        <w:rPr>
          <w:i w:val="1"/>
          <w:iCs w:val="1"/>
        </w:rPr>
        <w:t xml:space="preserve">Elementary Forms of Religious Life: A New Translation, </w:t>
      </w:r>
      <w:r w:rsidRPr="2D88EA34" w:rsidR="2D88EA34">
        <w:rPr>
          <w:i w:val="0"/>
          <w:iCs w:val="0"/>
        </w:rPr>
        <w:t>(Free Press, 1995), p. xivii.</w:t>
      </w:r>
    </w:p>
  </w:footnote>
  <w:footnote w:id="6397">
    <w:p w:rsidR="5881B92A" w:rsidP="5881B92A" w:rsidRDefault="5881B92A" w14:paraId="3B58F72D" w14:textId="5BBAED8C">
      <w:pPr>
        <w:pStyle w:val="FootnoteText"/>
        <w:bidi w:val="0"/>
      </w:pPr>
      <w:r w:rsidRPr="5881B92A">
        <w:rPr>
          <w:rStyle w:val="FootnoteReference"/>
        </w:rPr>
        <w:footnoteRef/>
      </w:r>
      <w:r w:rsidR="5881B92A">
        <w:rPr/>
        <w:t xml:space="preserve"> Durkheim, </w:t>
      </w:r>
      <w:r w:rsidRPr="5881B92A" w:rsidR="5881B92A">
        <w:rPr>
          <w:i w:val="1"/>
          <w:iCs w:val="1"/>
        </w:rPr>
        <w:t xml:space="preserve">The Elementary Forms, </w:t>
      </w:r>
      <w:r w:rsidR="5881B92A">
        <w:rPr/>
        <w:t>pp. 11, 231.</w:t>
      </w:r>
    </w:p>
  </w:footnote>
  <w:footnote w:id="24815">
    <w:p w:rsidR="5881B92A" w:rsidP="5881B92A" w:rsidRDefault="5881B92A" w14:paraId="73331E93" w14:textId="43888480">
      <w:pPr>
        <w:pStyle w:val="FootnoteText"/>
        <w:bidi w:val="0"/>
      </w:pPr>
      <w:r w:rsidRPr="5881B92A">
        <w:rPr>
          <w:rStyle w:val="FootnoteReference"/>
        </w:rPr>
        <w:footnoteRef/>
      </w:r>
      <w:r w:rsidR="5881B92A">
        <w:rPr/>
        <w:t xml:space="preserve"> Eliade, </w:t>
      </w:r>
      <w:r w:rsidRPr="5881B92A" w:rsidR="5881B92A">
        <w:rPr>
          <w:i w:val="1"/>
          <w:iCs w:val="1"/>
        </w:rPr>
        <w:t xml:space="preserve">The Sacred and The Profane, </w:t>
      </w:r>
      <w:r w:rsidRPr="5881B92A" w:rsidR="5881B92A">
        <w:rPr>
          <w:i w:val="0"/>
          <w:iCs w:val="0"/>
        </w:rPr>
        <w:t>p. 21.</w:t>
      </w:r>
    </w:p>
  </w:footnote>
  <w:footnote w:id="6832">
    <w:p w:rsidR="5881B92A" w:rsidP="5881B92A" w:rsidRDefault="5881B92A" w14:paraId="4C8C1378" w14:textId="65B55E2C">
      <w:pPr>
        <w:pStyle w:val="FootnoteText"/>
        <w:bidi w:val="0"/>
      </w:pPr>
      <w:r w:rsidRPr="5881B92A">
        <w:rPr>
          <w:rStyle w:val="FootnoteReference"/>
        </w:rPr>
        <w:footnoteRef/>
      </w:r>
      <w:r w:rsidR="5881B92A">
        <w:rPr/>
        <w:t xml:space="preserve"> Eliade, </w:t>
      </w:r>
      <w:r w:rsidRPr="5881B92A" w:rsidR="5881B92A">
        <w:rPr>
          <w:i w:val="1"/>
          <w:iCs w:val="1"/>
        </w:rPr>
        <w:t>The Sacred and The Profane,</w:t>
      </w:r>
      <w:r w:rsidR="5881B92A">
        <w:rPr/>
        <w:t xml:space="preserve"> p. 25.</w:t>
      </w:r>
    </w:p>
  </w:footnote>
  <w:footnote w:id="180">
    <w:p w:rsidR="5881B92A" w:rsidP="5881B92A" w:rsidRDefault="5881B92A" w14:paraId="18CEDE94" w14:textId="56A60E35">
      <w:pPr>
        <w:pStyle w:val="FootnoteText"/>
        <w:bidi w:val="0"/>
      </w:pPr>
      <w:r w:rsidRPr="5881B92A">
        <w:rPr>
          <w:rStyle w:val="FootnoteReference"/>
        </w:rPr>
        <w:footnoteRef/>
      </w:r>
      <w:r w:rsidR="2D88EA34">
        <w:rPr/>
        <w:t xml:space="preserve"> Durkheim, </w:t>
      </w:r>
      <w:r w:rsidRPr="2D88EA34" w:rsidR="2D88EA34">
        <w:rPr>
          <w:i w:val="1"/>
          <w:iCs w:val="1"/>
        </w:rPr>
        <w:t xml:space="preserve">The Elementary Forms, </w:t>
      </w:r>
      <w:r w:rsidR="2D88EA34">
        <w:rPr/>
        <w:t>p. 133.</w:t>
      </w:r>
    </w:p>
  </w:footnote>
  <w:footnote w:id="25388">
    <w:p w:rsidR="5881B92A" w:rsidP="5881B92A" w:rsidRDefault="5881B92A" w14:paraId="1236F09A" w14:textId="08608790">
      <w:pPr>
        <w:pStyle w:val="FootnoteText"/>
        <w:bidi w:val="0"/>
      </w:pPr>
      <w:r w:rsidRPr="5881B92A">
        <w:rPr>
          <w:rStyle w:val="FootnoteReference"/>
        </w:rPr>
        <w:footnoteRef/>
      </w:r>
      <w:r w:rsidR="5881B92A">
        <w:rPr/>
        <w:t xml:space="preserve"> Durkheim, </w:t>
      </w:r>
      <w:r w:rsidRPr="5881B92A" w:rsidR="5881B92A">
        <w:rPr>
          <w:i w:val="1"/>
          <w:iCs w:val="1"/>
        </w:rPr>
        <w:t>The Elementary Forms</w:t>
      </w:r>
      <w:r w:rsidR="5881B92A">
        <w:rPr/>
        <w:t>, pp. 276, 282.</w:t>
      </w:r>
    </w:p>
  </w:footnote>
  <w:footnote w:id="10939">
    <w:p w:rsidR="5881B92A" w:rsidP="5881B92A" w:rsidRDefault="5881B92A" w14:paraId="50991D13" w14:textId="003ED851">
      <w:pPr>
        <w:pStyle w:val="FootnoteText"/>
        <w:bidi w:val="0"/>
      </w:pPr>
      <w:r w:rsidRPr="5881B92A">
        <w:rPr>
          <w:rStyle w:val="FootnoteReference"/>
        </w:rPr>
        <w:footnoteRef/>
      </w:r>
      <w:r w:rsidR="2D88EA34">
        <w:rPr/>
        <w:t xml:space="preserve">  Alexander</w:t>
      </w:r>
      <w:r w:rsidR="2D88EA34">
        <w:rPr/>
        <w:t xml:space="preserve"> </w:t>
      </w:r>
      <w:r w:rsidR="2D88EA34">
        <w:rPr/>
        <w:t>Riley,</w:t>
      </w:r>
      <w:r w:rsidR="2D88EA34">
        <w:rPr/>
        <w:t xml:space="preserve"> </w:t>
      </w:r>
      <w:r w:rsidRPr="2D88EA34" w:rsidR="2D88EA34">
        <w:rPr>
          <w:i w:val="1"/>
          <w:iCs w:val="1"/>
        </w:rPr>
        <w:t>Flags, Totem Bodies, and the Meanings of 9/11: A Durkheimian Tour of a September 11th Ceremony at the Flight 93 Chapel</w:t>
      </w:r>
      <w:r w:rsidR="2D88EA34">
        <w:rPr/>
        <w:t xml:space="preserve">, (The Canadian Journal of Sociology / Cahiers Canadiens de Sociologie, vol. 39, no. 4, 2014), pp. 722-723, </w:t>
      </w:r>
      <w:hyperlink r:id="R189f8e2f90964cb0">
        <w:r w:rsidRPr="5881B92A" w:rsidR="2D88EA34">
          <w:rPr>
            <w:rStyle w:val="Hyperlink"/>
          </w:rPr>
          <w:t>http://www.jstor.org/stable/canajsocicahican.39.4.719</w:t>
        </w:r>
      </w:hyperlink>
      <w:r w:rsidR="2D88EA34">
        <w:rPr/>
        <w:t xml:space="preserve"> </w:t>
      </w:r>
    </w:p>
  </w:footnote>
  <w:footnote w:id="15937">
    <w:p w:rsidR="5881B92A" w:rsidP="5881B92A" w:rsidRDefault="5881B92A" w14:paraId="3D0FFCD9" w14:textId="75CF28CE">
      <w:pPr>
        <w:pStyle w:val="FootnoteText"/>
        <w:bidi w:val="0"/>
      </w:pPr>
      <w:r w:rsidRPr="5881B92A">
        <w:rPr>
          <w:rStyle w:val="FootnoteReference"/>
        </w:rPr>
        <w:footnoteRef/>
      </w:r>
      <w:r w:rsidR="2D88EA34">
        <w:rPr/>
        <w:t xml:space="preserve"> Riley,</w:t>
      </w:r>
      <w:r w:rsidRPr="2D88EA34" w:rsidR="2D88EA34">
        <w:rPr>
          <w:i w:val="1"/>
          <w:iCs w:val="1"/>
        </w:rPr>
        <w:t xml:space="preserve"> Flags, Totem Bodies</w:t>
      </w:r>
      <w:r w:rsidRPr="2D88EA34" w:rsidR="2D88EA34">
        <w:rPr>
          <w:i w:val="0"/>
          <w:iCs w:val="0"/>
        </w:rPr>
        <w:t>, p. 722-3.</w:t>
      </w:r>
    </w:p>
  </w:footnote>
  <w:footnote w:id="458">
    <w:p w:rsidR="5881B92A" w:rsidP="5881B92A" w:rsidRDefault="5881B92A" w14:paraId="5615BFAE" w14:textId="304B7C09">
      <w:pPr>
        <w:pStyle w:val="FootnoteText"/>
        <w:bidi w:val="0"/>
      </w:pPr>
      <w:r w:rsidRPr="5881B92A">
        <w:rPr>
          <w:rStyle w:val="FootnoteReference"/>
        </w:rPr>
        <w:footnoteRef/>
      </w:r>
      <w:r w:rsidR="2D88EA34">
        <w:rPr/>
        <w:t xml:space="preserve"> Bernadette, </w:t>
      </w:r>
      <w:r w:rsidR="2D88EA34">
        <w:rPr/>
        <w:t xml:space="preserve">Brady, </w:t>
      </w:r>
      <w:r w:rsidRPr="2D88EA34" w:rsidR="2D88EA34">
        <w:rPr>
          <w:i w:val="1"/>
          <w:iCs w:val="1"/>
        </w:rPr>
        <w:t xml:space="preserve">Cosmos, Chaosmos and Astrology, </w:t>
      </w:r>
      <w:r w:rsidRPr="2D88EA34" w:rsidR="2D88EA34">
        <w:rPr>
          <w:i w:val="0"/>
          <w:iCs w:val="0"/>
        </w:rPr>
        <w:t>(Sophia Centre Press, 2014), p. 29.</w:t>
      </w:r>
    </w:p>
  </w:footnote>
  <w:footnote w:id="20438">
    <w:p w:rsidR="5881B92A" w:rsidP="5881B92A" w:rsidRDefault="5881B92A" w14:paraId="7459A4F6" w14:textId="0F8D40D2">
      <w:pPr>
        <w:pStyle w:val="FootnoteText"/>
        <w:bidi w:val="0"/>
      </w:pPr>
      <w:r w:rsidRPr="5881B92A">
        <w:rPr>
          <w:rStyle w:val="FootnoteReference"/>
        </w:rPr>
        <w:footnoteRef/>
      </w:r>
      <w:r w:rsidR="5881B92A">
        <w:rPr/>
        <w:t xml:space="preserve"> Eliade, </w:t>
      </w:r>
      <w:r w:rsidRPr="5881B92A" w:rsidR="5881B92A">
        <w:rPr>
          <w:i w:val="1"/>
          <w:iCs w:val="1"/>
        </w:rPr>
        <w:t xml:space="preserve">The Sacred and The Profane, </w:t>
      </w:r>
      <w:r w:rsidRPr="5881B92A" w:rsidR="5881B92A">
        <w:rPr>
          <w:i w:val="0"/>
          <w:iCs w:val="0"/>
        </w:rPr>
        <w:t>p. 153.</w:t>
      </w:r>
    </w:p>
  </w:footnote>
  <w:footnote w:id="13308">
    <w:p w:rsidR="5881B92A" w:rsidP="5881B92A" w:rsidRDefault="5881B92A" w14:paraId="279C7402" w14:textId="208453AC">
      <w:pPr>
        <w:pStyle w:val="FootnoteText"/>
        <w:bidi w:val="0"/>
      </w:pPr>
      <w:r w:rsidRPr="5881B92A">
        <w:rPr>
          <w:rStyle w:val="FootnoteReference"/>
        </w:rPr>
        <w:footnoteRef/>
      </w:r>
      <w:r w:rsidR="5881B92A">
        <w:rPr/>
        <w:t xml:space="preserve"> Eliade, </w:t>
      </w:r>
      <w:r w:rsidRPr="5881B92A" w:rsidR="5881B92A">
        <w:rPr>
          <w:i w:val="1"/>
          <w:iCs w:val="1"/>
        </w:rPr>
        <w:t>The Sacred and The Profane</w:t>
      </w:r>
      <w:r w:rsidR="5881B92A">
        <w:rPr/>
        <w:t>, pp. 11, 20, 26.</w:t>
      </w:r>
    </w:p>
  </w:footnote>
  <w:footnote w:id="11985">
    <w:p w:rsidR="5881B92A" w:rsidP="5881B92A" w:rsidRDefault="5881B92A" w14:paraId="1A329E33" w14:textId="5BF2027F">
      <w:pPr>
        <w:pStyle w:val="FootnoteText"/>
        <w:bidi w:val="0"/>
      </w:pPr>
      <w:r w:rsidRPr="5881B92A">
        <w:rPr>
          <w:rStyle w:val="FootnoteReference"/>
        </w:rPr>
        <w:footnoteRef/>
      </w:r>
      <w:r w:rsidR="2D88EA34">
        <w:rPr/>
        <w:t xml:space="preserve">  Lindsay</w:t>
      </w:r>
      <w:r w:rsidR="2D88EA34">
        <w:rPr/>
        <w:t xml:space="preserve"> </w:t>
      </w:r>
      <w:r w:rsidR="2D88EA34">
        <w:rPr/>
        <w:t>Jones</w:t>
      </w:r>
      <w:r w:rsidR="2D88EA34">
        <w:rPr/>
        <w:t xml:space="preserve">,</w:t>
      </w:r>
      <w:r w:rsidR="2D88EA34">
        <w:rPr/>
        <w:t xml:space="preserve"> </w:t>
      </w:r>
      <w:r w:rsidRPr="2D88EA34" w:rsidR="2D88EA34">
        <w:rPr>
          <w:i w:val="1"/>
          <w:iCs w:val="1"/>
        </w:rPr>
        <w:t>Jewish Place and Placelessness: Historical and Academic Challenges (or ‘What the Study of Jewish Space and Place Suggests to Me about the Aztecs’</w:t>
      </w:r>
      <w:r w:rsidRPr="2D88EA34" w:rsidR="2D88EA34">
        <w:rPr>
          <w:i w:val="1"/>
          <w:iCs w:val="1"/>
        </w:rPr>
        <w:t>),</w:t>
      </w:r>
      <w:r w:rsidR="2D88EA34">
        <w:rPr/>
        <w:t xml:space="preserve"> (Shofar, vol. 17, no. 1, 1998</w:t>
      </w:r>
      <w:r w:rsidR="2D88EA34">
        <w:rPr/>
        <w:t>)</w:t>
      </w:r>
      <w:r w:rsidR="2D88EA34">
        <w:rPr/>
        <w:t xml:space="preserve">, pp. 39-40, </w:t>
      </w:r>
      <w:hyperlink r:id="R9978734ea76c4779">
        <w:r w:rsidRPr="5881B92A" w:rsidR="2D88EA34">
          <w:rPr>
            <w:rStyle w:val="Hyperlink"/>
          </w:rPr>
          <w:t>http://www.jstor.org/stable/42942827</w:t>
        </w:r>
      </w:hyperlink>
      <w:r w:rsidR="2D88EA34">
        <w:rPr/>
        <w:t xml:space="preserve"> </w:t>
      </w:r>
    </w:p>
  </w:footnote>
  <w:footnote w:id="13830">
    <w:p w:rsidR="5881B92A" w:rsidP="5881B92A" w:rsidRDefault="5881B92A" w14:paraId="299C4A3D" w14:textId="3025C86F">
      <w:pPr>
        <w:pStyle w:val="FootnoteText"/>
        <w:bidi w:val="0"/>
        <w:rPr>
          <w:noProof w:val="0"/>
          <w:lang w:val="en-GB"/>
        </w:rPr>
      </w:pPr>
      <w:r w:rsidRPr="5881B92A">
        <w:rPr>
          <w:rStyle w:val="FootnoteReference"/>
        </w:rPr>
        <w:footnoteRef/>
      </w:r>
      <w:r w:rsidRPr="5881B92A" w:rsidR="2D88EA34">
        <w:rPr>
          <w:sz w:val="20"/>
          <w:szCs w:val="20"/>
        </w:rPr>
        <w:t xml:space="preserve"> </w:t>
      </w:r>
      <w:r w:rsidRPr="2D88EA34" w:rsidR="2D88EA34">
        <w:rPr>
          <w:b w:val="0"/>
          <w:bCs w:val="0"/>
          <w:i w:val="0"/>
          <w:iCs w:val="0"/>
          <w:caps w:val="0"/>
          <w:smallCaps w:val="0"/>
          <w:noProof w:val="0"/>
          <w:color w:val="000000" w:themeColor="text1" w:themeTint="FF" w:themeShade="FF"/>
          <w:sz w:val="20"/>
          <w:szCs w:val="20"/>
          <w:lang w:val="en-GB"/>
        </w:rPr>
        <w:t xml:space="preserve">Robert E</w:t>
      </w:r>
      <w:r w:rsidRPr="2D88EA34" w:rsidR="2D88EA34">
        <w:rPr>
          <w:b w:val="0"/>
          <w:bCs w:val="0"/>
          <w:i w:val="0"/>
          <w:iCs w:val="0"/>
          <w:caps w:val="0"/>
          <w:smallCaps w:val="0"/>
          <w:noProof w:val="0"/>
          <w:color w:val="000000" w:themeColor="text1" w:themeTint="FF" w:themeShade="FF"/>
          <w:sz w:val="20"/>
          <w:szCs w:val="20"/>
          <w:lang w:val="en-GB"/>
        </w:rPr>
        <w:t xml:space="preserve">.</w:t>
      </w:r>
      <w:r w:rsidRPr="2D88EA34" w:rsidR="2D88EA34">
        <w:rPr>
          <w:b w:val="0"/>
          <w:bCs w:val="0"/>
          <w:i w:val="0"/>
          <w:iCs w:val="0"/>
          <w:caps w:val="0"/>
          <w:smallCaps w:val="0"/>
          <w:noProof w:val="0"/>
          <w:color w:val="000000" w:themeColor="text1" w:themeTint="FF" w:themeShade="FF"/>
          <w:sz w:val="20"/>
          <w:szCs w:val="20"/>
          <w:lang w:val="en-GB"/>
        </w:rPr>
        <w:t xml:space="preserve"> Meagher,</w:t>
      </w:r>
      <w:r w:rsidRPr="2D88EA34" w:rsidR="2D88EA34">
        <w:rPr>
          <w:b w:val="0"/>
          <w:bCs w:val="0"/>
          <w:i w:val="0"/>
          <w:iCs w:val="0"/>
          <w:caps w:val="0"/>
          <w:smallCaps w:val="0"/>
          <w:noProof w:val="0"/>
          <w:color w:val="000000" w:themeColor="text1" w:themeTint="FF" w:themeShade="FF"/>
          <w:sz w:val="20"/>
          <w:szCs w:val="20"/>
          <w:lang w:val="en-GB"/>
        </w:rPr>
        <w:t xml:space="preserve"> </w:t>
      </w:r>
      <w:r w:rsidRPr="2D88EA34" w:rsidR="2D88EA34">
        <w:rPr>
          <w:b w:val="0"/>
          <w:bCs w:val="0"/>
          <w:i w:val="1"/>
          <w:iCs w:val="1"/>
          <w:caps w:val="0"/>
          <w:smallCaps w:val="0"/>
          <w:noProof w:val="0"/>
          <w:color w:val="000000" w:themeColor="text1" w:themeTint="FF" w:themeShade="FF"/>
          <w:sz w:val="20"/>
          <w:szCs w:val="20"/>
          <w:lang w:val="en-GB"/>
        </w:rPr>
        <w:t>Mircea Eliade: Methodology and the Meaning of the Sacred</w:t>
      </w:r>
      <w:r w:rsidRPr="2D88EA34" w:rsidR="2D88EA34">
        <w:rPr>
          <w:b w:val="0"/>
          <w:bCs w:val="0"/>
          <w:i w:val="0"/>
          <w:iCs w:val="0"/>
          <w:caps w:val="0"/>
          <w:smallCaps w:val="0"/>
          <w:noProof w:val="0"/>
          <w:color w:val="000000" w:themeColor="text1" w:themeTint="FF" w:themeShade="FF"/>
          <w:sz w:val="20"/>
          <w:szCs w:val="20"/>
          <w:lang w:val="en-GB"/>
        </w:rPr>
        <w:t xml:space="preserve">, (Hermathena, no. 128, 1980), pp. 7–19, </w:t>
      </w:r>
      <w:hyperlink r:id="R52590605e25649f1">
        <w:r w:rsidRPr="2D88EA34" w:rsidR="2D88EA34">
          <w:rPr>
            <w:rStyle w:val="Hyperlink"/>
            <w:b w:val="0"/>
            <w:bCs w:val="0"/>
            <w:i w:val="0"/>
            <w:iCs w:val="0"/>
            <w:caps w:val="0"/>
            <w:smallCaps w:val="0"/>
            <w:noProof w:val="0"/>
            <w:sz w:val="20"/>
            <w:szCs w:val="20"/>
            <w:lang w:val="en-GB"/>
          </w:rPr>
          <w:t>http://www.jstor.org/stable/23040518</w:t>
        </w:r>
      </w:hyperlink>
      <w:r w:rsidRPr="2D88EA34" w:rsidR="2D88EA34">
        <w:rPr>
          <w:b w:val="0"/>
          <w:bCs w:val="0"/>
          <w:i w:val="0"/>
          <w:iCs w:val="0"/>
          <w:caps w:val="0"/>
          <w:smallCaps w:val="0"/>
          <w:noProof w:val="0"/>
          <w:color w:val="000000" w:themeColor="text1" w:themeTint="FF" w:themeShade="FF"/>
          <w:sz w:val="20"/>
          <w:szCs w:val="20"/>
          <w:lang w:val="en-GB"/>
        </w:rPr>
        <w:t xml:space="preserve"> </w:t>
      </w:r>
    </w:p>
  </w:footnote>
  <w:footnote w:id="17483">
    <w:p w:rsidR="5881B92A" w:rsidP="5881B92A" w:rsidRDefault="5881B92A" w14:paraId="672B3081" w14:textId="3F9EC046">
      <w:pPr>
        <w:pStyle w:val="FootnoteText"/>
        <w:bidi w:val="0"/>
      </w:pPr>
      <w:r w:rsidRPr="5881B92A">
        <w:rPr>
          <w:rStyle w:val="FootnoteReference"/>
        </w:rPr>
        <w:footnoteRef/>
      </w:r>
      <w:r w:rsidR="2D88EA34">
        <w:rPr/>
        <w:t xml:space="preserve">  Mircea, </w:t>
      </w:r>
      <w:r w:rsidR="2D88EA34">
        <w:rPr/>
        <w:t>Eliade,</w:t>
      </w:r>
      <w:r w:rsidRPr="2D88EA34" w:rsidR="2D88EA34">
        <w:rPr>
          <w:i w:val="1"/>
          <w:iCs w:val="1"/>
        </w:rPr>
        <w:t xml:space="preserve"> </w:t>
      </w:r>
      <w:r w:rsidRPr="2D88EA34" w:rsidR="2D88EA34">
        <w:rPr>
          <w:i w:val="1"/>
          <w:iCs w:val="1"/>
        </w:rPr>
        <w:t xml:space="preserve">Patterns in Comparative Religion, </w:t>
      </w:r>
      <w:r w:rsidRPr="2D88EA34" w:rsidR="2D88EA34">
        <w:rPr>
          <w:i w:val="0"/>
          <w:iCs w:val="0"/>
        </w:rPr>
        <w:t>(Sheed and Ward: London, 1993), p. 369.</w:t>
      </w:r>
    </w:p>
  </w:footnote>
  <w:footnote w:id="12376">
    <w:p w:rsidR="5881B92A" w:rsidP="5881B92A" w:rsidRDefault="5881B92A" w14:paraId="66AA9F0E" w14:textId="77A32FBC">
      <w:pPr>
        <w:pStyle w:val="FootnoteText"/>
        <w:bidi w:val="0"/>
      </w:pPr>
      <w:r w:rsidRPr="5881B92A">
        <w:rPr>
          <w:rStyle w:val="FootnoteReference"/>
        </w:rPr>
        <w:footnoteRef/>
      </w:r>
      <w:r w:rsidR="2D88EA34">
        <w:rPr/>
        <w:t xml:space="preserve"> </w:t>
      </w:r>
      <w:r w:rsidR="2D88EA34">
        <w:rPr/>
        <w:t xml:space="preserve"> John D. </w:t>
      </w:r>
      <w:r w:rsidR="2D88EA34">
        <w:rPr/>
        <w:t xml:space="preserve">Kelly, </w:t>
      </w:r>
      <w:r w:rsidR="2D88EA34">
        <w:rPr/>
        <w:t>T</w:t>
      </w:r>
      <w:r w:rsidRPr="2D88EA34" w:rsidR="2D88EA34">
        <w:rPr>
          <w:i w:val="1"/>
          <w:iCs w:val="1"/>
        </w:rPr>
        <w:t xml:space="preserve">he elementary forms of moral </w:t>
      </w:r>
      <w:r w:rsidRPr="2D88EA34" w:rsidR="2D88EA34">
        <w:rPr>
          <w:i w:val="1"/>
          <w:iCs w:val="1"/>
        </w:rPr>
        <w:t>life?</w:t>
      </w:r>
      <w:r w:rsidRPr="2D88EA34" w:rsidR="2D88EA34">
        <w:rPr>
          <w:i w:val="1"/>
          <w:iCs w:val="1"/>
        </w:rPr>
        <w:t xml:space="preserve"> Responsibility, sacred things and Durkheim’s ontological turn</w:t>
      </w:r>
      <w:r w:rsidRPr="2D88EA34" w:rsidR="2D88EA34">
        <w:rPr>
          <w:i w:val="1"/>
          <w:iCs w:val="1"/>
        </w:rPr>
        <w:t xml:space="preserve">, </w:t>
      </w:r>
      <w:r w:rsidRPr="2D88EA34" w:rsidR="2D88EA34">
        <w:rPr>
          <w:i w:val="0"/>
          <w:iCs w:val="0"/>
        </w:rPr>
        <w:t xml:space="preserve">(HAU: Journal of Ethnographic Theory 4:1, </w:t>
      </w:r>
      <w:r w:rsidRPr="2D88EA34" w:rsidR="2D88EA34">
        <w:rPr>
          <w:i w:val="0"/>
          <w:iCs w:val="0"/>
        </w:rPr>
        <w:t>2014</w:t>
      </w:r>
      <w:r w:rsidRPr="2D88EA34" w:rsidR="2D88EA34">
        <w:rPr>
          <w:i w:val="0"/>
          <w:iCs w:val="0"/>
          <w:sz w:val="20"/>
          <w:szCs w:val="20"/>
        </w:rPr>
        <w:t>)</w:t>
      </w:r>
      <w:r w:rsidRPr="2D88EA34" w:rsidR="2D88EA34">
        <w:rPr>
          <w:i w:val="0"/>
          <w:iCs w:val="0"/>
          <w:sz w:val="20"/>
          <w:szCs w:val="20"/>
        </w:rPr>
        <w:t>,</w:t>
      </w:r>
      <w:r w:rsidRPr="2D88EA34" w:rsidR="2D88EA34">
        <w:rPr>
          <w:i w:val="0"/>
          <w:iCs w:val="0"/>
          <w:sz w:val="20"/>
          <w:szCs w:val="20"/>
        </w:rPr>
        <w:t xml:space="preserve"> </w:t>
      </w:r>
      <w:r w:rsidRPr="2D88EA34" w:rsidR="2D88EA34">
        <w:rPr>
          <w:i w:val="0"/>
          <w:iCs w:val="0"/>
          <w:sz w:val="20"/>
          <w:szCs w:val="20"/>
        </w:rPr>
        <w:t xml:space="preserve">pp. </w:t>
      </w:r>
      <w:r w:rsidRPr="2D88EA34" w:rsidR="2D88EA34">
        <w:rPr>
          <w:i w:val="0"/>
          <w:iCs w:val="0"/>
          <w:sz w:val="20"/>
          <w:szCs w:val="20"/>
        </w:rPr>
        <w:t>421</w:t>
      </w:r>
      <w:r w:rsidRPr="2D88EA34" w:rsidR="2D88EA34">
        <w:rPr>
          <w:i w:val="0"/>
          <w:iCs w:val="0"/>
          <w:sz w:val="20"/>
          <w:szCs w:val="20"/>
        </w:rPr>
        <w:t>-</w:t>
      </w:r>
      <w:r w:rsidRPr="2D88EA34" w:rsidR="2D88EA34">
        <w:rPr>
          <w:i w:val="0"/>
          <w:iCs w:val="0"/>
          <w:sz w:val="20"/>
          <w:szCs w:val="20"/>
        </w:rPr>
        <w:t>42</w:t>
      </w:r>
      <w:r w:rsidRPr="2D88EA34" w:rsidR="2D88EA34">
        <w:rPr>
          <w:i w:val="0"/>
          <w:iCs w:val="0"/>
          <w:sz w:val="20"/>
          <w:szCs w:val="20"/>
        </w:rPr>
        <w:t>7</w:t>
      </w:r>
      <w:r w:rsidRPr="2D88EA34" w:rsidR="2D88EA34">
        <w:rPr>
          <w:i w:val="0"/>
          <w:iCs w:val="0"/>
          <w:sz w:val="20"/>
          <w:szCs w:val="20"/>
        </w:rPr>
        <w:t>,</w:t>
      </w:r>
    </w:p>
    <w:p w:rsidR="5881B92A" w:rsidP="5881B92A" w:rsidRDefault="5881B92A" w14:paraId="74AF94A3" w14:textId="6F80010A">
      <w:pPr>
        <w:pStyle w:val="FootnoteText"/>
        <w:bidi w:val="0"/>
      </w:pPr>
      <w:hyperlink r:id="Ra13dc356b0d04a36">
        <w:r w:rsidRPr="5881B92A" w:rsidR="5881B92A">
          <w:rPr>
            <w:rStyle w:val="Hyperlink"/>
            <w:i w:val="0"/>
            <w:iCs w:val="0"/>
            <w:sz w:val="20"/>
            <w:szCs w:val="20"/>
          </w:rPr>
          <w:t>https://www.journals.uchicago.edu/doi/full/10.14318/hau4.1.024</w:t>
        </w:r>
      </w:hyperlink>
      <w:r w:rsidRPr="5881B92A" w:rsidR="5881B92A">
        <w:rPr>
          <w:i w:val="0"/>
          <w:iCs w:val="0"/>
          <w:sz w:val="20"/>
          <w:szCs w:val="20"/>
        </w:rPr>
        <w:t xml:space="preserve"> </w:t>
      </w:r>
    </w:p>
  </w:footnote>
  <w:footnote w:id="6108">
    <w:p w:rsidR="5881B92A" w:rsidP="5881B92A" w:rsidRDefault="5881B92A" w14:paraId="5DD140FD" w14:textId="5E95F952">
      <w:pPr>
        <w:pStyle w:val="FootnoteText"/>
        <w:bidi w:val="0"/>
      </w:pPr>
      <w:r w:rsidRPr="5881B92A">
        <w:rPr>
          <w:rStyle w:val="FootnoteReference"/>
        </w:rPr>
        <w:footnoteRef/>
      </w:r>
      <w:r w:rsidR="5881B92A">
        <w:rPr/>
        <w:t xml:space="preserve"> Durkheim, </w:t>
      </w:r>
      <w:r w:rsidRPr="5881B92A" w:rsidR="5881B92A">
        <w:rPr>
          <w:i w:val="1"/>
          <w:iCs w:val="1"/>
        </w:rPr>
        <w:t>The Elementary Forms</w:t>
      </w:r>
      <w:r w:rsidR="5881B92A">
        <w:rPr/>
        <w:t>, p. 342.</w:t>
      </w:r>
    </w:p>
  </w:footnote>
  <w:footnote w:id="22882">
    <w:p w:rsidR="5881B92A" w:rsidP="5881B92A" w:rsidRDefault="5881B92A" w14:paraId="7DA6DE9E" w14:textId="15EAFB2E">
      <w:pPr>
        <w:pStyle w:val="FootnoteText"/>
        <w:bidi w:val="0"/>
      </w:pPr>
      <w:r w:rsidRPr="5881B92A">
        <w:rPr>
          <w:rStyle w:val="FootnoteReference"/>
        </w:rPr>
        <w:footnoteRef/>
      </w:r>
      <w:r w:rsidR="5881B92A">
        <w:rPr/>
        <w:t xml:space="preserve"> Eliade, </w:t>
      </w:r>
      <w:r w:rsidRPr="5881B92A" w:rsidR="5881B92A">
        <w:rPr>
          <w:i w:val="1"/>
          <w:iCs w:val="1"/>
        </w:rPr>
        <w:t>The Sacred and The Profane</w:t>
      </w:r>
      <w:r w:rsidR="5881B92A">
        <w:rPr/>
        <w:t>, p. 11.</w:t>
      </w:r>
    </w:p>
  </w:footnote>
  <w:footnote w:id="32395">
    <w:p w:rsidR="2C79EC50" w:rsidP="2D88EA34" w:rsidRDefault="2C79EC50" w14:paraId="45039D0A" w14:textId="70BFB855">
      <w:pPr>
        <w:pStyle w:val="FootnoteText"/>
        <w:bidi w:val="0"/>
        <w:rPr>
          <w:i w:val="0"/>
          <w:iCs w:val="0"/>
        </w:rPr>
      </w:pPr>
      <w:r w:rsidRPr="2C79EC50">
        <w:rPr>
          <w:rStyle w:val="FootnoteReference"/>
        </w:rPr>
        <w:footnoteRef/>
      </w:r>
      <w:r w:rsidR="2D88EA34">
        <w:rPr/>
        <w:t xml:space="preserve"> Jafe </w:t>
      </w:r>
      <w:r w:rsidR="2D88EA34">
        <w:rPr/>
        <w:t xml:space="preserve">Arnold, </w:t>
      </w:r>
      <w:r w:rsidRPr="2D88EA34" w:rsidR="2D88EA34">
        <w:rPr>
          <w:i w:val="1"/>
          <w:iCs w:val="1"/>
        </w:rPr>
        <w:t xml:space="preserve">The Eternal Return: Mircea Eliade’s Homo Religiosus and the Cognitive Science of Religion, </w:t>
      </w:r>
      <w:r w:rsidRPr="2D88EA34" w:rsidR="2D88EA34">
        <w:rPr>
          <w:i w:val="0"/>
          <w:iCs w:val="0"/>
        </w:rPr>
        <w:t xml:space="preserve">(Bushuls Center for Syncretic Studies, 2018), </w:t>
      </w:r>
      <w:hyperlink r:id="Rc84e119a78df46f9">
        <w:r w:rsidRPr="2D88EA34" w:rsidR="2D88EA34">
          <w:rPr>
            <w:rStyle w:val="Hyperlink"/>
            <w:i w:val="0"/>
            <w:iCs w:val="0"/>
          </w:rPr>
          <w:t>https://syncreticstudies.com/2018/01/24/the-eternal-return-mircea-eliades-homo-religiosus-and-the-cognitive-science-of-religion/</w:t>
        </w:r>
      </w:hyperlink>
      <w:r w:rsidRPr="2D88EA34" w:rsidR="2D88EA34">
        <w:rPr>
          <w:i w:val="0"/>
          <w:iCs w:val="0"/>
        </w:rPr>
        <w:t xml:space="preserve"> </w:t>
      </w:r>
    </w:p>
  </w:footnote>
  <w:footnote w:id="11866">
    <w:p w:rsidR="2C79EC50" w:rsidP="2D88EA34" w:rsidRDefault="2C79EC50" w14:paraId="7B39EB4C" w14:textId="16DBE12D">
      <w:pPr>
        <w:pStyle w:val="FootnoteText"/>
        <w:bidi w:val="0"/>
        <w:rPr>
          <w:i w:val="0"/>
          <w:iCs w:val="0"/>
        </w:rPr>
      </w:pPr>
      <w:r w:rsidRPr="2C79EC50">
        <w:rPr>
          <w:rStyle w:val="FootnoteReference"/>
        </w:rPr>
        <w:footnoteRef/>
      </w:r>
      <w:r w:rsidR="2D88EA34">
        <w:rPr/>
        <w:t xml:space="preserve"> </w:t>
      </w:r>
      <w:r w:rsidR="2D88EA34">
        <w:rPr/>
        <w:t xml:space="preserve">Turner,</w:t>
      </w:r>
      <w:r w:rsidRPr="2D88EA34" w:rsidR="2D88EA34">
        <w:rPr>
          <w:i w:val="1"/>
          <w:iCs w:val="1"/>
        </w:rPr>
        <w:t xml:space="preserve"> The Drums of Affliction</w:t>
      </w:r>
      <w:r w:rsidRPr="2D88EA34" w:rsidR="2D88EA34">
        <w:rPr>
          <w:i w:val="0"/>
          <w:iCs w:val="0"/>
        </w:rPr>
        <w:t>, pp. 209-210.</w:t>
      </w:r>
    </w:p>
  </w:footnote>
  <w:footnote w:id="7395">
    <w:p w:rsidR="2C79EC50" w:rsidP="2C79EC50" w:rsidRDefault="2C79EC50" w14:paraId="699EF31F" w14:textId="3D502333">
      <w:pPr>
        <w:pStyle w:val="FootnoteText"/>
        <w:bidi w:val="0"/>
      </w:pPr>
      <w:r w:rsidRPr="2C79EC50">
        <w:rPr>
          <w:rStyle w:val="FootnoteReference"/>
        </w:rPr>
        <w:footnoteRef/>
      </w:r>
      <w:r w:rsidR="2D88EA34">
        <w:rPr/>
        <w:t xml:space="preserve"> Darrelyn </w:t>
      </w:r>
      <w:r w:rsidR="2D88EA34">
        <w:rPr/>
        <w:t xml:space="preserve">Gunzburg, </w:t>
      </w:r>
      <w:r w:rsidR="2D88EA34">
        <w:rPr/>
        <w:t xml:space="preserve">and Bernadette</w:t>
      </w:r>
      <w:r w:rsidR="2D88EA34">
        <w:rPr/>
        <w:t xml:space="preserve"> </w:t>
      </w:r>
      <w:r w:rsidR="2D88EA34">
        <w:rPr/>
        <w:t>Brady,</w:t>
      </w:r>
      <w:r w:rsidR="2D88EA34">
        <w:rPr/>
        <w:t xml:space="preserve"> </w:t>
      </w:r>
      <w:r w:rsidRPr="2D88EA34" w:rsidR="2D88EA34">
        <w:rPr>
          <w:i w:val="1"/>
          <w:iCs w:val="1"/>
        </w:rPr>
        <w:t>Space, Place and Religious Landscapes: Living Mountains</w:t>
      </w:r>
      <w:r w:rsidR="2D88EA34">
        <w:rPr/>
        <w:t>, (Bloomsbury, 2021), p. 8.</w:t>
      </w:r>
    </w:p>
  </w:footnote>
  <w:footnote w:id="22312">
    <w:p w:rsidR="63EBA88A" w:rsidP="2D88EA34" w:rsidRDefault="63EBA88A" w14:paraId="74AF8938" w14:textId="170A1982">
      <w:pPr>
        <w:pStyle w:val="FootnoteText"/>
        <w:bidi w:val="0"/>
        <w:rPr>
          <w:i w:val="0"/>
          <w:iCs w:val="0"/>
        </w:rPr>
      </w:pPr>
      <w:r w:rsidRPr="63EBA88A">
        <w:rPr>
          <w:rStyle w:val="FootnoteReference"/>
        </w:rPr>
        <w:footnoteRef/>
      </w:r>
      <w:r w:rsidR="2D88EA34">
        <w:rPr/>
        <w:t xml:space="preserve"> Beldon C.</w:t>
      </w:r>
      <w:r w:rsidR="2D88EA34">
        <w:rPr/>
        <w:t xml:space="preserve"> Lane,</w:t>
      </w:r>
      <w:r w:rsidR="2D88EA34">
        <w:rPr/>
        <w:t xml:space="preserve"> </w:t>
      </w:r>
      <w:r w:rsidRPr="2D88EA34" w:rsidR="2D88EA34">
        <w:rPr>
          <w:i w:val="1"/>
          <w:iCs w:val="1"/>
        </w:rPr>
        <w:t xml:space="preserve">Landscapes of The Sacred: Geography and Narrative in American Spirituality, </w:t>
      </w:r>
      <w:r w:rsidRPr="2D88EA34" w:rsidR="2D88EA34">
        <w:rPr>
          <w:i w:val="0"/>
          <w:iCs w:val="0"/>
        </w:rPr>
        <w:t>(Paulist Press: New York, 1988), p. 57.</w:t>
      </w:r>
    </w:p>
  </w:footnote>
  <w:footnote w:id="24013">
    <w:p w:rsidR="63EBA88A" w:rsidP="63EBA88A" w:rsidRDefault="63EBA88A" w14:paraId="11D7D347" w14:textId="6FC37506">
      <w:pPr>
        <w:pStyle w:val="FootnoteText"/>
        <w:bidi w:val="0"/>
      </w:pPr>
      <w:r w:rsidRPr="63EBA88A">
        <w:rPr>
          <w:rStyle w:val="FootnoteReference"/>
        </w:rPr>
        <w:footnoteRef/>
      </w:r>
      <w:r w:rsidR="2D88EA34">
        <w:rPr/>
        <w:t xml:space="preserve"> </w:t>
      </w:r>
      <w:r w:rsidRPr="2D88EA34" w:rsidR="2D88EA34">
        <w:rPr>
          <w:i w:val="0"/>
          <w:iCs w:val="0"/>
        </w:rPr>
        <w:t>, pp. 53-7, 63.</w:t>
      </w:r>
    </w:p>
  </w:footnote>
  <w:footnote w:id="4832">
    <w:p w:rsidR="63EBA88A" w:rsidP="2D88EA34" w:rsidRDefault="63EBA88A" w14:paraId="72AB8B0B" w14:textId="6522CC97">
      <w:pPr>
        <w:pStyle w:val="FootnoteText"/>
        <w:bidi w:val="0"/>
        <w:rPr>
          <w:i w:val="0"/>
          <w:iCs w:val="0"/>
        </w:rPr>
      </w:pPr>
      <w:r w:rsidRPr="63EBA88A">
        <w:rPr>
          <w:rStyle w:val="FootnoteReference"/>
        </w:rPr>
        <w:footnoteRef/>
      </w:r>
      <w:r w:rsidR="2D88EA34">
        <w:rPr/>
        <w:t xml:space="preserve"> </w:t>
      </w:r>
      <w:r w:rsidR="2D88EA34">
        <w:rPr/>
        <w:t>Lane,</w:t>
      </w:r>
      <w:r w:rsidR="2D88EA34">
        <w:rPr/>
        <w:t xml:space="preserve"> </w:t>
      </w:r>
      <w:r w:rsidRPr="2D88EA34" w:rsidR="2D88EA34">
        <w:rPr>
          <w:i w:val="1"/>
          <w:iCs w:val="1"/>
        </w:rPr>
        <w:t>Giving Voice to Place</w:t>
      </w:r>
      <w:r w:rsidRPr="2D88EA34" w:rsidR="2D88EA34">
        <w:rPr>
          <w:i w:val="0"/>
          <w:iCs w:val="0"/>
        </w:rPr>
        <w:t>, pp. 56-57, 63.</w:t>
      </w:r>
    </w:p>
  </w:footnote>
  <w:footnote w:id="14912">
    <w:p w:rsidR="2D88EA34" w:rsidP="2D88EA34" w:rsidRDefault="2D88EA34" w14:paraId="648CF7BB" w14:textId="67C2A59D">
      <w:pPr>
        <w:pStyle w:val="FootnoteText"/>
        <w:bidi w:val="0"/>
      </w:pPr>
      <w:r w:rsidRPr="2D88EA34">
        <w:rPr>
          <w:rStyle w:val="FootnoteReference"/>
        </w:rPr>
        <w:footnoteRef/>
      </w:r>
      <w:r w:rsidR="2D88EA34">
        <w:rPr/>
        <w:t xml:space="preserve"> Durkheim, </w:t>
      </w:r>
      <w:r w:rsidRPr="2D88EA34" w:rsidR="2D88EA34">
        <w:rPr>
          <w:i w:val="1"/>
          <w:iCs w:val="1"/>
        </w:rPr>
        <w:t>Elementary Forms,</w:t>
      </w:r>
      <w:r w:rsidR="2D88EA34">
        <w:rPr/>
        <w:t xml:space="preserve"> p. 38.</w:t>
      </w:r>
    </w:p>
  </w:footnote>
  <w:footnote w:id="26565">
    <w:p w:rsidR="2D88EA34" w:rsidP="2D88EA34" w:rsidRDefault="2D88EA34" w14:paraId="1AB3579B" w14:textId="0B688E40">
      <w:pPr>
        <w:pStyle w:val="FootnoteText"/>
        <w:bidi w:val="0"/>
      </w:pPr>
      <w:r w:rsidRPr="2D88EA34">
        <w:rPr>
          <w:rStyle w:val="FootnoteReference"/>
        </w:rPr>
        <w:footnoteRef/>
      </w:r>
      <w:r w:rsidR="2D88EA34">
        <w:rPr/>
        <w:t xml:space="preserve"> </w:t>
      </w:r>
      <w:r w:rsidR="2D88EA34">
        <w:rPr/>
        <w:t>Eliade</w:t>
      </w:r>
      <w:r w:rsidR="2D88EA34">
        <w:rPr/>
        <w:t xml:space="preserve">, </w:t>
      </w:r>
      <w:r w:rsidRPr="2D88EA34" w:rsidR="2D88EA34">
        <w:rPr>
          <w:i w:val="1"/>
          <w:iCs w:val="1"/>
        </w:rPr>
        <w:t xml:space="preserve">The Sacred and The </w:t>
      </w:r>
      <w:r w:rsidRPr="2D88EA34" w:rsidR="2D88EA34">
        <w:rPr>
          <w:i w:val="1"/>
          <w:iCs w:val="1"/>
        </w:rPr>
        <w:t>Profane</w:t>
      </w:r>
      <w:r w:rsidR="2D88EA34">
        <w:rPr/>
        <w:t>, p. 26, 30.</w:t>
      </w:r>
    </w:p>
  </w:footnote>
  <w:footnote w:id="10580">
    <w:p w:rsidR="2D88EA34" w:rsidP="2D88EA34" w:rsidRDefault="2D88EA34" w14:paraId="27393AB6" w14:textId="5C026AEC">
      <w:pPr>
        <w:pStyle w:val="FootnoteText"/>
      </w:pPr>
      <w:r w:rsidRPr="2D88EA34">
        <w:rPr>
          <w:rStyle w:val="FootnoteReference"/>
        </w:rPr>
        <w:footnoteRef/>
      </w:r>
      <w:r w:rsidR="2D88EA34">
        <w:rPr/>
        <w:t xml:space="preserve"> R. L. Stirrat, </w:t>
      </w:r>
      <w:r w:rsidRPr="2D88EA34" w:rsidR="2D88EA34">
        <w:rPr>
          <w:i w:val="1"/>
          <w:iCs w:val="1"/>
        </w:rPr>
        <w:t xml:space="preserve">Sacred Models, </w:t>
      </w:r>
      <w:r w:rsidRPr="2D88EA34" w:rsidR="2D88EA34">
        <w:rPr>
          <w:i w:val="0"/>
          <w:iCs w:val="0"/>
        </w:rPr>
        <w:t xml:space="preserve">(MAN, vol. 19, no. 2, 1984), pp. 199–213, </w:t>
      </w:r>
      <w:hyperlink r:id="Rb8e9309b29a24f5c">
        <w:r w:rsidRPr="2D88EA34" w:rsidR="2D88EA34">
          <w:rPr>
            <w:rStyle w:val="Hyperlink"/>
            <w:i w:val="0"/>
            <w:iCs w:val="0"/>
          </w:rPr>
          <w:t>https://doi.org/10.2307/2802277</w:t>
        </w:r>
      </w:hyperlink>
      <w:r w:rsidRPr="2D88EA34" w:rsidR="2D88EA34">
        <w:rPr>
          <w:i w:val="0"/>
          <w:iCs w:val="0"/>
        </w:rPr>
        <w:t xml:space="preserve"> </w:t>
      </w:r>
    </w:p>
  </w:footnote>
  <w:footnote w:id="11279">
    <w:p w:rsidR="2D88EA34" w:rsidP="2D88EA34" w:rsidRDefault="2D88EA34" w14:paraId="309113C7" w14:textId="3A961801">
      <w:pPr>
        <w:pStyle w:val="FootnoteText"/>
        <w:bidi w:val="0"/>
        <w:rPr>
          <w:noProof w:val="0"/>
          <w:lang w:val="en-GB"/>
        </w:rPr>
      </w:pPr>
      <w:r w:rsidRPr="2D88EA34">
        <w:rPr>
          <w:rStyle w:val="FootnoteReference"/>
        </w:rPr>
        <w:footnoteRef/>
      </w:r>
      <w:r w:rsidRPr="2D88EA34" w:rsidR="2D88EA34">
        <w:rPr>
          <w:sz w:val="20"/>
          <w:szCs w:val="20"/>
        </w:rPr>
        <w:t xml:space="preserve"> </w:t>
      </w:r>
      <w:r w:rsidRPr="2D88EA34" w:rsidR="2D88EA34">
        <w:rPr>
          <w:b w:val="0"/>
          <w:bCs w:val="0"/>
          <w:i w:val="0"/>
          <w:iCs w:val="0"/>
          <w:caps w:val="0"/>
          <w:smallCaps w:val="0"/>
          <w:noProof w:val="0"/>
          <w:color w:val="000000" w:themeColor="text1" w:themeTint="FF" w:themeShade="FF"/>
          <w:sz w:val="20"/>
          <w:szCs w:val="20"/>
          <w:lang w:val="en-GB"/>
        </w:rPr>
        <w:t>Gregor</w:t>
      </w:r>
      <w:r w:rsidRPr="2D88EA34" w:rsidR="2D88EA34">
        <w:rPr>
          <w:b w:val="0"/>
          <w:bCs w:val="0"/>
          <w:i w:val="0"/>
          <w:iCs w:val="0"/>
          <w:caps w:val="0"/>
          <w:smallCaps w:val="0"/>
          <w:noProof w:val="0"/>
          <w:color w:val="000000" w:themeColor="text1" w:themeTint="FF" w:themeShade="FF"/>
          <w:sz w:val="20"/>
          <w:szCs w:val="20"/>
          <w:lang w:val="en-GB"/>
        </w:rPr>
        <w:t>y</w:t>
      </w:r>
      <w:r w:rsidRPr="2D88EA34" w:rsidR="2D88EA34">
        <w:rPr>
          <w:b w:val="0"/>
          <w:bCs w:val="0"/>
          <w:i w:val="0"/>
          <w:iCs w:val="0"/>
          <w:caps w:val="0"/>
          <w:smallCaps w:val="0"/>
          <w:noProof w:val="0"/>
          <w:color w:val="000000" w:themeColor="text1" w:themeTint="FF" w:themeShade="FF"/>
          <w:sz w:val="20"/>
          <w:szCs w:val="20"/>
          <w:lang w:val="en-GB"/>
        </w:rPr>
        <w:t xml:space="preserve"> R. </w:t>
      </w:r>
      <w:r w:rsidRPr="2D88EA34" w:rsidR="2D88EA34">
        <w:rPr>
          <w:b w:val="0"/>
          <w:bCs w:val="0"/>
          <w:i w:val="0"/>
          <w:iCs w:val="0"/>
          <w:caps w:val="0"/>
          <w:smallCaps w:val="0"/>
          <w:noProof w:val="0"/>
          <w:color w:val="000000" w:themeColor="text1" w:themeTint="FF" w:themeShade="FF"/>
          <w:sz w:val="20"/>
          <w:szCs w:val="20"/>
          <w:lang w:val="en-GB"/>
        </w:rPr>
        <w:t xml:space="preserve">Campbell, </w:t>
      </w:r>
      <w:r w:rsidRPr="2D88EA34" w:rsidR="2D88EA34">
        <w:rPr>
          <w:b w:val="0"/>
          <w:bCs w:val="0"/>
          <w:i w:val="0"/>
          <w:iCs w:val="0"/>
          <w:caps w:val="0"/>
          <w:smallCaps w:val="0"/>
          <w:noProof w:val="0"/>
          <w:color w:val="000000" w:themeColor="text1" w:themeTint="FF" w:themeShade="FF"/>
          <w:sz w:val="20"/>
          <w:szCs w:val="20"/>
          <w:lang w:val="en-GB"/>
        </w:rPr>
        <w:t xml:space="preserve">and </w:t>
      </w:r>
      <w:r w:rsidRPr="2D88EA34" w:rsidR="2D88EA34">
        <w:rPr>
          <w:b w:val="0"/>
          <w:bCs w:val="0"/>
          <w:i w:val="0"/>
          <w:iCs w:val="0"/>
          <w:caps w:val="0"/>
          <w:smallCaps w:val="0"/>
          <w:noProof w:val="0"/>
          <w:color w:val="000000" w:themeColor="text1" w:themeTint="FF" w:themeShade="FF"/>
          <w:sz w:val="20"/>
          <w:szCs w:val="20"/>
          <w:lang w:val="en-GB"/>
        </w:rPr>
        <w:t>Thomas A.</w:t>
      </w:r>
      <w:r w:rsidRPr="2D88EA34" w:rsidR="2D88EA34">
        <w:rPr>
          <w:b w:val="0"/>
          <w:bCs w:val="0"/>
          <w:i w:val="0"/>
          <w:iCs w:val="0"/>
          <w:caps w:val="0"/>
          <w:smallCaps w:val="0"/>
          <w:noProof w:val="0"/>
          <w:color w:val="000000" w:themeColor="text1" w:themeTint="FF" w:themeShade="FF"/>
          <w:sz w:val="20"/>
          <w:szCs w:val="20"/>
          <w:lang w:val="en-GB"/>
        </w:rPr>
        <w:t xml:space="preserve"> Foor,</w:t>
      </w:r>
      <w:r w:rsidRPr="2D88EA34" w:rsidR="2D88EA34">
        <w:rPr>
          <w:b w:val="0"/>
          <w:bCs w:val="0"/>
          <w:i w:val="0"/>
          <w:iCs w:val="0"/>
          <w:caps w:val="0"/>
          <w:smallCaps w:val="0"/>
          <w:noProof w:val="0"/>
          <w:color w:val="000000" w:themeColor="text1" w:themeTint="FF" w:themeShade="FF"/>
          <w:sz w:val="20"/>
          <w:szCs w:val="20"/>
          <w:lang w:val="en-GB"/>
        </w:rPr>
        <w:t xml:space="preserve"> </w:t>
      </w:r>
      <w:r w:rsidRPr="2D88EA34" w:rsidR="2D88EA34">
        <w:rPr>
          <w:b w:val="0"/>
          <w:bCs w:val="0"/>
          <w:i w:val="1"/>
          <w:iCs w:val="1"/>
          <w:caps w:val="0"/>
          <w:smallCaps w:val="0"/>
          <w:noProof w:val="0"/>
          <w:color w:val="000000" w:themeColor="text1" w:themeTint="FF" w:themeShade="FF"/>
          <w:sz w:val="20"/>
          <w:szCs w:val="20"/>
          <w:lang w:val="en-GB"/>
        </w:rPr>
        <w:t>ENTERING SACRED LANDSCAPES: CULTURAL EXPECTATIONS VERSUS LEGAL REALITIES IN THE NORTHWESTERN PLAINS</w:t>
      </w:r>
      <w:r w:rsidRPr="2D88EA34" w:rsidR="2D88EA34">
        <w:rPr>
          <w:b w:val="0"/>
          <w:bCs w:val="0"/>
          <w:i w:val="0"/>
          <w:iCs w:val="0"/>
          <w:caps w:val="0"/>
          <w:smallCaps w:val="0"/>
          <w:noProof w:val="0"/>
          <w:color w:val="000000" w:themeColor="text1" w:themeTint="FF" w:themeShade="FF"/>
          <w:sz w:val="20"/>
          <w:szCs w:val="20"/>
          <w:lang w:val="en-GB"/>
        </w:rPr>
        <w:t>, (</w:t>
      </w:r>
      <w:r w:rsidRPr="2D88EA34" w:rsidR="2D88EA34">
        <w:rPr>
          <w:b w:val="0"/>
          <w:bCs w:val="0"/>
          <w:i w:val="0"/>
          <w:iCs w:val="0"/>
          <w:caps w:val="0"/>
          <w:smallCaps w:val="0"/>
          <w:noProof w:val="0"/>
          <w:color w:val="000000" w:themeColor="text1" w:themeTint="FF" w:themeShade="FF"/>
          <w:sz w:val="20"/>
          <w:szCs w:val="20"/>
          <w:lang w:val="en-GB"/>
        </w:rPr>
        <w:t>Great Plains Quarterly</w:t>
      </w:r>
      <w:r w:rsidRPr="2D88EA34" w:rsidR="2D88EA34">
        <w:rPr>
          <w:b w:val="0"/>
          <w:bCs w:val="0"/>
          <w:i w:val="0"/>
          <w:iCs w:val="0"/>
          <w:caps w:val="0"/>
          <w:smallCaps w:val="0"/>
          <w:noProof w:val="0"/>
          <w:color w:val="000000" w:themeColor="text1" w:themeTint="FF" w:themeShade="FF"/>
          <w:sz w:val="20"/>
          <w:szCs w:val="20"/>
          <w:lang w:val="en-GB"/>
        </w:rPr>
        <w:t>, vol. 24, no. 3, 2004</w:t>
      </w:r>
      <w:r w:rsidRPr="2D88EA34" w:rsidR="2D88EA34">
        <w:rPr>
          <w:b w:val="0"/>
          <w:bCs w:val="0"/>
          <w:i w:val="0"/>
          <w:iCs w:val="0"/>
          <w:caps w:val="0"/>
          <w:smallCaps w:val="0"/>
          <w:noProof w:val="0"/>
          <w:color w:val="000000" w:themeColor="text1" w:themeTint="FF" w:themeShade="FF"/>
          <w:sz w:val="20"/>
          <w:szCs w:val="20"/>
          <w:lang w:val="en-GB"/>
        </w:rPr>
        <w:t xml:space="preserve">), </w:t>
      </w:r>
      <w:r w:rsidRPr="2D88EA34" w:rsidR="2D88EA34">
        <w:rPr>
          <w:b w:val="0"/>
          <w:bCs w:val="0"/>
          <w:i w:val="0"/>
          <w:iCs w:val="0"/>
          <w:caps w:val="0"/>
          <w:smallCaps w:val="0"/>
          <w:noProof w:val="0"/>
          <w:color w:val="000000" w:themeColor="text1" w:themeTint="FF" w:themeShade="FF"/>
          <w:sz w:val="20"/>
          <w:szCs w:val="20"/>
          <w:lang w:val="en-GB"/>
        </w:rPr>
        <w:t xml:space="preserve">p. 165, </w:t>
      </w:r>
      <w:hyperlink r:id="Rbd71ee79578e46a3">
        <w:r w:rsidRPr="2D88EA34" w:rsidR="2D88EA34">
          <w:rPr>
            <w:rStyle w:val="Hyperlink"/>
            <w:b w:val="0"/>
            <w:bCs w:val="0"/>
            <w:i w:val="0"/>
            <w:iCs w:val="0"/>
            <w:caps w:val="0"/>
            <w:smallCaps w:val="0"/>
            <w:noProof w:val="0"/>
            <w:sz w:val="20"/>
            <w:szCs w:val="20"/>
            <w:lang w:val="en-GB"/>
          </w:rPr>
          <w:t>http://www.jstor.org/stable/23533960</w:t>
        </w:r>
      </w:hyperlink>
      <w:r w:rsidRPr="2D88EA34" w:rsidR="2D88EA34">
        <w:rPr>
          <w:b w:val="0"/>
          <w:bCs w:val="0"/>
          <w:i w:val="0"/>
          <w:iCs w:val="0"/>
          <w:caps w:val="0"/>
          <w:smallCaps w:val="0"/>
          <w:noProof w:val="0"/>
          <w:color w:val="000000" w:themeColor="text1" w:themeTint="FF" w:themeShade="FF"/>
          <w:sz w:val="20"/>
          <w:szCs w:val="20"/>
          <w:lang w:val="en-GB"/>
        </w:rPr>
        <w:t xml:space="preserve"> </w:t>
      </w:r>
    </w:p>
  </w:footnote>
  <w:footnote w:id="26922">
    <w:p w:rsidR="2D88EA34" w:rsidP="2D88EA34" w:rsidRDefault="2D88EA34" w14:paraId="1F62CDEB" w14:textId="1ABF6513">
      <w:pPr>
        <w:pStyle w:val="FootnoteText"/>
        <w:bidi w:val="0"/>
        <w:spacing w:before="0" w:beforeAutospacing="off" w:after="0" w:afterAutospacing="off" w:line="240" w:lineRule="auto"/>
        <w:ind w:left="0" w:right="0"/>
        <w:jc w:val="left"/>
      </w:pPr>
      <w:r w:rsidRPr="2D88EA34">
        <w:rPr>
          <w:rStyle w:val="FootnoteReference"/>
        </w:rPr>
        <w:footnoteRef/>
      </w:r>
      <w:r w:rsidR="2D88EA34">
        <w:rPr/>
        <w:t xml:space="preserve"> Gregory and Foor, </w:t>
      </w:r>
      <w:r w:rsidRPr="2D88EA34" w:rsidR="2D88EA34">
        <w:rPr>
          <w:i w:val="1"/>
          <w:iCs w:val="1"/>
        </w:rPr>
        <w:t xml:space="preserve">Entering Sacred Landscapes, </w:t>
      </w:r>
      <w:r w:rsidR="2D88EA34">
        <w:rPr/>
        <w:t>p. 165.</w:t>
      </w:r>
    </w:p>
  </w:footnote>
  <w:footnote w:id="10954">
    <w:p w:rsidR="2D88EA34" w:rsidP="2D88EA34" w:rsidRDefault="2D88EA34" w14:paraId="0D7785EE" w14:textId="15B373D3">
      <w:pPr>
        <w:pStyle w:val="FootnoteText"/>
        <w:bidi w:val="0"/>
      </w:pPr>
      <w:r w:rsidRPr="2D88EA34">
        <w:rPr>
          <w:rStyle w:val="FootnoteReference"/>
        </w:rPr>
        <w:footnoteRef/>
      </w:r>
      <w:r w:rsidR="2D88EA34">
        <w:rPr/>
        <w:t xml:space="preserve"> Durkheim, </w:t>
      </w:r>
      <w:r w:rsidRPr="2D88EA34" w:rsidR="2D88EA34">
        <w:rPr>
          <w:i w:val="1"/>
          <w:iCs w:val="1"/>
        </w:rPr>
        <w:t>The Elementary Forms</w:t>
      </w:r>
      <w:r w:rsidR="2D88EA34">
        <w:rPr/>
        <w:t>, p. 10.</w:t>
      </w:r>
    </w:p>
  </w:footnote>
  <w:footnote w:id="16446">
    <w:p w:rsidR="2D88EA34" w:rsidP="2D88EA34" w:rsidRDefault="2D88EA34" w14:paraId="23C35BC9" w14:textId="72FF3258">
      <w:pPr>
        <w:pStyle w:val="FootnoteText"/>
        <w:bidi w:val="0"/>
        <w:rPr>
          <w:i w:val="0"/>
          <w:iCs w:val="0"/>
        </w:rPr>
      </w:pPr>
      <w:r w:rsidRPr="2D88EA34">
        <w:rPr>
          <w:rStyle w:val="FootnoteReference"/>
        </w:rPr>
        <w:footnoteRef/>
      </w:r>
      <w:r w:rsidR="2D88EA34">
        <w:rPr/>
        <w:t xml:space="preserve"> Victor</w:t>
      </w:r>
      <w:r w:rsidRPr="2D88EA34" w:rsidR="2D88EA34">
        <w:rPr>
          <w:i w:val="1"/>
          <w:iCs w:val="1"/>
        </w:rPr>
        <w:t xml:space="preserve"> </w:t>
      </w:r>
      <w:r w:rsidR="2D88EA34">
        <w:rPr/>
        <w:t xml:space="preserve">Turner, </w:t>
      </w:r>
      <w:r w:rsidRPr="2D88EA34" w:rsidR="2D88EA34">
        <w:rPr>
          <w:i w:val="1"/>
          <w:iCs w:val="1"/>
        </w:rPr>
        <w:t xml:space="preserve">The Drums of Affliction, (Oxford University Press, 1969) </w:t>
      </w:r>
      <w:r w:rsidRPr="2D88EA34" w:rsidR="2D88EA34">
        <w:rPr>
          <w:i w:val="0"/>
          <w:iCs w:val="0"/>
        </w:rPr>
        <w:t xml:space="preserve">cited in Stirrat, R. L., </w:t>
      </w:r>
      <w:r w:rsidRPr="2D88EA34" w:rsidR="2D88EA34">
        <w:rPr>
          <w:i w:val="1"/>
          <w:iCs w:val="1"/>
        </w:rPr>
        <w:t xml:space="preserve">Sacred Models, </w:t>
      </w:r>
      <w:r w:rsidRPr="2D88EA34" w:rsidR="2D88EA34">
        <w:rPr>
          <w:i w:val="0"/>
          <w:iCs w:val="0"/>
        </w:rPr>
        <w:t>(MAN, vol. 19, no. 2, 1984), p. 209.</w:t>
      </w:r>
    </w:p>
  </w:footnote>
</w:footnotes>
</file>

<file path=word/intelligence2.xml><?xml version="1.0" encoding="utf-8"?>
<int2:intelligence xmlns:int2="http://schemas.microsoft.com/office/intelligence/2020/intelligence" xmlns:oel="http://schemas.microsoft.com/office/2019/extlst">
  <int2:observations>
    <int2:textHash int2:hashCode="y1yMDcu6Cft/48" int2:id="MDbIVnjL">
      <int2:state int2:type="LegacyProofing" int2:value="Rejected"/>
    </int2:textHash>
    <int2:textHash int2:hashCode="CPU90Mv3DLAJzV" int2:id="tHSM6WBk">
      <int2:state int2:type="LegacyProofing" int2:value="Rejected"/>
    </int2:textHash>
    <int2:textHash int2:hashCode="+ukdfZrVZhce6t" int2:id="t0nkSisN">
      <int2:state int2:type="LegacyProofing" int2:value="Rejected"/>
    </int2:textHash>
    <int2:textHash int2:hashCode="hEA6c8Rp2lUaOl" int2:id="tedAXnlm">
      <int2:state int2:type="LegacyProofing" int2:value="Rejected"/>
    </int2:textHash>
    <int2:textHash int2:hashCode="xgKKChYm1SIewc" int2:id="R8bXxsCS">
      <int2:state int2:type="LegacyProofing" int2:value="Rejected"/>
    </int2:textHash>
    <int2:textHash int2:hashCode="vrO3w9PqCU/yIN" int2:id="sCN6ZFNy">
      <int2:state int2:type="LegacyProofing" int2:value="Rejected"/>
    </int2:textHash>
    <int2:textHash int2:hashCode="1YoEdKkhawg+VH" int2:id="Hh9B6nuG">
      <int2:state int2:type="LegacyProofing" int2:value="Rejected"/>
    </int2:textHash>
    <int2:textHash int2:hashCode="cDrsvAq7aNAwwS" int2:id="v8k3bcBF">
      <int2:state int2:type="LegacyProofing" int2:value="Rejected"/>
    </int2:textHash>
    <int2:textHash int2:hashCode="xMY5oD/NmtdUeE" int2:id="EpgfNwVZ">
      <int2:state int2:type="LegacyProofing" int2:value="Rejected"/>
    </int2:textHash>
    <int2:textHash int2:hashCode="bXB9UiwyUhz3te" int2:id="MwMpDoLv">
      <int2:state int2:type="LegacyProofing" int2:value="Rejected"/>
    </int2:textHash>
    <int2:textHash int2:hashCode="/2WojLOY2RnY/r" int2:id="v8VUvMvc">
      <int2:state int2:type="LegacyProofing" int2:value="Rejected"/>
    </int2:textHash>
    <int2:textHash int2:hashCode="fEPV6h+C5o0VL+" int2:id="U80WE5ui">
      <int2:state int2:type="LegacyProofing" int2:value="Rejected"/>
    </int2:textHash>
    <int2:textHash int2:hashCode="9YPW85P+zRYFML" int2:id="2KufcCX4">
      <int2:state int2:type="LegacyProofing" int2:value="Rejected"/>
    </int2:textHash>
    <int2:textHash int2:hashCode="83sqt1HRtAXbHW" int2:id="gsCysw17">
      <int2:state int2:type="LegacyProofing" int2:value="Rejected"/>
    </int2:textHash>
    <int2:textHash int2:hashCode="07aJBHdUBePSN+" int2:id="RCO1ertS">
      <int2:state int2:type="LegacyProofing" int2:value="Rejected"/>
    </int2:textHash>
    <int2:textHash int2:hashCode="1ihnvG4ybIrJ66" int2:id="bGe7bgCK">
      <int2:state int2:type="LegacyProofing" int2:value="Rejected"/>
    </int2:textHash>
    <int2:textHash int2:hashCode="o4nofkuOmfhv7D" int2:id="NGHxM8RU">
      <int2:state int2:type="LegacyProofing" int2:value="Rejected"/>
    </int2:textHash>
    <int2:textHash int2:hashCode="R+hQFJvyeOi2Vj" int2:id="dGb0UYH1">
      <int2:state int2:type="LegacyProofing" int2:value="Rejected"/>
    </int2:textHash>
    <int2:textHash int2:hashCode="m5UlIwipup5SIg" int2:id="2WLxoBi8">
      <int2:state int2:type="LegacyProofing" int2:value="Rejected"/>
    </int2:textHash>
    <int2:textHash int2:hashCode="30GsxkDRToHSMe" int2:id="t5dTvHwn">
      <int2:state int2:type="LegacyProofing" int2:value="Rejected"/>
    </int2:textHash>
    <int2:textHash int2:hashCode="tjQMza2R4zzY8t" int2:id="p62inHMS">
      <int2:state int2:type="LegacyProofing" int2:value="Rejected"/>
    </int2:textHash>
    <int2:textHash int2:hashCode="FgClOTl0VleQgW" int2:id="NXQXodgF">
      <int2:state int2:type="LegacyProofing" int2:value="Rejected"/>
    </int2:textHash>
    <int2:textHash int2:hashCode="eEqOMM0Erw1eVY" int2:id="g3hwuJzI">
      <int2:state int2:type="LegacyProofing" int2:value="Rejected"/>
    </int2:textHash>
    <int2:textHash int2:hashCode="sH4YsayjZdbcNy" int2:id="9PDi8yrh">
      <int2:state int2:type="LegacyProofing" int2:value="Rejected"/>
    </int2:textHash>
    <int2:textHash int2:hashCode="hoMNL3Chx3qYp2" int2:id="fz5HrbJy">
      <int2:state int2:type="LegacyProofing" int2:value="Rejected"/>
    </int2:textHash>
    <int2:textHash int2:hashCode="WRjpMwMEffap4X" int2:id="3Q2P6kZi">
      <int2:state int2:type="LegacyProofing" int2:value="Rejected"/>
    </int2:textHash>
    <int2:textHash int2:hashCode="MTbYPqlzkS4hpY" int2:id="25uIQERC">
      <int2:state int2:type="LegacyProofing" int2:value="Rejected"/>
    </int2:textHash>
    <int2:textHash int2:hashCode="dgh2f6++adnNlQ" int2:id="elElMmgj">
      <int2:state int2:type="LegacyProofing" int2:value="Rejected"/>
    </int2:textHash>
    <int2:textHash int2:hashCode="ztvc+u7kqLWKZQ" int2:id="tPLegGEN">
      <int2:state int2:type="LegacyProofing" int2:value="Rejected"/>
    </int2:textHash>
    <int2:textHash int2:hashCode="MF8xFTBQWkDhFv" int2:id="wJvmYBrs">
      <int2:state int2:type="LegacyProofing" int2:value="Rejected"/>
    </int2:textHash>
    <int2:textHash int2:hashCode="XkIAI3uqvj9B1P" int2:id="qheZabfW">
      <int2:state int2:type="LegacyProofing" int2:value="Rejected"/>
    </int2:textHash>
    <int2:bookmark int2:bookmarkName="_Int_NXIvt7vO" int2:invalidationBookmarkName="" int2:hashCode="vn3uuY3s+t77vc" int2:id="OXtZHw0C">
      <int2:extLst>
        <oel:ext uri="426473B9-03D8-482F-96C9-C2C85392BACA">
          <int2:similarityCritique int2:version="1" int2:context="Brady, Bernadette, Cosmos, Chaosmos and Astrology, (Sophia Centre Press, 2014)">
            <int2:source int2:sourceType="Online" int2:sourceTitle="March | 2017 | Astrology: Questions and Answers" int2:sourceUrl="https://astrologyquestionsandanswers.com/2017/03/" int2:sourceSnippet="(1) Bernadette Brady, Cosmos, Chaosmos and Astrology, Sophia Centre Press, 2014, p 71. (This post was most recently published in May 2016 as “Some thoughts on astrology’s place in the contemporary world” on The Mountain Astrologer Blog) (Please Note: any offensive comments will be ruthlessly binned) Zodiac *****">
              <int2:suggestions int2:citationType="Inline">
                <int2:suggestion int2:citationStyle="Mla" int2:isIdentical="0">
                  <int2:citationText>(“March | 2017 | Astrology: Questions and Answers”)</int2:citationText>
                </int2:suggestion>
                <int2:suggestion int2:citationStyle="Apa" int2:isIdentical="0">
                  <int2:citationText>(“March | 2017 | Astrology: Questions and Answers”)</int2:citationText>
                </int2:suggestion>
                <int2:suggestion int2:citationStyle="Chicago" int2:isIdentical="0">
                  <int2:citationText>(“March | 2017 | Astrology: Questions and Answers”)</int2:citationText>
                </int2:suggestion>
              </int2:suggestions>
              <int2:suggestions int2:citationType="Full">
                <int2:suggestion int2:citationStyle="Mla" int2:isIdentical="0">
                  <int2:citationText>&lt;i&gt;March | 2017 | Astrology: Questions and Answers&lt;/i&gt;, https://astrologyquestionsandanswers.com/2017/03/.</int2:citationText>
                </int2:suggestion>
                <int2:suggestion int2:citationStyle="Apa" int2:isIdentical="0">
                  <int2:citationText>&lt;i&gt;March | 2017 | Astrology: Questions and Answers&lt;/i&gt;. (n.d.). Retrieved from https://astrologyquestionsandanswers.com/2017/03/</int2:citationText>
                </int2:suggestion>
                <int2:suggestion int2:citationStyle="Chicago" int2:isIdentical="0">
                  <int2:citationText>“March | 2017 | Astrology: Questions and Answers” n.d., https://astrologyquestionsandanswers.com/2017/03/.</int2:citationText>
                </int2:suggestion>
              </int2:suggestions>
            </int2:source>
          </int2:similarityCritique>
        </oel:ext>
      </int2:extLst>
    </int2:bookmark>
    <int2:bookmark int2:bookmarkName="_Int_S5s8QOJ5" int2:invalidationBookmarkName="" int2:hashCode="O0K0E3XJUBBx2j" int2:id="1ahfFur8">
      <int2:extLst>
        <oel:ext uri="426473B9-03D8-482F-96C9-C2C85392BACA">
          <int2:similarityCritique int2:version="1" int2:context="Hartati, Celerina, Dewi and Rudyansjah, Tony, Transformation of the sacred and the profane in space and time case study Chinese ritual in Chinese temple in Bekasi, West Java, Indonesia, (Kasetsart Journal of Social Sciences, Volume, 042, Issue 1, 2021)">
            <int2:source int2:sourceType="Online" int2:sourceTitle="Transformation of the sacred and the profane in space and time: Case ..." int2:sourceUrl="https://scholar.ui.ac.id/en/publications/transformation-of-the-sacred-and-the-profane-in-space-and-time-ca" int2:sourceSnippet="Transformation of the sacred and the profane in space and time : Case study chinese ritual in chinese temple in Bekasi, West Java, Indonesia. / Hartati, Celerina Dewi; Rudyansjah, Tony. In: Kasetsart Journal of Social Sciences, Vol. 42, No. 1, 22.02.2021, p. 43-48. Research output: Contribution to journal › Article › peer-review">
              <int2:suggestions int2:citationType="Inline">
                <int2:suggestion int2:citationStyle="Mla" int2:isIdentical="0">
                  <int2:citationText>(“Transformation of the sacred and the profane in space and time: Case ...”)</int2:citationText>
                </int2:suggestion>
                <int2:suggestion int2:citationStyle="Apa" int2:isIdentical="0">
                  <int2:citationText>(“Transformation of the sacred and the profane in space and time: Case ...”)</int2:citationText>
                </int2:suggestion>
                <int2:suggestion int2:citationStyle="Chicago" int2:isIdentical="0">
                  <int2:citationText>(“Transformation of the sacred and the profane in space and time: Case ...”)</int2:citationText>
                </int2:suggestion>
              </int2:suggestions>
              <int2:suggestions int2:citationType="Full">
                <int2:suggestion int2:citationStyle="Mla" int2:isIdentical="0">
                  <int2:citationText>&lt;i&gt;Transformation of the sacred and the profane in space and time: Case ...&lt;/i&gt;, https://scholar.ui.ac.id/en/publications/transformation-of-the-sacred-and-the-profane-in-space-and-time-ca.</int2:citationText>
                </int2:suggestion>
                <int2:suggestion int2:citationStyle="Apa" int2:isIdentical="0">
                  <int2:citationText>&lt;i&gt;Transformation of the sacred and the profane in space and time: Case ...&lt;/i&gt;. (n.d.). Retrieved from https://scholar.ui.ac.id/en/publications/transformation-of-the-sacred-and-the-profane-in-space-and-time-ca</int2:citationText>
                </int2:suggestion>
                <int2:suggestion int2:citationStyle="Chicago" int2:isIdentical="0">
                  <int2:citationText>“Transformation of the sacred and the profane in space and time: Case ...” n.d., https://scholar.ui.ac.id/en/publications/transformation-of-the-sacred-and-the-profane-in-space-and-time-ca.</int2:citationText>
                </int2:suggestion>
              </int2:suggestions>
            </int2:source>
          </int2:similarityCritique>
        </oel:ext>
      </int2:extLst>
    </int2:bookmark>
    <int2:bookmark int2:bookmarkName="_Int_UdK1WcKE" int2:invalidationBookmarkName="" int2:hashCode="2sFhM1PSm5U+FX" int2:id="1u8IkCKf">
      <int2:state int2:type="AugLoop_Text_Critique" int2:value="Rejected"/>
    </int2:bookmark>
    <int2:bookmark int2:bookmarkName="_Int_BgHUsmwB" int2:invalidationBookmarkName="" int2:hashCode="YA4NiOzq7v34Ct" int2:id="NG1mbc2g">
      <int2:state int2:type="AugLoop_Text_Critique" int2:value="Rejected"/>
    </int2:bookmark>
    <int2:bookmark int2:bookmarkName="_Int_ncrKCtqz" int2:invalidationBookmarkName="" int2:hashCode="dPOWl6wyjGMlzg" int2:id="21Sm4S0v">
      <int2:state int2:type="LegacyProofing" int2:value="Rejected"/>
    </int2:bookmark>
    <int2:bookmark int2:bookmarkName="_Int_1rNZR2cJ" int2:invalidationBookmarkName="" int2:hashCode="2sFhM1PSm5U+FX" int2:id="bchz4hcy">
      <int2:state int2:type="AugLoop_Text_Critique" int2:value="Rejected"/>
    </int2:bookmark>
    <int2:bookmark int2:bookmarkName="_Int_rLLZMyAj" int2:invalidationBookmarkName="" int2:hashCode="DisNv6F2xxgbDD" int2:id="tyXHJ9SH">
      <int2:state int2:type="LegacyProofing" int2:value="Rejected"/>
    </int2:bookmark>
    <int2:bookmark int2:bookmarkName="_Int_ap4xIjJy" int2:invalidationBookmarkName="" int2:hashCode="YA4NiOzq7v34Ct" int2:id="eMqmdW5j">
      <int2:state int2:type="AugLoop_Text_Critique" int2:value="Rejected"/>
    </int2:bookmark>
    <int2:bookmark int2:bookmarkName="_Int_x42SLMSn" int2:invalidationBookmarkName="" int2:hashCode="0WGAU6o6WLlKk6" int2:id="Zp4DVkqr"/>
    <int2:bookmark int2:bookmarkName="_Int_5eI6NKxx" int2:invalidationBookmarkName="" int2:hashCode="wuf85k+g6ZXtv9" int2:id="sx1nBI5z">
      <int2:state int2:type="AugLoop_Text_Critique" int2:value="Rejected"/>
    </int2:bookmark>
    <int2:bookmark int2:bookmarkName="_Int_kY9LvTMR" int2:invalidationBookmarkName="" int2:hashCode="DisNv6F2xxgbDD" int2:id="t32ou5IA">
      <int2:state int2:type="LegacyProofing" int2:value="Rejected"/>
    </int2:bookmark>
    <int2:bookmark int2:bookmarkName="_Int_u2GfDhdr" int2:invalidationBookmarkName="" int2:hashCode="XEbAsqc9Rn7weH" int2:id="VhtBV9M9">
      <int2:state int2:type="LegacyProofing" int2:value="Rejected"/>
      <int2:state int2:type="AugLoop_Text_Critique" int2:value="Rejected"/>
    </int2:bookmark>
    <int2:bookmark int2:bookmarkName="_Int_T6972MEK" int2:invalidationBookmarkName="" int2:hashCode="RoHRJMxsS3O6q/" int2:id="utimv3EN">
      <int2:state int2:type="AugLoop_Text_Critique" int2:value="Rejected"/>
    </int2:bookmark>
    <int2:entireDocument int2:id="SuK8QVil">
      <int2:extLst>
        <oel:ext uri="E302BA01-7950-474C-9AD3-286E660C40A8">
          <int2:similaritySummary int2:version="1" int2:runId="1668017702294" int2:tilesCheckedInThisRun="58" int2:totalNumOfTiles="58" int2:similarityAnnotationCount="2" int2:numWords="2903" int2:numFlaggedWords="49"/>
        </oel:ext>
      </int2:extLst>
    </int2:entireDocument>
  </int2:observations>
  <int2:intelligenceSettings/>
  <int2:onDemandWorkflows>
    <int2:onDemandWorkflow int2:type="SimilarityCheck" int2:paragraphVersions="5E5787A5-68E7C103 546FC2CD-2A6351D8 270C1794-1098EB4F 7B2A98AE-559860A8 39DF27E5-24E35898 043D68C4-6C92CB2B 0BAE168F-73F6D913 194DA232-072B93C6 53FBAD6F-726193D3 3BCFC8CD-622B0309 0709A190-5FF5403A 0D7B4356-3D46E9D6 1CB6EFC8-62AFC5DA 3E924906-4C7BD09C 2FFFDDDE-17390419 24F3990B-443A6E5F 103CA78D-6616193A 50B332C4-1C13D693 7AA05C9D-3CBF38DD 661A6131-219FF480 7FD9A05B-2CD25302 5FF11E42-3285547B 6F49A9CD-49AA0940 5AC25F95-27C19BE8 59E7DBA6-49818188 15B15DF5-11845E0C 77A42D83-4AA5D5E6 7662AD12-12FDBB69 13C63D74-775280D5 4424D432-1AA1C3DE 490A67D1-798BA419 0D40379D-0F1353B5 635986F8-4B1A56C7 1D1D5D3C-1A590EA5 3BACD2CC-35C6DD1B 7228B718-03BB9B21 2BCAEED6-41976327 7FC1D44F-4A92386B 4B71E38B-55975F84 1266211B-46CB22C5 21BDC2DB-61FF3D43 7899B630-4A5D5035 346D2865-00C0BE3F 73BCD10D-5BE706F0 1DE326E6-20989C73 415AA4EB-18AB29B6 1C834990-3DCB1E21 0AC642EA-160C66AC 3AC06206-2FF558B4 7F2286D1-16D790FD 62E41FB0-09B9FA74 077E2A14-309E8FC3 7C13EF7E-3E26CCC3 371ACF42-51CB343A 31924D57-15B2DDE9 0FA87522-4E83AAE5 194CD5BD-35390D9F 4396B697-17A18BC9 6F66B0E5-3AF6154E 4184A5E1-00BEFE6D 03BE4644-7B804AEE 085252FC-670CAC1B 1B753142-6D1526A9 4486921B-3D17F2D4 5C799530-3AA89994 04A70454-449F757D 609F6E2D-38F57633 0F1D3E74-03A54AC0 4A463813-03F09ED4 75FB8D4D-1B036081 32CCE3D4-2B24F29B 76775F7B-435BD79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9977A0"/>
    <w:rsid w:val="000EB39C"/>
    <w:rsid w:val="000F20D0"/>
    <w:rsid w:val="001877B2"/>
    <w:rsid w:val="0085BEDD"/>
    <w:rsid w:val="00995737"/>
    <w:rsid w:val="009CBB22"/>
    <w:rsid w:val="009FACD2"/>
    <w:rsid w:val="00A3C1E6"/>
    <w:rsid w:val="00A61A6E"/>
    <w:rsid w:val="00B39443"/>
    <w:rsid w:val="00E42ABF"/>
    <w:rsid w:val="010D2AA0"/>
    <w:rsid w:val="0148C99E"/>
    <w:rsid w:val="0158980D"/>
    <w:rsid w:val="016A073E"/>
    <w:rsid w:val="018E34CD"/>
    <w:rsid w:val="01976E0B"/>
    <w:rsid w:val="01A1D2DB"/>
    <w:rsid w:val="01ACF5BB"/>
    <w:rsid w:val="01B3FAC5"/>
    <w:rsid w:val="01D37F34"/>
    <w:rsid w:val="01DCD5D7"/>
    <w:rsid w:val="01E3028E"/>
    <w:rsid w:val="02129972"/>
    <w:rsid w:val="0218656B"/>
    <w:rsid w:val="02266EBC"/>
    <w:rsid w:val="022780DC"/>
    <w:rsid w:val="025DF23D"/>
    <w:rsid w:val="027CC6CD"/>
    <w:rsid w:val="028D78CD"/>
    <w:rsid w:val="02B56C6F"/>
    <w:rsid w:val="02D82EDD"/>
    <w:rsid w:val="032E23F2"/>
    <w:rsid w:val="03322CDE"/>
    <w:rsid w:val="0346545E"/>
    <w:rsid w:val="0349888F"/>
    <w:rsid w:val="0355E26F"/>
    <w:rsid w:val="03646A0A"/>
    <w:rsid w:val="036E63F3"/>
    <w:rsid w:val="037D5FAF"/>
    <w:rsid w:val="037ED2EF"/>
    <w:rsid w:val="039ED7BE"/>
    <w:rsid w:val="03D00217"/>
    <w:rsid w:val="03D7AAA0"/>
    <w:rsid w:val="03D83CE6"/>
    <w:rsid w:val="03EB3505"/>
    <w:rsid w:val="041E57BB"/>
    <w:rsid w:val="0424BF1F"/>
    <w:rsid w:val="04514F47"/>
    <w:rsid w:val="046A41F3"/>
    <w:rsid w:val="04797254"/>
    <w:rsid w:val="04A5ECB1"/>
    <w:rsid w:val="04C8C7BD"/>
    <w:rsid w:val="0500B8FE"/>
    <w:rsid w:val="051AA350"/>
    <w:rsid w:val="053A7481"/>
    <w:rsid w:val="054E249F"/>
    <w:rsid w:val="05773309"/>
    <w:rsid w:val="061C3AC1"/>
    <w:rsid w:val="06226272"/>
    <w:rsid w:val="0658C2A3"/>
    <w:rsid w:val="066ABAF2"/>
    <w:rsid w:val="0677AE05"/>
    <w:rsid w:val="06B046FA"/>
    <w:rsid w:val="06B89CFE"/>
    <w:rsid w:val="06D23D1A"/>
    <w:rsid w:val="0705D588"/>
    <w:rsid w:val="0722AD64"/>
    <w:rsid w:val="0722D5C7"/>
    <w:rsid w:val="0723D72D"/>
    <w:rsid w:val="07316360"/>
    <w:rsid w:val="0737E48D"/>
    <w:rsid w:val="074AC123"/>
    <w:rsid w:val="07B80B22"/>
    <w:rsid w:val="07CE9C29"/>
    <w:rsid w:val="07E4F8E0"/>
    <w:rsid w:val="07FCBFA9"/>
    <w:rsid w:val="08045A3C"/>
    <w:rsid w:val="089BF837"/>
    <w:rsid w:val="08BA8C91"/>
    <w:rsid w:val="08CD33C1"/>
    <w:rsid w:val="08D4B602"/>
    <w:rsid w:val="093A48E9"/>
    <w:rsid w:val="093D9CEE"/>
    <w:rsid w:val="094CE377"/>
    <w:rsid w:val="09502735"/>
    <w:rsid w:val="097B70A0"/>
    <w:rsid w:val="0985B275"/>
    <w:rsid w:val="099ADEEB"/>
    <w:rsid w:val="099EDAD2"/>
    <w:rsid w:val="09A4B1F0"/>
    <w:rsid w:val="09C23711"/>
    <w:rsid w:val="09C2E66F"/>
    <w:rsid w:val="09CB006E"/>
    <w:rsid w:val="09E7DBFC"/>
    <w:rsid w:val="0A14CB95"/>
    <w:rsid w:val="0A207706"/>
    <w:rsid w:val="0A26F9DD"/>
    <w:rsid w:val="0A3E4104"/>
    <w:rsid w:val="0A4038CE"/>
    <w:rsid w:val="0A565CF2"/>
    <w:rsid w:val="0A61AF0F"/>
    <w:rsid w:val="0A6CBC0A"/>
    <w:rsid w:val="0A6D20C7"/>
    <w:rsid w:val="0A8528E2"/>
    <w:rsid w:val="0A9CFCD7"/>
    <w:rsid w:val="0AC1E042"/>
    <w:rsid w:val="0AD69B01"/>
    <w:rsid w:val="0AE23EF1"/>
    <w:rsid w:val="0AE8B3D8"/>
    <w:rsid w:val="0B611D33"/>
    <w:rsid w:val="0B61B22C"/>
    <w:rsid w:val="0B77795F"/>
    <w:rsid w:val="0B8C0E21"/>
    <w:rsid w:val="0BA03FCC"/>
    <w:rsid w:val="0BA9E9A3"/>
    <w:rsid w:val="0BAE59F1"/>
    <w:rsid w:val="0BC78CAC"/>
    <w:rsid w:val="0BC8E0C4"/>
    <w:rsid w:val="0C08F128"/>
    <w:rsid w:val="0C197D6E"/>
    <w:rsid w:val="0C3E4E16"/>
    <w:rsid w:val="0C3EE21B"/>
    <w:rsid w:val="0C82DF68"/>
    <w:rsid w:val="0C8CFDCE"/>
    <w:rsid w:val="0CD89882"/>
    <w:rsid w:val="0D1F887E"/>
    <w:rsid w:val="0D2D7880"/>
    <w:rsid w:val="0D497190"/>
    <w:rsid w:val="0D4FD63E"/>
    <w:rsid w:val="0D5EE7AF"/>
    <w:rsid w:val="0D608735"/>
    <w:rsid w:val="0D725F56"/>
    <w:rsid w:val="0D7AA08D"/>
    <w:rsid w:val="0D7C5DF6"/>
    <w:rsid w:val="0D8DFDB4"/>
    <w:rsid w:val="0DA4C189"/>
    <w:rsid w:val="0DC451CE"/>
    <w:rsid w:val="0DC8CD59"/>
    <w:rsid w:val="0DD44CA6"/>
    <w:rsid w:val="0DEDC530"/>
    <w:rsid w:val="0DF49148"/>
    <w:rsid w:val="0E134B71"/>
    <w:rsid w:val="0E155EB2"/>
    <w:rsid w:val="0E28CE2F"/>
    <w:rsid w:val="0E9BE847"/>
    <w:rsid w:val="0EA7F0DE"/>
    <w:rsid w:val="0EAA8686"/>
    <w:rsid w:val="0EEB0CFB"/>
    <w:rsid w:val="0F2DBF49"/>
    <w:rsid w:val="0F49AFF0"/>
    <w:rsid w:val="0F969C19"/>
    <w:rsid w:val="0FC74D79"/>
    <w:rsid w:val="10017381"/>
    <w:rsid w:val="101B65F9"/>
    <w:rsid w:val="1046966B"/>
    <w:rsid w:val="105D4028"/>
    <w:rsid w:val="10811252"/>
    <w:rsid w:val="10B5ADA7"/>
    <w:rsid w:val="10C59E76"/>
    <w:rsid w:val="10E58051"/>
    <w:rsid w:val="10F756D9"/>
    <w:rsid w:val="11004C8F"/>
    <w:rsid w:val="111CA841"/>
    <w:rsid w:val="112F5B11"/>
    <w:rsid w:val="114A24CE"/>
    <w:rsid w:val="115DF2C5"/>
    <w:rsid w:val="1178685E"/>
    <w:rsid w:val="117C3A25"/>
    <w:rsid w:val="118D7982"/>
    <w:rsid w:val="11B7365A"/>
    <w:rsid w:val="11BF69B5"/>
    <w:rsid w:val="121CE2B3"/>
    <w:rsid w:val="1230F11A"/>
    <w:rsid w:val="124EAF20"/>
    <w:rsid w:val="1282C30F"/>
    <w:rsid w:val="128C0366"/>
    <w:rsid w:val="129D2909"/>
    <w:rsid w:val="12DCC043"/>
    <w:rsid w:val="12EE1D3A"/>
    <w:rsid w:val="1325EF6B"/>
    <w:rsid w:val="13442221"/>
    <w:rsid w:val="1348E841"/>
    <w:rsid w:val="1393117A"/>
    <w:rsid w:val="13B060E7"/>
    <w:rsid w:val="13B8B314"/>
    <w:rsid w:val="13CA6DA6"/>
    <w:rsid w:val="13E3BEF7"/>
    <w:rsid w:val="13EA7F81"/>
    <w:rsid w:val="13FADAB0"/>
    <w:rsid w:val="142A39EE"/>
    <w:rsid w:val="142C2C37"/>
    <w:rsid w:val="1436C7FC"/>
    <w:rsid w:val="1489ED9B"/>
    <w:rsid w:val="1493F6D4"/>
    <w:rsid w:val="14C51A44"/>
    <w:rsid w:val="14F4309D"/>
    <w:rsid w:val="1509FDD1"/>
    <w:rsid w:val="152E2DF4"/>
    <w:rsid w:val="1538B4A0"/>
    <w:rsid w:val="154E1EC1"/>
    <w:rsid w:val="155727BD"/>
    <w:rsid w:val="157C20CE"/>
    <w:rsid w:val="15990F99"/>
    <w:rsid w:val="15A42A4E"/>
    <w:rsid w:val="15AFD36E"/>
    <w:rsid w:val="15DB278A"/>
    <w:rsid w:val="15E151E1"/>
    <w:rsid w:val="15EC997C"/>
    <w:rsid w:val="160B1E81"/>
    <w:rsid w:val="16256EB6"/>
    <w:rsid w:val="1625BDFC"/>
    <w:rsid w:val="162FC735"/>
    <w:rsid w:val="163DCFE8"/>
    <w:rsid w:val="16442FAC"/>
    <w:rsid w:val="165A0E76"/>
    <w:rsid w:val="168F2B57"/>
    <w:rsid w:val="16A2B649"/>
    <w:rsid w:val="16ACB467"/>
    <w:rsid w:val="16C66AC4"/>
    <w:rsid w:val="170A604F"/>
    <w:rsid w:val="173114BA"/>
    <w:rsid w:val="17694D06"/>
    <w:rsid w:val="17A1055A"/>
    <w:rsid w:val="17AA8B06"/>
    <w:rsid w:val="17B80ADE"/>
    <w:rsid w:val="17C8FCCB"/>
    <w:rsid w:val="17DC5AC5"/>
    <w:rsid w:val="17E90181"/>
    <w:rsid w:val="17FA7A28"/>
    <w:rsid w:val="1808F1BD"/>
    <w:rsid w:val="18260019"/>
    <w:rsid w:val="18352791"/>
    <w:rsid w:val="185168CC"/>
    <w:rsid w:val="186CDBA9"/>
    <w:rsid w:val="186D2A84"/>
    <w:rsid w:val="1891EF41"/>
    <w:rsid w:val="18945EBE"/>
    <w:rsid w:val="189A0D60"/>
    <w:rsid w:val="189B2DF8"/>
    <w:rsid w:val="18B3C190"/>
    <w:rsid w:val="18F65C61"/>
    <w:rsid w:val="18FAC8A4"/>
    <w:rsid w:val="1901A344"/>
    <w:rsid w:val="192A6095"/>
    <w:rsid w:val="192FBC16"/>
    <w:rsid w:val="19948493"/>
    <w:rsid w:val="19A35AD8"/>
    <w:rsid w:val="19F24E10"/>
    <w:rsid w:val="1A4907EE"/>
    <w:rsid w:val="1A59C105"/>
    <w:rsid w:val="1A90835C"/>
    <w:rsid w:val="1A922CC2"/>
    <w:rsid w:val="1A9BA343"/>
    <w:rsid w:val="1ACB8C77"/>
    <w:rsid w:val="1ACE63D7"/>
    <w:rsid w:val="1ACF894D"/>
    <w:rsid w:val="1ADE8FA4"/>
    <w:rsid w:val="1AE006C2"/>
    <w:rsid w:val="1AED243E"/>
    <w:rsid w:val="1AFED7A2"/>
    <w:rsid w:val="1B1F4AA4"/>
    <w:rsid w:val="1B35219B"/>
    <w:rsid w:val="1B4B34E9"/>
    <w:rsid w:val="1B666E07"/>
    <w:rsid w:val="1B9F8F10"/>
    <w:rsid w:val="1BE09632"/>
    <w:rsid w:val="1C00CA3C"/>
    <w:rsid w:val="1C0AC0B2"/>
    <w:rsid w:val="1C113A18"/>
    <w:rsid w:val="1C251ECB"/>
    <w:rsid w:val="1C4282D6"/>
    <w:rsid w:val="1C4E99AE"/>
    <w:rsid w:val="1C7A6005"/>
    <w:rsid w:val="1C935BB3"/>
    <w:rsid w:val="1CC829B9"/>
    <w:rsid w:val="1CD0F1FC"/>
    <w:rsid w:val="1CEBDF64"/>
    <w:rsid w:val="1CF3D98A"/>
    <w:rsid w:val="1CF8200A"/>
    <w:rsid w:val="1D251973"/>
    <w:rsid w:val="1D80A8B0"/>
    <w:rsid w:val="1D8732B3"/>
    <w:rsid w:val="1DAE1197"/>
    <w:rsid w:val="1DBDD6A2"/>
    <w:rsid w:val="1DC0EF2C"/>
    <w:rsid w:val="1DD88E8A"/>
    <w:rsid w:val="1DDCDE6A"/>
    <w:rsid w:val="1DE1F705"/>
    <w:rsid w:val="1DF32152"/>
    <w:rsid w:val="1E032D39"/>
    <w:rsid w:val="1E0FCF7C"/>
    <w:rsid w:val="1E16073A"/>
    <w:rsid w:val="1E1DC9A3"/>
    <w:rsid w:val="1E2C4D13"/>
    <w:rsid w:val="1E365E78"/>
    <w:rsid w:val="1E79C878"/>
    <w:rsid w:val="1EC0E9D4"/>
    <w:rsid w:val="1EE70ABA"/>
    <w:rsid w:val="1EEFBDD1"/>
    <w:rsid w:val="1F0FC612"/>
    <w:rsid w:val="1F16CECE"/>
    <w:rsid w:val="1F182280"/>
    <w:rsid w:val="1F3CEDD2"/>
    <w:rsid w:val="1F44E14A"/>
    <w:rsid w:val="1F59A703"/>
    <w:rsid w:val="1F5A8695"/>
    <w:rsid w:val="1F745EEB"/>
    <w:rsid w:val="1F771625"/>
    <w:rsid w:val="1F809BFE"/>
    <w:rsid w:val="1FD248C5"/>
    <w:rsid w:val="1FD3C756"/>
    <w:rsid w:val="1FD9E523"/>
    <w:rsid w:val="1FF2BBC7"/>
    <w:rsid w:val="2017FF8F"/>
    <w:rsid w:val="2021F060"/>
    <w:rsid w:val="2031504A"/>
    <w:rsid w:val="20530F0F"/>
    <w:rsid w:val="2058E474"/>
    <w:rsid w:val="205A5543"/>
    <w:rsid w:val="2061BD57"/>
    <w:rsid w:val="206DA998"/>
    <w:rsid w:val="20E5B259"/>
    <w:rsid w:val="21102F4C"/>
    <w:rsid w:val="2130215D"/>
    <w:rsid w:val="2163EDD5"/>
    <w:rsid w:val="216D3576"/>
    <w:rsid w:val="216E1926"/>
    <w:rsid w:val="21AB8AD2"/>
    <w:rsid w:val="21AFFCE1"/>
    <w:rsid w:val="21C1AEF3"/>
    <w:rsid w:val="21C5F45D"/>
    <w:rsid w:val="21CF026A"/>
    <w:rsid w:val="21D7FB94"/>
    <w:rsid w:val="21E34879"/>
    <w:rsid w:val="21E9B50E"/>
    <w:rsid w:val="21F88A96"/>
    <w:rsid w:val="22062574"/>
    <w:rsid w:val="222CDA13"/>
    <w:rsid w:val="223C52C4"/>
    <w:rsid w:val="224FC342"/>
    <w:rsid w:val="22795CF9"/>
    <w:rsid w:val="229E3071"/>
    <w:rsid w:val="22A9AE0B"/>
    <w:rsid w:val="22D5BF45"/>
    <w:rsid w:val="22F810C8"/>
    <w:rsid w:val="22FFBE36"/>
    <w:rsid w:val="2309E987"/>
    <w:rsid w:val="230DA113"/>
    <w:rsid w:val="23584B92"/>
    <w:rsid w:val="23653EB1"/>
    <w:rsid w:val="23A4EDCC"/>
    <w:rsid w:val="23AFFD3B"/>
    <w:rsid w:val="23C6D652"/>
    <w:rsid w:val="23D239E3"/>
    <w:rsid w:val="23F67437"/>
    <w:rsid w:val="2411E94C"/>
    <w:rsid w:val="2418526D"/>
    <w:rsid w:val="241D531B"/>
    <w:rsid w:val="24317ACA"/>
    <w:rsid w:val="243A00D2"/>
    <w:rsid w:val="24501A6D"/>
    <w:rsid w:val="249BF40A"/>
    <w:rsid w:val="24A3BDBA"/>
    <w:rsid w:val="24A873C3"/>
    <w:rsid w:val="24C7A6F0"/>
    <w:rsid w:val="24CBE522"/>
    <w:rsid w:val="24D166C6"/>
    <w:rsid w:val="24E909FC"/>
    <w:rsid w:val="24F22375"/>
    <w:rsid w:val="24F9DC52"/>
    <w:rsid w:val="25249EF9"/>
    <w:rsid w:val="2556BCA4"/>
    <w:rsid w:val="255C90CE"/>
    <w:rsid w:val="25673A28"/>
    <w:rsid w:val="25844F57"/>
    <w:rsid w:val="2596BFC0"/>
    <w:rsid w:val="2599CFD0"/>
    <w:rsid w:val="25C1AA8A"/>
    <w:rsid w:val="25FE153F"/>
    <w:rsid w:val="2607F0C2"/>
    <w:rsid w:val="261B744E"/>
    <w:rsid w:val="262B9C4D"/>
    <w:rsid w:val="263F8E1B"/>
    <w:rsid w:val="265FD243"/>
    <w:rsid w:val="269221FB"/>
    <w:rsid w:val="26935001"/>
    <w:rsid w:val="26993BAA"/>
    <w:rsid w:val="26C28A92"/>
    <w:rsid w:val="26C9022D"/>
    <w:rsid w:val="26CD0312"/>
    <w:rsid w:val="26ED994C"/>
    <w:rsid w:val="26F0C1E2"/>
    <w:rsid w:val="2709DAA5"/>
    <w:rsid w:val="270C86BB"/>
    <w:rsid w:val="27208595"/>
    <w:rsid w:val="272F65AE"/>
    <w:rsid w:val="2754F3DD"/>
    <w:rsid w:val="276CE6CF"/>
    <w:rsid w:val="2771A194"/>
    <w:rsid w:val="27825582"/>
    <w:rsid w:val="27A9FB15"/>
    <w:rsid w:val="27BB82ED"/>
    <w:rsid w:val="27C27DEF"/>
    <w:rsid w:val="27DD5AAA"/>
    <w:rsid w:val="27E11236"/>
    <w:rsid w:val="27FA3527"/>
    <w:rsid w:val="2801A3F9"/>
    <w:rsid w:val="282FDFBD"/>
    <w:rsid w:val="285E5AF3"/>
    <w:rsid w:val="2861DF2D"/>
    <w:rsid w:val="28749E2E"/>
    <w:rsid w:val="2894D094"/>
    <w:rsid w:val="28C9E55A"/>
    <w:rsid w:val="28EEE149"/>
    <w:rsid w:val="28F0C43E"/>
    <w:rsid w:val="292F8EE3"/>
    <w:rsid w:val="293990F2"/>
    <w:rsid w:val="293A8F84"/>
    <w:rsid w:val="2952F985"/>
    <w:rsid w:val="29633D0F"/>
    <w:rsid w:val="29918000"/>
    <w:rsid w:val="299D745A"/>
    <w:rsid w:val="29CC3427"/>
    <w:rsid w:val="29D35DD6"/>
    <w:rsid w:val="2A3C75E4"/>
    <w:rsid w:val="2A3DB3BB"/>
    <w:rsid w:val="2A4E1D1E"/>
    <w:rsid w:val="2A7306D4"/>
    <w:rsid w:val="2AB03E12"/>
    <w:rsid w:val="2ACA849F"/>
    <w:rsid w:val="2ACB5F44"/>
    <w:rsid w:val="2AD18662"/>
    <w:rsid w:val="2AE19BD7"/>
    <w:rsid w:val="2AFF0D70"/>
    <w:rsid w:val="2B12E1A2"/>
    <w:rsid w:val="2B14FB6C"/>
    <w:rsid w:val="2B321D08"/>
    <w:rsid w:val="2B4C45FA"/>
    <w:rsid w:val="2B4EB6C1"/>
    <w:rsid w:val="2B5568B5"/>
    <w:rsid w:val="2B5973DC"/>
    <w:rsid w:val="2B73B5C0"/>
    <w:rsid w:val="2B9891FC"/>
    <w:rsid w:val="2BE74242"/>
    <w:rsid w:val="2C00AC39"/>
    <w:rsid w:val="2C01861C"/>
    <w:rsid w:val="2C07A168"/>
    <w:rsid w:val="2C26626D"/>
    <w:rsid w:val="2C52EBE2"/>
    <w:rsid w:val="2C5C542C"/>
    <w:rsid w:val="2C72BB44"/>
    <w:rsid w:val="2C79EC50"/>
    <w:rsid w:val="2C9ADDD1"/>
    <w:rsid w:val="2CC920C2"/>
    <w:rsid w:val="2CCB9CBD"/>
    <w:rsid w:val="2CCDED69"/>
    <w:rsid w:val="2CDDA90B"/>
    <w:rsid w:val="2CE8165B"/>
    <w:rsid w:val="2CEBC5DA"/>
    <w:rsid w:val="2CF4E1C2"/>
    <w:rsid w:val="2D175431"/>
    <w:rsid w:val="2D1DD185"/>
    <w:rsid w:val="2D432AC3"/>
    <w:rsid w:val="2D4BD012"/>
    <w:rsid w:val="2D714395"/>
    <w:rsid w:val="2D849A43"/>
    <w:rsid w:val="2D88EA34"/>
    <w:rsid w:val="2DABD965"/>
    <w:rsid w:val="2DD20C97"/>
    <w:rsid w:val="2DEE16BF"/>
    <w:rsid w:val="2DF8CB4B"/>
    <w:rsid w:val="2E3F9305"/>
    <w:rsid w:val="2E6D0F30"/>
    <w:rsid w:val="2E822027"/>
    <w:rsid w:val="2E9B83AF"/>
    <w:rsid w:val="2E9D30A0"/>
    <w:rsid w:val="2EB6E1D6"/>
    <w:rsid w:val="2EDC10C0"/>
    <w:rsid w:val="2EE3DFB2"/>
    <w:rsid w:val="2F0AA6DB"/>
    <w:rsid w:val="2F13DD24"/>
    <w:rsid w:val="2F203C90"/>
    <w:rsid w:val="2F5C9368"/>
    <w:rsid w:val="2F6005C2"/>
    <w:rsid w:val="2F71129D"/>
    <w:rsid w:val="2F792E1F"/>
    <w:rsid w:val="2F7F88EB"/>
    <w:rsid w:val="2FCCF675"/>
    <w:rsid w:val="2FD27E93"/>
    <w:rsid w:val="2FD40722"/>
    <w:rsid w:val="2FDD2EC8"/>
    <w:rsid w:val="2FEF2279"/>
    <w:rsid w:val="3013ABE2"/>
    <w:rsid w:val="3014654C"/>
    <w:rsid w:val="301FB71D"/>
    <w:rsid w:val="302848E4"/>
    <w:rsid w:val="303BC4F3"/>
    <w:rsid w:val="303C8EF9"/>
    <w:rsid w:val="3040109C"/>
    <w:rsid w:val="304F32EA"/>
    <w:rsid w:val="30A04510"/>
    <w:rsid w:val="30A8E457"/>
    <w:rsid w:val="30BB81B5"/>
    <w:rsid w:val="30BBC44A"/>
    <w:rsid w:val="30D1ECB7"/>
    <w:rsid w:val="30ECCB15"/>
    <w:rsid w:val="3103C3A9"/>
    <w:rsid w:val="310CE2FE"/>
    <w:rsid w:val="312C0A56"/>
    <w:rsid w:val="312D5FFB"/>
    <w:rsid w:val="3144AE2A"/>
    <w:rsid w:val="3187EF10"/>
    <w:rsid w:val="319C91E5"/>
    <w:rsid w:val="31BB877E"/>
    <w:rsid w:val="31E03CD2"/>
    <w:rsid w:val="31E3107B"/>
    <w:rsid w:val="32207364"/>
    <w:rsid w:val="3229C78C"/>
    <w:rsid w:val="32435C94"/>
    <w:rsid w:val="32577E83"/>
    <w:rsid w:val="326DBD18"/>
    <w:rsid w:val="3275E987"/>
    <w:rsid w:val="327F4A88"/>
    <w:rsid w:val="32C9CF4B"/>
    <w:rsid w:val="32DE7E81"/>
    <w:rsid w:val="330F4367"/>
    <w:rsid w:val="33486DD9"/>
    <w:rsid w:val="3353B2CE"/>
    <w:rsid w:val="33703918"/>
    <w:rsid w:val="337E8903"/>
    <w:rsid w:val="3382E5B7"/>
    <w:rsid w:val="3398AA17"/>
    <w:rsid w:val="33BCF34F"/>
    <w:rsid w:val="33C4FD3B"/>
    <w:rsid w:val="33DFCE70"/>
    <w:rsid w:val="344E4200"/>
    <w:rsid w:val="346296B6"/>
    <w:rsid w:val="348A1C79"/>
    <w:rsid w:val="3495AC2C"/>
    <w:rsid w:val="34973807"/>
    <w:rsid w:val="34C2939C"/>
    <w:rsid w:val="34D23C59"/>
    <w:rsid w:val="34D4E90C"/>
    <w:rsid w:val="34EBEEAB"/>
    <w:rsid w:val="350910CD"/>
    <w:rsid w:val="350C0979"/>
    <w:rsid w:val="354E3CA8"/>
    <w:rsid w:val="35532136"/>
    <w:rsid w:val="358F1F45"/>
    <w:rsid w:val="35A32334"/>
    <w:rsid w:val="35B05146"/>
    <w:rsid w:val="35B6EB4A"/>
    <w:rsid w:val="35CA7B6E"/>
    <w:rsid w:val="35E05421"/>
    <w:rsid w:val="35E86FA3"/>
    <w:rsid w:val="35EA0E15"/>
    <w:rsid w:val="35FE6717"/>
    <w:rsid w:val="3600D11E"/>
    <w:rsid w:val="361D1E5F"/>
    <w:rsid w:val="3626AA14"/>
    <w:rsid w:val="362C506E"/>
    <w:rsid w:val="36358631"/>
    <w:rsid w:val="36800E9B"/>
    <w:rsid w:val="369B625E"/>
    <w:rsid w:val="36ABD07D"/>
    <w:rsid w:val="36D6C4BF"/>
    <w:rsid w:val="36D808D0"/>
    <w:rsid w:val="36DB44A3"/>
    <w:rsid w:val="36E09BE2"/>
    <w:rsid w:val="36F6DF1D"/>
    <w:rsid w:val="373248A9"/>
    <w:rsid w:val="3742AFC4"/>
    <w:rsid w:val="37B0408D"/>
    <w:rsid w:val="37B1CFD2"/>
    <w:rsid w:val="37B8EEC0"/>
    <w:rsid w:val="37CD4CEE"/>
    <w:rsid w:val="37D53A74"/>
    <w:rsid w:val="37E3D8AD"/>
    <w:rsid w:val="37F73094"/>
    <w:rsid w:val="3802D7A6"/>
    <w:rsid w:val="3813FBCE"/>
    <w:rsid w:val="38639185"/>
    <w:rsid w:val="389860C4"/>
    <w:rsid w:val="38CB69B6"/>
    <w:rsid w:val="3910057B"/>
    <w:rsid w:val="392D1AB2"/>
    <w:rsid w:val="393871E0"/>
    <w:rsid w:val="394DA033"/>
    <w:rsid w:val="395DA2D4"/>
    <w:rsid w:val="395FC3D0"/>
    <w:rsid w:val="3970FF15"/>
    <w:rsid w:val="39710AD5"/>
    <w:rsid w:val="3991A6E1"/>
    <w:rsid w:val="39A41822"/>
    <w:rsid w:val="39B05112"/>
    <w:rsid w:val="39BD9B79"/>
    <w:rsid w:val="39D95CDD"/>
    <w:rsid w:val="39DF800B"/>
    <w:rsid w:val="39E35625"/>
    <w:rsid w:val="3A12E565"/>
    <w:rsid w:val="3A183CA4"/>
    <w:rsid w:val="3A269259"/>
    <w:rsid w:val="3A45F178"/>
    <w:rsid w:val="3A4DE704"/>
    <w:rsid w:val="3A8FD24B"/>
    <w:rsid w:val="3AD44241"/>
    <w:rsid w:val="3AD63DCF"/>
    <w:rsid w:val="3AF1F72D"/>
    <w:rsid w:val="3AF60017"/>
    <w:rsid w:val="3AF82335"/>
    <w:rsid w:val="3AF95DFD"/>
    <w:rsid w:val="3B0258FB"/>
    <w:rsid w:val="3B35C697"/>
    <w:rsid w:val="3B56741B"/>
    <w:rsid w:val="3B6E90EF"/>
    <w:rsid w:val="3B8D180A"/>
    <w:rsid w:val="3B9B3247"/>
    <w:rsid w:val="3BAC284B"/>
    <w:rsid w:val="3BCA5040"/>
    <w:rsid w:val="3BD00186"/>
    <w:rsid w:val="3C03BD9E"/>
    <w:rsid w:val="3C07326B"/>
    <w:rsid w:val="3C2015AE"/>
    <w:rsid w:val="3C432B78"/>
    <w:rsid w:val="3C8C5FE3"/>
    <w:rsid w:val="3CA8AB97"/>
    <w:rsid w:val="3CE44F3B"/>
    <w:rsid w:val="3CEF501F"/>
    <w:rsid w:val="3CF7FB8E"/>
    <w:rsid w:val="3D2DE4A2"/>
    <w:rsid w:val="3D35C7B9"/>
    <w:rsid w:val="3D41F7D2"/>
    <w:rsid w:val="3D4AAD38"/>
    <w:rsid w:val="3D5E1523"/>
    <w:rsid w:val="3D6692DB"/>
    <w:rsid w:val="3D688C3B"/>
    <w:rsid w:val="3DB617E9"/>
    <w:rsid w:val="3DC1FD2F"/>
    <w:rsid w:val="3DDEFBD9"/>
    <w:rsid w:val="3DF0509F"/>
    <w:rsid w:val="3E014906"/>
    <w:rsid w:val="3E175FF9"/>
    <w:rsid w:val="3E2D02F6"/>
    <w:rsid w:val="3E502517"/>
    <w:rsid w:val="3E6D6759"/>
    <w:rsid w:val="3E79286F"/>
    <w:rsid w:val="3E8A6BD1"/>
    <w:rsid w:val="3EA660DE"/>
    <w:rsid w:val="3EC9B503"/>
    <w:rsid w:val="3EFEBF07"/>
    <w:rsid w:val="3F49A8CA"/>
    <w:rsid w:val="3F4EB262"/>
    <w:rsid w:val="3F4F90EF"/>
    <w:rsid w:val="3F55AF83"/>
    <w:rsid w:val="3F5CE478"/>
    <w:rsid w:val="3F74A51C"/>
    <w:rsid w:val="3FCF29AF"/>
    <w:rsid w:val="3FE04C59"/>
    <w:rsid w:val="3FEEEA92"/>
    <w:rsid w:val="401BEFFD"/>
    <w:rsid w:val="4026F0E1"/>
    <w:rsid w:val="4033CB14"/>
    <w:rsid w:val="404BF84A"/>
    <w:rsid w:val="40733CE3"/>
    <w:rsid w:val="40799894"/>
    <w:rsid w:val="40BB8F93"/>
    <w:rsid w:val="411424FC"/>
    <w:rsid w:val="412D75BC"/>
    <w:rsid w:val="414679D3"/>
    <w:rsid w:val="41661D18"/>
    <w:rsid w:val="41742F34"/>
    <w:rsid w:val="4184CE98"/>
    <w:rsid w:val="418AA0C3"/>
    <w:rsid w:val="41C94C85"/>
    <w:rsid w:val="41E793D5"/>
    <w:rsid w:val="41EA91F0"/>
    <w:rsid w:val="420974F2"/>
    <w:rsid w:val="422F5932"/>
    <w:rsid w:val="423991C4"/>
    <w:rsid w:val="427512F2"/>
    <w:rsid w:val="42956E52"/>
    <w:rsid w:val="42974275"/>
    <w:rsid w:val="42AC45DE"/>
    <w:rsid w:val="42DC29D4"/>
    <w:rsid w:val="42E24A34"/>
    <w:rsid w:val="43046FE2"/>
    <w:rsid w:val="43071AC2"/>
    <w:rsid w:val="430C852F"/>
    <w:rsid w:val="430FFF95"/>
    <w:rsid w:val="431BF6C3"/>
    <w:rsid w:val="4332E0DA"/>
    <w:rsid w:val="436221B2"/>
    <w:rsid w:val="4374F41B"/>
    <w:rsid w:val="43836436"/>
    <w:rsid w:val="43F04A51"/>
    <w:rsid w:val="440705D3"/>
    <w:rsid w:val="442920A6"/>
    <w:rsid w:val="44351500"/>
    <w:rsid w:val="4436905E"/>
    <w:rsid w:val="4439FA4E"/>
    <w:rsid w:val="444BC5BE"/>
    <w:rsid w:val="4478F80D"/>
    <w:rsid w:val="447E1A95"/>
    <w:rsid w:val="4491578C"/>
    <w:rsid w:val="44B2FF75"/>
    <w:rsid w:val="44B6E7A4"/>
    <w:rsid w:val="44BF84D8"/>
    <w:rsid w:val="44DDDFA8"/>
    <w:rsid w:val="44E0B5FF"/>
    <w:rsid w:val="44F97FAC"/>
    <w:rsid w:val="44FEB9E4"/>
    <w:rsid w:val="45129CA4"/>
    <w:rsid w:val="45197466"/>
    <w:rsid w:val="4529BEB3"/>
    <w:rsid w:val="452B1CE5"/>
    <w:rsid w:val="452E54B7"/>
    <w:rsid w:val="455D8592"/>
    <w:rsid w:val="456A22BA"/>
    <w:rsid w:val="45713286"/>
    <w:rsid w:val="4573957B"/>
    <w:rsid w:val="4578095F"/>
    <w:rsid w:val="45813E6D"/>
    <w:rsid w:val="4594EC54"/>
    <w:rsid w:val="45A2D634"/>
    <w:rsid w:val="45A344C3"/>
    <w:rsid w:val="45CD0F14"/>
    <w:rsid w:val="45D4FC9A"/>
    <w:rsid w:val="45E1D1E9"/>
    <w:rsid w:val="4619EAF6"/>
    <w:rsid w:val="461FA898"/>
    <w:rsid w:val="462CAD8E"/>
    <w:rsid w:val="463659C0"/>
    <w:rsid w:val="46398769"/>
    <w:rsid w:val="46411CAC"/>
    <w:rsid w:val="466536AA"/>
    <w:rsid w:val="4666E65E"/>
    <w:rsid w:val="466A819C"/>
    <w:rsid w:val="466BFDC9"/>
    <w:rsid w:val="467DD548"/>
    <w:rsid w:val="46963265"/>
    <w:rsid w:val="469A8A45"/>
    <w:rsid w:val="46BB39CE"/>
    <w:rsid w:val="46E205B3"/>
    <w:rsid w:val="46F2701F"/>
    <w:rsid w:val="46FA4401"/>
    <w:rsid w:val="46FDE644"/>
    <w:rsid w:val="472AFA79"/>
    <w:rsid w:val="473EA695"/>
    <w:rsid w:val="475059F9"/>
    <w:rsid w:val="4755FEF6"/>
    <w:rsid w:val="47B179B3"/>
    <w:rsid w:val="47B931F7"/>
    <w:rsid w:val="47DFCE8B"/>
    <w:rsid w:val="47E1D853"/>
    <w:rsid w:val="47E97674"/>
    <w:rsid w:val="47EB5E3E"/>
    <w:rsid w:val="4835D913"/>
    <w:rsid w:val="489977A0"/>
    <w:rsid w:val="48A45DE3"/>
    <w:rsid w:val="492F2103"/>
    <w:rsid w:val="49360633"/>
    <w:rsid w:val="495407E4"/>
    <w:rsid w:val="497B3462"/>
    <w:rsid w:val="49A78FDD"/>
    <w:rsid w:val="49D595BF"/>
    <w:rsid w:val="49EB6C1C"/>
    <w:rsid w:val="49F80403"/>
    <w:rsid w:val="4A30F6B5"/>
    <w:rsid w:val="4A54AF90"/>
    <w:rsid w:val="4A59A034"/>
    <w:rsid w:val="4A61C935"/>
    <w:rsid w:val="4AA30717"/>
    <w:rsid w:val="4AB34E65"/>
    <w:rsid w:val="4AD038FC"/>
    <w:rsid w:val="4AD36599"/>
    <w:rsid w:val="4AFE6EB7"/>
    <w:rsid w:val="4B176F4D"/>
    <w:rsid w:val="4B211736"/>
    <w:rsid w:val="4B22FF00"/>
    <w:rsid w:val="4B4FF010"/>
    <w:rsid w:val="4B536F88"/>
    <w:rsid w:val="4B842741"/>
    <w:rsid w:val="4B964218"/>
    <w:rsid w:val="4B978BA4"/>
    <w:rsid w:val="4BB118A7"/>
    <w:rsid w:val="4BC2671F"/>
    <w:rsid w:val="4BC59A1E"/>
    <w:rsid w:val="4BC8987C"/>
    <w:rsid w:val="4BDBFEA5"/>
    <w:rsid w:val="4BECC73D"/>
    <w:rsid w:val="4BFD9996"/>
    <w:rsid w:val="4C05EF9A"/>
    <w:rsid w:val="4C34328B"/>
    <w:rsid w:val="4C3ED778"/>
    <w:rsid w:val="4C50F017"/>
    <w:rsid w:val="4C56D7A3"/>
    <w:rsid w:val="4C6E8FCD"/>
    <w:rsid w:val="4C70BE8F"/>
    <w:rsid w:val="4C8E563B"/>
    <w:rsid w:val="4C9A3F18"/>
    <w:rsid w:val="4CB33FAE"/>
    <w:rsid w:val="4CF78DCE"/>
    <w:rsid w:val="4D1B11E5"/>
    <w:rsid w:val="4D257584"/>
    <w:rsid w:val="4D2D2B15"/>
    <w:rsid w:val="4D3F8B62"/>
    <w:rsid w:val="4D689777"/>
    <w:rsid w:val="4DADE819"/>
    <w:rsid w:val="4DF2A804"/>
    <w:rsid w:val="4E089021"/>
    <w:rsid w:val="4E0A602E"/>
    <w:rsid w:val="4E0DCE36"/>
    <w:rsid w:val="4E0DFD88"/>
    <w:rsid w:val="4E15DF95"/>
    <w:rsid w:val="4E29D010"/>
    <w:rsid w:val="4E468AB4"/>
    <w:rsid w:val="4E4AE4C5"/>
    <w:rsid w:val="4E6E4FC1"/>
    <w:rsid w:val="4E9D79D1"/>
    <w:rsid w:val="4ECBE044"/>
    <w:rsid w:val="4EE2CA1C"/>
    <w:rsid w:val="4F1FE210"/>
    <w:rsid w:val="4F40B5DE"/>
    <w:rsid w:val="4F53ADC6"/>
    <w:rsid w:val="4F581039"/>
    <w:rsid w:val="4F646F3D"/>
    <w:rsid w:val="4FA46082"/>
    <w:rsid w:val="4FA9CDE9"/>
    <w:rsid w:val="4FE211F5"/>
    <w:rsid w:val="4FF538EC"/>
    <w:rsid w:val="500DD0F0"/>
    <w:rsid w:val="50621C14"/>
    <w:rsid w:val="50796B0E"/>
    <w:rsid w:val="50810A86"/>
    <w:rsid w:val="50966734"/>
    <w:rsid w:val="509871C4"/>
    <w:rsid w:val="50A03839"/>
    <w:rsid w:val="50A9A5CE"/>
    <w:rsid w:val="50C6F103"/>
    <w:rsid w:val="50D5D64B"/>
    <w:rsid w:val="50E1BB94"/>
    <w:rsid w:val="50F9F61A"/>
    <w:rsid w:val="510F9134"/>
    <w:rsid w:val="51139808"/>
    <w:rsid w:val="5117AF41"/>
    <w:rsid w:val="5132C072"/>
    <w:rsid w:val="51411818"/>
    <w:rsid w:val="517BC014"/>
    <w:rsid w:val="518215E1"/>
    <w:rsid w:val="5182B508"/>
    <w:rsid w:val="5186B0D1"/>
    <w:rsid w:val="518E7FC3"/>
    <w:rsid w:val="519961A6"/>
    <w:rsid w:val="51B87D55"/>
    <w:rsid w:val="51BD0DB2"/>
    <w:rsid w:val="52028012"/>
    <w:rsid w:val="5202ECF6"/>
    <w:rsid w:val="5203A769"/>
    <w:rsid w:val="5229A54E"/>
    <w:rsid w:val="523522C6"/>
    <w:rsid w:val="52426A80"/>
    <w:rsid w:val="5248D76E"/>
    <w:rsid w:val="52547119"/>
    <w:rsid w:val="52599C45"/>
    <w:rsid w:val="52979311"/>
    <w:rsid w:val="52B98567"/>
    <w:rsid w:val="52C66383"/>
    <w:rsid w:val="52CE06AD"/>
    <w:rsid w:val="52F23A13"/>
    <w:rsid w:val="5309809C"/>
    <w:rsid w:val="531FF583"/>
    <w:rsid w:val="53228132"/>
    <w:rsid w:val="532E10E5"/>
    <w:rsid w:val="535E60AD"/>
    <w:rsid w:val="53666EF3"/>
    <w:rsid w:val="537FEBC1"/>
    <w:rsid w:val="5399BCD6"/>
    <w:rsid w:val="53A1AA5C"/>
    <w:rsid w:val="53ADC32E"/>
    <w:rsid w:val="53B7CACA"/>
    <w:rsid w:val="53BD3144"/>
    <w:rsid w:val="53EDC62E"/>
    <w:rsid w:val="5428EEF6"/>
    <w:rsid w:val="544F5003"/>
    <w:rsid w:val="549B9C05"/>
    <w:rsid w:val="54BBA848"/>
    <w:rsid w:val="54BED326"/>
    <w:rsid w:val="54C9E146"/>
    <w:rsid w:val="54DAD37D"/>
    <w:rsid w:val="55144FAC"/>
    <w:rsid w:val="5522F2E9"/>
    <w:rsid w:val="553D45E7"/>
    <w:rsid w:val="556BE2E7"/>
    <w:rsid w:val="558C11DB"/>
    <w:rsid w:val="559FD1A1"/>
    <w:rsid w:val="55E30257"/>
    <w:rsid w:val="55E57A93"/>
    <w:rsid w:val="5601F7F0"/>
    <w:rsid w:val="5602D26E"/>
    <w:rsid w:val="56118041"/>
    <w:rsid w:val="5612F112"/>
    <w:rsid w:val="56365A8E"/>
    <w:rsid w:val="565A21F4"/>
    <w:rsid w:val="565FA5DA"/>
    <w:rsid w:val="5687FB18"/>
    <w:rsid w:val="56A2CBC9"/>
    <w:rsid w:val="56C8F989"/>
    <w:rsid w:val="56D94B1E"/>
    <w:rsid w:val="56E7364B"/>
    <w:rsid w:val="572308B9"/>
    <w:rsid w:val="574630AD"/>
    <w:rsid w:val="57667DC3"/>
    <w:rsid w:val="57693930"/>
    <w:rsid w:val="57839F5F"/>
    <w:rsid w:val="57998A4A"/>
    <w:rsid w:val="579F4CC1"/>
    <w:rsid w:val="57A177D0"/>
    <w:rsid w:val="57D33CC7"/>
    <w:rsid w:val="57D99878"/>
    <w:rsid w:val="57F3490A"/>
    <w:rsid w:val="57FDC147"/>
    <w:rsid w:val="5827EFFC"/>
    <w:rsid w:val="5840E7FC"/>
    <w:rsid w:val="585DE868"/>
    <w:rsid w:val="5879E757"/>
    <w:rsid w:val="5881B92A"/>
    <w:rsid w:val="589FDF81"/>
    <w:rsid w:val="58AB712F"/>
    <w:rsid w:val="58E2010E"/>
    <w:rsid w:val="5905A5D4"/>
    <w:rsid w:val="598F196B"/>
    <w:rsid w:val="5991C2B6"/>
    <w:rsid w:val="59C3C05D"/>
    <w:rsid w:val="59CAD8EC"/>
    <w:rsid w:val="59DA6C8B"/>
    <w:rsid w:val="5A02E0CA"/>
    <w:rsid w:val="5A10EBE0"/>
    <w:rsid w:val="5A15B7B8"/>
    <w:rsid w:val="5A36BF21"/>
    <w:rsid w:val="5A3F9916"/>
    <w:rsid w:val="5A58A69F"/>
    <w:rsid w:val="5A6B28E0"/>
    <w:rsid w:val="5A7AC217"/>
    <w:rsid w:val="5AAAC576"/>
    <w:rsid w:val="5AAFA5E3"/>
    <w:rsid w:val="5ADCEE40"/>
    <w:rsid w:val="5AF37EDF"/>
    <w:rsid w:val="5AF3D765"/>
    <w:rsid w:val="5AFD9429"/>
    <w:rsid w:val="5B0DD22E"/>
    <w:rsid w:val="5B2D9317"/>
    <w:rsid w:val="5B38BD28"/>
    <w:rsid w:val="5B4126FC"/>
    <w:rsid w:val="5B935F0E"/>
    <w:rsid w:val="5BC19A73"/>
    <w:rsid w:val="5BC294F4"/>
    <w:rsid w:val="5BC2DCAF"/>
    <w:rsid w:val="5BC683AE"/>
    <w:rsid w:val="5BC95B49"/>
    <w:rsid w:val="5BCBC59B"/>
    <w:rsid w:val="5BDB246B"/>
    <w:rsid w:val="5BE311F1"/>
    <w:rsid w:val="5C5243DB"/>
    <w:rsid w:val="5C6CFB6D"/>
    <w:rsid w:val="5C74E8F3"/>
    <w:rsid w:val="5C9CC74C"/>
    <w:rsid w:val="5C9E744A"/>
    <w:rsid w:val="5CA480C3"/>
    <w:rsid w:val="5CA8D7E9"/>
    <w:rsid w:val="5CCEF15F"/>
    <w:rsid w:val="5CFAA9DE"/>
    <w:rsid w:val="5D11B3C8"/>
    <w:rsid w:val="5D1703EC"/>
    <w:rsid w:val="5D5BE50A"/>
    <w:rsid w:val="5D76F4CC"/>
    <w:rsid w:val="5DB4AB43"/>
    <w:rsid w:val="5DC04E76"/>
    <w:rsid w:val="5DC407CB"/>
    <w:rsid w:val="5DC8E526"/>
    <w:rsid w:val="5DEE143C"/>
    <w:rsid w:val="5DF63249"/>
    <w:rsid w:val="5E08CBCE"/>
    <w:rsid w:val="5E6533D9"/>
    <w:rsid w:val="5E705DEA"/>
    <w:rsid w:val="5E73DC83"/>
    <w:rsid w:val="5E8960F2"/>
    <w:rsid w:val="5EE45D03"/>
    <w:rsid w:val="5F025138"/>
    <w:rsid w:val="5F128EC9"/>
    <w:rsid w:val="5F37F938"/>
    <w:rsid w:val="5F61E9E1"/>
    <w:rsid w:val="5F6AEA4A"/>
    <w:rsid w:val="5F784592"/>
    <w:rsid w:val="5F9740DA"/>
    <w:rsid w:val="5FA49C2F"/>
    <w:rsid w:val="5FAC89B5"/>
    <w:rsid w:val="5FAFDDA9"/>
    <w:rsid w:val="5FC05758"/>
    <w:rsid w:val="5FD4680E"/>
    <w:rsid w:val="5FD5068E"/>
    <w:rsid w:val="5FF21F6A"/>
    <w:rsid w:val="5FF88D06"/>
    <w:rsid w:val="6003355F"/>
    <w:rsid w:val="6008D32C"/>
    <w:rsid w:val="60121AA7"/>
    <w:rsid w:val="60552EF8"/>
    <w:rsid w:val="607F5F28"/>
    <w:rsid w:val="60802D64"/>
    <w:rsid w:val="608748A6"/>
    <w:rsid w:val="6088EF5B"/>
    <w:rsid w:val="60960617"/>
    <w:rsid w:val="60D5475A"/>
    <w:rsid w:val="60F6F187"/>
    <w:rsid w:val="6138B01C"/>
    <w:rsid w:val="6144AA97"/>
    <w:rsid w:val="6152DA74"/>
    <w:rsid w:val="615D913F"/>
    <w:rsid w:val="615F93D2"/>
    <w:rsid w:val="61A4A38D"/>
    <w:rsid w:val="61AD1FF6"/>
    <w:rsid w:val="61C101B4"/>
    <w:rsid w:val="621BFDC5"/>
    <w:rsid w:val="6230681D"/>
    <w:rsid w:val="625E34EC"/>
    <w:rsid w:val="629078FA"/>
    <w:rsid w:val="62998AA3"/>
    <w:rsid w:val="62B0CE47"/>
    <w:rsid w:val="62B34EAC"/>
    <w:rsid w:val="62B5A5F5"/>
    <w:rsid w:val="62C9A36C"/>
    <w:rsid w:val="62CC2A4C"/>
    <w:rsid w:val="62D77C7D"/>
    <w:rsid w:val="62F4FF9E"/>
    <w:rsid w:val="62F961A0"/>
    <w:rsid w:val="6332F4C5"/>
    <w:rsid w:val="6379472E"/>
    <w:rsid w:val="6387F4E1"/>
    <w:rsid w:val="63A01640"/>
    <w:rsid w:val="63BCA2FA"/>
    <w:rsid w:val="63CD52FF"/>
    <w:rsid w:val="63D462B2"/>
    <w:rsid w:val="63EBA88A"/>
    <w:rsid w:val="63F0FAF0"/>
    <w:rsid w:val="64532B96"/>
    <w:rsid w:val="649233E6"/>
    <w:rsid w:val="64F31964"/>
    <w:rsid w:val="6569773A"/>
    <w:rsid w:val="65703313"/>
    <w:rsid w:val="657712F5"/>
    <w:rsid w:val="65C5AF15"/>
    <w:rsid w:val="65C611C5"/>
    <w:rsid w:val="65C701CD"/>
    <w:rsid w:val="65D74C1A"/>
    <w:rsid w:val="65EAEF6E"/>
    <w:rsid w:val="65FE67A5"/>
    <w:rsid w:val="66038BE3"/>
    <w:rsid w:val="660C213F"/>
    <w:rsid w:val="661BCB39"/>
    <w:rsid w:val="6626B054"/>
    <w:rsid w:val="662F2C4A"/>
    <w:rsid w:val="663AC384"/>
    <w:rsid w:val="6659F77C"/>
    <w:rsid w:val="665F32AE"/>
    <w:rsid w:val="6666EA63"/>
    <w:rsid w:val="667814B0"/>
    <w:rsid w:val="669BE243"/>
    <w:rsid w:val="66A24365"/>
    <w:rsid w:val="66F530A3"/>
    <w:rsid w:val="67096133"/>
    <w:rsid w:val="673D47AA"/>
    <w:rsid w:val="674211D9"/>
    <w:rsid w:val="674D8B34"/>
    <w:rsid w:val="676CFBC6"/>
    <w:rsid w:val="676F0E68"/>
    <w:rsid w:val="67701538"/>
    <w:rsid w:val="679DBD52"/>
    <w:rsid w:val="679F5C44"/>
    <w:rsid w:val="67B6D194"/>
    <w:rsid w:val="67B79B9A"/>
    <w:rsid w:val="67ECB49E"/>
    <w:rsid w:val="67F5D826"/>
    <w:rsid w:val="681B2880"/>
    <w:rsid w:val="68310A9D"/>
    <w:rsid w:val="68468436"/>
    <w:rsid w:val="686697B1"/>
    <w:rsid w:val="6875F33C"/>
    <w:rsid w:val="688A710D"/>
    <w:rsid w:val="688FEAF3"/>
    <w:rsid w:val="68A117FC"/>
    <w:rsid w:val="68A7D3D5"/>
    <w:rsid w:val="68DE93DD"/>
    <w:rsid w:val="68E93664"/>
    <w:rsid w:val="68F24068"/>
    <w:rsid w:val="68FE5EBA"/>
    <w:rsid w:val="6908CC27"/>
    <w:rsid w:val="690ADEC9"/>
    <w:rsid w:val="6914A9A9"/>
    <w:rsid w:val="6934CD8A"/>
    <w:rsid w:val="696C13F5"/>
    <w:rsid w:val="69C5ABDE"/>
    <w:rsid w:val="69D43BA4"/>
    <w:rsid w:val="69D9E427"/>
    <w:rsid w:val="6A098A62"/>
    <w:rsid w:val="6A26416E"/>
    <w:rsid w:val="6A41D2F6"/>
    <w:rsid w:val="6A43A436"/>
    <w:rsid w:val="6A451D9E"/>
    <w:rsid w:val="6A4CF5D6"/>
    <w:rsid w:val="6A5FB6B4"/>
    <w:rsid w:val="6A67652F"/>
    <w:rsid w:val="6A8BF34F"/>
    <w:rsid w:val="6A964606"/>
    <w:rsid w:val="6AAC8699"/>
    <w:rsid w:val="6AB79AA3"/>
    <w:rsid w:val="6AC9EBF7"/>
    <w:rsid w:val="6AD09DEB"/>
    <w:rsid w:val="6AD9D0E6"/>
    <w:rsid w:val="6AF9BCBA"/>
    <w:rsid w:val="6B1269AF"/>
    <w:rsid w:val="6B1EB082"/>
    <w:rsid w:val="6B37FE61"/>
    <w:rsid w:val="6B782EF8"/>
    <w:rsid w:val="6BBCD7D0"/>
    <w:rsid w:val="6BC7ABE3"/>
    <w:rsid w:val="6BCA6118"/>
    <w:rsid w:val="6BE8C637"/>
    <w:rsid w:val="6BFD7D77"/>
    <w:rsid w:val="6C0F9B2C"/>
    <w:rsid w:val="6C2EC030"/>
    <w:rsid w:val="6C3DA03D"/>
    <w:rsid w:val="6C427F8B"/>
    <w:rsid w:val="6C572D41"/>
    <w:rsid w:val="6C575D55"/>
    <w:rsid w:val="6C75A147"/>
    <w:rsid w:val="6C8A42B7"/>
    <w:rsid w:val="6C96CFF1"/>
    <w:rsid w:val="6C9D45CB"/>
    <w:rsid w:val="6CAFE168"/>
    <w:rsid w:val="6CBA80E3"/>
    <w:rsid w:val="6CE07814"/>
    <w:rsid w:val="6D074F73"/>
    <w:rsid w:val="6D20E768"/>
    <w:rsid w:val="6D4EF695"/>
    <w:rsid w:val="6D5BC707"/>
    <w:rsid w:val="6D637C44"/>
    <w:rsid w:val="6D74891F"/>
    <w:rsid w:val="6D9C6AF6"/>
    <w:rsid w:val="6DBDDD2D"/>
    <w:rsid w:val="6DDE4FEC"/>
    <w:rsid w:val="6DEFE2FA"/>
    <w:rsid w:val="6DF01BC7"/>
    <w:rsid w:val="6DF78596"/>
    <w:rsid w:val="6E0812D6"/>
    <w:rsid w:val="6E315D7C"/>
    <w:rsid w:val="6E32A052"/>
    <w:rsid w:val="6E5BF622"/>
    <w:rsid w:val="6E6FA0B2"/>
    <w:rsid w:val="6E7C4875"/>
    <w:rsid w:val="6E83089D"/>
    <w:rsid w:val="6EFFFCFF"/>
    <w:rsid w:val="6F2608C6"/>
    <w:rsid w:val="6F2DAC2B"/>
    <w:rsid w:val="6F30D67D"/>
    <w:rsid w:val="6F452A41"/>
    <w:rsid w:val="6F65789D"/>
    <w:rsid w:val="6F780DAB"/>
    <w:rsid w:val="6F7A204D"/>
    <w:rsid w:val="6FA40F0E"/>
    <w:rsid w:val="6FCD2DDD"/>
    <w:rsid w:val="6FD60034"/>
    <w:rsid w:val="6FD9688F"/>
    <w:rsid w:val="6FE999C3"/>
    <w:rsid w:val="6FF174A1"/>
    <w:rsid w:val="700B7113"/>
    <w:rsid w:val="70399E3B"/>
    <w:rsid w:val="707398D5"/>
    <w:rsid w:val="708C8CDC"/>
    <w:rsid w:val="709582F2"/>
    <w:rsid w:val="70A17A2F"/>
    <w:rsid w:val="70A2C653"/>
    <w:rsid w:val="711F9BBE"/>
    <w:rsid w:val="7135B05B"/>
    <w:rsid w:val="713A6C6F"/>
    <w:rsid w:val="7168E9A2"/>
    <w:rsid w:val="718D4502"/>
    <w:rsid w:val="719B2B6A"/>
    <w:rsid w:val="71BEC366"/>
    <w:rsid w:val="71CA6E41"/>
    <w:rsid w:val="71E70A40"/>
    <w:rsid w:val="7207A0FF"/>
    <w:rsid w:val="72236E34"/>
    <w:rsid w:val="722ED1E5"/>
    <w:rsid w:val="72520814"/>
    <w:rsid w:val="728B09C0"/>
    <w:rsid w:val="729561ED"/>
    <w:rsid w:val="7295A848"/>
    <w:rsid w:val="729922AE"/>
    <w:rsid w:val="729F4622"/>
    <w:rsid w:val="72C6A028"/>
    <w:rsid w:val="72D180BC"/>
    <w:rsid w:val="72F35EF2"/>
    <w:rsid w:val="72F8F652"/>
    <w:rsid w:val="730C874F"/>
    <w:rsid w:val="732B0E43"/>
    <w:rsid w:val="733C4AF0"/>
    <w:rsid w:val="7386D845"/>
    <w:rsid w:val="7388B3F3"/>
    <w:rsid w:val="73AEDC04"/>
    <w:rsid w:val="73B88106"/>
    <w:rsid w:val="73DDF5B2"/>
    <w:rsid w:val="73FD3F45"/>
    <w:rsid w:val="74011D4E"/>
    <w:rsid w:val="7422EBD4"/>
    <w:rsid w:val="7426BA11"/>
    <w:rsid w:val="74AB7BD2"/>
    <w:rsid w:val="74C4E5C4"/>
    <w:rsid w:val="74D67C5D"/>
    <w:rsid w:val="74D95E50"/>
    <w:rsid w:val="74E1478A"/>
    <w:rsid w:val="75261964"/>
    <w:rsid w:val="75287837"/>
    <w:rsid w:val="75302794"/>
    <w:rsid w:val="753976B7"/>
    <w:rsid w:val="7569005B"/>
    <w:rsid w:val="75748B79"/>
    <w:rsid w:val="759FBD55"/>
    <w:rsid w:val="75A9C9CE"/>
    <w:rsid w:val="7612BC9E"/>
    <w:rsid w:val="7642DDC8"/>
    <w:rsid w:val="765CE5F7"/>
    <w:rsid w:val="7668CD74"/>
    <w:rsid w:val="769E17EA"/>
    <w:rsid w:val="76C1E9C5"/>
    <w:rsid w:val="76C7A84C"/>
    <w:rsid w:val="76C8CE4A"/>
    <w:rsid w:val="76E0E9A4"/>
    <w:rsid w:val="76EFB1BD"/>
    <w:rsid w:val="76FCFD9E"/>
    <w:rsid w:val="7706C93A"/>
    <w:rsid w:val="770CB1FC"/>
    <w:rsid w:val="770E44F4"/>
    <w:rsid w:val="772658DD"/>
    <w:rsid w:val="77585B50"/>
    <w:rsid w:val="7772998D"/>
    <w:rsid w:val="777686F0"/>
    <w:rsid w:val="7782E0D0"/>
    <w:rsid w:val="77A4F1DF"/>
    <w:rsid w:val="77C3AB02"/>
    <w:rsid w:val="77CDBF64"/>
    <w:rsid w:val="77DFF872"/>
    <w:rsid w:val="77E87E7A"/>
    <w:rsid w:val="780E9572"/>
    <w:rsid w:val="78543790"/>
    <w:rsid w:val="786378AD"/>
    <w:rsid w:val="787219E1"/>
    <w:rsid w:val="7881C010"/>
    <w:rsid w:val="788CCA25"/>
    <w:rsid w:val="78A8825D"/>
    <w:rsid w:val="78C89BEF"/>
    <w:rsid w:val="78ECC239"/>
    <w:rsid w:val="78EEA3E6"/>
    <w:rsid w:val="79109E84"/>
    <w:rsid w:val="79497710"/>
    <w:rsid w:val="794D7A94"/>
    <w:rsid w:val="7957CC7D"/>
    <w:rsid w:val="79B25359"/>
    <w:rsid w:val="79C31D65"/>
    <w:rsid w:val="79E64213"/>
    <w:rsid w:val="79FF490E"/>
    <w:rsid w:val="79FF6A70"/>
    <w:rsid w:val="7A2CBC8D"/>
    <w:rsid w:val="7A46675B"/>
    <w:rsid w:val="7A8266E7"/>
    <w:rsid w:val="7A92F9BC"/>
    <w:rsid w:val="7A9EB5C1"/>
    <w:rsid w:val="7AB748E7"/>
    <w:rsid w:val="7ACB0F82"/>
    <w:rsid w:val="7B271AF8"/>
    <w:rsid w:val="7B3602B3"/>
    <w:rsid w:val="7B3CC1D2"/>
    <w:rsid w:val="7B5878BD"/>
    <w:rsid w:val="7B6E51B3"/>
    <w:rsid w:val="7B7C7820"/>
    <w:rsid w:val="7B821274"/>
    <w:rsid w:val="7B85BDDB"/>
    <w:rsid w:val="7B862728"/>
    <w:rsid w:val="7B9B196F"/>
    <w:rsid w:val="7BD050C2"/>
    <w:rsid w:val="7BE0231F"/>
    <w:rsid w:val="7BFD85E7"/>
    <w:rsid w:val="7C1E3748"/>
    <w:rsid w:val="7C1FE7B1"/>
    <w:rsid w:val="7C49E2FF"/>
    <w:rsid w:val="7C531948"/>
    <w:rsid w:val="7C5BB18D"/>
    <w:rsid w:val="7C786302"/>
    <w:rsid w:val="7C79C685"/>
    <w:rsid w:val="7C7F2867"/>
    <w:rsid w:val="7CA13087"/>
    <w:rsid w:val="7CBC452A"/>
    <w:rsid w:val="7CD1AC5F"/>
    <w:rsid w:val="7CD89233"/>
    <w:rsid w:val="7CF50A48"/>
    <w:rsid w:val="7D27C9D2"/>
    <w:rsid w:val="7D2F9639"/>
    <w:rsid w:val="7D4F3EB2"/>
    <w:rsid w:val="7D50093B"/>
    <w:rsid w:val="7D651A5F"/>
    <w:rsid w:val="7D7113DA"/>
    <w:rsid w:val="7D7A2110"/>
    <w:rsid w:val="7D7C7EC6"/>
    <w:rsid w:val="7DE93E67"/>
    <w:rsid w:val="7DF9BF1F"/>
    <w:rsid w:val="7E2CA3A9"/>
    <w:rsid w:val="7EC9170E"/>
    <w:rsid w:val="7ED8B045"/>
    <w:rsid w:val="7F727AC7"/>
    <w:rsid w:val="7F8ABA0A"/>
    <w:rsid w:val="7F936362"/>
    <w:rsid w:val="7F944DC3"/>
    <w:rsid w:val="7F96F409"/>
    <w:rsid w:val="7FCB7EE8"/>
    <w:rsid w:val="7FD1E1FA"/>
    <w:rsid w:val="7FF00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977A0"/>
  <w15:chartTrackingRefBased/>
  <w15:docId w15:val="{21CFAA4E-3DE3-48BA-BFCB-E8397F4B84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f9af0742fa9643a7" /><Relationship Type="http://schemas.microsoft.com/office/2020/10/relationships/intelligence" Target="/word/intelligence2.xml" Id="R66ca57f556cf4f4c" /><Relationship Type="http://schemas.openxmlformats.org/officeDocument/2006/relationships/image" Target="/media/image.png" Id="Rf54d99e42c134d8f" /><Relationship Type="http://schemas.openxmlformats.org/officeDocument/2006/relationships/hyperlink" Target="mailto:2113844@student.uwtsd.ac.uk" TargetMode="External" Id="Ra612fc0ee2f3479b" /></Relationships>
</file>

<file path=word/_rels/footnotes.xml.rels>&#65279;<?xml version="1.0" encoding="utf-8"?><Relationships xmlns="http://schemas.openxmlformats.org/package/2006/relationships"><Relationship Type="http://schemas.openxmlformats.org/officeDocument/2006/relationships/hyperlink" Target="https://doi.org/10.1093/acprof:oso/9780195394337.003.0005" TargetMode="External" Id="Rda366bfdf2cb4215" /><Relationship Type="http://schemas.openxmlformats.org/officeDocument/2006/relationships/hyperlink" Target="https://so04.tci-thaijo.org/index.php/kjss/article/view/249431/169437" TargetMode="External" Id="Ra852643cf66e4f45" /><Relationship Type="http://schemas.openxmlformats.org/officeDocument/2006/relationships/hyperlink" Target="https://www.journals.uchicago.edu/doi/full/10.14318/hau4.1.024" TargetMode="External" Id="Ra13dc356b0d04a36" /><Relationship Type="http://schemas.openxmlformats.org/officeDocument/2006/relationships/hyperlink" Target="http://www.jstor.org/stable/1202518" TargetMode="External" Id="R943532683eca45fd" /><Relationship Type="http://schemas.openxmlformats.org/officeDocument/2006/relationships/hyperlink" Target="http://www.jstor.org/stable/40209462" TargetMode="External" Id="R97e26df987a24a12" /><Relationship Type="http://schemas.openxmlformats.org/officeDocument/2006/relationships/hyperlink" Target="http://www.jstor.org/stable/1462346" TargetMode="External" Id="R4cb99d046b0c4a6d" /><Relationship Type="http://schemas.openxmlformats.org/officeDocument/2006/relationships/hyperlink" Target="http://www.jstor.org/stable/23549544" TargetMode="External" Id="R69152245c3b24232" /><Relationship Type="http://schemas.openxmlformats.org/officeDocument/2006/relationships/hyperlink" Target="https://doi.org/10.2307/j.ctt1ckpgbc.11" TargetMode="External" Id="R29918d79845448c9" /><Relationship Type="http://schemas.openxmlformats.org/officeDocument/2006/relationships/hyperlink" Target="http://www.jstor.org/stable/44709227" TargetMode="External" Id="Rd1165f6e9174441f" /><Relationship Type="http://schemas.openxmlformats.org/officeDocument/2006/relationships/hyperlink" Target="https://jstor.org/stable/3512498" TargetMode="External" Id="Rf8df71eded794a0c" /><Relationship Type="http://schemas.openxmlformats.org/officeDocument/2006/relationships/hyperlink" Target="https://doi.org/10.2307/3709771" TargetMode="External" Id="R7825e5aa0dfe47fc" /><Relationship Type="http://schemas.openxmlformats.org/officeDocument/2006/relationships/hyperlink" Target="http://www.jstor.org/stable/20008280" TargetMode="External" Id="R0476740899544da9" /><Relationship Type="http://schemas.openxmlformats.org/officeDocument/2006/relationships/hyperlink" Target="https://doi.org/10.3138/URAM.21.2.84" TargetMode="External" Id="R5384600d00f94d78" /><Relationship Type="http://schemas.openxmlformats.org/officeDocument/2006/relationships/hyperlink" Target="http://www.jstor.org/stable/1460891" TargetMode="External" Id="Rd14ff2d979394fc3" /><Relationship Type="http://schemas.openxmlformats.org/officeDocument/2006/relationships/hyperlink" Target="http://www.jstor.org/stable/30116233" TargetMode="External" Id="R43287dea4c834be6" /><Relationship Type="http://schemas.openxmlformats.org/officeDocument/2006/relationships/hyperlink" Target="http://www.jstor.org/stable/canajsocicahican.39.4.719" TargetMode="External" Id="R189f8e2f90964cb0" /><Relationship Type="http://schemas.openxmlformats.org/officeDocument/2006/relationships/hyperlink" Target="http://www.jstor.org/stable/42942827" TargetMode="External" Id="R9978734ea76c4779" /><Relationship Type="http://schemas.openxmlformats.org/officeDocument/2006/relationships/hyperlink" Target="http://www.jstor.org/stable/23040518" TargetMode="External" Id="R52590605e25649f1" /><Relationship Type="http://schemas.openxmlformats.org/officeDocument/2006/relationships/hyperlink" Target="https://syncreticstudies.com/2018/01/24/the-eternal-return-mircea-eliades-homo-religiosus-and-the-cognitive-science-of-religion/" TargetMode="External" Id="Rc84e119a78df46f9" /><Relationship Type="http://schemas.openxmlformats.org/officeDocument/2006/relationships/hyperlink" Target="https://doi.org/10.2307/2802277" TargetMode="External" Id="Rb8e9309b29a24f5c" /><Relationship Type="http://schemas.openxmlformats.org/officeDocument/2006/relationships/hyperlink" Target="http://www.jstor.org/stable/23533960" TargetMode="External" Id="Rbd71ee79578e46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Hanson (2113844)</dc:creator>
  <keywords/>
  <dc:description/>
  <lastModifiedBy>Karen Hanson (2113844)</lastModifiedBy>
  <revision>5</revision>
  <dcterms:created xsi:type="dcterms:W3CDTF">2022-10-28T16:36:48.7955944Z</dcterms:created>
  <dcterms:modified xsi:type="dcterms:W3CDTF">2022-11-09T18:39:31.1808590Z</dcterms:modified>
</coreProperties>
</file>