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F8C566F" w14:textId="77777777" w:rsidR="004970E5" w:rsidRDefault="004970E5" w:rsidP="00CC3B52">
      <w:pPr>
        <w:jc w:val="center"/>
        <w:rPr>
          <w:b/>
          <w:sz w:val="32"/>
        </w:rPr>
      </w:pPr>
    </w:p>
    <w:p w14:paraId="55DCB332" w14:textId="77777777" w:rsidR="004970E5" w:rsidRDefault="004970E5" w:rsidP="00CC3B52">
      <w:pPr>
        <w:jc w:val="center"/>
        <w:rPr>
          <w:b/>
          <w:sz w:val="32"/>
        </w:rPr>
      </w:pPr>
    </w:p>
    <w:p w14:paraId="0ED35AF6" w14:textId="77777777" w:rsidR="004970E5" w:rsidRDefault="004970E5" w:rsidP="00CC3B52">
      <w:pPr>
        <w:jc w:val="center"/>
        <w:rPr>
          <w:b/>
          <w:sz w:val="32"/>
        </w:rPr>
      </w:pPr>
    </w:p>
    <w:p w14:paraId="5D554204" w14:textId="77777777" w:rsidR="004970E5" w:rsidRDefault="004970E5" w:rsidP="00CC3B52">
      <w:pPr>
        <w:jc w:val="center"/>
        <w:rPr>
          <w:b/>
          <w:sz w:val="32"/>
        </w:rPr>
      </w:pPr>
    </w:p>
    <w:p w14:paraId="2AD28B91" w14:textId="77777777" w:rsidR="004970E5" w:rsidRDefault="004970E5" w:rsidP="00CC3B52">
      <w:pPr>
        <w:jc w:val="center"/>
        <w:rPr>
          <w:b/>
          <w:sz w:val="32"/>
        </w:rPr>
      </w:pPr>
    </w:p>
    <w:p w14:paraId="6A40F3AB" w14:textId="77777777" w:rsidR="00117DB3" w:rsidRPr="006033A1" w:rsidRDefault="00117DB3" w:rsidP="00117DB3">
      <w:pPr>
        <w:jc w:val="center"/>
        <w:rPr>
          <w:b/>
          <w:sz w:val="32"/>
        </w:rPr>
      </w:pPr>
      <w:r w:rsidRPr="006033A1">
        <w:rPr>
          <w:b/>
          <w:sz w:val="32"/>
        </w:rPr>
        <w:t>BA (Hons) Business Management</w:t>
      </w:r>
    </w:p>
    <w:p w14:paraId="58D0D796" w14:textId="77777777" w:rsidR="00117DB3" w:rsidRPr="006033A1" w:rsidRDefault="00117DB3" w:rsidP="00117DB3">
      <w:pPr>
        <w:jc w:val="center"/>
        <w:rPr>
          <w:b/>
          <w:sz w:val="32"/>
        </w:rPr>
      </w:pPr>
    </w:p>
    <w:p w14:paraId="5EEB87FB" w14:textId="77777777" w:rsidR="00117DB3" w:rsidRPr="006033A1" w:rsidRDefault="00117DB3" w:rsidP="00117DB3">
      <w:pPr>
        <w:jc w:val="center"/>
        <w:rPr>
          <w:b/>
          <w:sz w:val="32"/>
        </w:rPr>
      </w:pPr>
      <w:r w:rsidRPr="006033A1">
        <w:rPr>
          <w:b/>
          <w:sz w:val="32"/>
        </w:rPr>
        <w:t>Portfolio</w:t>
      </w:r>
    </w:p>
    <w:p w14:paraId="0CCC9702" w14:textId="77777777" w:rsidR="00117DB3" w:rsidRPr="006033A1" w:rsidRDefault="00117DB3" w:rsidP="00117DB3">
      <w:pPr>
        <w:jc w:val="center"/>
        <w:rPr>
          <w:b/>
          <w:sz w:val="32"/>
        </w:rPr>
      </w:pPr>
    </w:p>
    <w:p w14:paraId="1FC9CDA4" w14:textId="77777777" w:rsidR="00117DB3" w:rsidRPr="006033A1" w:rsidRDefault="00117DB3" w:rsidP="00117DB3">
      <w:pPr>
        <w:jc w:val="center"/>
        <w:rPr>
          <w:b/>
          <w:sz w:val="32"/>
        </w:rPr>
      </w:pPr>
      <w:r w:rsidRPr="006033A1">
        <w:rPr>
          <w:b/>
          <w:sz w:val="32"/>
        </w:rPr>
        <w:t>LCBB5013: Entrepreneurship</w:t>
      </w:r>
    </w:p>
    <w:p w14:paraId="1BE2E2F9" w14:textId="77777777" w:rsidR="00117DB3" w:rsidRPr="006033A1" w:rsidRDefault="00117DB3" w:rsidP="00AC7820"/>
    <w:p w14:paraId="5D4C848D" w14:textId="77777777" w:rsidR="00AC7820" w:rsidRPr="00AC7820" w:rsidRDefault="00AC7820" w:rsidP="00AC7820">
      <w:pPr>
        <w:jc w:val="center"/>
        <w:rPr>
          <w:b/>
          <w:bCs/>
          <w:sz w:val="28"/>
          <w:szCs w:val="28"/>
        </w:rPr>
      </w:pPr>
      <w:r w:rsidRPr="00AC7820">
        <w:rPr>
          <w:b/>
          <w:bCs/>
          <w:sz w:val="28"/>
          <w:szCs w:val="28"/>
        </w:rPr>
        <w:t>Task 1: Business Plan Development</w:t>
      </w:r>
    </w:p>
    <w:p w14:paraId="6A2A2E7D" w14:textId="77777777" w:rsidR="00117DB3" w:rsidRPr="006033A1" w:rsidRDefault="00117DB3" w:rsidP="00117DB3">
      <w:pPr>
        <w:jc w:val="center"/>
        <w:rPr>
          <w:b/>
          <w:sz w:val="32"/>
        </w:rPr>
      </w:pPr>
    </w:p>
    <w:p w14:paraId="6F466EEA" w14:textId="77777777" w:rsidR="00117DB3" w:rsidRPr="006033A1" w:rsidRDefault="00117DB3" w:rsidP="00117DB3">
      <w:pPr>
        <w:jc w:val="center"/>
        <w:rPr>
          <w:b/>
          <w:sz w:val="32"/>
        </w:rPr>
      </w:pPr>
    </w:p>
    <w:p w14:paraId="7C19EA5C" w14:textId="77777777" w:rsidR="00117DB3" w:rsidRPr="006033A1" w:rsidRDefault="00117DB3" w:rsidP="00117DB3">
      <w:pPr>
        <w:jc w:val="center"/>
        <w:rPr>
          <w:b/>
        </w:rPr>
      </w:pPr>
      <w:r w:rsidRPr="006033A1">
        <w:rPr>
          <w:b/>
        </w:rPr>
        <w:t xml:space="preserve">Student Name: </w:t>
      </w:r>
      <w:r w:rsidRPr="006033A1">
        <w:rPr>
          <w:b/>
        </w:rPr>
        <w:br/>
        <w:t>Student ID:</w:t>
      </w:r>
    </w:p>
    <w:p w14:paraId="0940C63C" w14:textId="77777777" w:rsidR="00117DB3" w:rsidRPr="006033A1" w:rsidRDefault="00117DB3" w:rsidP="00117DB3">
      <w:pPr>
        <w:jc w:val="center"/>
        <w:rPr>
          <w:b/>
        </w:rPr>
      </w:pPr>
      <w:r w:rsidRPr="006033A1">
        <w:rPr>
          <w:b/>
        </w:rPr>
        <w:t xml:space="preserve">Lecturer’s Name: </w:t>
      </w:r>
    </w:p>
    <w:p w14:paraId="15019430" w14:textId="77777777" w:rsidR="00915BF5" w:rsidRDefault="00B160CA">
      <w:pPr>
        <w:rPr>
          <w:shd w:val="clear" w:color="auto" w:fill="FFF2CC"/>
        </w:rPr>
      </w:pPr>
      <w:r>
        <w:br w:type="page"/>
      </w:r>
    </w:p>
    <w:bookmarkStart w:id="0" w:name="_fnhvg6or56sw" w:colFirst="0" w:colLast="0" w:displacedByCustomXml="next"/>
    <w:bookmarkEnd w:id="0" w:displacedByCustomXml="next"/>
    <w:sdt>
      <w:sdtPr>
        <w:rPr>
          <w:rFonts w:ascii="Arial" w:eastAsia="Arial" w:hAnsi="Arial" w:cs="Arial"/>
          <w:color w:val="auto"/>
          <w:sz w:val="24"/>
          <w:szCs w:val="24"/>
          <w:lang w:val="en-GB" w:eastAsia="en-GB"/>
        </w:rPr>
        <w:id w:val="-570970851"/>
        <w:docPartObj>
          <w:docPartGallery w:val="Table of Contents"/>
          <w:docPartUnique/>
        </w:docPartObj>
      </w:sdtPr>
      <w:sdtEndPr>
        <w:rPr>
          <w:b/>
          <w:bCs/>
          <w:noProof/>
        </w:rPr>
      </w:sdtEndPr>
      <w:sdtContent>
        <w:p w14:paraId="789EA53D" w14:textId="77777777" w:rsidR="00730B11" w:rsidRPr="00730B11" w:rsidRDefault="00730B11" w:rsidP="00730B11">
          <w:pPr>
            <w:pStyle w:val="TOCHeading"/>
            <w:spacing w:before="0" w:line="360" w:lineRule="auto"/>
            <w:jc w:val="center"/>
            <w:rPr>
              <w:rFonts w:ascii="Arial" w:hAnsi="Arial" w:cs="Arial"/>
              <w:b/>
              <w:color w:val="auto"/>
              <w:sz w:val="24"/>
            </w:rPr>
          </w:pPr>
          <w:r w:rsidRPr="00730B11">
            <w:rPr>
              <w:rFonts w:ascii="Arial" w:hAnsi="Arial" w:cs="Arial"/>
              <w:b/>
              <w:color w:val="auto"/>
              <w:sz w:val="24"/>
            </w:rPr>
            <w:t>Table of Contents</w:t>
          </w:r>
        </w:p>
        <w:p w14:paraId="79361103" w14:textId="77777777" w:rsidR="006E5A16" w:rsidRDefault="00730B11">
          <w:pPr>
            <w:pStyle w:val="TOC1"/>
            <w:tabs>
              <w:tab w:val="right" w:leader="dot" w:pos="9019"/>
            </w:tabs>
            <w:rPr>
              <w:rFonts w:asciiTheme="minorHAnsi" w:eastAsiaTheme="minorEastAsia"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236488618" w:history="1">
            <w:r w:rsidR="006E5A16" w:rsidRPr="00D845F4">
              <w:rPr>
                <w:rStyle w:val="Hyperlink"/>
                <w:noProof/>
              </w:rPr>
              <w:t>Task 1: Business Plan Development</w:t>
            </w:r>
            <w:r w:rsidR="006E5A16">
              <w:rPr>
                <w:noProof/>
                <w:webHidden/>
              </w:rPr>
              <w:tab/>
            </w:r>
            <w:r w:rsidR="006E5A16">
              <w:rPr>
                <w:noProof/>
                <w:webHidden/>
              </w:rPr>
              <w:fldChar w:fldCharType="begin"/>
            </w:r>
            <w:r w:rsidR="006E5A16">
              <w:rPr>
                <w:noProof/>
                <w:webHidden/>
              </w:rPr>
              <w:instrText xml:space="preserve"> PAGEREF _Toc236488618 \h </w:instrText>
            </w:r>
            <w:r w:rsidR="006E5A16">
              <w:rPr>
                <w:noProof/>
                <w:webHidden/>
              </w:rPr>
            </w:r>
            <w:r w:rsidR="006E5A16">
              <w:rPr>
                <w:noProof/>
                <w:webHidden/>
              </w:rPr>
              <w:fldChar w:fldCharType="separate"/>
            </w:r>
            <w:r w:rsidR="006E5A16">
              <w:rPr>
                <w:noProof/>
                <w:webHidden/>
              </w:rPr>
              <w:t>2</w:t>
            </w:r>
            <w:r w:rsidR="006E5A16">
              <w:rPr>
                <w:noProof/>
                <w:webHidden/>
              </w:rPr>
              <w:fldChar w:fldCharType="end"/>
            </w:r>
          </w:hyperlink>
        </w:p>
        <w:p w14:paraId="2A37AA09" w14:textId="77777777" w:rsidR="006E5A16" w:rsidRDefault="006E5A16">
          <w:pPr>
            <w:pStyle w:val="TOC1"/>
            <w:tabs>
              <w:tab w:val="right" w:leader="dot" w:pos="9019"/>
            </w:tabs>
            <w:rPr>
              <w:rFonts w:asciiTheme="minorHAnsi" w:eastAsiaTheme="minorEastAsia" w:hAnsiTheme="minorHAnsi" w:cstheme="minorBidi"/>
              <w:noProof/>
              <w:sz w:val="22"/>
              <w:szCs w:val="22"/>
            </w:rPr>
          </w:pPr>
          <w:hyperlink w:anchor="_Toc236488619" w:history="1">
            <w:r w:rsidRPr="00D845F4">
              <w:rPr>
                <w:rStyle w:val="Hyperlink"/>
                <w:noProof/>
              </w:rPr>
              <w:t>Introduction</w:t>
            </w:r>
            <w:r>
              <w:rPr>
                <w:noProof/>
                <w:webHidden/>
              </w:rPr>
              <w:tab/>
            </w:r>
            <w:r>
              <w:rPr>
                <w:noProof/>
                <w:webHidden/>
              </w:rPr>
              <w:fldChar w:fldCharType="begin"/>
            </w:r>
            <w:r>
              <w:rPr>
                <w:noProof/>
                <w:webHidden/>
              </w:rPr>
              <w:instrText xml:space="preserve"> PAGEREF _Toc236488619 \h </w:instrText>
            </w:r>
            <w:r>
              <w:rPr>
                <w:noProof/>
                <w:webHidden/>
              </w:rPr>
            </w:r>
            <w:r>
              <w:rPr>
                <w:noProof/>
                <w:webHidden/>
              </w:rPr>
              <w:fldChar w:fldCharType="separate"/>
            </w:r>
            <w:r>
              <w:rPr>
                <w:noProof/>
                <w:webHidden/>
              </w:rPr>
              <w:t>2</w:t>
            </w:r>
            <w:r>
              <w:rPr>
                <w:noProof/>
                <w:webHidden/>
              </w:rPr>
              <w:fldChar w:fldCharType="end"/>
            </w:r>
          </w:hyperlink>
        </w:p>
        <w:p w14:paraId="3482DE2E" w14:textId="77777777" w:rsidR="006E5A16" w:rsidRDefault="006E5A16">
          <w:pPr>
            <w:pStyle w:val="TOC2"/>
            <w:tabs>
              <w:tab w:val="right" w:leader="dot" w:pos="9019"/>
            </w:tabs>
            <w:rPr>
              <w:rFonts w:asciiTheme="minorHAnsi" w:eastAsiaTheme="minorEastAsia" w:hAnsiTheme="minorHAnsi" w:cstheme="minorBidi"/>
              <w:noProof/>
              <w:sz w:val="22"/>
              <w:szCs w:val="22"/>
            </w:rPr>
          </w:pPr>
          <w:hyperlink w:anchor="_Toc236488620" w:history="1">
            <w:r w:rsidRPr="00D845F4">
              <w:rPr>
                <w:rStyle w:val="Hyperlink"/>
                <w:noProof/>
              </w:rPr>
              <w:t>Element 1: Business Idea, Products/Services, Objectives &amp; USP</w:t>
            </w:r>
            <w:r>
              <w:rPr>
                <w:noProof/>
                <w:webHidden/>
              </w:rPr>
              <w:tab/>
            </w:r>
            <w:r>
              <w:rPr>
                <w:noProof/>
                <w:webHidden/>
              </w:rPr>
              <w:fldChar w:fldCharType="begin"/>
            </w:r>
            <w:r>
              <w:rPr>
                <w:noProof/>
                <w:webHidden/>
              </w:rPr>
              <w:instrText xml:space="preserve"> PAGEREF _Toc236488620 \h </w:instrText>
            </w:r>
            <w:r>
              <w:rPr>
                <w:noProof/>
                <w:webHidden/>
              </w:rPr>
            </w:r>
            <w:r>
              <w:rPr>
                <w:noProof/>
                <w:webHidden/>
              </w:rPr>
              <w:fldChar w:fldCharType="separate"/>
            </w:r>
            <w:r>
              <w:rPr>
                <w:noProof/>
                <w:webHidden/>
              </w:rPr>
              <w:t>2</w:t>
            </w:r>
            <w:r>
              <w:rPr>
                <w:noProof/>
                <w:webHidden/>
              </w:rPr>
              <w:fldChar w:fldCharType="end"/>
            </w:r>
          </w:hyperlink>
        </w:p>
        <w:p w14:paraId="1B926C6C" w14:textId="77777777" w:rsidR="006E5A16" w:rsidRDefault="006E5A16">
          <w:pPr>
            <w:pStyle w:val="TOC2"/>
            <w:tabs>
              <w:tab w:val="right" w:leader="dot" w:pos="9019"/>
            </w:tabs>
            <w:rPr>
              <w:rFonts w:asciiTheme="minorHAnsi" w:eastAsiaTheme="minorEastAsia" w:hAnsiTheme="minorHAnsi" w:cstheme="minorBidi"/>
              <w:noProof/>
              <w:sz w:val="22"/>
              <w:szCs w:val="22"/>
            </w:rPr>
          </w:pPr>
          <w:hyperlink w:anchor="_Toc236488621" w:history="1">
            <w:r w:rsidRPr="00D845F4">
              <w:rPr>
                <w:rStyle w:val="Hyperlink"/>
                <w:noProof/>
              </w:rPr>
              <w:t>Element 2: Business Environment &amp; Competitor Analysis</w:t>
            </w:r>
            <w:r>
              <w:rPr>
                <w:noProof/>
                <w:webHidden/>
              </w:rPr>
              <w:tab/>
            </w:r>
            <w:r>
              <w:rPr>
                <w:noProof/>
                <w:webHidden/>
              </w:rPr>
              <w:fldChar w:fldCharType="begin"/>
            </w:r>
            <w:r>
              <w:rPr>
                <w:noProof/>
                <w:webHidden/>
              </w:rPr>
              <w:instrText xml:space="preserve"> PAGEREF _Toc236488621 \h </w:instrText>
            </w:r>
            <w:r>
              <w:rPr>
                <w:noProof/>
                <w:webHidden/>
              </w:rPr>
            </w:r>
            <w:r>
              <w:rPr>
                <w:noProof/>
                <w:webHidden/>
              </w:rPr>
              <w:fldChar w:fldCharType="separate"/>
            </w:r>
            <w:r>
              <w:rPr>
                <w:noProof/>
                <w:webHidden/>
              </w:rPr>
              <w:t>5</w:t>
            </w:r>
            <w:r>
              <w:rPr>
                <w:noProof/>
                <w:webHidden/>
              </w:rPr>
              <w:fldChar w:fldCharType="end"/>
            </w:r>
          </w:hyperlink>
        </w:p>
        <w:p w14:paraId="5B561950" w14:textId="77777777" w:rsidR="006E5A16" w:rsidRDefault="006E5A16">
          <w:pPr>
            <w:pStyle w:val="TOC2"/>
            <w:tabs>
              <w:tab w:val="right" w:leader="dot" w:pos="9019"/>
            </w:tabs>
            <w:rPr>
              <w:rFonts w:asciiTheme="minorHAnsi" w:eastAsiaTheme="minorEastAsia" w:hAnsiTheme="minorHAnsi" w:cstheme="minorBidi"/>
              <w:noProof/>
              <w:sz w:val="22"/>
              <w:szCs w:val="22"/>
            </w:rPr>
          </w:pPr>
          <w:hyperlink w:anchor="_Toc236488622" w:history="1">
            <w:r w:rsidRPr="00D845F4">
              <w:rPr>
                <w:rStyle w:val="Hyperlink"/>
                <w:noProof/>
              </w:rPr>
              <w:t>Element 3: 4Ps, Market Segmentation &amp; Marketing Strategies</w:t>
            </w:r>
            <w:r>
              <w:rPr>
                <w:noProof/>
                <w:webHidden/>
              </w:rPr>
              <w:tab/>
            </w:r>
            <w:r>
              <w:rPr>
                <w:noProof/>
                <w:webHidden/>
              </w:rPr>
              <w:fldChar w:fldCharType="begin"/>
            </w:r>
            <w:r>
              <w:rPr>
                <w:noProof/>
                <w:webHidden/>
              </w:rPr>
              <w:instrText xml:space="preserve"> PAGEREF _Toc236488622 \h </w:instrText>
            </w:r>
            <w:r>
              <w:rPr>
                <w:noProof/>
                <w:webHidden/>
              </w:rPr>
            </w:r>
            <w:r>
              <w:rPr>
                <w:noProof/>
                <w:webHidden/>
              </w:rPr>
              <w:fldChar w:fldCharType="separate"/>
            </w:r>
            <w:r>
              <w:rPr>
                <w:noProof/>
                <w:webHidden/>
              </w:rPr>
              <w:t>8</w:t>
            </w:r>
            <w:r>
              <w:rPr>
                <w:noProof/>
                <w:webHidden/>
              </w:rPr>
              <w:fldChar w:fldCharType="end"/>
            </w:r>
          </w:hyperlink>
        </w:p>
        <w:p w14:paraId="1116071B" w14:textId="77777777" w:rsidR="006E5A16" w:rsidRDefault="006E5A16">
          <w:pPr>
            <w:pStyle w:val="TOC2"/>
            <w:tabs>
              <w:tab w:val="right" w:leader="dot" w:pos="9019"/>
            </w:tabs>
            <w:rPr>
              <w:rFonts w:asciiTheme="minorHAnsi" w:eastAsiaTheme="minorEastAsia" w:hAnsiTheme="minorHAnsi" w:cstheme="minorBidi"/>
              <w:noProof/>
              <w:sz w:val="22"/>
              <w:szCs w:val="22"/>
            </w:rPr>
          </w:pPr>
          <w:hyperlink w:anchor="_Toc236488623" w:history="1">
            <w:r w:rsidRPr="00D845F4">
              <w:rPr>
                <w:rStyle w:val="Hyperlink"/>
                <w:noProof/>
              </w:rPr>
              <w:t>Element 4: Financial Planning</w:t>
            </w:r>
            <w:r>
              <w:rPr>
                <w:noProof/>
                <w:webHidden/>
              </w:rPr>
              <w:tab/>
            </w:r>
            <w:r>
              <w:rPr>
                <w:noProof/>
                <w:webHidden/>
              </w:rPr>
              <w:fldChar w:fldCharType="begin"/>
            </w:r>
            <w:r>
              <w:rPr>
                <w:noProof/>
                <w:webHidden/>
              </w:rPr>
              <w:instrText xml:space="preserve"> PAGEREF _Toc236488623 \h </w:instrText>
            </w:r>
            <w:r>
              <w:rPr>
                <w:noProof/>
                <w:webHidden/>
              </w:rPr>
            </w:r>
            <w:r>
              <w:rPr>
                <w:noProof/>
                <w:webHidden/>
              </w:rPr>
              <w:fldChar w:fldCharType="separate"/>
            </w:r>
            <w:r>
              <w:rPr>
                <w:noProof/>
                <w:webHidden/>
              </w:rPr>
              <w:t>12</w:t>
            </w:r>
            <w:r>
              <w:rPr>
                <w:noProof/>
                <w:webHidden/>
              </w:rPr>
              <w:fldChar w:fldCharType="end"/>
            </w:r>
          </w:hyperlink>
        </w:p>
        <w:p w14:paraId="151B3FA6" w14:textId="77777777" w:rsidR="006E5A16" w:rsidRDefault="006E5A16">
          <w:pPr>
            <w:pStyle w:val="TOC1"/>
            <w:tabs>
              <w:tab w:val="right" w:leader="dot" w:pos="9019"/>
            </w:tabs>
            <w:rPr>
              <w:rFonts w:asciiTheme="minorHAnsi" w:eastAsiaTheme="minorEastAsia" w:hAnsiTheme="minorHAnsi" w:cstheme="minorBidi"/>
              <w:noProof/>
              <w:sz w:val="22"/>
              <w:szCs w:val="22"/>
            </w:rPr>
          </w:pPr>
          <w:hyperlink w:anchor="_Toc236488624" w:history="1">
            <w:r w:rsidRPr="00D845F4">
              <w:rPr>
                <w:rStyle w:val="Hyperlink"/>
                <w:noProof/>
              </w:rPr>
              <w:t>Conclusion</w:t>
            </w:r>
            <w:r>
              <w:rPr>
                <w:noProof/>
                <w:webHidden/>
              </w:rPr>
              <w:tab/>
            </w:r>
            <w:r>
              <w:rPr>
                <w:noProof/>
                <w:webHidden/>
              </w:rPr>
              <w:fldChar w:fldCharType="begin"/>
            </w:r>
            <w:r>
              <w:rPr>
                <w:noProof/>
                <w:webHidden/>
              </w:rPr>
              <w:instrText xml:space="preserve"> PAGEREF _Toc236488624 \h </w:instrText>
            </w:r>
            <w:r>
              <w:rPr>
                <w:noProof/>
                <w:webHidden/>
              </w:rPr>
            </w:r>
            <w:r>
              <w:rPr>
                <w:noProof/>
                <w:webHidden/>
              </w:rPr>
              <w:fldChar w:fldCharType="separate"/>
            </w:r>
            <w:r>
              <w:rPr>
                <w:noProof/>
                <w:webHidden/>
              </w:rPr>
              <w:t>15</w:t>
            </w:r>
            <w:r>
              <w:rPr>
                <w:noProof/>
                <w:webHidden/>
              </w:rPr>
              <w:fldChar w:fldCharType="end"/>
            </w:r>
          </w:hyperlink>
        </w:p>
        <w:p w14:paraId="5165768E" w14:textId="77777777" w:rsidR="006E5A16" w:rsidRDefault="006E5A16">
          <w:pPr>
            <w:pStyle w:val="TOC1"/>
            <w:tabs>
              <w:tab w:val="right" w:leader="dot" w:pos="9019"/>
            </w:tabs>
            <w:rPr>
              <w:rFonts w:asciiTheme="minorHAnsi" w:eastAsiaTheme="minorEastAsia" w:hAnsiTheme="minorHAnsi" w:cstheme="minorBidi"/>
              <w:noProof/>
              <w:sz w:val="22"/>
              <w:szCs w:val="22"/>
            </w:rPr>
          </w:pPr>
          <w:hyperlink w:anchor="_Toc236488625" w:history="1">
            <w:r w:rsidRPr="00D845F4">
              <w:rPr>
                <w:rStyle w:val="Hyperlink"/>
                <w:noProof/>
              </w:rPr>
              <w:t>Reference List</w:t>
            </w:r>
            <w:r>
              <w:rPr>
                <w:noProof/>
                <w:webHidden/>
              </w:rPr>
              <w:tab/>
            </w:r>
            <w:r>
              <w:rPr>
                <w:noProof/>
                <w:webHidden/>
              </w:rPr>
              <w:fldChar w:fldCharType="begin"/>
            </w:r>
            <w:r>
              <w:rPr>
                <w:noProof/>
                <w:webHidden/>
              </w:rPr>
              <w:instrText xml:space="preserve"> PAGEREF _Toc236488625 \h </w:instrText>
            </w:r>
            <w:r>
              <w:rPr>
                <w:noProof/>
                <w:webHidden/>
              </w:rPr>
            </w:r>
            <w:r>
              <w:rPr>
                <w:noProof/>
                <w:webHidden/>
              </w:rPr>
              <w:fldChar w:fldCharType="separate"/>
            </w:r>
            <w:r>
              <w:rPr>
                <w:noProof/>
                <w:webHidden/>
              </w:rPr>
              <w:t>16</w:t>
            </w:r>
            <w:r>
              <w:rPr>
                <w:noProof/>
                <w:webHidden/>
              </w:rPr>
              <w:fldChar w:fldCharType="end"/>
            </w:r>
          </w:hyperlink>
        </w:p>
        <w:p w14:paraId="3C8208B7" w14:textId="77777777" w:rsidR="00730B11" w:rsidRDefault="00730B11">
          <w:r>
            <w:rPr>
              <w:b/>
              <w:bCs/>
              <w:noProof/>
            </w:rPr>
            <w:fldChar w:fldCharType="end"/>
          </w:r>
        </w:p>
      </w:sdtContent>
    </w:sdt>
    <w:p w14:paraId="63953A3B" w14:textId="77777777" w:rsidR="00730B11" w:rsidRDefault="00730B11">
      <w:pPr>
        <w:rPr>
          <w:b/>
          <w:bCs/>
        </w:rPr>
      </w:pPr>
      <w:r>
        <w:br w:type="page"/>
      </w:r>
    </w:p>
    <w:p w14:paraId="6EE7DCE5" w14:textId="77777777" w:rsidR="00915BF5" w:rsidRDefault="00B160CA">
      <w:pPr>
        <w:pStyle w:val="Heading1"/>
      </w:pPr>
      <w:bookmarkStart w:id="1" w:name="_Toc236488618"/>
      <w:r>
        <w:t>Task 1: Business Plan Development</w:t>
      </w:r>
      <w:bookmarkEnd w:id="1"/>
    </w:p>
    <w:p w14:paraId="501239DF" w14:textId="77777777" w:rsidR="00915BF5" w:rsidRDefault="00B160CA">
      <w:pPr>
        <w:pStyle w:val="Heading1"/>
      </w:pPr>
      <w:bookmarkStart w:id="2" w:name="_8vlyan1u13pw" w:colFirst="0" w:colLast="0"/>
      <w:bookmarkStart w:id="3" w:name="_Toc236488619"/>
      <w:bookmarkEnd w:id="2"/>
      <w:r>
        <w:t>Introduction</w:t>
      </w:r>
      <w:bookmarkEnd w:id="3"/>
    </w:p>
    <w:p w14:paraId="66430371" w14:textId="77777777" w:rsidR="00915BF5" w:rsidRDefault="00B160CA">
      <w:r>
        <w:t xml:space="preserve">The purpose of a new business venture is to explore contemporary ideas that are suitable for meeting emerging consumer needs. Entrepreneurship refers to the business strategy where a new idea can challenge the existing practices of the market and create innovative ways of revenue generation (Burns, 2022). The following part includes a business plan named RetrofitIQ, which intends to resolve the carbon footprint of UK-based houses through utilisation of AI-driven smart technologies. The business plan will contain four specific elements to provide a comprehensive analysis of the key considerations for successful business operations. </w:t>
      </w:r>
    </w:p>
    <w:p w14:paraId="33E7E151" w14:textId="77777777" w:rsidR="00915BF5" w:rsidRDefault="00B160CA">
      <w:pPr>
        <w:pStyle w:val="Heading2"/>
      </w:pPr>
      <w:bookmarkStart w:id="4" w:name="_13g02p2v7ikx" w:colFirst="0" w:colLast="0"/>
      <w:bookmarkStart w:id="5" w:name="_Toc236488620"/>
      <w:bookmarkEnd w:id="4"/>
      <w:r>
        <w:t>Element 1: Business Idea, Products/Services, Objectives &amp; USP</w:t>
      </w:r>
      <w:bookmarkEnd w:id="5"/>
    </w:p>
    <w:p w14:paraId="61BB9D0B" w14:textId="77777777" w:rsidR="00915BF5" w:rsidRDefault="00B160CA">
      <w:pPr>
        <w:rPr>
          <w:b/>
          <w:bCs/>
        </w:rPr>
      </w:pPr>
      <w:r>
        <w:rPr>
          <w:b/>
          <w:bCs/>
        </w:rPr>
        <w:t>Idea and overview of the business plan</w:t>
      </w:r>
    </w:p>
    <w:p w14:paraId="758486CF" w14:textId="77777777" w:rsidR="00915BF5" w:rsidRDefault="00B160CA">
      <w:pPr>
        <w:jc w:val="center"/>
      </w:pPr>
      <w:r>
        <w:rPr>
          <w:noProof/>
        </w:rPr>
        <w:drawing>
          <wp:inline distT="114300" distB="114300" distL="114300" distR="114300" wp14:anchorId="0FC013C3" wp14:editId="56C2DF14">
            <wp:extent cx="2439825" cy="2432585"/>
            <wp:effectExtent l="0" t="0" r="0" b="0"/>
            <wp:docPr id="1"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8"/>
                    <a:srcRect/>
                    <a:stretch>
                      <a:fillRect/>
                    </a:stretch>
                  </pic:blipFill>
                  <pic:spPr>
                    <a:xfrm>
                      <a:off x="0" y="0"/>
                      <a:ext cx="2439825" cy="2432585"/>
                    </a:xfrm>
                    <a:prstGeom prst="rect">
                      <a:avLst/>
                    </a:prstGeom>
                    <a:ln/>
                  </pic:spPr>
                </pic:pic>
              </a:graphicData>
            </a:graphic>
          </wp:inline>
        </w:drawing>
      </w:r>
    </w:p>
    <w:p w14:paraId="7834AEE7" w14:textId="77777777" w:rsidR="00915BF5" w:rsidRDefault="00B160CA">
      <w:pPr>
        <w:jc w:val="center"/>
        <w:rPr>
          <w:b/>
          <w:bCs/>
        </w:rPr>
      </w:pPr>
      <w:r>
        <w:rPr>
          <w:b/>
          <w:bCs/>
        </w:rPr>
        <w:t>Figure 1: Logo of RetrofitIQ</w:t>
      </w:r>
    </w:p>
    <w:p w14:paraId="1826CFED" w14:textId="77777777" w:rsidR="001F1D5E" w:rsidRDefault="00B160CA">
      <w:r>
        <w:t xml:space="preserve">RetrofitIQ is an innovative idea that intends to implement the power of AI and AI-driven smart technologies to produce exclusive home energy upgrades to reduce the carbon footprint. The idea is to empower the customers with the data accessibility driven by AI regarding the carbon footprint of their household operations and providing the relevant strategies to improve their condition. </w:t>
      </w:r>
      <w:r w:rsidR="00730B11">
        <w:t>This business has</w:t>
      </w:r>
      <w:r w:rsidR="009453A2">
        <w:t xml:space="preserve"> advantage from</w:t>
      </w:r>
      <w:r>
        <w:t xml:space="preserve"> the Government-led national decarbonisations initiatives. The primary goal of the decarbonisation of housing initiative is to make UK-based households net zero emissions by 2050 (Ofgem, 2022). Therefore, RetrofitIQ is going to provide its customers with the direct opportunity to become a part of the government-led initiatives as well as any opportunities to access grants. </w:t>
      </w:r>
    </w:p>
    <w:p w14:paraId="24038241" w14:textId="77777777" w:rsidR="00915BF5" w:rsidRDefault="00B160CA">
      <w:r>
        <w:t xml:space="preserve">RetrofitIQ will sell key products and services such as retrofit </w:t>
      </w:r>
      <w:r w:rsidR="00CC3B52">
        <w:t>planning</w:t>
      </w:r>
      <w:r>
        <w:t xml:space="preserve">, AI-based energy audits, installation </w:t>
      </w:r>
      <w:r w:rsidR="009453A2">
        <w:t>management,</w:t>
      </w:r>
      <w:r>
        <w:t xml:space="preserve"> and post-installation monitoring of the elements. Each product will have </w:t>
      </w:r>
      <w:r w:rsidR="009453A2">
        <w:t>long-term</w:t>
      </w:r>
      <w:r>
        <w:t xml:space="preserve"> applications into the households, which suggests that the products </w:t>
      </w:r>
      <w:r w:rsidR="009453A2">
        <w:t xml:space="preserve">of </w:t>
      </w:r>
      <w:r>
        <w:t xml:space="preserve">RetrofitIQ will provide sustainable passage to these households ensuring their eligibility according to the transforming government norms of sustainable buildings. </w:t>
      </w:r>
    </w:p>
    <w:p w14:paraId="35A8B235" w14:textId="77777777" w:rsidR="00915BF5" w:rsidRDefault="00B160CA">
      <w:pPr>
        <w:rPr>
          <w:b/>
          <w:bCs/>
        </w:rPr>
      </w:pPr>
      <w:r>
        <w:rPr>
          <w:b/>
          <w:bCs/>
        </w:rPr>
        <w:t>Objectives (Short term and Long Term)</w:t>
      </w:r>
    </w:p>
    <w:p w14:paraId="23C976BE" w14:textId="77777777" w:rsidR="00915BF5" w:rsidRDefault="009453A2">
      <w:r>
        <w:rPr>
          <w:b/>
          <w:bCs/>
        </w:rPr>
        <w:t>Short-term</w:t>
      </w:r>
      <w:r w:rsidR="00B160CA">
        <w:rPr>
          <w:b/>
          <w:bCs/>
        </w:rPr>
        <w:t xml:space="preserve"> objectives (1 Year)</w:t>
      </w:r>
    </w:p>
    <w:p w14:paraId="02DD288D" w14:textId="77777777" w:rsidR="00915BF5" w:rsidRDefault="00B160CA">
      <w:pPr>
        <w:numPr>
          <w:ilvl w:val="0"/>
          <w:numId w:val="1"/>
        </w:numPr>
      </w:pPr>
      <w:r>
        <w:t>To target those houses that are listed for sales and lacks specific sustainable features</w:t>
      </w:r>
    </w:p>
    <w:p w14:paraId="79694E4F" w14:textId="77777777" w:rsidR="00915BF5" w:rsidRDefault="00B160CA">
      <w:pPr>
        <w:numPr>
          <w:ilvl w:val="0"/>
          <w:numId w:val="1"/>
        </w:numPr>
      </w:pPr>
      <w:r>
        <w:t xml:space="preserve">To achieve profitability in two years after the beginning of the business </w:t>
      </w:r>
    </w:p>
    <w:p w14:paraId="57EE2988" w14:textId="77777777" w:rsidR="00915BF5" w:rsidRDefault="00B160CA">
      <w:r>
        <w:t xml:space="preserve">The first priority RetrofitIQ would be to target those houses, which are in list for sales and they lack innovative sustainable features. According to market research, 93% of the homes listed up for sale lack any kind of “Green” features (Buildersmerchantsnews, 2026). These green features include smart charging points and solar panels, which are minimum needs of a sustainable home in the modern market. The accessibility of nine out of ten listed homes for sale will definitely help RetrofitIQ to access a target market that will help the company to reach profitability in two years of its business, which will be its second short term objective. </w:t>
      </w:r>
    </w:p>
    <w:p w14:paraId="66BC287C" w14:textId="77777777" w:rsidR="00915BF5" w:rsidRDefault="00B160CA">
      <w:pPr>
        <w:rPr>
          <w:b/>
          <w:bCs/>
        </w:rPr>
      </w:pPr>
      <w:r>
        <w:rPr>
          <w:b/>
          <w:bCs/>
        </w:rPr>
        <w:t>Long Term objectives (3 Years)</w:t>
      </w:r>
    </w:p>
    <w:p w14:paraId="5B6A1455" w14:textId="77777777" w:rsidR="00915BF5" w:rsidRDefault="00B160CA">
      <w:pPr>
        <w:numPr>
          <w:ilvl w:val="0"/>
          <w:numId w:val="5"/>
        </w:numPr>
      </w:pPr>
      <w:r>
        <w:t>To establish at least 10% market share in UK-based housing retrofit services</w:t>
      </w:r>
    </w:p>
    <w:p w14:paraId="0F9AE151" w14:textId="77777777" w:rsidR="00915BF5" w:rsidRDefault="00B160CA">
      <w:pPr>
        <w:numPr>
          <w:ilvl w:val="0"/>
          <w:numId w:val="5"/>
        </w:numPr>
      </w:pPr>
      <w:r>
        <w:t>To expand the operations in three markets other than the base of operation in Brighton</w:t>
      </w:r>
    </w:p>
    <w:p w14:paraId="43C28B23" w14:textId="77777777" w:rsidR="00915BF5" w:rsidRDefault="00B160CA">
      <w:r>
        <w:t xml:space="preserve">The </w:t>
      </w:r>
      <w:r w:rsidR="00C22D70">
        <w:t>long-term</w:t>
      </w:r>
      <w:r>
        <w:t xml:space="preserve"> objectives of a business mainly involve the intention of developing market leadership through sustainable growth and long-term profitability (Grant, 2021). Therefore, the </w:t>
      </w:r>
      <w:r w:rsidR="00C22D70">
        <w:t>long-term</w:t>
      </w:r>
      <w:r>
        <w:t xml:space="preserve"> objectives set for RetrofitIQ would be to maximise its opportunities of low competition in the market and gradually develop its brand reputation as one of the leaders of its respective industry. RetrofitIQ would </w:t>
      </w:r>
      <w:r w:rsidR="00C22D70">
        <w:t>find its</w:t>
      </w:r>
      <w:r>
        <w:t xml:space="preserve"> </w:t>
      </w:r>
      <w:r w:rsidR="00C22D70">
        <w:t>recognition</w:t>
      </w:r>
      <w:r>
        <w:t xml:space="preserve"> if it becomes eligible to access at least 10% of the market of this emerging industry. Moreover, RetrofitIQ would have to expand its territory in three more locations in the UK so that it could access a greater consumer base available in the UK region.  </w:t>
      </w:r>
    </w:p>
    <w:p w14:paraId="196085B9" w14:textId="77777777" w:rsidR="00915BF5" w:rsidRDefault="00B160CA">
      <w:pPr>
        <w:rPr>
          <w:b/>
          <w:bCs/>
        </w:rPr>
      </w:pPr>
      <w:r>
        <w:br w:type="page"/>
      </w:r>
    </w:p>
    <w:p w14:paraId="26F6D30A" w14:textId="77777777" w:rsidR="00915BF5" w:rsidRDefault="00B160CA">
      <w:pPr>
        <w:rPr>
          <w:b/>
          <w:bCs/>
        </w:rPr>
      </w:pPr>
      <w:r>
        <w:rPr>
          <w:b/>
          <w:bCs/>
        </w:rPr>
        <w:t>Unique Selling Point of the company</w:t>
      </w:r>
    </w:p>
    <w:p w14:paraId="660AEF63" w14:textId="77777777" w:rsidR="00915BF5" w:rsidRDefault="00B160CA">
      <w:pPr>
        <w:jc w:val="center"/>
      </w:pPr>
      <w:r>
        <w:rPr>
          <w:noProof/>
        </w:rPr>
        <w:drawing>
          <wp:inline distT="114300" distB="114300" distL="114300" distR="114300" wp14:anchorId="0CF4E7CC" wp14:editId="2A6D354F">
            <wp:extent cx="4405313" cy="3249101"/>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405313" cy="3249101"/>
                    </a:xfrm>
                    <a:prstGeom prst="rect">
                      <a:avLst/>
                    </a:prstGeom>
                    <a:ln w="12700">
                      <a:solidFill>
                        <a:srgbClr val="000000"/>
                      </a:solidFill>
                      <a:prstDash val="solid"/>
                    </a:ln>
                  </pic:spPr>
                </pic:pic>
              </a:graphicData>
            </a:graphic>
          </wp:inline>
        </w:drawing>
      </w:r>
    </w:p>
    <w:p w14:paraId="4C8E911D" w14:textId="77777777" w:rsidR="00915BF5" w:rsidRDefault="00B160CA">
      <w:pPr>
        <w:jc w:val="center"/>
        <w:rPr>
          <w:b/>
          <w:bCs/>
        </w:rPr>
      </w:pPr>
      <w:r>
        <w:rPr>
          <w:b/>
          <w:bCs/>
        </w:rPr>
        <w:t>Figure 2: Unique Selling proposition of the business idea</w:t>
      </w:r>
    </w:p>
    <w:p w14:paraId="1461F1CF" w14:textId="77777777" w:rsidR="00915BF5" w:rsidRDefault="00B160CA">
      <w:r>
        <w:t xml:space="preserve">The present scenario of the UK based households reflects the overwhelming condition represented by the volatile economic conditions of the market. However, the government’s initiatives and intention clarifies that the growth only represented through sustainable actions. However, the cost of installation of sustainable materials and their maintenance creates significant routes of continuous costs. </w:t>
      </w:r>
    </w:p>
    <w:p w14:paraId="0C8657BC" w14:textId="77777777" w:rsidR="00915BF5" w:rsidRDefault="00CC3B52">
      <w:r>
        <w:rPr>
          <w:i/>
          <w:iCs/>
        </w:rPr>
        <w:t>RetrofitIQ</w:t>
      </w:r>
      <w:r w:rsidR="00B160CA">
        <w:rPr>
          <w:i/>
          <w:iCs/>
        </w:rPr>
        <w:t xml:space="preserve"> will come as a comprehensive solution in this condition and provide the best quality with affordable prices for the retrofit solutions to make these houses compatible with the sustainable demands</w:t>
      </w:r>
      <w:r w:rsidR="00B160CA">
        <w:t xml:space="preserve">. </w:t>
      </w:r>
    </w:p>
    <w:p w14:paraId="18E0905B" w14:textId="77777777" w:rsidR="00915BF5" w:rsidRDefault="00B160CA">
      <w:r>
        <w:t xml:space="preserve">The AI-driven monitoring system adopted within the auditing process will allow the company to use thermal imaging and access public property databases to map out the heat losses of the homes. Moreover, the automated generation of carbon-transition planning will reduce the cost of transportation or any additional costs on behalf of the customers. The automated monitoring system integrated with each feature acquired by customers will resolve the issue of continuous visitation or onsite monitoring, which will reduce the cost of maintenance on a significant scale. </w:t>
      </w:r>
    </w:p>
    <w:p w14:paraId="7A0EAA5A" w14:textId="77777777" w:rsidR="00915BF5" w:rsidRDefault="00B160CA">
      <w:pPr>
        <w:pStyle w:val="Heading2"/>
      </w:pPr>
      <w:bookmarkStart w:id="6" w:name="_ny0nwjbutuq8" w:colFirst="0" w:colLast="0"/>
      <w:bookmarkEnd w:id="6"/>
      <w:r>
        <w:br w:type="page"/>
      </w:r>
    </w:p>
    <w:p w14:paraId="1FAA40D9" w14:textId="77777777" w:rsidR="00915BF5" w:rsidRDefault="00B160CA">
      <w:pPr>
        <w:pStyle w:val="Heading2"/>
      </w:pPr>
      <w:bookmarkStart w:id="7" w:name="_fw9dk7ghk31b" w:colFirst="0" w:colLast="0"/>
      <w:bookmarkStart w:id="8" w:name="_Toc236488621"/>
      <w:bookmarkEnd w:id="7"/>
      <w:r>
        <w:t>Element 2: Business Environment &amp; Competitor Analysis</w:t>
      </w:r>
      <w:bookmarkEnd w:id="8"/>
    </w:p>
    <w:p w14:paraId="61868BF0" w14:textId="77777777" w:rsidR="00915BF5" w:rsidRDefault="00B160CA">
      <w:r>
        <w:rPr>
          <w:b/>
          <w:bCs/>
        </w:rPr>
        <w:t>SWOT Analysis</w:t>
      </w:r>
    </w:p>
    <w:tbl>
      <w:tblPr>
        <w:tblStyle w:val="a"/>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15BF5" w14:paraId="7F8B8B6B" w14:textId="77777777">
        <w:tc>
          <w:tcPr>
            <w:tcW w:w="4514" w:type="dxa"/>
            <w:shd w:val="clear" w:color="auto" w:fill="D9EAD3"/>
            <w:tcMar>
              <w:top w:w="100" w:type="dxa"/>
              <w:left w:w="100" w:type="dxa"/>
              <w:bottom w:w="100" w:type="dxa"/>
              <w:right w:w="100" w:type="dxa"/>
            </w:tcMar>
          </w:tcPr>
          <w:p w14:paraId="01B35E7E" w14:textId="77777777" w:rsidR="00915BF5" w:rsidRDefault="00B160CA">
            <w:pPr>
              <w:widowControl w:val="0"/>
              <w:pBdr>
                <w:top w:val="nil"/>
                <w:left w:val="nil"/>
                <w:bottom w:val="nil"/>
                <w:right w:val="nil"/>
                <w:between w:val="nil"/>
              </w:pBdr>
              <w:rPr>
                <w:b/>
                <w:bCs/>
              </w:rPr>
            </w:pPr>
            <w:r>
              <w:rPr>
                <w:b/>
                <w:bCs/>
              </w:rPr>
              <w:t>Strengths</w:t>
            </w:r>
          </w:p>
          <w:p w14:paraId="593CB541" w14:textId="77777777" w:rsidR="00915BF5" w:rsidRDefault="00B160CA">
            <w:pPr>
              <w:widowControl w:val="0"/>
              <w:numPr>
                <w:ilvl w:val="0"/>
                <w:numId w:val="4"/>
              </w:numPr>
              <w:pBdr>
                <w:top w:val="nil"/>
                <w:left w:val="nil"/>
                <w:bottom w:val="nil"/>
                <w:right w:val="nil"/>
                <w:between w:val="nil"/>
              </w:pBdr>
            </w:pPr>
            <w:r>
              <w:t xml:space="preserve">Sustainable business proposition </w:t>
            </w:r>
          </w:p>
          <w:p w14:paraId="09026246" w14:textId="77777777" w:rsidR="00915BF5" w:rsidRDefault="00B160CA">
            <w:pPr>
              <w:widowControl w:val="0"/>
              <w:numPr>
                <w:ilvl w:val="0"/>
                <w:numId w:val="4"/>
              </w:numPr>
              <w:pBdr>
                <w:top w:val="nil"/>
                <w:left w:val="nil"/>
                <w:bottom w:val="nil"/>
                <w:right w:val="nil"/>
                <w:between w:val="nil"/>
              </w:pBdr>
            </w:pPr>
            <w:r>
              <w:t>AI-driven smart features</w:t>
            </w:r>
          </w:p>
          <w:p w14:paraId="3B80D1E0" w14:textId="77777777" w:rsidR="00915BF5" w:rsidRDefault="00B160CA">
            <w:pPr>
              <w:widowControl w:val="0"/>
              <w:numPr>
                <w:ilvl w:val="0"/>
                <w:numId w:val="4"/>
              </w:numPr>
              <w:pBdr>
                <w:top w:val="nil"/>
                <w:left w:val="nil"/>
                <w:bottom w:val="nil"/>
                <w:right w:val="nil"/>
                <w:between w:val="nil"/>
              </w:pBdr>
            </w:pPr>
            <w:r>
              <w:t>Significant target market</w:t>
            </w:r>
          </w:p>
        </w:tc>
        <w:tc>
          <w:tcPr>
            <w:tcW w:w="4514" w:type="dxa"/>
            <w:shd w:val="clear" w:color="auto" w:fill="C9DAF8"/>
            <w:tcMar>
              <w:top w:w="100" w:type="dxa"/>
              <w:left w:w="100" w:type="dxa"/>
              <w:bottom w:w="100" w:type="dxa"/>
              <w:right w:w="100" w:type="dxa"/>
            </w:tcMar>
          </w:tcPr>
          <w:p w14:paraId="58004BED" w14:textId="77777777" w:rsidR="00915BF5" w:rsidRDefault="00B160CA">
            <w:pPr>
              <w:widowControl w:val="0"/>
              <w:pBdr>
                <w:top w:val="nil"/>
                <w:left w:val="nil"/>
                <w:bottom w:val="nil"/>
                <w:right w:val="nil"/>
                <w:between w:val="nil"/>
              </w:pBdr>
              <w:rPr>
                <w:b/>
                <w:bCs/>
              </w:rPr>
            </w:pPr>
            <w:r>
              <w:rPr>
                <w:b/>
                <w:bCs/>
              </w:rPr>
              <w:t>Weaknesses</w:t>
            </w:r>
          </w:p>
          <w:p w14:paraId="1E6D9CDD" w14:textId="77777777" w:rsidR="00915BF5" w:rsidRDefault="00B160CA">
            <w:pPr>
              <w:widowControl w:val="0"/>
              <w:numPr>
                <w:ilvl w:val="0"/>
                <w:numId w:val="2"/>
              </w:numPr>
              <w:pBdr>
                <w:top w:val="nil"/>
                <w:left w:val="nil"/>
                <w:bottom w:val="nil"/>
                <w:right w:val="nil"/>
                <w:between w:val="nil"/>
              </w:pBdr>
            </w:pPr>
            <w:r>
              <w:t>Lack of awareness among the target consumer</w:t>
            </w:r>
          </w:p>
          <w:p w14:paraId="6E2794FC" w14:textId="77777777" w:rsidR="00915BF5" w:rsidRDefault="00B160CA">
            <w:pPr>
              <w:widowControl w:val="0"/>
              <w:numPr>
                <w:ilvl w:val="0"/>
                <w:numId w:val="2"/>
              </w:numPr>
              <w:pBdr>
                <w:top w:val="nil"/>
                <w:left w:val="nil"/>
                <w:bottom w:val="nil"/>
                <w:right w:val="nil"/>
                <w:between w:val="nil"/>
              </w:pBdr>
            </w:pPr>
            <w:r>
              <w:t>Emerging segment of the market</w:t>
            </w:r>
          </w:p>
        </w:tc>
      </w:tr>
      <w:tr w:rsidR="00915BF5" w14:paraId="25ACEC4C" w14:textId="77777777">
        <w:tc>
          <w:tcPr>
            <w:tcW w:w="4514" w:type="dxa"/>
            <w:shd w:val="clear" w:color="auto" w:fill="FFE599"/>
            <w:tcMar>
              <w:top w:w="100" w:type="dxa"/>
              <w:left w:w="100" w:type="dxa"/>
              <w:bottom w:w="100" w:type="dxa"/>
              <w:right w:w="100" w:type="dxa"/>
            </w:tcMar>
          </w:tcPr>
          <w:p w14:paraId="27707C16" w14:textId="77777777" w:rsidR="00915BF5" w:rsidRDefault="00B160CA">
            <w:pPr>
              <w:widowControl w:val="0"/>
              <w:pBdr>
                <w:top w:val="nil"/>
                <w:left w:val="nil"/>
                <w:bottom w:val="nil"/>
                <w:right w:val="nil"/>
                <w:between w:val="nil"/>
              </w:pBdr>
              <w:rPr>
                <w:b/>
                <w:bCs/>
              </w:rPr>
            </w:pPr>
            <w:r>
              <w:rPr>
                <w:b/>
                <w:bCs/>
              </w:rPr>
              <w:t>Opportunities</w:t>
            </w:r>
          </w:p>
          <w:p w14:paraId="21552758" w14:textId="77777777" w:rsidR="00915BF5" w:rsidRDefault="00B160CA">
            <w:pPr>
              <w:widowControl w:val="0"/>
              <w:numPr>
                <w:ilvl w:val="0"/>
                <w:numId w:val="3"/>
              </w:numPr>
              <w:pBdr>
                <w:top w:val="nil"/>
                <w:left w:val="nil"/>
                <w:bottom w:val="nil"/>
                <w:right w:val="nil"/>
                <w:between w:val="nil"/>
              </w:pBdr>
            </w:pPr>
            <w:r>
              <w:t>High demand from regulatory and social level</w:t>
            </w:r>
          </w:p>
          <w:p w14:paraId="5AD31C28" w14:textId="77777777" w:rsidR="00915BF5" w:rsidRDefault="00B160CA">
            <w:pPr>
              <w:widowControl w:val="0"/>
              <w:numPr>
                <w:ilvl w:val="0"/>
                <w:numId w:val="3"/>
              </w:numPr>
              <w:pBdr>
                <w:top w:val="nil"/>
                <w:left w:val="nil"/>
                <w:bottom w:val="nil"/>
                <w:right w:val="nil"/>
                <w:between w:val="nil"/>
              </w:pBdr>
            </w:pPr>
            <w:r>
              <w:t>Major transitions at industry level</w:t>
            </w:r>
          </w:p>
        </w:tc>
        <w:tc>
          <w:tcPr>
            <w:tcW w:w="4514" w:type="dxa"/>
            <w:shd w:val="clear" w:color="auto" w:fill="F4CCCC"/>
            <w:tcMar>
              <w:top w:w="100" w:type="dxa"/>
              <w:left w:w="100" w:type="dxa"/>
              <w:bottom w:w="100" w:type="dxa"/>
              <w:right w:w="100" w:type="dxa"/>
            </w:tcMar>
          </w:tcPr>
          <w:p w14:paraId="6FEC056B" w14:textId="77777777" w:rsidR="00915BF5" w:rsidRDefault="00B160CA">
            <w:pPr>
              <w:widowControl w:val="0"/>
              <w:pBdr>
                <w:top w:val="nil"/>
                <w:left w:val="nil"/>
                <w:bottom w:val="nil"/>
                <w:right w:val="nil"/>
                <w:between w:val="nil"/>
              </w:pBdr>
              <w:rPr>
                <w:b/>
                <w:bCs/>
              </w:rPr>
            </w:pPr>
            <w:r>
              <w:rPr>
                <w:b/>
                <w:bCs/>
              </w:rPr>
              <w:t>Threats</w:t>
            </w:r>
          </w:p>
          <w:p w14:paraId="4C98C05F" w14:textId="77777777" w:rsidR="00915BF5" w:rsidRDefault="00B160CA">
            <w:pPr>
              <w:widowControl w:val="0"/>
              <w:numPr>
                <w:ilvl w:val="0"/>
                <w:numId w:val="6"/>
              </w:numPr>
              <w:pBdr>
                <w:top w:val="nil"/>
                <w:left w:val="nil"/>
                <w:bottom w:val="nil"/>
                <w:right w:val="nil"/>
                <w:between w:val="nil"/>
              </w:pBdr>
            </w:pPr>
            <w:r>
              <w:t>High economic downturn</w:t>
            </w:r>
          </w:p>
          <w:p w14:paraId="1B18E8EF" w14:textId="77777777" w:rsidR="00915BF5" w:rsidRDefault="00B160CA">
            <w:pPr>
              <w:widowControl w:val="0"/>
              <w:numPr>
                <w:ilvl w:val="0"/>
                <w:numId w:val="6"/>
              </w:numPr>
              <w:pBdr>
                <w:top w:val="nil"/>
                <w:left w:val="nil"/>
                <w:bottom w:val="nil"/>
                <w:right w:val="nil"/>
                <w:between w:val="nil"/>
              </w:pBdr>
            </w:pPr>
            <w:r>
              <w:t>Threat of intense competition</w:t>
            </w:r>
          </w:p>
        </w:tc>
      </w:tr>
    </w:tbl>
    <w:p w14:paraId="75F1E06B" w14:textId="77777777" w:rsidR="00915BF5" w:rsidRDefault="00915BF5"/>
    <w:p w14:paraId="5B3B6DA5" w14:textId="77777777" w:rsidR="00915BF5" w:rsidRDefault="00B160CA">
      <w:pPr>
        <w:rPr>
          <w:b/>
          <w:bCs/>
          <w:i/>
          <w:iCs/>
        </w:rPr>
      </w:pPr>
      <w:r>
        <w:rPr>
          <w:b/>
          <w:bCs/>
          <w:i/>
          <w:iCs/>
        </w:rPr>
        <w:t>Analysis of internal environment</w:t>
      </w:r>
    </w:p>
    <w:p w14:paraId="11EA27B0" w14:textId="77777777" w:rsidR="00915BF5" w:rsidRDefault="00B160CA">
      <w:r>
        <w:t xml:space="preserve">The business idea of RetrofitIQ will provide itself significant strength considering its primary source of operations. The AI-driven smart auditing and transition planning will provide the company the ability to access and efficiently identify the key heat losses of each house that it will offer its assistance. The business </w:t>
      </w:r>
      <w:r w:rsidR="002552F1">
        <w:t xml:space="preserve">will characterise </w:t>
      </w:r>
      <w:r>
        <w:t xml:space="preserve">itself with sustainable goals featuring SDG 7 and SDG 13. SDG 7 targets to achieve universal access to reliable and renewable energy sources for everyone (Guo, 2025). Therefore, the transition planning offered by RetrofitIQ would possess the definite characteristics of sustainable goals. On the other hand, the transition planning and monitoring services provided by the new business will help it to align with the climate action objectives created by global and national regulators. However, the business might face a lack of enthusiasm from the target </w:t>
      </w:r>
      <w:r w:rsidR="00AB38EE">
        <w:t>consumer,</w:t>
      </w:r>
      <w:r>
        <w:t xml:space="preserve"> as the market is yet </w:t>
      </w:r>
      <w:r w:rsidR="00AB38EE">
        <w:t>to grow</w:t>
      </w:r>
      <w:r>
        <w:t xml:space="preserve"> enough due to the lack of consumer awareness in the household levels. The business idea can face significant threat in case there is a significant rise of competition and large </w:t>
      </w:r>
      <w:r w:rsidR="00AB38EE">
        <w:t>companies</w:t>
      </w:r>
      <w:r>
        <w:t xml:space="preserve"> start to invest on this idea. The features offered by the business will definitely provide the </w:t>
      </w:r>
      <w:r w:rsidR="00AB38EE">
        <w:t>long-term</w:t>
      </w:r>
      <w:r>
        <w:t xml:space="preserve"> benefits required to make a household acceptable according to the criteria set by the government in the next two decades. However, the customers may refrain from choosing this business idea due to the overhead costs and continuous cost of monitoring </w:t>
      </w:r>
      <w:r w:rsidR="00AB38EE">
        <w:t>that</w:t>
      </w:r>
      <w:r>
        <w:t xml:space="preserve"> equipment. </w:t>
      </w:r>
    </w:p>
    <w:p w14:paraId="5F014F1F" w14:textId="77777777" w:rsidR="00915BF5" w:rsidRDefault="00B160CA">
      <w:pPr>
        <w:rPr>
          <w:b/>
          <w:bCs/>
          <w:i/>
          <w:iCs/>
        </w:rPr>
      </w:pPr>
      <w:r>
        <w:br w:type="page"/>
      </w:r>
    </w:p>
    <w:p w14:paraId="50453D57" w14:textId="77777777" w:rsidR="00915BF5" w:rsidRDefault="00B160CA">
      <w:pPr>
        <w:rPr>
          <w:b/>
          <w:bCs/>
          <w:i/>
          <w:iCs/>
        </w:rPr>
      </w:pPr>
      <w:r>
        <w:rPr>
          <w:b/>
          <w:bCs/>
          <w:i/>
          <w:iCs/>
        </w:rPr>
        <w:t>Analysis of external environment</w:t>
      </w:r>
    </w:p>
    <w:p w14:paraId="0B4F0DB9" w14:textId="77777777" w:rsidR="00915BF5" w:rsidRDefault="00B160CA">
      <w:r>
        <w:t xml:space="preserve">The key opportunities for RetrofitIQ will come from the emerging changes identified in the external environment. One of the key elements is the requirement of the central government to secure net zero emission levels for every household by the middle of this century. Another great opportunity identified is the market gap present where nine of ten houses that listed for sale in the market lack the minimum features that qualify themselves to secure sustainable identity. However, the economic volatility and downturn produces a serious threat to the growth potentials of the chosen business idea featuring high inflation rates. The latest audits of the UK economy found that the inflation rate of the UK is 2.6% in June 2026 (Harari, 2026). The inflation rate continues to affect consumer expenditure in the UK despite a slight downward trend visible in recent years as the inflation rate remains way above the targeted specifications. The cumulative </w:t>
      </w:r>
      <w:r w:rsidR="006953ED">
        <w:t>costs of households remain</w:t>
      </w:r>
      <w:r>
        <w:t xml:space="preserve"> to be the top challenge that RetrofitIQ will have to overcome in order to</w:t>
      </w:r>
      <w:r w:rsidR="006953ED">
        <w:t>;</w:t>
      </w:r>
      <w:r>
        <w:t xml:space="preserve"> successfully access its growth in the market. </w:t>
      </w:r>
    </w:p>
    <w:p w14:paraId="72CE20E2" w14:textId="77777777" w:rsidR="00915BF5" w:rsidRDefault="00B160CA">
      <w:pPr>
        <w:rPr>
          <w:b/>
          <w:bCs/>
        </w:rPr>
      </w:pPr>
      <w:r>
        <w:rPr>
          <w:b/>
          <w:bCs/>
        </w:rPr>
        <w:t>Identification and explanation of four specific competition</w:t>
      </w:r>
    </w:p>
    <w:p w14:paraId="68D08485" w14:textId="77777777" w:rsidR="00915BF5" w:rsidRDefault="00B160CA">
      <w:r>
        <w:t xml:space="preserve">The UK based building retrofitting and decarbonisation market is rapidly growing with the direct demand generated from the market. The market projections indicate that 80% of the housing market will have sustainable features by the end of 2050 and 29 million houses are in need of decarbonisation strategies (Parliament, 2024). However, the adoption rate of decarbonisation through retrofitting techniques is very limited, which will help the business idea flourish in the future. The market </w:t>
      </w:r>
      <w:r w:rsidR="006953ED">
        <w:t>conditions personify</w:t>
      </w:r>
      <w:r>
        <w:t xml:space="preserve"> a fragmented ecosystem with more growth of localised and regional SMEs. Therefore, the proposed business could face more localised competition directly rather than organisations with national operations. </w:t>
      </w:r>
    </w:p>
    <w:p w14:paraId="2278DD6D" w14:textId="77777777" w:rsidR="001F1D5E" w:rsidRDefault="001F1D5E">
      <w:pPr>
        <w:rPr>
          <w:b/>
          <w:bCs/>
          <w:i/>
          <w:iCs/>
        </w:rPr>
      </w:pPr>
      <w:r>
        <w:rPr>
          <w:b/>
          <w:bCs/>
          <w:i/>
          <w:iCs/>
        </w:rPr>
        <w:br w:type="page"/>
      </w:r>
    </w:p>
    <w:p w14:paraId="11D362C9" w14:textId="77777777" w:rsidR="00915BF5" w:rsidRDefault="00B160CA">
      <w:r>
        <w:rPr>
          <w:b/>
          <w:bCs/>
          <w:i/>
          <w:iCs/>
        </w:rPr>
        <w:t>Direct competitors</w:t>
      </w:r>
    </w:p>
    <w:tbl>
      <w:tblPr>
        <w:tblStyle w:val="a0"/>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20"/>
        <w:gridCol w:w="7080"/>
      </w:tblGrid>
      <w:tr w:rsidR="00915BF5" w14:paraId="308F8B30" w14:textId="77777777">
        <w:tc>
          <w:tcPr>
            <w:tcW w:w="1920" w:type="dxa"/>
            <w:shd w:val="clear" w:color="auto" w:fill="FFF2CC"/>
            <w:tcMar>
              <w:top w:w="100" w:type="dxa"/>
              <w:left w:w="100" w:type="dxa"/>
              <w:bottom w:w="100" w:type="dxa"/>
              <w:right w:w="100" w:type="dxa"/>
            </w:tcMar>
          </w:tcPr>
          <w:p w14:paraId="758177BB" w14:textId="77777777" w:rsidR="00915BF5" w:rsidRDefault="00B160CA">
            <w:pPr>
              <w:widowControl w:val="0"/>
              <w:pBdr>
                <w:top w:val="nil"/>
                <w:left w:val="nil"/>
                <w:bottom w:val="nil"/>
                <w:right w:val="nil"/>
                <w:between w:val="nil"/>
              </w:pBdr>
              <w:jc w:val="center"/>
              <w:rPr>
                <w:b/>
                <w:bCs/>
              </w:rPr>
            </w:pPr>
            <w:r>
              <w:rPr>
                <w:b/>
                <w:bCs/>
              </w:rPr>
              <w:t>Competitors</w:t>
            </w:r>
          </w:p>
        </w:tc>
        <w:tc>
          <w:tcPr>
            <w:tcW w:w="7080" w:type="dxa"/>
            <w:shd w:val="clear" w:color="auto" w:fill="FFF2CC"/>
            <w:tcMar>
              <w:top w:w="100" w:type="dxa"/>
              <w:left w:w="100" w:type="dxa"/>
              <w:bottom w:w="100" w:type="dxa"/>
              <w:right w:w="100" w:type="dxa"/>
            </w:tcMar>
          </w:tcPr>
          <w:p w14:paraId="02DB426A" w14:textId="77777777" w:rsidR="00915BF5" w:rsidRDefault="00B160CA">
            <w:pPr>
              <w:widowControl w:val="0"/>
              <w:pBdr>
                <w:top w:val="nil"/>
                <w:left w:val="nil"/>
                <w:bottom w:val="nil"/>
                <w:right w:val="nil"/>
                <w:between w:val="nil"/>
              </w:pBdr>
              <w:jc w:val="center"/>
              <w:rPr>
                <w:b/>
                <w:bCs/>
              </w:rPr>
            </w:pPr>
            <w:r>
              <w:rPr>
                <w:b/>
                <w:bCs/>
              </w:rPr>
              <w:t>Details</w:t>
            </w:r>
          </w:p>
        </w:tc>
      </w:tr>
      <w:tr w:rsidR="00915BF5" w14:paraId="1E8A56D8" w14:textId="77777777">
        <w:tc>
          <w:tcPr>
            <w:tcW w:w="1920" w:type="dxa"/>
            <w:shd w:val="clear" w:color="auto" w:fill="D0E0E3"/>
            <w:tcMar>
              <w:top w:w="100" w:type="dxa"/>
              <w:left w:w="100" w:type="dxa"/>
              <w:bottom w:w="100" w:type="dxa"/>
              <w:right w:w="100" w:type="dxa"/>
            </w:tcMar>
          </w:tcPr>
          <w:p w14:paraId="0DDB9080" w14:textId="77777777" w:rsidR="00915BF5" w:rsidRDefault="00B160CA">
            <w:pPr>
              <w:widowControl w:val="0"/>
              <w:pBdr>
                <w:top w:val="nil"/>
                <w:left w:val="nil"/>
                <w:bottom w:val="nil"/>
                <w:right w:val="nil"/>
                <w:between w:val="nil"/>
              </w:pBdr>
              <w:rPr>
                <w:b/>
                <w:bCs/>
              </w:rPr>
            </w:pPr>
            <w:r>
              <w:rPr>
                <w:b/>
                <w:bCs/>
              </w:rPr>
              <w:t>Wates Group</w:t>
            </w:r>
          </w:p>
        </w:tc>
        <w:tc>
          <w:tcPr>
            <w:tcW w:w="7080" w:type="dxa"/>
            <w:tcMar>
              <w:top w:w="100" w:type="dxa"/>
              <w:left w:w="100" w:type="dxa"/>
              <w:bottom w:w="100" w:type="dxa"/>
              <w:right w:w="100" w:type="dxa"/>
            </w:tcMar>
          </w:tcPr>
          <w:p w14:paraId="3B4343BC" w14:textId="77777777" w:rsidR="00915BF5" w:rsidRDefault="00B160CA">
            <w:r>
              <w:t xml:space="preserve">The company focuses on </w:t>
            </w:r>
            <w:r w:rsidR="006953ED">
              <w:t>large-scale</w:t>
            </w:r>
            <w:r>
              <w:t xml:space="preserve"> social-housing decarbonisation and its major operations are restricted to the housing complex. The key products sold by Wates Group includes PAS 2035 compliant whose house design, insulations and low-carbon technology rifts (Aegconstruction, 2026). </w:t>
            </w:r>
          </w:p>
        </w:tc>
      </w:tr>
      <w:tr w:rsidR="00915BF5" w14:paraId="5A731440" w14:textId="77777777">
        <w:tc>
          <w:tcPr>
            <w:tcW w:w="1920" w:type="dxa"/>
            <w:shd w:val="clear" w:color="auto" w:fill="D0E0E3"/>
            <w:tcMar>
              <w:top w:w="100" w:type="dxa"/>
              <w:left w:w="100" w:type="dxa"/>
              <w:bottom w:w="100" w:type="dxa"/>
              <w:right w:w="100" w:type="dxa"/>
            </w:tcMar>
          </w:tcPr>
          <w:p w14:paraId="3C326440" w14:textId="77777777" w:rsidR="00915BF5" w:rsidRDefault="00B160CA">
            <w:pPr>
              <w:widowControl w:val="0"/>
              <w:pBdr>
                <w:top w:val="nil"/>
                <w:left w:val="nil"/>
                <w:bottom w:val="nil"/>
                <w:right w:val="nil"/>
                <w:between w:val="nil"/>
              </w:pBdr>
              <w:rPr>
                <w:b/>
                <w:bCs/>
              </w:rPr>
            </w:pPr>
            <w:r>
              <w:rPr>
                <w:b/>
                <w:bCs/>
              </w:rPr>
              <w:t>Mears Group</w:t>
            </w:r>
          </w:p>
        </w:tc>
        <w:tc>
          <w:tcPr>
            <w:tcW w:w="7080" w:type="dxa"/>
            <w:tcMar>
              <w:top w:w="100" w:type="dxa"/>
              <w:left w:w="100" w:type="dxa"/>
              <w:bottom w:w="100" w:type="dxa"/>
              <w:right w:w="100" w:type="dxa"/>
            </w:tcMar>
          </w:tcPr>
          <w:p w14:paraId="743CC589" w14:textId="77777777" w:rsidR="00915BF5" w:rsidRDefault="00B160CA">
            <w:pPr>
              <w:widowControl w:val="0"/>
              <w:pBdr>
                <w:top w:val="nil"/>
                <w:left w:val="nil"/>
                <w:bottom w:val="nil"/>
                <w:right w:val="nil"/>
                <w:between w:val="nil"/>
              </w:pBdr>
            </w:pPr>
            <w:r>
              <w:t xml:space="preserve">The primary focus of Mears Group is to target domestic energy improvements in the UK. The core products and services involve onsite surveying, solar PV installation, </w:t>
            </w:r>
            <w:r w:rsidR="006953ED">
              <w:t>replacements,</w:t>
            </w:r>
            <w:r>
              <w:t xml:space="preserve"> and heating efficiency upgrades. </w:t>
            </w:r>
          </w:p>
        </w:tc>
      </w:tr>
    </w:tbl>
    <w:p w14:paraId="0BDCC248" w14:textId="77777777" w:rsidR="00915BF5" w:rsidRDefault="00915BF5"/>
    <w:p w14:paraId="2F15EE44" w14:textId="77777777" w:rsidR="00915BF5" w:rsidRDefault="00B160CA">
      <w:r>
        <w:rPr>
          <w:b/>
          <w:bCs/>
          <w:i/>
          <w:iCs/>
        </w:rPr>
        <w:t>Indirect competitors</w:t>
      </w:r>
    </w:p>
    <w:tbl>
      <w:tblPr>
        <w:tblStyle w:val="a1"/>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7215"/>
      </w:tblGrid>
      <w:tr w:rsidR="00915BF5" w14:paraId="0154786C" w14:textId="77777777">
        <w:tc>
          <w:tcPr>
            <w:tcW w:w="1785" w:type="dxa"/>
            <w:shd w:val="clear" w:color="auto" w:fill="FFF2CC"/>
            <w:tcMar>
              <w:top w:w="100" w:type="dxa"/>
              <w:left w:w="100" w:type="dxa"/>
              <w:bottom w:w="100" w:type="dxa"/>
              <w:right w:w="100" w:type="dxa"/>
            </w:tcMar>
          </w:tcPr>
          <w:p w14:paraId="776283B0" w14:textId="77777777" w:rsidR="00915BF5" w:rsidRDefault="00B160CA">
            <w:pPr>
              <w:widowControl w:val="0"/>
              <w:jc w:val="center"/>
              <w:rPr>
                <w:b/>
                <w:bCs/>
              </w:rPr>
            </w:pPr>
            <w:r>
              <w:rPr>
                <w:b/>
                <w:bCs/>
              </w:rPr>
              <w:t>Competitors</w:t>
            </w:r>
          </w:p>
        </w:tc>
        <w:tc>
          <w:tcPr>
            <w:tcW w:w="7215" w:type="dxa"/>
            <w:shd w:val="clear" w:color="auto" w:fill="FFF2CC"/>
            <w:tcMar>
              <w:top w:w="100" w:type="dxa"/>
              <w:left w:w="100" w:type="dxa"/>
              <w:bottom w:w="100" w:type="dxa"/>
              <w:right w:w="100" w:type="dxa"/>
            </w:tcMar>
          </w:tcPr>
          <w:p w14:paraId="1962E0BD" w14:textId="77777777" w:rsidR="00915BF5" w:rsidRDefault="00B160CA">
            <w:pPr>
              <w:widowControl w:val="0"/>
              <w:jc w:val="center"/>
              <w:rPr>
                <w:b/>
                <w:bCs/>
              </w:rPr>
            </w:pPr>
            <w:r>
              <w:rPr>
                <w:b/>
                <w:bCs/>
              </w:rPr>
              <w:t>Details</w:t>
            </w:r>
          </w:p>
        </w:tc>
      </w:tr>
      <w:tr w:rsidR="00915BF5" w14:paraId="44340F43" w14:textId="77777777">
        <w:tc>
          <w:tcPr>
            <w:tcW w:w="1785" w:type="dxa"/>
            <w:shd w:val="clear" w:color="auto" w:fill="D0E0E3"/>
            <w:tcMar>
              <w:top w:w="100" w:type="dxa"/>
              <w:left w:w="100" w:type="dxa"/>
              <w:bottom w:w="100" w:type="dxa"/>
              <w:right w:w="100" w:type="dxa"/>
            </w:tcMar>
          </w:tcPr>
          <w:p w14:paraId="209C7ED5" w14:textId="77777777" w:rsidR="00915BF5" w:rsidRDefault="00B160CA">
            <w:pPr>
              <w:widowControl w:val="0"/>
              <w:rPr>
                <w:b/>
                <w:bCs/>
              </w:rPr>
            </w:pPr>
            <w:r>
              <w:rPr>
                <w:b/>
                <w:bCs/>
              </w:rPr>
              <w:t>OVO Group</w:t>
            </w:r>
          </w:p>
        </w:tc>
        <w:tc>
          <w:tcPr>
            <w:tcW w:w="7215" w:type="dxa"/>
            <w:tcMar>
              <w:top w:w="100" w:type="dxa"/>
              <w:left w:w="100" w:type="dxa"/>
              <w:bottom w:w="100" w:type="dxa"/>
              <w:right w:w="100" w:type="dxa"/>
            </w:tcMar>
          </w:tcPr>
          <w:p w14:paraId="2EBA82AE" w14:textId="77777777" w:rsidR="00915BF5" w:rsidRDefault="00B160CA" w:rsidP="005C025B">
            <w:pPr>
              <w:widowControl w:val="0"/>
            </w:pPr>
            <w:r>
              <w:t xml:space="preserve">OVO Group is a large-scale energy equipment supplier for the buildings. The key </w:t>
            </w:r>
            <w:r w:rsidR="006953ED">
              <w:t>products sold by this organisation include</w:t>
            </w:r>
            <w:r>
              <w:t xml:space="preserve"> solar </w:t>
            </w:r>
            <w:r w:rsidR="005C025B">
              <w:t>PV</w:t>
            </w:r>
            <w:r>
              <w:t xml:space="preserve">, battery storage, </w:t>
            </w:r>
            <w:r w:rsidR="006953ED">
              <w:t>thermostats,</w:t>
            </w:r>
            <w:r>
              <w:t xml:space="preserve"> and heat pump installations. The company can leverage large consumer bases and cross-sell individual green technologies in place of holistic retrofitting programs. </w:t>
            </w:r>
          </w:p>
        </w:tc>
      </w:tr>
      <w:tr w:rsidR="00915BF5" w14:paraId="5E471E69" w14:textId="77777777">
        <w:tc>
          <w:tcPr>
            <w:tcW w:w="1785" w:type="dxa"/>
            <w:shd w:val="clear" w:color="auto" w:fill="D0E0E3"/>
            <w:tcMar>
              <w:top w:w="100" w:type="dxa"/>
              <w:left w:w="100" w:type="dxa"/>
              <w:bottom w:w="100" w:type="dxa"/>
              <w:right w:w="100" w:type="dxa"/>
            </w:tcMar>
          </w:tcPr>
          <w:p w14:paraId="1C3A4875" w14:textId="77777777" w:rsidR="00915BF5" w:rsidRDefault="00B160CA">
            <w:pPr>
              <w:widowControl w:val="0"/>
              <w:rPr>
                <w:b/>
                <w:bCs/>
              </w:rPr>
            </w:pPr>
            <w:r>
              <w:rPr>
                <w:b/>
                <w:bCs/>
              </w:rPr>
              <w:t>Knauf</w:t>
            </w:r>
          </w:p>
        </w:tc>
        <w:tc>
          <w:tcPr>
            <w:tcW w:w="7215" w:type="dxa"/>
            <w:tcMar>
              <w:top w:w="100" w:type="dxa"/>
              <w:left w:w="100" w:type="dxa"/>
              <w:bottom w:w="100" w:type="dxa"/>
              <w:right w:w="100" w:type="dxa"/>
            </w:tcMar>
          </w:tcPr>
          <w:p w14:paraId="02FA7AD6" w14:textId="77777777" w:rsidR="00915BF5" w:rsidRDefault="00B160CA">
            <w:pPr>
              <w:widowControl w:val="0"/>
            </w:pPr>
            <w:r>
              <w:t xml:space="preserve">Knauf is a UK based building material and insulation manufacturer that supplies raw materials for sustainable housing. The company provides components and parts to the general builders rather than completely involved in the operations of retrofitting. </w:t>
            </w:r>
          </w:p>
        </w:tc>
      </w:tr>
    </w:tbl>
    <w:p w14:paraId="6966849A" w14:textId="77777777" w:rsidR="00915BF5" w:rsidRDefault="00B160CA">
      <w:pPr>
        <w:pStyle w:val="Heading2"/>
      </w:pPr>
      <w:bookmarkStart w:id="9" w:name="_7w60f0ti0o8t" w:colFirst="0" w:colLast="0"/>
      <w:bookmarkEnd w:id="9"/>
      <w:r>
        <w:br w:type="page"/>
      </w:r>
    </w:p>
    <w:p w14:paraId="1CF9EC5A" w14:textId="77777777" w:rsidR="00915BF5" w:rsidRDefault="00B160CA">
      <w:pPr>
        <w:pStyle w:val="Heading2"/>
        <w:rPr>
          <w:highlight w:val="yellow"/>
        </w:rPr>
      </w:pPr>
      <w:bookmarkStart w:id="10" w:name="_mrdk3u2s6fo4" w:colFirst="0" w:colLast="0"/>
      <w:bookmarkStart w:id="11" w:name="_Toc236488622"/>
      <w:bookmarkEnd w:id="10"/>
      <w:r>
        <w:t>Element 3: 4Ps, Market Segmentation &amp; Marketing Strategies</w:t>
      </w:r>
      <w:bookmarkEnd w:id="11"/>
    </w:p>
    <w:p w14:paraId="3AECFB75" w14:textId="77777777" w:rsidR="00915BF5" w:rsidRDefault="00B160CA">
      <w:pPr>
        <w:rPr>
          <w:b/>
          <w:bCs/>
          <w:highlight w:val="yellow"/>
        </w:rPr>
      </w:pPr>
      <w:r>
        <w:rPr>
          <w:b/>
          <w:bCs/>
        </w:rPr>
        <w:t>Critical discussion on the company’s market segmentation and target customers</w:t>
      </w:r>
    </w:p>
    <w:p w14:paraId="30778B46" w14:textId="77777777" w:rsidR="00915BF5" w:rsidRDefault="00B160CA">
      <w:pPr>
        <w:rPr>
          <w:b/>
          <w:bCs/>
        </w:rPr>
      </w:pPr>
      <w:r>
        <w:rPr>
          <w:b/>
          <w:bCs/>
        </w:rPr>
        <w:t xml:space="preserve">Segmentation </w:t>
      </w:r>
    </w:p>
    <w:p w14:paraId="7526D91D" w14:textId="77777777" w:rsidR="00915BF5" w:rsidRDefault="00B160CA">
      <w:r>
        <w:t xml:space="preserve">The increasing </w:t>
      </w:r>
      <w:r w:rsidR="00EB76DF">
        <w:t>prices of energy bills due to higher consumption rate affect</w:t>
      </w:r>
      <w:r>
        <w:t xml:space="preserve"> financial stability and livelihoods of the </w:t>
      </w:r>
      <w:r w:rsidR="00EB76DF">
        <w:t>public</w:t>
      </w:r>
      <w:r>
        <w:t xml:space="preserve">. In 2022, households in the East of England have been identified to be the largest average domestic consumption while the South East and South West regions reported consumption of national average of 3.4 megawatt hours per household (Rathore, 2026). The target customers RetrofitIQ will be selected based on behavioural, </w:t>
      </w:r>
      <w:r w:rsidR="00EB76DF">
        <w:t>psychographic,</w:t>
      </w:r>
      <w:r>
        <w:t xml:space="preserve"> and geographic variables under the segmentation process that will allow the company to fulfil dire needs. </w:t>
      </w:r>
    </w:p>
    <w:p w14:paraId="6E6421D2" w14:textId="77777777" w:rsidR="00915BF5" w:rsidRDefault="00B160CA">
      <w:pPr>
        <w:rPr>
          <w:b/>
          <w:bCs/>
          <w:i/>
          <w:iCs/>
        </w:rPr>
      </w:pPr>
      <w:r>
        <w:rPr>
          <w:b/>
          <w:bCs/>
          <w:i/>
          <w:iCs/>
        </w:rPr>
        <w:t xml:space="preserve">Behavioural </w:t>
      </w:r>
    </w:p>
    <w:p w14:paraId="127271E6" w14:textId="77777777" w:rsidR="00915BF5" w:rsidRDefault="00B160CA">
      <w:r>
        <w:t xml:space="preserve">Selection of each individual will based on perspective regarding leading a sustainable lifestyle through ethical practices. Based on observation RetrofitIQ will also be able to facilitate a customer centric approach to improve the product for future references. </w:t>
      </w:r>
    </w:p>
    <w:p w14:paraId="4B883ABA" w14:textId="77777777" w:rsidR="00915BF5" w:rsidRDefault="00B160CA">
      <w:pPr>
        <w:rPr>
          <w:b/>
          <w:bCs/>
          <w:i/>
          <w:iCs/>
        </w:rPr>
      </w:pPr>
      <w:r>
        <w:rPr>
          <w:b/>
          <w:bCs/>
          <w:i/>
          <w:iCs/>
        </w:rPr>
        <w:t>Psychographic</w:t>
      </w:r>
    </w:p>
    <w:p w14:paraId="4441D7EC" w14:textId="77777777" w:rsidR="00915BF5" w:rsidRDefault="00B160CA">
      <w:r>
        <w:t xml:space="preserve">Psychographic variations will be selected based on habits, </w:t>
      </w:r>
      <w:r w:rsidR="00EB76DF">
        <w:t>values,</w:t>
      </w:r>
      <w:r>
        <w:t xml:space="preserve"> and interest that will allow the company to promote sustainable awareness and proper use of green energy. Customers will be selected based on lifestyle choices and daily consumption patterns that require a sustainable upgrade for increasing efficiency. </w:t>
      </w:r>
    </w:p>
    <w:p w14:paraId="2D055738" w14:textId="77777777" w:rsidR="00915BF5" w:rsidRDefault="00B160CA">
      <w:pPr>
        <w:rPr>
          <w:b/>
          <w:bCs/>
          <w:i/>
          <w:iCs/>
        </w:rPr>
      </w:pPr>
      <w:r>
        <w:rPr>
          <w:b/>
          <w:bCs/>
          <w:i/>
          <w:iCs/>
        </w:rPr>
        <w:t xml:space="preserve">Geographic </w:t>
      </w:r>
    </w:p>
    <w:p w14:paraId="40EFDB0E" w14:textId="77777777" w:rsidR="00915BF5" w:rsidRDefault="00B160CA">
      <w:r>
        <w:t xml:space="preserve">Based on the identified area from market research, the product will be marketed in selected regions reporting extensive energy consumption. The target market will be selected based on carbon emission that leads to environmental degradation, harming surrounding neighbourhoods. </w:t>
      </w:r>
    </w:p>
    <w:p w14:paraId="4CB38E83" w14:textId="77777777" w:rsidR="00915BF5" w:rsidRDefault="00B160CA">
      <w:pPr>
        <w:rPr>
          <w:b/>
          <w:bCs/>
        </w:rPr>
      </w:pPr>
      <w:r>
        <w:rPr>
          <w:b/>
          <w:bCs/>
        </w:rPr>
        <w:t>Targeting</w:t>
      </w:r>
    </w:p>
    <w:p w14:paraId="1F6F1D0C" w14:textId="77777777" w:rsidR="001F1D5E" w:rsidRDefault="00B160CA">
      <w:r>
        <w:t xml:space="preserve">The process of targeting under the STP </w:t>
      </w:r>
      <w:r w:rsidR="00EB76DF">
        <w:t>context</w:t>
      </w:r>
      <w:r>
        <w:t xml:space="preserve"> segregates groups of individuals based on traits and characteristics. The process aims to utilise information gathered through everyday observation and online behaviour of consumers, that makes the marketing approach feasible (Gumanti, 2025). RetrofitIQ will target customers based on behavioural traits of purchasing habits, product usages, and buying frequency that will allow them to advertise the product with accuracy. </w:t>
      </w:r>
    </w:p>
    <w:p w14:paraId="04BA0697" w14:textId="77777777" w:rsidR="00EB76DF" w:rsidRDefault="00EB76DF">
      <w:r>
        <w:br w:type="page"/>
      </w:r>
    </w:p>
    <w:p w14:paraId="6F9B8F4B" w14:textId="77777777" w:rsidR="00915BF5" w:rsidRDefault="00B160CA">
      <w:r>
        <w:t xml:space="preserve">Psychographic traits will follow aspects of lifestyle, personal </w:t>
      </w:r>
      <w:r w:rsidR="00EB76DF">
        <w:t>values,</w:t>
      </w:r>
      <w:r>
        <w:t xml:space="preserve"> and interest that </w:t>
      </w:r>
      <w:r w:rsidR="00730B11">
        <w:t>reciprocate</w:t>
      </w:r>
      <w:r>
        <w:t xml:space="preserve"> ethical and sustainable perspectives. Based on market research, geographic variables will select regions of Headington and North ward, Hove Park and Withdean, Bath and North East Somerset in cities like Oxford, Brighton, Hove, Southampton (South East) and Bristol, Bath, Plymouth (South West) throughout the UK. </w:t>
      </w:r>
    </w:p>
    <w:tbl>
      <w:tblPr>
        <w:tblStyle w:val="a2"/>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05"/>
        <w:gridCol w:w="1425"/>
        <w:gridCol w:w="5670"/>
      </w:tblGrid>
      <w:tr w:rsidR="00915BF5" w14:paraId="25D1DDD2" w14:textId="77777777" w:rsidTr="005C025B">
        <w:trPr>
          <w:trHeight w:val="440"/>
        </w:trPr>
        <w:tc>
          <w:tcPr>
            <w:tcW w:w="1905" w:type="dxa"/>
            <w:vMerge w:val="restart"/>
            <w:shd w:val="clear" w:color="auto" w:fill="D6E3BC" w:themeFill="accent3" w:themeFillTint="66"/>
            <w:tcMar>
              <w:top w:w="100" w:type="dxa"/>
              <w:left w:w="100" w:type="dxa"/>
              <w:bottom w:w="100" w:type="dxa"/>
              <w:right w:w="100" w:type="dxa"/>
            </w:tcMar>
          </w:tcPr>
          <w:p w14:paraId="3DD5122E" w14:textId="77777777" w:rsidR="00915BF5" w:rsidRDefault="00B160CA">
            <w:pPr>
              <w:widowControl w:val="0"/>
              <w:pBdr>
                <w:top w:val="nil"/>
                <w:left w:val="nil"/>
                <w:bottom w:val="nil"/>
                <w:right w:val="nil"/>
                <w:between w:val="nil"/>
              </w:pBdr>
              <w:jc w:val="center"/>
            </w:pPr>
            <w:r>
              <w:t xml:space="preserve">Behavioural </w:t>
            </w:r>
          </w:p>
        </w:tc>
        <w:tc>
          <w:tcPr>
            <w:tcW w:w="1425" w:type="dxa"/>
            <w:tcMar>
              <w:top w:w="100" w:type="dxa"/>
              <w:left w:w="100" w:type="dxa"/>
              <w:bottom w:w="100" w:type="dxa"/>
              <w:right w:w="100" w:type="dxa"/>
            </w:tcMar>
          </w:tcPr>
          <w:p w14:paraId="322731C6" w14:textId="77777777" w:rsidR="00915BF5" w:rsidRDefault="00B160CA">
            <w:pPr>
              <w:widowControl w:val="0"/>
              <w:pBdr>
                <w:top w:val="nil"/>
                <w:left w:val="nil"/>
                <w:bottom w:val="nil"/>
                <w:right w:val="nil"/>
                <w:between w:val="nil"/>
              </w:pBdr>
              <w:jc w:val="center"/>
            </w:pPr>
            <w:r>
              <w:t xml:space="preserve">Purchasing habits </w:t>
            </w:r>
          </w:p>
        </w:tc>
        <w:tc>
          <w:tcPr>
            <w:tcW w:w="5670" w:type="dxa"/>
            <w:tcMar>
              <w:top w:w="100" w:type="dxa"/>
              <w:left w:w="100" w:type="dxa"/>
              <w:bottom w:w="100" w:type="dxa"/>
              <w:right w:w="100" w:type="dxa"/>
            </w:tcMar>
          </w:tcPr>
          <w:p w14:paraId="24AD4236" w14:textId="77777777" w:rsidR="00915BF5" w:rsidRDefault="00B160CA">
            <w:pPr>
              <w:widowControl w:val="0"/>
              <w:pBdr>
                <w:top w:val="nil"/>
                <w:left w:val="nil"/>
                <w:bottom w:val="nil"/>
                <w:right w:val="nil"/>
                <w:between w:val="nil"/>
              </w:pBdr>
            </w:pPr>
            <w:r>
              <w:t xml:space="preserve">Sustainable products, ethically aware, low carbon output </w:t>
            </w:r>
          </w:p>
        </w:tc>
      </w:tr>
      <w:tr w:rsidR="00915BF5" w14:paraId="613B5EEE" w14:textId="77777777" w:rsidTr="005C025B">
        <w:trPr>
          <w:trHeight w:val="440"/>
        </w:trPr>
        <w:tc>
          <w:tcPr>
            <w:tcW w:w="1905" w:type="dxa"/>
            <w:vMerge/>
            <w:shd w:val="clear" w:color="auto" w:fill="D6E3BC" w:themeFill="accent3" w:themeFillTint="66"/>
            <w:tcMar>
              <w:top w:w="100" w:type="dxa"/>
              <w:left w:w="100" w:type="dxa"/>
              <w:bottom w:w="100" w:type="dxa"/>
              <w:right w:w="100" w:type="dxa"/>
            </w:tcMar>
          </w:tcPr>
          <w:p w14:paraId="7F3790B6" w14:textId="77777777" w:rsidR="00915BF5" w:rsidRDefault="00915BF5">
            <w:pPr>
              <w:widowControl w:val="0"/>
              <w:pBdr>
                <w:top w:val="nil"/>
                <w:left w:val="nil"/>
                <w:bottom w:val="nil"/>
                <w:right w:val="nil"/>
                <w:between w:val="nil"/>
              </w:pBdr>
              <w:spacing w:line="240" w:lineRule="auto"/>
              <w:jc w:val="left"/>
            </w:pPr>
          </w:p>
        </w:tc>
        <w:tc>
          <w:tcPr>
            <w:tcW w:w="1425" w:type="dxa"/>
            <w:tcMar>
              <w:top w:w="100" w:type="dxa"/>
              <w:left w:w="100" w:type="dxa"/>
              <w:bottom w:w="100" w:type="dxa"/>
              <w:right w:w="100" w:type="dxa"/>
            </w:tcMar>
          </w:tcPr>
          <w:p w14:paraId="11B784A4" w14:textId="77777777" w:rsidR="00915BF5" w:rsidRDefault="00B160CA">
            <w:pPr>
              <w:widowControl w:val="0"/>
              <w:pBdr>
                <w:top w:val="nil"/>
                <w:left w:val="nil"/>
                <w:bottom w:val="nil"/>
                <w:right w:val="nil"/>
                <w:between w:val="nil"/>
              </w:pBdr>
              <w:jc w:val="center"/>
            </w:pPr>
            <w:r>
              <w:t xml:space="preserve">Product use </w:t>
            </w:r>
          </w:p>
        </w:tc>
        <w:tc>
          <w:tcPr>
            <w:tcW w:w="5670" w:type="dxa"/>
            <w:tcMar>
              <w:top w:w="100" w:type="dxa"/>
              <w:left w:w="100" w:type="dxa"/>
              <w:bottom w:w="100" w:type="dxa"/>
              <w:right w:w="100" w:type="dxa"/>
            </w:tcMar>
          </w:tcPr>
          <w:p w14:paraId="4868380E" w14:textId="77777777" w:rsidR="00915BF5" w:rsidRDefault="00B160CA">
            <w:pPr>
              <w:widowControl w:val="0"/>
              <w:pBdr>
                <w:top w:val="nil"/>
                <w:left w:val="nil"/>
                <w:bottom w:val="nil"/>
                <w:right w:val="nil"/>
                <w:between w:val="nil"/>
              </w:pBdr>
            </w:pPr>
            <w:r>
              <w:t xml:space="preserve">Everyday use, reliable, longevity, no waste policy </w:t>
            </w:r>
          </w:p>
        </w:tc>
      </w:tr>
      <w:tr w:rsidR="00915BF5" w14:paraId="52C274C8" w14:textId="77777777" w:rsidTr="005C025B">
        <w:trPr>
          <w:trHeight w:val="440"/>
        </w:trPr>
        <w:tc>
          <w:tcPr>
            <w:tcW w:w="1905" w:type="dxa"/>
            <w:vMerge/>
            <w:shd w:val="clear" w:color="auto" w:fill="D6E3BC" w:themeFill="accent3" w:themeFillTint="66"/>
            <w:tcMar>
              <w:top w:w="100" w:type="dxa"/>
              <w:left w:w="100" w:type="dxa"/>
              <w:bottom w:w="100" w:type="dxa"/>
              <w:right w:w="100" w:type="dxa"/>
            </w:tcMar>
          </w:tcPr>
          <w:p w14:paraId="3DB5B53D" w14:textId="77777777" w:rsidR="00915BF5" w:rsidRDefault="00915BF5">
            <w:pPr>
              <w:widowControl w:val="0"/>
              <w:pBdr>
                <w:top w:val="nil"/>
                <w:left w:val="nil"/>
                <w:bottom w:val="nil"/>
                <w:right w:val="nil"/>
                <w:between w:val="nil"/>
              </w:pBdr>
              <w:spacing w:line="240" w:lineRule="auto"/>
              <w:jc w:val="left"/>
            </w:pPr>
          </w:p>
        </w:tc>
        <w:tc>
          <w:tcPr>
            <w:tcW w:w="1425" w:type="dxa"/>
            <w:tcMar>
              <w:top w:w="100" w:type="dxa"/>
              <w:left w:w="100" w:type="dxa"/>
              <w:bottom w:w="100" w:type="dxa"/>
              <w:right w:w="100" w:type="dxa"/>
            </w:tcMar>
          </w:tcPr>
          <w:p w14:paraId="7EF6CAC2" w14:textId="77777777" w:rsidR="00915BF5" w:rsidRDefault="00B160CA">
            <w:pPr>
              <w:widowControl w:val="0"/>
              <w:pBdr>
                <w:top w:val="nil"/>
                <w:left w:val="nil"/>
                <w:bottom w:val="nil"/>
                <w:right w:val="nil"/>
                <w:between w:val="nil"/>
              </w:pBdr>
              <w:jc w:val="center"/>
            </w:pPr>
            <w:r>
              <w:t>Buying frequency</w:t>
            </w:r>
          </w:p>
        </w:tc>
        <w:tc>
          <w:tcPr>
            <w:tcW w:w="5670" w:type="dxa"/>
            <w:tcMar>
              <w:top w:w="100" w:type="dxa"/>
              <w:left w:w="100" w:type="dxa"/>
              <w:bottom w:w="100" w:type="dxa"/>
              <w:right w:w="100" w:type="dxa"/>
            </w:tcMar>
          </w:tcPr>
          <w:p w14:paraId="5CCD805E" w14:textId="77777777" w:rsidR="00915BF5" w:rsidRDefault="00B160CA">
            <w:pPr>
              <w:widowControl w:val="0"/>
              <w:pBdr>
                <w:top w:val="nil"/>
                <w:left w:val="nil"/>
                <w:bottom w:val="nil"/>
                <w:right w:val="nil"/>
                <w:between w:val="nil"/>
              </w:pBdr>
            </w:pPr>
            <w:r>
              <w:t xml:space="preserve">Frequent, upgrading as per requirement, affordable products, investment  based on returns </w:t>
            </w:r>
          </w:p>
        </w:tc>
      </w:tr>
      <w:tr w:rsidR="00915BF5" w14:paraId="4A765EDD" w14:textId="77777777" w:rsidTr="005C025B">
        <w:trPr>
          <w:trHeight w:val="440"/>
        </w:trPr>
        <w:tc>
          <w:tcPr>
            <w:tcW w:w="1905" w:type="dxa"/>
            <w:vMerge w:val="restart"/>
            <w:shd w:val="clear" w:color="auto" w:fill="D6E3BC" w:themeFill="accent3" w:themeFillTint="66"/>
            <w:tcMar>
              <w:top w:w="100" w:type="dxa"/>
              <w:left w:w="100" w:type="dxa"/>
              <w:bottom w:w="100" w:type="dxa"/>
              <w:right w:w="100" w:type="dxa"/>
            </w:tcMar>
          </w:tcPr>
          <w:p w14:paraId="0907064F" w14:textId="77777777" w:rsidR="00915BF5" w:rsidRDefault="00B160CA">
            <w:pPr>
              <w:widowControl w:val="0"/>
              <w:pBdr>
                <w:top w:val="nil"/>
                <w:left w:val="nil"/>
                <w:bottom w:val="nil"/>
                <w:right w:val="nil"/>
                <w:between w:val="nil"/>
              </w:pBdr>
              <w:jc w:val="center"/>
            </w:pPr>
            <w:r>
              <w:t xml:space="preserve">Psychographic  </w:t>
            </w:r>
          </w:p>
        </w:tc>
        <w:tc>
          <w:tcPr>
            <w:tcW w:w="1425" w:type="dxa"/>
            <w:tcMar>
              <w:top w:w="100" w:type="dxa"/>
              <w:left w:w="100" w:type="dxa"/>
              <w:bottom w:w="100" w:type="dxa"/>
              <w:right w:w="100" w:type="dxa"/>
            </w:tcMar>
          </w:tcPr>
          <w:p w14:paraId="6D89BC85" w14:textId="77777777" w:rsidR="00915BF5" w:rsidRDefault="00B160CA">
            <w:pPr>
              <w:widowControl w:val="0"/>
              <w:pBdr>
                <w:top w:val="nil"/>
                <w:left w:val="nil"/>
                <w:bottom w:val="nil"/>
                <w:right w:val="nil"/>
                <w:between w:val="nil"/>
              </w:pBdr>
              <w:jc w:val="center"/>
            </w:pPr>
            <w:r>
              <w:t xml:space="preserve">Lifestyle </w:t>
            </w:r>
          </w:p>
        </w:tc>
        <w:tc>
          <w:tcPr>
            <w:tcW w:w="5670" w:type="dxa"/>
            <w:tcMar>
              <w:top w:w="100" w:type="dxa"/>
              <w:left w:w="100" w:type="dxa"/>
              <w:bottom w:w="100" w:type="dxa"/>
              <w:right w:w="100" w:type="dxa"/>
            </w:tcMar>
          </w:tcPr>
          <w:p w14:paraId="58122084" w14:textId="77777777" w:rsidR="00915BF5" w:rsidRDefault="00B160CA">
            <w:pPr>
              <w:widowControl w:val="0"/>
              <w:pBdr>
                <w:top w:val="nil"/>
                <w:left w:val="nil"/>
                <w:bottom w:val="nil"/>
                <w:right w:val="nil"/>
                <w:between w:val="nil"/>
              </w:pBdr>
            </w:pPr>
            <w:r>
              <w:t xml:space="preserve">Ethically and sustainably driven, contributes to community wellbeing, ecological practices in everyday life </w:t>
            </w:r>
          </w:p>
        </w:tc>
      </w:tr>
      <w:tr w:rsidR="00915BF5" w14:paraId="31FF1D9A" w14:textId="77777777" w:rsidTr="005C025B">
        <w:trPr>
          <w:trHeight w:val="440"/>
        </w:trPr>
        <w:tc>
          <w:tcPr>
            <w:tcW w:w="1905" w:type="dxa"/>
            <w:vMerge/>
            <w:shd w:val="clear" w:color="auto" w:fill="D6E3BC" w:themeFill="accent3" w:themeFillTint="66"/>
            <w:tcMar>
              <w:top w:w="100" w:type="dxa"/>
              <w:left w:w="100" w:type="dxa"/>
              <w:bottom w:w="100" w:type="dxa"/>
              <w:right w:w="100" w:type="dxa"/>
            </w:tcMar>
          </w:tcPr>
          <w:p w14:paraId="3A22283D" w14:textId="77777777" w:rsidR="00915BF5" w:rsidRDefault="00915BF5">
            <w:pPr>
              <w:widowControl w:val="0"/>
              <w:pBdr>
                <w:top w:val="nil"/>
                <w:left w:val="nil"/>
                <w:bottom w:val="nil"/>
                <w:right w:val="nil"/>
                <w:between w:val="nil"/>
              </w:pBdr>
              <w:spacing w:line="240" w:lineRule="auto"/>
              <w:jc w:val="left"/>
            </w:pPr>
          </w:p>
        </w:tc>
        <w:tc>
          <w:tcPr>
            <w:tcW w:w="1425" w:type="dxa"/>
            <w:tcMar>
              <w:top w:w="100" w:type="dxa"/>
              <w:left w:w="100" w:type="dxa"/>
              <w:bottom w:w="100" w:type="dxa"/>
              <w:right w:w="100" w:type="dxa"/>
            </w:tcMar>
          </w:tcPr>
          <w:p w14:paraId="4B6E91D6" w14:textId="77777777" w:rsidR="00915BF5" w:rsidRDefault="00B160CA">
            <w:pPr>
              <w:widowControl w:val="0"/>
              <w:pBdr>
                <w:top w:val="nil"/>
                <w:left w:val="nil"/>
                <w:bottom w:val="nil"/>
                <w:right w:val="nil"/>
                <w:between w:val="nil"/>
              </w:pBdr>
              <w:jc w:val="center"/>
            </w:pPr>
            <w:r>
              <w:t xml:space="preserve">Values </w:t>
            </w:r>
          </w:p>
        </w:tc>
        <w:tc>
          <w:tcPr>
            <w:tcW w:w="5670" w:type="dxa"/>
            <w:tcMar>
              <w:top w:w="100" w:type="dxa"/>
              <w:left w:w="100" w:type="dxa"/>
              <w:bottom w:w="100" w:type="dxa"/>
              <w:right w:w="100" w:type="dxa"/>
            </w:tcMar>
          </w:tcPr>
          <w:p w14:paraId="6BDDAB3C" w14:textId="77777777" w:rsidR="00915BF5" w:rsidRDefault="00B160CA">
            <w:pPr>
              <w:widowControl w:val="0"/>
              <w:pBdr>
                <w:top w:val="nil"/>
                <w:left w:val="nil"/>
                <w:bottom w:val="nil"/>
                <w:right w:val="nil"/>
                <w:between w:val="nil"/>
              </w:pBdr>
            </w:pPr>
            <w:r>
              <w:t xml:space="preserve">Environmental protection, long term responsibility, </w:t>
            </w:r>
            <w:r w:rsidR="005C025B">
              <w:t>eco-friendly</w:t>
            </w:r>
            <w:r>
              <w:t xml:space="preserve"> integrity </w:t>
            </w:r>
          </w:p>
        </w:tc>
      </w:tr>
      <w:tr w:rsidR="00915BF5" w14:paraId="6E9906DA" w14:textId="77777777" w:rsidTr="005C025B">
        <w:trPr>
          <w:trHeight w:val="440"/>
        </w:trPr>
        <w:tc>
          <w:tcPr>
            <w:tcW w:w="1905" w:type="dxa"/>
            <w:vMerge/>
            <w:shd w:val="clear" w:color="auto" w:fill="D6E3BC" w:themeFill="accent3" w:themeFillTint="66"/>
            <w:tcMar>
              <w:top w:w="100" w:type="dxa"/>
              <w:left w:w="100" w:type="dxa"/>
              <w:bottom w:w="100" w:type="dxa"/>
              <w:right w:w="100" w:type="dxa"/>
            </w:tcMar>
          </w:tcPr>
          <w:p w14:paraId="231F59B7" w14:textId="77777777" w:rsidR="00915BF5" w:rsidRDefault="00915BF5">
            <w:pPr>
              <w:widowControl w:val="0"/>
              <w:pBdr>
                <w:top w:val="nil"/>
                <w:left w:val="nil"/>
                <w:bottom w:val="nil"/>
                <w:right w:val="nil"/>
                <w:between w:val="nil"/>
              </w:pBdr>
              <w:spacing w:line="240" w:lineRule="auto"/>
              <w:jc w:val="left"/>
            </w:pPr>
          </w:p>
        </w:tc>
        <w:tc>
          <w:tcPr>
            <w:tcW w:w="1425" w:type="dxa"/>
            <w:tcMar>
              <w:top w:w="100" w:type="dxa"/>
              <w:left w:w="100" w:type="dxa"/>
              <w:bottom w:w="100" w:type="dxa"/>
              <w:right w:w="100" w:type="dxa"/>
            </w:tcMar>
          </w:tcPr>
          <w:p w14:paraId="04C180E0" w14:textId="77777777" w:rsidR="00915BF5" w:rsidRDefault="00B160CA">
            <w:pPr>
              <w:widowControl w:val="0"/>
              <w:pBdr>
                <w:top w:val="nil"/>
                <w:left w:val="nil"/>
                <w:bottom w:val="nil"/>
                <w:right w:val="nil"/>
                <w:between w:val="nil"/>
              </w:pBdr>
              <w:jc w:val="center"/>
            </w:pPr>
            <w:r>
              <w:t xml:space="preserve">Interest </w:t>
            </w:r>
          </w:p>
        </w:tc>
        <w:tc>
          <w:tcPr>
            <w:tcW w:w="5670" w:type="dxa"/>
            <w:tcMar>
              <w:top w:w="100" w:type="dxa"/>
              <w:left w:w="100" w:type="dxa"/>
              <w:bottom w:w="100" w:type="dxa"/>
              <w:right w:w="100" w:type="dxa"/>
            </w:tcMar>
          </w:tcPr>
          <w:p w14:paraId="0E79B81E" w14:textId="77777777" w:rsidR="00915BF5" w:rsidRDefault="00B160CA">
            <w:pPr>
              <w:widowControl w:val="0"/>
              <w:pBdr>
                <w:top w:val="nil"/>
                <w:left w:val="nil"/>
                <w:bottom w:val="nil"/>
                <w:right w:val="nil"/>
                <w:between w:val="nil"/>
              </w:pBdr>
            </w:pPr>
            <w:r>
              <w:t>Affordability, durability, technologically efficient</w:t>
            </w:r>
          </w:p>
        </w:tc>
      </w:tr>
      <w:tr w:rsidR="00915BF5" w14:paraId="3134267E" w14:textId="77777777" w:rsidTr="005C025B">
        <w:trPr>
          <w:trHeight w:val="440"/>
        </w:trPr>
        <w:tc>
          <w:tcPr>
            <w:tcW w:w="1905" w:type="dxa"/>
            <w:vMerge w:val="restart"/>
            <w:shd w:val="clear" w:color="auto" w:fill="D6E3BC" w:themeFill="accent3" w:themeFillTint="66"/>
            <w:tcMar>
              <w:top w:w="100" w:type="dxa"/>
              <w:left w:w="100" w:type="dxa"/>
              <w:bottom w:w="100" w:type="dxa"/>
              <w:right w:w="100" w:type="dxa"/>
            </w:tcMar>
          </w:tcPr>
          <w:p w14:paraId="7FA8BC9F" w14:textId="77777777" w:rsidR="00915BF5" w:rsidRDefault="00B160CA">
            <w:pPr>
              <w:widowControl w:val="0"/>
              <w:pBdr>
                <w:top w:val="nil"/>
                <w:left w:val="nil"/>
                <w:bottom w:val="nil"/>
                <w:right w:val="nil"/>
                <w:between w:val="nil"/>
              </w:pBdr>
              <w:jc w:val="center"/>
            </w:pPr>
            <w:r>
              <w:t xml:space="preserve">Geographic </w:t>
            </w:r>
          </w:p>
        </w:tc>
        <w:tc>
          <w:tcPr>
            <w:tcW w:w="1425" w:type="dxa"/>
            <w:tcMar>
              <w:top w:w="100" w:type="dxa"/>
              <w:left w:w="100" w:type="dxa"/>
              <w:bottom w:w="100" w:type="dxa"/>
              <w:right w:w="100" w:type="dxa"/>
            </w:tcMar>
          </w:tcPr>
          <w:p w14:paraId="07592177" w14:textId="77777777" w:rsidR="00915BF5" w:rsidRDefault="00B160CA">
            <w:pPr>
              <w:widowControl w:val="0"/>
              <w:pBdr>
                <w:top w:val="nil"/>
                <w:left w:val="nil"/>
                <w:bottom w:val="nil"/>
                <w:right w:val="nil"/>
                <w:between w:val="nil"/>
              </w:pBdr>
              <w:jc w:val="center"/>
            </w:pPr>
            <w:r>
              <w:t xml:space="preserve">Location </w:t>
            </w:r>
          </w:p>
        </w:tc>
        <w:tc>
          <w:tcPr>
            <w:tcW w:w="5670" w:type="dxa"/>
            <w:tcMar>
              <w:top w:w="100" w:type="dxa"/>
              <w:left w:w="100" w:type="dxa"/>
              <w:bottom w:w="100" w:type="dxa"/>
              <w:right w:w="100" w:type="dxa"/>
            </w:tcMar>
          </w:tcPr>
          <w:p w14:paraId="016595E5" w14:textId="77777777" w:rsidR="00915BF5" w:rsidRDefault="00B160CA">
            <w:pPr>
              <w:widowControl w:val="0"/>
              <w:pBdr>
                <w:top w:val="nil"/>
                <w:left w:val="nil"/>
                <w:bottom w:val="nil"/>
                <w:right w:val="nil"/>
                <w:between w:val="nil"/>
              </w:pBdr>
            </w:pPr>
            <w:r>
              <w:t xml:space="preserve">United Kingdom </w:t>
            </w:r>
          </w:p>
        </w:tc>
      </w:tr>
      <w:tr w:rsidR="00915BF5" w14:paraId="5B0A2A76" w14:textId="77777777" w:rsidTr="005C025B">
        <w:trPr>
          <w:trHeight w:val="440"/>
        </w:trPr>
        <w:tc>
          <w:tcPr>
            <w:tcW w:w="1905" w:type="dxa"/>
            <w:vMerge/>
            <w:shd w:val="clear" w:color="auto" w:fill="D6E3BC" w:themeFill="accent3" w:themeFillTint="66"/>
            <w:tcMar>
              <w:top w:w="100" w:type="dxa"/>
              <w:left w:w="100" w:type="dxa"/>
              <w:bottom w:w="100" w:type="dxa"/>
              <w:right w:w="100" w:type="dxa"/>
            </w:tcMar>
          </w:tcPr>
          <w:p w14:paraId="38B5815F" w14:textId="77777777" w:rsidR="00915BF5" w:rsidRDefault="00915BF5">
            <w:pPr>
              <w:widowControl w:val="0"/>
              <w:pBdr>
                <w:top w:val="nil"/>
                <w:left w:val="nil"/>
                <w:bottom w:val="nil"/>
                <w:right w:val="nil"/>
                <w:between w:val="nil"/>
              </w:pBdr>
              <w:spacing w:line="240" w:lineRule="auto"/>
              <w:jc w:val="left"/>
            </w:pPr>
          </w:p>
        </w:tc>
        <w:tc>
          <w:tcPr>
            <w:tcW w:w="1425" w:type="dxa"/>
            <w:tcMar>
              <w:top w:w="100" w:type="dxa"/>
              <w:left w:w="100" w:type="dxa"/>
              <w:bottom w:w="100" w:type="dxa"/>
              <w:right w:w="100" w:type="dxa"/>
            </w:tcMar>
          </w:tcPr>
          <w:p w14:paraId="2630F770" w14:textId="77777777" w:rsidR="00915BF5" w:rsidRDefault="00B160CA">
            <w:pPr>
              <w:widowControl w:val="0"/>
              <w:pBdr>
                <w:top w:val="nil"/>
                <w:left w:val="nil"/>
                <w:bottom w:val="nil"/>
                <w:right w:val="nil"/>
                <w:between w:val="nil"/>
              </w:pBdr>
              <w:jc w:val="center"/>
            </w:pPr>
            <w:r>
              <w:t xml:space="preserve">City </w:t>
            </w:r>
          </w:p>
        </w:tc>
        <w:tc>
          <w:tcPr>
            <w:tcW w:w="5670" w:type="dxa"/>
            <w:tcMar>
              <w:top w:w="100" w:type="dxa"/>
              <w:left w:w="100" w:type="dxa"/>
              <w:bottom w:w="100" w:type="dxa"/>
              <w:right w:w="100" w:type="dxa"/>
            </w:tcMar>
          </w:tcPr>
          <w:p w14:paraId="3F913E48" w14:textId="77777777" w:rsidR="00915BF5" w:rsidRDefault="00B160CA">
            <w:pPr>
              <w:widowControl w:val="0"/>
              <w:pBdr>
                <w:top w:val="nil"/>
                <w:left w:val="nil"/>
                <w:bottom w:val="nil"/>
                <w:right w:val="nil"/>
                <w:between w:val="nil"/>
              </w:pBdr>
            </w:pPr>
            <w:r>
              <w:t>Oxford, Brighton, Hove, Southampton (South East)</w:t>
            </w:r>
          </w:p>
          <w:p w14:paraId="420F2BA5" w14:textId="77777777" w:rsidR="00915BF5" w:rsidRDefault="00B160CA">
            <w:pPr>
              <w:widowControl w:val="0"/>
              <w:pBdr>
                <w:top w:val="nil"/>
                <w:left w:val="nil"/>
                <w:bottom w:val="nil"/>
                <w:right w:val="nil"/>
                <w:between w:val="nil"/>
              </w:pBdr>
            </w:pPr>
            <w:r>
              <w:t>Bristol, Bath, Plymouth (South West)</w:t>
            </w:r>
          </w:p>
        </w:tc>
      </w:tr>
      <w:tr w:rsidR="00915BF5" w14:paraId="2B58DA06" w14:textId="77777777" w:rsidTr="005C025B">
        <w:trPr>
          <w:trHeight w:val="440"/>
        </w:trPr>
        <w:tc>
          <w:tcPr>
            <w:tcW w:w="1905" w:type="dxa"/>
            <w:vMerge/>
            <w:shd w:val="clear" w:color="auto" w:fill="D6E3BC" w:themeFill="accent3" w:themeFillTint="66"/>
            <w:tcMar>
              <w:top w:w="100" w:type="dxa"/>
              <w:left w:w="100" w:type="dxa"/>
              <w:bottom w:w="100" w:type="dxa"/>
              <w:right w:w="100" w:type="dxa"/>
            </w:tcMar>
          </w:tcPr>
          <w:p w14:paraId="300BE2AF" w14:textId="77777777" w:rsidR="00915BF5" w:rsidRDefault="00915BF5">
            <w:pPr>
              <w:widowControl w:val="0"/>
              <w:pBdr>
                <w:top w:val="nil"/>
                <w:left w:val="nil"/>
                <w:bottom w:val="nil"/>
                <w:right w:val="nil"/>
                <w:between w:val="nil"/>
              </w:pBdr>
              <w:spacing w:line="240" w:lineRule="auto"/>
              <w:jc w:val="left"/>
            </w:pPr>
          </w:p>
        </w:tc>
        <w:tc>
          <w:tcPr>
            <w:tcW w:w="1425" w:type="dxa"/>
            <w:tcMar>
              <w:top w:w="100" w:type="dxa"/>
              <w:left w:w="100" w:type="dxa"/>
              <w:bottom w:w="100" w:type="dxa"/>
              <w:right w:w="100" w:type="dxa"/>
            </w:tcMar>
          </w:tcPr>
          <w:p w14:paraId="53042A0A" w14:textId="77777777" w:rsidR="00915BF5" w:rsidRDefault="00B160CA">
            <w:pPr>
              <w:widowControl w:val="0"/>
              <w:pBdr>
                <w:top w:val="nil"/>
                <w:left w:val="nil"/>
                <w:bottom w:val="nil"/>
                <w:right w:val="nil"/>
                <w:between w:val="nil"/>
              </w:pBdr>
              <w:jc w:val="center"/>
            </w:pPr>
            <w:r>
              <w:t>Region</w:t>
            </w:r>
          </w:p>
        </w:tc>
        <w:tc>
          <w:tcPr>
            <w:tcW w:w="5670" w:type="dxa"/>
            <w:tcMar>
              <w:top w:w="100" w:type="dxa"/>
              <w:left w:w="100" w:type="dxa"/>
              <w:bottom w:w="100" w:type="dxa"/>
              <w:right w:w="100" w:type="dxa"/>
            </w:tcMar>
          </w:tcPr>
          <w:p w14:paraId="61CDB2FF" w14:textId="77777777" w:rsidR="00915BF5" w:rsidRDefault="00B160CA">
            <w:pPr>
              <w:widowControl w:val="0"/>
              <w:pBdr>
                <w:top w:val="nil"/>
                <w:left w:val="nil"/>
                <w:bottom w:val="nil"/>
                <w:right w:val="nil"/>
                <w:between w:val="nil"/>
              </w:pBdr>
            </w:pPr>
            <w:r>
              <w:t xml:space="preserve">Headington and North ward, Hove Park and Withdean, Bath and North East Somerset </w:t>
            </w:r>
          </w:p>
        </w:tc>
      </w:tr>
    </w:tbl>
    <w:p w14:paraId="0AB0D58D" w14:textId="77777777" w:rsidR="00915BF5" w:rsidRDefault="00915BF5"/>
    <w:p w14:paraId="3CFD2CA2" w14:textId="77777777" w:rsidR="001F1D5E" w:rsidRDefault="001F1D5E">
      <w:pPr>
        <w:rPr>
          <w:b/>
          <w:bCs/>
        </w:rPr>
      </w:pPr>
      <w:r>
        <w:rPr>
          <w:b/>
          <w:bCs/>
        </w:rPr>
        <w:br w:type="page"/>
      </w:r>
    </w:p>
    <w:p w14:paraId="57A61559" w14:textId="77777777" w:rsidR="00915BF5" w:rsidRDefault="00B160CA">
      <w:pPr>
        <w:rPr>
          <w:b/>
          <w:bCs/>
        </w:rPr>
      </w:pPr>
      <w:r>
        <w:rPr>
          <w:b/>
          <w:bCs/>
        </w:rPr>
        <w:t>Positioning</w:t>
      </w:r>
      <w:r w:rsidR="001F1D5E">
        <w:rPr>
          <w:b/>
          <w:bCs/>
        </w:rPr>
        <w:t xml:space="preserve"> Map</w:t>
      </w:r>
    </w:p>
    <w:p w14:paraId="198DD0A6" w14:textId="77777777" w:rsidR="00915BF5" w:rsidRDefault="00B160CA">
      <w:pPr>
        <w:jc w:val="center"/>
      </w:pPr>
      <w:r>
        <w:rPr>
          <w:noProof/>
        </w:rPr>
        <w:drawing>
          <wp:inline distT="114300" distB="114300" distL="114300" distR="114300" wp14:anchorId="3AA2D404" wp14:editId="13AC7FC3">
            <wp:extent cx="5731200" cy="4432300"/>
            <wp:effectExtent l="12700" t="12700" r="12700" b="127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4432300"/>
                    </a:xfrm>
                    <a:prstGeom prst="rect">
                      <a:avLst/>
                    </a:prstGeom>
                    <a:ln w="12700">
                      <a:solidFill>
                        <a:srgbClr val="000000"/>
                      </a:solidFill>
                      <a:prstDash val="solid"/>
                    </a:ln>
                  </pic:spPr>
                </pic:pic>
              </a:graphicData>
            </a:graphic>
          </wp:inline>
        </w:drawing>
      </w:r>
    </w:p>
    <w:p w14:paraId="708A378F" w14:textId="77777777" w:rsidR="00915BF5" w:rsidRDefault="00B160CA">
      <w:pPr>
        <w:jc w:val="center"/>
        <w:rPr>
          <w:b/>
          <w:bCs/>
        </w:rPr>
      </w:pPr>
      <w:r>
        <w:rPr>
          <w:b/>
          <w:bCs/>
        </w:rPr>
        <w:t>Figure 3: Competitor positioning map for RetrofitIQ</w:t>
      </w:r>
    </w:p>
    <w:p w14:paraId="01825F31" w14:textId="77777777" w:rsidR="00915BF5" w:rsidRDefault="00B160CA">
      <w:r>
        <w:t xml:space="preserve">The above illustration represents current competitors for the </w:t>
      </w:r>
      <w:r w:rsidR="00EB76DF">
        <w:t>company, which</w:t>
      </w:r>
      <w:r>
        <w:t xml:space="preserve"> are, Wates Group, Mears Group, OVO Group, and Knauf. Competition will be significant for </w:t>
      </w:r>
      <w:r w:rsidR="005C025B">
        <w:t>RetrofitIQ</w:t>
      </w:r>
      <w:r>
        <w:t xml:space="preserve"> as both direct and indirect competitors have significant establishments in the UK market. </w:t>
      </w:r>
      <w:r w:rsidR="005C025B">
        <w:t>RetrofitIQ</w:t>
      </w:r>
      <w:r>
        <w:t xml:space="preserve"> will follow the quadrant of high quality and low price to retain customers more prominently. </w:t>
      </w:r>
    </w:p>
    <w:p w14:paraId="018A8032" w14:textId="77777777" w:rsidR="00915BF5" w:rsidRDefault="00B160CA">
      <w:pPr>
        <w:rPr>
          <w:b/>
          <w:bCs/>
          <w:highlight w:val="yellow"/>
        </w:rPr>
      </w:pPr>
      <w:r>
        <w:rPr>
          <w:b/>
          <w:bCs/>
        </w:rPr>
        <w:t>4P</w:t>
      </w:r>
      <w:r w:rsidR="004970E5">
        <w:rPr>
          <w:b/>
          <w:bCs/>
        </w:rPr>
        <w:t>s of marketing mix</w:t>
      </w:r>
    </w:p>
    <w:p w14:paraId="3964A3C8" w14:textId="77777777" w:rsidR="00915BF5" w:rsidRDefault="00B160CA">
      <w:pPr>
        <w:rPr>
          <w:b/>
          <w:bCs/>
        </w:rPr>
      </w:pPr>
      <w:r>
        <w:rPr>
          <w:b/>
          <w:bCs/>
        </w:rPr>
        <w:t xml:space="preserve">Product: </w:t>
      </w:r>
    </w:p>
    <w:p w14:paraId="64EBF5AC" w14:textId="77777777" w:rsidR="00915BF5" w:rsidRDefault="00B160CA">
      <w:r>
        <w:t xml:space="preserve">Comprehension of market gaps helps in product orientation and development process that aims to bridge existing gaps while fulfilling unmet customer needs (Dermawan </w:t>
      </w:r>
      <w:r>
        <w:rPr>
          <w:i/>
          <w:iCs/>
        </w:rPr>
        <w:t xml:space="preserve">et al., </w:t>
      </w:r>
      <w:r>
        <w:t xml:space="preserve">2023). </w:t>
      </w:r>
      <w:r w:rsidR="005C025B">
        <w:t>RetrofitIQ</w:t>
      </w:r>
      <w:r>
        <w:t xml:space="preserve"> is an AI driven domestic retrofit business that uses smart software to plan and install home energy upgrades. The company will also focus on empowering customers with data accessibility driven by AI integration to control the carbon footprint of household emission rates in the UK. </w:t>
      </w:r>
    </w:p>
    <w:p w14:paraId="4B3CBA0D" w14:textId="77777777" w:rsidR="001F1D5E" w:rsidRDefault="001F1D5E">
      <w:pPr>
        <w:rPr>
          <w:b/>
          <w:bCs/>
        </w:rPr>
      </w:pPr>
      <w:r>
        <w:rPr>
          <w:b/>
          <w:bCs/>
        </w:rPr>
        <w:br w:type="page"/>
      </w:r>
    </w:p>
    <w:p w14:paraId="73BA5425" w14:textId="77777777" w:rsidR="00915BF5" w:rsidRDefault="00B160CA">
      <w:pPr>
        <w:rPr>
          <w:b/>
          <w:bCs/>
        </w:rPr>
      </w:pPr>
      <w:r>
        <w:rPr>
          <w:b/>
          <w:bCs/>
        </w:rPr>
        <w:t xml:space="preserve">Price: </w:t>
      </w:r>
    </w:p>
    <w:p w14:paraId="4E3AFDF6" w14:textId="77777777" w:rsidR="00915BF5" w:rsidRDefault="00B160CA">
      <w:r>
        <w:t xml:space="preserve">Maintenance of price ranges regarding an innovative idea retains customers for a longer </w:t>
      </w:r>
      <w:r w:rsidR="00637549">
        <w:t>period</w:t>
      </w:r>
      <w:r>
        <w:t xml:space="preserve"> while promising product durability (Liu, 2025). </w:t>
      </w:r>
      <w:r w:rsidR="005C025B">
        <w:t>RetrofitIQ</w:t>
      </w:r>
      <w:r>
        <w:t xml:space="preserve"> will focus on value based pricing strategies that will allow the company to consider customer perception, </w:t>
      </w:r>
      <w:r w:rsidR="00637549">
        <w:t>benefits,</w:t>
      </w:r>
      <w:r>
        <w:t xml:space="preserve"> rather than production cost or competitor rates. In </w:t>
      </w:r>
      <w:r w:rsidR="00637549">
        <w:t>addition,</w:t>
      </w:r>
      <w:r>
        <w:t xml:space="preserve"> the company will be able to foster trust, </w:t>
      </w:r>
      <w:r w:rsidR="00637549">
        <w:t>transparency,</w:t>
      </w:r>
      <w:r>
        <w:t xml:space="preserve"> and engagement throughout the target </w:t>
      </w:r>
      <w:r w:rsidR="005C025B">
        <w:t>base</w:t>
      </w:r>
      <w:r>
        <w:t xml:space="preserve">. </w:t>
      </w:r>
    </w:p>
    <w:p w14:paraId="482D9D35" w14:textId="77777777" w:rsidR="00915BF5" w:rsidRDefault="00B160CA">
      <w:pPr>
        <w:rPr>
          <w:b/>
          <w:bCs/>
        </w:rPr>
      </w:pPr>
      <w:r>
        <w:rPr>
          <w:b/>
          <w:bCs/>
        </w:rPr>
        <w:t xml:space="preserve">Place: </w:t>
      </w:r>
    </w:p>
    <w:p w14:paraId="18F4E81A" w14:textId="77777777" w:rsidR="00915BF5" w:rsidRDefault="00B160CA">
      <w:r>
        <w:t xml:space="preserve">Selection of an area for logistics and distribution ensures that operations and management of a company faces no barriers that can harm supply and demand probability (Setyadi </w:t>
      </w:r>
      <w:r>
        <w:rPr>
          <w:i/>
          <w:iCs/>
        </w:rPr>
        <w:t>et al.,</w:t>
      </w:r>
      <w:r>
        <w:t xml:space="preserve"> 2025). </w:t>
      </w:r>
      <w:r w:rsidR="005C025B">
        <w:t>RetrofitIQ</w:t>
      </w:r>
      <w:r>
        <w:t xml:space="preserve"> will hold logistics and manufacturing hubs in the UK that will distribute products in cities like Oxford, Brighton, Hove, Southampton (South East) and Bristol, Bath, Plymouth (South West) throughout the UK. </w:t>
      </w:r>
    </w:p>
    <w:p w14:paraId="0678EBDD" w14:textId="77777777" w:rsidR="00915BF5" w:rsidRDefault="00B160CA">
      <w:pPr>
        <w:rPr>
          <w:b/>
          <w:bCs/>
        </w:rPr>
      </w:pPr>
      <w:r>
        <w:rPr>
          <w:b/>
          <w:bCs/>
        </w:rPr>
        <w:t xml:space="preserve">Promotion: </w:t>
      </w:r>
    </w:p>
    <w:p w14:paraId="67FD3C86" w14:textId="77777777" w:rsidR="00915BF5" w:rsidRDefault="00B160CA">
      <w:r>
        <w:t xml:space="preserve">Orientation of an effective promotional strategy helps a company to build online visibility while dealing with increasing competition (Raharjo, 2025). </w:t>
      </w:r>
      <w:r w:rsidR="005C025B">
        <w:t>RetrofitIQ</w:t>
      </w:r>
      <w:r>
        <w:t xml:space="preserve"> will focus on using digital marketing strategy by using several online platforms like Facebook, Instagram, TikTok, Twitter (X), and YouTube to promote the product. This will help the company to gain the attention of customers while building a long-lasting client base. </w:t>
      </w:r>
    </w:p>
    <w:p w14:paraId="7907C634" w14:textId="77777777" w:rsidR="00915BF5" w:rsidRDefault="00B160CA">
      <w:pPr>
        <w:rPr>
          <w:b/>
          <w:bCs/>
          <w:highlight w:val="yellow"/>
        </w:rPr>
      </w:pPr>
      <w:r>
        <w:rPr>
          <w:b/>
          <w:bCs/>
        </w:rPr>
        <w:t>Online marketing strategy</w:t>
      </w:r>
    </w:p>
    <w:p w14:paraId="3A4BBDD0" w14:textId="77777777" w:rsidR="00915BF5" w:rsidRDefault="00B160CA">
      <w:r>
        <w:t xml:space="preserve">Probabilities of involving effective online marketing strategies not only boost online visibility </w:t>
      </w:r>
      <w:r w:rsidR="00637549">
        <w:t>but also</w:t>
      </w:r>
      <w:r>
        <w:t xml:space="preserve"> help to understand current market dynamics, trends</w:t>
      </w:r>
      <w:r w:rsidR="00637549">
        <w:t>,</w:t>
      </w:r>
      <w:r>
        <w:t xml:space="preserve"> and consumer preferences. Adoption of innovative marketing strategy demonstrates the innovative standpoint of a new business while demonstrating unique product characteristics to target consumers (Nyquist, </w:t>
      </w:r>
      <w:r w:rsidR="00637549">
        <w:t>Farshid,</w:t>
      </w:r>
      <w:r>
        <w:t xml:space="preserve"> and Brown, 2025). </w:t>
      </w:r>
      <w:r w:rsidR="005C025B">
        <w:t>RetrofitIQ</w:t>
      </w:r>
      <w:r>
        <w:t xml:space="preserve"> will opt for a social media marketing process that will allow the brand to reach a larger audience. Orientation of marketing will based on setting SMART goals that will help to build engagement with customers. Frequent content posting and tracking progress with the help of KPIs will ensure building visibility in different platforms. The company will also invest in Pay </w:t>
      </w:r>
      <w:r w:rsidR="005C025B">
        <w:t>per</w:t>
      </w:r>
      <w:r>
        <w:t xml:space="preserve"> Click advertisement and purchased ads that will help to increase visibility of each post among the target audience. </w:t>
      </w:r>
    </w:p>
    <w:p w14:paraId="06BDB766" w14:textId="77777777" w:rsidR="00915BF5" w:rsidRDefault="00B160CA">
      <w:pPr>
        <w:rPr>
          <w:b/>
          <w:bCs/>
        </w:rPr>
      </w:pPr>
      <w:r>
        <w:br w:type="page"/>
      </w:r>
    </w:p>
    <w:p w14:paraId="37316792" w14:textId="77777777" w:rsidR="00915BF5" w:rsidRDefault="00B160CA">
      <w:pPr>
        <w:rPr>
          <w:b/>
          <w:bCs/>
          <w:highlight w:val="yellow"/>
        </w:rPr>
      </w:pPr>
      <w:r>
        <w:rPr>
          <w:b/>
          <w:bCs/>
        </w:rPr>
        <w:t>Explanation on attracting and retaining customers</w:t>
      </w:r>
    </w:p>
    <w:p w14:paraId="7D5F299F" w14:textId="77777777" w:rsidR="001F1D5E" w:rsidRPr="00730B11" w:rsidRDefault="00B160CA" w:rsidP="00730B11">
      <w:pPr>
        <w:rPr>
          <w:bCs/>
        </w:rPr>
      </w:pPr>
      <w:bookmarkStart w:id="12" w:name="_hqlt88qs3crb" w:colFirst="0" w:colLast="0"/>
      <w:bookmarkEnd w:id="12"/>
      <w:r w:rsidRPr="00730B11">
        <w:t xml:space="preserve">Social media marketing will be able to draw in customers based on holistic content uploaded frequently online </w:t>
      </w:r>
      <w:r w:rsidR="00730B11" w:rsidRPr="00730B11">
        <w:rPr>
          <w:bCs/>
        </w:rPr>
        <w:t>and</w:t>
      </w:r>
      <w:r w:rsidRPr="00730B11">
        <w:t xml:space="preserve"> through paid advertisement. The algorithms of each social media platform will be able to push paid advertisements among target markets that will convert market leads to potential customers. Customers will be retained based on integration of customer value and engagement that will serve the purpose of increasing sustainable awareness. Direct interaction through online channels will be beneficial for the company to understand preferences, and to resolve queries of target audiences. </w:t>
      </w:r>
    </w:p>
    <w:p w14:paraId="46CCB3F2" w14:textId="77777777" w:rsidR="00915BF5" w:rsidRDefault="00B160CA">
      <w:pPr>
        <w:pStyle w:val="Heading2"/>
      </w:pPr>
      <w:bookmarkStart w:id="13" w:name="_vj4q8f14r63j" w:colFirst="0" w:colLast="0"/>
      <w:bookmarkStart w:id="14" w:name="_Toc236488623"/>
      <w:bookmarkEnd w:id="13"/>
      <w:r>
        <w:t>Element 4: Financial Planning</w:t>
      </w:r>
      <w:bookmarkEnd w:id="14"/>
    </w:p>
    <w:p w14:paraId="36201611" w14:textId="77777777" w:rsidR="00752B35" w:rsidRPr="006033A1" w:rsidRDefault="00752B35" w:rsidP="00752B35">
      <w:pPr>
        <w:rPr>
          <w:b/>
          <w:bCs/>
        </w:rPr>
      </w:pPr>
      <w:r w:rsidRPr="006033A1">
        <w:rPr>
          <w:b/>
          <w:bCs/>
        </w:rPr>
        <w:t>Projected financial figures</w:t>
      </w:r>
    </w:p>
    <w:p w14:paraId="07FB6B23" w14:textId="77777777" w:rsidR="00752B35" w:rsidRPr="006033A1" w:rsidRDefault="00752B35" w:rsidP="00752B35">
      <w:pPr>
        <w:rPr>
          <w:b/>
          <w:i/>
          <w:iCs/>
        </w:rPr>
      </w:pPr>
      <w:r w:rsidRPr="006033A1">
        <w:rPr>
          <w:b/>
          <w:i/>
          <w:iCs/>
        </w:rPr>
        <w:t>Total Revenue of first six months</w:t>
      </w:r>
    </w:p>
    <w:tbl>
      <w:tblPr>
        <w:tblW w:w="7560" w:type="dxa"/>
        <w:tblInd w:w="715" w:type="dxa"/>
        <w:tblLook w:val="04A0" w:firstRow="1" w:lastRow="0" w:firstColumn="1" w:lastColumn="0" w:noHBand="0" w:noVBand="1"/>
      </w:tblPr>
      <w:tblGrid>
        <w:gridCol w:w="3150"/>
        <w:gridCol w:w="4410"/>
      </w:tblGrid>
      <w:tr w:rsidR="00752B35" w:rsidRPr="005B4729" w14:paraId="3CD712F1" w14:textId="77777777" w:rsidTr="001E1F8B">
        <w:trPr>
          <w:trHeight w:val="300"/>
        </w:trPr>
        <w:tc>
          <w:tcPr>
            <w:tcW w:w="3150" w:type="dxa"/>
            <w:tcBorders>
              <w:top w:val="single" w:sz="4" w:space="0" w:color="auto"/>
              <w:left w:val="single" w:sz="4" w:space="0" w:color="auto"/>
              <w:bottom w:val="single" w:sz="4" w:space="0" w:color="auto"/>
              <w:right w:val="single" w:sz="4" w:space="0" w:color="auto"/>
            </w:tcBorders>
            <w:noWrap/>
            <w:vAlign w:val="bottom"/>
            <w:hideMark/>
          </w:tcPr>
          <w:p w14:paraId="5349D2D7" w14:textId="77777777" w:rsidR="00752B35" w:rsidRPr="005B4729" w:rsidRDefault="00752B35" w:rsidP="001E1F8B">
            <w:pPr>
              <w:jc w:val="left"/>
              <w:rPr>
                <w:rFonts w:eastAsia="Times New Roman"/>
                <w:b/>
                <w:bCs/>
                <w:color w:val="000000"/>
                <w:sz w:val="22"/>
                <w:szCs w:val="22"/>
              </w:rPr>
            </w:pPr>
            <w:r w:rsidRPr="005B4729">
              <w:rPr>
                <w:rFonts w:eastAsia="Times New Roman"/>
                <w:b/>
                <w:bCs/>
                <w:color w:val="000000"/>
                <w:sz w:val="22"/>
                <w:szCs w:val="22"/>
              </w:rPr>
              <w:t xml:space="preserve">Fixed Costs </w:t>
            </w:r>
          </w:p>
        </w:tc>
        <w:tc>
          <w:tcPr>
            <w:tcW w:w="4410" w:type="dxa"/>
            <w:tcBorders>
              <w:top w:val="single" w:sz="4" w:space="0" w:color="auto"/>
              <w:left w:val="nil"/>
              <w:bottom w:val="single" w:sz="4" w:space="0" w:color="auto"/>
              <w:right w:val="single" w:sz="4" w:space="0" w:color="auto"/>
            </w:tcBorders>
            <w:noWrap/>
            <w:vAlign w:val="bottom"/>
            <w:hideMark/>
          </w:tcPr>
          <w:p w14:paraId="522A53A0" w14:textId="77777777" w:rsidR="00752B35" w:rsidRPr="005B4729" w:rsidRDefault="00752B35" w:rsidP="001E1F8B">
            <w:pPr>
              <w:jc w:val="left"/>
              <w:rPr>
                <w:rFonts w:eastAsia="Times New Roman"/>
                <w:color w:val="000000"/>
                <w:sz w:val="22"/>
                <w:szCs w:val="22"/>
              </w:rPr>
            </w:pPr>
            <w:r w:rsidRPr="005B4729">
              <w:rPr>
                <w:rFonts w:eastAsia="Times New Roman"/>
                <w:color w:val="000000"/>
                <w:sz w:val="22"/>
                <w:szCs w:val="22"/>
              </w:rPr>
              <w:t> </w:t>
            </w:r>
          </w:p>
        </w:tc>
      </w:tr>
      <w:tr w:rsidR="00752B35" w:rsidRPr="005B4729" w14:paraId="076A5B50" w14:textId="77777777" w:rsidTr="001E1F8B">
        <w:trPr>
          <w:trHeight w:val="285"/>
        </w:trPr>
        <w:tc>
          <w:tcPr>
            <w:tcW w:w="3150" w:type="dxa"/>
            <w:tcBorders>
              <w:top w:val="nil"/>
              <w:left w:val="single" w:sz="4" w:space="0" w:color="auto"/>
              <w:bottom w:val="single" w:sz="4" w:space="0" w:color="auto"/>
              <w:right w:val="single" w:sz="4" w:space="0" w:color="auto"/>
            </w:tcBorders>
            <w:noWrap/>
            <w:vAlign w:val="bottom"/>
            <w:hideMark/>
          </w:tcPr>
          <w:p w14:paraId="21FE7E05" w14:textId="77777777" w:rsidR="00752B35" w:rsidRPr="005B4729" w:rsidRDefault="00752B35" w:rsidP="001E1F8B">
            <w:pPr>
              <w:jc w:val="left"/>
              <w:rPr>
                <w:rFonts w:eastAsia="Times New Roman"/>
                <w:color w:val="000000"/>
                <w:sz w:val="22"/>
                <w:szCs w:val="22"/>
              </w:rPr>
            </w:pPr>
            <w:r w:rsidRPr="005B4729">
              <w:rPr>
                <w:rFonts w:eastAsia="Times New Roman"/>
                <w:color w:val="000000"/>
                <w:sz w:val="22"/>
                <w:szCs w:val="22"/>
              </w:rPr>
              <w:t>Software and AI Infrastructure</w:t>
            </w:r>
          </w:p>
        </w:tc>
        <w:tc>
          <w:tcPr>
            <w:tcW w:w="4410" w:type="dxa"/>
            <w:tcBorders>
              <w:top w:val="nil"/>
              <w:left w:val="nil"/>
              <w:bottom w:val="single" w:sz="4" w:space="0" w:color="auto"/>
              <w:right w:val="single" w:sz="4" w:space="0" w:color="auto"/>
            </w:tcBorders>
            <w:noWrap/>
            <w:vAlign w:val="bottom"/>
            <w:hideMark/>
          </w:tcPr>
          <w:p w14:paraId="3B3550D2" w14:textId="77777777" w:rsidR="00752B35" w:rsidRPr="005B4729" w:rsidRDefault="00752B35" w:rsidP="001E1F8B">
            <w:pPr>
              <w:jc w:val="right"/>
              <w:rPr>
                <w:rFonts w:eastAsia="Times New Roman"/>
                <w:color w:val="000000"/>
                <w:sz w:val="22"/>
                <w:szCs w:val="22"/>
              </w:rPr>
            </w:pPr>
            <w:r w:rsidRPr="005B4729">
              <w:rPr>
                <w:rFonts w:eastAsia="Times New Roman"/>
                <w:color w:val="000000"/>
                <w:sz w:val="22"/>
                <w:szCs w:val="22"/>
              </w:rPr>
              <w:t>45.000</w:t>
            </w:r>
          </w:p>
        </w:tc>
      </w:tr>
      <w:tr w:rsidR="00752B35" w:rsidRPr="005B4729" w14:paraId="58FD6BCB" w14:textId="77777777" w:rsidTr="001E1F8B">
        <w:trPr>
          <w:trHeight w:val="285"/>
        </w:trPr>
        <w:tc>
          <w:tcPr>
            <w:tcW w:w="3150" w:type="dxa"/>
            <w:tcBorders>
              <w:top w:val="nil"/>
              <w:left w:val="single" w:sz="4" w:space="0" w:color="auto"/>
              <w:bottom w:val="single" w:sz="4" w:space="0" w:color="auto"/>
              <w:right w:val="single" w:sz="4" w:space="0" w:color="auto"/>
            </w:tcBorders>
            <w:noWrap/>
            <w:vAlign w:val="bottom"/>
            <w:hideMark/>
          </w:tcPr>
          <w:p w14:paraId="163DC96F" w14:textId="77777777" w:rsidR="00752B35" w:rsidRPr="005B4729" w:rsidRDefault="00752B35" w:rsidP="001E1F8B">
            <w:pPr>
              <w:jc w:val="left"/>
              <w:rPr>
                <w:rFonts w:eastAsia="Times New Roman"/>
                <w:color w:val="000000"/>
                <w:sz w:val="22"/>
                <w:szCs w:val="22"/>
              </w:rPr>
            </w:pPr>
            <w:r w:rsidRPr="005B4729">
              <w:rPr>
                <w:rFonts w:eastAsia="Times New Roman"/>
                <w:color w:val="000000"/>
                <w:sz w:val="22"/>
                <w:szCs w:val="22"/>
              </w:rPr>
              <w:t>Regulatory &amp; Compliance</w:t>
            </w:r>
          </w:p>
        </w:tc>
        <w:tc>
          <w:tcPr>
            <w:tcW w:w="4410" w:type="dxa"/>
            <w:tcBorders>
              <w:top w:val="nil"/>
              <w:left w:val="nil"/>
              <w:bottom w:val="single" w:sz="4" w:space="0" w:color="auto"/>
              <w:right w:val="single" w:sz="4" w:space="0" w:color="auto"/>
            </w:tcBorders>
            <w:noWrap/>
            <w:vAlign w:val="bottom"/>
            <w:hideMark/>
          </w:tcPr>
          <w:p w14:paraId="5B6551BB" w14:textId="77777777" w:rsidR="00752B35" w:rsidRPr="005B4729" w:rsidRDefault="00752B35" w:rsidP="001E1F8B">
            <w:pPr>
              <w:jc w:val="right"/>
              <w:rPr>
                <w:rFonts w:eastAsia="Times New Roman"/>
                <w:color w:val="000000"/>
                <w:sz w:val="22"/>
                <w:szCs w:val="22"/>
              </w:rPr>
            </w:pPr>
            <w:r w:rsidRPr="005B4729">
              <w:rPr>
                <w:rFonts w:eastAsia="Times New Roman"/>
                <w:color w:val="000000"/>
                <w:sz w:val="22"/>
                <w:szCs w:val="22"/>
              </w:rPr>
              <w:t>10.000</w:t>
            </w:r>
          </w:p>
        </w:tc>
      </w:tr>
      <w:tr w:rsidR="00752B35" w:rsidRPr="005B4729" w14:paraId="5BB61F69" w14:textId="77777777" w:rsidTr="001E1F8B">
        <w:trPr>
          <w:trHeight w:val="285"/>
        </w:trPr>
        <w:tc>
          <w:tcPr>
            <w:tcW w:w="3150" w:type="dxa"/>
            <w:tcBorders>
              <w:top w:val="nil"/>
              <w:left w:val="single" w:sz="4" w:space="0" w:color="auto"/>
              <w:bottom w:val="single" w:sz="4" w:space="0" w:color="auto"/>
              <w:right w:val="single" w:sz="4" w:space="0" w:color="auto"/>
            </w:tcBorders>
            <w:noWrap/>
            <w:vAlign w:val="bottom"/>
            <w:hideMark/>
          </w:tcPr>
          <w:p w14:paraId="0D1D2410" w14:textId="77777777" w:rsidR="00752B35" w:rsidRPr="005B4729" w:rsidRDefault="00752B35" w:rsidP="001E1F8B">
            <w:pPr>
              <w:jc w:val="left"/>
              <w:rPr>
                <w:rFonts w:eastAsia="Times New Roman"/>
                <w:color w:val="000000"/>
                <w:sz w:val="22"/>
                <w:szCs w:val="22"/>
              </w:rPr>
            </w:pPr>
            <w:r w:rsidRPr="005B4729">
              <w:rPr>
                <w:rFonts w:eastAsia="Times New Roman"/>
                <w:color w:val="000000"/>
                <w:sz w:val="22"/>
                <w:szCs w:val="22"/>
              </w:rPr>
              <w:t>Core Team Salaries</w:t>
            </w:r>
          </w:p>
        </w:tc>
        <w:tc>
          <w:tcPr>
            <w:tcW w:w="4410" w:type="dxa"/>
            <w:tcBorders>
              <w:top w:val="nil"/>
              <w:left w:val="nil"/>
              <w:bottom w:val="single" w:sz="4" w:space="0" w:color="auto"/>
              <w:right w:val="single" w:sz="4" w:space="0" w:color="auto"/>
            </w:tcBorders>
            <w:noWrap/>
            <w:vAlign w:val="bottom"/>
            <w:hideMark/>
          </w:tcPr>
          <w:p w14:paraId="31FD4112" w14:textId="77777777" w:rsidR="00752B35" w:rsidRPr="005B4729" w:rsidRDefault="00752B35" w:rsidP="001E1F8B">
            <w:pPr>
              <w:jc w:val="right"/>
              <w:rPr>
                <w:rFonts w:eastAsia="Times New Roman"/>
                <w:color w:val="000000"/>
                <w:sz w:val="22"/>
                <w:szCs w:val="22"/>
              </w:rPr>
            </w:pPr>
            <w:r w:rsidRPr="005B4729">
              <w:rPr>
                <w:rFonts w:eastAsia="Times New Roman"/>
                <w:color w:val="000000"/>
                <w:sz w:val="22"/>
                <w:szCs w:val="22"/>
              </w:rPr>
              <w:t>10.000</w:t>
            </w:r>
          </w:p>
        </w:tc>
      </w:tr>
      <w:tr w:rsidR="00752B35" w:rsidRPr="005B4729" w14:paraId="615D2786" w14:textId="77777777" w:rsidTr="001E1F8B">
        <w:trPr>
          <w:trHeight w:val="285"/>
        </w:trPr>
        <w:tc>
          <w:tcPr>
            <w:tcW w:w="3150" w:type="dxa"/>
            <w:tcBorders>
              <w:top w:val="nil"/>
              <w:left w:val="single" w:sz="4" w:space="0" w:color="auto"/>
              <w:bottom w:val="single" w:sz="4" w:space="0" w:color="auto"/>
              <w:right w:val="single" w:sz="4" w:space="0" w:color="auto"/>
            </w:tcBorders>
            <w:noWrap/>
            <w:vAlign w:val="bottom"/>
            <w:hideMark/>
          </w:tcPr>
          <w:p w14:paraId="74DFF11C" w14:textId="77777777" w:rsidR="00752B35" w:rsidRPr="005B4729" w:rsidRDefault="00752B35" w:rsidP="001E1F8B">
            <w:pPr>
              <w:jc w:val="left"/>
              <w:rPr>
                <w:rFonts w:eastAsia="Times New Roman"/>
                <w:color w:val="000000"/>
                <w:sz w:val="22"/>
                <w:szCs w:val="22"/>
              </w:rPr>
            </w:pPr>
            <w:r w:rsidRPr="005B4729">
              <w:rPr>
                <w:rFonts w:eastAsia="Times New Roman"/>
                <w:color w:val="000000"/>
                <w:sz w:val="22"/>
                <w:szCs w:val="22"/>
              </w:rPr>
              <w:t>Office &amp; Administration</w:t>
            </w:r>
          </w:p>
        </w:tc>
        <w:tc>
          <w:tcPr>
            <w:tcW w:w="4410" w:type="dxa"/>
            <w:tcBorders>
              <w:top w:val="nil"/>
              <w:left w:val="nil"/>
              <w:bottom w:val="single" w:sz="4" w:space="0" w:color="auto"/>
              <w:right w:val="single" w:sz="4" w:space="0" w:color="auto"/>
            </w:tcBorders>
            <w:noWrap/>
            <w:vAlign w:val="bottom"/>
            <w:hideMark/>
          </w:tcPr>
          <w:p w14:paraId="4E31A393" w14:textId="77777777" w:rsidR="00752B35" w:rsidRPr="005B4729" w:rsidRDefault="00752B35" w:rsidP="001E1F8B">
            <w:pPr>
              <w:jc w:val="right"/>
              <w:rPr>
                <w:rFonts w:eastAsia="Times New Roman"/>
                <w:color w:val="000000"/>
                <w:sz w:val="22"/>
                <w:szCs w:val="22"/>
              </w:rPr>
            </w:pPr>
            <w:r w:rsidRPr="005B4729">
              <w:rPr>
                <w:rFonts w:eastAsia="Times New Roman"/>
                <w:color w:val="000000"/>
                <w:sz w:val="22"/>
                <w:szCs w:val="22"/>
              </w:rPr>
              <w:t>5.000</w:t>
            </w:r>
          </w:p>
        </w:tc>
      </w:tr>
      <w:tr w:rsidR="00752B35" w:rsidRPr="005B4729" w14:paraId="7BD90E2C" w14:textId="77777777" w:rsidTr="001E1F8B">
        <w:trPr>
          <w:trHeight w:val="285"/>
        </w:trPr>
        <w:tc>
          <w:tcPr>
            <w:tcW w:w="3150" w:type="dxa"/>
            <w:tcBorders>
              <w:top w:val="nil"/>
              <w:left w:val="single" w:sz="4" w:space="0" w:color="auto"/>
              <w:bottom w:val="single" w:sz="4" w:space="0" w:color="auto"/>
              <w:right w:val="single" w:sz="4" w:space="0" w:color="auto"/>
            </w:tcBorders>
            <w:noWrap/>
            <w:vAlign w:val="bottom"/>
            <w:hideMark/>
          </w:tcPr>
          <w:p w14:paraId="4DC239D0" w14:textId="77777777" w:rsidR="00752B35" w:rsidRPr="005B4729" w:rsidRDefault="00752B35" w:rsidP="001E1F8B">
            <w:pPr>
              <w:jc w:val="left"/>
              <w:rPr>
                <w:rFonts w:eastAsia="Times New Roman"/>
                <w:color w:val="000000"/>
                <w:sz w:val="22"/>
                <w:szCs w:val="22"/>
              </w:rPr>
            </w:pPr>
            <w:r w:rsidRPr="005B4729">
              <w:rPr>
                <w:rFonts w:eastAsia="Times New Roman"/>
                <w:color w:val="000000"/>
                <w:sz w:val="22"/>
                <w:szCs w:val="22"/>
              </w:rPr>
              <w:t xml:space="preserve">Total </w:t>
            </w:r>
          </w:p>
        </w:tc>
        <w:tc>
          <w:tcPr>
            <w:tcW w:w="4410" w:type="dxa"/>
            <w:tcBorders>
              <w:top w:val="nil"/>
              <w:left w:val="nil"/>
              <w:bottom w:val="single" w:sz="4" w:space="0" w:color="auto"/>
              <w:right w:val="single" w:sz="4" w:space="0" w:color="auto"/>
            </w:tcBorders>
            <w:noWrap/>
            <w:vAlign w:val="bottom"/>
            <w:hideMark/>
          </w:tcPr>
          <w:p w14:paraId="2F30BD40" w14:textId="77777777" w:rsidR="00752B35" w:rsidRPr="005B4729" w:rsidRDefault="00752B35" w:rsidP="001E1F8B">
            <w:pPr>
              <w:jc w:val="right"/>
              <w:rPr>
                <w:rFonts w:eastAsia="Times New Roman"/>
                <w:color w:val="000000"/>
                <w:sz w:val="22"/>
                <w:szCs w:val="22"/>
              </w:rPr>
            </w:pPr>
            <w:r w:rsidRPr="005B4729">
              <w:rPr>
                <w:rFonts w:eastAsia="Times New Roman"/>
                <w:color w:val="000000"/>
                <w:sz w:val="22"/>
                <w:szCs w:val="22"/>
              </w:rPr>
              <w:t>70.000</w:t>
            </w:r>
          </w:p>
        </w:tc>
      </w:tr>
    </w:tbl>
    <w:p w14:paraId="5101AA97" w14:textId="77777777" w:rsidR="00752B35" w:rsidRPr="006033A1" w:rsidRDefault="00752B35" w:rsidP="00752B35">
      <w:pPr>
        <w:jc w:val="center"/>
        <w:rPr>
          <w:b/>
          <w:bCs/>
        </w:rPr>
      </w:pPr>
      <w:r w:rsidRPr="006033A1">
        <w:rPr>
          <w:b/>
          <w:bCs/>
        </w:rPr>
        <w:t>Figure 4: projected revenue of first six months</w:t>
      </w:r>
    </w:p>
    <w:tbl>
      <w:tblPr>
        <w:tblW w:w="7560" w:type="dxa"/>
        <w:tblInd w:w="715" w:type="dxa"/>
        <w:tblLook w:val="04A0" w:firstRow="1" w:lastRow="0" w:firstColumn="1" w:lastColumn="0" w:noHBand="0" w:noVBand="1"/>
      </w:tblPr>
      <w:tblGrid>
        <w:gridCol w:w="4796"/>
        <w:gridCol w:w="2764"/>
      </w:tblGrid>
      <w:tr w:rsidR="00752B35" w:rsidRPr="000F6FD1" w14:paraId="5CD282B2" w14:textId="77777777" w:rsidTr="001E1F8B">
        <w:trPr>
          <w:trHeight w:val="300"/>
        </w:trPr>
        <w:tc>
          <w:tcPr>
            <w:tcW w:w="4796" w:type="dxa"/>
            <w:tcBorders>
              <w:top w:val="single" w:sz="4" w:space="0" w:color="auto"/>
              <w:left w:val="single" w:sz="4" w:space="0" w:color="auto"/>
              <w:bottom w:val="single" w:sz="4" w:space="0" w:color="auto"/>
              <w:right w:val="single" w:sz="4" w:space="0" w:color="auto"/>
            </w:tcBorders>
            <w:noWrap/>
            <w:vAlign w:val="bottom"/>
            <w:hideMark/>
          </w:tcPr>
          <w:p w14:paraId="47FA3F64" w14:textId="77777777" w:rsidR="00752B35" w:rsidRPr="000F6FD1" w:rsidRDefault="00752B35" w:rsidP="001E1F8B">
            <w:pPr>
              <w:jc w:val="left"/>
              <w:rPr>
                <w:rFonts w:eastAsia="Times New Roman"/>
                <w:b/>
                <w:bCs/>
                <w:color w:val="000000"/>
                <w:sz w:val="22"/>
                <w:szCs w:val="22"/>
              </w:rPr>
            </w:pPr>
            <w:r w:rsidRPr="000F6FD1">
              <w:rPr>
                <w:rFonts w:eastAsia="Times New Roman"/>
                <w:b/>
                <w:bCs/>
                <w:color w:val="000000"/>
                <w:sz w:val="22"/>
                <w:szCs w:val="22"/>
              </w:rPr>
              <w:t>Start</w:t>
            </w:r>
            <w:r>
              <w:rPr>
                <w:rFonts w:eastAsia="Times New Roman"/>
                <w:b/>
                <w:bCs/>
                <w:color w:val="000000"/>
                <w:sz w:val="22"/>
                <w:szCs w:val="22"/>
              </w:rPr>
              <w:t>-</w:t>
            </w:r>
            <w:r w:rsidRPr="000F6FD1">
              <w:rPr>
                <w:rFonts w:eastAsia="Times New Roman"/>
                <w:b/>
                <w:bCs/>
                <w:color w:val="000000"/>
                <w:sz w:val="22"/>
                <w:szCs w:val="22"/>
              </w:rPr>
              <w:t xml:space="preserve">Up Costs </w:t>
            </w:r>
          </w:p>
        </w:tc>
        <w:tc>
          <w:tcPr>
            <w:tcW w:w="2764" w:type="dxa"/>
            <w:tcBorders>
              <w:top w:val="single" w:sz="4" w:space="0" w:color="auto"/>
              <w:left w:val="nil"/>
              <w:bottom w:val="single" w:sz="4" w:space="0" w:color="auto"/>
              <w:right w:val="single" w:sz="4" w:space="0" w:color="auto"/>
            </w:tcBorders>
            <w:noWrap/>
            <w:vAlign w:val="bottom"/>
            <w:hideMark/>
          </w:tcPr>
          <w:p w14:paraId="665EC5AE" w14:textId="77777777" w:rsidR="00752B35" w:rsidRPr="000F6FD1" w:rsidRDefault="00752B35" w:rsidP="001E1F8B">
            <w:pPr>
              <w:jc w:val="left"/>
              <w:rPr>
                <w:rFonts w:eastAsia="Times New Roman"/>
                <w:color w:val="000000"/>
                <w:sz w:val="22"/>
                <w:szCs w:val="22"/>
              </w:rPr>
            </w:pPr>
            <w:r w:rsidRPr="000F6FD1">
              <w:rPr>
                <w:rFonts w:eastAsia="Times New Roman"/>
                <w:color w:val="000000"/>
                <w:sz w:val="22"/>
                <w:szCs w:val="22"/>
              </w:rPr>
              <w:t> </w:t>
            </w:r>
          </w:p>
        </w:tc>
      </w:tr>
      <w:tr w:rsidR="00752B35" w:rsidRPr="000F6FD1" w14:paraId="65F6466C" w14:textId="77777777" w:rsidTr="001E1F8B">
        <w:trPr>
          <w:trHeight w:val="285"/>
        </w:trPr>
        <w:tc>
          <w:tcPr>
            <w:tcW w:w="4796" w:type="dxa"/>
            <w:tcBorders>
              <w:top w:val="nil"/>
              <w:left w:val="single" w:sz="4" w:space="0" w:color="auto"/>
              <w:bottom w:val="single" w:sz="4" w:space="0" w:color="auto"/>
              <w:right w:val="single" w:sz="4" w:space="0" w:color="auto"/>
            </w:tcBorders>
            <w:noWrap/>
            <w:vAlign w:val="bottom"/>
            <w:hideMark/>
          </w:tcPr>
          <w:p w14:paraId="12ECC261" w14:textId="77777777" w:rsidR="00752B35" w:rsidRPr="000F6FD1" w:rsidRDefault="00752B35" w:rsidP="001E1F8B">
            <w:pPr>
              <w:jc w:val="left"/>
              <w:rPr>
                <w:rFonts w:eastAsia="Times New Roman"/>
                <w:color w:val="000000"/>
                <w:sz w:val="22"/>
                <w:szCs w:val="22"/>
              </w:rPr>
            </w:pPr>
            <w:r w:rsidRPr="000F6FD1">
              <w:rPr>
                <w:rFonts w:eastAsia="Times New Roman"/>
                <w:color w:val="000000"/>
                <w:sz w:val="22"/>
                <w:szCs w:val="22"/>
              </w:rPr>
              <w:t>Cloud &amp; AI Processing Fees</w:t>
            </w:r>
          </w:p>
        </w:tc>
        <w:tc>
          <w:tcPr>
            <w:tcW w:w="2764" w:type="dxa"/>
            <w:tcBorders>
              <w:top w:val="nil"/>
              <w:left w:val="nil"/>
              <w:bottom w:val="single" w:sz="4" w:space="0" w:color="auto"/>
              <w:right w:val="single" w:sz="4" w:space="0" w:color="auto"/>
            </w:tcBorders>
            <w:noWrap/>
            <w:vAlign w:val="bottom"/>
            <w:hideMark/>
          </w:tcPr>
          <w:p w14:paraId="1FE9C34E" w14:textId="77777777" w:rsidR="00752B35" w:rsidRPr="000F6FD1" w:rsidRDefault="00752B35" w:rsidP="001E1F8B">
            <w:pPr>
              <w:jc w:val="right"/>
              <w:rPr>
                <w:rFonts w:eastAsia="Times New Roman"/>
                <w:color w:val="000000"/>
                <w:sz w:val="22"/>
                <w:szCs w:val="22"/>
              </w:rPr>
            </w:pPr>
            <w:r w:rsidRPr="000F6FD1">
              <w:rPr>
                <w:rFonts w:eastAsia="Times New Roman"/>
                <w:color w:val="000000"/>
                <w:sz w:val="22"/>
                <w:szCs w:val="22"/>
              </w:rPr>
              <w:t>5.000</w:t>
            </w:r>
          </w:p>
        </w:tc>
      </w:tr>
      <w:tr w:rsidR="00752B35" w:rsidRPr="000F6FD1" w14:paraId="6A937117" w14:textId="77777777" w:rsidTr="001E1F8B">
        <w:trPr>
          <w:trHeight w:val="285"/>
        </w:trPr>
        <w:tc>
          <w:tcPr>
            <w:tcW w:w="4796" w:type="dxa"/>
            <w:tcBorders>
              <w:top w:val="nil"/>
              <w:left w:val="single" w:sz="4" w:space="0" w:color="auto"/>
              <w:bottom w:val="single" w:sz="4" w:space="0" w:color="auto"/>
              <w:right w:val="single" w:sz="4" w:space="0" w:color="auto"/>
            </w:tcBorders>
            <w:noWrap/>
            <w:vAlign w:val="bottom"/>
            <w:hideMark/>
          </w:tcPr>
          <w:p w14:paraId="33F89B31" w14:textId="77777777" w:rsidR="00752B35" w:rsidRPr="000F6FD1" w:rsidRDefault="00752B35" w:rsidP="001E1F8B">
            <w:pPr>
              <w:jc w:val="left"/>
              <w:rPr>
                <w:rFonts w:eastAsia="Times New Roman"/>
                <w:color w:val="000000"/>
                <w:sz w:val="22"/>
                <w:szCs w:val="22"/>
              </w:rPr>
            </w:pPr>
            <w:r w:rsidRPr="000F6FD1">
              <w:rPr>
                <w:rFonts w:eastAsia="Times New Roman"/>
                <w:color w:val="000000"/>
                <w:sz w:val="22"/>
                <w:szCs w:val="22"/>
              </w:rPr>
              <w:t>Claims Pay-outs</w:t>
            </w:r>
          </w:p>
        </w:tc>
        <w:tc>
          <w:tcPr>
            <w:tcW w:w="2764" w:type="dxa"/>
            <w:tcBorders>
              <w:top w:val="nil"/>
              <w:left w:val="nil"/>
              <w:bottom w:val="single" w:sz="4" w:space="0" w:color="auto"/>
              <w:right w:val="single" w:sz="4" w:space="0" w:color="auto"/>
            </w:tcBorders>
            <w:noWrap/>
            <w:vAlign w:val="bottom"/>
            <w:hideMark/>
          </w:tcPr>
          <w:p w14:paraId="6366673D" w14:textId="77777777" w:rsidR="00752B35" w:rsidRPr="000F6FD1" w:rsidRDefault="00752B35" w:rsidP="001E1F8B">
            <w:pPr>
              <w:jc w:val="right"/>
              <w:rPr>
                <w:rFonts w:eastAsia="Times New Roman"/>
                <w:color w:val="000000"/>
                <w:sz w:val="22"/>
                <w:szCs w:val="22"/>
              </w:rPr>
            </w:pPr>
            <w:r w:rsidRPr="000F6FD1">
              <w:rPr>
                <w:rFonts w:eastAsia="Times New Roman"/>
                <w:color w:val="000000"/>
                <w:sz w:val="22"/>
                <w:szCs w:val="22"/>
              </w:rPr>
              <w:t>6.000</w:t>
            </w:r>
          </w:p>
        </w:tc>
      </w:tr>
      <w:tr w:rsidR="00752B35" w:rsidRPr="000F6FD1" w14:paraId="04481E81" w14:textId="77777777" w:rsidTr="001E1F8B">
        <w:trPr>
          <w:trHeight w:val="285"/>
        </w:trPr>
        <w:tc>
          <w:tcPr>
            <w:tcW w:w="4796" w:type="dxa"/>
            <w:tcBorders>
              <w:top w:val="nil"/>
              <w:left w:val="single" w:sz="4" w:space="0" w:color="auto"/>
              <w:bottom w:val="single" w:sz="4" w:space="0" w:color="auto"/>
              <w:right w:val="single" w:sz="4" w:space="0" w:color="auto"/>
            </w:tcBorders>
            <w:noWrap/>
            <w:vAlign w:val="bottom"/>
            <w:hideMark/>
          </w:tcPr>
          <w:p w14:paraId="356668B5" w14:textId="77777777" w:rsidR="00752B35" w:rsidRPr="000F6FD1" w:rsidRDefault="00752B35" w:rsidP="001E1F8B">
            <w:pPr>
              <w:jc w:val="left"/>
              <w:rPr>
                <w:rFonts w:eastAsia="Times New Roman"/>
                <w:color w:val="000000"/>
                <w:sz w:val="22"/>
                <w:szCs w:val="22"/>
              </w:rPr>
            </w:pPr>
            <w:r w:rsidRPr="000F6FD1">
              <w:rPr>
                <w:rFonts w:eastAsia="Times New Roman"/>
                <w:color w:val="000000"/>
                <w:sz w:val="22"/>
                <w:szCs w:val="22"/>
              </w:rPr>
              <w:t>Customer Acquisition Cost</w:t>
            </w:r>
          </w:p>
        </w:tc>
        <w:tc>
          <w:tcPr>
            <w:tcW w:w="2764" w:type="dxa"/>
            <w:tcBorders>
              <w:top w:val="nil"/>
              <w:left w:val="nil"/>
              <w:bottom w:val="single" w:sz="4" w:space="0" w:color="auto"/>
              <w:right w:val="single" w:sz="4" w:space="0" w:color="auto"/>
            </w:tcBorders>
            <w:noWrap/>
            <w:vAlign w:val="bottom"/>
            <w:hideMark/>
          </w:tcPr>
          <w:p w14:paraId="34CBAA11" w14:textId="77777777" w:rsidR="00752B35" w:rsidRPr="000F6FD1" w:rsidRDefault="00752B35" w:rsidP="001E1F8B">
            <w:pPr>
              <w:jc w:val="right"/>
              <w:rPr>
                <w:rFonts w:eastAsia="Times New Roman"/>
                <w:color w:val="000000"/>
                <w:sz w:val="22"/>
                <w:szCs w:val="22"/>
              </w:rPr>
            </w:pPr>
            <w:r w:rsidRPr="000F6FD1">
              <w:rPr>
                <w:rFonts w:eastAsia="Times New Roman"/>
                <w:color w:val="000000"/>
                <w:sz w:val="22"/>
                <w:szCs w:val="22"/>
              </w:rPr>
              <w:t>600</w:t>
            </w:r>
          </w:p>
        </w:tc>
      </w:tr>
      <w:tr w:rsidR="00752B35" w:rsidRPr="000F6FD1" w14:paraId="534959ED" w14:textId="77777777" w:rsidTr="001E1F8B">
        <w:trPr>
          <w:trHeight w:val="285"/>
        </w:trPr>
        <w:tc>
          <w:tcPr>
            <w:tcW w:w="4796" w:type="dxa"/>
            <w:tcBorders>
              <w:top w:val="nil"/>
              <w:left w:val="single" w:sz="4" w:space="0" w:color="auto"/>
              <w:bottom w:val="single" w:sz="4" w:space="0" w:color="auto"/>
              <w:right w:val="single" w:sz="4" w:space="0" w:color="auto"/>
            </w:tcBorders>
            <w:noWrap/>
            <w:vAlign w:val="bottom"/>
            <w:hideMark/>
          </w:tcPr>
          <w:p w14:paraId="5DC6E38C" w14:textId="77777777" w:rsidR="00752B35" w:rsidRPr="000F6FD1" w:rsidRDefault="00752B35" w:rsidP="001E1F8B">
            <w:pPr>
              <w:jc w:val="left"/>
              <w:rPr>
                <w:rFonts w:eastAsia="Times New Roman"/>
                <w:color w:val="000000"/>
                <w:sz w:val="22"/>
                <w:szCs w:val="22"/>
              </w:rPr>
            </w:pPr>
            <w:r w:rsidRPr="000F6FD1">
              <w:rPr>
                <w:rFonts w:eastAsia="Times New Roman"/>
                <w:color w:val="000000"/>
                <w:sz w:val="22"/>
                <w:szCs w:val="22"/>
              </w:rPr>
              <w:t>Third-Party Data &amp; API Costs</w:t>
            </w:r>
          </w:p>
        </w:tc>
        <w:tc>
          <w:tcPr>
            <w:tcW w:w="2764" w:type="dxa"/>
            <w:tcBorders>
              <w:top w:val="nil"/>
              <w:left w:val="nil"/>
              <w:bottom w:val="single" w:sz="4" w:space="0" w:color="auto"/>
              <w:right w:val="single" w:sz="4" w:space="0" w:color="auto"/>
            </w:tcBorders>
            <w:noWrap/>
            <w:vAlign w:val="bottom"/>
            <w:hideMark/>
          </w:tcPr>
          <w:p w14:paraId="321463E7" w14:textId="77777777" w:rsidR="00752B35" w:rsidRPr="000F6FD1" w:rsidRDefault="00752B35" w:rsidP="001E1F8B">
            <w:pPr>
              <w:jc w:val="right"/>
              <w:rPr>
                <w:rFonts w:eastAsia="Times New Roman"/>
                <w:color w:val="000000"/>
                <w:sz w:val="22"/>
                <w:szCs w:val="22"/>
              </w:rPr>
            </w:pPr>
            <w:r w:rsidRPr="000F6FD1">
              <w:rPr>
                <w:rFonts w:eastAsia="Times New Roman"/>
                <w:color w:val="000000"/>
                <w:sz w:val="22"/>
                <w:szCs w:val="22"/>
              </w:rPr>
              <w:t>6.500</w:t>
            </w:r>
          </w:p>
        </w:tc>
      </w:tr>
      <w:tr w:rsidR="00752B35" w:rsidRPr="000F6FD1" w14:paraId="222ADD06" w14:textId="77777777" w:rsidTr="001E1F8B">
        <w:trPr>
          <w:trHeight w:val="285"/>
        </w:trPr>
        <w:tc>
          <w:tcPr>
            <w:tcW w:w="4796" w:type="dxa"/>
            <w:tcBorders>
              <w:top w:val="nil"/>
              <w:left w:val="single" w:sz="4" w:space="0" w:color="auto"/>
              <w:bottom w:val="single" w:sz="4" w:space="0" w:color="auto"/>
              <w:right w:val="single" w:sz="4" w:space="0" w:color="auto"/>
            </w:tcBorders>
            <w:noWrap/>
            <w:vAlign w:val="bottom"/>
            <w:hideMark/>
          </w:tcPr>
          <w:p w14:paraId="400BBE1A" w14:textId="77777777" w:rsidR="00752B35" w:rsidRPr="000F6FD1" w:rsidRDefault="00752B35" w:rsidP="001E1F8B">
            <w:pPr>
              <w:jc w:val="left"/>
              <w:rPr>
                <w:rFonts w:eastAsia="Times New Roman"/>
                <w:color w:val="000000"/>
                <w:sz w:val="22"/>
                <w:szCs w:val="22"/>
              </w:rPr>
            </w:pPr>
            <w:r w:rsidRPr="000F6FD1">
              <w:rPr>
                <w:rFonts w:eastAsia="Times New Roman"/>
                <w:color w:val="000000"/>
                <w:sz w:val="22"/>
                <w:szCs w:val="22"/>
              </w:rPr>
              <w:t>Total</w:t>
            </w:r>
          </w:p>
        </w:tc>
        <w:tc>
          <w:tcPr>
            <w:tcW w:w="2764" w:type="dxa"/>
            <w:tcBorders>
              <w:top w:val="nil"/>
              <w:left w:val="nil"/>
              <w:bottom w:val="single" w:sz="4" w:space="0" w:color="auto"/>
              <w:right w:val="single" w:sz="4" w:space="0" w:color="auto"/>
            </w:tcBorders>
            <w:noWrap/>
            <w:vAlign w:val="bottom"/>
            <w:hideMark/>
          </w:tcPr>
          <w:p w14:paraId="1D88BF98" w14:textId="77777777" w:rsidR="00752B35" w:rsidRPr="000F6FD1" w:rsidRDefault="00752B35" w:rsidP="001E1F8B">
            <w:pPr>
              <w:jc w:val="right"/>
              <w:rPr>
                <w:rFonts w:eastAsia="Times New Roman"/>
                <w:color w:val="000000"/>
                <w:sz w:val="22"/>
                <w:szCs w:val="22"/>
              </w:rPr>
            </w:pPr>
            <w:r w:rsidRPr="000F6FD1">
              <w:rPr>
                <w:rFonts w:eastAsia="Times New Roman"/>
                <w:color w:val="000000"/>
                <w:sz w:val="22"/>
                <w:szCs w:val="22"/>
              </w:rPr>
              <w:t>140.000</w:t>
            </w:r>
          </w:p>
        </w:tc>
      </w:tr>
    </w:tbl>
    <w:p w14:paraId="616DE880" w14:textId="77777777" w:rsidR="00752B35" w:rsidRPr="006033A1" w:rsidRDefault="00752B35" w:rsidP="00752B35">
      <w:pPr>
        <w:jc w:val="center"/>
        <w:rPr>
          <w:b/>
          <w:bCs/>
        </w:rPr>
      </w:pPr>
      <w:r w:rsidRPr="006033A1">
        <w:rPr>
          <w:b/>
          <w:bCs/>
        </w:rPr>
        <w:t>Figure 5: Start-up expenses</w:t>
      </w:r>
    </w:p>
    <w:p w14:paraId="507D4E9D" w14:textId="77777777" w:rsidR="00752B35" w:rsidRPr="006033A1" w:rsidRDefault="00752B35" w:rsidP="00752B35">
      <w:r w:rsidRPr="006033A1">
        <w:t xml:space="preserve">The first six months of revenue for the business would be </w:t>
      </w:r>
      <w:r w:rsidRPr="000F6FD1">
        <w:rPr>
          <w:rFonts w:eastAsia="Times New Roman"/>
          <w:color w:val="000000"/>
          <w:sz w:val="22"/>
          <w:szCs w:val="22"/>
        </w:rPr>
        <w:t>140.000</w:t>
      </w:r>
      <w:r>
        <w:rPr>
          <w:rFonts w:eastAsia="Times New Roman"/>
          <w:color w:val="000000"/>
          <w:sz w:val="22"/>
          <w:szCs w:val="22"/>
        </w:rPr>
        <w:t xml:space="preserve"> </w:t>
      </w:r>
      <w:r w:rsidRPr="006033A1">
        <w:t xml:space="preserve">GBP while the proposed business would accumulate of worth start-up costs. The table above shows the key elements required to establish the business. </w:t>
      </w:r>
    </w:p>
    <w:p w14:paraId="723DCE40" w14:textId="77777777" w:rsidR="00752B35" w:rsidRDefault="00752B35" w:rsidP="00752B35">
      <w:pPr>
        <w:rPr>
          <w:b/>
          <w:bCs/>
          <w:i/>
          <w:iCs/>
        </w:rPr>
      </w:pPr>
      <w:r>
        <w:rPr>
          <w:b/>
          <w:bCs/>
          <w:i/>
          <w:iCs/>
        </w:rPr>
        <w:br w:type="page"/>
      </w:r>
    </w:p>
    <w:p w14:paraId="481E58B2" w14:textId="77777777" w:rsidR="00752B35" w:rsidRPr="006033A1" w:rsidRDefault="00752B35" w:rsidP="00752B35">
      <w:pPr>
        <w:rPr>
          <w:b/>
          <w:bCs/>
          <w:i/>
          <w:iCs/>
        </w:rPr>
      </w:pPr>
      <w:r w:rsidRPr="006033A1">
        <w:rPr>
          <w:b/>
          <w:bCs/>
          <w:i/>
          <w:iCs/>
        </w:rPr>
        <w:t>Projected profit</w:t>
      </w:r>
    </w:p>
    <w:tbl>
      <w:tblPr>
        <w:tblW w:w="5000" w:type="pct"/>
        <w:tblLook w:val="04A0" w:firstRow="1" w:lastRow="0" w:firstColumn="1" w:lastColumn="0" w:noHBand="0" w:noVBand="1"/>
      </w:tblPr>
      <w:tblGrid>
        <w:gridCol w:w="1537"/>
        <w:gridCol w:w="1012"/>
        <w:gridCol w:w="1273"/>
        <w:gridCol w:w="1273"/>
        <w:gridCol w:w="1273"/>
        <w:gridCol w:w="1274"/>
        <w:gridCol w:w="1377"/>
      </w:tblGrid>
      <w:tr w:rsidR="00752B35" w:rsidRPr="00133106" w14:paraId="48762E3A" w14:textId="77777777" w:rsidTr="001E1F8B">
        <w:trPr>
          <w:trHeight w:val="300"/>
        </w:trPr>
        <w:tc>
          <w:tcPr>
            <w:tcW w:w="644" w:type="pct"/>
            <w:tcBorders>
              <w:top w:val="single" w:sz="4" w:space="0" w:color="auto"/>
              <w:left w:val="single" w:sz="4" w:space="0" w:color="auto"/>
              <w:bottom w:val="single" w:sz="4" w:space="0" w:color="auto"/>
              <w:right w:val="single" w:sz="4" w:space="0" w:color="auto"/>
            </w:tcBorders>
            <w:noWrap/>
            <w:vAlign w:val="bottom"/>
            <w:hideMark/>
          </w:tcPr>
          <w:p w14:paraId="4F3D90C9"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 </w:t>
            </w:r>
          </w:p>
        </w:tc>
        <w:tc>
          <w:tcPr>
            <w:tcW w:w="483" w:type="pct"/>
            <w:tcBorders>
              <w:top w:val="single" w:sz="4" w:space="0" w:color="auto"/>
              <w:left w:val="nil"/>
              <w:bottom w:val="single" w:sz="4" w:space="0" w:color="auto"/>
              <w:right w:val="single" w:sz="4" w:space="0" w:color="auto"/>
            </w:tcBorders>
            <w:noWrap/>
            <w:vAlign w:val="bottom"/>
            <w:hideMark/>
          </w:tcPr>
          <w:p w14:paraId="07E84CFC" w14:textId="77777777" w:rsidR="00752B35" w:rsidRPr="00133106" w:rsidRDefault="00752B35" w:rsidP="001E1F8B">
            <w:pPr>
              <w:rPr>
                <w:rFonts w:eastAsia="Times New Roman"/>
                <w:b/>
                <w:bCs/>
                <w:color w:val="000000"/>
                <w:sz w:val="22"/>
                <w:szCs w:val="22"/>
              </w:rPr>
            </w:pPr>
            <w:r w:rsidRPr="00133106">
              <w:rPr>
                <w:rFonts w:eastAsia="Times New Roman"/>
                <w:b/>
                <w:bCs/>
                <w:color w:val="000000"/>
                <w:sz w:val="22"/>
                <w:szCs w:val="22"/>
              </w:rPr>
              <w:t>Jan</w:t>
            </w:r>
          </w:p>
        </w:tc>
        <w:tc>
          <w:tcPr>
            <w:tcW w:w="763" w:type="pct"/>
            <w:tcBorders>
              <w:top w:val="single" w:sz="4" w:space="0" w:color="auto"/>
              <w:left w:val="nil"/>
              <w:bottom w:val="single" w:sz="4" w:space="0" w:color="auto"/>
              <w:right w:val="single" w:sz="4" w:space="0" w:color="auto"/>
            </w:tcBorders>
            <w:noWrap/>
            <w:vAlign w:val="bottom"/>
            <w:hideMark/>
          </w:tcPr>
          <w:p w14:paraId="75DE0A7A" w14:textId="77777777" w:rsidR="00752B35" w:rsidRPr="00133106" w:rsidRDefault="00752B35" w:rsidP="001E1F8B">
            <w:pPr>
              <w:rPr>
                <w:rFonts w:eastAsia="Times New Roman"/>
                <w:b/>
                <w:bCs/>
                <w:color w:val="000000"/>
                <w:sz w:val="22"/>
                <w:szCs w:val="22"/>
              </w:rPr>
            </w:pPr>
            <w:r w:rsidRPr="00133106">
              <w:rPr>
                <w:rFonts w:eastAsia="Times New Roman"/>
                <w:b/>
                <w:bCs/>
                <w:color w:val="000000"/>
                <w:sz w:val="22"/>
                <w:szCs w:val="22"/>
              </w:rPr>
              <w:t>Feb</w:t>
            </w:r>
          </w:p>
        </w:tc>
        <w:tc>
          <w:tcPr>
            <w:tcW w:w="763" w:type="pct"/>
            <w:tcBorders>
              <w:top w:val="single" w:sz="4" w:space="0" w:color="auto"/>
              <w:left w:val="nil"/>
              <w:bottom w:val="single" w:sz="4" w:space="0" w:color="auto"/>
              <w:right w:val="single" w:sz="4" w:space="0" w:color="auto"/>
            </w:tcBorders>
            <w:noWrap/>
            <w:vAlign w:val="bottom"/>
            <w:hideMark/>
          </w:tcPr>
          <w:p w14:paraId="6244ED98" w14:textId="77777777" w:rsidR="00752B35" w:rsidRPr="00133106" w:rsidRDefault="00752B35" w:rsidP="001E1F8B">
            <w:pPr>
              <w:rPr>
                <w:rFonts w:eastAsia="Times New Roman"/>
                <w:b/>
                <w:bCs/>
                <w:color w:val="000000"/>
                <w:sz w:val="22"/>
                <w:szCs w:val="22"/>
              </w:rPr>
            </w:pPr>
            <w:r w:rsidRPr="00133106">
              <w:rPr>
                <w:rFonts w:eastAsia="Times New Roman"/>
                <w:b/>
                <w:bCs/>
                <w:color w:val="000000"/>
                <w:sz w:val="22"/>
                <w:szCs w:val="22"/>
              </w:rPr>
              <w:t>Mar</w:t>
            </w:r>
          </w:p>
        </w:tc>
        <w:tc>
          <w:tcPr>
            <w:tcW w:w="763" w:type="pct"/>
            <w:tcBorders>
              <w:top w:val="single" w:sz="4" w:space="0" w:color="auto"/>
              <w:left w:val="nil"/>
              <w:bottom w:val="single" w:sz="4" w:space="0" w:color="auto"/>
              <w:right w:val="single" w:sz="4" w:space="0" w:color="auto"/>
            </w:tcBorders>
            <w:noWrap/>
            <w:vAlign w:val="bottom"/>
            <w:hideMark/>
          </w:tcPr>
          <w:p w14:paraId="095BC30E" w14:textId="77777777" w:rsidR="00752B35" w:rsidRPr="00133106" w:rsidRDefault="00752B35" w:rsidP="001E1F8B">
            <w:pPr>
              <w:rPr>
                <w:rFonts w:eastAsia="Times New Roman"/>
                <w:b/>
                <w:bCs/>
                <w:color w:val="000000"/>
                <w:sz w:val="22"/>
                <w:szCs w:val="22"/>
              </w:rPr>
            </w:pPr>
            <w:r w:rsidRPr="00133106">
              <w:rPr>
                <w:rFonts w:eastAsia="Times New Roman"/>
                <w:b/>
                <w:bCs/>
                <w:color w:val="000000"/>
                <w:sz w:val="22"/>
                <w:szCs w:val="22"/>
              </w:rPr>
              <w:t>Apr</w:t>
            </w:r>
          </w:p>
        </w:tc>
        <w:tc>
          <w:tcPr>
            <w:tcW w:w="763" w:type="pct"/>
            <w:tcBorders>
              <w:top w:val="single" w:sz="4" w:space="0" w:color="auto"/>
              <w:left w:val="nil"/>
              <w:bottom w:val="single" w:sz="4" w:space="0" w:color="auto"/>
              <w:right w:val="single" w:sz="4" w:space="0" w:color="auto"/>
            </w:tcBorders>
            <w:noWrap/>
            <w:vAlign w:val="bottom"/>
            <w:hideMark/>
          </w:tcPr>
          <w:p w14:paraId="2056939B" w14:textId="77777777" w:rsidR="00752B35" w:rsidRPr="00133106" w:rsidRDefault="00752B35" w:rsidP="001E1F8B">
            <w:pPr>
              <w:rPr>
                <w:rFonts w:eastAsia="Times New Roman"/>
                <w:b/>
                <w:bCs/>
                <w:color w:val="000000"/>
                <w:sz w:val="22"/>
                <w:szCs w:val="22"/>
              </w:rPr>
            </w:pPr>
            <w:r w:rsidRPr="00133106">
              <w:rPr>
                <w:rFonts w:eastAsia="Times New Roman"/>
                <w:b/>
                <w:bCs/>
                <w:color w:val="000000"/>
                <w:sz w:val="22"/>
                <w:szCs w:val="22"/>
              </w:rPr>
              <w:t>May</w:t>
            </w:r>
          </w:p>
        </w:tc>
        <w:tc>
          <w:tcPr>
            <w:tcW w:w="820" w:type="pct"/>
            <w:tcBorders>
              <w:top w:val="single" w:sz="4" w:space="0" w:color="auto"/>
              <w:left w:val="nil"/>
              <w:bottom w:val="single" w:sz="4" w:space="0" w:color="auto"/>
              <w:right w:val="single" w:sz="4" w:space="0" w:color="auto"/>
            </w:tcBorders>
            <w:noWrap/>
            <w:vAlign w:val="bottom"/>
            <w:hideMark/>
          </w:tcPr>
          <w:p w14:paraId="34695888" w14:textId="77777777" w:rsidR="00752B35" w:rsidRPr="00133106" w:rsidRDefault="00752B35" w:rsidP="001E1F8B">
            <w:pPr>
              <w:rPr>
                <w:rFonts w:eastAsia="Times New Roman"/>
                <w:b/>
                <w:bCs/>
                <w:color w:val="000000"/>
                <w:sz w:val="22"/>
                <w:szCs w:val="22"/>
              </w:rPr>
            </w:pPr>
            <w:r w:rsidRPr="00133106">
              <w:rPr>
                <w:rFonts w:eastAsia="Times New Roman"/>
                <w:b/>
                <w:bCs/>
                <w:color w:val="000000"/>
                <w:sz w:val="22"/>
                <w:szCs w:val="22"/>
              </w:rPr>
              <w:t>Jun</w:t>
            </w:r>
          </w:p>
        </w:tc>
      </w:tr>
      <w:tr w:rsidR="00752B35" w:rsidRPr="00133106" w14:paraId="649FE8A0" w14:textId="77777777" w:rsidTr="001E1F8B">
        <w:trPr>
          <w:trHeight w:val="285"/>
        </w:trPr>
        <w:tc>
          <w:tcPr>
            <w:tcW w:w="644" w:type="pct"/>
            <w:tcBorders>
              <w:top w:val="nil"/>
              <w:left w:val="single" w:sz="4" w:space="0" w:color="auto"/>
              <w:bottom w:val="single" w:sz="4" w:space="0" w:color="auto"/>
              <w:right w:val="single" w:sz="4" w:space="0" w:color="auto"/>
            </w:tcBorders>
            <w:noWrap/>
            <w:vAlign w:val="bottom"/>
            <w:hideMark/>
          </w:tcPr>
          <w:p w14:paraId="78D83238"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Fixed cost</w:t>
            </w:r>
          </w:p>
        </w:tc>
        <w:tc>
          <w:tcPr>
            <w:tcW w:w="483" w:type="pct"/>
            <w:tcBorders>
              <w:top w:val="nil"/>
              <w:left w:val="nil"/>
              <w:bottom w:val="single" w:sz="4" w:space="0" w:color="auto"/>
              <w:right w:val="single" w:sz="4" w:space="0" w:color="auto"/>
            </w:tcBorders>
            <w:noWrap/>
            <w:vAlign w:val="bottom"/>
            <w:hideMark/>
          </w:tcPr>
          <w:p w14:paraId="190B95AB"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60.000</w:t>
            </w:r>
          </w:p>
        </w:tc>
        <w:tc>
          <w:tcPr>
            <w:tcW w:w="763" w:type="pct"/>
            <w:tcBorders>
              <w:top w:val="nil"/>
              <w:left w:val="nil"/>
              <w:bottom w:val="single" w:sz="4" w:space="0" w:color="auto"/>
              <w:right w:val="single" w:sz="4" w:space="0" w:color="auto"/>
            </w:tcBorders>
            <w:noWrap/>
            <w:vAlign w:val="bottom"/>
            <w:hideMark/>
          </w:tcPr>
          <w:p w14:paraId="6C797665"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60.000</w:t>
            </w:r>
          </w:p>
        </w:tc>
        <w:tc>
          <w:tcPr>
            <w:tcW w:w="763" w:type="pct"/>
            <w:tcBorders>
              <w:top w:val="nil"/>
              <w:left w:val="nil"/>
              <w:bottom w:val="single" w:sz="4" w:space="0" w:color="auto"/>
              <w:right w:val="single" w:sz="4" w:space="0" w:color="auto"/>
            </w:tcBorders>
            <w:noWrap/>
            <w:vAlign w:val="bottom"/>
            <w:hideMark/>
          </w:tcPr>
          <w:p w14:paraId="0ABFE027"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60.000</w:t>
            </w:r>
          </w:p>
        </w:tc>
        <w:tc>
          <w:tcPr>
            <w:tcW w:w="763" w:type="pct"/>
            <w:tcBorders>
              <w:top w:val="nil"/>
              <w:left w:val="nil"/>
              <w:bottom w:val="single" w:sz="4" w:space="0" w:color="auto"/>
              <w:right w:val="single" w:sz="4" w:space="0" w:color="auto"/>
            </w:tcBorders>
            <w:noWrap/>
            <w:vAlign w:val="bottom"/>
            <w:hideMark/>
          </w:tcPr>
          <w:p w14:paraId="7E06FB86"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60.000</w:t>
            </w:r>
          </w:p>
        </w:tc>
        <w:tc>
          <w:tcPr>
            <w:tcW w:w="763" w:type="pct"/>
            <w:tcBorders>
              <w:top w:val="nil"/>
              <w:left w:val="nil"/>
              <w:bottom w:val="single" w:sz="4" w:space="0" w:color="auto"/>
              <w:right w:val="single" w:sz="4" w:space="0" w:color="auto"/>
            </w:tcBorders>
            <w:noWrap/>
            <w:vAlign w:val="bottom"/>
            <w:hideMark/>
          </w:tcPr>
          <w:p w14:paraId="6CEC4F32"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60.000</w:t>
            </w:r>
          </w:p>
        </w:tc>
        <w:tc>
          <w:tcPr>
            <w:tcW w:w="820" w:type="pct"/>
            <w:tcBorders>
              <w:top w:val="nil"/>
              <w:left w:val="nil"/>
              <w:bottom w:val="single" w:sz="4" w:space="0" w:color="auto"/>
              <w:right w:val="single" w:sz="4" w:space="0" w:color="auto"/>
            </w:tcBorders>
            <w:noWrap/>
            <w:vAlign w:val="bottom"/>
            <w:hideMark/>
          </w:tcPr>
          <w:p w14:paraId="40A71365"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60.000</w:t>
            </w:r>
          </w:p>
        </w:tc>
      </w:tr>
      <w:tr w:rsidR="00752B35" w:rsidRPr="00133106" w14:paraId="119DF07C" w14:textId="77777777" w:rsidTr="001E1F8B">
        <w:trPr>
          <w:trHeight w:val="285"/>
        </w:trPr>
        <w:tc>
          <w:tcPr>
            <w:tcW w:w="644" w:type="pct"/>
            <w:tcBorders>
              <w:top w:val="nil"/>
              <w:left w:val="single" w:sz="4" w:space="0" w:color="auto"/>
              <w:bottom w:val="single" w:sz="4" w:space="0" w:color="auto"/>
              <w:right w:val="single" w:sz="4" w:space="0" w:color="auto"/>
            </w:tcBorders>
            <w:noWrap/>
            <w:vAlign w:val="bottom"/>
            <w:hideMark/>
          </w:tcPr>
          <w:p w14:paraId="65AC2148"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Variable Cost</w:t>
            </w:r>
          </w:p>
        </w:tc>
        <w:tc>
          <w:tcPr>
            <w:tcW w:w="483" w:type="pct"/>
            <w:tcBorders>
              <w:top w:val="nil"/>
              <w:left w:val="nil"/>
              <w:bottom w:val="single" w:sz="4" w:space="0" w:color="auto"/>
              <w:right w:val="single" w:sz="4" w:space="0" w:color="auto"/>
            </w:tcBorders>
            <w:noWrap/>
            <w:vAlign w:val="bottom"/>
            <w:hideMark/>
          </w:tcPr>
          <w:p w14:paraId="1785BB39"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130.000</w:t>
            </w:r>
          </w:p>
        </w:tc>
        <w:tc>
          <w:tcPr>
            <w:tcW w:w="763" w:type="pct"/>
            <w:tcBorders>
              <w:top w:val="nil"/>
              <w:left w:val="nil"/>
              <w:bottom w:val="single" w:sz="4" w:space="0" w:color="auto"/>
              <w:right w:val="single" w:sz="4" w:space="0" w:color="auto"/>
            </w:tcBorders>
            <w:noWrap/>
            <w:vAlign w:val="bottom"/>
            <w:hideMark/>
          </w:tcPr>
          <w:p w14:paraId="006C3B0C"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143</w:t>
            </w:r>
            <w:r>
              <w:rPr>
                <w:rFonts w:eastAsia="Times New Roman"/>
                <w:color w:val="000000"/>
                <w:sz w:val="22"/>
                <w:szCs w:val="22"/>
              </w:rPr>
              <w:t>.000</w:t>
            </w:r>
          </w:p>
        </w:tc>
        <w:tc>
          <w:tcPr>
            <w:tcW w:w="763" w:type="pct"/>
            <w:tcBorders>
              <w:top w:val="nil"/>
              <w:left w:val="nil"/>
              <w:bottom w:val="single" w:sz="4" w:space="0" w:color="auto"/>
              <w:right w:val="single" w:sz="4" w:space="0" w:color="auto"/>
            </w:tcBorders>
            <w:noWrap/>
            <w:vAlign w:val="bottom"/>
            <w:hideMark/>
          </w:tcPr>
          <w:p w14:paraId="5321FDD2"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157</w:t>
            </w:r>
            <w:r>
              <w:rPr>
                <w:rFonts w:eastAsia="Times New Roman"/>
                <w:color w:val="000000"/>
                <w:sz w:val="22"/>
                <w:szCs w:val="22"/>
              </w:rPr>
              <w:t>.300</w:t>
            </w:r>
            <w:r w:rsidRPr="00133106">
              <w:rPr>
                <w:rFonts w:eastAsia="Times New Roman"/>
                <w:color w:val="000000"/>
                <w:sz w:val="22"/>
                <w:szCs w:val="22"/>
              </w:rPr>
              <w:t xml:space="preserve"> </w:t>
            </w:r>
          </w:p>
        </w:tc>
        <w:tc>
          <w:tcPr>
            <w:tcW w:w="763" w:type="pct"/>
            <w:tcBorders>
              <w:top w:val="nil"/>
              <w:left w:val="nil"/>
              <w:bottom w:val="single" w:sz="4" w:space="0" w:color="auto"/>
              <w:right w:val="single" w:sz="4" w:space="0" w:color="auto"/>
            </w:tcBorders>
            <w:noWrap/>
            <w:vAlign w:val="bottom"/>
            <w:hideMark/>
          </w:tcPr>
          <w:p w14:paraId="5A133F8C"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173</w:t>
            </w:r>
            <w:r>
              <w:rPr>
                <w:rFonts w:eastAsia="Times New Roman"/>
                <w:color w:val="000000"/>
                <w:sz w:val="22"/>
                <w:szCs w:val="22"/>
              </w:rPr>
              <w:t>.030</w:t>
            </w:r>
            <w:r w:rsidRPr="00133106">
              <w:rPr>
                <w:rFonts w:eastAsia="Times New Roman"/>
                <w:color w:val="000000"/>
                <w:sz w:val="22"/>
                <w:szCs w:val="22"/>
              </w:rPr>
              <w:t xml:space="preserve"> </w:t>
            </w:r>
          </w:p>
        </w:tc>
        <w:tc>
          <w:tcPr>
            <w:tcW w:w="763" w:type="pct"/>
            <w:tcBorders>
              <w:top w:val="nil"/>
              <w:left w:val="nil"/>
              <w:bottom w:val="single" w:sz="4" w:space="0" w:color="auto"/>
              <w:right w:val="single" w:sz="4" w:space="0" w:color="auto"/>
            </w:tcBorders>
            <w:noWrap/>
            <w:vAlign w:val="bottom"/>
            <w:hideMark/>
          </w:tcPr>
          <w:p w14:paraId="2F79D67F"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190</w:t>
            </w:r>
            <w:r>
              <w:rPr>
                <w:rFonts w:eastAsia="Times New Roman"/>
                <w:color w:val="000000"/>
                <w:sz w:val="22"/>
                <w:szCs w:val="22"/>
              </w:rPr>
              <w:t>.333</w:t>
            </w:r>
          </w:p>
        </w:tc>
        <w:tc>
          <w:tcPr>
            <w:tcW w:w="820" w:type="pct"/>
            <w:tcBorders>
              <w:top w:val="nil"/>
              <w:left w:val="nil"/>
              <w:bottom w:val="single" w:sz="4" w:space="0" w:color="auto"/>
              <w:right w:val="single" w:sz="4" w:space="0" w:color="auto"/>
            </w:tcBorders>
            <w:noWrap/>
            <w:vAlign w:val="bottom"/>
            <w:hideMark/>
          </w:tcPr>
          <w:p w14:paraId="70268A8B"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209</w:t>
            </w:r>
            <w:r>
              <w:rPr>
                <w:rFonts w:eastAsia="Times New Roman"/>
                <w:color w:val="000000"/>
                <w:sz w:val="22"/>
                <w:szCs w:val="22"/>
              </w:rPr>
              <w:t>.366</w:t>
            </w:r>
          </w:p>
        </w:tc>
      </w:tr>
      <w:tr w:rsidR="00752B35" w:rsidRPr="00133106" w14:paraId="6672F797" w14:textId="77777777" w:rsidTr="001E1F8B">
        <w:trPr>
          <w:trHeight w:val="285"/>
        </w:trPr>
        <w:tc>
          <w:tcPr>
            <w:tcW w:w="644" w:type="pct"/>
            <w:tcBorders>
              <w:top w:val="nil"/>
              <w:left w:val="single" w:sz="4" w:space="0" w:color="auto"/>
              <w:bottom w:val="single" w:sz="4" w:space="0" w:color="auto"/>
              <w:right w:val="single" w:sz="4" w:space="0" w:color="auto"/>
            </w:tcBorders>
            <w:noWrap/>
            <w:vAlign w:val="bottom"/>
            <w:hideMark/>
          </w:tcPr>
          <w:p w14:paraId="731F6D6E"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Total Cost</w:t>
            </w:r>
          </w:p>
        </w:tc>
        <w:tc>
          <w:tcPr>
            <w:tcW w:w="483" w:type="pct"/>
            <w:tcBorders>
              <w:top w:val="nil"/>
              <w:left w:val="nil"/>
              <w:bottom w:val="single" w:sz="4" w:space="0" w:color="auto"/>
              <w:right w:val="single" w:sz="4" w:space="0" w:color="auto"/>
            </w:tcBorders>
            <w:noWrap/>
            <w:vAlign w:val="bottom"/>
            <w:hideMark/>
          </w:tcPr>
          <w:p w14:paraId="17B6117F"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190.000</w:t>
            </w:r>
          </w:p>
        </w:tc>
        <w:tc>
          <w:tcPr>
            <w:tcW w:w="763" w:type="pct"/>
            <w:tcBorders>
              <w:top w:val="nil"/>
              <w:left w:val="nil"/>
              <w:bottom w:val="single" w:sz="4" w:space="0" w:color="auto"/>
              <w:right w:val="single" w:sz="4" w:space="0" w:color="auto"/>
            </w:tcBorders>
            <w:noWrap/>
            <w:vAlign w:val="bottom"/>
            <w:hideMark/>
          </w:tcPr>
          <w:p w14:paraId="3EC9E46B"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203.000</w:t>
            </w:r>
          </w:p>
        </w:tc>
        <w:tc>
          <w:tcPr>
            <w:tcW w:w="763" w:type="pct"/>
            <w:tcBorders>
              <w:top w:val="nil"/>
              <w:left w:val="nil"/>
              <w:bottom w:val="single" w:sz="4" w:space="0" w:color="auto"/>
              <w:right w:val="single" w:sz="4" w:space="0" w:color="auto"/>
            </w:tcBorders>
            <w:noWrap/>
            <w:vAlign w:val="bottom"/>
            <w:hideMark/>
          </w:tcPr>
          <w:p w14:paraId="624CA7F3"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217.300</w:t>
            </w:r>
          </w:p>
        </w:tc>
        <w:tc>
          <w:tcPr>
            <w:tcW w:w="763" w:type="pct"/>
            <w:tcBorders>
              <w:top w:val="nil"/>
              <w:left w:val="nil"/>
              <w:bottom w:val="single" w:sz="4" w:space="0" w:color="auto"/>
              <w:right w:val="single" w:sz="4" w:space="0" w:color="auto"/>
            </w:tcBorders>
            <w:noWrap/>
            <w:vAlign w:val="bottom"/>
            <w:hideMark/>
          </w:tcPr>
          <w:p w14:paraId="31D3EF44"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233.030</w:t>
            </w:r>
          </w:p>
        </w:tc>
        <w:tc>
          <w:tcPr>
            <w:tcW w:w="763" w:type="pct"/>
            <w:tcBorders>
              <w:top w:val="nil"/>
              <w:left w:val="nil"/>
              <w:bottom w:val="single" w:sz="4" w:space="0" w:color="auto"/>
              <w:right w:val="single" w:sz="4" w:space="0" w:color="auto"/>
            </w:tcBorders>
            <w:noWrap/>
            <w:vAlign w:val="bottom"/>
            <w:hideMark/>
          </w:tcPr>
          <w:p w14:paraId="2A8EE350"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250.333</w:t>
            </w:r>
          </w:p>
        </w:tc>
        <w:tc>
          <w:tcPr>
            <w:tcW w:w="820" w:type="pct"/>
            <w:tcBorders>
              <w:top w:val="nil"/>
              <w:left w:val="nil"/>
              <w:bottom w:val="single" w:sz="4" w:space="0" w:color="auto"/>
              <w:right w:val="single" w:sz="4" w:space="0" w:color="auto"/>
            </w:tcBorders>
            <w:noWrap/>
            <w:vAlign w:val="bottom"/>
            <w:hideMark/>
          </w:tcPr>
          <w:p w14:paraId="46B34536"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269.366</w:t>
            </w:r>
          </w:p>
        </w:tc>
      </w:tr>
      <w:tr w:rsidR="00752B35" w:rsidRPr="00133106" w14:paraId="1F80DF66" w14:textId="77777777" w:rsidTr="001E1F8B">
        <w:trPr>
          <w:trHeight w:val="285"/>
        </w:trPr>
        <w:tc>
          <w:tcPr>
            <w:tcW w:w="644" w:type="pct"/>
            <w:tcBorders>
              <w:top w:val="nil"/>
              <w:left w:val="single" w:sz="4" w:space="0" w:color="auto"/>
              <w:bottom w:val="single" w:sz="4" w:space="0" w:color="auto"/>
              <w:right w:val="single" w:sz="4" w:space="0" w:color="auto"/>
            </w:tcBorders>
            <w:noWrap/>
            <w:vAlign w:val="bottom"/>
            <w:hideMark/>
          </w:tcPr>
          <w:p w14:paraId="639146ED"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Revenue</w:t>
            </w:r>
          </w:p>
        </w:tc>
        <w:tc>
          <w:tcPr>
            <w:tcW w:w="483" w:type="pct"/>
            <w:tcBorders>
              <w:top w:val="nil"/>
              <w:left w:val="nil"/>
              <w:bottom w:val="single" w:sz="4" w:space="0" w:color="auto"/>
              <w:right w:val="single" w:sz="4" w:space="0" w:color="auto"/>
            </w:tcBorders>
            <w:noWrap/>
            <w:vAlign w:val="bottom"/>
            <w:hideMark/>
          </w:tcPr>
          <w:p w14:paraId="575AE197"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160.000</w:t>
            </w:r>
          </w:p>
        </w:tc>
        <w:tc>
          <w:tcPr>
            <w:tcW w:w="763" w:type="pct"/>
            <w:tcBorders>
              <w:top w:val="nil"/>
              <w:left w:val="nil"/>
              <w:bottom w:val="single" w:sz="4" w:space="0" w:color="auto"/>
              <w:right w:val="single" w:sz="4" w:space="0" w:color="auto"/>
            </w:tcBorders>
            <w:noWrap/>
            <w:vAlign w:val="bottom"/>
            <w:hideMark/>
          </w:tcPr>
          <w:p w14:paraId="548D427C"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184000</w:t>
            </w:r>
          </w:p>
        </w:tc>
        <w:tc>
          <w:tcPr>
            <w:tcW w:w="763" w:type="pct"/>
            <w:tcBorders>
              <w:top w:val="nil"/>
              <w:left w:val="nil"/>
              <w:bottom w:val="single" w:sz="4" w:space="0" w:color="auto"/>
              <w:right w:val="single" w:sz="4" w:space="0" w:color="auto"/>
            </w:tcBorders>
            <w:noWrap/>
            <w:vAlign w:val="bottom"/>
            <w:hideMark/>
          </w:tcPr>
          <w:p w14:paraId="4A3C66B6"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211600</w:t>
            </w:r>
          </w:p>
        </w:tc>
        <w:tc>
          <w:tcPr>
            <w:tcW w:w="763" w:type="pct"/>
            <w:tcBorders>
              <w:top w:val="nil"/>
              <w:left w:val="nil"/>
              <w:bottom w:val="single" w:sz="4" w:space="0" w:color="auto"/>
              <w:right w:val="single" w:sz="4" w:space="0" w:color="auto"/>
            </w:tcBorders>
            <w:noWrap/>
            <w:vAlign w:val="bottom"/>
            <w:hideMark/>
          </w:tcPr>
          <w:p w14:paraId="0A3D41E4"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243340</w:t>
            </w:r>
          </w:p>
        </w:tc>
        <w:tc>
          <w:tcPr>
            <w:tcW w:w="763" w:type="pct"/>
            <w:tcBorders>
              <w:top w:val="nil"/>
              <w:left w:val="nil"/>
              <w:bottom w:val="single" w:sz="4" w:space="0" w:color="auto"/>
              <w:right w:val="single" w:sz="4" w:space="0" w:color="auto"/>
            </w:tcBorders>
            <w:noWrap/>
            <w:vAlign w:val="bottom"/>
            <w:hideMark/>
          </w:tcPr>
          <w:p w14:paraId="6B157F46"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279841</w:t>
            </w:r>
          </w:p>
        </w:tc>
        <w:tc>
          <w:tcPr>
            <w:tcW w:w="820" w:type="pct"/>
            <w:tcBorders>
              <w:top w:val="nil"/>
              <w:left w:val="nil"/>
              <w:bottom w:val="single" w:sz="4" w:space="0" w:color="auto"/>
              <w:right w:val="single" w:sz="4" w:space="0" w:color="auto"/>
            </w:tcBorders>
            <w:noWrap/>
            <w:vAlign w:val="bottom"/>
            <w:hideMark/>
          </w:tcPr>
          <w:p w14:paraId="32C08A28"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321817.15</w:t>
            </w:r>
          </w:p>
        </w:tc>
      </w:tr>
      <w:tr w:rsidR="00752B35" w:rsidRPr="00133106" w14:paraId="5ACC3AF3" w14:textId="77777777" w:rsidTr="001E1F8B">
        <w:trPr>
          <w:trHeight w:val="285"/>
        </w:trPr>
        <w:tc>
          <w:tcPr>
            <w:tcW w:w="644" w:type="pct"/>
            <w:tcBorders>
              <w:top w:val="nil"/>
              <w:left w:val="single" w:sz="4" w:space="0" w:color="auto"/>
              <w:bottom w:val="single" w:sz="4" w:space="0" w:color="auto"/>
              <w:right w:val="single" w:sz="4" w:space="0" w:color="auto"/>
            </w:tcBorders>
            <w:noWrap/>
            <w:vAlign w:val="bottom"/>
            <w:hideMark/>
          </w:tcPr>
          <w:p w14:paraId="2E070EBE"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Profit/Loss</w:t>
            </w:r>
          </w:p>
        </w:tc>
        <w:tc>
          <w:tcPr>
            <w:tcW w:w="483" w:type="pct"/>
            <w:tcBorders>
              <w:top w:val="nil"/>
              <w:left w:val="nil"/>
              <w:bottom w:val="single" w:sz="4" w:space="0" w:color="auto"/>
              <w:right w:val="single" w:sz="4" w:space="0" w:color="auto"/>
            </w:tcBorders>
            <w:noWrap/>
            <w:vAlign w:val="bottom"/>
            <w:hideMark/>
          </w:tcPr>
          <w:p w14:paraId="5FCD5BD3"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-30.000</w:t>
            </w:r>
          </w:p>
        </w:tc>
        <w:tc>
          <w:tcPr>
            <w:tcW w:w="763" w:type="pct"/>
            <w:tcBorders>
              <w:top w:val="nil"/>
              <w:left w:val="nil"/>
              <w:bottom w:val="single" w:sz="4" w:space="0" w:color="auto"/>
              <w:right w:val="single" w:sz="4" w:space="0" w:color="auto"/>
            </w:tcBorders>
            <w:noWrap/>
            <w:vAlign w:val="bottom"/>
            <w:hideMark/>
          </w:tcPr>
          <w:p w14:paraId="64488E75"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-19.000</w:t>
            </w:r>
          </w:p>
        </w:tc>
        <w:tc>
          <w:tcPr>
            <w:tcW w:w="763" w:type="pct"/>
            <w:tcBorders>
              <w:top w:val="nil"/>
              <w:left w:val="nil"/>
              <w:bottom w:val="single" w:sz="4" w:space="0" w:color="auto"/>
              <w:right w:val="single" w:sz="4" w:space="0" w:color="auto"/>
            </w:tcBorders>
            <w:noWrap/>
            <w:vAlign w:val="bottom"/>
            <w:hideMark/>
          </w:tcPr>
          <w:p w14:paraId="4E8E126B"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-5.700</w:t>
            </w:r>
          </w:p>
        </w:tc>
        <w:tc>
          <w:tcPr>
            <w:tcW w:w="763" w:type="pct"/>
            <w:tcBorders>
              <w:top w:val="nil"/>
              <w:left w:val="nil"/>
              <w:bottom w:val="single" w:sz="4" w:space="0" w:color="auto"/>
              <w:right w:val="single" w:sz="4" w:space="0" w:color="auto"/>
            </w:tcBorders>
            <w:noWrap/>
            <w:vAlign w:val="bottom"/>
            <w:hideMark/>
          </w:tcPr>
          <w:p w14:paraId="3B656CA3"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10.310</w:t>
            </w:r>
          </w:p>
        </w:tc>
        <w:tc>
          <w:tcPr>
            <w:tcW w:w="763" w:type="pct"/>
            <w:tcBorders>
              <w:top w:val="nil"/>
              <w:left w:val="nil"/>
              <w:bottom w:val="single" w:sz="4" w:space="0" w:color="auto"/>
              <w:right w:val="single" w:sz="4" w:space="0" w:color="auto"/>
            </w:tcBorders>
            <w:noWrap/>
            <w:vAlign w:val="bottom"/>
            <w:hideMark/>
          </w:tcPr>
          <w:p w14:paraId="3D0573EB"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29.508</w:t>
            </w:r>
          </w:p>
        </w:tc>
        <w:tc>
          <w:tcPr>
            <w:tcW w:w="820" w:type="pct"/>
            <w:tcBorders>
              <w:top w:val="nil"/>
              <w:left w:val="nil"/>
              <w:bottom w:val="single" w:sz="4" w:space="0" w:color="auto"/>
              <w:right w:val="single" w:sz="4" w:space="0" w:color="auto"/>
            </w:tcBorders>
            <w:noWrap/>
            <w:vAlign w:val="bottom"/>
            <w:hideMark/>
          </w:tcPr>
          <w:p w14:paraId="153CDBE2" w14:textId="77777777" w:rsidR="00752B35" w:rsidRPr="00133106" w:rsidRDefault="00752B35" w:rsidP="001E1F8B">
            <w:pPr>
              <w:rPr>
                <w:rFonts w:eastAsia="Times New Roman"/>
                <w:color w:val="000000"/>
                <w:sz w:val="22"/>
                <w:szCs w:val="22"/>
              </w:rPr>
            </w:pPr>
            <w:r w:rsidRPr="00133106">
              <w:rPr>
                <w:rFonts w:eastAsia="Times New Roman"/>
                <w:color w:val="000000"/>
                <w:sz w:val="22"/>
                <w:szCs w:val="22"/>
              </w:rPr>
              <w:t>52.451</w:t>
            </w:r>
          </w:p>
        </w:tc>
      </w:tr>
    </w:tbl>
    <w:p w14:paraId="67FE71EA" w14:textId="77777777" w:rsidR="00752B35" w:rsidRPr="006033A1" w:rsidRDefault="00752B35" w:rsidP="00752B35">
      <w:pPr>
        <w:jc w:val="center"/>
      </w:pPr>
    </w:p>
    <w:p w14:paraId="2764FE98" w14:textId="77777777" w:rsidR="00752B35" w:rsidRPr="006033A1" w:rsidRDefault="00752B35" w:rsidP="00752B35">
      <w:pPr>
        <w:jc w:val="center"/>
        <w:rPr>
          <w:b/>
          <w:bCs/>
        </w:rPr>
      </w:pPr>
      <w:r w:rsidRPr="006033A1">
        <w:rPr>
          <w:b/>
          <w:bCs/>
        </w:rPr>
        <w:t xml:space="preserve">Figure 6: </w:t>
      </w:r>
      <w:r>
        <w:rPr>
          <w:b/>
          <w:bCs/>
        </w:rPr>
        <w:t>Six Month</w:t>
      </w:r>
      <w:r w:rsidRPr="006033A1">
        <w:rPr>
          <w:b/>
          <w:bCs/>
        </w:rPr>
        <w:t xml:space="preserve"> projects of profit</w:t>
      </w:r>
    </w:p>
    <w:p w14:paraId="6887C5DD" w14:textId="77777777" w:rsidR="00752B35" w:rsidRDefault="00752B35" w:rsidP="00752B35">
      <w:r w:rsidRPr="006033A1">
        <w:t xml:space="preserve">The profit statement depicts that the business would start to see profit from its second year of operations. </w:t>
      </w:r>
    </w:p>
    <w:p w14:paraId="3BBE956A" w14:textId="77777777" w:rsidR="00752B35" w:rsidRPr="006033A1" w:rsidRDefault="00752B35" w:rsidP="00752B35">
      <w:pPr>
        <w:rPr>
          <w:b/>
          <w:bCs/>
          <w:i/>
          <w:iCs/>
        </w:rPr>
      </w:pPr>
      <w:r w:rsidRPr="006033A1">
        <w:rPr>
          <w:b/>
          <w:bCs/>
          <w:i/>
          <w:iCs/>
        </w:rPr>
        <w:t>Break even analysis</w:t>
      </w:r>
    </w:p>
    <w:p w14:paraId="1976CD17" w14:textId="77777777" w:rsidR="00752B35" w:rsidRPr="006033A1" w:rsidRDefault="00752B35" w:rsidP="00752B35">
      <w:pPr>
        <w:jc w:val="center"/>
      </w:pPr>
      <w:r>
        <w:rPr>
          <w:noProof/>
        </w:rPr>
        <w:drawing>
          <wp:inline distT="0" distB="0" distL="0" distR="0" wp14:anchorId="356BFFED" wp14:editId="0B45E764">
            <wp:extent cx="4572000" cy="260985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DA6AD10" w14:textId="77777777" w:rsidR="00752B35" w:rsidRPr="006033A1" w:rsidRDefault="00752B35" w:rsidP="00752B35">
      <w:pPr>
        <w:jc w:val="center"/>
        <w:rPr>
          <w:b/>
          <w:bCs/>
        </w:rPr>
      </w:pPr>
      <w:r w:rsidRPr="006033A1">
        <w:rPr>
          <w:b/>
          <w:bCs/>
        </w:rPr>
        <w:t>Figure 7: Break-even point of the business</w:t>
      </w:r>
    </w:p>
    <w:p w14:paraId="7E4A4A7A" w14:textId="77777777" w:rsidR="00752B35" w:rsidRPr="006033A1" w:rsidRDefault="00752B35" w:rsidP="00752B35">
      <w:r w:rsidRPr="006033A1">
        <w:t xml:space="preserve">The break-even point provides the financial condition where the business is able to accumulate per unit cost from its sales (Rosenbaum and Pearl, 2021). RetrofitIQ will be able to generate income from the end of the first year of its operations as per the graph. </w:t>
      </w:r>
    </w:p>
    <w:p w14:paraId="03181A58" w14:textId="77777777" w:rsidR="00752B35" w:rsidRPr="00C37077" w:rsidRDefault="00752B35" w:rsidP="00752B35">
      <w:pPr>
        <w:rPr>
          <w:b/>
          <w:bCs/>
        </w:rPr>
      </w:pPr>
    </w:p>
    <w:p w14:paraId="4EB7445C" w14:textId="77777777" w:rsidR="00C37077" w:rsidRDefault="00C37077">
      <w:pPr>
        <w:rPr>
          <w:b/>
          <w:bCs/>
        </w:rPr>
      </w:pPr>
      <w:r>
        <w:rPr>
          <w:b/>
          <w:bCs/>
        </w:rPr>
        <w:br w:type="page"/>
      </w:r>
    </w:p>
    <w:p w14:paraId="67C66593" w14:textId="77777777" w:rsidR="00915BF5" w:rsidRDefault="00B160CA">
      <w:r>
        <w:rPr>
          <w:b/>
          <w:bCs/>
        </w:rPr>
        <w:t>Proposed business funding procedures and relevant risks</w:t>
      </w:r>
    </w:p>
    <w:tbl>
      <w:tblPr>
        <w:tblStyle w:val="a3"/>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60"/>
        <w:gridCol w:w="6540"/>
      </w:tblGrid>
      <w:tr w:rsidR="00915BF5" w14:paraId="15D31B13" w14:textId="77777777">
        <w:tc>
          <w:tcPr>
            <w:tcW w:w="2460" w:type="dxa"/>
            <w:shd w:val="clear" w:color="auto" w:fill="D9EAD3"/>
            <w:tcMar>
              <w:top w:w="100" w:type="dxa"/>
              <w:left w:w="100" w:type="dxa"/>
              <w:bottom w:w="100" w:type="dxa"/>
              <w:right w:w="100" w:type="dxa"/>
            </w:tcMar>
          </w:tcPr>
          <w:p w14:paraId="41339550" w14:textId="77777777" w:rsidR="00915BF5" w:rsidRDefault="00B160CA">
            <w:pPr>
              <w:widowControl w:val="0"/>
              <w:pBdr>
                <w:top w:val="nil"/>
                <w:left w:val="nil"/>
                <w:bottom w:val="nil"/>
                <w:right w:val="nil"/>
                <w:between w:val="nil"/>
              </w:pBdr>
              <w:jc w:val="center"/>
              <w:rPr>
                <w:b/>
                <w:bCs/>
              </w:rPr>
            </w:pPr>
            <w:r>
              <w:rPr>
                <w:b/>
                <w:bCs/>
              </w:rPr>
              <w:t>Source of funding</w:t>
            </w:r>
          </w:p>
        </w:tc>
        <w:tc>
          <w:tcPr>
            <w:tcW w:w="6540" w:type="dxa"/>
            <w:shd w:val="clear" w:color="auto" w:fill="D9EAD3"/>
            <w:tcMar>
              <w:top w:w="100" w:type="dxa"/>
              <w:left w:w="100" w:type="dxa"/>
              <w:bottom w:w="100" w:type="dxa"/>
              <w:right w:w="100" w:type="dxa"/>
            </w:tcMar>
          </w:tcPr>
          <w:p w14:paraId="72F400E4" w14:textId="77777777" w:rsidR="00915BF5" w:rsidRDefault="00B160CA">
            <w:pPr>
              <w:widowControl w:val="0"/>
              <w:pBdr>
                <w:top w:val="nil"/>
                <w:left w:val="nil"/>
                <w:bottom w:val="nil"/>
                <w:right w:val="nil"/>
                <w:between w:val="nil"/>
              </w:pBdr>
              <w:jc w:val="center"/>
              <w:rPr>
                <w:b/>
                <w:bCs/>
              </w:rPr>
            </w:pPr>
            <w:r>
              <w:rPr>
                <w:b/>
                <w:bCs/>
              </w:rPr>
              <w:t>Details about reason for selection</w:t>
            </w:r>
          </w:p>
        </w:tc>
      </w:tr>
      <w:tr w:rsidR="00915BF5" w14:paraId="32916B5A" w14:textId="77777777">
        <w:tc>
          <w:tcPr>
            <w:tcW w:w="2460" w:type="dxa"/>
            <w:shd w:val="clear" w:color="auto" w:fill="CFE2F3"/>
            <w:tcMar>
              <w:top w:w="100" w:type="dxa"/>
              <w:left w:w="100" w:type="dxa"/>
              <w:bottom w:w="100" w:type="dxa"/>
              <w:right w:w="100" w:type="dxa"/>
            </w:tcMar>
          </w:tcPr>
          <w:p w14:paraId="5EC25F46" w14:textId="77777777" w:rsidR="00915BF5" w:rsidRDefault="00B160CA">
            <w:pPr>
              <w:widowControl w:val="0"/>
              <w:pBdr>
                <w:top w:val="nil"/>
                <w:left w:val="nil"/>
                <w:bottom w:val="nil"/>
                <w:right w:val="nil"/>
                <w:between w:val="nil"/>
              </w:pBdr>
              <w:rPr>
                <w:b/>
                <w:bCs/>
              </w:rPr>
            </w:pPr>
            <w:r>
              <w:rPr>
                <w:b/>
                <w:bCs/>
              </w:rPr>
              <w:t>Government and innovation sector grants</w:t>
            </w:r>
          </w:p>
        </w:tc>
        <w:tc>
          <w:tcPr>
            <w:tcW w:w="6540" w:type="dxa"/>
            <w:tcMar>
              <w:top w:w="100" w:type="dxa"/>
              <w:left w:w="100" w:type="dxa"/>
              <w:bottom w:w="100" w:type="dxa"/>
              <w:right w:w="100" w:type="dxa"/>
            </w:tcMar>
          </w:tcPr>
          <w:p w14:paraId="61CDE32F" w14:textId="77777777" w:rsidR="00915BF5" w:rsidRDefault="00B160CA">
            <w:pPr>
              <w:widowControl w:val="0"/>
              <w:pBdr>
                <w:top w:val="nil"/>
                <w:left w:val="nil"/>
                <w:bottom w:val="nil"/>
                <w:right w:val="nil"/>
                <w:between w:val="nil"/>
              </w:pBdr>
            </w:pPr>
            <w:r>
              <w:t xml:space="preserve">The Innovate UK grant can provide sector specific </w:t>
            </w:r>
            <w:r w:rsidR="003F638F">
              <w:t>grants that are ranging from 50.</w:t>
            </w:r>
            <w:r>
              <w:t>000 GBP to 1 million GBP (Federation of Small Businesses, 2026). These sources are most secure as they provide limited complications in terms of interest rates and meeting the criteria.</w:t>
            </w:r>
          </w:p>
        </w:tc>
      </w:tr>
      <w:tr w:rsidR="00915BF5" w14:paraId="441960F1" w14:textId="77777777">
        <w:tc>
          <w:tcPr>
            <w:tcW w:w="2460" w:type="dxa"/>
            <w:shd w:val="clear" w:color="auto" w:fill="CFE2F3"/>
            <w:tcMar>
              <w:top w:w="100" w:type="dxa"/>
              <w:left w:w="100" w:type="dxa"/>
              <w:bottom w:w="100" w:type="dxa"/>
              <w:right w:w="100" w:type="dxa"/>
            </w:tcMar>
          </w:tcPr>
          <w:p w14:paraId="0FD0170B" w14:textId="77777777" w:rsidR="00915BF5" w:rsidRDefault="00B160CA">
            <w:pPr>
              <w:widowControl w:val="0"/>
              <w:pBdr>
                <w:top w:val="nil"/>
                <w:left w:val="nil"/>
                <w:bottom w:val="nil"/>
                <w:right w:val="nil"/>
                <w:between w:val="nil"/>
              </w:pBdr>
              <w:rPr>
                <w:b/>
                <w:bCs/>
              </w:rPr>
            </w:pPr>
            <w:r>
              <w:rPr>
                <w:b/>
                <w:bCs/>
              </w:rPr>
              <w:t>Green Business Loans</w:t>
            </w:r>
          </w:p>
        </w:tc>
        <w:tc>
          <w:tcPr>
            <w:tcW w:w="6540" w:type="dxa"/>
            <w:tcMar>
              <w:top w:w="100" w:type="dxa"/>
              <w:left w:w="100" w:type="dxa"/>
              <w:bottom w:w="100" w:type="dxa"/>
              <w:right w:w="100" w:type="dxa"/>
            </w:tcMar>
          </w:tcPr>
          <w:p w14:paraId="3D10AF14" w14:textId="77777777" w:rsidR="00915BF5" w:rsidRDefault="00B160CA">
            <w:pPr>
              <w:widowControl w:val="0"/>
              <w:pBdr>
                <w:top w:val="nil"/>
                <w:left w:val="nil"/>
                <w:bottom w:val="nil"/>
                <w:right w:val="nil"/>
                <w:between w:val="nil"/>
              </w:pBdr>
            </w:pPr>
            <w:r>
              <w:t xml:space="preserve">Green business loans are exclusive segments of offers provided by financial institutions located in the UK. Key companies such as NatWest, </w:t>
            </w:r>
            <w:r w:rsidR="00B53A6C">
              <w:t>Triodos,</w:t>
            </w:r>
            <w:r>
              <w:t xml:space="preserve"> and Development Bank of Wales provide dedicated asset lending schemes. The bank loan is a secured source of accessing funding as it provides restrictive policy of interest rates and accessibility of funding (Ivashina, </w:t>
            </w:r>
            <w:r w:rsidR="00730B11">
              <w:t>Laeven,</w:t>
            </w:r>
            <w:r>
              <w:t xml:space="preserve"> and Moral-Benito, 2022). </w:t>
            </w:r>
          </w:p>
        </w:tc>
      </w:tr>
      <w:tr w:rsidR="00915BF5" w14:paraId="79F7C1E9" w14:textId="77777777">
        <w:tc>
          <w:tcPr>
            <w:tcW w:w="2460" w:type="dxa"/>
            <w:shd w:val="clear" w:color="auto" w:fill="CFE2F3"/>
            <w:tcMar>
              <w:top w:w="100" w:type="dxa"/>
              <w:left w:w="100" w:type="dxa"/>
              <w:bottom w:w="100" w:type="dxa"/>
              <w:right w:w="100" w:type="dxa"/>
            </w:tcMar>
          </w:tcPr>
          <w:p w14:paraId="1CA8CCC1" w14:textId="77777777" w:rsidR="00915BF5" w:rsidRDefault="00B160CA">
            <w:pPr>
              <w:widowControl w:val="0"/>
              <w:pBdr>
                <w:top w:val="nil"/>
                <w:left w:val="nil"/>
                <w:bottom w:val="nil"/>
                <w:right w:val="nil"/>
                <w:between w:val="nil"/>
              </w:pBdr>
              <w:rPr>
                <w:b/>
                <w:bCs/>
              </w:rPr>
            </w:pPr>
            <w:r>
              <w:rPr>
                <w:b/>
                <w:bCs/>
              </w:rPr>
              <w:t>Personal Investment</w:t>
            </w:r>
          </w:p>
        </w:tc>
        <w:tc>
          <w:tcPr>
            <w:tcW w:w="6540" w:type="dxa"/>
            <w:tcMar>
              <w:top w:w="100" w:type="dxa"/>
              <w:left w:w="100" w:type="dxa"/>
              <w:bottom w:w="100" w:type="dxa"/>
              <w:right w:w="100" w:type="dxa"/>
            </w:tcMar>
          </w:tcPr>
          <w:p w14:paraId="12C3BB5E" w14:textId="77777777" w:rsidR="00915BF5" w:rsidRDefault="00B160CA">
            <w:pPr>
              <w:widowControl w:val="0"/>
              <w:pBdr>
                <w:top w:val="nil"/>
                <w:left w:val="nil"/>
                <w:bottom w:val="nil"/>
                <w:right w:val="nil"/>
                <w:between w:val="nil"/>
              </w:pBdr>
            </w:pPr>
            <w:r>
              <w:t xml:space="preserve">Personal investment in entrepreneurship is a popular choice of funding as majority of the time the businesses ideas become unacceptable from the expected lending authorities. Personal investment is advantageous in terms of decision-making, profit </w:t>
            </w:r>
            <w:r w:rsidR="00B53A6C">
              <w:t>earning,</w:t>
            </w:r>
            <w:r>
              <w:t xml:space="preserve"> and ownership of the business. </w:t>
            </w:r>
          </w:p>
        </w:tc>
      </w:tr>
    </w:tbl>
    <w:p w14:paraId="30D713C3" w14:textId="77777777" w:rsidR="00915BF5" w:rsidRDefault="00915BF5"/>
    <w:p w14:paraId="461DED17" w14:textId="77777777" w:rsidR="00915BF5" w:rsidRDefault="00915BF5"/>
    <w:p w14:paraId="051D6F9D" w14:textId="77777777" w:rsidR="00915BF5" w:rsidRDefault="00915BF5"/>
    <w:p w14:paraId="554F8EDC" w14:textId="77777777" w:rsidR="001F1D5E" w:rsidRDefault="001F1D5E">
      <w:r>
        <w:br w:type="page"/>
      </w:r>
    </w:p>
    <w:p w14:paraId="682869EF" w14:textId="77777777" w:rsidR="00915BF5" w:rsidRDefault="00915BF5"/>
    <w:tbl>
      <w:tblPr>
        <w:tblStyle w:val="a4"/>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6330"/>
      </w:tblGrid>
      <w:tr w:rsidR="00915BF5" w14:paraId="7965B070" w14:textId="77777777">
        <w:tc>
          <w:tcPr>
            <w:tcW w:w="2670" w:type="dxa"/>
            <w:shd w:val="clear" w:color="auto" w:fill="D9EAD3"/>
            <w:tcMar>
              <w:top w:w="100" w:type="dxa"/>
              <w:left w:w="100" w:type="dxa"/>
              <w:bottom w:w="100" w:type="dxa"/>
              <w:right w:w="100" w:type="dxa"/>
            </w:tcMar>
          </w:tcPr>
          <w:p w14:paraId="7174D1C2" w14:textId="77777777" w:rsidR="00915BF5" w:rsidRDefault="00B160CA">
            <w:pPr>
              <w:widowControl w:val="0"/>
              <w:pBdr>
                <w:top w:val="nil"/>
                <w:left w:val="nil"/>
                <w:bottom w:val="nil"/>
                <w:right w:val="nil"/>
                <w:between w:val="nil"/>
              </w:pBdr>
              <w:jc w:val="center"/>
              <w:rPr>
                <w:b/>
                <w:bCs/>
              </w:rPr>
            </w:pPr>
            <w:r>
              <w:rPr>
                <w:b/>
                <w:bCs/>
              </w:rPr>
              <w:t>Funding process</w:t>
            </w:r>
          </w:p>
        </w:tc>
        <w:tc>
          <w:tcPr>
            <w:tcW w:w="6330" w:type="dxa"/>
            <w:shd w:val="clear" w:color="auto" w:fill="D9EAD3"/>
            <w:tcMar>
              <w:top w:w="100" w:type="dxa"/>
              <w:left w:w="100" w:type="dxa"/>
              <w:bottom w:w="100" w:type="dxa"/>
              <w:right w:w="100" w:type="dxa"/>
            </w:tcMar>
          </w:tcPr>
          <w:p w14:paraId="299FFACF" w14:textId="77777777" w:rsidR="00915BF5" w:rsidRDefault="00B160CA">
            <w:pPr>
              <w:widowControl w:val="0"/>
              <w:pBdr>
                <w:top w:val="nil"/>
                <w:left w:val="nil"/>
                <w:bottom w:val="nil"/>
                <w:right w:val="nil"/>
                <w:between w:val="nil"/>
              </w:pBdr>
              <w:jc w:val="center"/>
              <w:rPr>
                <w:b/>
                <w:bCs/>
              </w:rPr>
            </w:pPr>
            <w:r>
              <w:rPr>
                <w:b/>
                <w:bCs/>
              </w:rPr>
              <w:t>Risks or limitations</w:t>
            </w:r>
          </w:p>
        </w:tc>
      </w:tr>
      <w:tr w:rsidR="00915BF5" w14:paraId="705ABEE9" w14:textId="77777777">
        <w:tc>
          <w:tcPr>
            <w:tcW w:w="2670" w:type="dxa"/>
            <w:shd w:val="clear" w:color="auto" w:fill="CFE2F3"/>
            <w:tcMar>
              <w:top w:w="100" w:type="dxa"/>
              <w:left w:w="100" w:type="dxa"/>
              <w:bottom w:w="100" w:type="dxa"/>
              <w:right w:w="100" w:type="dxa"/>
            </w:tcMar>
          </w:tcPr>
          <w:p w14:paraId="4D2E9F57" w14:textId="77777777" w:rsidR="00915BF5" w:rsidRDefault="00B160CA">
            <w:pPr>
              <w:widowControl w:val="0"/>
              <w:rPr>
                <w:b/>
                <w:bCs/>
              </w:rPr>
            </w:pPr>
            <w:r>
              <w:rPr>
                <w:b/>
                <w:bCs/>
              </w:rPr>
              <w:t>Government and innovation sector grants</w:t>
            </w:r>
          </w:p>
        </w:tc>
        <w:tc>
          <w:tcPr>
            <w:tcW w:w="6330" w:type="dxa"/>
            <w:tcMar>
              <w:top w:w="100" w:type="dxa"/>
              <w:left w:w="100" w:type="dxa"/>
              <w:bottom w:w="100" w:type="dxa"/>
              <w:right w:w="100" w:type="dxa"/>
            </w:tcMar>
          </w:tcPr>
          <w:p w14:paraId="10A3A0C1" w14:textId="77777777" w:rsidR="00915BF5" w:rsidRDefault="00B160CA">
            <w:pPr>
              <w:widowControl w:val="0"/>
              <w:pBdr>
                <w:top w:val="nil"/>
                <w:left w:val="nil"/>
                <w:bottom w:val="nil"/>
                <w:right w:val="nil"/>
                <w:between w:val="nil"/>
              </w:pBdr>
            </w:pPr>
            <w:r>
              <w:t xml:space="preserve">RetrofitIQ could face significant competition in accessing the government grants due to the high competition, strict scope </w:t>
            </w:r>
            <w:r w:rsidR="00B53A6C">
              <w:t>regulations,</w:t>
            </w:r>
            <w:r>
              <w:t xml:space="preserve"> and the milestone-based reimbursements. The grants can affect business decisions of spending and using the funds at the owner’s will and progressive techniques. </w:t>
            </w:r>
          </w:p>
        </w:tc>
      </w:tr>
      <w:tr w:rsidR="00915BF5" w14:paraId="4D69FF98" w14:textId="77777777">
        <w:tc>
          <w:tcPr>
            <w:tcW w:w="2670" w:type="dxa"/>
            <w:shd w:val="clear" w:color="auto" w:fill="CFE2F3"/>
            <w:tcMar>
              <w:top w:w="100" w:type="dxa"/>
              <w:left w:w="100" w:type="dxa"/>
              <w:bottom w:w="100" w:type="dxa"/>
              <w:right w:w="100" w:type="dxa"/>
            </w:tcMar>
          </w:tcPr>
          <w:p w14:paraId="645AF6B0" w14:textId="77777777" w:rsidR="00915BF5" w:rsidRDefault="00B160CA">
            <w:pPr>
              <w:widowControl w:val="0"/>
              <w:rPr>
                <w:b/>
                <w:bCs/>
              </w:rPr>
            </w:pPr>
            <w:r>
              <w:rPr>
                <w:b/>
                <w:bCs/>
              </w:rPr>
              <w:t>Green Business Loans</w:t>
            </w:r>
          </w:p>
        </w:tc>
        <w:tc>
          <w:tcPr>
            <w:tcW w:w="6330" w:type="dxa"/>
            <w:tcMar>
              <w:top w:w="100" w:type="dxa"/>
              <w:left w:w="100" w:type="dxa"/>
              <w:bottom w:w="100" w:type="dxa"/>
              <w:right w:w="100" w:type="dxa"/>
            </w:tcMar>
          </w:tcPr>
          <w:p w14:paraId="10B6BC7F" w14:textId="77777777" w:rsidR="00915BF5" w:rsidRDefault="00B160CA">
            <w:pPr>
              <w:widowControl w:val="0"/>
              <w:pBdr>
                <w:top w:val="nil"/>
                <w:left w:val="nil"/>
                <w:bottom w:val="nil"/>
                <w:right w:val="nil"/>
                <w:between w:val="nil"/>
              </w:pBdr>
            </w:pPr>
            <w:r>
              <w:t xml:space="preserve">The green business loans require strict qualification and evidence of the business meeting the principles established by the banks (Matthews, </w:t>
            </w:r>
            <w:r w:rsidR="00B53A6C">
              <w:t>Thompson,</w:t>
            </w:r>
            <w:r>
              <w:t xml:space="preserve"> and Zhang, 2023). Therefore, RetrofitIQ could face significant barriers in case it intends to borrow money upfront before execution of any business. </w:t>
            </w:r>
          </w:p>
        </w:tc>
      </w:tr>
      <w:tr w:rsidR="00915BF5" w14:paraId="70B3841E" w14:textId="77777777">
        <w:tc>
          <w:tcPr>
            <w:tcW w:w="2670" w:type="dxa"/>
            <w:shd w:val="clear" w:color="auto" w:fill="CFE2F3"/>
            <w:tcMar>
              <w:top w:w="100" w:type="dxa"/>
              <w:left w:w="100" w:type="dxa"/>
              <w:bottom w:w="100" w:type="dxa"/>
              <w:right w:w="100" w:type="dxa"/>
            </w:tcMar>
          </w:tcPr>
          <w:p w14:paraId="767F518B" w14:textId="77777777" w:rsidR="00915BF5" w:rsidRDefault="00B160CA">
            <w:pPr>
              <w:widowControl w:val="0"/>
              <w:rPr>
                <w:b/>
                <w:bCs/>
              </w:rPr>
            </w:pPr>
            <w:r>
              <w:rPr>
                <w:b/>
                <w:bCs/>
              </w:rPr>
              <w:t>Personal Investment</w:t>
            </w:r>
          </w:p>
        </w:tc>
        <w:tc>
          <w:tcPr>
            <w:tcW w:w="6330" w:type="dxa"/>
            <w:tcMar>
              <w:top w:w="100" w:type="dxa"/>
              <w:left w:w="100" w:type="dxa"/>
              <w:bottom w:w="100" w:type="dxa"/>
              <w:right w:w="100" w:type="dxa"/>
            </w:tcMar>
          </w:tcPr>
          <w:p w14:paraId="0D682DD9" w14:textId="77777777" w:rsidR="00915BF5" w:rsidRDefault="00B160CA">
            <w:pPr>
              <w:widowControl w:val="0"/>
              <w:pBdr>
                <w:top w:val="nil"/>
                <w:left w:val="nil"/>
                <w:bottom w:val="nil"/>
                <w:right w:val="nil"/>
                <w:between w:val="nil"/>
              </w:pBdr>
            </w:pPr>
            <w:r>
              <w:t xml:space="preserve">Personal savings can become subject to loss and the business owner has to bear it without any assistance. </w:t>
            </w:r>
          </w:p>
        </w:tc>
      </w:tr>
    </w:tbl>
    <w:p w14:paraId="31E06C22" w14:textId="77777777" w:rsidR="00915BF5" w:rsidRDefault="00915BF5"/>
    <w:p w14:paraId="09A12A4C" w14:textId="77777777" w:rsidR="00915BF5" w:rsidRDefault="00B160CA">
      <w:pPr>
        <w:pStyle w:val="Heading1"/>
      </w:pPr>
      <w:bookmarkStart w:id="15" w:name="_5h5vvs7j454q" w:colFirst="0" w:colLast="0"/>
      <w:bookmarkStart w:id="16" w:name="_Toc236488624"/>
      <w:bookmarkEnd w:id="15"/>
      <w:r>
        <w:t>Conclusion</w:t>
      </w:r>
      <w:bookmarkEnd w:id="16"/>
    </w:p>
    <w:p w14:paraId="06E06634" w14:textId="77777777" w:rsidR="00915BF5" w:rsidRDefault="00B160CA">
      <w:r>
        <w:t xml:space="preserve">This part of the portfolio establishes key alternatives and measures to secure a successful business proposition in the name of RetrofitIQ. The section discusses authentic action and environmental specifications that depicts the feasibility of the dimensions incorporated in the business plan. </w:t>
      </w:r>
    </w:p>
    <w:p w14:paraId="69BD7C08" w14:textId="77777777" w:rsidR="00915BF5" w:rsidRDefault="00B160CA">
      <w:pPr>
        <w:pStyle w:val="Heading1"/>
      </w:pPr>
      <w:bookmarkStart w:id="17" w:name="_ypcnz1ubjwgy" w:colFirst="0" w:colLast="0"/>
      <w:bookmarkEnd w:id="17"/>
      <w:r>
        <w:br w:type="page"/>
      </w:r>
    </w:p>
    <w:p w14:paraId="254C2004" w14:textId="77777777" w:rsidR="00915BF5" w:rsidRDefault="00B160CA">
      <w:pPr>
        <w:pStyle w:val="Heading1"/>
      </w:pPr>
      <w:bookmarkStart w:id="18" w:name="_epepolcor9bv" w:colFirst="0" w:colLast="0"/>
      <w:bookmarkStart w:id="19" w:name="_wsod26gjz5aj" w:colFirst="0" w:colLast="0"/>
      <w:bookmarkStart w:id="20" w:name="_y15pn1r3kl19" w:colFirst="0" w:colLast="0"/>
      <w:bookmarkStart w:id="21" w:name="_mfsf49mbstmx" w:colFirst="0" w:colLast="0"/>
      <w:bookmarkStart w:id="22" w:name="_krivntarhb02" w:colFirst="0" w:colLast="0"/>
      <w:bookmarkStart w:id="23" w:name="_Toc236488625"/>
      <w:bookmarkEnd w:id="18"/>
      <w:bookmarkEnd w:id="19"/>
      <w:bookmarkEnd w:id="20"/>
      <w:bookmarkEnd w:id="21"/>
      <w:bookmarkEnd w:id="22"/>
      <w:r>
        <w:t>Reference List</w:t>
      </w:r>
      <w:bookmarkEnd w:id="23"/>
    </w:p>
    <w:p w14:paraId="7474FC83" w14:textId="77777777" w:rsidR="00915BF5" w:rsidRDefault="00B160CA">
      <w:pPr>
        <w:rPr>
          <w:b/>
          <w:bCs/>
        </w:rPr>
      </w:pPr>
      <w:r>
        <w:rPr>
          <w:b/>
          <w:bCs/>
        </w:rPr>
        <w:t>Task 1</w:t>
      </w:r>
    </w:p>
    <w:p w14:paraId="47081D3C" w14:textId="77777777" w:rsidR="00D060FE" w:rsidRPr="006033A1" w:rsidRDefault="00D060FE" w:rsidP="007D7551">
      <w:r w:rsidRPr="006033A1">
        <w:t xml:space="preserve">Aegconstruction (2026) </w:t>
      </w:r>
      <w:r w:rsidRPr="006033A1">
        <w:rPr>
          <w:i/>
          <w:iCs/>
        </w:rPr>
        <w:t>Top 10 Retrofit &amp; Decarbonisation Companies UK 2026</w:t>
      </w:r>
      <w:r w:rsidRPr="006033A1">
        <w:t>. [online] AEG Construction Ltd | Energy Efficient Installations &amp; Retrofit. Available at: https://aegconstruction.co.uk/top-10-retrofit-and-decarbonisation-c</w:t>
      </w:r>
      <w:r>
        <w:t>ompanies-in-the-uk/ (Accessed: 30 June</w:t>
      </w:r>
      <w:r w:rsidRPr="006033A1">
        <w:t xml:space="preserve"> 2026).</w:t>
      </w:r>
    </w:p>
    <w:p w14:paraId="1D565327" w14:textId="77777777" w:rsidR="00D060FE" w:rsidRPr="006033A1" w:rsidRDefault="00D060FE" w:rsidP="007D7551">
      <w:r w:rsidRPr="006033A1">
        <w:t xml:space="preserve">Buildersmerchantsnews.co.uk. (2026). </w:t>
      </w:r>
      <w:r w:rsidRPr="006033A1">
        <w:rPr>
          <w:i/>
          <w:iCs/>
        </w:rPr>
        <w:t>Report finds 93% of homes up for sale lack “green” features</w:t>
      </w:r>
      <w:r w:rsidRPr="006033A1">
        <w:t>. [online] Available at: https://www.buildersmerchantsnews.co.uk/news/merchants/report-93-homes-sale-</w:t>
      </w:r>
      <w:r>
        <w:t>lack-green-features (Accessed: 31 June</w:t>
      </w:r>
      <w:r w:rsidRPr="006033A1">
        <w:t xml:space="preserve"> 2026).</w:t>
      </w:r>
    </w:p>
    <w:p w14:paraId="13C0B62B" w14:textId="77777777" w:rsidR="00D060FE" w:rsidRPr="006033A1" w:rsidRDefault="00D060FE" w:rsidP="007D7551">
      <w:r w:rsidRPr="006033A1">
        <w:t xml:space="preserve">Burns, P., (2022) </w:t>
      </w:r>
      <w:r w:rsidRPr="006033A1">
        <w:rPr>
          <w:i/>
          <w:iCs/>
        </w:rPr>
        <w:t>Entrepreneurship and small business</w:t>
      </w:r>
      <w:r w:rsidRPr="006033A1">
        <w:t>. Bloomsbury Publishing.</w:t>
      </w:r>
    </w:p>
    <w:p w14:paraId="63194F88" w14:textId="77777777" w:rsidR="00D060FE" w:rsidRPr="006033A1" w:rsidRDefault="00D060FE" w:rsidP="007D7551">
      <w:pPr>
        <w:rPr>
          <w:color w:val="1155CC"/>
          <w:u w:val="single"/>
        </w:rPr>
      </w:pPr>
      <w:r w:rsidRPr="006033A1">
        <w:rPr>
          <w:color w:val="222222"/>
        </w:rPr>
        <w:t xml:space="preserve">Dermawan, M., Rini, E.S., Sembiring, M.T. and Budiman, I., (2023, June) ‘SWOT Analysis and Marketing Mix 4P Model as a Method to Develop Strategic Plan for Newly Marketed Agricultural Corn Seed Product’, In </w:t>
      </w:r>
      <w:r w:rsidRPr="006033A1">
        <w:rPr>
          <w:i/>
          <w:iCs/>
        </w:rPr>
        <w:t>IOP Conference Series: Earth and Environmental Science</w:t>
      </w:r>
      <w:r w:rsidRPr="006033A1">
        <w:t xml:space="preserve"> (Vol. 1188, No. 1, p. 012027). IOP Publishing.</w:t>
      </w:r>
      <w:hyperlink r:id="rId12">
        <w:r w:rsidRPr="006033A1">
          <w:t xml:space="preserve"> </w:t>
        </w:r>
      </w:hyperlink>
      <w:hyperlink r:id="rId13">
        <w:r w:rsidRPr="006033A1">
          <w:rPr>
            <w:color w:val="1155CC"/>
            <w:u w:val="single"/>
          </w:rPr>
          <w:t>https://doi.org/10.1088/1755-1315/1188/1/012027</w:t>
        </w:r>
      </w:hyperlink>
    </w:p>
    <w:p w14:paraId="5D0D1249" w14:textId="77777777" w:rsidR="00D060FE" w:rsidRPr="006033A1" w:rsidRDefault="00D060FE" w:rsidP="007D7551">
      <w:r w:rsidRPr="006033A1">
        <w:t xml:space="preserve">Federation of Small Businesses (2026) </w:t>
      </w:r>
      <w:r w:rsidRPr="006033A1">
        <w:rPr>
          <w:i/>
          <w:iCs/>
        </w:rPr>
        <w:t>The Small Business Guide to Green Business Grants.</w:t>
      </w:r>
      <w:r w:rsidRPr="006033A1">
        <w:t xml:space="preserve"> [online] Interflora Floristry Trade Club. Available at: https://www.floristrytradeclub.co.uk/post/the-small-business-guide-to-gr</w:t>
      </w:r>
      <w:r>
        <w:t>een-business-grants (Accessed: 30 June</w:t>
      </w:r>
      <w:r w:rsidRPr="006033A1">
        <w:t xml:space="preserve"> 2026).</w:t>
      </w:r>
    </w:p>
    <w:p w14:paraId="59835A5A" w14:textId="77777777" w:rsidR="00D060FE" w:rsidRPr="006033A1" w:rsidRDefault="00D060FE" w:rsidP="007D7551">
      <w:r w:rsidRPr="006033A1">
        <w:t xml:space="preserve">Grant, R.M., (2021) </w:t>
      </w:r>
      <w:r w:rsidRPr="006033A1">
        <w:rPr>
          <w:i/>
          <w:iCs/>
        </w:rPr>
        <w:t>Contemporary strategy analysis</w:t>
      </w:r>
      <w:r w:rsidRPr="006033A1">
        <w:t>. John Wiley &amp; Sons.</w:t>
      </w:r>
    </w:p>
    <w:p w14:paraId="1F2E14C0" w14:textId="77777777" w:rsidR="00D060FE" w:rsidRPr="006033A1" w:rsidRDefault="00D060FE" w:rsidP="007D7551">
      <w:pPr>
        <w:rPr>
          <w:color w:val="1155CC"/>
          <w:u w:val="single"/>
        </w:rPr>
      </w:pPr>
      <w:r w:rsidRPr="006033A1">
        <w:rPr>
          <w:color w:val="222222"/>
        </w:rPr>
        <w:t xml:space="preserve">Gumanti, R.M., (2025) ‘A Coffee Shop Marketing Strategy Analysis Using STP and the Ansoff Matrix: A Systematic Literature Review’, </w:t>
      </w:r>
      <w:r w:rsidRPr="006033A1">
        <w:rPr>
          <w:i/>
          <w:iCs/>
          <w:color w:val="222222"/>
        </w:rPr>
        <w:t>Al-Kharaj: Journal of Islamic Economic and Business</w:t>
      </w:r>
      <w:r w:rsidRPr="006033A1">
        <w:rPr>
          <w:color w:val="222222"/>
        </w:rPr>
        <w:t xml:space="preserve">, </w:t>
      </w:r>
      <w:r w:rsidRPr="006033A1">
        <w:rPr>
          <w:i/>
          <w:iCs/>
          <w:color w:val="222222"/>
        </w:rPr>
        <w:t>7</w:t>
      </w:r>
      <w:r w:rsidRPr="006033A1">
        <w:rPr>
          <w:color w:val="222222"/>
        </w:rPr>
        <w:t>(4).</w:t>
      </w:r>
      <w:hyperlink r:id="rId14">
        <w:r w:rsidRPr="006033A1">
          <w:rPr>
            <w:color w:val="222222"/>
          </w:rPr>
          <w:t xml:space="preserve"> </w:t>
        </w:r>
      </w:hyperlink>
      <w:hyperlink r:id="rId15">
        <w:r w:rsidRPr="006033A1">
          <w:rPr>
            <w:color w:val="1155CC"/>
            <w:u w:val="single"/>
          </w:rPr>
          <w:t>https://ejournal.iainpalopo.ac.id/index.php/alkharaj</w:t>
        </w:r>
      </w:hyperlink>
    </w:p>
    <w:p w14:paraId="45DECC5C" w14:textId="77777777" w:rsidR="00D060FE" w:rsidRPr="006033A1" w:rsidRDefault="00D060FE" w:rsidP="007D7551">
      <w:r w:rsidRPr="006033A1">
        <w:t xml:space="preserve">Guo, H., (2025) </w:t>
      </w:r>
      <w:r w:rsidRPr="006033A1">
        <w:rPr>
          <w:i/>
          <w:iCs/>
        </w:rPr>
        <w:t>Big Earth Data in Support of the Sustainable Development Goals (2023)-The Belt and Road</w:t>
      </w:r>
      <w:r w:rsidRPr="006033A1">
        <w:t>. Springer.</w:t>
      </w:r>
    </w:p>
    <w:p w14:paraId="0F52D19F" w14:textId="77777777" w:rsidR="00D060FE" w:rsidRPr="006033A1" w:rsidRDefault="00D060FE" w:rsidP="007D7551">
      <w:r w:rsidRPr="006033A1">
        <w:t xml:space="preserve">Harari, D. (2026) </w:t>
      </w:r>
      <w:r w:rsidRPr="006033A1">
        <w:rPr>
          <w:i/>
          <w:iCs/>
        </w:rPr>
        <w:t>Economic update: The new Prime Minister, inflation and the cost of living - House of Commons Library</w:t>
      </w:r>
      <w:r w:rsidRPr="006033A1">
        <w:t xml:space="preserve">. [online] House of Commons Library. Available at: https://commonslibrary.parliament.uk/research-briefings/cbp-10975/ (Accessed: </w:t>
      </w:r>
      <w:r>
        <w:t>30 June</w:t>
      </w:r>
      <w:r w:rsidRPr="006033A1">
        <w:t xml:space="preserve"> 2026).</w:t>
      </w:r>
    </w:p>
    <w:p w14:paraId="77407F53" w14:textId="77777777" w:rsidR="00D060FE" w:rsidRPr="006033A1" w:rsidRDefault="00D060FE" w:rsidP="007D7551">
      <w:pPr>
        <w:rPr>
          <w:color w:val="1155CC"/>
          <w:u w:val="single"/>
        </w:rPr>
      </w:pPr>
      <w:r w:rsidRPr="006033A1">
        <w:t xml:space="preserve">Ivashina, V., Laeven, L. and Moral-Benito, E., (2022) ‘Loan types and the bank lending channel,’ </w:t>
      </w:r>
      <w:r w:rsidRPr="006033A1">
        <w:rPr>
          <w:i/>
          <w:iCs/>
        </w:rPr>
        <w:t>Journal of Monetary Economics</w:t>
      </w:r>
      <w:r w:rsidRPr="006033A1">
        <w:t xml:space="preserve">, </w:t>
      </w:r>
      <w:r w:rsidRPr="006033A1">
        <w:rPr>
          <w:i/>
          <w:iCs/>
        </w:rPr>
        <w:t>126</w:t>
      </w:r>
      <w:r w:rsidRPr="006033A1">
        <w:t>, pp.171-187.</w:t>
      </w:r>
      <w:hyperlink r:id="rId16">
        <w:r w:rsidRPr="006033A1">
          <w:t xml:space="preserve"> </w:t>
        </w:r>
      </w:hyperlink>
      <w:hyperlink r:id="rId17">
        <w:r w:rsidRPr="006033A1">
          <w:rPr>
            <w:color w:val="1155CC"/>
            <w:u w:val="single"/>
          </w:rPr>
          <w:t>https://www.sciencedirect.com/science/article/pii/S0304393221001331</w:t>
        </w:r>
      </w:hyperlink>
    </w:p>
    <w:p w14:paraId="006186B2" w14:textId="77777777" w:rsidR="00D060FE" w:rsidRPr="006033A1" w:rsidRDefault="00D060FE" w:rsidP="007D7551">
      <w:pPr>
        <w:rPr>
          <w:color w:val="1155CC"/>
          <w:u w:val="single"/>
        </w:rPr>
      </w:pPr>
      <w:r w:rsidRPr="006033A1">
        <w:rPr>
          <w:color w:val="222222"/>
        </w:rPr>
        <w:t xml:space="preserve">Liu, H., (2025) ‘Research on Digital Marketing Strategy Optimization Based on 4P Theory and Its Empirical Analysis’, </w:t>
      </w:r>
      <w:r w:rsidRPr="006033A1">
        <w:rPr>
          <w:i/>
          <w:iCs/>
          <w:color w:val="222222"/>
        </w:rPr>
        <w:t>MODERN ECONOMICS</w:t>
      </w:r>
      <w:r w:rsidRPr="006033A1">
        <w:rPr>
          <w:color w:val="222222"/>
        </w:rPr>
        <w:t xml:space="preserve">, </w:t>
      </w:r>
      <w:r w:rsidRPr="006033A1">
        <w:rPr>
          <w:i/>
          <w:iCs/>
          <w:color w:val="222222"/>
        </w:rPr>
        <w:t>6</w:t>
      </w:r>
      <w:r w:rsidRPr="006033A1">
        <w:rPr>
          <w:color w:val="222222"/>
        </w:rPr>
        <w:t>(1), p.110.</w:t>
      </w:r>
      <w:hyperlink r:id="rId18">
        <w:r w:rsidRPr="006033A1">
          <w:rPr>
            <w:color w:val="222222"/>
          </w:rPr>
          <w:t xml:space="preserve"> </w:t>
        </w:r>
      </w:hyperlink>
      <w:hyperlink r:id="rId19">
        <w:r w:rsidRPr="006033A1">
          <w:rPr>
            <w:color w:val="1155CC"/>
            <w:u w:val="single"/>
          </w:rPr>
          <w:t>https://en.front-sci.com/index.php/memf/article/view/3564/3855</w:t>
        </w:r>
      </w:hyperlink>
    </w:p>
    <w:p w14:paraId="387911BD" w14:textId="77777777" w:rsidR="00D060FE" w:rsidRPr="006033A1" w:rsidRDefault="00D060FE" w:rsidP="007D7551">
      <w:r w:rsidRPr="006033A1">
        <w:t xml:space="preserve">Matthews, K., Thompson, J. and Zhang, T., (2023) </w:t>
      </w:r>
      <w:r w:rsidRPr="006033A1">
        <w:rPr>
          <w:i/>
          <w:iCs/>
        </w:rPr>
        <w:t>Economics Of Banking, The</w:t>
      </w:r>
      <w:r w:rsidRPr="006033A1">
        <w:t>. World Scientific.</w:t>
      </w:r>
    </w:p>
    <w:p w14:paraId="17AA468C" w14:textId="77777777" w:rsidR="00D060FE" w:rsidRPr="006033A1" w:rsidRDefault="00D060FE" w:rsidP="007D7551">
      <w:pPr>
        <w:rPr>
          <w:color w:val="1155CC"/>
          <w:u w:val="single"/>
        </w:rPr>
      </w:pPr>
      <w:r w:rsidRPr="006033A1">
        <w:rPr>
          <w:color w:val="222222"/>
        </w:rPr>
        <w:t xml:space="preserve">Nyquist, A.M., Farshid, M. and Brown, T., (2025) ‘Employing digital twin technology in the pursuit to avert sustainable marketing myopia’, </w:t>
      </w:r>
      <w:r w:rsidRPr="006033A1">
        <w:rPr>
          <w:i/>
          <w:iCs/>
          <w:color w:val="222222"/>
        </w:rPr>
        <w:t>Journal of Research in Marketing and Entrepreneurship</w:t>
      </w:r>
      <w:r w:rsidRPr="006033A1">
        <w:rPr>
          <w:color w:val="222222"/>
        </w:rPr>
        <w:t xml:space="preserve">, </w:t>
      </w:r>
      <w:r w:rsidRPr="006033A1">
        <w:rPr>
          <w:i/>
          <w:iCs/>
          <w:color w:val="222222"/>
        </w:rPr>
        <w:t>27</w:t>
      </w:r>
      <w:r w:rsidRPr="006033A1">
        <w:rPr>
          <w:color w:val="222222"/>
        </w:rPr>
        <w:t>(2), pp.277-293.</w:t>
      </w:r>
      <w:hyperlink r:id="rId20">
        <w:r w:rsidRPr="006033A1">
          <w:rPr>
            <w:color w:val="222222"/>
          </w:rPr>
          <w:t xml:space="preserve"> </w:t>
        </w:r>
      </w:hyperlink>
      <w:hyperlink r:id="rId21">
        <w:r w:rsidRPr="006033A1">
          <w:rPr>
            <w:color w:val="1155CC"/>
            <w:u w:val="single"/>
          </w:rPr>
          <w:t>https://doi.org/10.61942/oikonomia.v2i3.358</w:t>
        </w:r>
      </w:hyperlink>
    </w:p>
    <w:p w14:paraId="7A612446" w14:textId="77777777" w:rsidR="00D060FE" w:rsidRPr="006033A1" w:rsidRDefault="00D060FE" w:rsidP="007D7551">
      <w:r w:rsidRPr="006033A1">
        <w:t xml:space="preserve">Ofgem. (2022) </w:t>
      </w:r>
      <w:r w:rsidRPr="006033A1">
        <w:rPr>
          <w:i/>
          <w:iCs/>
        </w:rPr>
        <w:t>Energy Company Obligation (ECO).</w:t>
      </w:r>
      <w:r w:rsidRPr="006033A1">
        <w:t xml:space="preserve"> [online] Available at: https://www.ofgem.gov.uk/environmental-and-social-schemes/energy-company-</w:t>
      </w:r>
      <w:r>
        <w:t>obligation-eco (Accessed: 1 Aug</w:t>
      </w:r>
      <w:r w:rsidRPr="006033A1">
        <w:t xml:space="preserve"> 2026).</w:t>
      </w:r>
    </w:p>
    <w:p w14:paraId="7BB99334" w14:textId="77777777" w:rsidR="00D060FE" w:rsidRPr="006033A1" w:rsidRDefault="00D060FE" w:rsidP="007D7551">
      <w:r w:rsidRPr="006033A1">
        <w:t xml:space="preserve">Parliament. (2024) </w:t>
      </w:r>
      <w:r w:rsidRPr="006033A1">
        <w:rPr>
          <w:i/>
          <w:iCs/>
        </w:rPr>
        <w:t>Retrofitting homes for net zero</w:t>
      </w:r>
      <w:r w:rsidRPr="006033A1">
        <w:t>. [online] Available at: https://publications.parliament.uk/pa/cm5901/cmselect/cmesnz/453/report.html (Accessed: 1 Aug 2026).</w:t>
      </w:r>
    </w:p>
    <w:p w14:paraId="195122CF" w14:textId="77777777" w:rsidR="00D060FE" w:rsidRPr="006033A1" w:rsidRDefault="00D060FE" w:rsidP="007D7551">
      <w:pPr>
        <w:rPr>
          <w:color w:val="1155CC"/>
          <w:u w:val="single"/>
        </w:rPr>
      </w:pPr>
      <w:r w:rsidRPr="006033A1">
        <w:rPr>
          <w:color w:val="222222"/>
        </w:rPr>
        <w:t xml:space="preserve">Raharjo, J.F., (2025, April) ‘Analysis of the Implementation of the 4P Marketing Mix Strategy (Product, Price, Place and Promotion) to Increase the Income of Boarding Business Actors’, In </w:t>
      </w:r>
      <w:r w:rsidRPr="006033A1">
        <w:rPr>
          <w:i/>
          <w:iCs/>
        </w:rPr>
        <w:t>Cirebon Annual Multidiciplinary International Conference (CAMIC)</w:t>
      </w:r>
      <w:r w:rsidRPr="006033A1">
        <w:t xml:space="preserve"> (pp. 465-470).</w:t>
      </w:r>
      <w:hyperlink r:id="rId22">
        <w:r w:rsidRPr="006033A1">
          <w:t xml:space="preserve"> </w:t>
        </w:r>
      </w:hyperlink>
      <w:hyperlink r:id="rId23">
        <w:r w:rsidRPr="006033A1">
          <w:rPr>
            <w:color w:val="1155CC"/>
            <w:u w:val="single"/>
          </w:rPr>
          <w:t>https://conference.ugj.ac.id/index.php/camic/article/view/10092/4552</w:t>
        </w:r>
      </w:hyperlink>
    </w:p>
    <w:p w14:paraId="58B12ED9" w14:textId="77777777" w:rsidR="00D060FE" w:rsidRPr="006033A1" w:rsidRDefault="00D060FE" w:rsidP="007D7551">
      <w:r w:rsidRPr="006033A1">
        <w:t xml:space="preserve">Rathore, M., (2026) </w:t>
      </w:r>
      <w:r w:rsidRPr="006033A1">
        <w:rPr>
          <w:i/>
          <w:iCs/>
        </w:rPr>
        <w:t>UK electricity consumption - statistics &amp; facts.</w:t>
      </w:r>
      <w:r w:rsidRPr="006033A1">
        <w:t xml:space="preserve"> Available at:</w:t>
      </w:r>
      <w:hyperlink r:id="rId24">
        <w:r w:rsidRPr="006033A1">
          <w:t xml:space="preserve"> </w:t>
        </w:r>
      </w:hyperlink>
      <w:hyperlink r:id="rId25">
        <w:r w:rsidRPr="006033A1">
          <w:rPr>
            <w:color w:val="1155CC"/>
            <w:u w:val="single"/>
          </w:rPr>
          <w:t>https://www.statista.com/topics/4931/electricity-consumption-in-the-united-kingdom-uk/?srsltid=AfmBOooL8_F20DKJAYd8zC7iH-kNv_VHgosGmoX-RYSoAQGDaHr0vL45</w:t>
        </w:r>
      </w:hyperlink>
      <w:r>
        <w:t xml:space="preserve"> (Accessed: 31 June</w:t>
      </w:r>
      <w:r w:rsidRPr="006033A1">
        <w:t xml:space="preserve"> 2026).</w:t>
      </w:r>
    </w:p>
    <w:p w14:paraId="205F17E5" w14:textId="77777777" w:rsidR="00D060FE" w:rsidRPr="006033A1" w:rsidRDefault="00D060FE" w:rsidP="007D7551">
      <w:r w:rsidRPr="006033A1">
        <w:t xml:space="preserve">Rosenbaum, J. and Pearl, J., (2021) </w:t>
      </w:r>
      <w:r w:rsidRPr="006033A1">
        <w:rPr>
          <w:i/>
          <w:iCs/>
        </w:rPr>
        <w:t>Investment banking: valuation, LBOs, M&amp;A, and IPOs</w:t>
      </w:r>
      <w:r w:rsidRPr="006033A1">
        <w:t xml:space="preserve">. John Wiley &amp; Sons. </w:t>
      </w:r>
    </w:p>
    <w:p w14:paraId="7B247698" w14:textId="77777777" w:rsidR="00D060FE" w:rsidRPr="006033A1" w:rsidRDefault="00D060FE" w:rsidP="007D7551">
      <w:r w:rsidRPr="006033A1">
        <w:rPr>
          <w:color w:val="222222"/>
        </w:rPr>
        <w:t xml:space="preserve">Setyadi, D., Soesanto, R.H., Hidayat, D., Dosinaeng, W.B.N. and Mampouw, H.L., (2025) ‘The Digital Cognitive Partner: A 4P Framework Analysis of Prospective Teacher Creativity in the Age of AI’, </w:t>
      </w:r>
      <w:r w:rsidRPr="006033A1">
        <w:rPr>
          <w:i/>
          <w:iCs/>
          <w:color w:val="222222"/>
        </w:rPr>
        <w:t>Jurnal Pendidikan MIPA</w:t>
      </w:r>
      <w:r w:rsidRPr="006033A1">
        <w:rPr>
          <w:color w:val="222222"/>
        </w:rPr>
        <w:t xml:space="preserve">, </w:t>
      </w:r>
      <w:r w:rsidRPr="006033A1">
        <w:rPr>
          <w:i/>
          <w:iCs/>
          <w:color w:val="222222"/>
        </w:rPr>
        <w:t>26</w:t>
      </w:r>
      <w:r w:rsidRPr="006033A1">
        <w:rPr>
          <w:color w:val="222222"/>
        </w:rPr>
        <w:t>(3), pp.1958-1987.</w:t>
      </w:r>
      <w:hyperlink r:id="rId26">
        <w:r w:rsidRPr="006033A1">
          <w:rPr>
            <w:color w:val="222222"/>
          </w:rPr>
          <w:t xml:space="preserve"> </w:t>
        </w:r>
      </w:hyperlink>
      <w:hyperlink r:id="rId27">
        <w:r w:rsidRPr="006033A1">
          <w:rPr>
            <w:color w:val="1155CC"/>
            <w:u w:val="single"/>
          </w:rPr>
          <w:t>http://dx.doi.org/10.23960/jpmipa.v26i3.pp1958-1987</w:t>
        </w:r>
      </w:hyperlink>
    </w:p>
    <w:p w14:paraId="40E68D38" w14:textId="77777777" w:rsidR="00254402" w:rsidRDefault="00254402">
      <w:r>
        <w:br w:type="page"/>
      </w:r>
    </w:p>
    <w:p w14:paraId="67C47BAD" w14:textId="77777777" w:rsidR="00915BF5" w:rsidRPr="00254402" w:rsidRDefault="00254402">
      <w:pPr>
        <w:rPr>
          <w:b/>
        </w:rPr>
      </w:pPr>
      <w:r w:rsidRPr="00254402">
        <w:rPr>
          <w:b/>
        </w:rPr>
        <w:t>GAI Declaration</w:t>
      </w:r>
    </w:p>
    <w:p w14:paraId="77C98FFC" w14:textId="77777777" w:rsidR="00254402" w:rsidRPr="00460BD0" w:rsidRDefault="00254402" w:rsidP="00254402">
      <w:r w:rsidRPr="00460BD0">
        <w:t>"I want to declare that I have not taken any assistance of any AI tools and applications in forming any section of the portfolio. I have read every guidelines of the university and maintained integrity throughout the portfolio."</w:t>
      </w:r>
    </w:p>
    <w:p w14:paraId="0AA5A538" w14:textId="77777777" w:rsidR="00254402" w:rsidRDefault="00254402"/>
    <w:sectPr w:rsidR="00254402">
      <w:footerReference w:type="default" r:id="rId28"/>
      <w:footerReference w:type="first" r:id="rId29"/>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D516F45" w14:textId="77777777" w:rsidR="00CF38B7" w:rsidRDefault="00CF38B7">
      <w:pPr>
        <w:spacing w:line="240" w:lineRule="auto"/>
      </w:pPr>
      <w:r>
        <w:separator/>
      </w:r>
    </w:p>
  </w:endnote>
  <w:endnote w:type="continuationSeparator" w:id="0">
    <w:p w14:paraId="79E9BE14" w14:textId="77777777" w:rsidR="00CF38B7" w:rsidRDefault="00CF38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E747BA47-05A7-4B75-8D9F-A0A2BA0815E9}"/>
  </w:font>
  <w:font w:name="Cambria">
    <w:panose1 w:val="02040503050406030204"/>
    <w:charset w:val="00"/>
    <w:family w:val="roman"/>
    <w:pitch w:val="variable"/>
    <w:sig w:usb0="E00006FF" w:usb1="420024FF" w:usb2="02000000" w:usb3="00000000" w:csb0="0000019F" w:csb1="00000000"/>
    <w:embedRegular r:id="rId2" w:fontKey="{5EBE8378-84FA-4AE1-9EC7-E883FCBE134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CEB34A" w14:textId="77777777" w:rsidR="00915BF5" w:rsidRDefault="00B160CA">
    <w:pPr>
      <w:jc w:val="right"/>
    </w:pPr>
    <w:r>
      <w:fldChar w:fldCharType="begin"/>
    </w:r>
    <w:r>
      <w:instrText>PAGE</w:instrText>
    </w:r>
    <w:r>
      <w:fldChar w:fldCharType="separate"/>
    </w:r>
    <w:r w:rsidR="00BD53C9">
      <w:rPr>
        <w:noProof/>
      </w:rPr>
      <w:t>18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9DCFD2" w14:textId="77777777" w:rsidR="00915BF5" w:rsidRDefault="00915BF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BDF3BE1" w14:textId="77777777" w:rsidR="00CF38B7" w:rsidRDefault="00CF38B7">
      <w:pPr>
        <w:spacing w:line="240" w:lineRule="auto"/>
      </w:pPr>
      <w:r>
        <w:separator/>
      </w:r>
    </w:p>
  </w:footnote>
  <w:footnote w:type="continuationSeparator" w:id="0">
    <w:p w14:paraId="7EA96E92" w14:textId="77777777" w:rsidR="00CF38B7" w:rsidRDefault="00CF38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863833"/>
    <w:multiLevelType w:val="multilevel"/>
    <w:tmpl w:val="50EAA4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06428F"/>
    <w:multiLevelType w:val="multilevel"/>
    <w:tmpl w:val="63B45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F13A27"/>
    <w:multiLevelType w:val="multilevel"/>
    <w:tmpl w:val="634013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CE01F02"/>
    <w:multiLevelType w:val="multilevel"/>
    <w:tmpl w:val="92D0A1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D18356C"/>
    <w:multiLevelType w:val="hybridMultilevel"/>
    <w:tmpl w:val="72E2A8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B275EA"/>
    <w:multiLevelType w:val="multilevel"/>
    <w:tmpl w:val="A5844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B0A1374"/>
    <w:multiLevelType w:val="multilevel"/>
    <w:tmpl w:val="E9CA98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1868464">
    <w:abstractNumId w:val="2"/>
  </w:num>
  <w:num w:numId="2" w16cid:durableId="368184690">
    <w:abstractNumId w:val="0"/>
  </w:num>
  <w:num w:numId="3" w16cid:durableId="1532765100">
    <w:abstractNumId w:val="6"/>
  </w:num>
  <w:num w:numId="4" w16cid:durableId="944771391">
    <w:abstractNumId w:val="3"/>
  </w:num>
  <w:num w:numId="5" w16cid:durableId="1342855334">
    <w:abstractNumId w:val="5"/>
  </w:num>
  <w:num w:numId="6" w16cid:durableId="1157452323">
    <w:abstractNumId w:val="1"/>
  </w:num>
  <w:num w:numId="7" w16cid:durableId="835656226">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activeWritingStyle w:appName="MSWord" w:lang="en-GB" w:vendorID="64" w:dllVersion="6" w:nlCheck="1" w:checkStyle="0"/>
  <w:activeWritingStyle w:appName="MSWord" w:lang="en-US" w:vendorID="64" w:dllVersion="6" w:nlCheck="1" w:checkStyle="1"/>
  <w:activeWritingStyle w:appName="MSWord" w:lang="en-GB" w:vendorID="64" w:dllVersion="4096" w:nlCheck="1" w:checkStyle="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BF5"/>
    <w:rsid w:val="000B6BC3"/>
    <w:rsid w:val="00117DB3"/>
    <w:rsid w:val="0013788E"/>
    <w:rsid w:val="00183401"/>
    <w:rsid w:val="001F1D5E"/>
    <w:rsid w:val="00230D2F"/>
    <w:rsid w:val="00253296"/>
    <w:rsid w:val="00254402"/>
    <w:rsid w:val="002552F1"/>
    <w:rsid w:val="003B726F"/>
    <w:rsid w:val="003F638F"/>
    <w:rsid w:val="00460BD0"/>
    <w:rsid w:val="004970E5"/>
    <w:rsid w:val="00525802"/>
    <w:rsid w:val="00587E2E"/>
    <w:rsid w:val="005C025B"/>
    <w:rsid w:val="005C28F3"/>
    <w:rsid w:val="005D1B76"/>
    <w:rsid w:val="00637549"/>
    <w:rsid w:val="0066449D"/>
    <w:rsid w:val="00677DA4"/>
    <w:rsid w:val="006953ED"/>
    <w:rsid w:val="006E5A16"/>
    <w:rsid w:val="00730B11"/>
    <w:rsid w:val="00735ABD"/>
    <w:rsid w:val="00752B35"/>
    <w:rsid w:val="007D7551"/>
    <w:rsid w:val="008A2643"/>
    <w:rsid w:val="00915BF5"/>
    <w:rsid w:val="009453A2"/>
    <w:rsid w:val="009B6511"/>
    <w:rsid w:val="009C6318"/>
    <w:rsid w:val="00A52DED"/>
    <w:rsid w:val="00AA156A"/>
    <w:rsid w:val="00AB1738"/>
    <w:rsid w:val="00AB38EE"/>
    <w:rsid w:val="00AC7820"/>
    <w:rsid w:val="00B160CA"/>
    <w:rsid w:val="00B53A6C"/>
    <w:rsid w:val="00BD03E9"/>
    <w:rsid w:val="00BD53C9"/>
    <w:rsid w:val="00C22D70"/>
    <w:rsid w:val="00C37077"/>
    <w:rsid w:val="00C50E20"/>
    <w:rsid w:val="00CC3B52"/>
    <w:rsid w:val="00CF38B7"/>
    <w:rsid w:val="00D0239C"/>
    <w:rsid w:val="00D060FE"/>
    <w:rsid w:val="00D75BBD"/>
    <w:rsid w:val="00EB76DF"/>
    <w:rsid w:val="00F74FC3"/>
    <w:rsid w:val="00FF7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719A8"/>
  <w15:docId w15:val="{C8958AB6-21CD-4EC2-980D-1DEA38382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paragraph" w:styleId="ListParagraph">
    <w:name w:val="List Paragraph"/>
    <w:basedOn w:val="Normal"/>
    <w:uiPriority w:val="34"/>
    <w:qFormat/>
    <w:rsid w:val="00230D2F"/>
    <w:pPr>
      <w:ind w:left="720"/>
      <w:contextualSpacing/>
    </w:pPr>
  </w:style>
  <w:style w:type="paragraph" w:styleId="TOCHeading">
    <w:name w:val="TOC Heading"/>
    <w:basedOn w:val="Heading1"/>
    <w:next w:val="Normal"/>
    <w:uiPriority w:val="39"/>
    <w:unhideWhenUsed/>
    <w:qFormat/>
    <w:rsid w:val="00730B11"/>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730B11"/>
    <w:pPr>
      <w:spacing w:after="100"/>
    </w:pPr>
  </w:style>
  <w:style w:type="paragraph" w:styleId="TOC2">
    <w:name w:val="toc 2"/>
    <w:basedOn w:val="Normal"/>
    <w:next w:val="Normal"/>
    <w:autoRedefine/>
    <w:uiPriority w:val="39"/>
    <w:unhideWhenUsed/>
    <w:rsid w:val="00730B11"/>
    <w:pPr>
      <w:spacing w:after="100"/>
      <w:ind w:left="240"/>
    </w:pPr>
  </w:style>
  <w:style w:type="character" w:styleId="Hyperlink">
    <w:name w:val="Hyperlink"/>
    <w:basedOn w:val="DefaultParagraphFont"/>
    <w:uiPriority w:val="99"/>
    <w:unhideWhenUsed/>
    <w:rsid w:val="00730B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088/1755-1315/1188/1/012027" TargetMode="External"/><Relationship Id="rId18" Type="http://schemas.openxmlformats.org/officeDocument/2006/relationships/hyperlink" Target="https://en.front-sci.com/index.php/memf/article/view/3564/3855" TargetMode="External"/><Relationship Id="rId26" Type="http://schemas.openxmlformats.org/officeDocument/2006/relationships/hyperlink" Target="http://dx.doi.org/10.23960/jpmipa.v26i3.pp1958-1987" TargetMode="External"/><Relationship Id="rId3" Type="http://schemas.openxmlformats.org/officeDocument/2006/relationships/styles" Target="styles.xml"/><Relationship Id="rId21" Type="http://schemas.openxmlformats.org/officeDocument/2006/relationships/hyperlink" Target="https://doi.org/10.61942/oikonomia.v2i3.358" TargetMode="External"/><Relationship Id="rId7" Type="http://schemas.openxmlformats.org/officeDocument/2006/relationships/endnotes" Target="endnotes.xml"/><Relationship Id="rId12" Type="http://schemas.openxmlformats.org/officeDocument/2006/relationships/hyperlink" Target="https://doi.org/10.1088/1755-1315/1188/1/012027" TargetMode="External"/><Relationship Id="rId17" Type="http://schemas.openxmlformats.org/officeDocument/2006/relationships/hyperlink" Target="https://www.sciencedirect.com/science/article/pii/S0304393221001331" TargetMode="External"/><Relationship Id="rId25" Type="http://schemas.openxmlformats.org/officeDocument/2006/relationships/hyperlink" Target="https://www.statista.com/topics/4931/electricity-consumption-in-the-united-kingdom-uk/?srsltid=AfmBOooL8_F20DKJAYd8zC7iH-kNv_VHgosGmoX-RYSoAQGDaHr0vL45" TargetMode="External"/><Relationship Id="rId2" Type="http://schemas.openxmlformats.org/officeDocument/2006/relationships/numbering" Target="numbering.xml"/><Relationship Id="rId16" Type="http://schemas.openxmlformats.org/officeDocument/2006/relationships/hyperlink" Target="https://www.sciencedirect.com/science/article/pii/S0304393221001331" TargetMode="External"/><Relationship Id="rId20" Type="http://schemas.openxmlformats.org/officeDocument/2006/relationships/hyperlink" Target="https://doi.org/10.61942/oikonomia.v2i3.358"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yperlink" Target="https://www.statista.com/topics/4931/electricity-consumption-in-the-united-kingdom-uk/?srsltid=AfmBOooL8_F20DKJAYd8zC7iH-kNv_VHgosGmoX-RYSoAQGDaHr0vL45" TargetMode="External"/><Relationship Id="rId5" Type="http://schemas.openxmlformats.org/officeDocument/2006/relationships/webSettings" Target="webSettings.xml"/><Relationship Id="rId15" Type="http://schemas.openxmlformats.org/officeDocument/2006/relationships/hyperlink" Target="https://ejournal.iainpalopo.ac.id/index.php/alkharaj" TargetMode="External"/><Relationship Id="rId23" Type="http://schemas.openxmlformats.org/officeDocument/2006/relationships/hyperlink" Target="https://conference.ugj.ac.id/index.php/camic/article/view/10092/4552"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en.front-sci.com/index.php/memf/article/view/3564/3855"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journal.iainpalopo.ac.id/index.php/alkharaj" TargetMode="External"/><Relationship Id="rId22" Type="http://schemas.openxmlformats.org/officeDocument/2006/relationships/hyperlink" Target="https://conference.ugj.ac.id/index.php/camic/article/view/10092/4552" TargetMode="External"/><Relationship Id="rId27" Type="http://schemas.openxmlformats.org/officeDocument/2006/relationships/hyperlink" Target="http://dx.doi.org/10.23960/jpmipa.v26i3.pp1958-1987"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2026\August\01-08-2026\Amartya\SCS%2018575_pppp.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a:t>Break-Even Point</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'[SCS 18575_pppp.xlsx]Sheet1'!$D$12</c:f>
              <c:strCache>
                <c:ptCount val="1"/>
                <c:pt idx="0">
                  <c:v>Cumulative  Cost</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val>
            <c:numRef>
              <c:f>'[SCS 18575_pppp.xlsx]Sheet1'!$E$12:$K$12</c:f>
              <c:numCache>
                <c:formatCode>#,##0</c:formatCode>
                <c:ptCount val="7"/>
                <c:pt idx="1">
                  <c:v>190000</c:v>
                </c:pt>
                <c:pt idx="2">
                  <c:v>393000</c:v>
                </c:pt>
                <c:pt idx="3">
                  <c:v>610300</c:v>
                </c:pt>
                <c:pt idx="4">
                  <c:v>843330</c:v>
                </c:pt>
                <c:pt idx="5">
                  <c:v>1093663</c:v>
                </c:pt>
                <c:pt idx="6">
                  <c:v>1363029.3</c:v>
                </c:pt>
              </c:numCache>
            </c:numRef>
          </c:val>
          <c:smooth val="0"/>
          <c:extLst>
            <c:ext xmlns:c16="http://schemas.microsoft.com/office/drawing/2014/chart" uri="{C3380CC4-5D6E-409C-BE32-E72D297353CC}">
              <c16:uniqueId val="{00000000-67B6-430F-90E9-9CC45D296493}"/>
            </c:ext>
          </c:extLst>
        </c:ser>
        <c:ser>
          <c:idx val="1"/>
          <c:order val="1"/>
          <c:tx>
            <c:strRef>
              <c:f>'[SCS 18575_pppp.xlsx]Sheet1'!$D$13</c:f>
              <c:strCache>
                <c:ptCount val="1"/>
                <c:pt idx="0">
                  <c:v>Cumulative Revenue</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val>
            <c:numRef>
              <c:f>'[SCS 18575_pppp.xlsx]Sheet1'!$E$13:$K$13</c:f>
              <c:numCache>
                <c:formatCode>#,##0</c:formatCode>
                <c:ptCount val="7"/>
                <c:pt idx="1">
                  <c:v>160000</c:v>
                </c:pt>
                <c:pt idx="2">
                  <c:v>344000</c:v>
                </c:pt>
                <c:pt idx="3">
                  <c:v>555600</c:v>
                </c:pt>
                <c:pt idx="4">
                  <c:v>798940</c:v>
                </c:pt>
                <c:pt idx="5">
                  <c:v>1078781</c:v>
                </c:pt>
                <c:pt idx="6">
                  <c:v>1400598.15</c:v>
                </c:pt>
              </c:numCache>
            </c:numRef>
          </c:val>
          <c:smooth val="0"/>
          <c:extLst>
            <c:ext xmlns:c16="http://schemas.microsoft.com/office/drawing/2014/chart" uri="{C3380CC4-5D6E-409C-BE32-E72D297353CC}">
              <c16:uniqueId val="{00000001-67B6-430F-90E9-9CC45D296493}"/>
            </c:ext>
          </c:extLst>
        </c:ser>
        <c:dLbls>
          <c:showLegendKey val="0"/>
          <c:showVal val="0"/>
          <c:showCatName val="0"/>
          <c:showSerName val="0"/>
          <c:showPercent val="0"/>
          <c:showBubbleSize val="0"/>
        </c:dLbls>
        <c:marker val="1"/>
        <c:smooth val="0"/>
        <c:axId val="-1034697920"/>
        <c:axId val="-1034694656"/>
      </c:lineChart>
      <c:catAx>
        <c:axId val="-10346979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034694656"/>
        <c:crosses val="autoZero"/>
        <c:auto val="1"/>
        <c:lblAlgn val="ctr"/>
        <c:lblOffset val="100"/>
        <c:noMultiLvlLbl val="0"/>
      </c:catAx>
      <c:valAx>
        <c:axId val="-1034694656"/>
        <c:scaling>
          <c:orientation val="minMax"/>
        </c:scaling>
        <c:delete val="0"/>
        <c:axPos val="l"/>
        <c:numFmt formatCode="#,##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469792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D6DC3DB-0FBE-4D77-B4E9-845E0089621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4148</Words>
  <Characters>23648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2</cp:revision>
  <dcterms:created xsi:type="dcterms:W3CDTF">2026-08-02T12:47:00Z</dcterms:created>
  <dcterms:modified xsi:type="dcterms:W3CDTF">2026-08-02T12:47:00Z</dcterms:modified>
</cp:coreProperties>
</file>