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CC56E" w14:textId="77777777" w:rsidR="00E8758D" w:rsidRPr="00E462CB" w:rsidRDefault="005E0F1C" w:rsidP="00E462CB">
      <w:pPr>
        <w:pStyle w:val="Heading1"/>
        <w:spacing w:line="360" w:lineRule="auto"/>
        <w:rPr>
          <w:rFonts w:ascii="Arial" w:hAnsi="Arial" w:cs="Arial"/>
          <w:sz w:val="22"/>
          <w:szCs w:val="22"/>
        </w:rPr>
      </w:pPr>
      <w:bookmarkStart w:id="0" w:name="_Toc232882983"/>
      <w:bookmarkStart w:id="1" w:name="X7b57b2770ca6811430cc03e57dc57135bfb7aac"/>
      <w:r w:rsidRPr="00E462CB">
        <w:rPr>
          <w:rFonts w:ascii="Arial" w:hAnsi="Arial" w:cs="Arial"/>
          <w:sz w:val="22"/>
          <w:szCs w:val="22"/>
        </w:rPr>
        <w:t>Research Proposal: Investigating Customer Adoption Barriers Affecting Jaguar Land Rover’s Electric Vehicle Transition Strategy</w:t>
      </w:r>
      <w:bookmarkEnd w:id="0"/>
    </w:p>
    <w:p w14:paraId="60287E01" w14:textId="5EB6C07F" w:rsidR="00FD3FB7" w:rsidRPr="00E462CB" w:rsidRDefault="00630037" w:rsidP="00E462CB">
      <w:pPr>
        <w:pStyle w:val="BodyText"/>
        <w:spacing w:line="360" w:lineRule="auto"/>
        <w:rPr>
          <w:rFonts w:ascii="Arial" w:hAnsi="Arial" w:cs="Arial"/>
          <w:sz w:val="22"/>
          <w:szCs w:val="22"/>
        </w:rPr>
      </w:pPr>
      <w:r>
        <w:rPr>
          <w:rFonts w:ascii="Arial" w:hAnsi="Arial" w:cs="Arial"/>
          <w:sz w:val="22"/>
          <w:szCs w:val="22"/>
        </w:rPr>
        <w:pict w14:anchorId="3852E20C">
          <v:rect id="_x0000_i1163" style="width:0;height:1.5pt" o:hralign="center" o:hrstd="t" o:hr="t"/>
        </w:pict>
      </w:r>
    </w:p>
    <w:p w14:paraId="4DA3DBE3" w14:textId="4540ADAA" w:rsidR="00FD3FB7" w:rsidRPr="00E462CB" w:rsidRDefault="00FD3FB7" w:rsidP="00E462CB">
      <w:pPr>
        <w:spacing w:line="360" w:lineRule="auto"/>
        <w:rPr>
          <w:rFonts w:ascii="Arial" w:hAnsi="Arial" w:cs="Arial"/>
          <w:sz w:val="22"/>
          <w:szCs w:val="22"/>
        </w:rPr>
      </w:pPr>
      <w:bookmarkStart w:id="2" w:name="title-page"/>
      <w:r w:rsidRPr="00E462CB">
        <w:rPr>
          <w:rFonts w:ascii="Arial" w:hAnsi="Arial" w:cs="Arial"/>
          <w:b/>
          <w:sz w:val="22"/>
          <w:szCs w:val="22"/>
        </w:rPr>
        <w:t>Assignment Title:</w:t>
      </w:r>
      <w:r w:rsidRPr="00E462CB">
        <w:rPr>
          <w:rFonts w:ascii="Arial" w:hAnsi="Arial" w:cs="Arial"/>
          <w:sz w:val="22"/>
          <w:szCs w:val="22"/>
        </w:rPr>
        <w:t xml:space="preserve"> Business Research Proposal</w:t>
      </w:r>
      <w:r w:rsidRPr="00E462CB">
        <w:rPr>
          <w:rFonts w:ascii="Arial" w:hAnsi="Arial" w:cs="Arial"/>
          <w:sz w:val="22"/>
          <w:szCs w:val="22"/>
        </w:rPr>
        <w:br/>
      </w:r>
      <w:r w:rsidRPr="00E462CB">
        <w:rPr>
          <w:rFonts w:ascii="Arial" w:hAnsi="Arial" w:cs="Arial"/>
          <w:b/>
          <w:sz w:val="22"/>
          <w:szCs w:val="22"/>
        </w:rPr>
        <w:t>Student Name:</w:t>
      </w:r>
      <w:r w:rsidRPr="00E462CB">
        <w:rPr>
          <w:rFonts w:ascii="Arial" w:hAnsi="Arial" w:cs="Arial"/>
          <w:sz w:val="22"/>
          <w:szCs w:val="22"/>
        </w:rPr>
        <w:t xml:space="preserve"> Kanval Yousif</w:t>
      </w:r>
      <w:r w:rsidRPr="00E462CB">
        <w:rPr>
          <w:rFonts w:ascii="Arial" w:hAnsi="Arial" w:cs="Arial"/>
          <w:sz w:val="22"/>
          <w:szCs w:val="22"/>
        </w:rPr>
        <w:br/>
      </w:r>
      <w:r w:rsidRPr="00E462CB">
        <w:rPr>
          <w:rFonts w:ascii="Arial" w:hAnsi="Arial" w:cs="Arial"/>
          <w:b/>
          <w:sz w:val="22"/>
          <w:szCs w:val="22"/>
        </w:rPr>
        <w:t>Student Number:</w:t>
      </w:r>
      <w:r w:rsidRPr="00E462CB">
        <w:rPr>
          <w:rFonts w:ascii="Arial" w:hAnsi="Arial" w:cs="Arial"/>
          <w:sz w:val="22"/>
          <w:szCs w:val="22"/>
        </w:rPr>
        <w:t xml:space="preserve"> 2318913</w:t>
      </w:r>
      <w:r w:rsidRPr="00E462CB">
        <w:rPr>
          <w:rFonts w:ascii="Arial" w:hAnsi="Arial" w:cs="Arial"/>
          <w:sz w:val="22"/>
          <w:szCs w:val="22"/>
        </w:rPr>
        <w:br/>
      </w:r>
      <w:r w:rsidRPr="00E462CB">
        <w:rPr>
          <w:rFonts w:ascii="Arial" w:hAnsi="Arial" w:cs="Arial"/>
          <w:b/>
          <w:sz w:val="22"/>
          <w:szCs w:val="22"/>
        </w:rPr>
        <w:t>Module Code and Title:</w:t>
      </w:r>
      <w:r w:rsidRPr="00E462CB">
        <w:rPr>
          <w:rFonts w:ascii="Arial" w:hAnsi="Arial" w:cs="Arial"/>
          <w:sz w:val="22"/>
          <w:szCs w:val="22"/>
        </w:rPr>
        <w:t xml:space="preserve"> LCLM6004 - Research Methods for Business</w:t>
      </w:r>
      <w:r w:rsidRPr="00E462CB">
        <w:rPr>
          <w:rFonts w:ascii="Arial" w:hAnsi="Arial" w:cs="Arial"/>
          <w:sz w:val="22"/>
          <w:szCs w:val="22"/>
        </w:rPr>
        <w:br/>
      </w:r>
      <w:r w:rsidRPr="00E462CB">
        <w:rPr>
          <w:rFonts w:ascii="Arial" w:hAnsi="Arial" w:cs="Arial"/>
          <w:b/>
          <w:sz w:val="22"/>
          <w:szCs w:val="22"/>
        </w:rPr>
        <w:t>Lecturer’s Name:</w:t>
      </w:r>
      <w:r w:rsidRPr="00E462CB">
        <w:rPr>
          <w:rFonts w:ascii="Arial" w:hAnsi="Arial" w:cs="Arial"/>
          <w:sz w:val="22"/>
          <w:szCs w:val="22"/>
        </w:rPr>
        <w:t xml:space="preserve"> Dr </w:t>
      </w:r>
      <w:proofErr w:type="spellStart"/>
      <w:r w:rsidRPr="00E462CB">
        <w:rPr>
          <w:rFonts w:ascii="Arial" w:hAnsi="Arial" w:cs="Arial"/>
          <w:sz w:val="22"/>
          <w:szCs w:val="22"/>
        </w:rPr>
        <w:t>Ashikul</w:t>
      </w:r>
      <w:proofErr w:type="spellEnd"/>
      <w:r w:rsidRPr="00E462CB">
        <w:rPr>
          <w:rFonts w:ascii="Arial" w:hAnsi="Arial" w:cs="Arial"/>
          <w:sz w:val="22"/>
          <w:szCs w:val="22"/>
        </w:rPr>
        <w:t xml:space="preserve"> Alam</w:t>
      </w:r>
    </w:p>
    <w:p w14:paraId="46590B23" w14:textId="3524B428" w:rsidR="00FD3FB7" w:rsidRPr="00E462CB" w:rsidRDefault="00630037" w:rsidP="00E462CB">
      <w:pPr>
        <w:spacing w:line="360" w:lineRule="auto"/>
        <w:rPr>
          <w:rFonts w:ascii="Arial" w:hAnsi="Arial" w:cs="Arial"/>
          <w:sz w:val="22"/>
          <w:szCs w:val="22"/>
        </w:rPr>
      </w:pPr>
      <w:r>
        <w:rPr>
          <w:rFonts w:ascii="Arial" w:hAnsi="Arial" w:cs="Arial"/>
          <w:sz w:val="22"/>
          <w:szCs w:val="22"/>
        </w:rPr>
        <w:pict w14:anchorId="610D1322">
          <v:rect id="_x0000_i1164" style="width:0;height:1.5pt" o:hralign="center" o:hrstd="t" o:hr="t"/>
        </w:pict>
      </w:r>
      <w:bookmarkEnd w:id="2"/>
    </w:p>
    <w:p w14:paraId="7ECF5D90" w14:textId="74456022" w:rsidR="0095192A" w:rsidRPr="00E462CB" w:rsidRDefault="0095192A" w:rsidP="00E462CB">
      <w:pPr>
        <w:spacing w:line="360" w:lineRule="auto"/>
        <w:rPr>
          <w:rFonts w:ascii="Arial" w:hAnsi="Arial" w:cs="Arial"/>
          <w:sz w:val="22"/>
          <w:szCs w:val="22"/>
        </w:rPr>
      </w:pPr>
      <w:r w:rsidRPr="00E462CB">
        <w:rPr>
          <w:rFonts w:ascii="Arial" w:hAnsi="Arial" w:cs="Arial"/>
          <w:sz w:val="22"/>
          <w:szCs w:val="22"/>
        </w:rPr>
        <w:br w:type="page"/>
      </w:r>
    </w:p>
    <w:sdt>
      <w:sdtPr>
        <w:rPr>
          <w:rFonts w:ascii="Arial" w:eastAsiaTheme="minorHAnsi" w:hAnsi="Arial" w:cs="Arial"/>
          <w:color w:val="auto"/>
          <w:sz w:val="22"/>
          <w:szCs w:val="22"/>
          <w:lang w:val="en-GB"/>
        </w:rPr>
        <w:id w:val="-1694529633"/>
        <w:docPartObj>
          <w:docPartGallery w:val="Table of Contents"/>
          <w:docPartUnique/>
        </w:docPartObj>
      </w:sdtPr>
      <w:sdtEndPr>
        <w:rPr>
          <w:b/>
          <w:bCs/>
          <w:lang w:val="en-US"/>
        </w:rPr>
      </w:sdtEndPr>
      <w:sdtContent>
        <w:p w14:paraId="436854FC" w14:textId="0125F40D" w:rsidR="0095192A" w:rsidRPr="00E462CB" w:rsidRDefault="0095192A" w:rsidP="00E462CB">
          <w:pPr>
            <w:pStyle w:val="TOCHeading"/>
            <w:spacing w:line="360" w:lineRule="auto"/>
            <w:rPr>
              <w:rFonts w:ascii="Arial" w:hAnsi="Arial" w:cs="Arial"/>
              <w:noProof/>
              <w:sz w:val="22"/>
              <w:szCs w:val="22"/>
            </w:rPr>
          </w:pPr>
          <w:r w:rsidRPr="00E462CB">
            <w:rPr>
              <w:rFonts w:ascii="Arial" w:hAnsi="Arial" w:cs="Arial"/>
              <w:sz w:val="22"/>
              <w:szCs w:val="22"/>
              <w:lang w:val="en-GB"/>
            </w:rPr>
            <w:t>Contents</w:t>
          </w:r>
          <w:r w:rsidRPr="00E462CB">
            <w:rPr>
              <w:rFonts w:ascii="Arial" w:hAnsi="Arial" w:cs="Arial"/>
              <w:sz w:val="22"/>
              <w:szCs w:val="22"/>
            </w:rPr>
            <w:fldChar w:fldCharType="begin"/>
          </w:r>
          <w:r w:rsidRPr="00E462CB">
            <w:rPr>
              <w:rFonts w:ascii="Arial" w:hAnsi="Arial" w:cs="Arial"/>
              <w:sz w:val="22"/>
              <w:szCs w:val="22"/>
            </w:rPr>
            <w:instrText xml:space="preserve"> TOC \o "1-3" \h \z \u </w:instrText>
          </w:r>
          <w:r w:rsidRPr="00E462CB">
            <w:rPr>
              <w:rFonts w:ascii="Arial" w:hAnsi="Arial" w:cs="Arial"/>
              <w:sz w:val="22"/>
              <w:szCs w:val="22"/>
            </w:rPr>
            <w:fldChar w:fldCharType="separate"/>
          </w:r>
        </w:p>
        <w:p w14:paraId="149111CE" w14:textId="7C3BBCF6" w:rsidR="0095192A" w:rsidRPr="00E462CB" w:rsidRDefault="0095192A" w:rsidP="00E462CB">
          <w:pPr>
            <w:pStyle w:val="TOC2"/>
            <w:tabs>
              <w:tab w:val="right" w:leader="dot" w:pos="9350"/>
            </w:tabs>
            <w:spacing w:line="360" w:lineRule="auto"/>
            <w:rPr>
              <w:rFonts w:ascii="Arial" w:hAnsi="Arial" w:cs="Arial"/>
              <w:noProof/>
              <w:sz w:val="22"/>
              <w:szCs w:val="22"/>
            </w:rPr>
          </w:pPr>
          <w:hyperlink w:anchor="_Toc232882984" w:history="1">
            <w:r w:rsidRPr="00E462CB">
              <w:rPr>
                <w:rStyle w:val="Hyperlink"/>
                <w:rFonts w:ascii="Arial" w:hAnsi="Arial" w:cs="Arial"/>
                <w:noProof/>
                <w:sz w:val="22"/>
                <w:szCs w:val="22"/>
              </w:rPr>
              <w:t>1. Introduction</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_Toc232882984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3</w:t>
            </w:r>
            <w:r w:rsidRPr="00E462CB">
              <w:rPr>
                <w:rFonts w:ascii="Arial" w:hAnsi="Arial" w:cs="Arial"/>
                <w:noProof/>
                <w:webHidden/>
                <w:sz w:val="22"/>
                <w:szCs w:val="22"/>
              </w:rPr>
              <w:fldChar w:fldCharType="end"/>
            </w:r>
          </w:hyperlink>
        </w:p>
        <w:p w14:paraId="1C64BF8A" w14:textId="4D8C8318" w:rsidR="0095192A" w:rsidRPr="00E462CB" w:rsidRDefault="0095192A" w:rsidP="00E462CB">
          <w:pPr>
            <w:pStyle w:val="TOC3"/>
            <w:tabs>
              <w:tab w:val="right" w:leader="dot" w:pos="9350"/>
            </w:tabs>
            <w:spacing w:line="360" w:lineRule="auto"/>
            <w:rPr>
              <w:rFonts w:ascii="Arial" w:hAnsi="Arial" w:cs="Arial"/>
              <w:noProof/>
              <w:sz w:val="22"/>
              <w:szCs w:val="22"/>
            </w:rPr>
          </w:pPr>
          <w:hyperlink w:anchor="_Toc232882985" w:history="1">
            <w:r w:rsidRPr="00E462CB">
              <w:rPr>
                <w:rStyle w:val="Hyperlink"/>
                <w:rFonts w:ascii="Arial" w:hAnsi="Arial" w:cs="Arial"/>
                <w:noProof/>
                <w:sz w:val="22"/>
                <w:szCs w:val="22"/>
              </w:rPr>
              <w:t>1.1 Background of the Study</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_Toc232882985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3</w:t>
            </w:r>
            <w:r w:rsidRPr="00E462CB">
              <w:rPr>
                <w:rFonts w:ascii="Arial" w:hAnsi="Arial" w:cs="Arial"/>
                <w:noProof/>
                <w:webHidden/>
                <w:sz w:val="22"/>
                <w:szCs w:val="22"/>
              </w:rPr>
              <w:fldChar w:fldCharType="end"/>
            </w:r>
          </w:hyperlink>
        </w:p>
        <w:p w14:paraId="6014D158" w14:textId="3DF7A5C9" w:rsidR="0095192A" w:rsidRPr="00E462CB" w:rsidRDefault="0095192A" w:rsidP="00E462CB">
          <w:pPr>
            <w:pStyle w:val="TOC3"/>
            <w:tabs>
              <w:tab w:val="right" w:leader="dot" w:pos="9350"/>
            </w:tabs>
            <w:spacing w:line="360" w:lineRule="auto"/>
            <w:rPr>
              <w:rFonts w:ascii="Arial" w:hAnsi="Arial" w:cs="Arial"/>
              <w:noProof/>
              <w:sz w:val="22"/>
              <w:szCs w:val="22"/>
            </w:rPr>
          </w:pPr>
          <w:hyperlink w:anchor="_Toc232882986" w:history="1">
            <w:r w:rsidRPr="00E462CB">
              <w:rPr>
                <w:rStyle w:val="Hyperlink"/>
                <w:rFonts w:ascii="Arial" w:hAnsi="Arial" w:cs="Arial"/>
                <w:noProof/>
                <w:sz w:val="22"/>
                <w:szCs w:val="22"/>
              </w:rPr>
              <w:t>1.2 Problem Statement</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_Toc232882986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3</w:t>
            </w:r>
            <w:r w:rsidRPr="00E462CB">
              <w:rPr>
                <w:rFonts w:ascii="Arial" w:hAnsi="Arial" w:cs="Arial"/>
                <w:noProof/>
                <w:webHidden/>
                <w:sz w:val="22"/>
                <w:szCs w:val="22"/>
              </w:rPr>
              <w:fldChar w:fldCharType="end"/>
            </w:r>
          </w:hyperlink>
        </w:p>
        <w:p w14:paraId="19B0105C" w14:textId="71995191" w:rsidR="0095192A" w:rsidRPr="00E462CB" w:rsidRDefault="0095192A" w:rsidP="00E462CB">
          <w:pPr>
            <w:pStyle w:val="TOC3"/>
            <w:tabs>
              <w:tab w:val="right" w:leader="dot" w:pos="9350"/>
            </w:tabs>
            <w:spacing w:line="360" w:lineRule="auto"/>
            <w:rPr>
              <w:rFonts w:ascii="Arial" w:hAnsi="Arial" w:cs="Arial"/>
              <w:noProof/>
              <w:sz w:val="22"/>
              <w:szCs w:val="22"/>
            </w:rPr>
          </w:pPr>
          <w:hyperlink w:anchor="_Toc232882987" w:history="1">
            <w:r w:rsidRPr="00E462CB">
              <w:rPr>
                <w:rStyle w:val="Hyperlink"/>
                <w:rFonts w:ascii="Arial" w:hAnsi="Arial" w:cs="Arial"/>
                <w:noProof/>
                <w:sz w:val="22"/>
                <w:szCs w:val="22"/>
              </w:rPr>
              <w:t>1.3 Research Aim and Objectives</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_Toc232882987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3</w:t>
            </w:r>
            <w:r w:rsidRPr="00E462CB">
              <w:rPr>
                <w:rFonts w:ascii="Arial" w:hAnsi="Arial" w:cs="Arial"/>
                <w:noProof/>
                <w:webHidden/>
                <w:sz w:val="22"/>
                <w:szCs w:val="22"/>
              </w:rPr>
              <w:fldChar w:fldCharType="end"/>
            </w:r>
          </w:hyperlink>
        </w:p>
        <w:p w14:paraId="127068C6" w14:textId="6C797861" w:rsidR="0095192A" w:rsidRPr="00E462CB" w:rsidRDefault="0095192A" w:rsidP="00E462CB">
          <w:pPr>
            <w:pStyle w:val="TOC3"/>
            <w:tabs>
              <w:tab w:val="right" w:leader="dot" w:pos="9350"/>
            </w:tabs>
            <w:spacing w:line="360" w:lineRule="auto"/>
            <w:rPr>
              <w:rFonts w:ascii="Arial" w:hAnsi="Arial" w:cs="Arial"/>
              <w:noProof/>
              <w:sz w:val="22"/>
              <w:szCs w:val="22"/>
            </w:rPr>
          </w:pPr>
          <w:hyperlink w:anchor="_Toc232882988" w:history="1">
            <w:r w:rsidRPr="00E462CB">
              <w:rPr>
                <w:rStyle w:val="Hyperlink"/>
                <w:rFonts w:ascii="Arial" w:hAnsi="Arial" w:cs="Arial"/>
                <w:noProof/>
                <w:sz w:val="22"/>
                <w:szCs w:val="22"/>
              </w:rPr>
              <w:t>1.4 Research Questions</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_Toc232882988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5</w:t>
            </w:r>
            <w:r w:rsidRPr="00E462CB">
              <w:rPr>
                <w:rFonts w:ascii="Arial" w:hAnsi="Arial" w:cs="Arial"/>
                <w:noProof/>
                <w:webHidden/>
                <w:sz w:val="22"/>
                <w:szCs w:val="22"/>
              </w:rPr>
              <w:fldChar w:fldCharType="end"/>
            </w:r>
          </w:hyperlink>
        </w:p>
        <w:p w14:paraId="7D70351D" w14:textId="5D646A30" w:rsidR="0095192A" w:rsidRPr="00E462CB" w:rsidRDefault="0095192A" w:rsidP="00E462CB">
          <w:pPr>
            <w:pStyle w:val="TOC3"/>
            <w:tabs>
              <w:tab w:val="right" w:leader="dot" w:pos="9350"/>
            </w:tabs>
            <w:spacing w:line="360" w:lineRule="auto"/>
            <w:rPr>
              <w:rFonts w:ascii="Arial" w:hAnsi="Arial" w:cs="Arial"/>
              <w:noProof/>
              <w:sz w:val="22"/>
              <w:szCs w:val="22"/>
            </w:rPr>
          </w:pPr>
          <w:hyperlink w:anchor="_Toc232882989" w:history="1">
            <w:r w:rsidRPr="00E462CB">
              <w:rPr>
                <w:rStyle w:val="Hyperlink"/>
                <w:rFonts w:ascii="Arial" w:hAnsi="Arial" w:cs="Arial"/>
                <w:noProof/>
                <w:sz w:val="22"/>
                <w:szCs w:val="22"/>
              </w:rPr>
              <w:t>1.5 Indicative Thesis Structure</w:t>
            </w:r>
            <w:r w:rsidRPr="00E462CB">
              <w:rPr>
                <w:rFonts w:ascii="Arial" w:hAnsi="Arial" w:cs="Arial"/>
                <w:noProof/>
                <w:webHidden/>
                <w:sz w:val="22"/>
                <w:szCs w:val="22"/>
              </w:rPr>
              <w:tab/>
            </w:r>
            <w:r w:rsidR="00FD2E57">
              <w:rPr>
                <w:rFonts w:ascii="Arial" w:hAnsi="Arial" w:cs="Arial"/>
                <w:noProof/>
                <w:webHidden/>
                <w:sz w:val="22"/>
                <w:szCs w:val="22"/>
              </w:rPr>
              <w:t xml:space="preserve">6 </w:t>
            </w:r>
          </w:hyperlink>
        </w:p>
        <w:p w14:paraId="62E8F798" w14:textId="759F39E3" w:rsidR="0095192A" w:rsidRPr="00E462CB" w:rsidRDefault="003F62D9" w:rsidP="00E462CB">
          <w:pPr>
            <w:pStyle w:val="TOC3"/>
            <w:tabs>
              <w:tab w:val="right" w:leader="dot" w:pos="9350"/>
            </w:tabs>
            <w:spacing w:line="360" w:lineRule="auto"/>
            <w:ind w:left="0"/>
            <w:rPr>
              <w:rFonts w:ascii="Arial" w:hAnsi="Arial" w:cs="Arial"/>
              <w:noProof/>
              <w:sz w:val="22"/>
              <w:szCs w:val="22"/>
            </w:rPr>
          </w:pPr>
          <w:r w:rsidRPr="00E462CB">
            <w:rPr>
              <w:rFonts w:ascii="Arial" w:hAnsi="Arial" w:cs="Arial"/>
              <w:noProof/>
              <w:sz w:val="22"/>
              <w:szCs w:val="22"/>
            </w:rPr>
            <w:t xml:space="preserve">     </w:t>
          </w:r>
          <w:hyperlink w:anchor="_Toc232882991" w:history="1">
            <w:r w:rsidR="0095192A" w:rsidRPr="00E462CB">
              <w:rPr>
                <w:rStyle w:val="Hyperlink"/>
                <w:rFonts w:ascii="Arial" w:hAnsi="Arial" w:cs="Arial"/>
                <w:noProof/>
                <w:sz w:val="22"/>
                <w:szCs w:val="22"/>
              </w:rPr>
              <w:t>2. Literature Review</w:t>
            </w:r>
            <w:r w:rsidR="0095192A" w:rsidRPr="00E462CB">
              <w:rPr>
                <w:rFonts w:ascii="Arial" w:hAnsi="Arial" w:cs="Arial"/>
                <w:noProof/>
                <w:webHidden/>
                <w:sz w:val="22"/>
                <w:szCs w:val="22"/>
              </w:rPr>
              <w:tab/>
            </w:r>
            <w:r w:rsidR="0095192A" w:rsidRPr="00E462CB">
              <w:rPr>
                <w:rFonts w:ascii="Arial" w:hAnsi="Arial" w:cs="Arial"/>
                <w:noProof/>
                <w:webHidden/>
                <w:sz w:val="22"/>
                <w:szCs w:val="22"/>
              </w:rPr>
              <w:fldChar w:fldCharType="begin"/>
            </w:r>
            <w:r w:rsidR="0095192A" w:rsidRPr="00E462CB">
              <w:rPr>
                <w:rFonts w:ascii="Arial" w:hAnsi="Arial" w:cs="Arial"/>
                <w:noProof/>
                <w:webHidden/>
                <w:sz w:val="22"/>
                <w:szCs w:val="22"/>
              </w:rPr>
              <w:instrText xml:space="preserve"> PAGEREF _Toc232882991 \h </w:instrText>
            </w:r>
            <w:r w:rsidR="0095192A" w:rsidRPr="00E462CB">
              <w:rPr>
                <w:rFonts w:ascii="Arial" w:hAnsi="Arial" w:cs="Arial"/>
                <w:noProof/>
                <w:webHidden/>
                <w:sz w:val="22"/>
                <w:szCs w:val="22"/>
              </w:rPr>
            </w:r>
            <w:r w:rsidR="0095192A" w:rsidRPr="00E462CB">
              <w:rPr>
                <w:rFonts w:ascii="Arial" w:hAnsi="Arial" w:cs="Arial"/>
                <w:noProof/>
                <w:webHidden/>
                <w:sz w:val="22"/>
                <w:szCs w:val="22"/>
              </w:rPr>
              <w:fldChar w:fldCharType="separate"/>
            </w:r>
            <w:r w:rsidR="00E1091F">
              <w:rPr>
                <w:rFonts w:ascii="Arial" w:hAnsi="Arial" w:cs="Arial"/>
                <w:noProof/>
                <w:webHidden/>
                <w:sz w:val="22"/>
                <w:szCs w:val="22"/>
              </w:rPr>
              <w:t>7</w:t>
            </w:r>
            <w:r w:rsidR="0095192A" w:rsidRPr="00E462CB">
              <w:rPr>
                <w:rFonts w:ascii="Arial" w:hAnsi="Arial" w:cs="Arial"/>
                <w:noProof/>
                <w:webHidden/>
                <w:sz w:val="22"/>
                <w:szCs w:val="22"/>
              </w:rPr>
              <w:fldChar w:fldCharType="end"/>
            </w:r>
          </w:hyperlink>
        </w:p>
        <w:p w14:paraId="1E6F759C" w14:textId="02B69AB5" w:rsidR="0095192A" w:rsidRPr="00E462CB" w:rsidRDefault="0095192A" w:rsidP="00E462CB">
          <w:pPr>
            <w:pStyle w:val="TOC2"/>
            <w:tabs>
              <w:tab w:val="right" w:leader="dot" w:pos="9350"/>
            </w:tabs>
            <w:spacing w:line="360" w:lineRule="auto"/>
            <w:rPr>
              <w:rFonts w:ascii="Arial" w:hAnsi="Arial" w:cs="Arial"/>
              <w:noProof/>
              <w:sz w:val="22"/>
              <w:szCs w:val="22"/>
            </w:rPr>
          </w:pPr>
          <w:hyperlink w:anchor="_Toc232882992" w:history="1">
            <w:r w:rsidRPr="00E462CB">
              <w:rPr>
                <w:rStyle w:val="Hyperlink"/>
                <w:rFonts w:ascii="Arial" w:hAnsi="Arial" w:cs="Arial"/>
                <w:noProof/>
                <w:sz w:val="22"/>
                <w:szCs w:val="22"/>
              </w:rPr>
              <w:t>3. Research Methodology</w:t>
            </w:r>
            <w:r w:rsidRPr="00E462CB">
              <w:rPr>
                <w:rFonts w:ascii="Arial" w:hAnsi="Arial" w:cs="Arial"/>
                <w:noProof/>
                <w:webHidden/>
                <w:sz w:val="22"/>
                <w:szCs w:val="22"/>
              </w:rPr>
              <w:tab/>
            </w:r>
            <w:r w:rsidR="00FD2E57">
              <w:rPr>
                <w:rFonts w:ascii="Arial" w:hAnsi="Arial" w:cs="Arial"/>
                <w:noProof/>
                <w:webHidden/>
                <w:sz w:val="22"/>
                <w:szCs w:val="22"/>
              </w:rPr>
              <w:t>9</w:t>
            </w:r>
          </w:hyperlink>
        </w:p>
        <w:p w14:paraId="34FFB106" w14:textId="5219D425" w:rsidR="0095192A" w:rsidRPr="00E462CB" w:rsidRDefault="0095192A" w:rsidP="00E462CB">
          <w:pPr>
            <w:pStyle w:val="TOC3"/>
            <w:tabs>
              <w:tab w:val="right" w:leader="dot" w:pos="9350"/>
            </w:tabs>
            <w:spacing w:line="360" w:lineRule="auto"/>
            <w:rPr>
              <w:rFonts w:ascii="Arial" w:hAnsi="Arial" w:cs="Arial"/>
              <w:noProof/>
              <w:sz w:val="22"/>
              <w:szCs w:val="22"/>
            </w:rPr>
          </w:pPr>
          <w:hyperlink w:anchor="_Toc232882993" w:history="1">
            <w:r w:rsidRPr="00E462CB">
              <w:rPr>
                <w:rStyle w:val="Hyperlink"/>
                <w:rFonts w:ascii="Arial" w:hAnsi="Arial" w:cs="Arial"/>
                <w:noProof/>
                <w:sz w:val="22"/>
                <w:szCs w:val="22"/>
              </w:rPr>
              <w:t>3.1 Research Approach</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_Toc232882993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9</w:t>
            </w:r>
            <w:r w:rsidRPr="00E462CB">
              <w:rPr>
                <w:rFonts w:ascii="Arial" w:hAnsi="Arial" w:cs="Arial"/>
                <w:noProof/>
                <w:webHidden/>
                <w:sz w:val="22"/>
                <w:szCs w:val="22"/>
              </w:rPr>
              <w:fldChar w:fldCharType="end"/>
            </w:r>
          </w:hyperlink>
        </w:p>
        <w:p w14:paraId="5036F45E" w14:textId="602AF9D8" w:rsidR="0095192A" w:rsidRPr="00E462CB" w:rsidRDefault="0095192A" w:rsidP="00E462CB">
          <w:pPr>
            <w:pStyle w:val="TOC3"/>
            <w:tabs>
              <w:tab w:val="right" w:leader="dot" w:pos="9350"/>
            </w:tabs>
            <w:spacing w:line="360" w:lineRule="auto"/>
            <w:rPr>
              <w:rFonts w:ascii="Arial" w:hAnsi="Arial" w:cs="Arial"/>
              <w:noProof/>
              <w:sz w:val="22"/>
              <w:szCs w:val="22"/>
            </w:rPr>
          </w:pPr>
          <w:hyperlink w:anchor="_Toc232882994" w:history="1">
            <w:r w:rsidRPr="00E462CB">
              <w:rPr>
                <w:rStyle w:val="Hyperlink"/>
                <w:rFonts w:ascii="Arial" w:hAnsi="Arial" w:cs="Arial"/>
                <w:noProof/>
                <w:sz w:val="22"/>
                <w:szCs w:val="22"/>
              </w:rPr>
              <w:t>3.2 Research Design</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_Toc232882994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9</w:t>
            </w:r>
            <w:r w:rsidRPr="00E462CB">
              <w:rPr>
                <w:rFonts w:ascii="Arial" w:hAnsi="Arial" w:cs="Arial"/>
                <w:noProof/>
                <w:webHidden/>
                <w:sz w:val="22"/>
                <w:szCs w:val="22"/>
              </w:rPr>
              <w:fldChar w:fldCharType="end"/>
            </w:r>
          </w:hyperlink>
        </w:p>
        <w:p w14:paraId="67499509" w14:textId="347C74F5" w:rsidR="0095192A" w:rsidRPr="00E462CB" w:rsidRDefault="0095192A" w:rsidP="00E462CB">
          <w:pPr>
            <w:pStyle w:val="TOC3"/>
            <w:tabs>
              <w:tab w:val="right" w:leader="dot" w:pos="9350"/>
            </w:tabs>
            <w:spacing w:line="360" w:lineRule="auto"/>
            <w:rPr>
              <w:rFonts w:ascii="Arial" w:hAnsi="Arial" w:cs="Arial"/>
              <w:noProof/>
              <w:sz w:val="22"/>
              <w:szCs w:val="22"/>
            </w:rPr>
          </w:pPr>
          <w:hyperlink w:anchor="_Toc232882995" w:history="1">
            <w:r w:rsidRPr="00E462CB">
              <w:rPr>
                <w:rStyle w:val="Hyperlink"/>
                <w:rFonts w:ascii="Arial" w:hAnsi="Arial" w:cs="Arial"/>
                <w:noProof/>
                <w:sz w:val="22"/>
                <w:szCs w:val="22"/>
              </w:rPr>
              <w:t>3.3 Data Collection</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_Toc232882995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9</w:t>
            </w:r>
            <w:r w:rsidRPr="00E462CB">
              <w:rPr>
                <w:rFonts w:ascii="Arial" w:hAnsi="Arial" w:cs="Arial"/>
                <w:noProof/>
                <w:webHidden/>
                <w:sz w:val="22"/>
                <w:szCs w:val="22"/>
              </w:rPr>
              <w:fldChar w:fldCharType="end"/>
            </w:r>
          </w:hyperlink>
        </w:p>
        <w:p w14:paraId="0CE760C6" w14:textId="4D97FDEB" w:rsidR="0095192A" w:rsidRPr="00E462CB" w:rsidRDefault="0095192A" w:rsidP="00E462CB">
          <w:pPr>
            <w:pStyle w:val="TOC3"/>
            <w:tabs>
              <w:tab w:val="right" w:leader="dot" w:pos="9350"/>
            </w:tabs>
            <w:spacing w:line="360" w:lineRule="auto"/>
            <w:rPr>
              <w:rFonts w:ascii="Arial" w:hAnsi="Arial" w:cs="Arial"/>
              <w:noProof/>
              <w:sz w:val="22"/>
              <w:szCs w:val="22"/>
            </w:rPr>
          </w:pPr>
          <w:hyperlink w:anchor="_Toc232882996" w:history="1">
            <w:r w:rsidRPr="00E462CB">
              <w:rPr>
                <w:rStyle w:val="Hyperlink"/>
                <w:rFonts w:ascii="Arial" w:hAnsi="Arial" w:cs="Arial"/>
                <w:noProof/>
                <w:sz w:val="22"/>
                <w:szCs w:val="22"/>
              </w:rPr>
              <w:t>3.4 Sampling Strategy</w:t>
            </w:r>
            <w:r w:rsidRPr="00E462CB">
              <w:rPr>
                <w:rFonts w:ascii="Arial" w:hAnsi="Arial" w:cs="Arial"/>
                <w:noProof/>
                <w:webHidden/>
                <w:sz w:val="22"/>
                <w:szCs w:val="22"/>
              </w:rPr>
              <w:tab/>
            </w:r>
            <w:r w:rsidR="00FD2E57">
              <w:rPr>
                <w:rFonts w:ascii="Arial" w:hAnsi="Arial" w:cs="Arial"/>
                <w:noProof/>
                <w:webHidden/>
                <w:sz w:val="22"/>
                <w:szCs w:val="22"/>
              </w:rPr>
              <w:t>10</w:t>
            </w:r>
          </w:hyperlink>
        </w:p>
        <w:p w14:paraId="237851FD" w14:textId="68B922A3" w:rsidR="0095192A" w:rsidRPr="00E462CB" w:rsidRDefault="0095192A" w:rsidP="00E462CB">
          <w:pPr>
            <w:pStyle w:val="TOC3"/>
            <w:tabs>
              <w:tab w:val="right" w:leader="dot" w:pos="9350"/>
            </w:tabs>
            <w:spacing w:line="360" w:lineRule="auto"/>
            <w:rPr>
              <w:rFonts w:ascii="Arial" w:hAnsi="Arial" w:cs="Arial"/>
              <w:noProof/>
              <w:sz w:val="22"/>
              <w:szCs w:val="22"/>
            </w:rPr>
          </w:pPr>
          <w:hyperlink w:anchor="_Toc232882997" w:history="1">
            <w:r w:rsidRPr="00E462CB">
              <w:rPr>
                <w:rStyle w:val="Hyperlink"/>
                <w:rFonts w:ascii="Arial" w:hAnsi="Arial" w:cs="Arial"/>
                <w:noProof/>
                <w:sz w:val="22"/>
                <w:szCs w:val="22"/>
              </w:rPr>
              <w:t>3.5 Data Analysis</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_Toc232882997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10</w:t>
            </w:r>
            <w:r w:rsidRPr="00E462CB">
              <w:rPr>
                <w:rFonts w:ascii="Arial" w:hAnsi="Arial" w:cs="Arial"/>
                <w:noProof/>
                <w:webHidden/>
                <w:sz w:val="22"/>
                <w:szCs w:val="22"/>
              </w:rPr>
              <w:fldChar w:fldCharType="end"/>
            </w:r>
          </w:hyperlink>
        </w:p>
        <w:p w14:paraId="59EE2A61" w14:textId="4A988E35" w:rsidR="0095192A" w:rsidRPr="00E462CB" w:rsidRDefault="0095192A" w:rsidP="00E462CB">
          <w:pPr>
            <w:pStyle w:val="TOC3"/>
            <w:tabs>
              <w:tab w:val="right" w:leader="dot" w:pos="9350"/>
            </w:tabs>
            <w:spacing w:line="360" w:lineRule="auto"/>
            <w:rPr>
              <w:rFonts w:ascii="Arial" w:hAnsi="Arial" w:cs="Arial"/>
              <w:noProof/>
              <w:sz w:val="22"/>
              <w:szCs w:val="22"/>
            </w:rPr>
          </w:pPr>
          <w:hyperlink w:anchor="_Toc232882998" w:history="1">
            <w:r w:rsidRPr="00E462CB">
              <w:rPr>
                <w:rStyle w:val="Hyperlink"/>
                <w:rFonts w:ascii="Arial" w:hAnsi="Arial" w:cs="Arial"/>
                <w:noProof/>
                <w:sz w:val="22"/>
                <w:szCs w:val="22"/>
              </w:rPr>
              <w:t>3.6 Research Ethics</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_Toc232882998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10</w:t>
            </w:r>
            <w:r w:rsidRPr="00E462CB">
              <w:rPr>
                <w:rFonts w:ascii="Arial" w:hAnsi="Arial" w:cs="Arial"/>
                <w:noProof/>
                <w:webHidden/>
                <w:sz w:val="22"/>
                <w:szCs w:val="22"/>
              </w:rPr>
              <w:fldChar w:fldCharType="end"/>
            </w:r>
          </w:hyperlink>
        </w:p>
        <w:p w14:paraId="743E38FF" w14:textId="2D6EBB1B" w:rsidR="00BF4326" w:rsidRPr="00E462CB" w:rsidRDefault="0095192A" w:rsidP="00E462CB">
          <w:pPr>
            <w:pStyle w:val="TOC3"/>
            <w:tabs>
              <w:tab w:val="right" w:leader="dot" w:pos="9350"/>
            </w:tabs>
            <w:spacing w:line="360" w:lineRule="auto"/>
            <w:outlineLvl w:val="0"/>
            <w:rPr>
              <w:rFonts w:ascii="Arial" w:hAnsi="Arial" w:cs="Arial"/>
              <w:noProof/>
              <w:sz w:val="22"/>
              <w:szCs w:val="22"/>
            </w:rPr>
          </w:pPr>
          <w:hyperlink w:anchor="_Toc232882999" w:history="1">
            <w:r w:rsidRPr="00E462CB">
              <w:rPr>
                <w:rStyle w:val="Hyperlink"/>
                <w:rFonts w:ascii="Arial" w:hAnsi="Arial" w:cs="Arial"/>
                <w:noProof/>
                <w:sz w:val="22"/>
                <w:szCs w:val="22"/>
              </w:rPr>
              <w:t>3.7 Reliability and Validity</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_Toc232882999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10</w:t>
            </w:r>
            <w:r w:rsidRPr="00E462CB">
              <w:rPr>
                <w:rFonts w:ascii="Arial" w:hAnsi="Arial" w:cs="Arial"/>
                <w:noProof/>
                <w:webHidden/>
                <w:sz w:val="22"/>
                <w:szCs w:val="22"/>
              </w:rPr>
              <w:fldChar w:fldCharType="end"/>
            </w:r>
          </w:hyperlink>
        </w:p>
        <w:p w14:paraId="58B6E24C" w14:textId="79EFE4A1" w:rsidR="007F5E30" w:rsidRPr="00E462CB" w:rsidRDefault="007F5E30" w:rsidP="00E462CB">
          <w:pPr>
            <w:spacing w:line="360" w:lineRule="auto"/>
            <w:ind w:firstLine="480"/>
            <w:rPr>
              <w:rFonts w:ascii="Arial" w:hAnsi="Arial" w:cs="Arial"/>
              <w:noProof/>
              <w:sz w:val="22"/>
              <w:szCs w:val="22"/>
            </w:rPr>
          </w:pPr>
          <w:r w:rsidRPr="00E462CB">
            <w:rPr>
              <w:rFonts w:ascii="Arial" w:hAnsi="Arial" w:cs="Arial"/>
              <w:noProof/>
              <w:sz w:val="22"/>
              <w:szCs w:val="22"/>
            </w:rPr>
            <w:t>3.8 Project</w:t>
          </w:r>
          <w:r w:rsidR="00FC66F9">
            <w:rPr>
              <w:rFonts w:ascii="Arial" w:hAnsi="Arial" w:cs="Arial"/>
              <w:noProof/>
              <w:sz w:val="22"/>
              <w:szCs w:val="22"/>
            </w:rPr>
            <w:t xml:space="preserve">  </w:t>
          </w:r>
          <w:r w:rsidRPr="00E462CB">
            <w:rPr>
              <w:rFonts w:ascii="Arial" w:hAnsi="Arial" w:cs="Arial"/>
              <w:noProof/>
              <w:sz w:val="22"/>
              <w:szCs w:val="22"/>
            </w:rPr>
            <w:t>Timeline</w:t>
          </w:r>
          <w:r w:rsidR="000E53AD" w:rsidRPr="00E462CB">
            <w:rPr>
              <w:rFonts w:ascii="Arial" w:hAnsi="Arial" w:cs="Arial"/>
              <w:noProof/>
              <w:sz w:val="22"/>
              <w:szCs w:val="22"/>
            </w:rPr>
            <w:t>………………………………………………………………………………</w:t>
          </w:r>
          <w:r w:rsidR="002F61E7">
            <w:rPr>
              <w:rFonts w:ascii="Arial" w:hAnsi="Arial" w:cs="Arial"/>
              <w:noProof/>
              <w:sz w:val="22"/>
              <w:szCs w:val="22"/>
            </w:rPr>
            <w:t>12</w:t>
          </w:r>
        </w:p>
        <w:p w14:paraId="4DB56AEB" w14:textId="0B0136AD" w:rsidR="0095192A" w:rsidRPr="00E462CB" w:rsidRDefault="0095192A" w:rsidP="00E462CB">
          <w:pPr>
            <w:pStyle w:val="TOC2"/>
            <w:tabs>
              <w:tab w:val="right" w:leader="dot" w:pos="9350"/>
            </w:tabs>
            <w:spacing w:line="360" w:lineRule="auto"/>
            <w:rPr>
              <w:rFonts w:ascii="Arial" w:hAnsi="Arial" w:cs="Arial"/>
              <w:noProof/>
              <w:sz w:val="22"/>
              <w:szCs w:val="22"/>
            </w:rPr>
          </w:pPr>
          <w:hyperlink w:anchor="_Toc232883000" w:history="1">
            <w:r w:rsidRPr="00E462CB">
              <w:rPr>
                <w:rStyle w:val="Hyperlink"/>
                <w:rFonts w:ascii="Arial" w:hAnsi="Arial" w:cs="Arial"/>
                <w:noProof/>
                <w:sz w:val="22"/>
                <w:szCs w:val="22"/>
              </w:rPr>
              <w:t>4. Result and Analysis</w:t>
            </w:r>
            <w:r w:rsidRPr="00E462CB">
              <w:rPr>
                <w:rFonts w:ascii="Arial" w:hAnsi="Arial" w:cs="Arial"/>
                <w:noProof/>
                <w:webHidden/>
                <w:sz w:val="22"/>
                <w:szCs w:val="22"/>
              </w:rPr>
              <w:tab/>
            </w:r>
            <w:r w:rsidR="00A14A52" w:rsidRPr="00E462CB">
              <w:rPr>
                <w:rFonts w:ascii="Arial" w:hAnsi="Arial" w:cs="Arial"/>
                <w:noProof/>
                <w:webHidden/>
                <w:sz w:val="22"/>
                <w:szCs w:val="22"/>
              </w:rPr>
              <w:t>1</w:t>
            </w:r>
            <w:r w:rsidR="002F61E7">
              <w:rPr>
                <w:rFonts w:ascii="Arial" w:hAnsi="Arial" w:cs="Arial"/>
                <w:noProof/>
                <w:webHidden/>
                <w:sz w:val="22"/>
                <w:szCs w:val="22"/>
              </w:rPr>
              <w:t>3</w:t>
            </w:r>
          </w:hyperlink>
        </w:p>
        <w:p w14:paraId="43D38E1D" w14:textId="6207A454" w:rsidR="0095192A" w:rsidRPr="00E462CB" w:rsidRDefault="0095192A" w:rsidP="00E462CB">
          <w:pPr>
            <w:pStyle w:val="TOC2"/>
            <w:tabs>
              <w:tab w:val="right" w:leader="dot" w:pos="9350"/>
            </w:tabs>
            <w:spacing w:line="360" w:lineRule="auto"/>
            <w:rPr>
              <w:rFonts w:ascii="Arial" w:hAnsi="Arial" w:cs="Arial"/>
              <w:noProof/>
              <w:sz w:val="22"/>
              <w:szCs w:val="22"/>
            </w:rPr>
          </w:pPr>
          <w:hyperlink w:anchor="_Toc232883001" w:history="1">
            <w:r w:rsidRPr="00E462CB">
              <w:rPr>
                <w:rStyle w:val="Hyperlink"/>
                <w:rFonts w:ascii="Arial" w:hAnsi="Arial" w:cs="Arial"/>
                <w:noProof/>
                <w:sz w:val="22"/>
                <w:szCs w:val="22"/>
              </w:rPr>
              <w:t>5. Discussion and Conclusion</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_Toc232883001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13</w:t>
            </w:r>
            <w:r w:rsidRPr="00E462CB">
              <w:rPr>
                <w:rFonts w:ascii="Arial" w:hAnsi="Arial" w:cs="Arial"/>
                <w:noProof/>
                <w:webHidden/>
                <w:sz w:val="22"/>
                <w:szCs w:val="22"/>
              </w:rPr>
              <w:fldChar w:fldCharType="end"/>
            </w:r>
          </w:hyperlink>
        </w:p>
        <w:p w14:paraId="25FFD916" w14:textId="6C743A41" w:rsidR="0095192A" w:rsidRPr="00E462CB" w:rsidRDefault="0095192A" w:rsidP="00E462CB">
          <w:pPr>
            <w:pStyle w:val="TOC2"/>
            <w:tabs>
              <w:tab w:val="right" w:leader="dot" w:pos="9350"/>
            </w:tabs>
            <w:spacing w:line="360" w:lineRule="auto"/>
            <w:rPr>
              <w:rFonts w:ascii="Arial" w:hAnsi="Arial" w:cs="Arial"/>
              <w:noProof/>
              <w:sz w:val="22"/>
              <w:szCs w:val="22"/>
            </w:rPr>
          </w:pPr>
          <w:hyperlink w:anchor="_Toc232883002" w:history="1">
            <w:r w:rsidRPr="00E462CB">
              <w:rPr>
                <w:rStyle w:val="Hyperlink"/>
                <w:rFonts w:ascii="Arial" w:hAnsi="Arial" w:cs="Arial"/>
                <w:noProof/>
                <w:sz w:val="22"/>
                <w:szCs w:val="22"/>
              </w:rPr>
              <w:t>6. References</w:t>
            </w:r>
            <w:r w:rsidRPr="00E462CB">
              <w:rPr>
                <w:rFonts w:ascii="Arial" w:hAnsi="Arial" w:cs="Arial"/>
                <w:noProof/>
                <w:webHidden/>
                <w:sz w:val="22"/>
                <w:szCs w:val="22"/>
              </w:rPr>
              <w:tab/>
            </w:r>
            <w:r w:rsidRPr="00E462CB">
              <w:rPr>
                <w:rFonts w:ascii="Arial" w:hAnsi="Arial" w:cs="Arial"/>
                <w:noProof/>
                <w:webHidden/>
                <w:sz w:val="22"/>
                <w:szCs w:val="22"/>
              </w:rPr>
              <w:fldChar w:fldCharType="begin"/>
            </w:r>
            <w:r w:rsidRPr="00E462CB">
              <w:rPr>
                <w:rFonts w:ascii="Arial" w:hAnsi="Arial" w:cs="Arial"/>
                <w:noProof/>
                <w:webHidden/>
                <w:sz w:val="22"/>
                <w:szCs w:val="22"/>
              </w:rPr>
              <w:instrText xml:space="preserve"> PAGEREF _Toc232883002 \h </w:instrText>
            </w:r>
            <w:r w:rsidRPr="00E462CB">
              <w:rPr>
                <w:rFonts w:ascii="Arial" w:hAnsi="Arial" w:cs="Arial"/>
                <w:noProof/>
                <w:webHidden/>
                <w:sz w:val="22"/>
                <w:szCs w:val="22"/>
              </w:rPr>
            </w:r>
            <w:r w:rsidRPr="00E462CB">
              <w:rPr>
                <w:rFonts w:ascii="Arial" w:hAnsi="Arial" w:cs="Arial"/>
                <w:noProof/>
                <w:webHidden/>
                <w:sz w:val="22"/>
                <w:szCs w:val="22"/>
              </w:rPr>
              <w:fldChar w:fldCharType="separate"/>
            </w:r>
            <w:r w:rsidR="00E1091F">
              <w:rPr>
                <w:rFonts w:ascii="Arial" w:hAnsi="Arial" w:cs="Arial"/>
                <w:noProof/>
                <w:webHidden/>
                <w:sz w:val="22"/>
                <w:szCs w:val="22"/>
              </w:rPr>
              <w:t>1</w:t>
            </w:r>
            <w:r w:rsidR="002F61E7">
              <w:rPr>
                <w:rFonts w:ascii="Arial" w:hAnsi="Arial" w:cs="Arial"/>
                <w:noProof/>
                <w:webHidden/>
                <w:sz w:val="22"/>
                <w:szCs w:val="22"/>
              </w:rPr>
              <w:t>5</w:t>
            </w:r>
            <w:r w:rsidRPr="00E462CB">
              <w:rPr>
                <w:rFonts w:ascii="Arial" w:hAnsi="Arial" w:cs="Arial"/>
                <w:noProof/>
                <w:webHidden/>
                <w:sz w:val="22"/>
                <w:szCs w:val="22"/>
              </w:rPr>
              <w:fldChar w:fldCharType="end"/>
            </w:r>
          </w:hyperlink>
        </w:p>
        <w:p w14:paraId="2D0FAF56" w14:textId="341D4A36" w:rsidR="0095192A" w:rsidRPr="00E462CB" w:rsidRDefault="0095192A" w:rsidP="00E462CB">
          <w:pPr>
            <w:spacing w:line="360" w:lineRule="auto"/>
            <w:rPr>
              <w:rFonts w:ascii="Arial" w:hAnsi="Arial" w:cs="Arial"/>
              <w:sz w:val="22"/>
              <w:szCs w:val="22"/>
            </w:rPr>
          </w:pPr>
          <w:r w:rsidRPr="00E462CB">
            <w:rPr>
              <w:rFonts w:ascii="Arial" w:hAnsi="Arial" w:cs="Arial"/>
              <w:b/>
              <w:bCs/>
              <w:sz w:val="22"/>
              <w:szCs w:val="22"/>
            </w:rPr>
            <w:fldChar w:fldCharType="end"/>
          </w:r>
        </w:p>
      </w:sdtContent>
    </w:sdt>
    <w:p w14:paraId="6692F743" w14:textId="112FF350" w:rsidR="0095192A" w:rsidRPr="00E462CB" w:rsidRDefault="0095192A" w:rsidP="00E462CB">
      <w:pPr>
        <w:spacing w:line="360" w:lineRule="auto"/>
        <w:rPr>
          <w:rFonts w:ascii="Arial" w:hAnsi="Arial" w:cs="Arial"/>
          <w:sz w:val="22"/>
          <w:szCs w:val="22"/>
        </w:rPr>
      </w:pPr>
      <w:r w:rsidRPr="00E462CB">
        <w:rPr>
          <w:rFonts w:ascii="Arial" w:hAnsi="Arial" w:cs="Arial"/>
          <w:sz w:val="22"/>
          <w:szCs w:val="22"/>
        </w:rPr>
        <w:br w:type="page"/>
      </w:r>
    </w:p>
    <w:p w14:paraId="396EFEA1" w14:textId="77777777" w:rsidR="00E8758D" w:rsidRPr="00E462CB" w:rsidRDefault="005E0F1C" w:rsidP="00E462CB">
      <w:pPr>
        <w:pStyle w:val="Heading2"/>
        <w:spacing w:line="360" w:lineRule="auto"/>
        <w:rPr>
          <w:rFonts w:ascii="Arial" w:hAnsi="Arial" w:cs="Arial"/>
          <w:sz w:val="22"/>
          <w:szCs w:val="22"/>
        </w:rPr>
      </w:pPr>
      <w:bookmarkStart w:id="3" w:name="_Toc232882984"/>
      <w:bookmarkStart w:id="4" w:name="introduction"/>
      <w:r w:rsidRPr="00E462CB">
        <w:rPr>
          <w:rFonts w:ascii="Arial" w:hAnsi="Arial" w:cs="Arial"/>
          <w:sz w:val="22"/>
          <w:szCs w:val="22"/>
        </w:rPr>
        <w:lastRenderedPageBreak/>
        <w:t>1. Introduction</w:t>
      </w:r>
      <w:bookmarkEnd w:id="3"/>
    </w:p>
    <w:p w14:paraId="722B2F04" w14:textId="77777777" w:rsidR="00E8758D" w:rsidRPr="00E462CB" w:rsidRDefault="005E0F1C" w:rsidP="00E462CB">
      <w:pPr>
        <w:pStyle w:val="Heading3"/>
        <w:spacing w:line="360" w:lineRule="auto"/>
        <w:rPr>
          <w:rFonts w:ascii="Arial" w:hAnsi="Arial" w:cs="Arial"/>
          <w:sz w:val="22"/>
          <w:szCs w:val="22"/>
        </w:rPr>
      </w:pPr>
      <w:bookmarkStart w:id="5" w:name="_Toc232882985"/>
      <w:bookmarkStart w:id="6" w:name="background-of-the-study"/>
      <w:r w:rsidRPr="00E462CB">
        <w:rPr>
          <w:rFonts w:ascii="Arial" w:hAnsi="Arial" w:cs="Arial"/>
          <w:sz w:val="22"/>
          <w:szCs w:val="22"/>
        </w:rPr>
        <w:t>1.1 Background of the Study</w:t>
      </w:r>
      <w:bookmarkEnd w:id="5"/>
    </w:p>
    <w:p w14:paraId="0010CC27" w14:textId="483952E3" w:rsidR="00CD2E02" w:rsidRPr="00E462CB" w:rsidRDefault="00CD2E02" w:rsidP="00E462CB">
      <w:pPr>
        <w:pStyle w:val="BodyText"/>
        <w:spacing w:line="360" w:lineRule="auto"/>
        <w:rPr>
          <w:rFonts w:ascii="Arial" w:hAnsi="Arial" w:cs="Arial"/>
          <w:sz w:val="22"/>
          <w:szCs w:val="22"/>
        </w:rPr>
      </w:pPr>
      <w:r w:rsidRPr="00E462CB">
        <w:rPr>
          <w:rFonts w:ascii="Arial" w:hAnsi="Arial" w:cs="Arial"/>
          <w:sz w:val="22"/>
          <w:szCs w:val="22"/>
        </w:rPr>
        <w:t>The worldwide automotive sector is changing due to the shift to electric cars (EVs), digitisation, and climate action. Luxury companies like Jaguar Land Rover (JLR) face both potential and threats as businesses are now evaluated on sustainability, innovation, customer experience, and low-carbon transition rather than just quality, heritage, or performance.</w:t>
      </w:r>
    </w:p>
    <w:p w14:paraId="6F362880" w14:textId="60B8E685" w:rsidR="0080548B" w:rsidRPr="004B6904" w:rsidRDefault="00CD2E02" w:rsidP="002D4430">
      <w:pPr>
        <w:pStyle w:val="BodyText"/>
        <w:spacing w:line="360" w:lineRule="auto"/>
        <w:rPr>
          <w:rFonts w:ascii="Arial" w:hAnsi="Arial" w:cs="Arial"/>
          <w:sz w:val="22"/>
          <w:szCs w:val="22"/>
        </w:rPr>
      </w:pPr>
      <w:r w:rsidRPr="00E462CB">
        <w:rPr>
          <w:rFonts w:ascii="Arial" w:hAnsi="Arial" w:cs="Arial"/>
          <w:sz w:val="22"/>
          <w:szCs w:val="22"/>
        </w:rPr>
        <w:t xml:space="preserve">Modern luxury, electrification, digital transformation, and reaching net zero across operations, products, and supply chains by 2039 are the main objectives of Tata Motors-owned JLR's "Reimagine" plan (JLR, 2024; JLR, 2025). Consumers express concerns about charging infrastructure, cost, range, dependability, resale value, and lifestyle fit, yet the EV industry is still complicated (PwC, 2025; Cox Automotive, 2026). </w:t>
      </w:r>
      <w:proofErr w:type="gramStart"/>
      <w:r w:rsidRPr="00E462CB">
        <w:rPr>
          <w:rFonts w:ascii="Arial" w:hAnsi="Arial" w:cs="Arial"/>
          <w:sz w:val="22"/>
          <w:szCs w:val="22"/>
        </w:rPr>
        <w:t>In order to</w:t>
      </w:r>
      <w:proofErr w:type="gramEnd"/>
      <w:r w:rsidRPr="00E462CB">
        <w:rPr>
          <w:rFonts w:ascii="Arial" w:hAnsi="Arial" w:cs="Arial"/>
          <w:sz w:val="22"/>
          <w:szCs w:val="22"/>
        </w:rPr>
        <w:t xml:space="preserve"> maintain brand appeal, competitiveness, and profitability while convincing luxury purchasers to convert to electrified vehicles, this study looks at how these attitudes and adoption hurdles may influence JLR's EV transition.</w:t>
      </w:r>
      <w:bookmarkStart w:id="7" w:name="_Toc232882986"/>
      <w:bookmarkStart w:id="8" w:name="problem-statement"/>
      <w:bookmarkEnd w:id="6"/>
      <w:r w:rsidR="004B6904">
        <w:rPr>
          <w:rFonts w:ascii="Arial" w:hAnsi="Arial" w:cs="Arial"/>
          <w:sz w:val="22"/>
          <w:szCs w:val="22"/>
        </w:rPr>
        <w:br/>
      </w:r>
      <w:r w:rsidR="004B6904">
        <w:rPr>
          <w:rFonts w:ascii="Arial" w:hAnsi="Arial" w:cs="Arial"/>
          <w:sz w:val="22"/>
          <w:szCs w:val="22"/>
        </w:rPr>
        <w:br/>
      </w:r>
      <w:r w:rsidR="005E0F1C" w:rsidRPr="004B6904">
        <w:rPr>
          <w:rStyle w:val="Heading2Char"/>
          <w:rFonts w:ascii="Arial" w:hAnsi="Arial" w:cs="Arial"/>
          <w:sz w:val="22"/>
          <w:szCs w:val="22"/>
        </w:rPr>
        <w:t>1.2 Problem Statement</w:t>
      </w:r>
      <w:bookmarkStart w:id="9" w:name="_Toc232882987"/>
      <w:bookmarkStart w:id="10" w:name="research-aim-and-objectives"/>
      <w:bookmarkEnd w:id="7"/>
      <w:bookmarkEnd w:id="8"/>
      <w:r w:rsidR="004B6904">
        <w:rPr>
          <w:rStyle w:val="Heading2Char"/>
          <w:rFonts w:ascii="Arial" w:hAnsi="Arial" w:cs="Arial"/>
          <w:sz w:val="22"/>
          <w:szCs w:val="22"/>
        </w:rPr>
        <w:br/>
      </w:r>
      <w:r w:rsidR="0080548B" w:rsidRPr="004B6904">
        <w:rPr>
          <w:rFonts w:ascii="Arial" w:hAnsi="Arial" w:cs="Arial"/>
          <w:sz w:val="22"/>
          <w:szCs w:val="22"/>
        </w:rPr>
        <w:t>EV acceptability is still unclear despite JLR's significant expenditures in digitisation, electrification, and sustainability. Because consumer uncertainty can have a direct impact on JLR's sales growth, customer satisfaction, brand loyalty, and long-term retention, this is both a technological and commercial issue. Consumer trust in EVs continues to decline due to worries about high purchase costs, restricted range, charging access, and battery life (Egbue and Long, 2012; Rezvani, Jansson, and Bodin, 2015). Because luxury consumers want robust performance, comfort, dependability, ease, and brand prestige, these concerns are particularly crucial for JLR.</w:t>
      </w:r>
      <w:r w:rsidR="002D4430">
        <w:rPr>
          <w:rFonts w:ascii="Arial" w:hAnsi="Arial" w:cs="Arial"/>
          <w:sz w:val="22"/>
          <w:szCs w:val="22"/>
        </w:rPr>
        <w:br/>
      </w:r>
      <w:r w:rsidR="002D4430">
        <w:rPr>
          <w:rFonts w:ascii="Arial" w:hAnsi="Arial" w:cs="Arial"/>
          <w:sz w:val="22"/>
          <w:szCs w:val="22"/>
        </w:rPr>
        <w:br/>
      </w:r>
      <w:r w:rsidR="0080548B" w:rsidRPr="004B6904">
        <w:rPr>
          <w:rFonts w:ascii="Arial" w:hAnsi="Arial" w:cs="Arial"/>
          <w:sz w:val="22"/>
          <w:szCs w:val="22"/>
        </w:rPr>
        <w:t xml:space="preserve">Since electrification is essential to JLR's future business trajectory, the issue also has an impact on the company's Reimagine strategy. By 2039, JLR wants to be carbon net zero and provide electrified versions of </w:t>
      </w:r>
      <w:r w:rsidR="003F0C59" w:rsidRPr="004B6904">
        <w:rPr>
          <w:rFonts w:ascii="Arial" w:hAnsi="Arial" w:cs="Arial"/>
          <w:sz w:val="22"/>
          <w:szCs w:val="22"/>
        </w:rPr>
        <w:t>all</w:t>
      </w:r>
      <w:r w:rsidR="0080548B" w:rsidRPr="004B6904">
        <w:rPr>
          <w:rFonts w:ascii="Arial" w:hAnsi="Arial" w:cs="Arial"/>
          <w:sz w:val="22"/>
          <w:szCs w:val="22"/>
        </w:rPr>
        <w:t xml:space="preserve"> its brands. However, the viability of this approach may be weakened by slower and inconsistent EV adoption across international markets. With £29.0 billion in revenue, £2.5 billion in profit before taxes, and 428,854 in retail sales, JLR's £3.8 billion investment in FY2024–2025 demonstrates great financial performance, but it also exposes the company to risk if luxury EVs are not fully embraced.</w:t>
      </w:r>
    </w:p>
    <w:p w14:paraId="7A00CC29" w14:textId="0F65CA66" w:rsidR="00070AAC" w:rsidRPr="00E462CB" w:rsidRDefault="0080548B" w:rsidP="002D4430">
      <w:pPr>
        <w:pStyle w:val="Heading3"/>
        <w:spacing w:line="360" w:lineRule="auto"/>
        <w:rPr>
          <w:rFonts w:ascii="Arial" w:eastAsiaTheme="minorHAnsi" w:hAnsi="Arial" w:cs="Arial"/>
          <w:color w:val="auto"/>
          <w:sz w:val="22"/>
          <w:szCs w:val="22"/>
        </w:rPr>
      </w:pPr>
      <w:r w:rsidRPr="004B6904">
        <w:rPr>
          <w:rFonts w:ascii="Arial" w:eastAsiaTheme="minorHAnsi" w:hAnsi="Arial" w:cs="Arial"/>
          <w:color w:val="auto"/>
          <w:sz w:val="22"/>
          <w:szCs w:val="22"/>
        </w:rPr>
        <w:lastRenderedPageBreak/>
        <w:t>Thus, this study looks at how EV adoption, customer happiness, loyalty, and retention are impacted by consumer views of EVs</w:t>
      </w:r>
      <w:r w:rsidR="004B6904">
        <w:rPr>
          <w:rFonts w:ascii="Arial" w:eastAsiaTheme="minorHAnsi" w:hAnsi="Arial" w:cs="Arial"/>
          <w:color w:val="auto"/>
          <w:sz w:val="22"/>
          <w:szCs w:val="22"/>
        </w:rPr>
        <w:t>.</w:t>
      </w:r>
    </w:p>
    <w:p w14:paraId="0A60C105" w14:textId="5A57EBE0" w:rsidR="00E8758D" w:rsidRPr="00E462CB" w:rsidRDefault="005E0F1C" w:rsidP="00E462CB">
      <w:pPr>
        <w:pStyle w:val="Heading3"/>
        <w:spacing w:line="360" w:lineRule="auto"/>
        <w:rPr>
          <w:rFonts w:ascii="Arial" w:hAnsi="Arial" w:cs="Arial"/>
          <w:sz w:val="22"/>
          <w:szCs w:val="22"/>
        </w:rPr>
      </w:pPr>
      <w:r w:rsidRPr="00E462CB">
        <w:rPr>
          <w:rFonts w:ascii="Arial" w:hAnsi="Arial" w:cs="Arial"/>
          <w:sz w:val="22"/>
          <w:szCs w:val="22"/>
        </w:rPr>
        <w:t>1.3 Research Aim and Objectives</w:t>
      </w:r>
      <w:bookmarkEnd w:id="9"/>
    </w:p>
    <w:p w14:paraId="596798CF" w14:textId="6FB95F88" w:rsidR="00070AAC" w:rsidRPr="00E462CB" w:rsidRDefault="00070AAC" w:rsidP="00E462CB">
      <w:pPr>
        <w:pStyle w:val="BodyText"/>
        <w:spacing w:line="360" w:lineRule="auto"/>
        <w:rPr>
          <w:rFonts w:ascii="Arial" w:hAnsi="Arial" w:cs="Arial"/>
          <w:sz w:val="22"/>
          <w:szCs w:val="22"/>
        </w:rPr>
      </w:pPr>
      <w:r w:rsidRPr="00E462CB">
        <w:rPr>
          <w:rFonts w:ascii="Arial" w:hAnsi="Arial" w:cs="Arial"/>
          <w:sz w:val="22"/>
          <w:szCs w:val="22"/>
        </w:rPr>
        <w:t>This study explores EV adoption barriers to identify how JLR can boost consumer confidence and purchase intent.</w:t>
      </w:r>
      <w:r w:rsidR="00FD3FB7" w:rsidRPr="00E462CB">
        <w:rPr>
          <w:rFonts w:ascii="Arial" w:hAnsi="Arial" w:cs="Arial"/>
          <w:sz w:val="22"/>
          <w:szCs w:val="22"/>
        </w:rPr>
        <w:br/>
      </w:r>
      <w:r w:rsidRPr="00E462CB">
        <w:rPr>
          <w:rFonts w:ascii="Arial" w:hAnsi="Arial" w:cs="Arial"/>
          <w:sz w:val="22"/>
          <w:szCs w:val="22"/>
        </w:rPr>
        <w:br/>
        <w:t xml:space="preserve">The </w:t>
      </w:r>
      <w:r w:rsidR="0015218C">
        <w:rPr>
          <w:rFonts w:ascii="Arial" w:hAnsi="Arial" w:cs="Arial"/>
          <w:sz w:val="22"/>
          <w:szCs w:val="22"/>
        </w:rPr>
        <w:t>objectives</w:t>
      </w:r>
      <w:r w:rsidRPr="00E462CB">
        <w:rPr>
          <w:rFonts w:ascii="Arial" w:hAnsi="Arial" w:cs="Arial"/>
          <w:sz w:val="22"/>
          <w:szCs w:val="22"/>
        </w:rPr>
        <w:t xml:space="preserve"> of the study are:</w:t>
      </w:r>
    </w:p>
    <w:p w14:paraId="4E098A54" w14:textId="77777777" w:rsidR="00070AAC" w:rsidRPr="00E462CB" w:rsidRDefault="005E0F1C" w:rsidP="00E462CB">
      <w:pPr>
        <w:pStyle w:val="BodyText"/>
        <w:numPr>
          <w:ilvl w:val="0"/>
          <w:numId w:val="4"/>
        </w:numPr>
        <w:spacing w:line="360" w:lineRule="auto"/>
        <w:rPr>
          <w:rFonts w:ascii="Arial" w:hAnsi="Arial" w:cs="Arial"/>
          <w:sz w:val="22"/>
          <w:szCs w:val="22"/>
        </w:rPr>
      </w:pPr>
      <w:r w:rsidRPr="00E462CB">
        <w:rPr>
          <w:rFonts w:ascii="Arial" w:hAnsi="Arial" w:cs="Arial"/>
          <w:sz w:val="22"/>
          <w:szCs w:val="22"/>
        </w:rPr>
        <w:t>To examine the main factors influencing customer willingness to purchase JLR electric vehicles.</w:t>
      </w:r>
    </w:p>
    <w:p w14:paraId="43AA8F3E" w14:textId="77777777" w:rsidR="00070AAC" w:rsidRPr="00E462CB" w:rsidRDefault="005E0F1C" w:rsidP="00E462CB">
      <w:pPr>
        <w:pStyle w:val="BodyText"/>
        <w:numPr>
          <w:ilvl w:val="0"/>
          <w:numId w:val="4"/>
        </w:numPr>
        <w:spacing w:line="360" w:lineRule="auto"/>
        <w:rPr>
          <w:rFonts w:ascii="Arial" w:hAnsi="Arial" w:cs="Arial"/>
          <w:sz w:val="22"/>
          <w:szCs w:val="22"/>
        </w:rPr>
      </w:pPr>
      <w:r w:rsidRPr="00E462CB">
        <w:rPr>
          <w:rFonts w:ascii="Arial" w:hAnsi="Arial" w:cs="Arial"/>
          <w:sz w:val="22"/>
          <w:szCs w:val="22"/>
        </w:rPr>
        <w:t>To evaluate how barriers such as range anxiety, charging infrastructure, cost and trust affect customer attitudes towards electric vehicles.</w:t>
      </w:r>
    </w:p>
    <w:p w14:paraId="58C9CA73" w14:textId="77777777" w:rsidR="00070AAC" w:rsidRPr="00E462CB" w:rsidRDefault="005E0F1C" w:rsidP="00E462CB">
      <w:pPr>
        <w:pStyle w:val="BodyText"/>
        <w:numPr>
          <w:ilvl w:val="0"/>
          <w:numId w:val="4"/>
        </w:numPr>
        <w:spacing w:line="360" w:lineRule="auto"/>
        <w:rPr>
          <w:rFonts w:ascii="Arial" w:hAnsi="Arial" w:cs="Arial"/>
          <w:sz w:val="22"/>
          <w:szCs w:val="22"/>
        </w:rPr>
      </w:pPr>
      <w:r w:rsidRPr="00E462CB">
        <w:rPr>
          <w:rFonts w:ascii="Arial" w:hAnsi="Arial" w:cs="Arial"/>
          <w:sz w:val="22"/>
          <w:szCs w:val="22"/>
        </w:rPr>
        <w:t>To analyse how JLR’s brand image and luxury positioning influence electric vehicle adoption.</w:t>
      </w:r>
    </w:p>
    <w:p w14:paraId="3C0F8A69" w14:textId="77777777" w:rsidR="00070AAC" w:rsidRPr="00E462CB" w:rsidRDefault="005E0F1C" w:rsidP="00E462CB">
      <w:pPr>
        <w:pStyle w:val="BodyText"/>
        <w:numPr>
          <w:ilvl w:val="0"/>
          <w:numId w:val="4"/>
        </w:numPr>
        <w:spacing w:line="360" w:lineRule="auto"/>
        <w:rPr>
          <w:rFonts w:ascii="Arial" w:hAnsi="Arial" w:cs="Arial"/>
          <w:sz w:val="22"/>
          <w:szCs w:val="22"/>
        </w:rPr>
      </w:pPr>
      <w:r w:rsidRPr="00E462CB">
        <w:rPr>
          <w:rFonts w:ascii="Arial" w:hAnsi="Arial" w:cs="Arial"/>
          <w:sz w:val="22"/>
          <w:szCs w:val="22"/>
        </w:rPr>
        <w:t>To assess how digital customer experience, communication and after-sales support can improve customer confidence.</w:t>
      </w:r>
    </w:p>
    <w:p w14:paraId="3423EB71" w14:textId="7FDF7EC7" w:rsidR="00E8758D" w:rsidRPr="00E462CB" w:rsidRDefault="005E0F1C" w:rsidP="00E462CB">
      <w:pPr>
        <w:pStyle w:val="BodyText"/>
        <w:numPr>
          <w:ilvl w:val="0"/>
          <w:numId w:val="4"/>
        </w:numPr>
        <w:spacing w:line="360" w:lineRule="auto"/>
        <w:rPr>
          <w:rFonts w:ascii="Arial" w:hAnsi="Arial" w:cs="Arial"/>
          <w:sz w:val="22"/>
          <w:szCs w:val="22"/>
        </w:rPr>
      </w:pPr>
      <w:r w:rsidRPr="00E462CB">
        <w:rPr>
          <w:rFonts w:ascii="Arial" w:hAnsi="Arial" w:cs="Arial"/>
          <w:sz w:val="22"/>
          <w:szCs w:val="22"/>
        </w:rPr>
        <w:t>To propose practical recommendations that can support JLR’s electric vehicle transition strategy.</w:t>
      </w:r>
    </w:p>
    <w:p w14:paraId="610C1D06" w14:textId="77777777" w:rsidR="00E8758D" w:rsidRPr="00E462CB" w:rsidRDefault="005E0F1C" w:rsidP="00E462CB">
      <w:pPr>
        <w:pStyle w:val="Heading3"/>
        <w:spacing w:line="360" w:lineRule="auto"/>
        <w:rPr>
          <w:rFonts w:ascii="Arial" w:hAnsi="Arial" w:cs="Arial"/>
          <w:sz w:val="22"/>
          <w:szCs w:val="22"/>
        </w:rPr>
      </w:pPr>
      <w:bookmarkStart w:id="11" w:name="_Toc232882988"/>
      <w:bookmarkStart w:id="12" w:name="research-questions"/>
      <w:bookmarkEnd w:id="10"/>
      <w:r w:rsidRPr="00E462CB">
        <w:rPr>
          <w:rFonts w:ascii="Arial" w:hAnsi="Arial" w:cs="Arial"/>
          <w:sz w:val="22"/>
          <w:szCs w:val="22"/>
        </w:rPr>
        <w:lastRenderedPageBreak/>
        <w:t>1.4 Research Questions</w:t>
      </w:r>
      <w:bookmarkEnd w:id="11"/>
    </w:p>
    <w:p w14:paraId="097FA1EF" w14:textId="77777777" w:rsidR="00070AAC" w:rsidRPr="00E462CB" w:rsidRDefault="00070AAC" w:rsidP="00E462CB">
      <w:pPr>
        <w:pStyle w:val="Heading3"/>
        <w:spacing w:line="360" w:lineRule="auto"/>
        <w:rPr>
          <w:rFonts w:ascii="Arial" w:eastAsiaTheme="minorHAnsi" w:hAnsi="Arial" w:cs="Arial"/>
          <w:color w:val="auto"/>
          <w:sz w:val="22"/>
          <w:szCs w:val="22"/>
        </w:rPr>
      </w:pPr>
      <w:bookmarkStart w:id="13" w:name="_Toc232882989"/>
      <w:bookmarkStart w:id="14" w:name="indicative-thesis-structure"/>
      <w:bookmarkEnd w:id="12"/>
      <w:r w:rsidRPr="00E462CB">
        <w:rPr>
          <w:rFonts w:ascii="Arial" w:eastAsiaTheme="minorHAnsi" w:hAnsi="Arial" w:cs="Arial"/>
          <w:color w:val="auto"/>
          <w:sz w:val="22"/>
          <w:szCs w:val="22"/>
        </w:rPr>
        <w:t>The following research questions will direct the study:</w:t>
      </w:r>
    </w:p>
    <w:p w14:paraId="0073F624" w14:textId="2EA2564F" w:rsidR="00070AAC" w:rsidRPr="00E462CB" w:rsidRDefault="00070AAC" w:rsidP="00E462CB">
      <w:pPr>
        <w:pStyle w:val="Heading3"/>
        <w:numPr>
          <w:ilvl w:val="0"/>
          <w:numId w:val="7"/>
        </w:numPr>
        <w:spacing w:line="360" w:lineRule="auto"/>
        <w:rPr>
          <w:rFonts w:ascii="Arial" w:eastAsiaTheme="minorHAnsi" w:hAnsi="Arial" w:cs="Arial"/>
          <w:color w:val="auto"/>
          <w:sz w:val="22"/>
          <w:szCs w:val="22"/>
        </w:rPr>
      </w:pPr>
      <w:r w:rsidRPr="00E462CB">
        <w:rPr>
          <w:rFonts w:ascii="Arial" w:eastAsiaTheme="minorHAnsi" w:hAnsi="Arial" w:cs="Arial"/>
          <w:color w:val="auto"/>
          <w:sz w:val="22"/>
          <w:szCs w:val="22"/>
        </w:rPr>
        <w:t>What are the primary customer issues influencing JLR electric vehicle adoption?</w:t>
      </w:r>
    </w:p>
    <w:p w14:paraId="7BB66BE9" w14:textId="24D5D477" w:rsidR="00070AAC" w:rsidRPr="00E462CB" w:rsidRDefault="00070AAC" w:rsidP="00E462CB">
      <w:pPr>
        <w:pStyle w:val="Heading3"/>
        <w:numPr>
          <w:ilvl w:val="0"/>
          <w:numId w:val="7"/>
        </w:numPr>
        <w:spacing w:line="360" w:lineRule="auto"/>
        <w:rPr>
          <w:rFonts w:ascii="Arial" w:eastAsiaTheme="minorHAnsi" w:hAnsi="Arial" w:cs="Arial"/>
          <w:color w:val="auto"/>
          <w:sz w:val="22"/>
          <w:szCs w:val="22"/>
        </w:rPr>
      </w:pPr>
      <w:r w:rsidRPr="00E462CB">
        <w:rPr>
          <w:rFonts w:ascii="Arial" w:eastAsiaTheme="minorHAnsi" w:hAnsi="Arial" w:cs="Arial"/>
          <w:color w:val="auto"/>
          <w:sz w:val="22"/>
          <w:szCs w:val="22"/>
        </w:rPr>
        <w:t>How do range anxiety, pricing, and charging infrastructure affect consumers' propensity to buy?</w:t>
      </w:r>
    </w:p>
    <w:p w14:paraId="2056C9A0" w14:textId="3A44A2D0" w:rsidR="00070AAC" w:rsidRPr="00E462CB" w:rsidRDefault="00070AAC" w:rsidP="00E462CB">
      <w:pPr>
        <w:pStyle w:val="Heading3"/>
        <w:numPr>
          <w:ilvl w:val="0"/>
          <w:numId w:val="7"/>
        </w:numPr>
        <w:spacing w:line="360" w:lineRule="auto"/>
        <w:rPr>
          <w:rFonts w:ascii="Arial" w:eastAsiaTheme="minorHAnsi" w:hAnsi="Arial" w:cs="Arial"/>
          <w:color w:val="auto"/>
          <w:sz w:val="22"/>
          <w:szCs w:val="22"/>
        </w:rPr>
      </w:pPr>
      <w:r w:rsidRPr="00E462CB">
        <w:rPr>
          <w:rFonts w:ascii="Arial" w:eastAsiaTheme="minorHAnsi" w:hAnsi="Arial" w:cs="Arial"/>
          <w:color w:val="auto"/>
          <w:sz w:val="22"/>
          <w:szCs w:val="22"/>
        </w:rPr>
        <w:t>How much does JLR's luxury brand image encourage or hinder the use of electric vehicles?</w:t>
      </w:r>
    </w:p>
    <w:p w14:paraId="2EE7EBC4" w14:textId="395D0935" w:rsidR="00043A05" w:rsidRDefault="00070AAC" w:rsidP="00EC7F9B">
      <w:pPr>
        <w:pStyle w:val="Heading3"/>
        <w:numPr>
          <w:ilvl w:val="0"/>
          <w:numId w:val="7"/>
        </w:numPr>
        <w:spacing w:line="360" w:lineRule="auto"/>
      </w:pPr>
      <w:r w:rsidRPr="00E462CB">
        <w:rPr>
          <w:rFonts w:ascii="Arial" w:eastAsiaTheme="minorHAnsi" w:hAnsi="Arial" w:cs="Arial"/>
          <w:color w:val="auto"/>
          <w:sz w:val="22"/>
          <w:szCs w:val="22"/>
        </w:rPr>
        <w:t>How can JLR boost consumer confidence through digital communication, customer education, and after-sales services?</w:t>
      </w:r>
      <w:r w:rsidRPr="00E462CB">
        <w:rPr>
          <w:rFonts w:ascii="Arial" w:eastAsiaTheme="minorHAnsi" w:hAnsi="Arial" w:cs="Arial"/>
          <w:color w:val="auto"/>
          <w:sz w:val="22"/>
          <w:szCs w:val="22"/>
        </w:rPr>
        <w:br/>
      </w:r>
      <w:bookmarkStart w:id="15" w:name="_Toc232882990"/>
      <w:bookmarkStart w:id="16" w:name="project-timeline"/>
      <w:bookmarkEnd w:id="13"/>
      <w:bookmarkEnd w:id="14"/>
    </w:p>
    <w:p w14:paraId="1DCE028D" w14:textId="77777777" w:rsidR="00043A05" w:rsidRDefault="00043A05" w:rsidP="00043A05">
      <w:pPr>
        <w:pStyle w:val="BodyText"/>
      </w:pPr>
    </w:p>
    <w:p w14:paraId="54BA3ADB" w14:textId="77777777" w:rsidR="00043A05" w:rsidRDefault="00043A05" w:rsidP="00043A05">
      <w:pPr>
        <w:pStyle w:val="BodyText"/>
      </w:pPr>
    </w:p>
    <w:p w14:paraId="7E1FBFF4" w14:textId="77777777" w:rsidR="00043A05" w:rsidRDefault="00043A05" w:rsidP="00043A05">
      <w:pPr>
        <w:pStyle w:val="BodyText"/>
      </w:pPr>
    </w:p>
    <w:p w14:paraId="2EF4FE75" w14:textId="77777777" w:rsidR="00043A05" w:rsidRDefault="00043A05" w:rsidP="00043A05">
      <w:pPr>
        <w:pStyle w:val="BodyText"/>
      </w:pPr>
    </w:p>
    <w:p w14:paraId="0713A06D" w14:textId="77777777" w:rsidR="00043A05" w:rsidRDefault="00043A05" w:rsidP="00043A05">
      <w:pPr>
        <w:pStyle w:val="BodyText"/>
      </w:pPr>
    </w:p>
    <w:p w14:paraId="15C063FF" w14:textId="77777777" w:rsidR="00043A05" w:rsidRDefault="00043A05" w:rsidP="00043A05">
      <w:pPr>
        <w:pStyle w:val="BodyText"/>
      </w:pPr>
    </w:p>
    <w:p w14:paraId="1BE9548F" w14:textId="5532286F" w:rsidR="00E8758D" w:rsidRPr="00F709CD" w:rsidRDefault="00EC7F9B" w:rsidP="00F709CD">
      <w:pPr>
        <w:pStyle w:val="BodyText"/>
      </w:pPr>
      <w:r w:rsidRPr="00EC7F9B">
        <w:rPr>
          <w:noProof/>
        </w:rPr>
        <w:lastRenderedPageBreak/>
        <w:drawing>
          <wp:inline distT="0" distB="0" distL="0" distR="0" wp14:anchorId="6619BAD1" wp14:editId="0420DA51">
            <wp:extent cx="5822950" cy="8229600"/>
            <wp:effectExtent l="0" t="0" r="6350" b="0"/>
            <wp:docPr id="461711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711029" name=""/>
                    <pic:cNvPicPr/>
                  </pic:nvPicPr>
                  <pic:blipFill>
                    <a:blip r:embed="rId8"/>
                    <a:stretch>
                      <a:fillRect/>
                    </a:stretch>
                  </pic:blipFill>
                  <pic:spPr>
                    <a:xfrm>
                      <a:off x="0" y="0"/>
                      <a:ext cx="5822950" cy="8229600"/>
                    </a:xfrm>
                    <a:prstGeom prst="rect">
                      <a:avLst/>
                    </a:prstGeom>
                  </pic:spPr>
                </pic:pic>
              </a:graphicData>
            </a:graphic>
          </wp:inline>
        </w:drawing>
      </w:r>
      <w:bookmarkStart w:id="17" w:name="_Toc232882991"/>
      <w:bookmarkStart w:id="18" w:name="literature-review"/>
      <w:bookmarkEnd w:id="4"/>
      <w:bookmarkEnd w:id="15"/>
      <w:bookmarkEnd w:id="16"/>
      <w:r w:rsidR="005E0F1C" w:rsidRPr="00E462CB">
        <w:rPr>
          <w:rFonts w:ascii="Arial" w:hAnsi="Arial" w:cs="Arial"/>
          <w:sz w:val="22"/>
          <w:szCs w:val="22"/>
        </w:rPr>
        <w:lastRenderedPageBreak/>
        <w:t>2. Literature Review</w:t>
      </w:r>
      <w:bookmarkEnd w:id="17"/>
    </w:p>
    <w:p w14:paraId="1D16322E" w14:textId="0B2F1C89" w:rsidR="00E34424" w:rsidRPr="00E462CB" w:rsidRDefault="00044C69" w:rsidP="00E462CB">
      <w:pPr>
        <w:pStyle w:val="Heading2"/>
        <w:spacing w:line="360" w:lineRule="auto"/>
        <w:rPr>
          <w:rFonts w:ascii="Arial" w:hAnsi="Arial" w:cs="Arial"/>
          <w:sz w:val="22"/>
          <w:szCs w:val="22"/>
        </w:rPr>
      </w:pPr>
      <w:r w:rsidRPr="00E462CB">
        <w:rPr>
          <w:rFonts w:ascii="Arial" w:hAnsi="Arial" w:cs="Arial"/>
          <w:sz w:val="22"/>
          <w:szCs w:val="22"/>
        </w:rPr>
        <w:t>2.1 EV Adoption as a Business Research Issue</w:t>
      </w:r>
    </w:p>
    <w:p w14:paraId="5071AD69" w14:textId="72C414F5" w:rsidR="004746FD" w:rsidRPr="00E462CB" w:rsidRDefault="00205444" w:rsidP="00E462CB">
      <w:pPr>
        <w:pStyle w:val="BodyText"/>
        <w:spacing w:line="360" w:lineRule="auto"/>
        <w:rPr>
          <w:rFonts w:ascii="Arial" w:hAnsi="Arial" w:cs="Arial"/>
          <w:sz w:val="22"/>
          <w:szCs w:val="22"/>
        </w:rPr>
      </w:pPr>
      <w:r w:rsidRPr="00E462CB">
        <w:rPr>
          <w:rFonts w:ascii="Arial" w:hAnsi="Arial" w:cs="Arial"/>
          <w:sz w:val="22"/>
          <w:szCs w:val="22"/>
        </w:rPr>
        <w:t>Because EV adoption is influenced by infrastructure, psychological, economic, technological, and environmental aspects, it is a major topic of business research. Adoption is contingent upon relative advantage, compatibility, complexity, trialability, and observability, according to Rogers' (2003) Diffusion of Innovation theory. When consumers can clearly perceive the advantages of electric vehicles over petrol and diesel vehicles—such as reduced operating costs, environmental benefits, enhanced performance, and access to new digital features—they are more inclined to embrace EVs. Adoption, however, might be slower in areas where EV ownership seems complicated or incompatible with current driving practices.</w:t>
      </w:r>
      <w:r w:rsidRPr="00E462CB">
        <w:rPr>
          <w:rFonts w:ascii="Arial" w:hAnsi="Arial" w:cs="Arial"/>
          <w:sz w:val="22"/>
          <w:szCs w:val="22"/>
        </w:rPr>
        <w:br/>
      </w:r>
      <w:r w:rsidRPr="00E462CB">
        <w:rPr>
          <w:rFonts w:ascii="Arial" w:hAnsi="Arial" w:cs="Arial"/>
          <w:sz w:val="22"/>
          <w:szCs w:val="22"/>
        </w:rPr>
        <w:br/>
      </w:r>
      <w:bookmarkStart w:id="19" w:name="_Toc232882992"/>
      <w:bookmarkStart w:id="20" w:name="research-methodology"/>
      <w:bookmarkEnd w:id="18"/>
      <w:r w:rsidR="004746FD" w:rsidRPr="00E462CB">
        <w:rPr>
          <w:rStyle w:val="Heading2Char"/>
          <w:rFonts w:ascii="Arial" w:hAnsi="Arial" w:cs="Arial"/>
          <w:sz w:val="22"/>
          <w:szCs w:val="22"/>
        </w:rPr>
        <w:t>2.2 Technology Acceptance and Consumer Confidence</w:t>
      </w:r>
      <w:r w:rsidR="00E462CB" w:rsidRPr="00E462CB">
        <w:rPr>
          <w:rFonts w:ascii="Arial" w:hAnsi="Arial" w:cs="Arial"/>
          <w:sz w:val="22"/>
          <w:szCs w:val="22"/>
        </w:rPr>
        <w:br/>
      </w:r>
      <w:r w:rsidR="004746FD" w:rsidRPr="00E462CB">
        <w:rPr>
          <w:rFonts w:ascii="Arial" w:hAnsi="Arial" w:cs="Arial"/>
          <w:sz w:val="22"/>
          <w:szCs w:val="22"/>
        </w:rPr>
        <w:t>Because customers assess new technology based on perceived utility and perceived ease of use, Davis' (1989) Technology Acceptance Model also contributes to the explanation of EV uptake. When EVs lower gasoline prices, promote environmental responsibility, and offer cutting-edge driving technology, they may be seen as beneficial. However, customers can oppose adoption if battery management, route planning, or charging access seem challenging. According to Venkatesh et al. (2003), performance expectancy, effort expectancy, social influence, and facilitating factors all have an impact on technological acceptance. This implies that consumers must have faith in the car as well as the larger support network that surrounds it.</w:t>
      </w:r>
    </w:p>
    <w:p w14:paraId="4801D89D" w14:textId="4843B7A5" w:rsidR="004746FD" w:rsidRPr="00E462CB" w:rsidRDefault="004746FD" w:rsidP="00E462CB">
      <w:pPr>
        <w:pStyle w:val="BodyText"/>
        <w:spacing w:line="360" w:lineRule="auto"/>
        <w:rPr>
          <w:rFonts w:ascii="Arial" w:hAnsi="Arial" w:cs="Arial"/>
          <w:sz w:val="22"/>
          <w:szCs w:val="22"/>
        </w:rPr>
      </w:pPr>
      <w:r w:rsidRPr="00E462CB">
        <w:rPr>
          <w:rStyle w:val="Heading2Char"/>
          <w:rFonts w:ascii="Arial" w:hAnsi="Arial" w:cs="Arial"/>
          <w:sz w:val="22"/>
          <w:szCs w:val="22"/>
        </w:rPr>
        <w:t>2.3 Attitudes, Social Influence and Behavioural Control</w:t>
      </w:r>
      <w:r w:rsidR="00E462CB" w:rsidRPr="00E462CB">
        <w:rPr>
          <w:rFonts w:ascii="Arial" w:hAnsi="Arial" w:cs="Arial"/>
          <w:sz w:val="22"/>
          <w:szCs w:val="22"/>
        </w:rPr>
        <w:br/>
      </w:r>
      <w:r w:rsidRPr="00E462CB">
        <w:rPr>
          <w:rFonts w:ascii="Arial" w:hAnsi="Arial" w:cs="Arial"/>
          <w:sz w:val="22"/>
          <w:szCs w:val="22"/>
        </w:rPr>
        <w:t>According to Ajzen's (1991) Theory of Planned Behaviour, attitudes, subjective norms, and perceived behavioural control all have an impact on adoption. This implies that consumers' decisions to buy EVs are influenced by factors other than price or performance, such as their level of confidence, social support, and practical ability to use the technology. This approach is supported by Rezvani, Jansson, and Bodin (2015), who contend that emotions, identity, and symbolic meaning influence EV decisions in addition to logical analysis. This is particularly important for high-end automakers since consumers frequently associate cars with lifestyle, status, and individuality.</w:t>
      </w:r>
    </w:p>
    <w:p w14:paraId="09DFEBD6" w14:textId="77777777" w:rsidR="004746FD" w:rsidRPr="00E462CB" w:rsidRDefault="004746FD" w:rsidP="00E462CB">
      <w:pPr>
        <w:pStyle w:val="BodyText"/>
        <w:spacing w:line="360" w:lineRule="auto"/>
        <w:rPr>
          <w:rFonts w:ascii="Arial" w:hAnsi="Arial" w:cs="Arial"/>
          <w:sz w:val="22"/>
          <w:szCs w:val="22"/>
        </w:rPr>
      </w:pPr>
    </w:p>
    <w:p w14:paraId="6C06BB6C" w14:textId="41CA24D7" w:rsidR="004746FD" w:rsidRPr="00E462CB" w:rsidRDefault="004746FD" w:rsidP="00E462CB">
      <w:pPr>
        <w:pStyle w:val="BodyText"/>
        <w:spacing w:line="360" w:lineRule="auto"/>
        <w:rPr>
          <w:rFonts w:ascii="Arial" w:hAnsi="Arial" w:cs="Arial"/>
          <w:sz w:val="22"/>
          <w:szCs w:val="22"/>
        </w:rPr>
      </w:pPr>
      <w:r w:rsidRPr="00E462CB">
        <w:rPr>
          <w:rStyle w:val="Heading2Char"/>
          <w:rFonts w:ascii="Arial" w:hAnsi="Arial" w:cs="Arial"/>
          <w:sz w:val="22"/>
          <w:szCs w:val="22"/>
        </w:rPr>
        <w:lastRenderedPageBreak/>
        <w:t>2.4 Range Anxiety and Practical Ownership Concerns</w:t>
      </w:r>
      <w:r w:rsidR="00E462CB" w:rsidRPr="00E462CB">
        <w:rPr>
          <w:rStyle w:val="Heading2Char"/>
          <w:rFonts w:ascii="Arial" w:hAnsi="Arial" w:cs="Arial"/>
          <w:sz w:val="22"/>
          <w:szCs w:val="22"/>
        </w:rPr>
        <w:br/>
      </w:r>
      <w:r w:rsidRPr="00E462CB">
        <w:rPr>
          <w:rFonts w:ascii="Arial" w:hAnsi="Arial" w:cs="Arial"/>
          <w:sz w:val="22"/>
          <w:szCs w:val="22"/>
        </w:rPr>
        <w:t>One of the biggest obstacles to EV adoption is still range anxiety. Customers may worry that the battery would run out before they find a suitable charger, according to Egbue and Long (2012). For JLR consumers, who could anticipate long-distance driving, off-road capability, towing capacity, and dependability in various settings, this issue is especially crucial. Premium car purchasers may be interested in EV performance, but they still need assurances regarding practicality, charging, and long-term ownership, according to Hardman, Shiu, and Steinberger-Wilckens (2016).</w:t>
      </w:r>
    </w:p>
    <w:p w14:paraId="33E36A5F" w14:textId="169471EE" w:rsidR="004746FD" w:rsidRPr="00E462CB" w:rsidRDefault="004746FD" w:rsidP="00E462CB">
      <w:pPr>
        <w:pStyle w:val="BodyText"/>
        <w:spacing w:line="360" w:lineRule="auto"/>
        <w:rPr>
          <w:rFonts w:ascii="Arial" w:hAnsi="Arial" w:cs="Arial"/>
          <w:sz w:val="22"/>
          <w:szCs w:val="22"/>
        </w:rPr>
      </w:pPr>
      <w:r w:rsidRPr="00E462CB">
        <w:rPr>
          <w:rStyle w:val="Heading2Char"/>
          <w:rFonts w:ascii="Arial" w:hAnsi="Arial" w:cs="Arial"/>
          <w:sz w:val="22"/>
          <w:szCs w:val="22"/>
        </w:rPr>
        <w:t>2.5 Charging Infrastructure and Support Systems</w:t>
      </w:r>
      <w:r w:rsidR="00E462CB" w:rsidRPr="00E462CB">
        <w:rPr>
          <w:rFonts w:ascii="Arial" w:hAnsi="Arial" w:cs="Arial"/>
          <w:sz w:val="22"/>
          <w:szCs w:val="22"/>
        </w:rPr>
        <w:br/>
      </w:r>
      <w:r w:rsidRPr="00E462CB">
        <w:rPr>
          <w:rFonts w:ascii="Arial" w:hAnsi="Arial" w:cs="Arial"/>
          <w:sz w:val="22"/>
          <w:szCs w:val="22"/>
        </w:rPr>
        <w:t xml:space="preserve">Infrastructure for charging is another important consideration. According to Sierzchula et al. (2014), there is a substantial correlation between national EV adoption levels and the availability of charging stations and government support. In a similar vein, Gnann, Plötz, and Wietschel (2015) emphasise that customers need easy access to charging at home, at work, and in public places. JLR's EV strategy must therefore </w:t>
      </w:r>
      <w:proofErr w:type="gramStart"/>
      <w:r w:rsidRPr="00E462CB">
        <w:rPr>
          <w:rFonts w:ascii="Arial" w:hAnsi="Arial" w:cs="Arial"/>
          <w:sz w:val="22"/>
          <w:szCs w:val="22"/>
        </w:rPr>
        <w:t>take into account</w:t>
      </w:r>
      <w:proofErr w:type="gramEnd"/>
      <w:r w:rsidRPr="00E462CB">
        <w:rPr>
          <w:rFonts w:ascii="Arial" w:hAnsi="Arial" w:cs="Arial"/>
          <w:sz w:val="22"/>
          <w:szCs w:val="22"/>
        </w:rPr>
        <w:t xml:space="preserve"> charging alliances, digital route-planning tools, after-sales assistance, and consumer education in addition to car design.</w:t>
      </w:r>
    </w:p>
    <w:p w14:paraId="2457BC5D" w14:textId="7D6697FD" w:rsidR="004746FD" w:rsidRPr="00E462CB" w:rsidRDefault="004746FD" w:rsidP="00E462CB">
      <w:pPr>
        <w:pStyle w:val="BodyText"/>
        <w:spacing w:line="360" w:lineRule="auto"/>
        <w:rPr>
          <w:rFonts w:ascii="Arial" w:hAnsi="Arial" w:cs="Arial"/>
          <w:sz w:val="22"/>
          <w:szCs w:val="22"/>
        </w:rPr>
      </w:pPr>
      <w:r w:rsidRPr="00E462CB">
        <w:rPr>
          <w:rStyle w:val="Heading2Char"/>
          <w:rFonts w:ascii="Arial" w:hAnsi="Arial" w:cs="Arial"/>
          <w:sz w:val="22"/>
          <w:szCs w:val="22"/>
        </w:rPr>
        <w:t>2.6 Economic Factors and Total Cost of Ownership</w:t>
      </w:r>
      <w:r w:rsidR="00E462CB" w:rsidRPr="00E462CB">
        <w:rPr>
          <w:rStyle w:val="Heading2Char"/>
          <w:rFonts w:ascii="Arial" w:hAnsi="Arial" w:cs="Arial"/>
          <w:sz w:val="22"/>
          <w:szCs w:val="22"/>
        </w:rPr>
        <w:br/>
      </w:r>
      <w:r w:rsidRPr="00E462CB">
        <w:rPr>
          <w:rFonts w:ascii="Arial" w:hAnsi="Arial" w:cs="Arial"/>
          <w:sz w:val="22"/>
          <w:szCs w:val="22"/>
        </w:rPr>
        <w:t>EV acceptability is also impacted by economic considerations. EVs are frequently more expensive to buy than conventional cars, even though they may have lower lifetime operating expenses (International Energy Agency, 2024). According to JLR, premium consumers are more likely to consider value, quality, battery durability, depreciation, and resale confidence than just price. According to Bubeck, Tomaschek, and Fahl (2016), total cost of ownership plays a significant role in EV choices, especially when buyers are aware of the long-term savings.</w:t>
      </w:r>
    </w:p>
    <w:p w14:paraId="5579468C" w14:textId="598BCC15" w:rsidR="004746FD" w:rsidRPr="00E462CB" w:rsidRDefault="004746FD" w:rsidP="00E462CB">
      <w:pPr>
        <w:pStyle w:val="BodyText"/>
        <w:spacing w:line="360" w:lineRule="auto"/>
        <w:rPr>
          <w:rFonts w:ascii="Arial" w:hAnsi="Arial" w:cs="Arial"/>
          <w:sz w:val="22"/>
          <w:szCs w:val="22"/>
        </w:rPr>
      </w:pPr>
      <w:r w:rsidRPr="00E462CB">
        <w:rPr>
          <w:rStyle w:val="Heading2Char"/>
          <w:rFonts w:ascii="Arial" w:hAnsi="Arial" w:cs="Arial"/>
          <w:sz w:val="22"/>
          <w:szCs w:val="22"/>
        </w:rPr>
        <w:t>2.7 Customer Journey, Digitalisation and Trust</w:t>
      </w:r>
      <w:r w:rsidR="00E462CB" w:rsidRPr="00E462CB">
        <w:rPr>
          <w:rFonts w:ascii="Arial" w:hAnsi="Arial" w:cs="Arial"/>
          <w:sz w:val="22"/>
          <w:szCs w:val="22"/>
        </w:rPr>
        <w:br/>
      </w:r>
      <w:r w:rsidRPr="00E462CB">
        <w:rPr>
          <w:rFonts w:ascii="Arial" w:hAnsi="Arial" w:cs="Arial"/>
          <w:sz w:val="22"/>
          <w:szCs w:val="22"/>
        </w:rPr>
        <w:t>Customer satisfaction has a significant impact on EV adoption as well. Lemon and Verhoef (2016) interpret the customer journey as pre-purchase information, purchase interaction, product use, and post-purchase assistance. Open communication about battery life, range, maintenance, and charging costs can increase customer loyalty and reduce uncertainty for JLR. The digital revolution is changing consumer relationships in the automotive sector as well. AI, data analytics, and connected-car services can improve the quality and personalisation of services (Llopis-Albert, Rubio, and Valero, 2021). However, cybersecurity, privacy, and trust must be appropriately managed because digital innovation might bring new risks (Westerman, Bonnet, and McAfee, 2014).</w:t>
      </w:r>
    </w:p>
    <w:p w14:paraId="262D1647" w14:textId="562DD616" w:rsidR="00B76723" w:rsidRPr="00E462CB" w:rsidRDefault="004746FD" w:rsidP="009F37B2">
      <w:pPr>
        <w:pStyle w:val="BodyText"/>
        <w:spacing w:line="360" w:lineRule="auto"/>
        <w:rPr>
          <w:rFonts w:ascii="Arial" w:hAnsi="Arial" w:cs="Arial"/>
          <w:sz w:val="22"/>
          <w:szCs w:val="22"/>
        </w:rPr>
      </w:pPr>
      <w:r w:rsidRPr="00E462CB">
        <w:rPr>
          <w:rStyle w:val="Heading2Char"/>
          <w:rFonts w:ascii="Arial" w:hAnsi="Arial" w:cs="Arial"/>
          <w:sz w:val="22"/>
          <w:szCs w:val="22"/>
        </w:rPr>
        <w:lastRenderedPageBreak/>
        <w:t>2.8 Research Gap: Luxury EV Adoption and JLR</w:t>
      </w:r>
      <w:r w:rsidR="00E462CB" w:rsidRPr="00E462CB">
        <w:rPr>
          <w:rStyle w:val="Heading2Char"/>
          <w:rFonts w:ascii="Arial" w:hAnsi="Arial" w:cs="Arial"/>
          <w:sz w:val="22"/>
          <w:szCs w:val="22"/>
        </w:rPr>
        <w:br/>
      </w:r>
      <w:r w:rsidRPr="00E462CB">
        <w:rPr>
          <w:rFonts w:ascii="Arial" w:hAnsi="Arial" w:cs="Arial"/>
          <w:sz w:val="22"/>
          <w:szCs w:val="22"/>
        </w:rPr>
        <w:t>Although much of the current research focuses on common consumers rather than luxury automobile customers, it nonetheless offers insightful information about EV adoption. Customers of JLR might value luxury, performance, legacy, dependability, and brand identification more. According to Schuitema et al. (2013), EV adoption is influenced by instrumental, symbolic, and contextual factors, demonstrating the significance of identity-based and emotional aspects. Therefore, by analysing adoption hurdles within a luxury car brand undergoing strategic electrification, this study fills a research vacuum. It will clarify how JLR can encourage EV adoption while preserving the characteristics that set the brand apart.</w:t>
      </w:r>
      <w:r w:rsidR="00FD2E57">
        <w:rPr>
          <w:rFonts w:ascii="Arial" w:hAnsi="Arial" w:cs="Arial"/>
          <w:sz w:val="22"/>
          <w:szCs w:val="22"/>
        </w:rPr>
        <w:br/>
      </w:r>
      <w:r w:rsidR="00FD2E57">
        <w:rPr>
          <w:rFonts w:ascii="Arial" w:hAnsi="Arial" w:cs="Arial"/>
          <w:sz w:val="22"/>
          <w:szCs w:val="22"/>
        </w:rPr>
        <w:br/>
      </w:r>
      <w:r w:rsidR="005E0F1C" w:rsidRPr="00FD2E57">
        <w:rPr>
          <w:rStyle w:val="Heading2Char"/>
          <w:rFonts w:ascii="Arial" w:hAnsi="Arial" w:cs="Arial"/>
          <w:sz w:val="22"/>
          <w:szCs w:val="22"/>
        </w:rPr>
        <w:t>3. Research Methodology</w:t>
      </w:r>
      <w:bookmarkStart w:id="21" w:name="_Toc232882993"/>
      <w:bookmarkStart w:id="22" w:name="research-approach"/>
      <w:bookmarkEnd w:id="19"/>
      <w:r w:rsidR="00FD2E57">
        <w:rPr>
          <w:rFonts w:ascii="Arial" w:hAnsi="Arial" w:cs="Arial"/>
          <w:sz w:val="22"/>
          <w:szCs w:val="22"/>
        </w:rPr>
        <w:br/>
      </w:r>
      <w:r w:rsidR="009F37B2">
        <w:rPr>
          <w:rFonts w:ascii="Arial" w:hAnsi="Arial" w:cs="Arial"/>
          <w:sz w:val="22"/>
          <w:szCs w:val="22"/>
        </w:rPr>
        <w:br/>
      </w:r>
      <w:r w:rsidR="005E0F1C" w:rsidRPr="009F37B2">
        <w:rPr>
          <w:rStyle w:val="Heading2Char"/>
          <w:rFonts w:ascii="Arial" w:hAnsi="Arial" w:cs="Arial"/>
          <w:sz w:val="22"/>
          <w:szCs w:val="22"/>
        </w:rPr>
        <w:t>3.1 Research Approach</w:t>
      </w:r>
      <w:bookmarkStart w:id="23" w:name="_Toc232882994"/>
      <w:bookmarkStart w:id="24" w:name="research-design"/>
      <w:bookmarkEnd w:id="21"/>
      <w:bookmarkEnd w:id="22"/>
      <w:r w:rsidR="009F37B2">
        <w:rPr>
          <w:rStyle w:val="Heading2Char"/>
          <w:rFonts w:ascii="Arial" w:hAnsi="Arial" w:cs="Arial"/>
          <w:sz w:val="22"/>
          <w:szCs w:val="22"/>
        </w:rPr>
        <w:br/>
      </w:r>
      <w:r w:rsidR="00F00CD4" w:rsidRPr="00E462CB">
        <w:rPr>
          <w:rFonts w:ascii="Arial" w:hAnsi="Arial" w:cs="Arial"/>
          <w:sz w:val="22"/>
          <w:szCs w:val="22"/>
        </w:rPr>
        <w:t>A mixed methods technique is used in this work (Saunders, Lewis, and Thornhill, 2019). While qualitative semi-structured interviews with clients, employees, and specialists delve deeper into impressions, quantitative data from structured questionnaires reveals broad trends. This combination guarantees accurate measurement as well as a thorough comprehension of adoption-related concerns.</w:t>
      </w:r>
      <w:r w:rsidR="009F37B2">
        <w:rPr>
          <w:rFonts w:ascii="Arial" w:hAnsi="Arial" w:cs="Arial"/>
          <w:sz w:val="22"/>
          <w:szCs w:val="22"/>
        </w:rPr>
        <w:br/>
      </w:r>
      <w:r w:rsidR="009F37B2">
        <w:rPr>
          <w:rFonts w:ascii="Arial" w:hAnsi="Arial" w:cs="Arial"/>
          <w:sz w:val="22"/>
          <w:szCs w:val="22"/>
        </w:rPr>
        <w:br/>
      </w:r>
      <w:r w:rsidR="005E0F1C" w:rsidRPr="009F37B2">
        <w:rPr>
          <w:rStyle w:val="Heading2Char"/>
          <w:rFonts w:ascii="Arial" w:hAnsi="Arial" w:cs="Arial"/>
          <w:sz w:val="22"/>
          <w:szCs w:val="22"/>
        </w:rPr>
        <w:t>3.2 Research Design</w:t>
      </w:r>
      <w:bookmarkStart w:id="25" w:name="_Toc232882995"/>
      <w:bookmarkStart w:id="26" w:name="data-collection"/>
      <w:bookmarkEnd w:id="23"/>
      <w:bookmarkEnd w:id="24"/>
      <w:r w:rsidR="009F37B2">
        <w:rPr>
          <w:rFonts w:ascii="Arial" w:hAnsi="Arial" w:cs="Arial"/>
          <w:sz w:val="22"/>
          <w:szCs w:val="22"/>
        </w:rPr>
        <w:br/>
      </w:r>
      <w:r w:rsidR="00935BE4" w:rsidRPr="00E462CB">
        <w:rPr>
          <w:rFonts w:ascii="Arial" w:hAnsi="Arial" w:cs="Arial"/>
          <w:sz w:val="22"/>
          <w:szCs w:val="22"/>
        </w:rPr>
        <w:t>A JLR-focused exploratory case study design will be employed in the study, which is appropriate for investigating a practical business problem in a particular organisational setting (Yin, 2018). Customer attitudes, perceived barriers, brand trust, and purchase intention will all be evaluated by a Likert-scale questionnaire. While interviews will examine consumer expectations, worries, and confidence-building support, demographic information such as age, income, driving habits, and existing automobile type may also be gathered.</w:t>
      </w:r>
      <w:r w:rsidR="009F37B2">
        <w:rPr>
          <w:rFonts w:ascii="Arial" w:hAnsi="Arial" w:cs="Arial"/>
          <w:sz w:val="22"/>
          <w:szCs w:val="22"/>
        </w:rPr>
        <w:br/>
      </w:r>
      <w:r w:rsidR="009F37B2">
        <w:rPr>
          <w:rFonts w:ascii="Arial" w:hAnsi="Arial" w:cs="Arial"/>
          <w:sz w:val="22"/>
          <w:szCs w:val="22"/>
        </w:rPr>
        <w:br/>
      </w:r>
      <w:r w:rsidR="005E0F1C" w:rsidRPr="009F37B2">
        <w:rPr>
          <w:rStyle w:val="Heading2Char"/>
          <w:rFonts w:ascii="Arial" w:hAnsi="Arial" w:cs="Arial"/>
          <w:sz w:val="22"/>
          <w:szCs w:val="22"/>
        </w:rPr>
        <w:t>3.3 Data Collection</w:t>
      </w:r>
      <w:bookmarkStart w:id="27" w:name="_Toc232882996"/>
      <w:bookmarkStart w:id="28" w:name="sampling-strategy"/>
      <w:bookmarkEnd w:id="25"/>
      <w:bookmarkEnd w:id="26"/>
      <w:r w:rsidR="009F37B2">
        <w:rPr>
          <w:rFonts w:ascii="Arial" w:hAnsi="Arial" w:cs="Arial"/>
          <w:sz w:val="22"/>
          <w:szCs w:val="22"/>
        </w:rPr>
        <w:br/>
      </w:r>
      <w:r w:rsidR="00D25D57" w:rsidRPr="00E462CB">
        <w:rPr>
          <w:rFonts w:ascii="Arial" w:hAnsi="Arial" w:cs="Arial"/>
          <w:sz w:val="22"/>
          <w:szCs w:val="22"/>
        </w:rPr>
        <w:t>Semi-structured interviews and online surveys will be used to gather primary data. About 80–100 current drivers, prospective automobile buyers, and those with an interest in high-end vehicles will be the study's target audience. The results of the survey will be better understood after six to eight interviews. Findings will be contextualised and supported by comparison with previous studies using secondary data, such as government and market EV adoption data, academic publications, JLR annual reports, and reports from the automobile sector.</w:t>
      </w:r>
    </w:p>
    <w:p w14:paraId="31BBA2A9" w14:textId="006B0F0D" w:rsidR="00E8758D" w:rsidRPr="00E462CB" w:rsidRDefault="005E0F1C" w:rsidP="00E462CB">
      <w:pPr>
        <w:pStyle w:val="Heading3"/>
        <w:spacing w:line="360" w:lineRule="auto"/>
        <w:rPr>
          <w:rFonts w:ascii="Arial" w:hAnsi="Arial" w:cs="Arial"/>
          <w:sz w:val="22"/>
          <w:szCs w:val="22"/>
        </w:rPr>
      </w:pPr>
      <w:r w:rsidRPr="00E462CB">
        <w:rPr>
          <w:rFonts w:ascii="Arial" w:hAnsi="Arial" w:cs="Arial"/>
          <w:sz w:val="22"/>
          <w:szCs w:val="22"/>
        </w:rPr>
        <w:lastRenderedPageBreak/>
        <w:t>3.4 Sampling Strategy</w:t>
      </w:r>
      <w:bookmarkEnd w:id="27"/>
    </w:p>
    <w:p w14:paraId="13F8B5B0" w14:textId="7F6F5CE6" w:rsidR="00E8758D" w:rsidRPr="00E462CB" w:rsidRDefault="006B5800" w:rsidP="00E462CB">
      <w:pPr>
        <w:pStyle w:val="BodyText"/>
        <w:spacing w:line="360" w:lineRule="auto"/>
        <w:rPr>
          <w:rFonts w:ascii="Arial" w:hAnsi="Arial" w:cs="Arial"/>
          <w:sz w:val="22"/>
          <w:szCs w:val="22"/>
        </w:rPr>
      </w:pPr>
      <w:r w:rsidRPr="00E462CB">
        <w:rPr>
          <w:rFonts w:ascii="Arial" w:hAnsi="Arial" w:cs="Arial"/>
          <w:sz w:val="22"/>
          <w:szCs w:val="22"/>
        </w:rPr>
        <w:t>The study will employ a non-probability purposive sampling technique to select participants who are pertinent to the research, such as drivers, buyers of high-end vehicles, owners of electric vehicles, and prospective buyers. Asking responders to forward the survey to appropriate participants is another way to employ snowball sampling. This restricts generalisability, yet it is suitable for generating practical business insights.</w:t>
      </w:r>
    </w:p>
    <w:p w14:paraId="475ED4F0" w14:textId="77777777" w:rsidR="00E8758D" w:rsidRPr="00E462CB" w:rsidRDefault="005E0F1C" w:rsidP="00E462CB">
      <w:pPr>
        <w:pStyle w:val="Heading3"/>
        <w:spacing w:line="360" w:lineRule="auto"/>
        <w:rPr>
          <w:rFonts w:ascii="Arial" w:hAnsi="Arial" w:cs="Arial"/>
          <w:sz w:val="22"/>
          <w:szCs w:val="22"/>
        </w:rPr>
      </w:pPr>
      <w:bookmarkStart w:id="29" w:name="_Toc232882997"/>
      <w:bookmarkStart w:id="30" w:name="data-analysis"/>
      <w:bookmarkEnd w:id="28"/>
      <w:r w:rsidRPr="00E462CB">
        <w:rPr>
          <w:rFonts w:ascii="Arial" w:hAnsi="Arial" w:cs="Arial"/>
          <w:sz w:val="22"/>
          <w:szCs w:val="22"/>
        </w:rPr>
        <w:t>3.5 Data Analysis</w:t>
      </w:r>
      <w:bookmarkEnd w:id="29"/>
    </w:p>
    <w:p w14:paraId="736E6316" w14:textId="59C5D493" w:rsidR="00E8758D" w:rsidRPr="00E462CB" w:rsidRDefault="0049086B" w:rsidP="00E462CB">
      <w:pPr>
        <w:pStyle w:val="Heading3"/>
        <w:spacing w:line="360" w:lineRule="auto"/>
        <w:rPr>
          <w:rFonts w:ascii="Arial" w:hAnsi="Arial" w:cs="Arial"/>
          <w:sz w:val="22"/>
          <w:szCs w:val="22"/>
        </w:rPr>
      </w:pPr>
      <w:bookmarkStart w:id="31" w:name="_Toc232882998"/>
      <w:bookmarkStart w:id="32" w:name="research-ethics"/>
      <w:bookmarkEnd w:id="30"/>
      <w:r w:rsidRPr="00E462CB">
        <w:rPr>
          <w:rFonts w:ascii="Arial" w:eastAsiaTheme="minorHAnsi" w:hAnsi="Arial" w:cs="Arial"/>
          <w:color w:val="auto"/>
          <w:sz w:val="22"/>
          <w:szCs w:val="22"/>
        </w:rPr>
        <w:t>Quantitative survey results will be evaluated using descriptive statistics, including percentages, averages and frequency tables, to identify important barriers and patterns in customer attitudes. This could demonstrate how drivers of electric vehicles differ from those who drive petrol or diesel vehicles. Thematic analysis, which entails finding, organising, and interpreting significant patterns in data (Braun and Clarke, 2006), such as charging confidence, brand trust, and financial concerns, will be used to analyse qualitative interview data.</w:t>
      </w:r>
      <w:r w:rsidR="00DC17C8" w:rsidRPr="00E462CB">
        <w:rPr>
          <w:rFonts w:ascii="Arial" w:eastAsiaTheme="minorHAnsi" w:hAnsi="Arial" w:cs="Arial"/>
          <w:color w:val="auto"/>
          <w:sz w:val="22"/>
          <w:szCs w:val="22"/>
        </w:rPr>
        <w:br/>
      </w:r>
      <w:r w:rsidR="00DC17C8" w:rsidRPr="00E462CB">
        <w:rPr>
          <w:rFonts w:ascii="Arial" w:eastAsiaTheme="minorHAnsi" w:hAnsi="Arial" w:cs="Arial"/>
          <w:color w:val="auto"/>
          <w:sz w:val="22"/>
          <w:szCs w:val="22"/>
        </w:rPr>
        <w:br/>
      </w:r>
      <w:r w:rsidR="005E0F1C" w:rsidRPr="00E462CB">
        <w:rPr>
          <w:rFonts w:ascii="Arial" w:hAnsi="Arial" w:cs="Arial"/>
          <w:sz w:val="22"/>
          <w:szCs w:val="22"/>
        </w:rPr>
        <w:t>3.6 Research Ethics</w:t>
      </w:r>
      <w:bookmarkEnd w:id="31"/>
    </w:p>
    <w:p w14:paraId="7470BFB6" w14:textId="0A462787" w:rsidR="00DC17C8" w:rsidRPr="00E462CB" w:rsidRDefault="00DC17C8" w:rsidP="00E462CB">
      <w:pPr>
        <w:pStyle w:val="Heading3"/>
        <w:spacing w:line="360" w:lineRule="auto"/>
        <w:rPr>
          <w:rFonts w:ascii="Arial" w:eastAsiaTheme="minorHAnsi" w:hAnsi="Arial" w:cs="Arial"/>
          <w:color w:val="auto"/>
          <w:sz w:val="22"/>
          <w:szCs w:val="22"/>
        </w:rPr>
      </w:pPr>
      <w:bookmarkStart w:id="33" w:name="_Toc232882999"/>
      <w:bookmarkStart w:id="34" w:name="reliability-and-validity"/>
      <w:bookmarkEnd w:id="32"/>
      <w:r w:rsidRPr="00E462CB">
        <w:rPr>
          <w:rFonts w:ascii="Arial" w:eastAsiaTheme="minorHAnsi" w:hAnsi="Arial" w:cs="Arial"/>
          <w:color w:val="auto"/>
          <w:sz w:val="22"/>
          <w:szCs w:val="22"/>
        </w:rPr>
        <w:t xml:space="preserve">The study will adhere to ethical guidelines, such as data protection, informed consent, voluntary participation, and confidentiality. Before beginning, participants will be made aware of the study's objectives. They will have the option to withdraw and won't be forced to divulge sensitive personal information. Data from surveys and interviews will be securely stored and </w:t>
      </w:r>
      <w:proofErr w:type="spellStart"/>
      <w:r w:rsidRPr="00E462CB">
        <w:rPr>
          <w:rFonts w:ascii="Arial" w:eastAsiaTheme="minorHAnsi" w:hAnsi="Arial" w:cs="Arial"/>
          <w:color w:val="auto"/>
          <w:sz w:val="22"/>
          <w:szCs w:val="22"/>
        </w:rPr>
        <w:t>anonymised</w:t>
      </w:r>
      <w:proofErr w:type="spellEnd"/>
      <w:r w:rsidRPr="00E462CB">
        <w:rPr>
          <w:rFonts w:ascii="Arial" w:eastAsiaTheme="minorHAnsi" w:hAnsi="Arial" w:cs="Arial"/>
          <w:color w:val="auto"/>
          <w:sz w:val="22"/>
          <w:szCs w:val="22"/>
        </w:rPr>
        <w:t>. Additionally, the study will refrain from deceiving participants or utilising data for purposes other than the study itself.</w:t>
      </w:r>
    </w:p>
    <w:p w14:paraId="58FF276D" w14:textId="7DB06DC9" w:rsidR="00E8758D" w:rsidRPr="00E462CB" w:rsidRDefault="005E0F1C" w:rsidP="00E462CB">
      <w:pPr>
        <w:pStyle w:val="Heading3"/>
        <w:spacing w:line="360" w:lineRule="auto"/>
        <w:rPr>
          <w:rFonts w:ascii="Arial" w:hAnsi="Arial" w:cs="Arial"/>
          <w:sz w:val="22"/>
          <w:szCs w:val="22"/>
        </w:rPr>
      </w:pPr>
      <w:r w:rsidRPr="00E462CB">
        <w:rPr>
          <w:rFonts w:ascii="Arial" w:hAnsi="Arial" w:cs="Arial"/>
          <w:sz w:val="22"/>
          <w:szCs w:val="22"/>
        </w:rPr>
        <w:t>3.7 Reliability and Validity</w:t>
      </w:r>
      <w:bookmarkEnd w:id="33"/>
    </w:p>
    <w:p w14:paraId="6AD661C8" w14:textId="77777777" w:rsidR="00DC17C8" w:rsidRPr="00E462CB" w:rsidRDefault="00DC17C8" w:rsidP="00E462CB">
      <w:pPr>
        <w:pStyle w:val="Heading2"/>
        <w:spacing w:line="360" w:lineRule="auto"/>
        <w:rPr>
          <w:rFonts w:ascii="Arial" w:eastAsiaTheme="minorHAnsi" w:hAnsi="Arial" w:cs="Arial"/>
          <w:color w:val="auto"/>
          <w:sz w:val="22"/>
          <w:szCs w:val="22"/>
        </w:rPr>
      </w:pPr>
      <w:bookmarkStart w:id="35" w:name="_Toc232883000"/>
      <w:bookmarkStart w:id="36" w:name="result-and-analysis"/>
      <w:bookmarkEnd w:id="20"/>
      <w:bookmarkEnd w:id="34"/>
      <w:r w:rsidRPr="00E462CB">
        <w:rPr>
          <w:rFonts w:ascii="Arial" w:eastAsiaTheme="minorHAnsi" w:hAnsi="Arial" w:cs="Arial"/>
          <w:color w:val="auto"/>
          <w:sz w:val="22"/>
          <w:szCs w:val="22"/>
        </w:rPr>
        <w:t xml:space="preserve">Data protection, informed permission, voluntary participation, and confidentiality are just a few of the ethical principles that the study will follow. The goals of the study will be explained to participants before it starts. They won't be compelled to reveal private information and will have the choice to withdraw. Survey and interview data will be </w:t>
      </w:r>
      <w:proofErr w:type="spellStart"/>
      <w:r w:rsidRPr="00E462CB">
        <w:rPr>
          <w:rFonts w:ascii="Arial" w:eastAsiaTheme="minorHAnsi" w:hAnsi="Arial" w:cs="Arial"/>
          <w:color w:val="auto"/>
          <w:sz w:val="22"/>
          <w:szCs w:val="22"/>
        </w:rPr>
        <w:t>anonymised</w:t>
      </w:r>
      <w:proofErr w:type="spellEnd"/>
      <w:r w:rsidRPr="00E462CB">
        <w:rPr>
          <w:rFonts w:ascii="Arial" w:eastAsiaTheme="minorHAnsi" w:hAnsi="Arial" w:cs="Arial"/>
          <w:color w:val="auto"/>
          <w:sz w:val="22"/>
          <w:szCs w:val="22"/>
        </w:rPr>
        <w:t xml:space="preserve"> and safely kept. Additionally, the study shall refrain from misleading participants or utilising data for purposes other than the study itself.</w:t>
      </w:r>
    </w:p>
    <w:p w14:paraId="64BFA946" w14:textId="7E2AD4DD" w:rsidR="0078786D" w:rsidRPr="00E462CB" w:rsidRDefault="00A146BE" w:rsidP="00E462CB">
      <w:pPr>
        <w:pStyle w:val="BodyText"/>
        <w:spacing w:line="360" w:lineRule="auto"/>
        <w:rPr>
          <w:rFonts w:ascii="Arial" w:hAnsi="Arial" w:cs="Arial"/>
          <w:sz w:val="22"/>
          <w:szCs w:val="22"/>
        </w:rPr>
      </w:pPr>
      <w:r w:rsidRPr="00E462CB">
        <w:rPr>
          <w:rFonts w:ascii="Arial" w:hAnsi="Arial" w:cs="Arial"/>
          <w:color w:val="156082" w:themeColor="accent1"/>
          <w:sz w:val="22"/>
          <w:szCs w:val="22"/>
        </w:rPr>
        <w:t xml:space="preserve">3.8 </w:t>
      </w:r>
      <w:r w:rsidR="001C623D" w:rsidRPr="00E462CB">
        <w:rPr>
          <w:rFonts w:ascii="Arial" w:hAnsi="Arial" w:cs="Arial"/>
          <w:color w:val="156082" w:themeColor="accent1"/>
          <w:sz w:val="22"/>
          <w:szCs w:val="22"/>
        </w:rPr>
        <w:t>Project Timeline</w:t>
      </w:r>
      <w:r w:rsidR="003C357E" w:rsidRPr="00E462CB">
        <w:rPr>
          <w:rFonts w:ascii="Arial" w:hAnsi="Arial" w:cs="Arial"/>
          <w:sz w:val="22"/>
          <w:szCs w:val="22"/>
        </w:rPr>
        <w:br/>
      </w:r>
      <w:r w:rsidR="00670DCE" w:rsidRPr="00E462CB">
        <w:rPr>
          <w:rFonts w:ascii="Arial" w:hAnsi="Arial" w:cs="Arial"/>
          <w:sz w:val="22"/>
          <w:szCs w:val="22"/>
        </w:rPr>
        <w:t xml:space="preserve">The project timeline outlines how the study will be planned, tracked, and finished in 12 weeks. Background research, topic confirmation, literature review, research design, data collecting, </w:t>
      </w:r>
      <w:r w:rsidR="00670DCE" w:rsidRPr="00E462CB">
        <w:rPr>
          <w:rFonts w:ascii="Arial" w:hAnsi="Arial" w:cs="Arial"/>
          <w:sz w:val="22"/>
          <w:szCs w:val="22"/>
        </w:rPr>
        <w:lastRenderedPageBreak/>
        <w:t>analysis, findings discussion, and final report writing are all covered. A Gantt chart helps track work, prevent delays, and fulfil the final submission deadline within predetermined academic deadlines and requirements by breaking the project down into manageable chunks and arranging activities logically.</w:t>
      </w:r>
    </w:p>
    <w:p w14:paraId="1EA67A93" w14:textId="695B0AF1" w:rsidR="0023618F" w:rsidRPr="00E462CB" w:rsidRDefault="00C71CDA" w:rsidP="00E462CB">
      <w:pPr>
        <w:pStyle w:val="BodyText"/>
        <w:spacing w:line="360" w:lineRule="auto"/>
        <w:rPr>
          <w:rFonts w:ascii="Arial" w:hAnsi="Arial" w:cs="Arial"/>
          <w:sz w:val="22"/>
          <w:szCs w:val="22"/>
        </w:rPr>
        <w:sectPr w:rsidR="0023618F" w:rsidRPr="00E462CB">
          <w:footerReference w:type="default" r:id="rId9"/>
          <w:footnotePr>
            <w:numRestart w:val="eachSect"/>
          </w:footnotePr>
          <w:pgSz w:w="12240" w:h="15840"/>
          <w:pgMar w:top="1440" w:right="1440" w:bottom="1440" w:left="1440" w:header="720" w:footer="720" w:gutter="0"/>
          <w:cols w:space="720"/>
        </w:sectPr>
      </w:pPr>
      <w:r w:rsidRPr="00E462CB">
        <w:rPr>
          <w:rFonts w:ascii="Arial" w:hAnsi="Arial" w:cs="Arial"/>
          <w:sz w:val="22"/>
          <w:szCs w:val="22"/>
        </w:rPr>
        <w:br/>
      </w:r>
    </w:p>
    <w:p w14:paraId="6958CFCF" w14:textId="404F1F30" w:rsidR="00956C5E" w:rsidRPr="00E462CB" w:rsidRDefault="00A50FE4" w:rsidP="00E462CB">
      <w:pPr>
        <w:spacing w:line="360" w:lineRule="auto"/>
        <w:rPr>
          <w:rFonts w:ascii="Arial" w:hAnsi="Arial" w:cs="Arial"/>
          <w:sz w:val="22"/>
          <w:szCs w:val="22"/>
        </w:rPr>
      </w:pPr>
      <w:r w:rsidRPr="00E462CB">
        <w:rPr>
          <w:rFonts w:ascii="Arial" w:hAnsi="Arial" w:cs="Arial"/>
          <w:b/>
          <w:bCs/>
          <w:sz w:val="22"/>
          <w:szCs w:val="22"/>
        </w:rPr>
        <w:lastRenderedPageBreak/>
        <w:t>Gantt Chart: Proposed Project Timeline</w:t>
      </w:r>
    </w:p>
    <w:tbl>
      <w:tblPr>
        <w:tblpPr w:leftFromText="180" w:rightFromText="180" w:horzAnchor="margin" w:tblpY="492"/>
        <w:tblW w:w="13958" w:type="dxa"/>
        <w:tblCellSpacing w:w="15" w:type="dxa"/>
        <w:tblCellMar>
          <w:top w:w="15" w:type="dxa"/>
          <w:left w:w="15" w:type="dxa"/>
          <w:bottom w:w="15" w:type="dxa"/>
          <w:right w:w="15" w:type="dxa"/>
        </w:tblCellMar>
        <w:tblLook w:val="04A0" w:firstRow="1" w:lastRow="0" w:firstColumn="1" w:lastColumn="0" w:noHBand="0" w:noVBand="1"/>
      </w:tblPr>
      <w:tblGrid>
        <w:gridCol w:w="3996"/>
        <w:gridCol w:w="802"/>
        <w:gridCol w:w="802"/>
        <w:gridCol w:w="801"/>
        <w:gridCol w:w="801"/>
        <w:gridCol w:w="801"/>
        <w:gridCol w:w="801"/>
        <w:gridCol w:w="801"/>
        <w:gridCol w:w="801"/>
        <w:gridCol w:w="801"/>
        <w:gridCol w:w="912"/>
        <w:gridCol w:w="912"/>
        <w:gridCol w:w="927"/>
      </w:tblGrid>
      <w:tr w:rsidR="00E172F1" w:rsidRPr="00E462CB" w14:paraId="3CFD5C70" w14:textId="77777777" w:rsidTr="00E172F1">
        <w:trPr>
          <w:tblHeader/>
          <w:tblCellSpacing w:w="15" w:type="dxa"/>
        </w:trPr>
        <w:tc>
          <w:tcPr>
            <w:tcW w:w="0" w:type="auto"/>
            <w:vAlign w:val="center"/>
            <w:hideMark/>
          </w:tcPr>
          <w:p w14:paraId="289ED1B2"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Research Activity</w:t>
            </w:r>
          </w:p>
        </w:tc>
        <w:tc>
          <w:tcPr>
            <w:tcW w:w="0" w:type="auto"/>
            <w:vAlign w:val="center"/>
            <w:hideMark/>
          </w:tcPr>
          <w:p w14:paraId="6FDF5D52"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Week 1</w:t>
            </w:r>
          </w:p>
        </w:tc>
        <w:tc>
          <w:tcPr>
            <w:tcW w:w="0" w:type="auto"/>
            <w:vAlign w:val="center"/>
            <w:hideMark/>
          </w:tcPr>
          <w:p w14:paraId="670C13D0"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Week 2</w:t>
            </w:r>
          </w:p>
        </w:tc>
        <w:tc>
          <w:tcPr>
            <w:tcW w:w="0" w:type="auto"/>
            <w:vAlign w:val="center"/>
            <w:hideMark/>
          </w:tcPr>
          <w:p w14:paraId="55610AAC"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Week 3</w:t>
            </w:r>
          </w:p>
        </w:tc>
        <w:tc>
          <w:tcPr>
            <w:tcW w:w="0" w:type="auto"/>
            <w:vAlign w:val="center"/>
            <w:hideMark/>
          </w:tcPr>
          <w:p w14:paraId="06E348D9"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Week 4</w:t>
            </w:r>
          </w:p>
        </w:tc>
        <w:tc>
          <w:tcPr>
            <w:tcW w:w="0" w:type="auto"/>
            <w:vAlign w:val="center"/>
            <w:hideMark/>
          </w:tcPr>
          <w:p w14:paraId="586E5092"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Week 5</w:t>
            </w:r>
          </w:p>
        </w:tc>
        <w:tc>
          <w:tcPr>
            <w:tcW w:w="0" w:type="auto"/>
            <w:vAlign w:val="center"/>
            <w:hideMark/>
          </w:tcPr>
          <w:p w14:paraId="1B15E388"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Week 6</w:t>
            </w:r>
          </w:p>
        </w:tc>
        <w:tc>
          <w:tcPr>
            <w:tcW w:w="0" w:type="auto"/>
            <w:vAlign w:val="center"/>
            <w:hideMark/>
          </w:tcPr>
          <w:p w14:paraId="31C6A0DD"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Week 7</w:t>
            </w:r>
          </w:p>
        </w:tc>
        <w:tc>
          <w:tcPr>
            <w:tcW w:w="0" w:type="auto"/>
            <w:vAlign w:val="center"/>
            <w:hideMark/>
          </w:tcPr>
          <w:p w14:paraId="2C160A90"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Week 8</w:t>
            </w:r>
          </w:p>
        </w:tc>
        <w:tc>
          <w:tcPr>
            <w:tcW w:w="0" w:type="auto"/>
            <w:vAlign w:val="center"/>
            <w:hideMark/>
          </w:tcPr>
          <w:p w14:paraId="64A00CB4"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Week 9</w:t>
            </w:r>
          </w:p>
        </w:tc>
        <w:tc>
          <w:tcPr>
            <w:tcW w:w="0" w:type="auto"/>
            <w:vAlign w:val="center"/>
            <w:hideMark/>
          </w:tcPr>
          <w:p w14:paraId="6B143FC9"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Week 10</w:t>
            </w:r>
          </w:p>
        </w:tc>
        <w:tc>
          <w:tcPr>
            <w:tcW w:w="0" w:type="auto"/>
            <w:vAlign w:val="center"/>
            <w:hideMark/>
          </w:tcPr>
          <w:p w14:paraId="02DFFF87"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Week 11</w:t>
            </w:r>
          </w:p>
        </w:tc>
        <w:tc>
          <w:tcPr>
            <w:tcW w:w="0" w:type="auto"/>
            <w:vAlign w:val="center"/>
            <w:hideMark/>
          </w:tcPr>
          <w:p w14:paraId="665A9B1C" w14:textId="77777777" w:rsidR="00E172F1" w:rsidRPr="00E462CB" w:rsidRDefault="00E172F1" w:rsidP="00E462CB">
            <w:pPr>
              <w:spacing w:after="160" w:line="360" w:lineRule="auto"/>
              <w:rPr>
                <w:rFonts w:ascii="Arial" w:hAnsi="Arial" w:cs="Arial"/>
                <w:b/>
                <w:bCs/>
                <w:sz w:val="22"/>
                <w:szCs w:val="22"/>
              </w:rPr>
            </w:pPr>
            <w:r w:rsidRPr="00E462CB">
              <w:rPr>
                <w:rFonts w:ascii="Arial" w:hAnsi="Arial" w:cs="Arial"/>
                <w:b/>
                <w:bCs/>
                <w:sz w:val="22"/>
                <w:szCs w:val="22"/>
              </w:rPr>
              <w:t>Week 12</w:t>
            </w:r>
          </w:p>
        </w:tc>
      </w:tr>
      <w:tr w:rsidR="00E172F1" w:rsidRPr="00E462CB" w14:paraId="16F5378F" w14:textId="77777777" w:rsidTr="00E172F1">
        <w:trPr>
          <w:tblCellSpacing w:w="15" w:type="dxa"/>
        </w:trPr>
        <w:tc>
          <w:tcPr>
            <w:tcW w:w="0" w:type="auto"/>
            <w:vAlign w:val="center"/>
            <w:hideMark/>
          </w:tcPr>
          <w:p w14:paraId="5ED0084E"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Confirm research topic and objectives</w:t>
            </w:r>
          </w:p>
        </w:tc>
        <w:tc>
          <w:tcPr>
            <w:tcW w:w="0" w:type="auto"/>
            <w:vAlign w:val="center"/>
            <w:hideMark/>
          </w:tcPr>
          <w:p w14:paraId="6DDB8D72"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1ACE4AF3"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71DFB8E"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4486807"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8CBAEAE"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8F936C2"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BB67988"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2613411"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6174BF6"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6CA09C3"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1FE55F2D"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D80F2F3" w14:textId="77777777" w:rsidR="00E172F1" w:rsidRPr="00E462CB" w:rsidRDefault="00E172F1" w:rsidP="00E462CB">
            <w:pPr>
              <w:spacing w:after="160" w:line="360" w:lineRule="auto"/>
              <w:rPr>
                <w:rFonts w:ascii="Arial" w:hAnsi="Arial" w:cs="Arial"/>
                <w:sz w:val="22"/>
                <w:szCs w:val="22"/>
              </w:rPr>
            </w:pPr>
          </w:p>
        </w:tc>
      </w:tr>
      <w:tr w:rsidR="00E172F1" w:rsidRPr="00E462CB" w14:paraId="136E7167" w14:textId="77777777" w:rsidTr="00E172F1">
        <w:trPr>
          <w:tblCellSpacing w:w="15" w:type="dxa"/>
        </w:trPr>
        <w:tc>
          <w:tcPr>
            <w:tcW w:w="0" w:type="auto"/>
            <w:vAlign w:val="center"/>
            <w:hideMark/>
          </w:tcPr>
          <w:p w14:paraId="58613646"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Conduct background research</w:t>
            </w:r>
          </w:p>
        </w:tc>
        <w:tc>
          <w:tcPr>
            <w:tcW w:w="0" w:type="auto"/>
            <w:vAlign w:val="center"/>
            <w:hideMark/>
          </w:tcPr>
          <w:p w14:paraId="246C06A7"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5F480BBC"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69F707AE"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4EE9CFD"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11097CA4"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3FF542E"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654D2FD1"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D304D39"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10F7DEB"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6A5E5DA9"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13C0C90"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7BAC6EE" w14:textId="77777777" w:rsidR="00E172F1" w:rsidRPr="00E462CB" w:rsidRDefault="00E172F1" w:rsidP="00E462CB">
            <w:pPr>
              <w:spacing w:after="160" w:line="360" w:lineRule="auto"/>
              <w:rPr>
                <w:rFonts w:ascii="Arial" w:hAnsi="Arial" w:cs="Arial"/>
                <w:sz w:val="22"/>
                <w:szCs w:val="22"/>
              </w:rPr>
            </w:pPr>
          </w:p>
        </w:tc>
      </w:tr>
      <w:tr w:rsidR="00E172F1" w:rsidRPr="00E462CB" w14:paraId="50D89BF3" w14:textId="77777777" w:rsidTr="00E172F1">
        <w:trPr>
          <w:tblCellSpacing w:w="15" w:type="dxa"/>
        </w:trPr>
        <w:tc>
          <w:tcPr>
            <w:tcW w:w="0" w:type="auto"/>
            <w:vAlign w:val="center"/>
            <w:hideMark/>
          </w:tcPr>
          <w:p w14:paraId="0F014733"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Complete literature review</w:t>
            </w:r>
          </w:p>
        </w:tc>
        <w:tc>
          <w:tcPr>
            <w:tcW w:w="0" w:type="auto"/>
            <w:vAlign w:val="center"/>
            <w:hideMark/>
          </w:tcPr>
          <w:p w14:paraId="3F152DA5"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A84DCAC"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46128222"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4F172F69"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4782BFE9"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E0935A4"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25BD947"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8AB46A4"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DC1F737"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535D990"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0DE84853"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32B57EB" w14:textId="77777777" w:rsidR="00E172F1" w:rsidRPr="00E462CB" w:rsidRDefault="00E172F1" w:rsidP="00E462CB">
            <w:pPr>
              <w:spacing w:after="160" w:line="360" w:lineRule="auto"/>
              <w:rPr>
                <w:rFonts w:ascii="Arial" w:hAnsi="Arial" w:cs="Arial"/>
                <w:sz w:val="22"/>
                <w:szCs w:val="22"/>
              </w:rPr>
            </w:pPr>
          </w:p>
        </w:tc>
      </w:tr>
      <w:tr w:rsidR="00E172F1" w:rsidRPr="00E462CB" w14:paraId="4F75CD1D" w14:textId="77777777" w:rsidTr="00E172F1">
        <w:trPr>
          <w:tblCellSpacing w:w="15" w:type="dxa"/>
        </w:trPr>
        <w:tc>
          <w:tcPr>
            <w:tcW w:w="0" w:type="auto"/>
            <w:vAlign w:val="center"/>
            <w:hideMark/>
          </w:tcPr>
          <w:p w14:paraId="20E3A15B"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Develop research questions</w:t>
            </w:r>
          </w:p>
        </w:tc>
        <w:tc>
          <w:tcPr>
            <w:tcW w:w="0" w:type="auto"/>
            <w:vAlign w:val="center"/>
            <w:hideMark/>
          </w:tcPr>
          <w:p w14:paraId="57B1DEFF"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DC4CCA7"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61EC11B6"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3870544D"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485ED800"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9916385"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9A3D841"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DAC2806"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0887C65"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1F18FF3E"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1D04AB1E"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7255D36" w14:textId="77777777" w:rsidR="00E172F1" w:rsidRPr="00E462CB" w:rsidRDefault="00E172F1" w:rsidP="00E462CB">
            <w:pPr>
              <w:spacing w:after="160" w:line="360" w:lineRule="auto"/>
              <w:rPr>
                <w:rFonts w:ascii="Arial" w:hAnsi="Arial" w:cs="Arial"/>
                <w:sz w:val="22"/>
                <w:szCs w:val="22"/>
              </w:rPr>
            </w:pPr>
          </w:p>
        </w:tc>
      </w:tr>
      <w:tr w:rsidR="00E172F1" w:rsidRPr="00E462CB" w14:paraId="01C82EB8" w14:textId="77777777" w:rsidTr="00E172F1">
        <w:trPr>
          <w:tblCellSpacing w:w="15" w:type="dxa"/>
        </w:trPr>
        <w:tc>
          <w:tcPr>
            <w:tcW w:w="0" w:type="auto"/>
            <w:vAlign w:val="center"/>
            <w:hideMark/>
          </w:tcPr>
          <w:p w14:paraId="754AABF8"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Design research methodology</w:t>
            </w:r>
          </w:p>
        </w:tc>
        <w:tc>
          <w:tcPr>
            <w:tcW w:w="0" w:type="auto"/>
            <w:vAlign w:val="center"/>
            <w:hideMark/>
          </w:tcPr>
          <w:p w14:paraId="4CB45283"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CCE4A86"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10DD5D7"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1AD166CF"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6E61D489"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3A237498"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D3CC98D"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00D1A5D"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1B92A3E"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79658CD"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DD986DD"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D17B6AF" w14:textId="77777777" w:rsidR="00E172F1" w:rsidRPr="00E462CB" w:rsidRDefault="00E172F1" w:rsidP="00E462CB">
            <w:pPr>
              <w:spacing w:after="160" w:line="360" w:lineRule="auto"/>
              <w:rPr>
                <w:rFonts w:ascii="Arial" w:hAnsi="Arial" w:cs="Arial"/>
                <w:sz w:val="22"/>
                <w:szCs w:val="22"/>
              </w:rPr>
            </w:pPr>
          </w:p>
        </w:tc>
      </w:tr>
      <w:tr w:rsidR="00E172F1" w:rsidRPr="00E462CB" w14:paraId="699F3BBD" w14:textId="77777777" w:rsidTr="00E172F1">
        <w:trPr>
          <w:tblCellSpacing w:w="15" w:type="dxa"/>
        </w:trPr>
        <w:tc>
          <w:tcPr>
            <w:tcW w:w="0" w:type="auto"/>
            <w:vAlign w:val="center"/>
            <w:hideMark/>
          </w:tcPr>
          <w:p w14:paraId="77B505D5"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Prepare questionnaire/interview questions</w:t>
            </w:r>
          </w:p>
        </w:tc>
        <w:tc>
          <w:tcPr>
            <w:tcW w:w="0" w:type="auto"/>
            <w:vAlign w:val="center"/>
            <w:hideMark/>
          </w:tcPr>
          <w:p w14:paraId="76ADB709"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0153D261"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07BA7B54"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1819FFD0"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87799AE"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5F4F7280"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05E88932"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4E3FDD5"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98DB6D5"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CABFD25"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D1B4057"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198049E3" w14:textId="77777777" w:rsidR="00E172F1" w:rsidRPr="00E462CB" w:rsidRDefault="00E172F1" w:rsidP="00E462CB">
            <w:pPr>
              <w:spacing w:after="160" w:line="360" w:lineRule="auto"/>
              <w:rPr>
                <w:rFonts w:ascii="Arial" w:hAnsi="Arial" w:cs="Arial"/>
                <w:sz w:val="22"/>
                <w:szCs w:val="22"/>
              </w:rPr>
            </w:pPr>
          </w:p>
        </w:tc>
      </w:tr>
      <w:tr w:rsidR="00E172F1" w:rsidRPr="00E462CB" w14:paraId="064194A8" w14:textId="77777777" w:rsidTr="00E172F1">
        <w:trPr>
          <w:tblCellSpacing w:w="15" w:type="dxa"/>
        </w:trPr>
        <w:tc>
          <w:tcPr>
            <w:tcW w:w="0" w:type="auto"/>
            <w:vAlign w:val="center"/>
            <w:hideMark/>
          </w:tcPr>
          <w:p w14:paraId="1CC3BD4B"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Collect primary data</w:t>
            </w:r>
          </w:p>
        </w:tc>
        <w:tc>
          <w:tcPr>
            <w:tcW w:w="0" w:type="auto"/>
            <w:vAlign w:val="center"/>
            <w:hideMark/>
          </w:tcPr>
          <w:p w14:paraId="1C41B4D9"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1FC3B111"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16C908D"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CF22D9E"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61CCC94F"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0853BD69"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0F96133B"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0B6C66C0"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58AE7C96"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8EE601B"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BE9CEF1"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3B4B2F1" w14:textId="77777777" w:rsidR="00E172F1" w:rsidRPr="00E462CB" w:rsidRDefault="00E172F1" w:rsidP="00E462CB">
            <w:pPr>
              <w:spacing w:after="160" w:line="360" w:lineRule="auto"/>
              <w:rPr>
                <w:rFonts w:ascii="Arial" w:hAnsi="Arial" w:cs="Arial"/>
                <w:sz w:val="22"/>
                <w:szCs w:val="22"/>
              </w:rPr>
            </w:pPr>
          </w:p>
        </w:tc>
      </w:tr>
      <w:tr w:rsidR="00E172F1" w:rsidRPr="00E462CB" w14:paraId="3F0694CC" w14:textId="77777777" w:rsidTr="00E172F1">
        <w:trPr>
          <w:tblCellSpacing w:w="15" w:type="dxa"/>
        </w:trPr>
        <w:tc>
          <w:tcPr>
            <w:tcW w:w="0" w:type="auto"/>
            <w:vAlign w:val="center"/>
            <w:hideMark/>
          </w:tcPr>
          <w:p w14:paraId="1CF0A0FD"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Analyse research findings</w:t>
            </w:r>
          </w:p>
        </w:tc>
        <w:tc>
          <w:tcPr>
            <w:tcW w:w="0" w:type="auto"/>
            <w:vAlign w:val="center"/>
            <w:hideMark/>
          </w:tcPr>
          <w:p w14:paraId="565CC6FA"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04A4015"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B89489B"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CB3607D"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688970C0"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BB771AE"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7910AAF"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253B9C3"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010A2DAF"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7E873CC1"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532C26F"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759E72E" w14:textId="77777777" w:rsidR="00E172F1" w:rsidRPr="00E462CB" w:rsidRDefault="00E172F1" w:rsidP="00E462CB">
            <w:pPr>
              <w:spacing w:after="160" w:line="360" w:lineRule="auto"/>
              <w:rPr>
                <w:rFonts w:ascii="Arial" w:hAnsi="Arial" w:cs="Arial"/>
                <w:sz w:val="22"/>
                <w:szCs w:val="22"/>
              </w:rPr>
            </w:pPr>
          </w:p>
        </w:tc>
      </w:tr>
      <w:tr w:rsidR="00E172F1" w:rsidRPr="00E462CB" w14:paraId="61C99AB4" w14:textId="77777777" w:rsidTr="00E172F1">
        <w:trPr>
          <w:tblCellSpacing w:w="15" w:type="dxa"/>
        </w:trPr>
        <w:tc>
          <w:tcPr>
            <w:tcW w:w="0" w:type="auto"/>
            <w:vAlign w:val="center"/>
            <w:hideMark/>
          </w:tcPr>
          <w:p w14:paraId="7A871BB7"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Discuss findings against literature</w:t>
            </w:r>
          </w:p>
        </w:tc>
        <w:tc>
          <w:tcPr>
            <w:tcW w:w="0" w:type="auto"/>
            <w:vAlign w:val="center"/>
            <w:hideMark/>
          </w:tcPr>
          <w:p w14:paraId="2C3F31DE"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0F68EB31"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7136C99"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F3A1375"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02093C3C"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7587D46"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8CAB81A"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405ADD6"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18EAD644"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042ABB5C"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766264ED"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7C6D441" w14:textId="77777777" w:rsidR="00E172F1" w:rsidRPr="00E462CB" w:rsidRDefault="00E172F1" w:rsidP="00E462CB">
            <w:pPr>
              <w:spacing w:after="160" w:line="360" w:lineRule="auto"/>
              <w:rPr>
                <w:rFonts w:ascii="Arial" w:hAnsi="Arial" w:cs="Arial"/>
                <w:sz w:val="22"/>
                <w:szCs w:val="22"/>
              </w:rPr>
            </w:pPr>
          </w:p>
        </w:tc>
      </w:tr>
      <w:tr w:rsidR="00E172F1" w:rsidRPr="00E462CB" w14:paraId="639832E5" w14:textId="77777777" w:rsidTr="00E172F1">
        <w:trPr>
          <w:tblCellSpacing w:w="15" w:type="dxa"/>
        </w:trPr>
        <w:tc>
          <w:tcPr>
            <w:tcW w:w="0" w:type="auto"/>
            <w:vAlign w:val="center"/>
            <w:hideMark/>
          </w:tcPr>
          <w:p w14:paraId="0E40C41C"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Write draft research proposal/report</w:t>
            </w:r>
          </w:p>
        </w:tc>
        <w:tc>
          <w:tcPr>
            <w:tcW w:w="0" w:type="auto"/>
            <w:vAlign w:val="center"/>
            <w:hideMark/>
          </w:tcPr>
          <w:p w14:paraId="65B01C0B"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030C2D7"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9AF7AB6"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C037255"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6B45F507"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5D5F8B0"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CB26E8D"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447DF61"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64516301"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150043E"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15BF8110"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6EC701AD" w14:textId="77777777" w:rsidR="00E172F1" w:rsidRPr="00E462CB" w:rsidRDefault="00E172F1" w:rsidP="00E462CB">
            <w:pPr>
              <w:spacing w:after="160" w:line="360" w:lineRule="auto"/>
              <w:rPr>
                <w:rFonts w:ascii="Arial" w:hAnsi="Arial" w:cs="Arial"/>
                <w:sz w:val="22"/>
                <w:szCs w:val="22"/>
              </w:rPr>
            </w:pPr>
          </w:p>
        </w:tc>
      </w:tr>
      <w:tr w:rsidR="00E172F1" w:rsidRPr="00E462CB" w14:paraId="6CC0E9C4" w14:textId="77777777" w:rsidTr="00E172F1">
        <w:trPr>
          <w:tblCellSpacing w:w="15" w:type="dxa"/>
        </w:trPr>
        <w:tc>
          <w:tcPr>
            <w:tcW w:w="0" w:type="auto"/>
            <w:vAlign w:val="center"/>
            <w:hideMark/>
          </w:tcPr>
          <w:p w14:paraId="60E56E81"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 xml:space="preserve">Proofread, edit and </w:t>
            </w:r>
            <w:proofErr w:type="spellStart"/>
            <w:r w:rsidRPr="00E462CB">
              <w:rPr>
                <w:rFonts w:ascii="Arial" w:hAnsi="Arial" w:cs="Arial"/>
                <w:sz w:val="22"/>
                <w:szCs w:val="22"/>
              </w:rPr>
              <w:t>finalise</w:t>
            </w:r>
            <w:proofErr w:type="spellEnd"/>
            <w:r w:rsidRPr="00E462CB">
              <w:rPr>
                <w:rFonts w:ascii="Arial" w:hAnsi="Arial" w:cs="Arial"/>
                <w:sz w:val="22"/>
                <w:szCs w:val="22"/>
              </w:rPr>
              <w:t xml:space="preserve"> work</w:t>
            </w:r>
          </w:p>
        </w:tc>
        <w:tc>
          <w:tcPr>
            <w:tcW w:w="0" w:type="auto"/>
            <w:vAlign w:val="center"/>
            <w:hideMark/>
          </w:tcPr>
          <w:p w14:paraId="5CCD399B"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827DAFB"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C08A9B3"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362FBB0"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75E6999"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C060A8A"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0ECF48FF"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413011AA"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6C2274FB"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00EEB34E"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60615D06"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c>
          <w:tcPr>
            <w:tcW w:w="0" w:type="auto"/>
            <w:vAlign w:val="center"/>
            <w:hideMark/>
          </w:tcPr>
          <w:p w14:paraId="123A9709"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r>
      <w:tr w:rsidR="00E172F1" w:rsidRPr="00E462CB" w14:paraId="7B0F68A5" w14:textId="77777777" w:rsidTr="00E172F1">
        <w:trPr>
          <w:tblCellSpacing w:w="15" w:type="dxa"/>
        </w:trPr>
        <w:tc>
          <w:tcPr>
            <w:tcW w:w="0" w:type="auto"/>
            <w:vAlign w:val="center"/>
            <w:hideMark/>
          </w:tcPr>
          <w:p w14:paraId="3FD4F891"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Final submission</w:t>
            </w:r>
          </w:p>
        </w:tc>
        <w:tc>
          <w:tcPr>
            <w:tcW w:w="0" w:type="auto"/>
            <w:vAlign w:val="center"/>
            <w:hideMark/>
          </w:tcPr>
          <w:p w14:paraId="6850AFF6"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7A7B4FAC"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67AC7B7C"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F0A2394"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303D54F"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651B0ACB"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979F871"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73CFA11"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3952310C"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21306F28"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A25042E" w14:textId="77777777" w:rsidR="00E172F1" w:rsidRPr="00E462CB" w:rsidRDefault="00E172F1" w:rsidP="00E462CB">
            <w:pPr>
              <w:spacing w:after="160" w:line="360" w:lineRule="auto"/>
              <w:rPr>
                <w:rFonts w:ascii="Arial" w:hAnsi="Arial" w:cs="Arial"/>
                <w:sz w:val="22"/>
                <w:szCs w:val="22"/>
              </w:rPr>
            </w:pPr>
          </w:p>
        </w:tc>
        <w:tc>
          <w:tcPr>
            <w:tcW w:w="0" w:type="auto"/>
            <w:vAlign w:val="center"/>
            <w:hideMark/>
          </w:tcPr>
          <w:p w14:paraId="591E50D2" w14:textId="77777777" w:rsidR="00E172F1" w:rsidRPr="00E462CB" w:rsidRDefault="00E172F1" w:rsidP="00E462CB">
            <w:pPr>
              <w:spacing w:after="160" w:line="360" w:lineRule="auto"/>
              <w:rPr>
                <w:rFonts w:ascii="Arial" w:hAnsi="Arial" w:cs="Arial"/>
                <w:sz w:val="22"/>
                <w:szCs w:val="22"/>
              </w:rPr>
            </w:pPr>
            <w:r w:rsidRPr="00E462CB">
              <w:rPr>
                <w:rFonts w:ascii="Arial" w:hAnsi="Arial" w:cs="Arial"/>
                <w:sz w:val="22"/>
                <w:szCs w:val="22"/>
              </w:rPr>
              <w:t>█</w:t>
            </w:r>
          </w:p>
        </w:tc>
      </w:tr>
    </w:tbl>
    <w:p w14:paraId="595EA639" w14:textId="77777777" w:rsidR="00642C4A" w:rsidRPr="00E462CB" w:rsidRDefault="00642C4A" w:rsidP="00E462CB">
      <w:pPr>
        <w:spacing w:line="360" w:lineRule="auto"/>
        <w:rPr>
          <w:rFonts w:ascii="Arial" w:hAnsi="Arial" w:cs="Arial"/>
          <w:sz w:val="22"/>
          <w:szCs w:val="22"/>
        </w:rPr>
        <w:sectPr w:rsidR="00642C4A" w:rsidRPr="00E462CB" w:rsidSect="0023618F">
          <w:footnotePr>
            <w:numRestart w:val="eachSect"/>
          </w:footnotePr>
          <w:pgSz w:w="15840" w:h="12240" w:orient="landscape"/>
          <w:pgMar w:top="1440" w:right="1440" w:bottom="1440" w:left="1440" w:header="720" w:footer="720" w:gutter="0"/>
          <w:cols w:space="720"/>
        </w:sectPr>
      </w:pPr>
    </w:p>
    <w:p w14:paraId="57711247" w14:textId="39F51DCD" w:rsidR="00541F7D" w:rsidRPr="00E462CB" w:rsidRDefault="00C251FB" w:rsidP="00E462CB">
      <w:pPr>
        <w:spacing w:line="360" w:lineRule="auto"/>
        <w:rPr>
          <w:rFonts w:ascii="Arial" w:hAnsi="Arial" w:cs="Arial"/>
          <w:sz w:val="22"/>
          <w:szCs w:val="22"/>
        </w:rPr>
      </w:pPr>
      <w:r w:rsidRPr="00E462CB">
        <w:rPr>
          <w:rFonts w:ascii="Arial" w:hAnsi="Arial" w:cs="Arial"/>
          <w:sz w:val="22"/>
          <w:szCs w:val="22"/>
        </w:rPr>
        <w:lastRenderedPageBreak/>
        <w:t xml:space="preserve">A methodical and practical timetable for the study is displayed in the Gantt chart. While the second step examines academic and industry literature to find gaps, the first stage verifies the topic, goals, and background. After that, the methodology which includes sampling, data gathering and research strategy is devised. </w:t>
      </w:r>
      <w:proofErr w:type="gramStart"/>
      <w:r w:rsidRPr="00E462CB">
        <w:rPr>
          <w:rFonts w:ascii="Arial" w:hAnsi="Arial" w:cs="Arial"/>
          <w:sz w:val="22"/>
          <w:szCs w:val="22"/>
        </w:rPr>
        <w:t>In order to</w:t>
      </w:r>
      <w:proofErr w:type="gramEnd"/>
      <w:r w:rsidRPr="00E462CB">
        <w:rPr>
          <w:rFonts w:ascii="Arial" w:hAnsi="Arial" w:cs="Arial"/>
          <w:sz w:val="22"/>
          <w:szCs w:val="22"/>
        </w:rPr>
        <w:t xml:space="preserve"> give analysis time, primary data collecting occurs in the middle of the project. </w:t>
      </w:r>
      <w:r w:rsidR="00D778E7" w:rsidRPr="00E462CB">
        <w:rPr>
          <w:rFonts w:ascii="Arial" w:hAnsi="Arial" w:cs="Arial"/>
          <w:sz w:val="22"/>
          <w:szCs w:val="22"/>
        </w:rPr>
        <w:t xml:space="preserve">Therefore, to </w:t>
      </w:r>
      <w:r w:rsidRPr="00E462CB">
        <w:rPr>
          <w:rFonts w:ascii="Arial" w:hAnsi="Arial" w:cs="Arial"/>
          <w:sz w:val="22"/>
          <w:szCs w:val="22"/>
        </w:rPr>
        <w:t>submit the proposal by the deadline, the final weeks are devoted to writing, evaluating, and improving it.</w:t>
      </w:r>
    </w:p>
    <w:p w14:paraId="2647A487" w14:textId="068C8258" w:rsidR="00E8758D" w:rsidRPr="00E462CB" w:rsidRDefault="005E0F1C" w:rsidP="00E462CB">
      <w:pPr>
        <w:spacing w:line="360" w:lineRule="auto"/>
        <w:rPr>
          <w:rFonts w:ascii="Arial" w:hAnsi="Arial" w:cs="Arial"/>
          <w:color w:val="156082" w:themeColor="accent1"/>
          <w:sz w:val="22"/>
          <w:szCs w:val="22"/>
        </w:rPr>
      </w:pPr>
      <w:r w:rsidRPr="00E462CB">
        <w:rPr>
          <w:rFonts w:ascii="Arial" w:hAnsi="Arial" w:cs="Arial"/>
          <w:color w:val="156082" w:themeColor="accent1"/>
          <w:sz w:val="22"/>
          <w:szCs w:val="22"/>
        </w:rPr>
        <w:t>4. Result and Analysis</w:t>
      </w:r>
      <w:bookmarkEnd w:id="35"/>
    </w:p>
    <w:p w14:paraId="73C1F7EC" w14:textId="566745FF" w:rsidR="00DC17C8" w:rsidRPr="00E462CB" w:rsidRDefault="00DC17C8" w:rsidP="00E462CB">
      <w:pPr>
        <w:pStyle w:val="BodyText"/>
        <w:spacing w:line="360" w:lineRule="auto"/>
        <w:rPr>
          <w:rFonts w:ascii="Arial" w:hAnsi="Arial" w:cs="Arial"/>
          <w:sz w:val="22"/>
          <w:szCs w:val="22"/>
        </w:rPr>
      </w:pPr>
      <w:r w:rsidRPr="00E462CB">
        <w:rPr>
          <w:rFonts w:ascii="Arial" w:hAnsi="Arial" w:cs="Arial"/>
          <w:sz w:val="22"/>
          <w:szCs w:val="22"/>
        </w:rPr>
        <w:t>Primary results have not yet been gathered because this study is a research proposal. Nonetheless, the anticipated study will look at the main obstacles preventing consumers from purchasing Jaguar Land Rover electric cars. According to current research, a variety of practical, financial, and psychological factors, such as charging infrastructure, vehicle affordability, battery range, resale value, and consumer trust in new technology, influence the adoption of electric vehicles (Egbue and Long, 2012; Rezvani, Jansson, and Bodin, 2015). Customers may worry that electric vehicles won't satisfy their daily driving needs, particularly for long-distance travel or off-road use, which is why range anxiety is still a major problem (Sierzchula et al., 2014).</w:t>
      </w:r>
    </w:p>
    <w:p w14:paraId="679C51C9" w14:textId="3A285BAE" w:rsidR="00E8758D" w:rsidRPr="00E462CB" w:rsidRDefault="00DC17C8" w:rsidP="00E462CB">
      <w:pPr>
        <w:pStyle w:val="BodyText"/>
        <w:spacing w:line="360" w:lineRule="auto"/>
        <w:rPr>
          <w:rFonts w:ascii="Arial" w:hAnsi="Arial" w:cs="Arial"/>
          <w:sz w:val="22"/>
          <w:szCs w:val="22"/>
        </w:rPr>
      </w:pPr>
      <w:r w:rsidRPr="00E462CB">
        <w:rPr>
          <w:rFonts w:ascii="Arial" w:hAnsi="Arial" w:cs="Arial"/>
          <w:sz w:val="22"/>
          <w:szCs w:val="22"/>
        </w:rPr>
        <w:t>Additionally, the study will investigate if adoption is facilitated or hindered by JLR's brand image. Because consumers identify the brand with performance, quality, and design, its luxury reputation may boost confidence. Customers who firmly associate JLR with off-road prowess, heritage, and conventional engines, however, might be less receptive to electric options. Clearer information on charging alternatives, real-world range, ownership costs, and battery guarantees can lower uncertainty and increase purchase intention, therefore customer education is also anticipated to be important (Lemon and Verhoef, 2016). Thus, the study will look at how digital tools, dealership guidance, and post-purchase assistance might boost customer confidence</w:t>
      </w:r>
      <w:r w:rsidR="005E0F1C" w:rsidRPr="00E462CB">
        <w:rPr>
          <w:rFonts w:ascii="Arial" w:hAnsi="Arial" w:cs="Arial"/>
          <w:sz w:val="22"/>
          <w:szCs w:val="22"/>
        </w:rPr>
        <w:t>.</w:t>
      </w:r>
    </w:p>
    <w:p w14:paraId="72FA6DE0" w14:textId="77777777" w:rsidR="00E8758D" w:rsidRPr="00E462CB" w:rsidRDefault="005E0F1C" w:rsidP="00E462CB">
      <w:pPr>
        <w:pStyle w:val="Heading2"/>
        <w:spacing w:line="360" w:lineRule="auto"/>
        <w:rPr>
          <w:rFonts w:ascii="Arial" w:hAnsi="Arial" w:cs="Arial"/>
          <w:sz w:val="22"/>
          <w:szCs w:val="22"/>
        </w:rPr>
      </w:pPr>
      <w:bookmarkStart w:id="37" w:name="_Toc232883001"/>
      <w:bookmarkStart w:id="38" w:name="discussion-and-conclusion"/>
      <w:bookmarkEnd w:id="36"/>
      <w:r w:rsidRPr="00E462CB">
        <w:rPr>
          <w:rFonts w:ascii="Arial" w:hAnsi="Arial" w:cs="Arial"/>
          <w:sz w:val="22"/>
          <w:szCs w:val="22"/>
        </w:rPr>
        <w:t>5. Discussion and Conclusion</w:t>
      </w:r>
      <w:bookmarkEnd w:id="37"/>
    </w:p>
    <w:p w14:paraId="16FFF3BE" w14:textId="273461E7" w:rsidR="00FB5FCC" w:rsidRPr="00E462CB" w:rsidRDefault="00AE00D8" w:rsidP="00E462CB">
      <w:pPr>
        <w:spacing w:line="360" w:lineRule="auto"/>
        <w:rPr>
          <w:rFonts w:ascii="Arial" w:hAnsi="Arial" w:cs="Arial"/>
          <w:sz w:val="22"/>
          <w:szCs w:val="22"/>
        </w:rPr>
      </w:pPr>
      <w:bookmarkStart w:id="39" w:name="_Toc232883002"/>
      <w:bookmarkEnd w:id="38"/>
      <w:r w:rsidRPr="00E462CB">
        <w:rPr>
          <w:rFonts w:ascii="Arial" w:hAnsi="Arial" w:cs="Arial"/>
          <w:sz w:val="22"/>
          <w:szCs w:val="22"/>
        </w:rPr>
        <w:t>Because JLR's electrification strategy depends on customer acceptance in addition to engineering capability, product innovation, and manufacturing investment, this research has substantial practical importance. Adoption of electric vehicles is impacted by technological, financial, behavioural, and emotional variables; hence, even sophisticated vehicles may face difficulties if consumers believe they fall short of their expectations, values, or lifestyle requirements (Egbue and Long, 2012; Rezvani, Jansson, and Bodin, 2015). Customers identify JLR with luxury, performance, off-road capability, and heritage, thus this is particularly crucial</w:t>
      </w:r>
      <w:r w:rsidR="00FB5FCC" w:rsidRPr="00E462CB">
        <w:rPr>
          <w:rFonts w:ascii="Arial" w:hAnsi="Arial" w:cs="Arial"/>
          <w:sz w:val="22"/>
          <w:szCs w:val="22"/>
        </w:rPr>
        <w:t>.</w:t>
      </w:r>
    </w:p>
    <w:p w14:paraId="3AE90D6B" w14:textId="22F1FF22" w:rsidR="00FD3FB7" w:rsidRPr="00E462CB" w:rsidRDefault="00570654" w:rsidP="00E462CB">
      <w:pPr>
        <w:spacing w:line="360" w:lineRule="auto"/>
        <w:rPr>
          <w:rFonts w:ascii="Arial" w:eastAsiaTheme="majorEastAsia" w:hAnsi="Arial" w:cs="Arial"/>
          <w:color w:val="0F4761" w:themeColor="accent1" w:themeShade="BF"/>
          <w:sz w:val="22"/>
          <w:szCs w:val="22"/>
        </w:rPr>
      </w:pPr>
      <w:r w:rsidRPr="00E462CB">
        <w:rPr>
          <w:rFonts w:ascii="Arial" w:hAnsi="Arial" w:cs="Arial"/>
          <w:sz w:val="22"/>
          <w:szCs w:val="22"/>
        </w:rPr>
        <w:lastRenderedPageBreak/>
        <w:t>The analysis might assist JLR in determining which adoption obstacles need immediate strategic attention. JLR may enhance information regarding real-world range, battery performance, route planning, and charging alliances if range anxiety is a major problem. Clearer customer guidance is crucial because EV adoption is influenced by perceived simplicity and charging infrastructure (Sierzchula et al., 2014). JLR could advertise long-term savings, residual value guarantees, financing packages, and total cost of ownership if cost is the primary priority.</w:t>
      </w:r>
      <w:r w:rsidRPr="00E462CB">
        <w:rPr>
          <w:rFonts w:ascii="Arial" w:hAnsi="Arial" w:cs="Arial"/>
          <w:sz w:val="22"/>
          <w:szCs w:val="22"/>
        </w:rPr>
        <w:br/>
      </w:r>
      <w:r w:rsidRPr="00E462CB">
        <w:rPr>
          <w:rFonts w:ascii="Arial" w:hAnsi="Arial" w:cs="Arial"/>
          <w:sz w:val="22"/>
          <w:szCs w:val="22"/>
        </w:rPr>
        <w:br/>
      </w:r>
      <w:r w:rsidR="000B06E7" w:rsidRPr="00E462CB">
        <w:rPr>
          <w:rFonts w:ascii="Arial" w:hAnsi="Arial" w:cs="Arial"/>
          <w:sz w:val="22"/>
          <w:szCs w:val="22"/>
        </w:rPr>
        <w:t>Additionally, pre-purchase information, dealership support, product use, and after-sales care could all be enhanced by the research (Lemon and Verhoef, 2016). All things considered, the study can offer useful suggestions to help JLR's Reimagine approach.</w:t>
      </w:r>
      <w:r w:rsidR="00FD3FB7" w:rsidRPr="00E462CB">
        <w:rPr>
          <w:rFonts w:ascii="Arial" w:hAnsi="Arial" w:cs="Arial"/>
          <w:sz w:val="22"/>
          <w:szCs w:val="22"/>
        </w:rPr>
        <w:br w:type="page"/>
      </w:r>
    </w:p>
    <w:p w14:paraId="0F8C18DF" w14:textId="4DD9E312" w:rsidR="00E8758D" w:rsidRPr="00E462CB" w:rsidRDefault="005E0F1C" w:rsidP="00E462CB">
      <w:pPr>
        <w:pStyle w:val="Heading2"/>
        <w:spacing w:line="360" w:lineRule="auto"/>
        <w:rPr>
          <w:rFonts w:ascii="Arial" w:hAnsi="Arial" w:cs="Arial"/>
          <w:sz w:val="22"/>
          <w:szCs w:val="22"/>
        </w:rPr>
      </w:pPr>
      <w:r w:rsidRPr="00E462CB">
        <w:rPr>
          <w:rFonts w:ascii="Arial" w:hAnsi="Arial" w:cs="Arial"/>
          <w:sz w:val="22"/>
          <w:szCs w:val="22"/>
        </w:rPr>
        <w:lastRenderedPageBreak/>
        <w:t>6. References</w:t>
      </w:r>
      <w:bookmarkStart w:id="40" w:name="references"/>
      <w:bookmarkEnd w:id="39"/>
    </w:p>
    <w:p w14:paraId="6194E80D"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Ajzen, I. (1991) ‘The theory of planned behaviour’, </w:t>
      </w:r>
      <w:r w:rsidRPr="00E462CB">
        <w:rPr>
          <w:rStyle w:val="Emphasis"/>
          <w:rFonts w:ascii="Arial" w:hAnsi="Arial" w:cs="Arial"/>
          <w:sz w:val="22"/>
          <w:szCs w:val="22"/>
        </w:rPr>
        <w:t xml:space="preserve">Organizational </w:t>
      </w:r>
      <w:proofErr w:type="spellStart"/>
      <w:r w:rsidRPr="00E462CB">
        <w:rPr>
          <w:rStyle w:val="Emphasis"/>
          <w:rFonts w:ascii="Arial" w:hAnsi="Arial" w:cs="Arial"/>
          <w:sz w:val="22"/>
          <w:szCs w:val="22"/>
        </w:rPr>
        <w:t>Behavior</w:t>
      </w:r>
      <w:proofErr w:type="spellEnd"/>
      <w:r w:rsidRPr="00E462CB">
        <w:rPr>
          <w:rStyle w:val="Emphasis"/>
          <w:rFonts w:ascii="Arial" w:hAnsi="Arial" w:cs="Arial"/>
          <w:sz w:val="22"/>
          <w:szCs w:val="22"/>
        </w:rPr>
        <w:t xml:space="preserve"> and Human Decision Processes</w:t>
      </w:r>
      <w:r w:rsidRPr="00E462CB">
        <w:rPr>
          <w:rFonts w:ascii="Arial" w:hAnsi="Arial" w:cs="Arial"/>
          <w:sz w:val="22"/>
          <w:szCs w:val="22"/>
        </w:rPr>
        <w:t>, 50(2), pp. 179–211.</w:t>
      </w:r>
    </w:p>
    <w:p w14:paraId="2897342F"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Bamberg, S. and Schmidt, P. (2003) ‘Incentives, morality, or habit? Predicting students’ car use for university routes with the models of Ajzen, Schwartz, and </w:t>
      </w:r>
      <w:proofErr w:type="spellStart"/>
      <w:r w:rsidRPr="00E462CB">
        <w:rPr>
          <w:rFonts w:ascii="Arial" w:hAnsi="Arial" w:cs="Arial"/>
          <w:sz w:val="22"/>
          <w:szCs w:val="22"/>
        </w:rPr>
        <w:t>Triandis</w:t>
      </w:r>
      <w:proofErr w:type="spellEnd"/>
      <w:r w:rsidRPr="00E462CB">
        <w:rPr>
          <w:rFonts w:ascii="Arial" w:hAnsi="Arial" w:cs="Arial"/>
          <w:sz w:val="22"/>
          <w:szCs w:val="22"/>
        </w:rPr>
        <w:t xml:space="preserve">’, </w:t>
      </w:r>
      <w:r w:rsidRPr="00E462CB">
        <w:rPr>
          <w:rStyle w:val="Emphasis"/>
          <w:rFonts w:ascii="Arial" w:hAnsi="Arial" w:cs="Arial"/>
          <w:sz w:val="22"/>
          <w:szCs w:val="22"/>
        </w:rPr>
        <w:t xml:space="preserve">Environment and </w:t>
      </w:r>
      <w:proofErr w:type="spellStart"/>
      <w:r w:rsidRPr="00E462CB">
        <w:rPr>
          <w:rStyle w:val="Emphasis"/>
          <w:rFonts w:ascii="Arial" w:hAnsi="Arial" w:cs="Arial"/>
          <w:sz w:val="22"/>
          <w:szCs w:val="22"/>
        </w:rPr>
        <w:t>Behavior</w:t>
      </w:r>
      <w:proofErr w:type="spellEnd"/>
      <w:r w:rsidRPr="00E462CB">
        <w:rPr>
          <w:rFonts w:ascii="Arial" w:hAnsi="Arial" w:cs="Arial"/>
          <w:sz w:val="22"/>
          <w:szCs w:val="22"/>
        </w:rPr>
        <w:t>, 35(2), pp. 264–285.</w:t>
      </w:r>
    </w:p>
    <w:p w14:paraId="4BB9B369"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Braun, V. and Clarke, V. (2006) ‘Using thematic analysis in psychology’, </w:t>
      </w:r>
      <w:r w:rsidRPr="00E462CB">
        <w:rPr>
          <w:rStyle w:val="Emphasis"/>
          <w:rFonts w:ascii="Arial" w:hAnsi="Arial" w:cs="Arial"/>
          <w:sz w:val="22"/>
          <w:szCs w:val="22"/>
        </w:rPr>
        <w:t>Qualitative Research in Psychology</w:t>
      </w:r>
      <w:r w:rsidRPr="00E462CB">
        <w:rPr>
          <w:rFonts w:ascii="Arial" w:hAnsi="Arial" w:cs="Arial"/>
          <w:sz w:val="22"/>
          <w:szCs w:val="22"/>
        </w:rPr>
        <w:t>, 3(2), pp. 77–101.</w:t>
      </w:r>
    </w:p>
    <w:p w14:paraId="2E248FCC"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Bryman, A. (2016) </w:t>
      </w:r>
      <w:r w:rsidRPr="00E462CB">
        <w:rPr>
          <w:rStyle w:val="Emphasis"/>
          <w:rFonts w:ascii="Arial" w:hAnsi="Arial" w:cs="Arial"/>
          <w:sz w:val="22"/>
          <w:szCs w:val="22"/>
        </w:rPr>
        <w:t>Social Research Methods</w:t>
      </w:r>
      <w:r w:rsidRPr="00E462CB">
        <w:rPr>
          <w:rFonts w:ascii="Arial" w:hAnsi="Arial" w:cs="Arial"/>
          <w:sz w:val="22"/>
          <w:szCs w:val="22"/>
        </w:rPr>
        <w:t xml:space="preserve">. 5th </w:t>
      </w:r>
      <w:proofErr w:type="spellStart"/>
      <w:r w:rsidRPr="00E462CB">
        <w:rPr>
          <w:rFonts w:ascii="Arial" w:hAnsi="Arial" w:cs="Arial"/>
          <w:sz w:val="22"/>
          <w:szCs w:val="22"/>
        </w:rPr>
        <w:t>edn</w:t>
      </w:r>
      <w:proofErr w:type="spellEnd"/>
      <w:r w:rsidRPr="00E462CB">
        <w:rPr>
          <w:rFonts w:ascii="Arial" w:hAnsi="Arial" w:cs="Arial"/>
          <w:sz w:val="22"/>
          <w:szCs w:val="22"/>
        </w:rPr>
        <w:t>. Oxford: Oxford University Press.</w:t>
      </w:r>
    </w:p>
    <w:p w14:paraId="4BAD57FB"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Bubeck, S., Tomaschek, J. and Fahl, U. (2016) ‘Perspectives of electric mobility: Total cost of ownership of electric vehicles in Germany’, </w:t>
      </w:r>
      <w:r w:rsidRPr="00E462CB">
        <w:rPr>
          <w:rStyle w:val="Emphasis"/>
          <w:rFonts w:ascii="Arial" w:hAnsi="Arial" w:cs="Arial"/>
          <w:sz w:val="22"/>
          <w:szCs w:val="22"/>
        </w:rPr>
        <w:t>Transport Policy</w:t>
      </w:r>
      <w:r w:rsidRPr="00E462CB">
        <w:rPr>
          <w:rFonts w:ascii="Arial" w:hAnsi="Arial" w:cs="Arial"/>
          <w:sz w:val="22"/>
          <w:szCs w:val="22"/>
        </w:rPr>
        <w:t>, 50, pp. 63–77.</w:t>
      </w:r>
    </w:p>
    <w:p w14:paraId="54150DFA"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Cox Automotive (2026) </w:t>
      </w:r>
      <w:r w:rsidRPr="00E462CB">
        <w:rPr>
          <w:rStyle w:val="Emphasis"/>
          <w:rFonts w:ascii="Arial" w:hAnsi="Arial" w:cs="Arial"/>
          <w:sz w:val="22"/>
          <w:szCs w:val="22"/>
        </w:rPr>
        <w:t>UK EV Adoption and Perceptions Report 2026</w:t>
      </w:r>
      <w:r w:rsidRPr="00E462CB">
        <w:rPr>
          <w:rFonts w:ascii="Arial" w:hAnsi="Arial" w:cs="Arial"/>
          <w:sz w:val="22"/>
          <w:szCs w:val="22"/>
        </w:rPr>
        <w:t xml:space="preserve">. Available at: </w:t>
      </w:r>
      <w:hyperlink r:id="rId10" w:history="1">
        <w:r w:rsidRPr="00E462CB">
          <w:rPr>
            <w:rStyle w:val="Hyperlink"/>
            <w:rFonts w:ascii="Arial" w:hAnsi="Arial" w:cs="Arial"/>
            <w:sz w:val="22"/>
            <w:szCs w:val="22"/>
          </w:rPr>
          <w:t>https://www.coxautoinc.eu/ev-hub/industry-ev-hub/resources/2026-uk-ev-adoption-and-perceptions-report/</w:t>
        </w:r>
      </w:hyperlink>
      <w:r w:rsidRPr="00E462CB">
        <w:rPr>
          <w:rFonts w:ascii="Arial" w:hAnsi="Arial" w:cs="Arial"/>
          <w:sz w:val="22"/>
          <w:szCs w:val="22"/>
        </w:rPr>
        <w:t xml:space="preserve"> (Accessed: 20 June 2026).</w:t>
      </w:r>
    </w:p>
    <w:p w14:paraId="46C608D6"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Davis, F.D. (1989) ‘Perceived usefulness, perceived ease of use, and user acceptance of information technology’, </w:t>
      </w:r>
      <w:r w:rsidRPr="00E462CB">
        <w:rPr>
          <w:rStyle w:val="Emphasis"/>
          <w:rFonts w:ascii="Arial" w:hAnsi="Arial" w:cs="Arial"/>
          <w:sz w:val="22"/>
          <w:szCs w:val="22"/>
        </w:rPr>
        <w:t>MIS Quarterly</w:t>
      </w:r>
      <w:r w:rsidRPr="00E462CB">
        <w:rPr>
          <w:rFonts w:ascii="Arial" w:hAnsi="Arial" w:cs="Arial"/>
          <w:sz w:val="22"/>
          <w:szCs w:val="22"/>
        </w:rPr>
        <w:t>, 13(3), pp. 319–340.</w:t>
      </w:r>
    </w:p>
    <w:p w14:paraId="364DCB7D"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Egbue, O. and Long, S. (2012) ‘Barriers to widespread adoption of electric vehicles: An analysis of consumer attitudes and perceptions’, </w:t>
      </w:r>
      <w:r w:rsidRPr="00E462CB">
        <w:rPr>
          <w:rStyle w:val="Emphasis"/>
          <w:rFonts w:ascii="Arial" w:hAnsi="Arial" w:cs="Arial"/>
          <w:sz w:val="22"/>
          <w:szCs w:val="22"/>
        </w:rPr>
        <w:t>Energy Policy</w:t>
      </w:r>
      <w:r w:rsidRPr="00E462CB">
        <w:rPr>
          <w:rFonts w:ascii="Arial" w:hAnsi="Arial" w:cs="Arial"/>
          <w:sz w:val="22"/>
          <w:szCs w:val="22"/>
        </w:rPr>
        <w:t>, 48, pp. 717–729.</w:t>
      </w:r>
    </w:p>
    <w:p w14:paraId="61845AC4"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Gnann, T., Plötz, P. and Wietschel, M. (2015) ‘How to address the chicken-egg-problem of electric vehicles? Introducing an interaction market diffusion model for EVs and charging infrastructure’, </w:t>
      </w:r>
      <w:r w:rsidRPr="00E462CB">
        <w:rPr>
          <w:rStyle w:val="Emphasis"/>
          <w:rFonts w:ascii="Arial" w:hAnsi="Arial" w:cs="Arial"/>
          <w:sz w:val="22"/>
          <w:szCs w:val="22"/>
        </w:rPr>
        <w:t>Transportation Research Part A: Policy and Practice</w:t>
      </w:r>
      <w:r w:rsidRPr="00E462CB">
        <w:rPr>
          <w:rFonts w:ascii="Arial" w:hAnsi="Arial" w:cs="Arial"/>
          <w:sz w:val="22"/>
          <w:szCs w:val="22"/>
        </w:rPr>
        <w:t>, 77, pp. 63–79.</w:t>
      </w:r>
    </w:p>
    <w:p w14:paraId="2D9B01AC"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Hardman, S., Shiu, E. and Steinberger-Wilckens, R. (2016) ‘Comparing high-end and low-end early adopters of battery electric vehicles’, </w:t>
      </w:r>
      <w:r w:rsidRPr="00E462CB">
        <w:rPr>
          <w:rStyle w:val="Emphasis"/>
          <w:rFonts w:ascii="Arial" w:hAnsi="Arial" w:cs="Arial"/>
          <w:sz w:val="22"/>
          <w:szCs w:val="22"/>
        </w:rPr>
        <w:t>Transportation Research Part A: Policy and Practice</w:t>
      </w:r>
      <w:r w:rsidRPr="00E462CB">
        <w:rPr>
          <w:rFonts w:ascii="Arial" w:hAnsi="Arial" w:cs="Arial"/>
          <w:sz w:val="22"/>
          <w:szCs w:val="22"/>
        </w:rPr>
        <w:t>, 88, pp. 40–57.</w:t>
      </w:r>
    </w:p>
    <w:p w14:paraId="2E9BEF9D"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International Energy Agency (2024) </w:t>
      </w:r>
      <w:r w:rsidRPr="00E462CB">
        <w:rPr>
          <w:rStyle w:val="Emphasis"/>
          <w:rFonts w:ascii="Arial" w:hAnsi="Arial" w:cs="Arial"/>
          <w:sz w:val="22"/>
          <w:szCs w:val="22"/>
        </w:rPr>
        <w:t>Global EV Outlook 2024</w:t>
      </w:r>
      <w:r w:rsidRPr="00E462CB">
        <w:rPr>
          <w:rFonts w:ascii="Arial" w:hAnsi="Arial" w:cs="Arial"/>
          <w:sz w:val="22"/>
          <w:szCs w:val="22"/>
        </w:rPr>
        <w:t>. Paris: IEA.</w:t>
      </w:r>
    </w:p>
    <w:p w14:paraId="2F44227E"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JLR (2024) </w:t>
      </w:r>
      <w:r w:rsidRPr="00E462CB">
        <w:rPr>
          <w:rStyle w:val="Emphasis"/>
          <w:rFonts w:ascii="Arial" w:hAnsi="Arial" w:cs="Arial"/>
          <w:sz w:val="22"/>
          <w:szCs w:val="22"/>
        </w:rPr>
        <w:t>Annual Report 2024</w:t>
      </w:r>
      <w:r w:rsidRPr="00E462CB">
        <w:rPr>
          <w:rFonts w:ascii="Arial" w:hAnsi="Arial" w:cs="Arial"/>
          <w:sz w:val="22"/>
          <w:szCs w:val="22"/>
        </w:rPr>
        <w:t xml:space="preserve">. Available at: </w:t>
      </w:r>
      <w:hyperlink r:id="rId11" w:history="1">
        <w:r w:rsidRPr="00E462CB">
          <w:rPr>
            <w:rStyle w:val="Hyperlink"/>
            <w:rFonts w:ascii="Arial" w:hAnsi="Arial" w:cs="Arial"/>
            <w:sz w:val="22"/>
            <w:szCs w:val="22"/>
          </w:rPr>
          <w:t>https://www.jlr.com/annual-report-2024</w:t>
        </w:r>
      </w:hyperlink>
      <w:r w:rsidRPr="00E462CB">
        <w:rPr>
          <w:rFonts w:ascii="Arial" w:hAnsi="Arial" w:cs="Arial"/>
          <w:sz w:val="22"/>
          <w:szCs w:val="22"/>
        </w:rPr>
        <w:t xml:space="preserve"> (Accessed: 20 June 2026).</w:t>
      </w:r>
    </w:p>
    <w:p w14:paraId="63EC080C"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JLR (2025) </w:t>
      </w:r>
      <w:r w:rsidRPr="00E462CB">
        <w:rPr>
          <w:rStyle w:val="Emphasis"/>
          <w:rFonts w:ascii="Arial" w:hAnsi="Arial" w:cs="Arial"/>
          <w:sz w:val="22"/>
          <w:szCs w:val="22"/>
        </w:rPr>
        <w:t>Annual Report 2025</w:t>
      </w:r>
      <w:r w:rsidRPr="00E462CB">
        <w:rPr>
          <w:rFonts w:ascii="Arial" w:hAnsi="Arial" w:cs="Arial"/>
          <w:sz w:val="22"/>
          <w:szCs w:val="22"/>
        </w:rPr>
        <w:t xml:space="preserve">. Available at: </w:t>
      </w:r>
      <w:hyperlink r:id="rId12" w:history="1">
        <w:r w:rsidRPr="00E462CB">
          <w:rPr>
            <w:rStyle w:val="Hyperlink"/>
            <w:rFonts w:ascii="Arial" w:hAnsi="Arial" w:cs="Arial"/>
            <w:sz w:val="22"/>
            <w:szCs w:val="22"/>
          </w:rPr>
          <w:t>https://www.jlr.com/annual-report-2025</w:t>
        </w:r>
      </w:hyperlink>
      <w:r w:rsidRPr="00E462CB">
        <w:rPr>
          <w:rFonts w:ascii="Arial" w:hAnsi="Arial" w:cs="Arial"/>
          <w:sz w:val="22"/>
          <w:szCs w:val="22"/>
        </w:rPr>
        <w:t xml:space="preserve"> (Accessed: 20 June 2026).</w:t>
      </w:r>
    </w:p>
    <w:p w14:paraId="70FDB11D"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JLR (2026) </w:t>
      </w:r>
      <w:r w:rsidRPr="00E462CB">
        <w:rPr>
          <w:rStyle w:val="Emphasis"/>
          <w:rFonts w:ascii="Arial" w:hAnsi="Arial" w:cs="Arial"/>
          <w:sz w:val="22"/>
          <w:szCs w:val="22"/>
        </w:rPr>
        <w:t>Reimagine Strategy</w:t>
      </w:r>
      <w:r w:rsidRPr="00E462CB">
        <w:rPr>
          <w:rFonts w:ascii="Arial" w:hAnsi="Arial" w:cs="Arial"/>
          <w:sz w:val="22"/>
          <w:szCs w:val="22"/>
        </w:rPr>
        <w:t xml:space="preserve">. Available at: </w:t>
      </w:r>
      <w:hyperlink r:id="rId13" w:history="1">
        <w:r w:rsidRPr="00E462CB">
          <w:rPr>
            <w:rStyle w:val="Hyperlink"/>
            <w:rFonts w:ascii="Arial" w:hAnsi="Arial" w:cs="Arial"/>
            <w:sz w:val="22"/>
            <w:szCs w:val="22"/>
          </w:rPr>
          <w:t>https://www.jlr.com/reimagine</w:t>
        </w:r>
      </w:hyperlink>
      <w:r w:rsidRPr="00E462CB">
        <w:rPr>
          <w:rFonts w:ascii="Arial" w:hAnsi="Arial" w:cs="Arial"/>
          <w:sz w:val="22"/>
          <w:szCs w:val="22"/>
        </w:rPr>
        <w:t xml:space="preserve"> (Accessed: 20 June 2026).</w:t>
      </w:r>
    </w:p>
    <w:p w14:paraId="4F808FEF"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lastRenderedPageBreak/>
        <w:t xml:space="preserve">Kotler, P., Keller, K.L. and Chernev, A. (2022) </w:t>
      </w:r>
      <w:r w:rsidRPr="00E462CB">
        <w:rPr>
          <w:rStyle w:val="Emphasis"/>
          <w:rFonts w:ascii="Arial" w:hAnsi="Arial" w:cs="Arial"/>
          <w:sz w:val="22"/>
          <w:szCs w:val="22"/>
        </w:rPr>
        <w:t>Marketing Management</w:t>
      </w:r>
      <w:r w:rsidRPr="00E462CB">
        <w:rPr>
          <w:rFonts w:ascii="Arial" w:hAnsi="Arial" w:cs="Arial"/>
          <w:sz w:val="22"/>
          <w:szCs w:val="22"/>
        </w:rPr>
        <w:t xml:space="preserve">. 16th </w:t>
      </w:r>
      <w:proofErr w:type="spellStart"/>
      <w:r w:rsidRPr="00E462CB">
        <w:rPr>
          <w:rFonts w:ascii="Arial" w:hAnsi="Arial" w:cs="Arial"/>
          <w:sz w:val="22"/>
          <w:szCs w:val="22"/>
        </w:rPr>
        <w:t>edn</w:t>
      </w:r>
      <w:proofErr w:type="spellEnd"/>
      <w:r w:rsidRPr="00E462CB">
        <w:rPr>
          <w:rFonts w:ascii="Arial" w:hAnsi="Arial" w:cs="Arial"/>
          <w:sz w:val="22"/>
          <w:szCs w:val="22"/>
        </w:rPr>
        <w:t>. Harlow: Pearson.</w:t>
      </w:r>
    </w:p>
    <w:p w14:paraId="121E9AF8"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Lemon, K.N. and Verhoef, P.C. (2016) ‘Understanding customer experience throughout the customer journey’, </w:t>
      </w:r>
      <w:r w:rsidRPr="00E462CB">
        <w:rPr>
          <w:rStyle w:val="Emphasis"/>
          <w:rFonts w:ascii="Arial" w:hAnsi="Arial" w:cs="Arial"/>
          <w:sz w:val="22"/>
          <w:szCs w:val="22"/>
        </w:rPr>
        <w:t>Journal of Marketing</w:t>
      </w:r>
      <w:r w:rsidRPr="00E462CB">
        <w:rPr>
          <w:rFonts w:ascii="Arial" w:hAnsi="Arial" w:cs="Arial"/>
          <w:sz w:val="22"/>
          <w:szCs w:val="22"/>
        </w:rPr>
        <w:t>, 80(6), pp. 69–96.</w:t>
      </w:r>
    </w:p>
    <w:p w14:paraId="3B2BD916"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Llopis-Albert, C., Rubio, F. and Valero, F. (2021) ‘Impact of digital transformation on the automotive industry’, </w:t>
      </w:r>
      <w:r w:rsidRPr="00E462CB">
        <w:rPr>
          <w:rStyle w:val="Emphasis"/>
          <w:rFonts w:ascii="Arial" w:hAnsi="Arial" w:cs="Arial"/>
          <w:sz w:val="22"/>
          <w:szCs w:val="22"/>
        </w:rPr>
        <w:t>Technological Forecasting and Social Change</w:t>
      </w:r>
      <w:r w:rsidRPr="00E462CB">
        <w:rPr>
          <w:rFonts w:ascii="Arial" w:hAnsi="Arial" w:cs="Arial"/>
          <w:sz w:val="22"/>
          <w:szCs w:val="22"/>
        </w:rPr>
        <w:t>, 162, pp. 1–10.</w:t>
      </w:r>
    </w:p>
    <w:p w14:paraId="1C33F54A"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Moons, I. and De Pelsmacker, P. (2012) ‘Emotions as determinants of electric car usage intention’, </w:t>
      </w:r>
      <w:r w:rsidRPr="00E462CB">
        <w:rPr>
          <w:rStyle w:val="Emphasis"/>
          <w:rFonts w:ascii="Arial" w:hAnsi="Arial" w:cs="Arial"/>
          <w:sz w:val="22"/>
          <w:szCs w:val="22"/>
        </w:rPr>
        <w:t>Journal of Marketing Management</w:t>
      </w:r>
      <w:r w:rsidRPr="00E462CB">
        <w:rPr>
          <w:rFonts w:ascii="Arial" w:hAnsi="Arial" w:cs="Arial"/>
          <w:sz w:val="22"/>
          <w:szCs w:val="22"/>
        </w:rPr>
        <w:t>, 28(3–4), pp. 195–237.</w:t>
      </w:r>
    </w:p>
    <w:p w14:paraId="1055D8A0"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PwC (2025) </w:t>
      </w:r>
      <w:r w:rsidRPr="00E462CB">
        <w:rPr>
          <w:rStyle w:val="Emphasis"/>
          <w:rFonts w:ascii="Arial" w:hAnsi="Arial" w:cs="Arial"/>
          <w:sz w:val="22"/>
          <w:szCs w:val="22"/>
        </w:rPr>
        <w:t>Electric Vehicle Adoption Across the UK</w:t>
      </w:r>
      <w:r w:rsidRPr="00E462CB">
        <w:rPr>
          <w:rFonts w:ascii="Arial" w:hAnsi="Arial" w:cs="Arial"/>
          <w:sz w:val="22"/>
          <w:szCs w:val="22"/>
        </w:rPr>
        <w:t xml:space="preserve">. Available at: </w:t>
      </w:r>
      <w:hyperlink r:id="rId14" w:history="1">
        <w:r w:rsidRPr="00E462CB">
          <w:rPr>
            <w:rStyle w:val="Hyperlink"/>
            <w:rFonts w:ascii="Arial" w:hAnsi="Arial" w:cs="Arial"/>
            <w:sz w:val="22"/>
            <w:szCs w:val="22"/>
          </w:rPr>
          <w:t>https://www.pwc.co.uk/press-room/press-releases/electric-vehicle-adoption-across-the-uk-bouncing-back–shows-pwc.html</w:t>
        </w:r>
      </w:hyperlink>
      <w:r w:rsidRPr="00E462CB">
        <w:rPr>
          <w:rFonts w:ascii="Arial" w:hAnsi="Arial" w:cs="Arial"/>
          <w:sz w:val="22"/>
          <w:szCs w:val="22"/>
        </w:rPr>
        <w:t xml:space="preserve"> (Accessed: 20 June 2026).</w:t>
      </w:r>
    </w:p>
    <w:p w14:paraId="48642334"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Reuters (2026) </w:t>
      </w:r>
      <w:r w:rsidRPr="00E462CB">
        <w:rPr>
          <w:rStyle w:val="Emphasis"/>
          <w:rFonts w:ascii="Arial" w:hAnsi="Arial" w:cs="Arial"/>
          <w:sz w:val="22"/>
          <w:szCs w:val="22"/>
        </w:rPr>
        <w:t>JLR Targets Growth Through Propulsion Flexibility</w:t>
      </w:r>
      <w:r w:rsidRPr="00E462CB">
        <w:rPr>
          <w:rFonts w:ascii="Arial" w:hAnsi="Arial" w:cs="Arial"/>
          <w:sz w:val="22"/>
          <w:szCs w:val="22"/>
        </w:rPr>
        <w:t xml:space="preserve">. Available at: </w:t>
      </w:r>
      <w:hyperlink r:id="rId15" w:history="1">
        <w:r w:rsidRPr="00E462CB">
          <w:rPr>
            <w:rStyle w:val="Hyperlink"/>
            <w:rFonts w:ascii="Arial" w:hAnsi="Arial" w:cs="Arial"/>
            <w:sz w:val="22"/>
            <w:szCs w:val="22"/>
          </w:rPr>
          <w:t>https://www.reuters.com/business/autos-transportation/</w:t>
        </w:r>
      </w:hyperlink>
      <w:r w:rsidRPr="00E462CB">
        <w:rPr>
          <w:rFonts w:ascii="Arial" w:hAnsi="Arial" w:cs="Arial"/>
          <w:sz w:val="22"/>
          <w:szCs w:val="22"/>
        </w:rPr>
        <w:t xml:space="preserve"> (Accessed: 20 June 2026).</w:t>
      </w:r>
    </w:p>
    <w:p w14:paraId="44A75AC1"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Rezvani, Z., Jansson, J. and Bodin, J. (2015) ‘Advances in consumer electric vehicle adoption research: A review and research agenda’, </w:t>
      </w:r>
      <w:r w:rsidRPr="00E462CB">
        <w:rPr>
          <w:rStyle w:val="Emphasis"/>
          <w:rFonts w:ascii="Arial" w:hAnsi="Arial" w:cs="Arial"/>
          <w:sz w:val="22"/>
          <w:szCs w:val="22"/>
        </w:rPr>
        <w:t>Transportation Research Part D: Transport and Environment</w:t>
      </w:r>
      <w:r w:rsidRPr="00E462CB">
        <w:rPr>
          <w:rFonts w:ascii="Arial" w:hAnsi="Arial" w:cs="Arial"/>
          <w:sz w:val="22"/>
          <w:szCs w:val="22"/>
        </w:rPr>
        <w:t>, 34, pp. 122–136.</w:t>
      </w:r>
    </w:p>
    <w:p w14:paraId="63518849"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Rogers, E.M. (2003) </w:t>
      </w:r>
      <w:r w:rsidRPr="00E462CB">
        <w:rPr>
          <w:rStyle w:val="Emphasis"/>
          <w:rFonts w:ascii="Arial" w:hAnsi="Arial" w:cs="Arial"/>
          <w:sz w:val="22"/>
          <w:szCs w:val="22"/>
        </w:rPr>
        <w:t>Diffusion of Innovations</w:t>
      </w:r>
      <w:r w:rsidRPr="00E462CB">
        <w:rPr>
          <w:rFonts w:ascii="Arial" w:hAnsi="Arial" w:cs="Arial"/>
          <w:sz w:val="22"/>
          <w:szCs w:val="22"/>
        </w:rPr>
        <w:t xml:space="preserve">. 5th </w:t>
      </w:r>
      <w:proofErr w:type="spellStart"/>
      <w:r w:rsidRPr="00E462CB">
        <w:rPr>
          <w:rFonts w:ascii="Arial" w:hAnsi="Arial" w:cs="Arial"/>
          <w:sz w:val="22"/>
          <w:szCs w:val="22"/>
        </w:rPr>
        <w:t>edn</w:t>
      </w:r>
      <w:proofErr w:type="spellEnd"/>
      <w:r w:rsidRPr="00E462CB">
        <w:rPr>
          <w:rFonts w:ascii="Arial" w:hAnsi="Arial" w:cs="Arial"/>
          <w:sz w:val="22"/>
          <w:szCs w:val="22"/>
        </w:rPr>
        <w:t>. New York: Free Press.</w:t>
      </w:r>
    </w:p>
    <w:p w14:paraId="49E6411F"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Saunders, M., Lewis, P. and Thornhill, A. (2019) </w:t>
      </w:r>
      <w:r w:rsidRPr="00E462CB">
        <w:rPr>
          <w:rStyle w:val="Emphasis"/>
          <w:rFonts w:ascii="Arial" w:hAnsi="Arial" w:cs="Arial"/>
          <w:sz w:val="22"/>
          <w:szCs w:val="22"/>
        </w:rPr>
        <w:t>Research Methods for Business Students</w:t>
      </w:r>
      <w:r w:rsidRPr="00E462CB">
        <w:rPr>
          <w:rFonts w:ascii="Arial" w:hAnsi="Arial" w:cs="Arial"/>
          <w:sz w:val="22"/>
          <w:szCs w:val="22"/>
        </w:rPr>
        <w:t xml:space="preserve">. 8th </w:t>
      </w:r>
      <w:proofErr w:type="spellStart"/>
      <w:r w:rsidRPr="00E462CB">
        <w:rPr>
          <w:rFonts w:ascii="Arial" w:hAnsi="Arial" w:cs="Arial"/>
          <w:sz w:val="22"/>
          <w:szCs w:val="22"/>
        </w:rPr>
        <w:t>edn</w:t>
      </w:r>
      <w:proofErr w:type="spellEnd"/>
      <w:r w:rsidRPr="00E462CB">
        <w:rPr>
          <w:rFonts w:ascii="Arial" w:hAnsi="Arial" w:cs="Arial"/>
          <w:sz w:val="22"/>
          <w:szCs w:val="22"/>
        </w:rPr>
        <w:t>. Harlow: Pearson.</w:t>
      </w:r>
    </w:p>
    <w:p w14:paraId="215D0B9E"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Schuitema, G., Anable, J., </w:t>
      </w:r>
      <w:proofErr w:type="spellStart"/>
      <w:r w:rsidRPr="00E462CB">
        <w:rPr>
          <w:rFonts w:ascii="Arial" w:hAnsi="Arial" w:cs="Arial"/>
          <w:sz w:val="22"/>
          <w:szCs w:val="22"/>
        </w:rPr>
        <w:t>Skippon</w:t>
      </w:r>
      <w:proofErr w:type="spellEnd"/>
      <w:r w:rsidRPr="00E462CB">
        <w:rPr>
          <w:rFonts w:ascii="Arial" w:hAnsi="Arial" w:cs="Arial"/>
          <w:sz w:val="22"/>
          <w:szCs w:val="22"/>
        </w:rPr>
        <w:t xml:space="preserve">, S. and Kinnear, N. (2013) ‘The role of instrumental, hedonic and symbolic attributes in the intention to adopt electric vehicles’, </w:t>
      </w:r>
      <w:r w:rsidRPr="00E462CB">
        <w:rPr>
          <w:rStyle w:val="Emphasis"/>
          <w:rFonts w:ascii="Arial" w:hAnsi="Arial" w:cs="Arial"/>
          <w:sz w:val="22"/>
          <w:szCs w:val="22"/>
        </w:rPr>
        <w:t>Transportation Research Part A: Policy and Practice</w:t>
      </w:r>
      <w:r w:rsidRPr="00E462CB">
        <w:rPr>
          <w:rFonts w:ascii="Arial" w:hAnsi="Arial" w:cs="Arial"/>
          <w:sz w:val="22"/>
          <w:szCs w:val="22"/>
        </w:rPr>
        <w:t>, 48, pp. 39–49.</w:t>
      </w:r>
    </w:p>
    <w:p w14:paraId="09937F93"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Sierzchula, W., Bakker, S., Maat, K. and van Wee, B. (2014) ‘The influence of financial incentives and other socio-economic factors on electric vehicle adoption’, </w:t>
      </w:r>
      <w:r w:rsidRPr="00E462CB">
        <w:rPr>
          <w:rStyle w:val="Emphasis"/>
          <w:rFonts w:ascii="Arial" w:hAnsi="Arial" w:cs="Arial"/>
          <w:sz w:val="22"/>
          <w:szCs w:val="22"/>
        </w:rPr>
        <w:t>Energy Policy</w:t>
      </w:r>
      <w:r w:rsidRPr="00E462CB">
        <w:rPr>
          <w:rFonts w:ascii="Arial" w:hAnsi="Arial" w:cs="Arial"/>
          <w:sz w:val="22"/>
          <w:szCs w:val="22"/>
        </w:rPr>
        <w:t>, 68, pp. 183–194.</w:t>
      </w:r>
    </w:p>
    <w:p w14:paraId="7A91CF57"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Tidd, J. and Bessant, J. (2021) </w:t>
      </w:r>
      <w:r w:rsidRPr="00E462CB">
        <w:rPr>
          <w:rStyle w:val="Emphasis"/>
          <w:rFonts w:ascii="Arial" w:hAnsi="Arial" w:cs="Arial"/>
          <w:sz w:val="22"/>
          <w:szCs w:val="22"/>
        </w:rPr>
        <w:t>Managing Innovation: Integrating Technological, Market and Organizational Change</w:t>
      </w:r>
      <w:r w:rsidRPr="00E462CB">
        <w:rPr>
          <w:rFonts w:ascii="Arial" w:hAnsi="Arial" w:cs="Arial"/>
          <w:sz w:val="22"/>
          <w:szCs w:val="22"/>
        </w:rPr>
        <w:t xml:space="preserve">. 7th </w:t>
      </w:r>
      <w:proofErr w:type="spellStart"/>
      <w:r w:rsidRPr="00E462CB">
        <w:rPr>
          <w:rFonts w:ascii="Arial" w:hAnsi="Arial" w:cs="Arial"/>
          <w:sz w:val="22"/>
          <w:szCs w:val="22"/>
        </w:rPr>
        <w:t>edn</w:t>
      </w:r>
      <w:proofErr w:type="spellEnd"/>
      <w:r w:rsidRPr="00E462CB">
        <w:rPr>
          <w:rFonts w:ascii="Arial" w:hAnsi="Arial" w:cs="Arial"/>
          <w:sz w:val="22"/>
          <w:szCs w:val="22"/>
        </w:rPr>
        <w:t>. Chichester: Wiley.</w:t>
      </w:r>
    </w:p>
    <w:p w14:paraId="46CC2B80"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Venkatesh, V., Morris, M.G., Davis, G.B. and Davis, F.D. (2003) ‘User acceptance of information technology: Toward a unified view’, </w:t>
      </w:r>
      <w:r w:rsidRPr="00E462CB">
        <w:rPr>
          <w:rStyle w:val="Emphasis"/>
          <w:rFonts w:ascii="Arial" w:hAnsi="Arial" w:cs="Arial"/>
          <w:sz w:val="22"/>
          <w:szCs w:val="22"/>
        </w:rPr>
        <w:t>MIS Quarterly</w:t>
      </w:r>
      <w:r w:rsidRPr="00E462CB">
        <w:rPr>
          <w:rFonts w:ascii="Arial" w:hAnsi="Arial" w:cs="Arial"/>
          <w:sz w:val="22"/>
          <w:szCs w:val="22"/>
        </w:rPr>
        <w:t>, 27(3), pp. 425–478.</w:t>
      </w:r>
    </w:p>
    <w:p w14:paraId="21ADA0BF" w14:textId="77777777" w:rsidR="00EE5330"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Westerman, G., Bonnet, D. and McAfee, A. (2014) </w:t>
      </w:r>
      <w:r w:rsidRPr="00E462CB">
        <w:rPr>
          <w:rStyle w:val="Emphasis"/>
          <w:rFonts w:ascii="Arial" w:hAnsi="Arial" w:cs="Arial"/>
          <w:sz w:val="22"/>
          <w:szCs w:val="22"/>
        </w:rPr>
        <w:t>Leading Digital: Turning Technology into Business Transformation</w:t>
      </w:r>
      <w:r w:rsidRPr="00E462CB">
        <w:rPr>
          <w:rFonts w:ascii="Arial" w:hAnsi="Arial" w:cs="Arial"/>
          <w:sz w:val="22"/>
          <w:szCs w:val="22"/>
        </w:rPr>
        <w:t>. Boston: Harvard Business Review Press.</w:t>
      </w:r>
    </w:p>
    <w:p w14:paraId="4C4CC776" w14:textId="683E4A9E" w:rsidR="00E8758D" w:rsidRPr="00E462CB" w:rsidRDefault="00EE5330" w:rsidP="00E462CB">
      <w:pPr>
        <w:pStyle w:val="NormalWeb"/>
        <w:numPr>
          <w:ilvl w:val="0"/>
          <w:numId w:val="10"/>
        </w:numPr>
        <w:spacing w:line="360" w:lineRule="auto"/>
        <w:rPr>
          <w:rFonts w:ascii="Arial" w:hAnsi="Arial" w:cs="Arial"/>
          <w:sz w:val="22"/>
          <w:szCs w:val="22"/>
        </w:rPr>
      </w:pPr>
      <w:r w:rsidRPr="00E462CB">
        <w:rPr>
          <w:rFonts w:ascii="Arial" w:hAnsi="Arial" w:cs="Arial"/>
          <w:sz w:val="22"/>
          <w:szCs w:val="22"/>
        </w:rPr>
        <w:t xml:space="preserve">Yin, R.K. (2018) </w:t>
      </w:r>
      <w:r w:rsidRPr="00E462CB">
        <w:rPr>
          <w:rStyle w:val="Emphasis"/>
          <w:rFonts w:ascii="Arial" w:hAnsi="Arial" w:cs="Arial"/>
          <w:sz w:val="22"/>
          <w:szCs w:val="22"/>
        </w:rPr>
        <w:t>Case Study Research and Applications: Design and Methods</w:t>
      </w:r>
      <w:r w:rsidRPr="00E462CB">
        <w:rPr>
          <w:rFonts w:ascii="Arial" w:hAnsi="Arial" w:cs="Arial"/>
          <w:sz w:val="22"/>
          <w:szCs w:val="22"/>
        </w:rPr>
        <w:t xml:space="preserve">. 6th </w:t>
      </w:r>
      <w:proofErr w:type="spellStart"/>
      <w:r w:rsidRPr="00E462CB">
        <w:rPr>
          <w:rFonts w:ascii="Arial" w:hAnsi="Arial" w:cs="Arial"/>
          <w:sz w:val="22"/>
          <w:szCs w:val="22"/>
        </w:rPr>
        <w:t>edn</w:t>
      </w:r>
      <w:proofErr w:type="spellEnd"/>
      <w:r w:rsidRPr="00E462CB">
        <w:rPr>
          <w:rFonts w:ascii="Arial" w:hAnsi="Arial" w:cs="Arial"/>
          <w:sz w:val="22"/>
          <w:szCs w:val="22"/>
        </w:rPr>
        <w:t>. London: SAGE.</w:t>
      </w:r>
      <w:bookmarkEnd w:id="1"/>
      <w:bookmarkEnd w:id="40"/>
    </w:p>
    <w:sectPr w:rsidR="00E8758D" w:rsidRPr="00E462CB" w:rsidSect="00642C4A">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B36885" w14:textId="77777777" w:rsidR="00630037" w:rsidRDefault="00630037" w:rsidP="00FD3FB7">
      <w:pPr>
        <w:spacing w:after="0"/>
      </w:pPr>
      <w:r>
        <w:separator/>
      </w:r>
    </w:p>
  </w:endnote>
  <w:endnote w:type="continuationSeparator" w:id="0">
    <w:p w14:paraId="0575D58C" w14:textId="77777777" w:rsidR="00630037" w:rsidRDefault="00630037" w:rsidP="00FD3FB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8519865"/>
      <w:docPartObj>
        <w:docPartGallery w:val="Page Numbers (Bottom of Page)"/>
        <w:docPartUnique/>
      </w:docPartObj>
    </w:sdtPr>
    <w:sdtEndPr/>
    <w:sdtContent>
      <w:p w14:paraId="6A6A07D4" w14:textId="0F5C2A0A" w:rsidR="00FD3FB7" w:rsidRDefault="00FD3FB7">
        <w:pPr>
          <w:pStyle w:val="Footer"/>
          <w:jc w:val="center"/>
        </w:pPr>
        <w:r>
          <w:fldChar w:fldCharType="begin"/>
        </w:r>
        <w:r>
          <w:instrText>PAGE   \* MERGEFORMAT</w:instrText>
        </w:r>
        <w:r>
          <w:fldChar w:fldCharType="separate"/>
        </w:r>
        <w:r>
          <w:rPr>
            <w:lang w:val="en-GB"/>
          </w:rPr>
          <w:t>2</w:t>
        </w:r>
        <w:r>
          <w:fldChar w:fldCharType="end"/>
        </w:r>
      </w:p>
    </w:sdtContent>
  </w:sdt>
  <w:p w14:paraId="57656106" w14:textId="77777777" w:rsidR="00FD3FB7" w:rsidRDefault="00FD3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0E032" w14:textId="77777777" w:rsidR="00630037" w:rsidRDefault="00630037" w:rsidP="00FD3FB7">
      <w:pPr>
        <w:spacing w:after="0"/>
      </w:pPr>
      <w:r>
        <w:separator/>
      </w:r>
    </w:p>
  </w:footnote>
  <w:footnote w:type="continuationSeparator" w:id="0">
    <w:p w14:paraId="7EB0665E" w14:textId="77777777" w:rsidR="00630037" w:rsidRDefault="00630037" w:rsidP="00FD3FB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23FCDF42"/>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A99411"/>
    <w:multiLevelType w:val="multilevel"/>
    <w:tmpl w:val="A3D4A56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0A591D59"/>
    <w:multiLevelType w:val="multilevel"/>
    <w:tmpl w:val="A3D4A56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1B1C355F"/>
    <w:multiLevelType w:val="multilevel"/>
    <w:tmpl w:val="A3D4A56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4" w15:restartNumberingAfterBreak="0">
    <w:nsid w:val="1B914329"/>
    <w:multiLevelType w:val="multilevel"/>
    <w:tmpl w:val="7C66EA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7F23F2"/>
    <w:multiLevelType w:val="multilevel"/>
    <w:tmpl w:val="A3D4A56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6" w15:restartNumberingAfterBreak="0">
    <w:nsid w:val="5B947640"/>
    <w:multiLevelType w:val="multilevel"/>
    <w:tmpl w:val="A3D4A56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7" w15:restartNumberingAfterBreak="0">
    <w:nsid w:val="5F2714ED"/>
    <w:multiLevelType w:val="hybridMultilevel"/>
    <w:tmpl w:val="11C28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57749E"/>
    <w:multiLevelType w:val="multilevel"/>
    <w:tmpl w:val="A3D4A56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 w15:restartNumberingAfterBreak="0">
    <w:nsid w:val="78495923"/>
    <w:multiLevelType w:val="multilevel"/>
    <w:tmpl w:val="A3D4A56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2087259108">
    <w:abstractNumId w:val="0"/>
  </w:num>
  <w:num w:numId="2" w16cid:durableId="2071610403">
    <w:abstractNumId w:val="1"/>
  </w:num>
  <w:num w:numId="3" w16cid:durableId="202358097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832714463">
    <w:abstractNumId w:val="3"/>
  </w:num>
  <w:num w:numId="5" w16cid:durableId="654341624">
    <w:abstractNumId w:val="2"/>
  </w:num>
  <w:num w:numId="6" w16cid:durableId="1425413781">
    <w:abstractNumId w:val="9"/>
  </w:num>
  <w:num w:numId="7" w16cid:durableId="18895555">
    <w:abstractNumId w:val="6"/>
  </w:num>
  <w:num w:numId="8" w16cid:durableId="1443837410">
    <w:abstractNumId w:val="5"/>
  </w:num>
  <w:num w:numId="9" w16cid:durableId="294916569">
    <w:abstractNumId w:val="8"/>
  </w:num>
  <w:num w:numId="10" w16cid:durableId="2126462401">
    <w:abstractNumId w:val="7"/>
  </w:num>
  <w:num w:numId="11" w16cid:durableId="17392805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58D"/>
    <w:rsid w:val="00043A05"/>
    <w:rsid w:val="00044C69"/>
    <w:rsid w:val="00070AAC"/>
    <w:rsid w:val="000B06E7"/>
    <w:rsid w:val="000B26A9"/>
    <w:rsid w:val="000B4E42"/>
    <w:rsid w:val="000E500C"/>
    <w:rsid w:val="000E53AD"/>
    <w:rsid w:val="0011036D"/>
    <w:rsid w:val="0015218C"/>
    <w:rsid w:val="001537C1"/>
    <w:rsid w:val="00197A87"/>
    <w:rsid w:val="00197C13"/>
    <w:rsid w:val="001C623D"/>
    <w:rsid w:val="00205444"/>
    <w:rsid w:val="00206159"/>
    <w:rsid w:val="0023618F"/>
    <w:rsid w:val="002D4430"/>
    <w:rsid w:val="002E5234"/>
    <w:rsid w:val="002F61E7"/>
    <w:rsid w:val="003157FA"/>
    <w:rsid w:val="003C357E"/>
    <w:rsid w:val="003D4B0A"/>
    <w:rsid w:val="003F016F"/>
    <w:rsid w:val="003F0C59"/>
    <w:rsid w:val="003F62D9"/>
    <w:rsid w:val="003F6BFC"/>
    <w:rsid w:val="00402182"/>
    <w:rsid w:val="00405A06"/>
    <w:rsid w:val="004746FD"/>
    <w:rsid w:val="00474F5A"/>
    <w:rsid w:val="004756E7"/>
    <w:rsid w:val="0049086B"/>
    <w:rsid w:val="004B6904"/>
    <w:rsid w:val="00541F7D"/>
    <w:rsid w:val="0055468D"/>
    <w:rsid w:val="00570654"/>
    <w:rsid w:val="00574668"/>
    <w:rsid w:val="005C7D2F"/>
    <w:rsid w:val="005C7F52"/>
    <w:rsid w:val="005D4F25"/>
    <w:rsid w:val="005E0F1C"/>
    <w:rsid w:val="00630037"/>
    <w:rsid w:val="00642C4A"/>
    <w:rsid w:val="00642EB0"/>
    <w:rsid w:val="00644467"/>
    <w:rsid w:val="00667513"/>
    <w:rsid w:val="00670DCE"/>
    <w:rsid w:val="006B5800"/>
    <w:rsid w:val="006E1DB0"/>
    <w:rsid w:val="006E7DCF"/>
    <w:rsid w:val="00765399"/>
    <w:rsid w:val="0078442F"/>
    <w:rsid w:val="0078786D"/>
    <w:rsid w:val="007C73EC"/>
    <w:rsid w:val="007D05DB"/>
    <w:rsid w:val="007F5E30"/>
    <w:rsid w:val="0080548B"/>
    <w:rsid w:val="0081546A"/>
    <w:rsid w:val="00863CDF"/>
    <w:rsid w:val="00935BE4"/>
    <w:rsid w:val="0095192A"/>
    <w:rsid w:val="00956C5E"/>
    <w:rsid w:val="00990CB7"/>
    <w:rsid w:val="009F37B2"/>
    <w:rsid w:val="00A146BE"/>
    <w:rsid w:val="00A14A52"/>
    <w:rsid w:val="00A27740"/>
    <w:rsid w:val="00A50FE4"/>
    <w:rsid w:val="00A521A3"/>
    <w:rsid w:val="00A761D1"/>
    <w:rsid w:val="00AA6DD1"/>
    <w:rsid w:val="00AB4B63"/>
    <w:rsid w:val="00AE00D8"/>
    <w:rsid w:val="00B129DC"/>
    <w:rsid w:val="00B51428"/>
    <w:rsid w:val="00B76723"/>
    <w:rsid w:val="00BD096D"/>
    <w:rsid w:val="00BF4326"/>
    <w:rsid w:val="00C029D4"/>
    <w:rsid w:val="00C251FB"/>
    <w:rsid w:val="00C71CDA"/>
    <w:rsid w:val="00C71E48"/>
    <w:rsid w:val="00C76682"/>
    <w:rsid w:val="00C979AB"/>
    <w:rsid w:val="00CC1430"/>
    <w:rsid w:val="00CD2E02"/>
    <w:rsid w:val="00CF4FA8"/>
    <w:rsid w:val="00D25D57"/>
    <w:rsid w:val="00D43099"/>
    <w:rsid w:val="00D555E9"/>
    <w:rsid w:val="00D778E7"/>
    <w:rsid w:val="00DC17C8"/>
    <w:rsid w:val="00DC6D5F"/>
    <w:rsid w:val="00E1091F"/>
    <w:rsid w:val="00E172F1"/>
    <w:rsid w:val="00E25F10"/>
    <w:rsid w:val="00E34424"/>
    <w:rsid w:val="00E460DD"/>
    <w:rsid w:val="00E462CB"/>
    <w:rsid w:val="00E8758D"/>
    <w:rsid w:val="00EC1854"/>
    <w:rsid w:val="00EC7F9B"/>
    <w:rsid w:val="00EE5330"/>
    <w:rsid w:val="00F00CD4"/>
    <w:rsid w:val="00F361D0"/>
    <w:rsid w:val="00F5551C"/>
    <w:rsid w:val="00F709CD"/>
    <w:rsid w:val="00F70B00"/>
    <w:rsid w:val="00FB5FCC"/>
    <w:rsid w:val="00FC66F9"/>
    <w:rsid w:val="00FD2E57"/>
    <w:rsid w:val="00FD3FB7"/>
    <w:rsid w:val="00FD4F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59B34"/>
  <w15:docId w15:val="{2F11684E-495C-44D6-BE0B-65A8C2243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toc 1" w:uiPriority="39"/>
    <w:lsdException w:name="toc 2" w:uiPriority="39"/>
    <w:lsdException w:name="toc 3" w:uiPriority="39"/>
    <w:lsdException w:name="footer" w:uiPriority="99"/>
    <w:lsdException w:name="Hyperlink" w:uiPriority="99"/>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TOC1">
    <w:name w:val="toc 1"/>
    <w:basedOn w:val="Normal"/>
    <w:next w:val="Normal"/>
    <w:autoRedefine/>
    <w:uiPriority w:val="39"/>
    <w:rsid w:val="0095192A"/>
    <w:pPr>
      <w:spacing w:after="100"/>
    </w:pPr>
  </w:style>
  <w:style w:type="paragraph" w:styleId="TOC2">
    <w:name w:val="toc 2"/>
    <w:basedOn w:val="Normal"/>
    <w:next w:val="Normal"/>
    <w:autoRedefine/>
    <w:uiPriority w:val="39"/>
    <w:rsid w:val="0095192A"/>
    <w:pPr>
      <w:spacing w:after="100"/>
      <w:ind w:left="240"/>
    </w:pPr>
  </w:style>
  <w:style w:type="paragraph" w:styleId="TOC3">
    <w:name w:val="toc 3"/>
    <w:basedOn w:val="Normal"/>
    <w:next w:val="Normal"/>
    <w:autoRedefine/>
    <w:uiPriority w:val="39"/>
    <w:rsid w:val="0095192A"/>
    <w:pPr>
      <w:spacing w:after="100"/>
      <w:ind w:left="480"/>
    </w:pPr>
  </w:style>
  <w:style w:type="paragraph" w:styleId="Header">
    <w:name w:val="header"/>
    <w:basedOn w:val="Normal"/>
    <w:link w:val="HeaderChar"/>
    <w:rsid w:val="00FD3FB7"/>
    <w:pPr>
      <w:tabs>
        <w:tab w:val="center" w:pos="4513"/>
        <w:tab w:val="right" w:pos="9026"/>
      </w:tabs>
      <w:spacing w:after="0"/>
    </w:pPr>
  </w:style>
  <w:style w:type="character" w:customStyle="1" w:styleId="HeaderChar">
    <w:name w:val="Header Char"/>
    <w:basedOn w:val="DefaultParagraphFont"/>
    <w:link w:val="Header"/>
    <w:rsid w:val="00FD3FB7"/>
  </w:style>
  <w:style w:type="paragraph" w:styleId="Footer">
    <w:name w:val="footer"/>
    <w:basedOn w:val="Normal"/>
    <w:link w:val="FooterChar"/>
    <w:uiPriority w:val="99"/>
    <w:rsid w:val="00FD3FB7"/>
    <w:pPr>
      <w:tabs>
        <w:tab w:val="center" w:pos="4513"/>
        <w:tab w:val="right" w:pos="9026"/>
      </w:tabs>
      <w:spacing w:after="0"/>
    </w:pPr>
  </w:style>
  <w:style w:type="character" w:customStyle="1" w:styleId="FooterChar">
    <w:name w:val="Footer Char"/>
    <w:basedOn w:val="DefaultParagraphFont"/>
    <w:link w:val="Footer"/>
    <w:uiPriority w:val="99"/>
    <w:rsid w:val="00FD3FB7"/>
  </w:style>
  <w:style w:type="paragraph" w:styleId="NormalWeb">
    <w:name w:val="Normal (Web)"/>
    <w:basedOn w:val="Normal"/>
    <w:uiPriority w:val="99"/>
    <w:unhideWhenUsed/>
    <w:rsid w:val="00EE5330"/>
    <w:pPr>
      <w:spacing w:before="100" w:beforeAutospacing="1" w:after="100" w:afterAutospacing="1"/>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EE53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lr.com/reimagin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lr.com/annual-report-2025"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lr.com/annual-report-2024" TargetMode="External"/><Relationship Id="rId5" Type="http://schemas.openxmlformats.org/officeDocument/2006/relationships/webSettings" Target="webSettings.xml"/><Relationship Id="rId15" Type="http://schemas.openxmlformats.org/officeDocument/2006/relationships/hyperlink" Target="https://www.reuters.com/business/autos-transportation/" TargetMode="External"/><Relationship Id="rId10" Type="http://schemas.openxmlformats.org/officeDocument/2006/relationships/hyperlink" Target="https://www.coxautoinc.eu/ev-hub/industry-ev-hub/resources/2026-uk-ev-adoption-and-perceptions-report/"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pwc.co.uk/press-room/press-releases/electric-vehicle-adoption-across-the-uk-bouncing-back%E2%80%93shows-pwc.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E2DFA1-7323-4C3B-A654-37E8F3AD8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16</Pages>
  <Words>3675</Words>
  <Characters>20950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kanval yousif</dc:creator>
  <cp:keywords/>
  <cp:lastModifiedBy>kanval yousif</cp:lastModifiedBy>
  <cp:revision>2</cp:revision>
  <dcterms:created xsi:type="dcterms:W3CDTF">2026-07-05T14:33:00Z</dcterms:created>
  <dcterms:modified xsi:type="dcterms:W3CDTF">2026-07-05T14:33:00Z</dcterms:modified>
</cp:coreProperties>
</file>