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line="360" w:lineRule="auto"/>
        <w:rPr>
          <w:rFonts w:ascii="Times New Roman" w:cs="Times New Roman" w:hAnsi="Times New Roman" w:eastAsia="Times New Roman"/>
          <w:b w:val="1"/>
          <w:bCs w:val="1"/>
          <w:sz w:val="40"/>
          <w:szCs w:val="40"/>
        </w:rPr>
      </w:pPr>
      <w:r>
        <w:rPr>
          <w:rFonts w:ascii="Times New Roman" w:hAnsi="Times New Roman"/>
          <w:b w:val="1"/>
          <w:bCs w:val="1"/>
          <w:sz w:val="40"/>
          <w:szCs w:val="40"/>
          <w:rtl w:val="0"/>
          <w:lang w:val="en-US"/>
        </w:rPr>
        <w:t xml:space="preserve">Adelina Sisianu </w:t>
      </w:r>
    </w:p>
    <w:p>
      <w:pPr>
        <w:pStyle w:val="Normal.0"/>
        <w:spacing w:line="360" w:lineRule="auto"/>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r>
        <w:rPr>
          <w:rFonts w:ascii="Times New Roman" w:hAnsi="Times New Roman"/>
          <w:b w:val="1"/>
          <w:bCs w:val="1"/>
          <w:sz w:val="40"/>
          <w:szCs w:val="40"/>
          <w:rtl w:val="0"/>
          <w:lang w:val="en-US"/>
        </w:rPr>
        <w:t>Student ID: 2020528</w:t>
      </w:r>
    </w:p>
    <w:p>
      <w:pPr>
        <w:pStyle w:val="Normal.0"/>
        <w:spacing w:line="360" w:lineRule="auto"/>
        <w:jc w:val="center"/>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p>
    <w:p>
      <w:pPr>
        <w:pStyle w:val="Normal.0"/>
        <w:spacing w:line="360" w:lineRule="auto"/>
        <w:jc w:val="center"/>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p>
    <w:p>
      <w:pPr>
        <w:pStyle w:val="Normal.0"/>
        <w:spacing w:line="360" w:lineRule="auto"/>
        <w:jc w:val="center"/>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p>
    <w:p>
      <w:pPr>
        <w:pStyle w:val="Normal.0"/>
        <w:spacing w:line="360" w:lineRule="auto"/>
        <w:jc w:val="center"/>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p>
    <w:p>
      <w:pPr>
        <w:pStyle w:val="Normal.0"/>
        <w:spacing w:line="360" w:lineRule="auto"/>
        <w:jc w:val="center"/>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p>
    <w:p>
      <w:pPr>
        <w:pStyle w:val="Normal.0"/>
        <w:spacing w:line="360" w:lineRule="auto"/>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p>
    <w:p>
      <w:pPr>
        <w:pStyle w:val="Normal.0"/>
        <w:spacing w:line="360" w:lineRule="auto"/>
        <w:jc w:val="center"/>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p>
    <w:p>
      <w:pPr>
        <w:pStyle w:val="Normal.0"/>
        <w:spacing w:line="360" w:lineRule="auto"/>
        <w:jc w:val="center"/>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r>
        <w:rPr>
          <w:rFonts w:ascii="Times New Roman" w:hAnsi="Times New Roman"/>
          <w:b w:val="1"/>
          <w:bCs w:val="1"/>
          <w:outline w:val="0"/>
          <w:color w:val="000000"/>
          <w:sz w:val="40"/>
          <w:szCs w:val="40"/>
          <w:u w:color="000000"/>
          <w:rtl w:val="0"/>
          <w:lang w:val="en-US"/>
          <w14:textFill>
            <w14:solidFill>
              <w14:srgbClr w14:val="000000"/>
            </w14:solidFill>
          </w14:textFill>
        </w:rPr>
        <w:t>LCBB5000 DATA HANDLING &amp; BUSINESS INTELLIGENCE (ASSIGNMENT 2)</w:t>
      </w:r>
    </w:p>
    <w:p>
      <w:pPr>
        <w:pStyle w:val="Normal.0"/>
      </w:pPr>
      <w:r>
        <w:rPr>
          <w:rFonts w:ascii="Arial Unicode MS" w:cs="Arial Unicode MS" w:hAnsi="Arial Unicode MS" w:eastAsia="Arial Unicode MS"/>
          <w:b w:val="0"/>
          <w:bCs w:val="0"/>
          <w:i w:val="0"/>
          <w:iCs w:val="0"/>
          <w:outline w:val="0"/>
          <w:color w:val="000000"/>
          <w:sz w:val="40"/>
          <w:szCs w:val="40"/>
          <w:u w:color="000000"/>
          <w14:textFill>
            <w14:solidFill>
              <w14:srgbClr w14:val="000000"/>
            </w14:solidFill>
          </w14:textFill>
        </w:rPr>
        <w:br w:type="page"/>
      </w:r>
    </w:p>
    <w:p>
      <w:pPr>
        <w:pStyle w:val="TOC Heading"/>
        <w:jc w:val="center"/>
        <w:rPr>
          <w:rFonts w:ascii="Times New Roman" w:cs="Times New Roman" w:hAnsi="Times New Roman" w:eastAsia="Times New Roman"/>
          <w:b w:val="1"/>
          <w:bCs w:val="1"/>
          <w:outline w:val="0"/>
          <w:color w:val="000000"/>
          <w:sz w:val="28"/>
          <w:szCs w:val="28"/>
          <w:u w:color="000000"/>
          <w14:textFill>
            <w14:solidFill>
              <w14:srgbClr w14:val="000000"/>
            </w14:solidFill>
          </w14:textFill>
        </w:rPr>
      </w:pPr>
      <w:r>
        <w:rPr>
          <w:rFonts w:ascii="Times New Roman" w:hAnsi="Times New Roman"/>
          <w:b w:val="1"/>
          <w:bCs w:val="1"/>
          <w:outline w:val="0"/>
          <w:color w:val="000000"/>
          <w:sz w:val="28"/>
          <w:szCs w:val="28"/>
          <w:u w:color="000000"/>
          <w:rtl w:val="0"/>
          <w:lang w:val="en-US"/>
          <w14:textFill>
            <w14:solidFill>
              <w14:srgbClr w14:val="000000"/>
            </w14:solidFill>
          </w14:textFill>
        </w:rPr>
        <w:t>Table of Contents</w:t>
      </w:r>
    </w:p>
    <w:p>
      <w:pPr>
        <w:pStyle w:val="Normal.0"/>
      </w:pPr>
      <w:r>
        <w:rPr>
          <w:rFonts w:ascii="Times New Roman" w:cs="Times New Roman" w:hAnsi="Times New Roman" w:eastAsia="Times New Roman"/>
          <w:b w:val="1"/>
          <w:bCs w:val="1"/>
          <w:outline w:val="0"/>
          <w:color w:val="000000"/>
          <w:sz w:val="28"/>
          <w:szCs w:val="28"/>
          <w:u w:color="000000"/>
          <w14:textFill>
            <w14:solidFill>
              <w14:srgbClr w14:val="000000"/>
            </w14:solidFill>
          </w14:textFill>
        </w:rPr>
        <w:fldChar w:fldCharType="begin" w:fldLock="0"/>
      </w:r>
      <w:r>
        <w:rPr>
          <w:rFonts w:ascii="Times New Roman" w:cs="Times New Roman" w:hAnsi="Times New Roman" w:eastAsia="Times New Roman"/>
          <w:b w:val="1"/>
          <w:bCs w:val="1"/>
          <w:outline w:val="0"/>
          <w:color w:val="000000"/>
          <w:sz w:val="28"/>
          <w:szCs w:val="28"/>
          <w:u w:color="000000"/>
          <w14:textFill>
            <w14:solidFill>
              <w14:srgbClr w14:val="000000"/>
            </w14:solidFill>
          </w14:textFill>
        </w:rPr>
        <w:instrText xml:space="preserve"> TOC \t "heading 1, 1,heading 2, 2"</w:instrText>
      </w:r>
      <w:r>
        <w:rPr>
          <w:rFonts w:ascii="Times New Roman" w:cs="Times New Roman" w:hAnsi="Times New Roman" w:eastAsia="Times New Roman"/>
          <w:b w:val="1"/>
          <w:bCs w:val="1"/>
          <w:outline w:val="0"/>
          <w:color w:val="000000"/>
          <w:sz w:val="28"/>
          <w:szCs w:val="28"/>
          <w:u w:color="000000"/>
          <w14:textFill>
            <w14:solidFill>
              <w14:srgbClr w14:val="000000"/>
            </w14:solidFill>
          </w14:textFill>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PART A</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rtl w:val="0"/>
        </w:rPr>
        <w:t>(i) Monthly control report showing original budget, flexed budget, variances</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2"/>
      </w:pPr>
      <w:r>
        <w:rPr>
          <w:rFonts w:cs="Arial Unicode MS" w:eastAsia="Arial Unicode MS" w:hint="default"/>
          <w:rtl w:val="0"/>
        </w:rPr>
        <w:t>(ii) Report on Amana’s performance during year 2020</w:t>
        <w:tab/>
      </w:r>
      <w:r>
        <w:rPr/>
        <w:fldChar w:fldCharType="begin" w:fldLock="0"/>
      </w:r>
      <w:r>
        <w:instrText xml:space="preserve"> PAGEREF _Toc3 \h </w:instrText>
      </w:r>
      <w:r>
        <w:rPr/>
        <w:fldChar w:fldCharType="separate" w:fldLock="0"/>
      </w:r>
      <w:r>
        <w:rPr>
          <w:rFonts w:cs="Arial Unicode MS" w:eastAsia="Arial Unicode MS"/>
          <w:rtl w:val="0"/>
        </w:rPr>
        <w:t>6</w:t>
      </w:r>
      <w:r>
        <w:rPr/>
        <w:fldChar w:fldCharType="end" w:fldLock="0"/>
      </w:r>
    </w:p>
    <w:p>
      <w:pPr>
        <w:pStyle w:val="TOC 2"/>
      </w:pPr>
      <w:r>
        <w:rPr>
          <w:rFonts w:cs="Arial Unicode MS" w:eastAsia="Arial Unicode MS" w:hint="default"/>
          <w:rtl w:val="0"/>
        </w:rPr>
        <w:t>(iii) Recommendations to Amana’s CEO upon improvement areas</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PART B</w:t>
        <w:tab/>
      </w:r>
      <w:r>
        <w:rPr/>
        <w:fldChar w:fldCharType="begin" w:fldLock="0"/>
      </w:r>
      <w:r>
        <w:instrText xml:space="preserve"> PAGEREF _Toc5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Conclusion</w:t>
        <w:tab/>
      </w:r>
      <w:r>
        <w:rPr/>
        <w:fldChar w:fldCharType="begin" w:fldLock="0"/>
      </w:r>
      <w:r>
        <w:instrText xml:space="preserve"> PAGEREF _Toc6 \h </w:instrText>
      </w:r>
      <w:r>
        <w:rPr/>
        <w:fldChar w:fldCharType="separate" w:fldLock="0"/>
      </w:r>
      <w:r>
        <w:rPr>
          <w:rFonts w:cs="Arial Unicode MS" w:eastAsia="Arial Unicode MS"/>
          <w:rtl w:val="0"/>
        </w:rPr>
        <w:t>11</w:t>
      </w:r>
      <w:r>
        <w:rPr/>
        <w:fldChar w:fldCharType="end" w:fldLock="0"/>
      </w:r>
    </w:p>
    <w:p>
      <w:pPr>
        <w:pStyle w:val="TOC 1"/>
      </w:pPr>
      <w:r>
        <w:rPr>
          <w:rFonts w:cs="Arial Unicode MS" w:eastAsia="Arial Unicode MS"/>
          <w:rtl w:val="0"/>
        </w:rPr>
        <w:t>References</w:t>
        <w:tab/>
      </w:r>
      <w:r>
        <w:rPr/>
        <w:fldChar w:fldCharType="begin" w:fldLock="0"/>
      </w:r>
      <w:r>
        <w:instrText xml:space="preserve"> PAGEREF _Toc7 \h </w:instrText>
      </w:r>
      <w:r>
        <w:rPr/>
        <w:fldChar w:fldCharType="separate" w:fldLock="0"/>
      </w:r>
      <w:r>
        <w:rPr>
          <w:rFonts w:cs="Arial Unicode MS" w:eastAsia="Arial Unicode MS"/>
          <w:rtl w:val="0"/>
        </w:rPr>
        <w:t>12</w:t>
      </w:r>
      <w:r>
        <w:rPr/>
        <w:fldChar w:fldCharType="end" w:fldLock="0"/>
      </w:r>
    </w:p>
    <w:p>
      <w:pPr>
        <w:pStyle w:val="Normal.0"/>
        <w:rPr>
          <w:outline w:val="0"/>
          <w:color w:val="000000"/>
          <w:u w:color="000000"/>
          <w14:textFill>
            <w14:solidFill>
              <w14:srgbClr w14:val="000000"/>
            </w14:solidFill>
          </w14:textFill>
        </w:rPr>
      </w:pPr>
      <w:r>
        <w:rPr>
          <w:rFonts w:ascii="Times New Roman" w:cs="Times New Roman" w:hAnsi="Times New Roman" w:eastAsia="Times New Roman"/>
          <w:b w:val="1"/>
          <w:bCs w:val="1"/>
          <w:outline w:val="0"/>
          <w:color w:val="000000"/>
          <w:sz w:val="28"/>
          <w:szCs w:val="28"/>
          <w:u w:color="000000"/>
          <w14:textFill>
            <w14:solidFill>
              <w14:srgbClr w14:val="000000"/>
            </w14:solidFill>
          </w14:textFill>
        </w:rPr>
        <w:fldChar w:fldCharType="end" w:fldLock="0"/>
      </w:r>
    </w:p>
    <w:p>
      <w:pPr>
        <w:pStyle w:val="Normal.0"/>
        <w:spacing w:line="360" w:lineRule="auto"/>
        <w:jc w:val="both"/>
        <w:rPr>
          <w:rFonts w:ascii="Times New Roman" w:cs="Times New Roman" w:hAnsi="Times New Roman" w:eastAsia="Times New Roman"/>
          <w:b w:val="1"/>
          <w:bCs w:val="1"/>
          <w:outline w:val="0"/>
          <w:color w:val="000000"/>
          <w:sz w:val="40"/>
          <w:szCs w:val="40"/>
          <w:u w:color="000000"/>
          <w14:textFill>
            <w14:solidFill>
              <w14:srgbClr w14:val="000000"/>
            </w14:solidFill>
          </w14:textFill>
        </w:rPr>
      </w:pPr>
    </w:p>
    <w:p>
      <w:pPr>
        <w:pStyle w:val="Normal.0"/>
      </w:pPr>
      <w:r>
        <w:rPr>
          <w:rFonts w:ascii="Arial Unicode MS" w:cs="Arial Unicode MS" w:hAnsi="Arial Unicode MS" w:eastAsia="Arial Unicode MS"/>
          <w:b w:val="0"/>
          <w:bCs w:val="0"/>
          <w:i w:val="0"/>
          <w:iCs w:val="0"/>
          <w:outline w:val="0"/>
          <w:color w:val="000000"/>
          <w:sz w:val="24"/>
          <w:szCs w:val="24"/>
          <w:u w:color="000000"/>
          <w14:textFill>
            <w14:solidFill>
              <w14:srgbClr w14:val="000000"/>
            </w14:solidFill>
          </w14:textFill>
        </w:rPr>
        <w:br w:type="page"/>
      </w:r>
    </w:p>
    <w:p>
      <w:pPr>
        <w:pStyle w:val="heading 1"/>
        <w:rPr>
          <w:outline w:val="0"/>
          <w:color w:val="000000"/>
          <w:u w:color="000000"/>
          <w14:textFill>
            <w14:solidFill>
              <w14:srgbClr w14:val="000000"/>
            </w14:solidFill>
          </w14:textFill>
        </w:rPr>
      </w:pPr>
      <w:bookmarkStart w:name="_Toc" w:id="0"/>
      <w:bookmarkStart w:name="_qjwwzxoux5h" w:id="1"/>
      <w:bookmarkEnd w:id="1"/>
      <w:r>
        <w:rPr>
          <w:rFonts w:cs="Arial Unicode MS" w:eastAsia="Arial Unicode MS"/>
          <w:outline w:val="0"/>
          <w:color w:val="000000"/>
          <w:u w:color="000000"/>
          <w:rtl w:val="0"/>
          <w:lang w:val="en-US"/>
          <w14:textFill>
            <w14:solidFill>
              <w14:srgbClr w14:val="000000"/>
            </w14:solidFill>
          </w14:textFill>
        </w:rPr>
        <w:t>I</w:t>
      </w:r>
      <w:r>
        <w:rPr>
          <w:rFonts w:cs="Arial Unicode MS" w:eastAsia="Arial Unicode MS"/>
          <w:outline w:val="0"/>
          <w:color w:val="000000"/>
          <w:u w:color="000000"/>
          <w:rtl w:val="0"/>
          <w:lang w:val="en-US"/>
          <w14:textFill>
            <w14:solidFill>
              <w14:srgbClr w14:val="000000"/>
            </w14:solidFill>
          </w14:textFill>
        </w:rPr>
        <w:t>ntroduction</w:t>
      </w:r>
      <w:bookmarkEnd w:id="0"/>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Budgets play very vital role within determining all expenses regarding firm. With respect towards budgets, this is identified that budgets are prepared through using many techniques. In addition to this, it has been identified that the budgets are most pivotal aspects that supports company within strategizing respective further action courses. Within this study and significant discussion, some significant concentration has been provided to reports and variances determined within prepared budget. In addition, this study states whether Amana Ltd needs to carry out business activities as online.</w:t>
      </w:r>
    </w:p>
    <w:p>
      <w:pPr>
        <w:pStyle w:val="heading 1"/>
        <w:rPr>
          <w:outline w:val="0"/>
          <w:color w:val="000000"/>
          <w:u w:color="000000"/>
          <w14:textFill>
            <w14:solidFill>
              <w14:srgbClr w14:val="000000"/>
            </w14:solidFill>
          </w14:textFill>
        </w:rPr>
      </w:pPr>
      <w:bookmarkStart w:name="_Toc1" w:id="2"/>
      <w:r>
        <w:rPr>
          <w:rFonts w:cs="Arial Unicode MS" w:eastAsia="Arial Unicode MS"/>
          <w:outline w:val="0"/>
          <w:color w:val="000000"/>
          <w:u w:color="000000"/>
          <w:rtl w:val="0"/>
          <w:lang w:val="en-US"/>
          <w14:textFill>
            <w14:solidFill>
              <w14:srgbClr w14:val="000000"/>
            </w14:solidFill>
          </w14:textFill>
        </w:rPr>
        <w:t>PART A</w:t>
      </w:r>
      <w:bookmarkEnd w:id="2"/>
    </w:p>
    <w:p>
      <w:pPr>
        <w:pStyle w:val="heading 2"/>
        <w:rPr>
          <w:outline w:val="0"/>
          <w:color w:val="000000"/>
          <w:u w:color="000000"/>
          <w14:textFill>
            <w14:solidFill>
              <w14:srgbClr w14:val="000000"/>
            </w14:solidFill>
          </w14:textFill>
        </w:rPr>
      </w:pPr>
      <w:bookmarkStart w:name="_Toc2" w:id="3"/>
      <w:r>
        <w:rPr>
          <w:rFonts w:cs="Arial Unicode MS" w:eastAsia="Arial Unicode MS"/>
          <w:outline w:val="0"/>
          <w:color w:val="000000"/>
          <w:u w:color="000000"/>
          <w:rtl w:val="0"/>
          <w:lang w:val="en-US"/>
          <w14:textFill>
            <w14:solidFill>
              <w14:srgbClr w14:val="000000"/>
            </w14:solidFill>
          </w14:textFill>
        </w:rPr>
        <w:t>(i) Monthly control report showing original budget, flexed budget, variances</w:t>
      </w:r>
      <w:bookmarkEnd w:id="3"/>
    </w:p>
    <w:tbl>
      <w:tblPr>
        <w:tblW w:w="9009" w:type="dxa"/>
        <w:jc w:val="center"/>
        <w:tblInd w:w="3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313"/>
        <w:gridCol w:w="1828"/>
        <w:gridCol w:w="1640"/>
        <w:gridCol w:w="1228"/>
      </w:tblGrid>
      <w:tr>
        <w:tblPrEx>
          <w:shd w:val="clear" w:color="auto" w:fill="ced7e7"/>
        </w:tblPrEx>
        <w:trPr>
          <w:trHeight w:val="755"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center"/>
            </w:pPr>
            <w:r>
              <w:rPr>
                <w:b w:val="1"/>
                <w:bCs w:val="1"/>
                <w:shd w:val="nil" w:color="auto" w:fill="auto"/>
                <w:rtl w:val="0"/>
                <w:lang w:val="en-US"/>
              </w:rPr>
              <w:t>Particulars</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center"/>
            </w:pPr>
            <w:r>
              <w:rPr>
                <w:b w:val="1"/>
                <w:bCs w:val="1"/>
                <w:shd w:val="nil" w:color="auto" w:fill="auto"/>
                <w:rtl w:val="0"/>
                <w:lang w:val="en-US"/>
              </w:rPr>
              <w:t>Original budget</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center"/>
            </w:pPr>
            <w:r>
              <w:rPr>
                <w:b w:val="1"/>
                <w:bCs w:val="1"/>
                <w:shd w:val="nil" w:color="auto" w:fill="auto"/>
                <w:rtl w:val="0"/>
                <w:lang w:val="en-US"/>
              </w:rPr>
              <w:t>Flexed budget</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center"/>
            </w:pPr>
            <w:r>
              <w:rPr>
                <w:b w:val="1"/>
                <w:bCs w:val="1"/>
                <w:shd w:val="nil" w:color="auto" w:fill="auto"/>
                <w:rtl w:val="0"/>
                <w:lang w:val="en-US"/>
              </w:rPr>
              <w:t>Variances</w:t>
            </w:r>
          </w:p>
        </w:tc>
      </w:tr>
      <w:tr>
        <w:tblPrEx>
          <w:shd w:val="clear" w:color="auto" w:fill="ced7e7"/>
        </w:tblPrEx>
        <w:trPr>
          <w:trHeight w:val="350"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Units</w:t>
            </w:r>
            <w:r>
              <w:rPr>
                <w:shd w:val="nil" w:color="auto" w:fill="auto"/>
                <w:rtl w:val="0"/>
                <w:lang w:val="en-US"/>
              </w:rPr>
              <w:t> </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100000</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80000</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20000</w:t>
            </w:r>
          </w:p>
        </w:tc>
      </w:tr>
      <w:tr>
        <w:tblPrEx>
          <w:shd w:val="clear" w:color="auto" w:fill="ced7e7"/>
        </w:tblPrEx>
        <w:trPr>
          <w:trHeight w:val="350"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Selling price</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25</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20</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5</w:t>
            </w:r>
          </w:p>
        </w:tc>
      </w:tr>
      <w:tr>
        <w:tblPrEx>
          <w:shd w:val="clear" w:color="auto" w:fill="ced7e7"/>
        </w:tblPrEx>
        <w:trPr>
          <w:trHeight w:val="540" w:hRule="atLeast"/>
        </w:trPr>
        <w:tc>
          <w:tcPr>
            <w:tcW w:type="dxa" w:w="9009"/>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b w:val="1"/>
                <w:bCs w:val="1"/>
                <w:shd w:val="nil" w:color="auto" w:fill="auto"/>
                <w:rtl w:val="0"/>
                <w:lang w:val="en-US"/>
              </w:rPr>
              <w:t>Variable costs</w:t>
            </w:r>
          </w:p>
        </w:tc>
      </w:tr>
      <w:tr>
        <w:tblPrEx>
          <w:shd w:val="clear" w:color="auto" w:fill="ced7e7"/>
        </w:tblPrEx>
        <w:trPr>
          <w:trHeight w:val="350"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Labour</w:t>
            </w:r>
            <w:r>
              <w:rPr>
                <w:shd w:val="nil" w:color="auto" w:fill="auto"/>
                <w:rtl w:val="0"/>
                <w:lang w:val="en-US"/>
              </w:rPr>
              <w:t> </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400000</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440000</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(40000)</w:t>
            </w:r>
          </w:p>
        </w:tc>
      </w:tr>
      <w:tr>
        <w:tblPrEx>
          <w:shd w:val="clear" w:color="auto" w:fill="ced7e7"/>
        </w:tblPrEx>
        <w:trPr>
          <w:trHeight w:val="350"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Contribution</w:t>
            </w:r>
            <w:r>
              <w:rPr>
                <w:shd w:val="nil" w:color="auto" w:fill="auto"/>
                <w:rtl w:val="0"/>
                <w:lang w:val="en-US"/>
              </w:rPr>
              <w:t> </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1700000</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760000</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940000</w:t>
            </w:r>
          </w:p>
        </w:tc>
      </w:tr>
      <w:tr>
        <w:tblPrEx>
          <w:shd w:val="clear" w:color="auto" w:fill="ced7e7"/>
        </w:tblPrEx>
        <w:trPr>
          <w:trHeight w:val="350"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Materials</w:t>
            </w:r>
            <w:r>
              <w:rPr>
                <w:shd w:val="nil" w:color="auto" w:fill="auto"/>
                <w:rtl w:val="0"/>
                <w:lang w:val="en-US"/>
              </w:rPr>
              <w:t> </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250000</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280000</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(30000)</w:t>
            </w:r>
          </w:p>
        </w:tc>
      </w:tr>
      <w:tr>
        <w:tblPrEx>
          <w:shd w:val="clear" w:color="auto" w:fill="ced7e7"/>
        </w:tblPrEx>
        <w:trPr>
          <w:trHeight w:val="350"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Overhead</w:t>
            </w:r>
            <w:r>
              <w:rPr>
                <w:shd w:val="nil" w:color="auto" w:fill="auto"/>
                <w:rtl w:val="0"/>
                <w:lang w:val="en-US"/>
              </w:rPr>
              <w:t> </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150000</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120000</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30000</w:t>
            </w:r>
          </w:p>
        </w:tc>
      </w:tr>
      <w:tr>
        <w:tblPrEx>
          <w:shd w:val="clear" w:color="auto" w:fill="ced7e7"/>
        </w:tblPrEx>
        <w:trPr>
          <w:trHeight w:val="540" w:hRule="atLeast"/>
        </w:trPr>
        <w:tc>
          <w:tcPr>
            <w:tcW w:type="dxa" w:w="9009"/>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b w:val="1"/>
                <w:bCs w:val="1"/>
                <w:shd w:val="nil" w:color="auto" w:fill="auto"/>
                <w:rtl w:val="0"/>
                <w:lang w:val="en-US"/>
              </w:rPr>
              <w:t>Fixed overhead</w:t>
            </w:r>
          </w:p>
        </w:tc>
      </w:tr>
      <w:tr>
        <w:tblPrEx>
          <w:shd w:val="clear" w:color="auto" w:fill="ced7e7"/>
        </w:tblPrEx>
        <w:trPr>
          <w:trHeight w:val="350"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Insurance</w:t>
            </w:r>
            <w:r>
              <w:rPr>
                <w:shd w:val="nil" w:color="auto" w:fill="auto"/>
                <w:rtl w:val="0"/>
                <w:lang w:val="en-US"/>
              </w:rPr>
              <w:t> </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100000</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100000</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0</w:t>
            </w:r>
          </w:p>
        </w:tc>
      </w:tr>
      <w:tr>
        <w:tblPrEx>
          <w:shd w:val="clear" w:color="auto" w:fill="ced7e7"/>
        </w:tblPrEx>
        <w:trPr>
          <w:trHeight w:val="350"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Warehouse rent</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200000</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170000</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30000</w:t>
            </w:r>
          </w:p>
        </w:tc>
      </w:tr>
      <w:tr>
        <w:tblPrEx>
          <w:shd w:val="clear" w:color="auto" w:fill="ced7e7"/>
        </w:tblPrEx>
        <w:trPr>
          <w:trHeight w:val="795" w:hRule="atLeast"/>
        </w:trPr>
        <w:tc>
          <w:tcPr>
            <w:tcW w:type="dxa" w:w="431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Salary (warehouse supervisor for full time)</w:t>
            </w:r>
          </w:p>
        </w:tc>
        <w:tc>
          <w:tcPr>
            <w:tcW w:type="dxa" w:w="18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50000</w:t>
            </w:r>
          </w:p>
        </w:tc>
        <w:tc>
          <w:tcPr>
            <w:tcW w:type="dxa" w:w="164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35000</w:t>
            </w:r>
          </w:p>
        </w:tc>
        <w:tc>
          <w:tcPr>
            <w:tcW w:type="dxa" w:w="1228"/>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Normal (Web)"/>
              <w:spacing w:before="0" w:after="0" w:line="360" w:lineRule="auto"/>
              <w:jc w:val="both"/>
            </w:pPr>
            <w:r>
              <w:rPr>
                <w:shd w:val="nil" w:color="auto" w:fill="auto"/>
                <w:rtl w:val="0"/>
                <w:lang w:val="en-US"/>
              </w:rPr>
              <w:t>£</w:t>
            </w:r>
            <w:r>
              <w:rPr>
                <w:shd w:val="nil" w:color="auto" w:fill="auto"/>
                <w:rtl w:val="0"/>
                <w:lang w:val="en-US"/>
              </w:rPr>
              <w:t>15000</w:t>
            </w:r>
          </w:p>
        </w:tc>
      </w:tr>
    </w:tbl>
    <w:p>
      <w:pPr>
        <w:pStyle w:val="heading 2"/>
        <w:widowControl w:val="0"/>
        <w:spacing w:line="240" w:lineRule="auto"/>
        <w:ind w:left="216" w:hanging="216"/>
        <w:jc w:val="center"/>
        <w:rPr>
          <w:outline w:val="0"/>
          <w:color w:val="000000"/>
          <w:u w:color="000000"/>
          <w14:textFill>
            <w14:solidFill>
              <w14:srgbClr w14:val="000000"/>
            </w14:solidFill>
          </w14:textFill>
        </w:rPr>
      </w:pPr>
    </w:p>
    <w:p>
      <w:pPr>
        <w:pStyle w:val="heading 2"/>
        <w:widowControl w:val="0"/>
        <w:spacing w:line="240" w:lineRule="auto"/>
        <w:ind w:left="108" w:hanging="108"/>
        <w:jc w:val="center"/>
        <w:rPr>
          <w:outline w:val="0"/>
          <w:color w:val="000000"/>
          <w:u w:color="000000"/>
          <w14:textFill>
            <w14:solidFill>
              <w14:srgbClr w14:val="000000"/>
            </w14:solidFill>
          </w14:textFill>
        </w:rPr>
      </w:pPr>
    </w:p>
    <w:p>
      <w:pPr>
        <w:pStyle w:val="heading 2"/>
        <w:widowControl w:val="0"/>
        <w:spacing w:line="240" w:lineRule="auto"/>
        <w:jc w:val="center"/>
        <w:rPr>
          <w:outline w:val="0"/>
          <w:color w:val="000000"/>
          <w:u w:color="000000"/>
          <w14:textFill>
            <w14:solidFill>
              <w14:srgbClr w14:val="000000"/>
            </w14:solidFill>
          </w14:textFill>
        </w:rPr>
      </w:pPr>
    </w:p>
    <w:p>
      <w:pPr>
        <w:pStyle w:val="Normal (Web)"/>
        <w:spacing w:before="0" w:after="0" w:line="360" w:lineRule="auto"/>
        <w:jc w:val="center"/>
        <w:rPr>
          <w:outline w:val="0"/>
          <w:color w:val="000000"/>
          <w:u w:color="000000"/>
          <w14:textFill>
            <w14:solidFill>
              <w14:srgbClr w14:val="000000"/>
            </w14:solidFill>
          </w14:textFill>
        </w:rPr>
      </w:pPr>
      <w:r>
        <w:rPr>
          <w:b w:val="1"/>
          <w:bCs w:val="1"/>
          <w:outline w:val="0"/>
          <w:color w:val="000000"/>
          <w:u w:color="000000"/>
          <w:rtl w:val="0"/>
          <w:lang w:val="en-US"/>
          <w14:textFill>
            <w14:solidFill>
              <w14:srgbClr w14:val="000000"/>
            </w14:solidFill>
          </w14:textFill>
        </w:rPr>
        <w:t>Table 1: Monthly control report</w:t>
      </w:r>
    </w:p>
    <w:p>
      <w:pPr>
        <w:pStyle w:val="Normal (Web)"/>
        <w:spacing w:before="0" w:after="0" w:line="360" w:lineRule="auto"/>
        <w:jc w:val="center"/>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(Source: Created by Author)</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 xml:space="preserve">On basis of this report, this has been identified that this report comprises of 3 major aspects if budget. Within context of such budget table, this is identified that original budget, flexed budget and variances are recorded regarding Amana Ltd. However, as stated by Paradza and Daramola (2021), original budget is prepared by business firm within context for determining their future expenses. On other hand, it also can be opined that original budget gets forecasted the financial statement that has been prepared by companies to determine total expenses of organisation. With respect towards original budget, this is said that this is forecasted statement as financially that supports enterprise in protecting flow of cash with profit / loss statement of business. On contrary, when flexible budget has been taken into account, this is identified that this is budget, which adjust with many kinds of changes within terms of activities and volume. Such budgeting type is identified as much sophisticated and useful, while comparing with static budgets. Moreover, as opined by Phillips-Wren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(2021), it is identified that the static budget deals with kind of budget in which budgeted amount fails to change. Such amounts are identified remaining unchanged along with respect towards amount, which has been stated during preparing and approving static budget. This also is identified that amount of flexible budget has been identified.</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Original budget depicts forward-looking and detailed consolidated budgets for borrowers and guarantors within respect of first 24 months following date of such agreement showing the profit, loss statements, cash flow and balance sheet statements along with written assumptions.</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Flexible budget and flex budget ranges with changes within amount of flexed income earned. As explained by </w:t>
      </w:r>
      <w:r>
        <w:rPr>
          <w:outline w:val="0"/>
          <w:color w:val="000000"/>
          <w:u w:color="000000"/>
          <w:shd w:val="clear" w:color="auto" w:fill="ffffff"/>
          <w:rtl w:val="0"/>
          <w:lang w:val="en-US"/>
          <w14:textFill>
            <w14:solidFill>
              <w14:srgbClr w14:val="000000"/>
            </w14:solidFill>
          </w14:textFill>
        </w:rPr>
        <w:t>Rath (2021)</w:t>
      </w:r>
      <w:r>
        <w:rPr>
          <w:outline w:val="0"/>
          <w:color w:val="000000"/>
          <w:u w:color="000000"/>
          <w:rtl w:val="0"/>
          <w:lang w:val="en-US"/>
          <w14:textFill>
            <w14:solidFill>
              <w14:srgbClr w14:val="000000"/>
            </w14:solidFill>
          </w14:textFill>
        </w:rPr>
        <w:t>, it also can use percentages of income for some expenses, instead of usual fixed amounts. Such approach outcomes within better comparability for flexed results and budgeted results. It permits for infinite change series within budgeted expenses, which directly are tied to income volume. Such approach is quite purposive than static budget as flexible budget does respond towards changes within flexed income levels. Moreover, such approach avoids changes towards other costs, which fail to change as per small income variations. Consequently, much sophisticated format also can incorporate changes towards several additional expenses, in case, when some larger income changes occur, thus, accounting regarding step costs. Therefore, by making such changes to budget, enterprises can have tools to compare flexed towards budgeted performance at several activity levels.</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Budget variance acts as accounting term, which describes examples, where flexed costs either are lower and higher than projected and standard costs. As influenced by </w:t>
      </w:r>
      <w:r>
        <w:rPr>
          <w:outline w:val="0"/>
          <w:color w:val="000000"/>
          <w:u w:color="000000"/>
          <w:shd w:val="clear" w:color="auto" w:fill="ffffff"/>
          <w:rtl w:val="0"/>
          <w:lang w:val="en-US"/>
          <w14:textFill>
            <w14:solidFill>
              <w14:srgbClr w14:val="000000"/>
            </w14:solidFill>
          </w14:textFill>
        </w:rPr>
        <w:t>Skyrius (2021)</w:t>
      </w:r>
      <w:r>
        <w:rPr>
          <w:outline w:val="0"/>
          <w:color w:val="000000"/>
          <w:u w:color="000000"/>
          <w:rtl w:val="0"/>
          <w:lang w:val="en-US"/>
          <w14:textFill>
            <w14:solidFill>
              <w14:srgbClr w14:val="000000"/>
            </w14:solidFill>
          </w14:textFill>
        </w:rPr>
        <w:t>, negative and unfavourable budget variance appears as indicative of budget shortfall that can occur because incomes miss and costs come within higher than the anticipated. In addition, variances can occur for both external as well as internal causes and involve changing economic and business conditions, poor expectations and human error.</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Flexible budget permits for changes with updates as made, when all assumptions are used for devising budget getting altered. As suggested by </w:t>
      </w:r>
      <w:r>
        <w:rPr>
          <w:outline w:val="0"/>
          <w:color w:val="000000"/>
          <w:u w:color="000000"/>
          <w:shd w:val="clear" w:color="auto" w:fill="ffffff"/>
          <w:rtl w:val="0"/>
          <w:lang w:val="en-US"/>
          <w14:textFill>
            <w14:solidFill>
              <w14:srgbClr w14:val="000000"/>
            </w14:solidFill>
          </w14:textFill>
        </w:rPr>
        <w:t xml:space="preserve">Zhang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 xml:space="preserve">(2021), static budget does remains same, however, if even assumptions do change. Henceforth, flexible budget permits regarding greater adaptability towards changing circumstances that need to outcome within less of budget variance as both negatively as well as positively. For example, assuming production seems as cut, while variable costs also are going to get lower. Under flexible budget, it gets reflected and outcomes can be analysed at such lower production level. On other hand, as observed by </w:t>
      </w:r>
      <w:r>
        <w:rPr>
          <w:outline w:val="0"/>
          <w:color w:val="000000"/>
          <w:u w:color="000000"/>
          <w:shd w:val="clear" w:color="auto" w:fill="ffffff"/>
          <w:rtl w:val="0"/>
          <w:lang w:val="en-US"/>
          <w14:textFill>
            <w14:solidFill>
              <w14:srgbClr w14:val="000000"/>
            </w14:solidFill>
          </w14:textFill>
        </w:rPr>
        <w:t>Skyrius (2021)</w:t>
      </w:r>
      <w:r>
        <w:rPr>
          <w:outline w:val="0"/>
          <w:color w:val="000000"/>
          <w:u w:color="000000"/>
          <w:rtl w:val="0"/>
          <w:lang w:val="en-US"/>
          <w14:textFill>
            <w14:solidFill>
              <w14:srgbClr w14:val="000000"/>
            </w14:solidFill>
          </w14:textFill>
        </w:rPr>
        <w:t>, under static budget, original production level stays same and outcoming variance has not been revealed as well. This is worth observing that most businesses use flexible budgets regarding it very cause.</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Variance needs to be properly indicated as favourable as well as unfavourable in nature. Favourable variance appears as one, where income comes within higher than the budgeted and when expenses seem as lower than being predicted. Outcome can be greater revenue than forecasted originally. In comparison to this, unfavourable variance does occur when income falls short for budgeted expenses and amounts are quite higher than the predicted. This results in variances, where net revenue can be quite below what the management expected originally. If variances get considered material, then they can get investigated for determining cause. Management can get tasked to observe, if this does remedy situation. As mentioned by </w:t>
      </w:r>
      <w:r>
        <w:rPr>
          <w:outline w:val="0"/>
          <w:color w:val="000000"/>
          <w:u w:color="000000"/>
          <w:shd w:val="clear" w:color="auto" w:fill="ffffff"/>
          <w:rtl w:val="0"/>
          <w:lang w:val="en-US"/>
          <w14:textFill>
            <w14:solidFill>
              <w14:srgbClr w14:val="000000"/>
            </w14:solidFill>
          </w14:textFill>
        </w:rPr>
        <w:t xml:space="preserve">Mucci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(2021), definition of the material is different as well as subjective in nature based upon relative size and firm of variance. However, in case, if material variance does persist over expected time period, where management likely requires to analyse their budgeting process.</w:t>
      </w:r>
    </w:p>
    <w:p>
      <w:pPr>
        <w:pStyle w:val="heading 2"/>
        <w:rPr>
          <w:outline w:val="0"/>
          <w:color w:val="000000"/>
          <w:u w:color="000000"/>
          <w14:textFill>
            <w14:solidFill>
              <w14:srgbClr w14:val="000000"/>
            </w14:solidFill>
          </w14:textFill>
        </w:rPr>
      </w:pPr>
      <w:bookmarkStart w:name="_Toc3" w:id="4"/>
      <w:r>
        <w:rPr>
          <w:rFonts w:cs="Arial Unicode MS" w:eastAsia="Arial Unicode MS"/>
          <w:outline w:val="0"/>
          <w:color w:val="000000"/>
          <w:u w:color="000000"/>
          <w:rtl w:val="0"/>
          <w:lang w:val="en-US"/>
          <w14:textFill>
            <w14:solidFill>
              <w14:srgbClr w14:val="000000"/>
            </w14:solidFill>
          </w14:textFill>
        </w:rPr>
        <w:t>(ii) Report on Amana</w:t>
      </w:r>
      <w:r>
        <w:rPr>
          <w:rFonts w:cs="Arial Unicode MS" w:eastAsia="Arial Unicode MS" w:hint="default"/>
          <w:outline w:val="0"/>
          <w:color w:val="000000"/>
          <w:u w:color="000000"/>
          <w:rtl w:val="0"/>
          <w:lang w:val="en-US"/>
          <w14:textFill>
            <w14:solidFill>
              <w14:srgbClr w14:val="000000"/>
            </w14:solidFill>
          </w14:textFill>
        </w:rPr>
        <w:t>’</w:t>
      </w:r>
      <w:r>
        <w:rPr>
          <w:rFonts w:cs="Arial Unicode MS" w:eastAsia="Arial Unicode MS"/>
          <w:outline w:val="0"/>
          <w:color w:val="000000"/>
          <w:u w:color="000000"/>
          <w:rtl w:val="0"/>
          <w:lang w:val="en-US"/>
          <w14:textFill>
            <w14:solidFill>
              <w14:srgbClr w14:val="000000"/>
            </w14:solidFill>
          </w14:textFill>
        </w:rPr>
        <w:t>s performance during year 2020</w:t>
      </w:r>
      <w:bookmarkEnd w:id="4"/>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 xml:space="preserve">Contribution appraises theoretical underpinnings, which are concentrated upon family businesses within tourism. As stated by Maheshwari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(2021), it discusses opportunities with challenges regarding their development. It also identifies factors, which are facilitating innovative approaches, long-term sustainability, and growth prospects of Amana Ltd in tourism industry. Presently, there are only some contributions, which advance accurate knowledge with understanding of business development for Amana Ltd in tourism. It also addresses certain gaps as such entities comprise of lifeblood for tourist destinations within different contexts.</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shd w:val="clear" w:color="auto" w:fill="ffffff"/>
          <w:rtl w:val="0"/>
          <w:lang w:val="en-US"/>
          <w14:textFill>
            <w14:solidFill>
              <w14:srgbClr w14:val="000000"/>
            </w14:solidFill>
          </w14:textFill>
        </w:rPr>
        <w:t>Grounded within stewardship theory, the performance of Amana Ltd explores the meanings, actions, and motives of various stakeholders included in inter-family hospitality succession for Amana Ltd. Outcomes show that a well-defined succession plan with active involvement for successors in the succession process will foster stewardship commitment strongly to Amana Ltd. Moreover, open as well as clear communication strategy has been needed strategically to manage competition between potential successors in intra-family succession. Amana Ltd.</w:t>
      </w:r>
      <w:r>
        <w:rPr>
          <w:outline w:val="0"/>
          <w:color w:val="000000"/>
          <w:u w:color="000000"/>
          <w:shd w:val="clear" w:color="auto" w:fill="ffffff"/>
          <w:rtl w:val="0"/>
          <w:lang w:val="en-US"/>
          <w14:textFill>
            <w14:solidFill>
              <w14:srgbClr w14:val="000000"/>
            </w14:solidFill>
          </w14:textFill>
        </w:rPr>
        <w:t>’</w:t>
      </w:r>
      <w:r>
        <w:rPr>
          <w:outline w:val="0"/>
          <w:color w:val="000000"/>
          <w:u w:color="000000"/>
          <w:shd w:val="clear" w:color="auto" w:fill="ffffff"/>
          <w:rtl w:val="0"/>
          <w:lang w:val="en-US"/>
          <w14:textFill>
            <w14:solidFill>
              <w14:srgbClr w14:val="000000"/>
            </w14:solidFill>
          </w14:textFill>
        </w:rPr>
        <w:t>s succession process remains phenomenon, intensely discussed and instead their essentiality to tourism industry. As argued by Hillard and Sedaghat (2021), it also matters with intersection among tourism and performance of Amana Ltd is sparse. On other hand, tourism performance lacks multiple stakeholder views to capture holistically meanings, actions and motives of various stakeholders included in succession of Amana Ltd.</w:t>
      </w:r>
    </w:p>
    <w:p>
      <w:pPr>
        <w:pStyle w:val="heading 2"/>
        <w:rPr>
          <w:outline w:val="0"/>
          <w:color w:val="000000"/>
          <w:u w:color="000000"/>
          <w14:textFill>
            <w14:solidFill>
              <w14:srgbClr w14:val="000000"/>
            </w14:solidFill>
          </w14:textFill>
        </w:rPr>
      </w:pPr>
      <w:bookmarkStart w:name="_Toc4" w:id="5"/>
      <w:r>
        <w:rPr>
          <w:rFonts w:cs="Arial Unicode MS" w:eastAsia="Arial Unicode MS"/>
          <w:outline w:val="0"/>
          <w:color w:val="000000"/>
          <w:u w:color="000000"/>
          <w:rtl w:val="0"/>
          <w:lang w:val="en-US"/>
          <w14:textFill>
            <w14:solidFill>
              <w14:srgbClr w14:val="000000"/>
            </w14:solidFill>
          </w14:textFill>
        </w:rPr>
        <w:t>(iii) Recommendations to Amana</w:t>
      </w:r>
      <w:r>
        <w:rPr>
          <w:rFonts w:cs="Arial Unicode MS" w:eastAsia="Arial Unicode MS" w:hint="default"/>
          <w:outline w:val="0"/>
          <w:color w:val="000000"/>
          <w:u w:color="000000"/>
          <w:rtl w:val="0"/>
          <w:lang w:val="en-US"/>
          <w14:textFill>
            <w14:solidFill>
              <w14:srgbClr w14:val="000000"/>
            </w14:solidFill>
          </w14:textFill>
        </w:rPr>
        <w:t>’</w:t>
      </w:r>
      <w:r>
        <w:rPr>
          <w:rFonts w:cs="Arial Unicode MS" w:eastAsia="Arial Unicode MS"/>
          <w:outline w:val="0"/>
          <w:color w:val="000000"/>
          <w:u w:color="000000"/>
          <w:rtl w:val="0"/>
          <w:lang w:val="en-US"/>
          <w14:textFill>
            <w14:solidFill>
              <w14:srgbClr w14:val="000000"/>
            </w14:solidFill>
          </w14:textFill>
        </w:rPr>
        <w:t>s CEO upon improvement areas</w:t>
      </w:r>
      <w:bookmarkEnd w:id="5"/>
    </w:p>
    <w:p>
      <w:pPr>
        <w:pStyle w:val="Normal (Web)"/>
        <w:spacing w:before="0" w:after="0" w:line="360" w:lineRule="auto"/>
        <w:jc w:val="both"/>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Communicate</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Families have own communicating way, while as Amana Ltd should tell that this not is always best way. As proposed by </w:t>
      </w:r>
      <w:r>
        <w:rPr>
          <w:outline w:val="0"/>
          <w:color w:val="000000"/>
          <w:u w:color="000000"/>
          <w:shd w:val="clear" w:color="auto" w:fill="ffffff"/>
          <w:rtl w:val="0"/>
          <w:lang w:val="en-US"/>
          <w14:textFill>
            <w14:solidFill>
              <w14:srgbClr w14:val="000000"/>
            </w14:solidFill>
          </w14:textFill>
        </w:rPr>
        <w:t>Paradza and Daramola (2021)</w:t>
      </w:r>
      <w:r>
        <w:rPr>
          <w:outline w:val="0"/>
          <w:color w:val="000000"/>
          <w:u w:color="000000"/>
          <w:rtl w:val="0"/>
          <w:lang w:val="en-US"/>
          <w14:textFill>
            <w14:solidFill>
              <w14:srgbClr w14:val="000000"/>
            </w14:solidFill>
          </w14:textFill>
        </w:rPr>
        <w:t>, they also defy convention as well as make regular and open communication necessary part of Amana Ltd, when they sense communication issues, they immediately confront them as well.</w:t>
      </w:r>
    </w:p>
    <w:p>
      <w:pPr>
        <w:pStyle w:val="Normal (Web)"/>
        <w:spacing w:before="0" w:after="0" w:line="360" w:lineRule="auto"/>
        <w:jc w:val="both"/>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Evolve</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When there comes towards longevity along with success, which comes with this, changing with times is necessary for Amana Ltd. Whether this is aversion towards new technology and resistance towards changing norms of culture, Amana Ltd and people behind this, regardless for age need to evolve and risk alienating customers and staff.</w:t>
      </w:r>
    </w:p>
    <w:p>
      <w:pPr>
        <w:pStyle w:val="Normal (Web)"/>
        <w:spacing w:before="0" w:after="0" w:line="360" w:lineRule="auto"/>
        <w:jc w:val="both"/>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Setting boundaries</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Leaders for flourishing Amana Ltd know that boundary settings are complex towards maintaining as well as developing success. As adopted by </w:t>
      </w:r>
      <w:r>
        <w:rPr>
          <w:outline w:val="0"/>
          <w:color w:val="000000"/>
          <w:u w:color="000000"/>
          <w:shd w:val="clear" w:color="auto" w:fill="ffffff"/>
          <w:rtl w:val="0"/>
          <w:lang w:val="en-US"/>
          <w14:textFill>
            <w14:solidFill>
              <w14:srgbClr w14:val="000000"/>
            </w14:solidFill>
          </w14:textFill>
        </w:rPr>
        <w:t xml:space="preserve">Phillips-Wren </w:t>
      </w:r>
      <w:r>
        <w:rPr>
          <w:i w:val="1"/>
          <w:iCs w:val="1"/>
          <w:outline w:val="0"/>
          <w:color w:val="000000"/>
          <w:u w:color="000000"/>
          <w:shd w:val="clear" w:color="auto" w:fill="ffffff"/>
          <w:rtl w:val="0"/>
          <w:lang w:val="en-US"/>
          <w14:textFill>
            <w14:solidFill>
              <w14:srgbClr w14:val="000000"/>
            </w14:solidFill>
          </w14:textFill>
        </w:rPr>
        <w:t>et al.</w:t>
      </w:r>
      <w:r>
        <w:rPr>
          <w:outline w:val="0"/>
          <w:color w:val="000000"/>
          <w:u w:color="000000"/>
          <w:shd w:val="clear" w:color="auto" w:fill="ffffff"/>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(2021), upholding with instituting clear separation among family with business, while keeping family problems out of boardroom along with keeping working in office.</w:t>
      </w:r>
    </w:p>
    <w:p>
      <w:pPr>
        <w:pStyle w:val="Normal (Web)"/>
        <w:spacing w:before="0" w:after="0" w:line="360" w:lineRule="auto"/>
        <w:jc w:val="both"/>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Practising better governance</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Setting boundaries extends to governance of Amana Ltd as better governance needs leaders</w:t>
      </w:r>
      <w:r>
        <w:rPr>
          <w:outline w:val="0"/>
          <w:color w:val="000000"/>
          <w:u w:color="000000"/>
          <w:rtl w:val="0"/>
          <w:lang w:val="en-US"/>
          <w14:textFill>
            <w14:solidFill>
              <w14:srgbClr w14:val="000000"/>
            </w14:solidFill>
          </w14:textFill>
        </w:rPr>
        <w:t xml:space="preserve">’ </w:t>
      </w:r>
      <w:r>
        <w:rPr>
          <w:outline w:val="0"/>
          <w:color w:val="000000"/>
          <w:u w:color="000000"/>
          <w:rtl w:val="0"/>
          <w:lang w:val="en-US"/>
          <w14:textFill>
            <w14:solidFill>
              <w14:srgbClr w14:val="000000"/>
            </w14:solidFill>
          </w14:textFill>
        </w:rPr>
        <w:t>involvement outside this business. Its oversight employed through leading Amana Ltd globally that typically takes shape of supervisory, advisory and professional board consisted of the non-family members along with limited amount for family representatives.</w:t>
      </w:r>
    </w:p>
    <w:p>
      <w:pPr>
        <w:pStyle w:val="Normal (Web)"/>
        <w:spacing w:before="0" w:after="0" w:line="360" w:lineRule="auto"/>
        <w:jc w:val="both"/>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Recruit from outside</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Only as this is vital to develop governance with Amana Ltd at helm, this is necessary to hire outside their family both for leadership and employee positions. As described by </w:t>
      </w:r>
      <w:r>
        <w:rPr>
          <w:outline w:val="0"/>
          <w:color w:val="000000"/>
          <w:u w:color="000000"/>
          <w:shd w:val="clear" w:color="auto" w:fill="ffffff"/>
          <w:rtl w:val="0"/>
          <w:lang w:val="en-US"/>
          <w14:textFill>
            <w14:solidFill>
              <w14:srgbClr w14:val="000000"/>
            </w14:solidFill>
          </w14:textFill>
        </w:rPr>
        <w:t>Rath (2021)</w:t>
      </w:r>
      <w:r>
        <w:rPr>
          <w:outline w:val="0"/>
          <w:color w:val="000000"/>
          <w:u w:color="000000"/>
          <w:rtl w:val="0"/>
          <w:lang w:val="en-US"/>
          <w14:textFill>
            <w14:solidFill>
              <w14:srgbClr w14:val="000000"/>
            </w14:solidFill>
          </w14:textFill>
        </w:rPr>
        <w:t>, there prevails talented world in Amana Ltd successfully by tapping in such talent pool regarding skills that expertise them for not having.</w:t>
      </w:r>
    </w:p>
    <w:p>
      <w:pPr>
        <w:pStyle w:val="Normal (Web)"/>
        <w:spacing w:before="0" w:after="0" w:line="360" w:lineRule="auto"/>
        <w:jc w:val="both"/>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Treating staff as family</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Amana Ltd as successfully treating all as family, as whether they have not been relatives as such practice most often extends to consumers also. Employed through Amana Ltd for over these years, such redefining family tactics boosts up leadership and employees to increase bar as further gets valued offered.</w:t>
      </w:r>
    </w:p>
    <w:p>
      <w:pPr>
        <w:pStyle w:val="Normal (Web)"/>
        <w:spacing w:before="0" w:after="0" w:line="360" w:lineRule="auto"/>
        <w:jc w:val="both"/>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Making this optional</w:t>
      </w:r>
    </w:p>
    <w:p>
      <w:pPr>
        <w:pStyle w:val="Normal (Web)"/>
        <w:spacing w:before="0" w:after="0" w:line="360" w:lineRule="auto"/>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Amana Ltd fails to guilt and strong-arm relatives in joining this business. As discussed by </w:t>
      </w:r>
      <w:r>
        <w:rPr>
          <w:outline w:val="0"/>
          <w:color w:val="000000"/>
          <w:u w:color="000000"/>
          <w:shd w:val="clear" w:color="auto" w:fill="ffffff"/>
          <w:rtl w:val="0"/>
          <w:lang w:val="en-US"/>
          <w14:textFill>
            <w14:solidFill>
              <w14:srgbClr w14:val="000000"/>
            </w14:solidFill>
          </w14:textFill>
        </w:rPr>
        <w:t>Skyrius (2021)</w:t>
      </w:r>
      <w:r>
        <w:rPr>
          <w:outline w:val="0"/>
          <w:color w:val="000000"/>
          <w:u w:color="000000"/>
          <w:rtl w:val="0"/>
          <w:lang w:val="en-US"/>
          <w14:textFill>
            <w14:solidFill>
              <w14:srgbClr w14:val="000000"/>
            </w14:solidFill>
          </w14:textFill>
        </w:rPr>
        <w:t>, this makes working regarding Amana Ltd as optional that requires staff, who appear as passionate both about cooperation with their role in it. Thus, permitting them to come towards them upon their own that leads to satisfied staff as well as better business.</w:t>
      </w:r>
    </w:p>
    <w:p>
      <w:pPr>
        <w:pStyle w:val="Normal (Web)"/>
        <w:spacing w:before="0" w:after="0" w:line="360" w:lineRule="auto"/>
        <w:jc w:val="both"/>
        <w:rPr>
          <w:outline w:val="0"/>
          <w:color w:val="000000"/>
          <w:u w:color="000000"/>
          <w14:textFill>
            <w14:solidFill>
              <w14:srgbClr w14:val="000000"/>
            </w14:solidFill>
          </w14:textFill>
        </w:rPr>
      </w:pPr>
      <w:r>
        <w:rPr>
          <w:b w:val="1"/>
          <w:bCs w:val="1"/>
          <w:i w:val="1"/>
          <w:iCs w:val="1"/>
          <w:outline w:val="0"/>
          <w:color w:val="000000"/>
          <w:u w:color="000000"/>
          <w:rtl w:val="0"/>
          <w:lang w:val="en-US"/>
          <w14:textFill>
            <w14:solidFill>
              <w14:srgbClr w14:val="000000"/>
            </w14:solidFill>
          </w14:textFill>
        </w:rPr>
        <w:t>Planning for future</w:t>
      </w:r>
    </w:p>
    <w:p>
      <w:pPr>
        <w:pStyle w:val="Normal.0"/>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Amana Ltd as successfully does not only let chips fall in which they can plan for future by making succession plans for them on before, which actually they require them. In addition to this, they identify talent within staff, both outside and inside of it by investing within them previously upon for ensuring brilliant leadership in future.</w:t>
      </w:r>
    </w:p>
    <w:p>
      <w:pPr>
        <w:pStyle w:val="Normal.0"/>
        <w:spacing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p>
    <w:p>
      <w:pPr>
        <w:pStyle w:val="Normal.0"/>
      </w:pP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1"/>
        <w:rPr>
          <w:outline w:val="0"/>
          <w:color w:val="000000"/>
          <w:u w:color="000000"/>
          <w14:textFill>
            <w14:solidFill>
              <w14:srgbClr w14:val="000000"/>
            </w14:solidFill>
          </w14:textFill>
        </w:rPr>
      </w:pPr>
      <w:bookmarkStart w:name="_Toc5" w:id="6"/>
      <w:r>
        <w:rPr>
          <w:rFonts w:cs="Arial Unicode MS" w:eastAsia="Arial Unicode MS"/>
          <w:outline w:val="0"/>
          <w:color w:val="000000"/>
          <w:u w:color="000000"/>
          <w:rtl w:val="0"/>
          <w:lang w:val="en-US"/>
          <w14:textFill>
            <w14:solidFill>
              <w14:srgbClr w14:val="000000"/>
            </w14:solidFill>
          </w14:textFill>
        </w:rPr>
        <w:t xml:space="preserve">PART B </w:t>
      </w:r>
      <w:bookmarkEnd w:id="6"/>
    </w:p>
    <w:p>
      <w:pPr>
        <w:pStyle w:val="Normal.0"/>
        <w:spacing w:line="360" w:lineRule="auto"/>
        <w:jc w:val="both"/>
        <w:rPr>
          <w:rFonts w:ascii="Times New Roman" w:cs="Times New Roman" w:hAnsi="Times New Roman" w:eastAsia="Times New Roman"/>
          <w:b w:val="1"/>
          <w:bCs w:val="1"/>
          <w:outline w:val="0"/>
          <w:color w:val="000000"/>
          <w:sz w:val="24"/>
          <w:szCs w:val="24"/>
          <w:u w:color="000000"/>
          <w14:textFill>
            <w14:solidFill>
              <w14:srgbClr w14:val="000000"/>
            </w14:solidFill>
          </w14:textFill>
        </w:rPr>
      </w:pPr>
      <w:r>
        <w:rPr>
          <w:rFonts w:ascii="Times New Roman" w:hAnsi="Times New Roman"/>
          <w:b w:val="1"/>
          <w:bCs w:val="1"/>
          <w:outline w:val="0"/>
          <w:color w:val="000000"/>
          <w:sz w:val="24"/>
          <w:szCs w:val="24"/>
          <w:u w:color="000000"/>
          <w:rtl w:val="0"/>
          <w:lang w:val="en-US"/>
          <w14:textFill>
            <w14:solidFill>
              <w14:srgbClr w14:val="000000"/>
            </w14:solidFill>
          </w14:textFill>
        </w:rPr>
        <w:t>Analysis of Mr Amana</w:t>
      </w:r>
      <w:r>
        <w:rPr>
          <w:rFonts w:ascii="Times New Roman" w:hAnsi="Times New Roman" w:hint="default"/>
          <w:b w:val="1"/>
          <w:bCs w:val="1"/>
          <w:outline w:val="0"/>
          <w:color w:val="000000"/>
          <w:sz w:val="24"/>
          <w:szCs w:val="24"/>
          <w:u w:color="000000"/>
          <w:rtl w:val="0"/>
          <w:lang w:val="en-US"/>
          <w14:textFill>
            <w14:solidFill>
              <w14:srgbClr w14:val="000000"/>
            </w14:solidFill>
          </w14:textFill>
        </w:rPr>
        <w:t>’</w:t>
      </w:r>
      <w:r>
        <w:rPr>
          <w:rFonts w:ascii="Times New Roman" w:hAnsi="Times New Roman"/>
          <w:b w:val="1"/>
          <w:bCs w:val="1"/>
          <w:outline w:val="0"/>
          <w:color w:val="000000"/>
          <w:sz w:val="24"/>
          <w:szCs w:val="24"/>
          <w:u w:color="000000"/>
          <w:rtl w:val="0"/>
          <w:lang w:val="en-US"/>
          <w14:textFill>
            <w14:solidFill>
              <w14:srgbClr w14:val="000000"/>
            </w14:solidFill>
          </w14:textFill>
        </w:rPr>
        <w:t xml:space="preserve">s decision to go online and advising if they should set up their own online shop or sell upon Amazon, considering all relevant costs </w:t>
      </w:r>
    </w:p>
    <w:p>
      <w:pPr>
        <w:pStyle w:val="Normal.0"/>
        <w:spacing w:before="240" w:after="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The decision to go online of Mr. Amana will be highly effective since it can incur the sources of competitive advantage and ensure the streamline of the business activities. </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 xml:space="preserve">However, there is a requirement for setting of the proper budget where the delivery network will take around </w:t>
      </w:r>
      <w:r>
        <w:rPr>
          <w:rFonts w:ascii="Times New Roman" w:hAnsi="Times New Roman" w:hint="default"/>
          <w:b w:val="1"/>
          <w:bCs w:val="1"/>
          <w:i w:val="1"/>
          <w:iCs w:val="1"/>
          <w:outline w:val="0"/>
          <w:color w:val="000000"/>
          <w:sz w:val="24"/>
          <w:szCs w:val="24"/>
          <w:u w:color="000000"/>
          <w:rtl w:val="0"/>
          <w:lang w:val="en-US"/>
          <w14:textFill>
            <w14:solidFill>
              <w14:srgbClr w14:val="000000"/>
            </w14:solidFill>
          </w14:textFill>
        </w:rPr>
        <w:t>£</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 xml:space="preserve">150,000 and moving 50% of the business into an online system where the choice of potential customers can be identified effectively. </w:t>
      </w:r>
      <w:r>
        <w:rPr>
          <w:rFonts w:ascii="Times New Roman" w:hAnsi="Times New Roman"/>
          <w:outline w:val="0"/>
          <w:color w:val="000000"/>
          <w:sz w:val="24"/>
          <w:szCs w:val="24"/>
          <w:u w:color="000000"/>
          <w:rtl w:val="0"/>
          <w:lang w:val="en-US"/>
          <w14:textFill>
            <w14:solidFill>
              <w14:srgbClr w14:val="000000"/>
            </w14:solidFill>
          </w14:textFill>
        </w:rPr>
        <w:t>According to the findings of Moon</w:t>
      </w:r>
      <w:r>
        <w:rPr>
          <w:rFonts w:ascii="Times New Roman" w:hAnsi="Times New Roman"/>
          <w:i w:val="1"/>
          <w:iCs w:val="1"/>
          <w:outline w:val="0"/>
          <w:color w:val="000000"/>
          <w:sz w:val="24"/>
          <w:szCs w:val="24"/>
          <w:u w:color="000000"/>
          <w:rtl w:val="0"/>
          <w:lang w:val="en-US"/>
          <w14:textFill>
            <w14:solidFill>
              <w14:srgbClr w14:val="000000"/>
            </w14:solidFill>
          </w14:textFill>
        </w:rPr>
        <w:t xml:space="preserve"> et al.</w:t>
      </w:r>
      <w:r>
        <w:rPr>
          <w:rFonts w:ascii="Times New Roman" w:hAnsi="Times New Roman"/>
          <w:outline w:val="0"/>
          <w:color w:val="000000"/>
          <w:sz w:val="24"/>
          <w:szCs w:val="24"/>
          <w:u w:color="000000"/>
          <w:rtl w:val="0"/>
          <w:lang w:val="en-US"/>
          <w14:textFill>
            <w14:solidFill>
              <w14:srgbClr w14:val="000000"/>
            </w14:solidFill>
          </w14:textFill>
        </w:rPr>
        <w:t xml:space="preserve"> (2021) it is evident that there is an advanced intelligent system, which is linked with the determination of customer satisfaction. However, there is a significant cost relating to the upgrade of the current website channel to handle a large volume of sales by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50,000 and after analysis of the market research there will be guaranteed sales of 100,000 units annually.</w:t>
      </w:r>
    </w:p>
    <w:p>
      <w:pPr>
        <w:pStyle w:val="Normal.0"/>
        <w:spacing w:before="240" w:after="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The decision to go online is the result of the quality of the product, compared prices of the product with the local market scenario and the effective analysis of the customer shopping behaviour. There is another important inclusion of a full-time IT programmer that accounts to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 xml:space="preserve">50,000 per annum. On the other hand, the decision to go online is associated with the system of </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multi-attribute online decision-making by the system of opinion mining</w:t>
      </w:r>
      <w:r>
        <w:rPr>
          <w:rFonts w:ascii="Times New Roman" w:hAnsi="Times New Roman"/>
          <w:outline w:val="0"/>
          <w:color w:val="000000"/>
          <w:sz w:val="24"/>
          <w:szCs w:val="24"/>
          <w:u w:color="000000"/>
          <w:rtl w:val="0"/>
          <w:lang w:val="en-US"/>
          <w14:textFill>
            <w14:solidFill>
              <w14:srgbClr w14:val="000000"/>
            </w14:solidFill>
          </w14:textFill>
        </w:rPr>
        <w:t xml:space="preserve"> (Shamim</w:t>
      </w:r>
      <w:r>
        <w:rPr>
          <w:rFonts w:ascii="Times New Roman" w:hAnsi="Times New Roman"/>
          <w:i w:val="1"/>
          <w:iCs w:val="1"/>
          <w:outline w:val="0"/>
          <w:color w:val="000000"/>
          <w:sz w:val="24"/>
          <w:szCs w:val="24"/>
          <w:u w:color="000000"/>
          <w:rtl w:val="0"/>
          <w:lang w:val="en-US"/>
          <w14:textFill>
            <w14:solidFill>
              <w14:srgbClr w14:val="000000"/>
            </w14:solidFill>
          </w14:textFill>
        </w:rPr>
        <w:t xml:space="preserve"> et al.</w:t>
      </w:r>
      <w:r>
        <w:rPr>
          <w:rFonts w:ascii="Times New Roman" w:hAnsi="Times New Roman"/>
          <w:outline w:val="0"/>
          <w:color w:val="000000"/>
          <w:sz w:val="24"/>
          <w:szCs w:val="24"/>
          <w:u w:color="000000"/>
          <w:rtl w:val="0"/>
          <w:lang w:val="en-US"/>
          <w14:textFill>
            <w14:solidFill>
              <w14:srgbClr w14:val="000000"/>
            </w14:solidFill>
          </w14:textFill>
        </w:rPr>
        <w:t xml:space="preserve"> 2021). To go online there is a requirement for the market research activity and it needs to be ensured by Mr. Amana. On the other hand, the findings of Cheng</w:t>
      </w:r>
      <w:r>
        <w:rPr>
          <w:rFonts w:ascii="Times New Roman" w:hAnsi="Times New Roman"/>
          <w:i w:val="1"/>
          <w:iCs w:val="1"/>
          <w:outline w:val="0"/>
          <w:color w:val="000000"/>
          <w:sz w:val="24"/>
          <w:szCs w:val="24"/>
          <w:u w:color="000000"/>
          <w:rtl w:val="0"/>
          <w:lang w:val="en-US"/>
          <w14:textFill>
            <w14:solidFill>
              <w14:srgbClr w14:val="000000"/>
            </w14:solidFill>
          </w14:textFill>
        </w:rPr>
        <w:t xml:space="preserve"> et al.</w:t>
      </w:r>
      <w:r>
        <w:rPr>
          <w:rFonts w:ascii="Times New Roman" w:hAnsi="Times New Roman"/>
          <w:outline w:val="0"/>
          <w:color w:val="000000"/>
          <w:sz w:val="24"/>
          <w:szCs w:val="24"/>
          <w:u w:color="000000"/>
          <w:rtl w:val="0"/>
          <w:lang w:val="en-US"/>
          <w14:textFill>
            <w14:solidFill>
              <w14:srgbClr w14:val="000000"/>
            </w14:solidFill>
          </w14:textFill>
        </w:rPr>
        <w:t xml:space="preserve"> (2021) reveal that the power</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 xml:space="preserve"> enterprise data model is a new era of the decision management system and linked with the relationships of the time and profitability of the event with the specified focus on the customer choices and preferences</w:t>
      </w:r>
      <w:r>
        <w:rPr>
          <w:rFonts w:ascii="Times New Roman" w:hAnsi="Times New Roman"/>
          <w:outline w:val="0"/>
          <w:color w:val="000000"/>
          <w:sz w:val="24"/>
          <w:szCs w:val="24"/>
          <w:u w:color="000000"/>
          <w:rtl w:val="0"/>
          <w:lang w:val="en-US"/>
          <w14:textFill>
            <w14:solidFill>
              <w14:srgbClr w14:val="000000"/>
            </w14:solidFill>
          </w14:textFill>
        </w:rPr>
        <w:t>. Mr. Amana has observed that most of its competitors sell online products to the potential customers in the UK with the development of streamlining of the offered business operations</w:t>
      </w:r>
    </w:p>
    <w:p>
      <w:pPr>
        <w:pStyle w:val="Normal.0"/>
        <w:spacing w:before="240" w:after="240" w:line="360" w:lineRule="auto"/>
        <w:jc w:val="both"/>
        <w:rPr>
          <w:outline w:val="0"/>
          <w:color w:val="000000"/>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The system to go online will be a highly effective approach for Mr. Amana in terms of the </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time series forecasting, where it is important to optimise the efficiency of the supply chain system</w:t>
      </w:r>
      <w:r>
        <w:rPr>
          <w:rFonts w:ascii="Times New Roman" w:hAnsi="Times New Roman"/>
          <w:outline w:val="0"/>
          <w:color w:val="000000"/>
          <w:sz w:val="24"/>
          <w:szCs w:val="24"/>
          <w:u w:color="000000"/>
          <w:rtl w:val="0"/>
          <w:lang w:val="en-US"/>
          <w14:textFill>
            <w14:solidFill>
              <w14:srgbClr w14:val="000000"/>
            </w14:solidFill>
          </w14:textFill>
        </w:rPr>
        <w:t xml:space="preserve">. Decision to go online is also confined to the </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market research-based activities</w:t>
      </w:r>
      <w:r>
        <w:rPr>
          <w:rFonts w:ascii="Times New Roman" w:hAnsi="Times New Roman"/>
          <w:outline w:val="0"/>
          <w:color w:val="000000"/>
          <w:sz w:val="24"/>
          <w:szCs w:val="24"/>
          <w:u w:color="000000"/>
          <w:rtl w:val="0"/>
          <w:lang w:val="en-US"/>
          <w14:textFill>
            <w14:solidFill>
              <w14:srgbClr w14:val="000000"/>
            </w14:solidFill>
          </w14:textFill>
        </w:rPr>
        <w:t xml:space="preserve">. According to the findings of Villegas, and Pedregal (2018) it is evident that the idea to go online of a business is confined to two important elements including the </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forecasts and time, where predictions of the business scenarios can also be identified.</w:t>
      </w:r>
    </w:p>
    <w:p>
      <w:pPr>
        <w:pStyle w:val="Normal.0"/>
        <w:spacing w:before="240" w:after="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It has been identified from the provided information that the business has also an alternative relating to </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selling of products directly at Amazon and is highly justifiable</w:t>
      </w:r>
      <w:r>
        <w:rPr>
          <w:rFonts w:ascii="Times New Roman" w:hAnsi="Times New Roman"/>
          <w:outline w:val="0"/>
          <w:color w:val="000000"/>
          <w:sz w:val="24"/>
          <w:szCs w:val="24"/>
          <w:u w:color="000000"/>
          <w:rtl w:val="0"/>
          <w:lang w:val="en-US"/>
          <w14:textFill>
            <w14:solidFill>
              <w14:srgbClr w14:val="000000"/>
            </w14:solidFill>
          </w14:textFill>
        </w:rPr>
        <w:t xml:space="preserve">. Justification of selling at Amazon can ensure the highest levels of profitability and develop product awareness. Before selling products at Amazon, Mr. Amana needs to consider the fulfilment fees at Amazon that accounts for </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50,000. Since the online platform is highly competitive between Amana Souvenirs and other sellers, it is advisable that the company should sell its products in Amazon and it can ensure the potential to increase which is dependent on the customer demand of the offered products.</w:t>
      </w:r>
    </w:p>
    <w:p>
      <w:pPr>
        <w:pStyle w:val="Normal.0"/>
        <w:spacing w:before="240" w:after="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According to the findings of the scenario it has been identified that there will be guaranteed sales of 65,000 units annually if the company performs a tie-up with Amazon.</w:t>
      </w:r>
      <w:r>
        <w:rPr>
          <w:rFonts w:ascii="Times New Roman" w:hAnsi="Times New Roman"/>
          <w:outline w:val="0"/>
          <w:color w:val="000000"/>
          <w:sz w:val="24"/>
          <w:szCs w:val="24"/>
          <w:u w:color="000000"/>
          <w:rtl w:val="0"/>
          <w:lang w:val="en-US"/>
          <w14:textFill>
            <w14:solidFill>
              <w14:srgbClr w14:val="000000"/>
            </w14:solidFill>
          </w14:textFill>
        </w:rPr>
        <w:t xml:space="preserve"> It is highly effective because Mr. Amana encounter problems relating to the lack of control of pricing and product return policies. According to the findings of Garcia (2021) it is evident that Amazon is one of the most popular platforms for supporting small businesses and has included the set of resources, tools, and assistance for the benefit of these companies along with the inclusion of positive growth of SMEs. Since most of the competitors are using the online platform fort the proper business growth policy, hence it is suggested that Mr. Amana should use Amazon as the most useful online marketing platform so that the products can be reached to a wide range of audiences. There is an improved system of the digital marketing cum e-commerce system and it has been implemented by Amazon which is a significant benefit for many companies. The findings of Dillaway (2021) reveal that a </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significant portion of products at Amazon is sold by third-party vendors and providing the access to the wider consumer markets</w:t>
      </w:r>
      <w:r>
        <w:rPr>
          <w:rFonts w:ascii="Times New Roman" w:hAnsi="Times New Roman"/>
          <w:outline w:val="0"/>
          <w:color w:val="000000"/>
          <w:sz w:val="24"/>
          <w:szCs w:val="24"/>
          <w:u w:color="000000"/>
          <w:rtl w:val="0"/>
          <w:lang w:val="en-US"/>
          <w14:textFill>
            <w14:solidFill>
              <w14:srgbClr w14:val="000000"/>
            </w14:solidFill>
          </w14:textFill>
        </w:rPr>
        <w:t>.</w:t>
      </w:r>
    </w:p>
    <w:p>
      <w:pPr>
        <w:pStyle w:val="Normal.0"/>
        <w:spacing w:before="240" w:after="240" w:line="360" w:lineRule="auto"/>
        <w:jc w:val="both"/>
        <w:rPr>
          <w:outline w:val="0"/>
          <w:color w:val="000000"/>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 Again, the findings of Dillaway (2021) reveal that selling of products at Amazon include the liability insurance of the products being marketed within their website. Therefore, it will be a major benefit for Mr. Amana in terms of the claims of any losses, damages, or the arising costs from the sale of product through Amazon and the website has been using </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the public listing system for the offered products</w:t>
      </w:r>
      <w:r>
        <w:rPr>
          <w:rFonts w:ascii="Times New Roman" w:hAnsi="Times New Roman"/>
          <w:outline w:val="0"/>
          <w:color w:val="000000"/>
          <w:sz w:val="24"/>
          <w:szCs w:val="24"/>
          <w:u w:color="000000"/>
          <w:rtl w:val="0"/>
          <w:lang w:val="en-US"/>
          <w14:textFill>
            <w14:solidFill>
              <w14:srgbClr w14:val="000000"/>
            </w14:solidFill>
          </w14:textFill>
        </w:rPr>
        <w:t xml:space="preserve">. The guarantee of products is being maintained under the timely delivery system and the customers are eligible for refund if the product fails to satisfy the preferences. Lastly, Amazon is a much better platform instead of establishing its own online shop. </w:t>
      </w:r>
    </w:p>
    <w:p>
      <w:pPr>
        <w:pStyle w:val="heading 1"/>
        <w:rPr>
          <w:outline w:val="0"/>
          <w:color w:val="000000"/>
          <w:u w:color="000000"/>
          <w14:textFill>
            <w14:solidFill>
              <w14:srgbClr w14:val="000000"/>
            </w14:solidFill>
          </w14:textFill>
        </w:rPr>
      </w:pPr>
      <w:bookmarkStart w:name="_Toc6" w:id="7"/>
      <w:bookmarkStart w:name="_r470sq4yz0" w:id="8"/>
      <w:bookmarkEnd w:id="8"/>
      <w:r>
        <w:rPr>
          <w:rFonts w:cs="Arial Unicode MS" w:eastAsia="Arial Unicode MS"/>
          <w:outline w:val="0"/>
          <w:color w:val="000000"/>
          <w:u w:color="000000"/>
          <w:rtl w:val="0"/>
          <w:lang w:val="en-US"/>
          <w14:textFill>
            <w14:solidFill>
              <w14:srgbClr w14:val="000000"/>
            </w14:solidFill>
          </w14:textFill>
        </w:rPr>
        <w:t>C</w:t>
      </w:r>
      <w:r>
        <w:rPr>
          <w:rFonts w:cs="Arial Unicode MS" w:eastAsia="Arial Unicode MS"/>
          <w:outline w:val="0"/>
          <w:color w:val="000000"/>
          <w:u w:color="000000"/>
          <w:rtl w:val="0"/>
          <w:lang w:val="en-US"/>
          <w14:textFill>
            <w14:solidFill>
              <w14:srgbClr w14:val="000000"/>
            </w14:solidFill>
          </w14:textFill>
        </w:rPr>
        <w:t xml:space="preserve">onclusion </w:t>
      </w:r>
      <w:bookmarkEnd w:id="7"/>
    </w:p>
    <w:p>
      <w:pPr>
        <w:pStyle w:val="Normal.0"/>
        <w:spacing w:before="240" w:after="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From the overall study, it can be concluded that Mr. Amana's decision is to develop the policy of online system for the promotion of products and reaching to the wider-levels of audience. The first part of this assessment has provided the understanding of data handling and business intelligence with the specified focus on monthly control reports with original budget, flexible budget, and the associated variances levels. During the year 2020 Amana</w:t>
      </w:r>
      <w:r>
        <w:rPr>
          <w:rFonts w:ascii="Times New Roman" w:hAnsi="Times New Roman" w:hint="default"/>
          <w:outline w:val="0"/>
          <w:color w:val="000000"/>
          <w:sz w:val="24"/>
          <w:szCs w:val="24"/>
          <w:u w:color="000000"/>
          <w:rtl w:val="0"/>
          <w:lang w:val="en-US"/>
          <w14:textFill>
            <w14:solidFill>
              <w14:srgbClr w14:val="000000"/>
            </w14:solidFill>
          </w14:textFill>
        </w:rPr>
        <w:t>’</w:t>
      </w:r>
      <w:r>
        <w:rPr>
          <w:rFonts w:ascii="Times New Roman" w:hAnsi="Times New Roman"/>
          <w:outline w:val="0"/>
          <w:color w:val="000000"/>
          <w:sz w:val="24"/>
          <w:szCs w:val="24"/>
          <w:u w:color="000000"/>
          <w:rtl w:val="0"/>
          <w:lang w:val="en-US"/>
          <w14:textFill>
            <w14:solidFill>
              <w14:srgbClr w14:val="000000"/>
            </w14:solidFill>
          </w14:textFill>
        </w:rPr>
        <w:t xml:space="preserve">s performance is associated with </w:t>
      </w:r>
      <w:r>
        <w:rPr>
          <w:rFonts w:ascii="Times New Roman" w:hAnsi="Times New Roman"/>
          <w:b w:val="1"/>
          <w:bCs w:val="1"/>
          <w:i w:val="1"/>
          <w:iCs w:val="1"/>
          <w:outline w:val="0"/>
          <w:color w:val="000000"/>
          <w:sz w:val="24"/>
          <w:szCs w:val="24"/>
          <w:u w:color="000000"/>
          <w:rtl w:val="0"/>
          <w:lang w:val="en-US"/>
          <w14:textFill>
            <w14:solidFill>
              <w14:srgbClr w14:val="000000"/>
            </w14:solidFill>
          </w14:textFill>
        </w:rPr>
        <w:t>stewardship theory</w:t>
      </w:r>
      <w:r>
        <w:rPr>
          <w:rFonts w:ascii="Times New Roman" w:hAnsi="Times New Roman"/>
          <w:outline w:val="0"/>
          <w:color w:val="000000"/>
          <w:sz w:val="24"/>
          <w:szCs w:val="24"/>
          <w:u w:color="000000"/>
          <w:rtl w:val="0"/>
          <w:lang w:val="en-US"/>
          <w14:textFill>
            <w14:solidFill>
              <w14:srgbClr w14:val="000000"/>
            </w14:solidFill>
          </w14:textFill>
        </w:rPr>
        <w:t xml:space="preserve"> and the identifiable strategy of a clear communication channel. However, the tourism performance lacks significant stakeholder views and the activities of various stakeholders are being taken into account. The first pat has also highlighted recommendations to the CEO of Amana regarding the further improvements in the offered operations segment</w:t>
      </w:r>
    </w:p>
    <w:p>
      <w:pPr>
        <w:pStyle w:val="Normal.0"/>
        <w:spacing w:before="240" w:after="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From the second part, it is recommended that Mr. Amana should effectively use Amazon for the product listing and is a much better option rather than the establishment of a specified online channel. Timely delivery system and product liability insurance makes Amazon is a reliable and sustainable platform for the expansion of business operations and is a significant benefit for Mr. Amana for the determination of brand values of their business.</w:t>
      </w:r>
    </w:p>
    <w:p>
      <w:pPr>
        <w:pStyle w:val="Normal.0"/>
        <w:spacing w:before="240" w:after="240" w:line="360" w:lineRule="auto"/>
        <w:jc w:val="both"/>
      </w:pPr>
      <w:r>
        <w:rPr>
          <w:rFonts w:ascii="Arial Unicode MS" w:cs="Arial Unicode MS" w:hAnsi="Arial Unicode MS" w:eastAsia="Arial Unicode MS"/>
          <w:b w:val="0"/>
          <w:bCs w:val="0"/>
          <w:i w:val="0"/>
          <w:iCs w:val="0"/>
          <w:outline w:val="0"/>
          <w:color w:val="000000"/>
          <w:u w:color="000000"/>
          <w14:textFill>
            <w14:solidFill>
              <w14:srgbClr w14:val="000000"/>
            </w14:solidFill>
          </w14:textFill>
        </w:rPr>
        <w:br w:type="page"/>
      </w:r>
    </w:p>
    <w:p>
      <w:pPr>
        <w:pStyle w:val="heading 1"/>
        <w:rPr>
          <w:outline w:val="0"/>
          <w:color w:val="000000"/>
          <w:u w:color="000000"/>
          <w14:textFill>
            <w14:solidFill>
              <w14:srgbClr w14:val="000000"/>
            </w14:solidFill>
          </w14:textFill>
        </w:rPr>
      </w:pPr>
      <w:bookmarkStart w:name="_Toc7" w:id="9"/>
      <w:bookmarkStart w:name="_v9zlsyiohql" w:id="10"/>
      <w:bookmarkEnd w:id="10"/>
      <w:r>
        <w:rPr>
          <w:rFonts w:cs="Arial Unicode MS" w:eastAsia="Arial Unicode MS"/>
          <w:outline w:val="0"/>
          <w:color w:val="000000"/>
          <w:u w:color="000000"/>
          <w:rtl w:val="0"/>
          <w:lang w:val="en-US"/>
          <w14:textFill>
            <w14:solidFill>
              <w14:srgbClr w14:val="000000"/>
            </w14:solidFill>
          </w14:textFill>
        </w:rPr>
        <w:t>R</w:t>
      </w:r>
      <w:r>
        <w:rPr>
          <w:rFonts w:cs="Arial Unicode MS" w:eastAsia="Arial Unicode MS"/>
          <w:outline w:val="0"/>
          <w:color w:val="000000"/>
          <w:u w:color="000000"/>
          <w:rtl w:val="0"/>
          <w:lang w:val="en-US"/>
          <w14:textFill>
            <w14:solidFill>
              <w14:srgbClr w14:val="000000"/>
            </w14:solidFill>
          </w14:textFill>
        </w:rPr>
        <w:t>eferences</w:t>
      </w:r>
      <w:bookmarkEnd w:id="9"/>
    </w:p>
    <w:p>
      <w:pPr>
        <w:pStyle w:val="Normal.0"/>
        <w:spacing w:before="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Cheng, Z., Ye, Y., Huang, W., Zhang, Y. and Lan, L., 2021, March. Research on power enterprise data model online management decision system based on big data. In </w:t>
      </w:r>
      <w:r>
        <w:rPr>
          <w:rFonts w:ascii="Times New Roman" w:hAnsi="Times New Roman"/>
          <w:i w:val="1"/>
          <w:iCs w:val="1"/>
          <w:outline w:val="0"/>
          <w:color w:val="000000"/>
          <w:sz w:val="24"/>
          <w:szCs w:val="24"/>
          <w:u w:color="000000"/>
          <w:rtl w:val="0"/>
          <w:lang w:val="en-US"/>
          <w14:textFill>
            <w14:solidFill>
              <w14:srgbClr w14:val="000000"/>
            </w14:solidFill>
          </w14:textFill>
        </w:rPr>
        <w:t>Journal of Physics: Conference Series</w:t>
      </w:r>
      <w:r>
        <w:rPr>
          <w:rFonts w:ascii="Times New Roman" w:hAnsi="Times New Roman"/>
          <w:outline w:val="0"/>
          <w:color w:val="000000"/>
          <w:sz w:val="24"/>
          <w:szCs w:val="24"/>
          <w:u w:color="000000"/>
          <w:rtl w:val="0"/>
          <w:lang w:val="en-US"/>
          <w14:textFill>
            <w14:solidFill>
              <w14:srgbClr w14:val="000000"/>
            </w14:solidFill>
          </w14:textFill>
        </w:rPr>
        <w:t xml:space="preserve"> (Vol. 1802, No. 4, p. 042096). IOP Publishing.</w:t>
      </w:r>
    </w:p>
    <w:p>
      <w:pPr>
        <w:pStyle w:val="Normal.0"/>
        <w:spacing w:before="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Dillaway, M.E., 2021. The New" Web-Stream" of Commerce: Amazon and the Necessity of Strict Products Liability for Online Marketplaces. </w:t>
      </w:r>
      <w:r>
        <w:rPr>
          <w:rFonts w:ascii="Times New Roman" w:hAnsi="Times New Roman"/>
          <w:i w:val="1"/>
          <w:iCs w:val="1"/>
          <w:outline w:val="0"/>
          <w:color w:val="000000"/>
          <w:sz w:val="24"/>
          <w:szCs w:val="24"/>
          <w:u w:color="000000"/>
          <w:rtl w:val="0"/>
          <w:lang w:val="en-US"/>
          <w14:textFill>
            <w14:solidFill>
              <w14:srgbClr w14:val="000000"/>
            </w14:solidFill>
          </w14:textFill>
        </w:rPr>
        <w:t>Vand. L. Rev.</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Fonts w:ascii="Times New Roman" w:hAnsi="Times New Roman"/>
          <w:i w:val="1"/>
          <w:iCs w:val="1"/>
          <w:outline w:val="0"/>
          <w:color w:val="000000"/>
          <w:sz w:val="24"/>
          <w:szCs w:val="24"/>
          <w:u w:color="000000"/>
          <w:rtl w:val="0"/>
          <w:lang w:val="en-US"/>
          <w14:textFill>
            <w14:solidFill>
              <w14:srgbClr w14:val="000000"/>
            </w14:solidFill>
          </w14:textFill>
        </w:rPr>
        <w:t>74</w:t>
      </w:r>
      <w:r>
        <w:rPr>
          <w:rFonts w:ascii="Times New Roman" w:hAnsi="Times New Roman"/>
          <w:outline w:val="0"/>
          <w:color w:val="000000"/>
          <w:sz w:val="24"/>
          <w:szCs w:val="24"/>
          <w:u w:color="000000"/>
          <w:rtl w:val="0"/>
          <w:lang w:val="en-US"/>
          <w14:textFill>
            <w14:solidFill>
              <w14:srgbClr w14:val="000000"/>
            </w14:solidFill>
          </w14:textFill>
        </w:rPr>
        <w:t>, p.187.</w:t>
      </w:r>
    </w:p>
    <w:p>
      <w:pPr>
        <w:pStyle w:val="Normal.0"/>
        <w:spacing w:before="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Garcia, V., 2021. Examining the Impact of Selling on Amazon on the Revenue growth of MSEs in the US. </w:t>
      </w:r>
      <w:r>
        <w:rPr>
          <w:rFonts w:ascii="Times New Roman" w:hAnsi="Times New Roman"/>
          <w:i w:val="1"/>
          <w:iCs w:val="1"/>
          <w:outline w:val="0"/>
          <w:color w:val="000000"/>
          <w:sz w:val="24"/>
          <w:szCs w:val="24"/>
          <w:u w:color="000000"/>
          <w:rtl w:val="0"/>
          <w:lang w:val="en-US"/>
          <w14:textFill>
            <w14:solidFill>
              <w14:srgbClr w14:val="000000"/>
            </w14:solidFill>
          </w14:textFill>
        </w:rPr>
        <w:t>International Journal of Contemporary Financial Issues</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Fonts w:ascii="Times New Roman" w:hAnsi="Times New Roman"/>
          <w:i w:val="1"/>
          <w:iCs w:val="1"/>
          <w:outline w:val="0"/>
          <w:color w:val="000000"/>
          <w:sz w:val="24"/>
          <w:szCs w:val="24"/>
          <w:u w:color="000000"/>
          <w:rtl w:val="0"/>
          <w:lang w:val="en-US"/>
          <w14:textFill>
            <w14:solidFill>
              <w14:srgbClr w14:val="000000"/>
            </w14:solidFill>
          </w14:textFill>
        </w:rPr>
        <w:t>1</w:t>
      </w:r>
      <w:r>
        <w:rPr>
          <w:rFonts w:ascii="Times New Roman" w:hAnsi="Times New Roman"/>
          <w:outline w:val="0"/>
          <w:color w:val="000000"/>
          <w:sz w:val="24"/>
          <w:szCs w:val="24"/>
          <w:u w:color="000000"/>
          <w:rtl w:val="0"/>
          <w:lang w:val="en-US"/>
          <w14:textFill>
            <w14:solidFill>
              <w14:srgbClr w14:val="000000"/>
            </w14:solidFill>
          </w14:textFill>
        </w:rPr>
        <w:t>(1), pp.28-38.</w:t>
      </w:r>
    </w:p>
    <w:p>
      <w:pPr>
        <w:pStyle w:val="Normal.0"/>
        <w:spacing w:before="240" w:line="360" w:lineRule="auto"/>
        <w:jc w:val="both"/>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Hillard, J.L. and Sedaghat, A.M., 2021. Integrating conceptual and computational managerial accounting topics for student success.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Journal of Education for Business</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96</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(5), pp.317-326.</w:t>
      </w:r>
    </w:p>
    <w:p>
      <w:pPr>
        <w:pStyle w:val="Normal.0"/>
        <w:spacing w:before="240" w:line="360" w:lineRule="auto"/>
        <w:jc w:val="both"/>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Lederer, M. and Schmid, P., 2021. Data Science for Business Analytics and Business Intelligence. In</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Encyclopedia of Organizational Knowledge, Administration, and Technology</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pp.495-508.</w:t>
      </w:r>
    </w:p>
    <w:p>
      <w:pPr>
        <w:pStyle w:val="Normal.0"/>
        <w:spacing w:before="240" w:line="360" w:lineRule="auto"/>
        <w:jc w:val="both"/>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Maheshwari, S.N., Maheshwari, S.K. and Maheshwari, M.S.K., 2021.</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Principles of Management Accounting</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New Delhi: Sultan Chand &amp; Sons.</w:t>
      </w:r>
    </w:p>
    <w:p>
      <w:pPr>
        <w:pStyle w:val="Normal.0"/>
        <w:spacing w:before="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Moon, N.N., Talha, I.M. and Salehin, I., 2021. An advanced intelligence system in customer online shopping behavior and satisfaction analysis. </w:t>
      </w:r>
      <w:r>
        <w:rPr>
          <w:rFonts w:ascii="Times New Roman" w:hAnsi="Times New Roman"/>
          <w:i w:val="1"/>
          <w:iCs w:val="1"/>
          <w:outline w:val="0"/>
          <w:color w:val="000000"/>
          <w:sz w:val="24"/>
          <w:szCs w:val="24"/>
          <w:u w:color="000000"/>
          <w:rtl w:val="0"/>
          <w:lang w:val="en-US"/>
          <w14:textFill>
            <w14:solidFill>
              <w14:srgbClr w14:val="000000"/>
            </w14:solidFill>
          </w14:textFill>
        </w:rPr>
        <w:t>Current Research in Behavioral Sciences</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Fonts w:ascii="Times New Roman" w:hAnsi="Times New Roman"/>
          <w:i w:val="1"/>
          <w:iCs w:val="1"/>
          <w:outline w:val="0"/>
          <w:color w:val="000000"/>
          <w:sz w:val="24"/>
          <w:szCs w:val="24"/>
          <w:u w:color="000000"/>
          <w:rtl w:val="0"/>
          <w:lang w:val="en-US"/>
          <w14:textFill>
            <w14:solidFill>
              <w14:srgbClr w14:val="000000"/>
            </w14:solidFill>
          </w14:textFill>
        </w:rPr>
        <w:t>2</w:t>
      </w:r>
      <w:r>
        <w:rPr>
          <w:rFonts w:ascii="Times New Roman" w:hAnsi="Times New Roman"/>
          <w:outline w:val="0"/>
          <w:color w:val="000000"/>
          <w:sz w:val="24"/>
          <w:szCs w:val="24"/>
          <w:u w:color="000000"/>
          <w:rtl w:val="0"/>
          <w:lang w:val="en-US"/>
          <w14:textFill>
            <w14:solidFill>
              <w14:srgbClr w14:val="000000"/>
            </w14:solidFill>
          </w14:textFill>
        </w:rPr>
        <w:t>, p.100051.</w:t>
      </w:r>
    </w:p>
    <w:p>
      <w:pPr>
        <w:pStyle w:val="Normal.0"/>
        <w:spacing w:before="240" w:line="360" w:lineRule="auto"/>
        <w:jc w:val="both"/>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Mucci, D.M., Frezatti, F. and Bido, D.D.S., 2021. Enabling design characteristics and budget usefulness.</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RAUSP Management Journal</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56</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pp.38-54.</w:t>
      </w:r>
    </w:p>
    <w:p>
      <w:pPr>
        <w:pStyle w:val="Normal.0"/>
        <w:spacing w:before="240" w:line="360" w:lineRule="auto"/>
        <w:jc w:val="both"/>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Paradza, D. and Daramola, O., 2021. Business Intelligence and Business Value in Organisations: A Systematic Literature Review.</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Sustainability</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13</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(20), p.11382.</w:t>
      </w:r>
    </w:p>
    <w:p>
      <w:pPr>
        <w:pStyle w:val="Normal.0"/>
        <w:spacing w:before="240" w:line="360" w:lineRule="auto"/>
        <w:jc w:val="both"/>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Phillips-Wren, G., Daly, M. and Burstein, F., 2021. Reconciling business intelligence, analytics and decision support systems: More data, deeper insight.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Decision Support Systems</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146</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p.113560.</w:t>
      </w:r>
    </w:p>
    <w:p>
      <w:pPr>
        <w:pStyle w:val="Normal.0"/>
        <w:spacing w:before="240" w:line="360" w:lineRule="auto"/>
        <w:jc w:val="both"/>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Rath, M., 2021. Realization of business intelligence using machine learning.</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Internet of Things in Business Transformation: Developing an Engineering and Business Strategy for Industry 5.0</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pp.169-184.</w:t>
      </w:r>
    </w:p>
    <w:p>
      <w:pPr>
        <w:pStyle w:val="Normal.0"/>
        <w:spacing w:before="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Shamim, A., Qureshi, M.A., Jabeen, F., Liaqat, M., Bilal, M., Jembre, Y.Z. and Attique, M., 2021. Multi-Attribute Online Decision-Making Driven by Opinion Mining. </w:t>
      </w:r>
      <w:r>
        <w:rPr>
          <w:rFonts w:ascii="Times New Roman" w:hAnsi="Times New Roman"/>
          <w:i w:val="1"/>
          <w:iCs w:val="1"/>
          <w:outline w:val="0"/>
          <w:color w:val="000000"/>
          <w:sz w:val="24"/>
          <w:szCs w:val="24"/>
          <w:u w:color="000000"/>
          <w:rtl w:val="0"/>
          <w:lang w:val="en-US"/>
          <w14:textFill>
            <w14:solidFill>
              <w14:srgbClr w14:val="000000"/>
            </w14:solidFill>
          </w14:textFill>
        </w:rPr>
        <w:t>Mathematics</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Fonts w:ascii="Times New Roman" w:hAnsi="Times New Roman"/>
          <w:i w:val="1"/>
          <w:iCs w:val="1"/>
          <w:outline w:val="0"/>
          <w:color w:val="000000"/>
          <w:sz w:val="24"/>
          <w:szCs w:val="24"/>
          <w:u w:color="000000"/>
          <w:rtl w:val="0"/>
          <w:lang w:val="en-US"/>
          <w14:textFill>
            <w14:solidFill>
              <w14:srgbClr w14:val="000000"/>
            </w14:solidFill>
          </w14:textFill>
        </w:rPr>
        <w:t>9</w:t>
      </w:r>
      <w:r>
        <w:rPr>
          <w:rFonts w:ascii="Times New Roman" w:hAnsi="Times New Roman"/>
          <w:outline w:val="0"/>
          <w:color w:val="000000"/>
          <w:sz w:val="24"/>
          <w:szCs w:val="24"/>
          <w:u w:color="000000"/>
          <w:rtl w:val="0"/>
          <w:lang w:val="en-US"/>
          <w14:textFill>
            <w14:solidFill>
              <w14:srgbClr w14:val="000000"/>
            </w14:solidFill>
          </w14:textFill>
        </w:rPr>
        <w:t>(8), p.833.</w:t>
      </w:r>
    </w:p>
    <w:p>
      <w:pPr>
        <w:pStyle w:val="Normal.0"/>
        <w:spacing w:before="240" w:line="360" w:lineRule="auto"/>
        <w:jc w:val="both"/>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Skyrius, R., 2021. Business intelligence technologies. In</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Business Intelligence</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pp.145-185.</w:t>
      </w:r>
    </w:p>
    <w:p>
      <w:pPr>
        <w:pStyle w:val="Normal.0"/>
        <w:spacing w:before="240" w:line="360" w:lineRule="auto"/>
        <w:jc w:val="both"/>
        <w:rPr>
          <w:rFonts w:ascii="Times New Roman" w:cs="Times New Roman" w:hAnsi="Times New Roman" w:eastAsia="Times New Roman"/>
          <w:outline w:val="0"/>
          <w:color w:val="000000"/>
          <w:sz w:val="24"/>
          <w:szCs w:val="24"/>
          <w:u w:color="000000"/>
          <w:shd w:val="clear" w:color="auto" w:fill="ffffff"/>
          <w14:textFill>
            <w14:solidFill>
              <w14:srgbClr w14:val="000000"/>
            </w14:solidFill>
          </w14:textFill>
        </w:rPr>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Skyrius, R., 2021.</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Business Intelligence</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Berlin: Springer International Publishing.</w:t>
      </w:r>
    </w:p>
    <w:p>
      <w:pPr>
        <w:pStyle w:val="Normal.0"/>
        <w:spacing w:before="240" w:line="360" w:lineRule="auto"/>
        <w:jc w:val="both"/>
        <w:rPr>
          <w:rFonts w:ascii="Times New Roman" w:cs="Times New Roman" w:hAnsi="Times New Roman" w:eastAsia="Times New Roman"/>
          <w:outline w:val="0"/>
          <w:color w:val="000000"/>
          <w:sz w:val="24"/>
          <w:szCs w:val="24"/>
          <w:u w:color="000000"/>
          <w14:textFill>
            <w14:solidFill>
              <w14:srgbClr w14:val="000000"/>
            </w14:solidFill>
          </w14:textFill>
        </w:rPr>
      </w:pPr>
      <w:r>
        <w:rPr>
          <w:rFonts w:ascii="Times New Roman" w:hAnsi="Times New Roman"/>
          <w:outline w:val="0"/>
          <w:color w:val="000000"/>
          <w:sz w:val="24"/>
          <w:szCs w:val="24"/>
          <w:u w:color="000000"/>
          <w:rtl w:val="0"/>
          <w:lang w:val="en-US"/>
          <w14:textFill>
            <w14:solidFill>
              <w14:srgbClr w14:val="000000"/>
            </w14:solidFill>
          </w14:textFill>
        </w:rPr>
        <w:t xml:space="preserve">Villegas, M.A. and Pedregal, D.J., 2018. Supply chain decision support systems based on a novel hierarchical forecasting approach. </w:t>
      </w:r>
      <w:r>
        <w:rPr>
          <w:rFonts w:ascii="Times New Roman" w:hAnsi="Times New Roman"/>
          <w:i w:val="1"/>
          <w:iCs w:val="1"/>
          <w:outline w:val="0"/>
          <w:color w:val="000000"/>
          <w:sz w:val="24"/>
          <w:szCs w:val="24"/>
          <w:u w:color="000000"/>
          <w:rtl w:val="0"/>
          <w:lang w:val="en-US"/>
          <w14:textFill>
            <w14:solidFill>
              <w14:srgbClr w14:val="000000"/>
            </w14:solidFill>
          </w14:textFill>
        </w:rPr>
        <w:t>Decision Support Systems</w:t>
      </w:r>
      <w:r>
        <w:rPr>
          <w:rFonts w:ascii="Times New Roman" w:hAnsi="Times New Roman"/>
          <w:outline w:val="0"/>
          <w:color w:val="000000"/>
          <w:sz w:val="24"/>
          <w:szCs w:val="24"/>
          <w:u w:color="000000"/>
          <w:rtl w:val="0"/>
          <w:lang w:val="en-US"/>
          <w14:textFill>
            <w14:solidFill>
              <w14:srgbClr w14:val="000000"/>
            </w14:solidFill>
          </w14:textFill>
        </w:rPr>
        <w:t xml:space="preserve">, </w:t>
      </w:r>
      <w:r>
        <w:rPr>
          <w:rFonts w:ascii="Times New Roman" w:hAnsi="Times New Roman"/>
          <w:i w:val="1"/>
          <w:iCs w:val="1"/>
          <w:outline w:val="0"/>
          <w:color w:val="000000"/>
          <w:sz w:val="24"/>
          <w:szCs w:val="24"/>
          <w:u w:color="000000"/>
          <w:rtl w:val="0"/>
          <w:lang w:val="en-US"/>
          <w14:textFill>
            <w14:solidFill>
              <w14:srgbClr w14:val="000000"/>
            </w14:solidFill>
          </w14:textFill>
        </w:rPr>
        <w:t>114</w:t>
      </w:r>
      <w:r>
        <w:rPr>
          <w:rFonts w:ascii="Times New Roman" w:hAnsi="Times New Roman"/>
          <w:outline w:val="0"/>
          <w:color w:val="000000"/>
          <w:sz w:val="24"/>
          <w:szCs w:val="24"/>
          <w:u w:color="000000"/>
          <w:rtl w:val="0"/>
          <w:lang w:val="en-US"/>
          <w14:textFill>
            <w14:solidFill>
              <w14:srgbClr w14:val="000000"/>
            </w14:solidFill>
          </w14:textFill>
        </w:rPr>
        <w:t>, pp.29-36.</w:t>
      </w:r>
    </w:p>
    <w:p>
      <w:pPr>
        <w:pStyle w:val="Normal.0"/>
        <w:spacing w:before="240" w:line="360" w:lineRule="auto"/>
        <w:jc w:val="both"/>
      </w:pP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Zhang, L., Vinodhini, B. and Maragatham, T., 2021. Interactive IoT data visualization for decision making in business intelligence.</w:t>
      </w:r>
      <w:r>
        <w:rPr>
          <w:rFonts w:ascii="Times New Roman" w:hAnsi="Times New Roman" w:hint="default"/>
          <w:outline w:val="0"/>
          <w:color w:val="000000"/>
          <w:sz w:val="24"/>
          <w:szCs w:val="24"/>
          <w:u w:color="000000"/>
          <w:shd w:val="clear" w:color="auto" w:fill="ffffff"/>
          <w:rtl w:val="0"/>
          <w:lang w:val="en-US"/>
          <w14:textFill>
            <w14:solidFill>
              <w14:srgbClr w14:val="000000"/>
            </w14:solidFill>
          </w14:textFill>
        </w:rPr>
        <w:t> </w:t>
      </w:r>
      <w:r>
        <w:rPr>
          <w:rFonts w:ascii="Times New Roman" w:hAnsi="Times New Roman"/>
          <w:i w:val="1"/>
          <w:iCs w:val="1"/>
          <w:outline w:val="0"/>
          <w:color w:val="000000"/>
          <w:sz w:val="24"/>
          <w:szCs w:val="24"/>
          <w:u w:color="000000"/>
          <w:shd w:val="clear" w:color="auto" w:fill="ffffff"/>
          <w:rtl w:val="0"/>
          <w:lang w:val="en-US"/>
          <w14:textFill>
            <w14:solidFill>
              <w14:srgbClr w14:val="000000"/>
            </w14:solidFill>
          </w14:textFill>
        </w:rPr>
        <w:t>Arabian Journal for Science and Engineering</w:t>
      </w:r>
      <w:r>
        <w:rPr>
          <w:rFonts w:ascii="Times New Roman" w:hAnsi="Times New Roman"/>
          <w:outline w:val="0"/>
          <w:color w:val="000000"/>
          <w:sz w:val="24"/>
          <w:szCs w:val="24"/>
          <w:u w:color="000000"/>
          <w:shd w:val="clear" w:color="auto" w:fill="ffffff"/>
          <w:rtl w:val="0"/>
          <w:lang w:val="en-US"/>
          <w14:textFill>
            <w14:solidFill>
              <w14:srgbClr w14:val="000000"/>
            </w14:solidFill>
          </w14:textFill>
        </w:rPr>
        <w:t>, pp.1-11.</w:t>
      </w:r>
    </w:p>
    <w:sectPr>
      <w:headerReference w:type="default" r:id="rId4"/>
      <w:headerReference w:type="first" r:id="rId5"/>
      <w:footerReference w:type="default" r:id="rId6"/>
      <w:footerReference w:type="first" r:id="rId7"/>
      <w:pgSz w:w="11900" w:h="16840" w:orient="portrait"/>
      <w:pgMar w:top="1440" w:right="1440" w:bottom="1440" w:left="1440" w:header="720" w:footer="720"/>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026"/>
      </w:tabs>
      <w:jc w:val="right"/>
    </w:pPr>
    <w:r>
      <w:rPr>
        <w:rFonts w:ascii="Times New Roman" w:hAnsi="Times New Roman"/>
        <w:outline w:val="0"/>
        <w:color w:val="000000"/>
        <w:sz w:val="20"/>
        <w:szCs w:val="20"/>
        <w:u w:color="000000"/>
        <w14:textFill>
          <w14:solidFill>
            <w14:srgbClr w14:val="000000"/>
          </w14:solidFill>
        </w14:textFill>
      </w:rPr>
      <w:fldChar w:fldCharType="begin" w:fldLock="0"/>
    </w:r>
    <w:r>
      <w:rPr>
        <w:rFonts w:ascii="Times New Roman" w:hAnsi="Times New Roman"/>
        <w:outline w:val="0"/>
        <w:color w:val="000000"/>
        <w:sz w:val="20"/>
        <w:szCs w:val="20"/>
        <w:u w:color="000000"/>
        <w14:textFill>
          <w14:solidFill>
            <w14:srgbClr w14:val="000000"/>
          </w14:solidFill>
        </w14:textFill>
      </w:rPr>
      <w:instrText xml:space="preserve"> PAGE </w:instrText>
    </w:r>
    <w:r>
      <w:rPr>
        <w:rFonts w:ascii="Times New Roman" w:hAnsi="Times New Roman"/>
        <w:outline w:val="0"/>
        <w:color w:val="000000"/>
        <w:sz w:val="20"/>
        <w:szCs w:val="20"/>
        <w:u w:color="000000"/>
        <w14:textFill>
          <w14:solidFill>
            <w14:srgbClr w14:val="000000"/>
          </w14:solidFill>
        </w14:textFill>
      </w:rPr>
      <w:fldChar w:fldCharType="separate" w:fldLock="0"/>
    </w:r>
    <w:r>
      <w:rPr>
        <w:rFonts w:ascii="Times New Roman" w:hAnsi="Times New Roman"/>
        <w:outline w:val="0"/>
        <w:color w:val="000000"/>
        <w:sz w:val="20"/>
        <w:szCs w:val="20"/>
        <w:u w:color="000000"/>
        <w14:textFill>
          <w14:solidFill>
            <w14:srgbClr w14:val="000000"/>
          </w14:solidFill>
        </w14:textFill>
      </w:rPr>
    </w:r>
    <w:r>
      <w:rPr>
        <w:rFonts w:ascii="Times New Roman" w:hAnsi="Times New Roman"/>
        <w:outline w:val="0"/>
        <w:color w:val="000000"/>
        <w:sz w:val="20"/>
        <w:szCs w:val="20"/>
        <w:u w:color="000000"/>
        <w14:textFill>
          <w14:solidFill>
            <w14:srgbClr w14:val="000000"/>
          </w14:solidFill>
        </w14:textFill>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Antet și subsol"/>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română" w:val="‘“(〔[{〈《「『【⦅〘〖«〝︵︷︹︻︽︿﹁﹃﹇﹙﹛﹝｢"/>
  <w:noLineBreaksBefore w:lang="română"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Antet și subsol">
    <w:name w:val="Antet și subsol"/>
    <w:next w:val="Antet și subsol"/>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TOC Heading">
    <w:name w:val="TOC Heading"/>
    <w:next w:val="Normal.0"/>
    <w:pPr>
      <w:keepNext w:val="1"/>
      <w:keepLines w:val="1"/>
      <w:pageBreakBefore w:val="0"/>
      <w:widowControl w:val="1"/>
      <w:shd w:val="clear" w:color="auto" w:fill="auto"/>
      <w:suppressAutoHyphens w:val="0"/>
      <w:bidi w:val="0"/>
      <w:spacing w:before="240" w:after="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365f91"/>
      <w:spacing w:val="0"/>
      <w:kern w:val="0"/>
      <w:position w:val="0"/>
      <w:sz w:val="32"/>
      <w:szCs w:val="32"/>
      <w:u w:val="none" w:color="365f91"/>
      <w:shd w:val="nil" w:color="auto" w:fill="auto"/>
      <w:vertAlign w:val="baseline"/>
      <w:lang w:val="en-US"/>
      <w14:textFill>
        <w14:solidFill>
          <w14:srgbClr w14:val="365F91"/>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0" w:after="100" w:line="360"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1">
    <w:name w:val="heading 1"/>
    <w:next w:val="Normal.0"/>
    <w:pPr>
      <w:keepNext w:val="1"/>
      <w:keepLines w:val="1"/>
      <w:pageBreakBefore w:val="0"/>
      <w:widowControl w:val="1"/>
      <w:shd w:val="clear" w:color="auto" w:fill="auto"/>
      <w:suppressAutoHyphens w:val="0"/>
      <w:bidi w:val="0"/>
      <w:spacing w:before="0" w:after="0" w:line="360" w:lineRule="auto"/>
      <w:ind w:left="0" w:right="0" w:firstLine="0"/>
      <w:jc w:val="both"/>
      <w:outlineLvl w:val="0"/>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lang w:val="en-US"/>
      <w14:textFill>
        <w14:solidFill>
          <w14:srgbClr w14:val="000000"/>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100" w:line="360" w:lineRule="auto"/>
      <w:ind w:left="22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2">
    <w:name w:val="heading 2"/>
    <w:next w:val="Normal.0"/>
    <w:pPr>
      <w:keepNext w:val="1"/>
      <w:keepLines w:val="1"/>
      <w:pageBreakBefore w:val="0"/>
      <w:widowControl w:val="1"/>
      <w:shd w:val="clear" w:color="auto" w:fill="auto"/>
      <w:suppressAutoHyphens w:val="0"/>
      <w:bidi w:val="0"/>
      <w:spacing w:before="360" w:after="120" w:line="360" w:lineRule="auto"/>
      <w:ind w:left="0" w:right="0" w:firstLine="0"/>
      <w:jc w:val="both"/>
      <w:outlineLvl w:val="1"/>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6"/>
      <w:szCs w:val="26"/>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