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7F905C" w14:textId="516F65B6" w:rsidR="00BA654E" w:rsidRPr="00BA654E" w:rsidRDefault="00BA654E" w:rsidP="00BA654E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  <w:r w:rsidRPr="00BA654E">
        <w:rPr>
          <w:rFonts w:ascii="Georgia" w:eastAsia="SimSun" w:hAnsi="Georgia" w:cs="Times New Roman"/>
          <w:noProof/>
          <w:color w:val="000000"/>
          <w:sz w:val="21"/>
          <w:szCs w:val="21"/>
          <w:lang w:eastAsia="en-GB"/>
        </w:rPr>
        <w:drawing>
          <wp:inline distT="0" distB="0" distL="0" distR="0" wp14:anchorId="49163EFC" wp14:editId="7713E61A">
            <wp:extent cx="2057400" cy="853440"/>
            <wp:effectExtent l="0" t="0" r="0" b="3810"/>
            <wp:docPr id="2" name="Picture 2" descr="C:\Users\ablettm\AppData\Local\Microsoft\Windows\Temporary Internet Files\Content.Outlook\R41HOZLM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blettm\AppData\Local\Microsoft\Windows\Temporary Internet Files\Content.Outlook\R41HOZLM\UWTSD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1C1A8" w14:textId="77777777" w:rsidR="00BA654E" w:rsidRPr="00BA654E" w:rsidRDefault="00BA654E" w:rsidP="00BA654E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5FFF38A0" w14:textId="77777777" w:rsidR="00BA654E" w:rsidRPr="00BA654E" w:rsidRDefault="00BA654E" w:rsidP="00BA654E">
      <w:pPr>
        <w:spacing w:after="0" w:line="240" w:lineRule="auto"/>
        <w:ind w:left="-180" w:right="-334"/>
        <w:rPr>
          <w:rFonts w:ascii="Georgia" w:eastAsia="SimSun" w:hAnsi="Georgia" w:cs="Times New Roman"/>
          <w:color w:val="000000"/>
          <w:sz w:val="21"/>
          <w:szCs w:val="21"/>
          <w:lang w:eastAsia="zh-CN"/>
        </w:rPr>
      </w:pPr>
    </w:p>
    <w:p w14:paraId="5D2C2FDC" w14:textId="77777777" w:rsidR="00BA654E" w:rsidRPr="00BA654E" w:rsidRDefault="00BA654E" w:rsidP="00BA654E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</w:pPr>
      <w:r w:rsidRPr="00BA654E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 xml:space="preserve">Postgraduate/Distance Learning </w:t>
      </w:r>
    </w:p>
    <w:p w14:paraId="0334EDAE" w14:textId="77777777" w:rsidR="00BA654E" w:rsidRPr="00BA654E" w:rsidRDefault="00BA654E" w:rsidP="00BA654E">
      <w:pPr>
        <w:spacing w:after="0" w:line="240" w:lineRule="auto"/>
        <w:ind w:left="-180" w:right="-334"/>
        <w:jc w:val="center"/>
        <w:rPr>
          <w:rFonts w:ascii="Arial" w:eastAsia="SimSun" w:hAnsi="Arial" w:cs="Arial"/>
          <w:b/>
          <w:color w:val="000000"/>
          <w:sz w:val="28"/>
          <w:szCs w:val="28"/>
          <w:lang w:eastAsia="zh-CN"/>
        </w:rPr>
      </w:pPr>
      <w:r w:rsidRPr="00BA654E">
        <w:rPr>
          <w:rFonts w:ascii="Arial" w:eastAsia="SimSun" w:hAnsi="Arial" w:cs="Arial"/>
          <w:b/>
          <w:color w:val="000000"/>
          <w:sz w:val="28"/>
          <w:szCs w:val="28"/>
          <w:lang w:val="cy-GB" w:eastAsia="zh-CN"/>
        </w:rPr>
        <w:t>Assignment coversheet &amp; feedback form</w:t>
      </w:r>
    </w:p>
    <w:p w14:paraId="208EEF20" w14:textId="77777777" w:rsidR="00BA654E" w:rsidRPr="00BA654E" w:rsidRDefault="00BA654E" w:rsidP="00BA654E">
      <w:pPr>
        <w:spacing w:after="0" w:line="240" w:lineRule="auto"/>
        <w:rPr>
          <w:rFonts w:ascii="Arial" w:eastAsia="SimSun" w:hAnsi="Arial" w:cs="Arial"/>
          <w:sz w:val="28"/>
          <w:szCs w:val="28"/>
          <w:lang w:val="cy-GB" w:eastAsia="zh-CN"/>
        </w:rPr>
      </w:pPr>
    </w:p>
    <w:p w14:paraId="267859F9" w14:textId="77777777" w:rsidR="00BA654E" w:rsidRPr="00BA654E" w:rsidRDefault="00BA654E" w:rsidP="00BA654E">
      <w:pPr>
        <w:keepNext/>
        <w:spacing w:after="0" w:line="240" w:lineRule="auto"/>
        <w:ind w:left="720"/>
        <w:jc w:val="center"/>
        <w:outlineLvl w:val="2"/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</w:pPr>
      <w:r w:rsidRPr="00BA654E">
        <w:rPr>
          <w:rFonts w:ascii="Tahoma" w:eastAsia="SimSun" w:hAnsi="Tahoma" w:cs="Tahoma"/>
          <w:b/>
          <w:bCs/>
          <w:sz w:val="20"/>
          <w:szCs w:val="20"/>
          <w:lang w:val="cy-GB" w:eastAsia="zh-CN"/>
        </w:rPr>
        <w:t>THIS SHEET MUST BE THE FIRST PAGE OF THE ASSIGNMENT YOU ARE SUBMITTING  (DO NOT SEND AS A SEPARATE FILE)</w:t>
      </w:r>
    </w:p>
    <w:p w14:paraId="72206A8A" w14:textId="77777777" w:rsidR="00BA654E" w:rsidRPr="00BA654E" w:rsidRDefault="00BA654E" w:rsidP="00BA654E">
      <w:pPr>
        <w:keepNext/>
        <w:spacing w:after="0" w:line="240" w:lineRule="auto"/>
        <w:ind w:left="720"/>
        <w:jc w:val="center"/>
        <w:outlineLvl w:val="2"/>
        <w:rPr>
          <w:rFonts w:ascii="Trebuchet MS" w:eastAsia="SimSun" w:hAnsi="Trebuchet MS" w:cs="Tahoma"/>
          <w:b/>
          <w:bCs/>
          <w:sz w:val="20"/>
          <w:szCs w:val="20"/>
          <w:lang w:eastAsia="zh-C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BA654E" w:rsidRPr="00BA654E" w14:paraId="12D707E9" w14:textId="77777777" w:rsidTr="00E72ADB">
        <w:trPr>
          <w:trHeight w:val="614"/>
        </w:trPr>
        <w:tc>
          <w:tcPr>
            <w:tcW w:w="8856" w:type="dxa"/>
            <w:gridSpan w:val="5"/>
          </w:tcPr>
          <w:p w14:paraId="60A41C1A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b/>
                <w:color w:val="000000"/>
                <w:lang w:eastAsia="zh-CN"/>
              </w:rPr>
              <w:t>For completion by the student</w:t>
            </w: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 xml:space="preserve">: </w:t>
            </w:r>
          </w:p>
        </w:tc>
      </w:tr>
      <w:tr w:rsidR="00BA654E" w:rsidRPr="00BA654E" w14:paraId="613B897B" w14:textId="77777777" w:rsidTr="00E72ADB">
        <w:trPr>
          <w:trHeight w:val="718"/>
        </w:trPr>
        <w:tc>
          <w:tcPr>
            <w:tcW w:w="8856" w:type="dxa"/>
            <w:gridSpan w:val="5"/>
          </w:tcPr>
          <w:p w14:paraId="5E572FCA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Student Name: Daniel Annenberg</w:t>
            </w:r>
          </w:p>
          <w:p w14:paraId="51D1306C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BA654E" w:rsidRPr="00BA654E" w14:paraId="6224A737" w14:textId="77777777" w:rsidTr="00E72ADB">
        <w:trPr>
          <w:trHeight w:val="849"/>
        </w:trPr>
        <w:tc>
          <w:tcPr>
            <w:tcW w:w="4788" w:type="dxa"/>
          </w:tcPr>
          <w:p w14:paraId="44162340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Module code:</w:t>
            </w:r>
            <w:r w:rsidRPr="00BA654E">
              <w:rPr>
                <w:rFonts w:ascii="Georgia" w:eastAsia="SimSun" w:hAnsi="Georgia" w:cs="Times New Roman"/>
                <w:color w:val="000000"/>
                <w:sz w:val="21"/>
                <w:szCs w:val="21"/>
                <w:lang w:eastAsia="zh-CN"/>
              </w:rPr>
              <w:t xml:space="preserve"> </w:t>
            </w:r>
            <w:r w:rsidRPr="00BA654E">
              <w:rPr>
                <w:rFonts w:ascii="Arial" w:eastAsia="SimSun" w:hAnsi="Arial" w:cs="Arial"/>
                <w:color w:val="000000"/>
                <w:sz w:val="21"/>
                <w:szCs w:val="21"/>
                <w:lang w:eastAsia="zh-CN"/>
              </w:rPr>
              <w:t>TRDL7064</w:t>
            </w:r>
          </w:p>
          <w:p w14:paraId="205339D9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3DF0D61" w14:textId="0B9ADCB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Module title: Islamic Law in the Contemporary World</w:t>
            </w:r>
            <w:r w:rsidR="00945806">
              <w:rPr>
                <w:rFonts w:ascii="Arial" w:eastAsia="SimSun" w:hAnsi="Arial" w:cs="Arial"/>
                <w:color w:val="000000"/>
                <w:lang w:eastAsia="zh-CN"/>
              </w:rPr>
              <w:t xml:space="preserve"> (</w:t>
            </w:r>
            <w:r w:rsidR="00945806" w:rsidRPr="00945806">
              <w:rPr>
                <w:rFonts w:ascii="Arial" w:eastAsia="SimSun" w:hAnsi="Arial" w:cs="Arial"/>
                <w:color w:val="000000"/>
                <w:lang w:eastAsia="zh-CN"/>
              </w:rPr>
              <w:t>Encyclopaedia Article</w:t>
            </w:r>
            <w:r w:rsidR="00945806">
              <w:rPr>
                <w:rFonts w:ascii="Arial" w:eastAsia="SimSun" w:hAnsi="Arial" w:cs="Arial"/>
                <w:color w:val="000000"/>
                <w:lang w:eastAsia="zh-CN"/>
              </w:rPr>
              <w:t xml:space="preserve"> 1)</w:t>
            </w:r>
            <w:bookmarkStart w:id="0" w:name="_GoBack"/>
            <w:bookmarkEnd w:id="0"/>
          </w:p>
          <w:p w14:paraId="0F110A06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1BBA3C1C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  <w:tc>
          <w:tcPr>
            <w:tcW w:w="2266" w:type="dxa"/>
            <w:gridSpan w:val="3"/>
          </w:tcPr>
          <w:p w14:paraId="52A0ACED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Student ID number:</w:t>
            </w: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br/>
            </w:r>
            <w:r w:rsidRPr="00BA654E">
              <w:rPr>
                <w:rFonts w:ascii="Calibri" w:eastAsia="SimSun" w:hAnsi="Calibri" w:cs="Calibri"/>
                <w:color w:val="000000"/>
                <w:lang w:eastAsia="zh-CN"/>
              </w:rPr>
              <w:t>1704048</w:t>
            </w:r>
          </w:p>
        </w:tc>
        <w:tc>
          <w:tcPr>
            <w:tcW w:w="1802" w:type="dxa"/>
          </w:tcPr>
          <w:p w14:paraId="7916E71F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Educational support needs:</w:t>
            </w:r>
          </w:p>
          <w:p w14:paraId="7EAD8718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Yes/</w:t>
            </w:r>
            <w:r w:rsidRPr="00BA654E">
              <w:rPr>
                <w:rFonts w:ascii="Arial" w:eastAsia="SimSun" w:hAnsi="Arial" w:cs="Arial"/>
                <w:b/>
                <w:color w:val="000000"/>
                <w:lang w:eastAsia="zh-CN"/>
              </w:rPr>
              <w:t>No</w:t>
            </w:r>
          </w:p>
        </w:tc>
      </w:tr>
      <w:tr w:rsidR="00BA654E" w:rsidRPr="00BA654E" w14:paraId="70455DBD" w14:textId="77777777" w:rsidTr="00E72ADB">
        <w:trPr>
          <w:trHeight w:val="1139"/>
        </w:trPr>
        <w:tc>
          <w:tcPr>
            <w:tcW w:w="8856" w:type="dxa"/>
            <w:gridSpan w:val="5"/>
          </w:tcPr>
          <w:p w14:paraId="332FE0CB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Module tutor: Shadaab Rahemtulla</w:t>
            </w:r>
          </w:p>
          <w:p w14:paraId="4ECF903B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0BDD0207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</w:p>
          <w:p w14:paraId="38A36ACF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Assignment due date:24/01/2018</w:t>
            </w:r>
          </w:p>
        </w:tc>
      </w:tr>
      <w:tr w:rsidR="00BA654E" w:rsidRPr="00BA654E" w14:paraId="022B5D69" w14:textId="77777777" w:rsidTr="00E72AD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02A13FF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BA654E">
              <w:rPr>
                <w:rFonts w:ascii="Arial" w:eastAsia="SimSun" w:hAnsi="Arial" w:cs="Arial"/>
                <w:lang w:eastAsia="zh-CN"/>
              </w:rPr>
              <w:t xml:space="preserve">If your module has multiple </w:t>
            </w:r>
            <w:proofErr w:type="gramStart"/>
            <w:r w:rsidRPr="00BA654E">
              <w:rPr>
                <w:rFonts w:ascii="Arial" w:eastAsia="SimSun" w:hAnsi="Arial" w:cs="Arial"/>
                <w:lang w:eastAsia="zh-CN"/>
              </w:rPr>
              <w:t>submissions</w:t>
            </w:r>
            <w:proofErr w:type="gramEnd"/>
            <w:r w:rsidRPr="00BA654E">
              <w:rPr>
                <w:rFonts w:ascii="Arial" w:eastAsia="SimSun" w:hAnsi="Arial" w:cs="Arial"/>
                <w:lang w:eastAsia="zh-CN"/>
              </w:rPr>
              <w:t xml:space="preserve"> please indicate which piece of work this is.</w:t>
            </w:r>
          </w:p>
          <w:p w14:paraId="594DECAF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</w:p>
          <w:p w14:paraId="1D7DE79E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BA654E">
              <w:rPr>
                <w:rFonts w:ascii="Arial" w:eastAsia="SimSun" w:hAnsi="Arial" w:cs="Arial"/>
                <w:lang w:eastAsia="zh-CN"/>
              </w:rPr>
              <w:t>1</w:t>
            </w:r>
            <w:r w:rsidRPr="00BA654E">
              <w:rPr>
                <w:rFonts w:ascii="Arial" w:eastAsia="SimSun" w:hAnsi="Arial" w:cs="Arial"/>
                <w:vertAlign w:val="superscript"/>
                <w:lang w:eastAsia="zh-CN"/>
              </w:rPr>
              <w:t xml:space="preserve">st </w:t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3"/>
            <w:r w:rsidRPr="00BA654E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BA654E">
              <w:rPr>
                <w:rFonts w:ascii="Arial" w:eastAsia="SimSun" w:hAnsi="Arial" w:cs="Arial"/>
                <w:lang w:eastAsia="zh-CN"/>
              </w:rPr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1"/>
            <w:r w:rsidRPr="00BA654E">
              <w:rPr>
                <w:rFonts w:ascii="Arial" w:eastAsia="SimSun" w:hAnsi="Arial" w:cs="Arial"/>
                <w:lang w:eastAsia="zh-CN"/>
              </w:rPr>
              <w:t xml:space="preserve">    2</w:t>
            </w:r>
            <w:r w:rsidRPr="00BA654E">
              <w:rPr>
                <w:rFonts w:ascii="Arial" w:eastAsia="SimSun" w:hAnsi="Arial" w:cs="Arial"/>
                <w:vertAlign w:val="superscript"/>
                <w:lang w:eastAsia="zh-CN"/>
              </w:rPr>
              <w:t>nd</w:t>
            </w:r>
            <w:r w:rsidRPr="00BA654E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14"/>
            <w:r w:rsidRPr="00BA654E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BA654E">
              <w:rPr>
                <w:rFonts w:ascii="Arial" w:eastAsia="SimSun" w:hAnsi="Arial" w:cs="Arial"/>
                <w:lang w:eastAsia="zh-CN"/>
              </w:rPr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2"/>
            <w:r w:rsidRPr="00BA654E">
              <w:rPr>
                <w:rFonts w:ascii="Arial" w:eastAsia="SimSun" w:hAnsi="Arial" w:cs="Arial"/>
                <w:lang w:eastAsia="zh-CN"/>
              </w:rPr>
              <w:t xml:space="preserve">     3</w:t>
            </w:r>
            <w:r w:rsidRPr="00BA654E">
              <w:rPr>
                <w:rFonts w:ascii="Arial" w:eastAsia="SimSun" w:hAnsi="Arial" w:cs="Arial"/>
                <w:vertAlign w:val="superscript"/>
                <w:lang w:eastAsia="zh-CN"/>
              </w:rPr>
              <w:t>rd</w:t>
            </w:r>
            <w:r w:rsidRPr="00BA654E">
              <w:rPr>
                <w:rFonts w:ascii="Arial" w:eastAsia="SimSun" w:hAnsi="Arial" w:cs="Arial"/>
                <w:lang w:eastAsia="zh-CN"/>
              </w:rPr>
              <w:t xml:space="preserve">  </w:t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5"/>
            <w:r w:rsidRPr="00BA654E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BA654E">
              <w:rPr>
                <w:rFonts w:ascii="Arial" w:eastAsia="SimSun" w:hAnsi="Arial" w:cs="Arial"/>
                <w:lang w:eastAsia="zh-CN"/>
              </w:rPr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3"/>
            <w:r w:rsidRPr="00BA654E">
              <w:rPr>
                <w:rFonts w:ascii="Arial" w:eastAsia="SimSun" w:hAnsi="Arial" w:cs="Arial"/>
                <w:lang w:eastAsia="zh-CN"/>
              </w:rPr>
              <w:t xml:space="preserve">      4</w:t>
            </w:r>
            <w:r w:rsidRPr="00BA654E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BA654E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BA654E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BA654E">
              <w:rPr>
                <w:rFonts w:ascii="Arial" w:eastAsia="SimSun" w:hAnsi="Arial" w:cs="Arial"/>
                <w:lang w:eastAsia="zh-CN"/>
              </w:rPr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4"/>
            <w:r w:rsidRPr="00BA654E">
              <w:rPr>
                <w:rFonts w:ascii="Arial" w:eastAsia="SimSun" w:hAnsi="Arial" w:cs="Arial"/>
                <w:lang w:eastAsia="zh-CN"/>
              </w:rPr>
              <w:t xml:space="preserve">      5</w:t>
            </w:r>
            <w:r w:rsidRPr="00BA654E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BA654E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BA654E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BA654E">
              <w:rPr>
                <w:rFonts w:ascii="Arial" w:eastAsia="SimSun" w:hAnsi="Arial" w:cs="Arial"/>
                <w:lang w:eastAsia="zh-CN"/>
              </w:rPr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5"/>
            <w:r w:rsidRPr="00BA654E">
              <w:rPr>
                <w:rFonts w:ascii="Arial" w:eastAsia="SimSun" w:hAnsi="Arial" w:cs="Arial"/>
                <w:lang w:eastAsia="zh-CN"/>
              </w:rPr>
              <w:t xml:space="preserve">      6</w:t>
            </w:r>
            <w:r w:rsidRPr="00BA654E">
              <w:rPr>
                <w:rFonts w:ascii="Arial" w:eastAsia="SimSun" w:hAnsi="Arial" w:cs="Arial"/>
                <w:vertAlign w:val="superscript"/>
                <w:lang w:eastAsia="zh-CN"/>
              </w:rPr>
              <w:t>th</w:t>
            </w:r>
            <w:r w:rsidRPr="00BA654E">
              <w:rPr>
                <w:rFonts w:ascii="Arial" w:eastAsia="SimSun" w:hAnsi="Arial" w:cs="Arial"/>
                <w:lang w:eastAsia="zh-CN"/>
              </w:rPr>
              <w:t xml:space="preserve"> </w:t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8"/>
            <w:r w:rsidRPr="00BA654E">
              <w:rPr>
                <w:rFonts w:ascii="Arial" w:eastAsia="SimSun" w:hAnsi="Arial" w:cs="Arial"/>
                <w:lang w:eastAsia="zh-CN"/>
              </w:rPr>
              <w:instrText xml:space="preserve"> FORMCHECKBOX </w:instrText>
            </w:r>
            <w:r w:rsidRPr="00BA654E">
              <w:rPr>
                <w:rFonts w:ascii="Arial" w:eastAsia="SimSun" w:hAnsi="Arial" w:cs="Arial"/>
                <w:lang w:eastAsia="zh-CN"/>
              </w:rPr>
            </w:r>
            <w:r w:rsidRPr="00BA654E">
              <w:rPr>
                <w:rFonts w:ascii="Arial" w:eastAsia="SimSun" w:hAnsi="Arial" w:cs="Arial"/>
                <w:lang w:eastAsia="zh-CN"/>
              </w:rPr>
              <w:fldChar w:fldCharType="end"/>
            </w:r>
            <w:bookmarkEnd w:id="6"/>
          </w:p>
        </w:tc>
      </w:tr>
      <w:tr w:rsidR="00BA654E" w:rsidRPr="00BA654E" w14:paraId="0953D7ED" w14:textId="77777777" w:rsidTr="00E72AD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4AB43C9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I confirm that this is my original work and that I have adhered to the University policy on plagiarism.</w:t>
            </w:r>
          </w:p>
          <w:p w14:paraId="49544A2B" w14:textId="379BE533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 xml:space="preserve">Signed </w:t>
            </w:r>
            <w:r w:rsidRPr="00BA654E">
              <w:rPr>
                <w:rFonts w:ascii="Arial" w:eastAsia="SimSun" w:hAnsi="Arial" w:cs="Arial"/>
                <w:noProof/>
                <w:color w:val="000000"/>
                <w:lang w:eastAsia="zh-CN"/>
              </w:rPr>
              <w:drawing>
                <wp:inline distT="0" distB="0" distL="0" distR="0" wp14:anchorId="757B191E" wp14:editId="02BD6A19">
                  <wp:extent cx="2164080" cy="304800"/>
                  <wp:effectExtent l="0" t="0" r="7620" b="0"/>
                  <wp:docPr id="1" name="Picture 1" descr="E:\LIFE ADMIN\Signature\signature0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LIFE ADMIN\Signature\signature00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408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AE1D6D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</w:pPr>
            <w:r w:rsidRPr="00BA654E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 xml:space="preserve">Email submission: if you are submitting this form via email, please tick this box </w:t>
            </w:r>
            <w:r w:rsidRPr="00BA654E">
              <w:rPr>
                <w:rFonts w:ascii="Calibri" w:eastAsia="SimSun" w:hAnsi="Calibri" w:cs="Calibri"/>
                <w:b/>
                <w:color w:val="000000"/>
                <w:sz w:val="44"/>
                <w:szCs w:val="44"/>
                <w:lang w:eastAsia="zh-CN"/>
              </w:rPr>
              <w:t>□</w:t>
            </w:r>
          </w:p>
          <w:p w14:paraId="4FABB537" w14:textId="77777777" w:rsidR="00BA654E" w:rsidRPr="00BA654E" w:rsidRDefault="00BA654E" w:rsidP="00BA654E">
            <w:pPr>
              <w:spacing w:after="0" w:line="240" w:lineRule="auto"/>
              <w:ind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Calibri" w:eastAsia="SimSun" w:hAnsi="Calibri" w:cs="Tahoma"/>
                <w:b/>
                <w:color w:val="000000"/>
                <w:sz w:val="24"/>
                <w:szCs w:val="24"/>
                <w:lang w:eastAsia="zh-CN"/>
              </w:rPr>
              <w:t>(as a substitute for your signature) to confirm that you agree to the above declaration.</w:t>
            </w:r>
          </w:p>
        </w:tc>
      </w:tr>
      <w:tr w:rsidR="00BA654E" w:rsidRPr="00BA654E" w14:paraId="22168FC3" w14:textId="77777777" w:rsidTr="00E72ADB">
        <w:trPr>
          <w:trHeight w:val="3972"/>
        </w:trPr>
        <w:tc>
          <w:tcPr>
            <w:tcW w:w="8856" w:type="dxa"/>
            <w:gridSpan w:val="5"/>
          </w:tcPr>
          <w:p w14:paraId="708F4383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</w:pPr>
          </w:p>
          <w:p w14:paraId="431DDD12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Times New Roman"/>
                <w:sz w:val="24"/>
                <w:szCs w:val="24"/>
                <w:lang w:eastAsia="zh-CN"/>
              </w:rPr>
            </w:pPr>
            <w:r w:rsidRPr="00BA654E">
              <w:rPr>
                <w:rFonts w:ascii="Arial" w:eastAsia="SimSun" w:hAnsi="Arial" w:cs="Times New Roman"/>
                <w:b/>
                <w:sz w:val="24"/>
                <w:szCs w:val="24"/>
                <w:lang w:eastAsia="zh-CN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BA654E" w:rsidRPr="00BA654E" w14:paraId="709B231A" w14:textId="77777777" w:rsidTr="00E72ADB">
              <w:tc>
                <w:tcPr>
                  <w:tcW w:w="6970" w:type="dxa"/>
                </w:tcPr>
                <w:p w14:paraId="6BB6C557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5DBD9796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1</w:t>
                  </w: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st</w:t>
                  </w: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D6D2E6E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BA654E" w:rsidRPr="00BA654E" w14:paraId="047479B7" w14:textId="77777777" w:rsidTr="00E72ADB">
              <w:tc>
                <w:tcPr>
                  <w:tcW w:w="6970" w:type="dxa"/>
                </w:tcPr>
                <w:p w14:paraId="0A9E80EE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7DC4CDE6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2</w:t>
                  </w: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vertAlign w:val="superscript"/>
                      <w:lang w:eastAsia="zh-CN"/>
                    </w:rPr>
                    <w:t>nd</w:t>
                  </w: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021BED8A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BA654E" w:rsidRPr="00BA654E" w14:paraId="435F42D6" w14:textId="77777777" w:rsidTr="00E72ADB">
              <w:tc>
                <w:tcPr>
                  <w:tcW w:w="6970" w:type="dxa"/>
                </w:tcPr>
                <w:p w14:paraId="036E05E7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 xml:space="preserve">Agreed Internal Mark: </w:t>
                  </w:r>
                </w:p>
                <w:p w14:paraId="2EE51DAA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26AFDA87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highlight w:val="yellow"/>
                      <w:lang w:eastAsia="zh-CN"/>
                    </w:rPr>
                  </w:pPr>
                </w:p>
              </w:tc>
            </w:tr>
            <w:tr w:rsidR="00BA654E" w:rsidRPr="00BA654E" w14:paraId="0DF4AD49" w14:textId="77777777" w:rsidTr="00E72ADB">
              <w:tc>
                <w:tcPr>
                  <w:tcW w:w="6970" w:type="dxa"/>
                </w:tcPr>
                <w:p w14:paraId="3893E4C2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1CBBB83A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  <w:r w:rsidRPr="00BA654E"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68974310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BA654E" w:rsidRPr="00BA654E" w14:paraId="0AD96940" w14:textId="77777777" w:rsidTr="00E72ADB">
              <w:tc>
                <w:tcPr>
                  <w:tcW w:w="6970" w:type="dxa"/>
                </w:tcPr>
                <w:p w14:paraId="7EA86F48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  <w:p w14:paraId="1EC20BFA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</w:pPr>
                  <w:r w:rsidRPr="00BA654E">
                    <w:rPr>
                      <w:rFonts w:ascii="Arial" w:eastAsia="SimSun" w:hAnsi="Arial" w:cs="Times New Roman"/>
                      <w:b/>
                      <w:sz w:val="20"/>
                      <w:szCs w:val="20"/>
                      <w:lang w:eastAsia="zh-CN"/>
                    </w:rPr>
                    <w:t>Final Mark</w:t>
                  </w:r>
                </w:p>
                <w:p w14:paraId="1552422D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1660" w:type="dxa"/>
                </w:tcPr>
                <w:p w14:paraId="0FC16F59" w14:textId="77777777" w:rsidR="00BA654E" w:rsidRPr="00BA654E" w:rsidRDefault="00BA654E" w:rsidP="00BA654E">
                  <w:pPr>
                    <w:spacing w:after="0" w:line="240" w:lineRule="auto"/>
                    <w:rPr>
                      <w:rFonts w:ascii="Arial" w:eastAsia="SimSun" w:hAnsi="Arial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51A76D67" w14:textId="77777777" w:rsidR="00BA654E" w:rsidRPr="00BA654E" w:rsidRDefault="00BA654E" w:rsidP="00BA654E">
            <w:pPr>
              <w:spacing w:after="0" w:line="240" w:lineRule="auto"/>
              <w:ind w:left="142" w:right="34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F1CE841" w14:textId="77777777" w:rsidR="00BA654E" w:rsidRPr="00BA654E" w:rsidRDefault="00BA654E" w:rsidP="00BA654E">
            <w:pPr>
              <w:spacing w:after="0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b/>
                <w:color w:val="000000"/>
                <w:lang w:eastAsia="zh-CN"/>
              </w:rPr>
              <w:t>NB.</w:t>
            </w: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 xml:space="preserve">  All marks are provisional until confirmed by the Final Examination Board.</w:t>
            </w:r>
          </w:p>
          <w:p w14:paraId="3306C54E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25CC03F3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1EC0471D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5174E219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</w:p>
          <w:p w14:paraId="0C12CCA0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b/>
                <w:color w:val="000000"/>
                <w:lang w:eastAsia="zh-CN"/>
              </w:rPr>
              <w:t xml:space="preserve">For completion by Marker </w:t>
            </w:r>
            <w:proofErr w:type="gramStart"/>
            <w:r w:rsidRPr="00BA654E">
              <w:rPr>
                <w:rFonts w:ascii="Arial" w:eastAsia="SimSun" w:hAnsi="Arial" w:cs="Arial"/>
                <w:b/>
                <w:color w:val="000000"/>
                <w:lang w:eastAsia="zh-CN"/>
              </w:rPr>
              <w:t>1 :</w:t>
            </w:r>
            <w:proofErr w:type="gramEnd"/>
          </w:p>
          <w:p w14:paraId="4840CD0C" w14:textId="77777777" w:rsidR="00BA654E" w:rsidRPr="00BA654E" w:rsidRDefault="00BA654E" w:rsidP="00BA654E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Comments:</w:t>
            </w:r>
          </w:p>
          <w:p w14:paraId="790724AA" w14:textId="77777777" w:rsidR="00BA654E" w:rsidRPr="00BA654E" w:rsidRDefault="00BA654E" w:rsidP="00BA654E">
            <w:pPr>
              <w:spacing w:before="100" w:beforeAutospacing="1" w:after="100" w:afterAutospacing="1" w:line="240" w:lineRule="auto"/>
              <w:rPr>
                <w:rFonts w:ascii="Arial" w:eastAsia="SimSun" w:hAnsi="Arial" w:cs="Arial"/>
                <w:color w:val="000000"/>
                <w:lang w:eastAsia="zh-CN"/>
              </w:rPr>
            </w:pPr>
          </w:p>
        </w:tc>
      </w:tr>
      <w:tr w:rsidR="00BA654E" w:rsidRPr="00BA654E" w14:paraId="66B62029" w14:textId="77777777" w:rsidTr="00E72ADB">
        <w:trPr>
          <w:trHeight w:val="492"/>
        </w:trPr>
        <w:tc>
          <w:tcPr>
            <w:tcW w:w="6768" w:type="dxa"/>
            <w:gridSpan w:val="3"/>
          </w:tcPr>
          <w:p w14:paraId="5695E502" w14:textId="77777777" w:rsidR="00BA654E" w:rsidRPr="00BA654E" w:rsidRDefault="00BA654E" w:rsidP="00BA654E">
            <w:pPr>
              <w:spacing w:before="100" w:beforeAutospacing="1" w:after="10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Marker’s signature:</w:t>
            </w:r>
          </w:p>
        </w:tc>
        <w:tc>
          <w:tcPr>
            <w:tcW w:w="2088" w:type="dxa"/>
            <w:gridSpan w:val="2"/>
          </w:tcPr>
          <w:p w14:paraId="4F7F6E45" w14:textId="77777777" w:rsidR="00BA654E" w:rsidRPr="00BA654E" w:rsidRDefault="00BA654E" w:rsidP="00BA654E">
            <w:pPr>
              <w:spacing w:before="100" w:beforeAutospacing="1" w:after="0" w:afterAutospacing="1" w:line="240" w:lineRule="auto"/>
              <w:ind w:left="142" w:right="34"/>
              <w:rPr>
                <w:rFonts w:ascii="Arial" w:eastAsia="SimSun" w:hAnsi="Arial" w:cs="Arial"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color w:val="000000"/>
                <w:lang w:eastAsia="zh-CN"/>
              </w:rPr>
              <w:t>Date:</w:t>
            </w:r>
          </w:p>
        </w:tc>
      </w:tr>
      <w:tr w:rsidR="00BA654E" w:rsidRPr="00BA654E" w14:paraId="162451FD" w14:textId="77777777" w:rsidTr="00E72ADB">
        <w:tc>
          <w:tcPr>
            <w:tcW w:w="8856" w:type="dxa"/>
            <w:gridSpan w:val="5"/>
          </w:tcPr>
          <w:p w14:paraId="73FCAF97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i/>
                <w:color w:val="000000"/>
                <w:lang w:eastAsia="zh-CN"/>
              </w:rPr>
            </w:pPr>
          </w:p>
          <w:p w14:paraId="3FE926DF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  <w:t>For completion by Marker 2/Moderator:</w:t>
            </w:r>
          </w:p>
          <w:p w14:paraId="6E850BF4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/>
                <w:bCs/>
                <w:color w:val="000000"/>
                <w:lang w:eastAsia="zh-CN"/>
              </w:rPr>
            </w:pPr>
          </w:p>
          <w:p w14:paraId="012892C5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bCs/>
                <w:color w:val="000000"/>
                <w:lang w:eastAsia="zh-CN"/>
              </w:rPr>
              <w:t>Comments:</w:t>
            </w:r>
          </w:p>
          <w:p w14:paraId="0C933E40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07C7D6F3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188DE203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BA654E" w:rsidRPr="00BA654E" w14:paraId="59A59D93" w14:textId="77777777" w:rsidTr="00E72ADB">
        <w:trPr>
          <w:trHeight w:val="720"/>
        </w:trPr>
        <w:tc>
          <w:tcPr>
            <w:tcW w:w="5211" w:type="dxa"/>
            <w:gridSpan w:val="2"/>
          </w:tcPr>
          <w:p w14:paraId="0A6A1E48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bCs/>
                <w:color w:val="000000"/>
                <w:lang w:eastAsia="zh-CN"/>
              </w:rPr>
              <w:t>Marker’s Signature:</w:t>
            </w:r>
          </w:p>
        </w:tc>
        <w:tc>
          <w:tcPr>
            <w:tcW w:w="3645" w:type="dxa"/>
            <w:gridSpan w:val="3"/>
          </w:tcPr>
          <w:p w14:paraId="2418774D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  <w:r w:rsidRPr="00BA654E">
              <w:rPr>
                <w:rFonts w:ascii="Arial" w:eastAsia="SimSun" w:hAnsi="Arial" w:cs="Arial"/>
                <w:bCs/>
                <w:color w:val="000000"/>
                <w:lang w:eastAsia="zh-CN"/>
              </w:rPr>
              <w:t>Date:</w:t>
            </w:r>
          </w:p>
        </w:tc>
      </w:tr>
      <w:tr w:rsidR="00BA654E" w:rsidRPr="00BA654E" w14:paraId="3C382637" w14:textId="77777777" w:rsidTr="00E72ADB">
        <w:trPr>
          <w:trHeight w:val="720"/>
        </w:trPr>
        <w:tc>
          <w:tcPr>
            <w:tcW w:w="8856" w:type="dxa"/>
            <w:gridSpan w:val="5"/>
          </w:tcPr>
          <w:p w14:paraId="419AF55E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BA654E">
              <w:rPr>
                <w:rFonts w:ascii="Arial" w:eastAsia="SimSun" w:hAnsi="Arial" w:cs="Arial"/>
                <w:b/>
                <w:lang w:eastAsia="zh-CN"/>
              </w:rPr>
              <w:t>AGREED INTERNAL MARK (where necessary):</w:t>
            </w:r>
          </w:p>
          <w:p w14:paraId="70C3FAF3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297F3A62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BA654E">
              <w:rPr>
                <w:rFonts w:ascii="Arial" w:eastAsia="SimSun" w:hAnsi="Arial" w:cs="Arial"/>
                <w:b/>
                <w:lang w:eastAsia="zh-CN"/>
              </w:rPr>
              <w:t>Comment on process on arriving at agreed mark:</w:t>
            </w:r>
          </w:p>
          <w:p w14:paraId="10EF900E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  <w:p w14:paraId="51762361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</w:p>
        </w:tc>
      </w:tr>
      <w:tr w:rsidR="00BA654E" w:rsidRPr="00BA654E" w14:paraId="6EC1205C" w14:textId="77777777" w:rsidTr="00E72ADB">
        <w:trPr>
          <w:trHeight w:val="720"/>
        </w:trPr>
        <w:tc>
          <w:tcPr>
            <w:tcW w:w="8856" w:type="dxa"/>
            <w:gridSpan w:val="5"/>
          </w:tcPr>
          <w:p w14:paraId="511EEDFC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b/>
                <w:lang w:eastAsia="zh-CN"/>
              </w:rPr>
            </w:pPr>
            <w:r w:rsidRPr="00BA654E">
              <w:rPr>
                <w:rFonts w:ascii="Arial" w:eastAsia="SimSun" w:hAnsi="Arial" w:cs="Arial"/>
                <w:b/>
                <w:lang w:eastAsia="zh-CN"/>
              </w:rPr>
              <w:t>External Examiner’s comments (if relevant)</w:t>
            </w:r>
          </w:p>
          <w:p w14:paraId="2A9CCCDE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5C6C1ED6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  <w:p w14:paraId="3AE7EECE" w14:textId="77777777" w:rsidR="00BA654E" w:rsidRPr="00BA654E" w:rsidRDefault="00BA654E" w:rsidP="00BA654E">
            <w:pPr>
              <w:spacing w:after="0" w:line="240" w:lineRule="auto"/>
              <w:ind w:right="-334"/>
              <w:rPr>
                <w:rFonts w:ascii="Arial" w:eastAsia="SimSun" w:hAnsi="Arial" w:cs="Arial"/>
                <w:bCs/>
                <w:color w:val="000000"/>
                <w:lang w:eastAsia="zh-CN"/>
              </w:rPr>
            </w:pPr>
          </w:p>
        </w:tc>
      </w:tr>
      <w:tr w:rsidR="00BA654E" w:rsidRPr="00BA654E" w14:paraId="0B145621" w14:textId="77777777" w:rsidTr="00E72ADB">
        <w:trPr>
          <w:trHeight w:val="720"/>
        </w:trPr>
        <w:tc>
          <w:tcPr>
            <w:tcW w:w="5211" w:type="dxa"/>
            <w:gridSpan w:val="2"/>
          </w:tcPr>
          <w:p w14:paraId="02036D3A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BA654E">
              <w:rPr>
                <w:rFonts w:ascii="Arial" w:eastAsia="SimSun" w:hAnsi="Arial" w:cs="Arial"/>
                <w:lang w:eastAsia="zh-CN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5881EAAA" w14:textId="77777777" w:rsidR="00BA654E" w:rsidRPr="00BA654E" w:rsidRDefault="00BA654E" w:rsidP="00BA654E">
            <w:pPr>
              <w:spacing w:after="0" w:line="240" w:lineRule="auto"/>
              <w:rPr>
                <w:rFonts w:ascii="Arial" w:eastAsia="SimSun" w:hAnsi="Arial" w:cs="Arial"/>
                <w:lang w:eastAsia="zh-CN"/>
              </w:rPr>
            </w:pPr>
            <w:r w:rsidRPr="00BA654E">
              <w:rPr>
                <w:rFonts w:ascii="Arial" w:eastAsia="SimSun" w:hAnsi="Arial" w:cs="Arial"/>
                <w:lang w:eastAsia="zh-CN"/>
              </w:rPr>
              <w:t>Date:</w:t>
            </w:r>
          </w:p>
        </w:tc>
      </w:tr>
    </w:tbl>
    <w:p w14:paraId="2638D65A" w14:textId="225A5205" w:rsidR="00BA654E" w:rsidRDefault="00BA654E" w:rsidP="00BA654E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7E0958DD" w14:textId="77777777" w:rsidR="00BA654E" w:rsidRDefault="00BA654E">
      <w:pP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  <w: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  <w:br w:type="page"/>
      </w:r>
    </w:p>
    <w:p w14:paraId="766BD86A" w14:textId="77777777" w:rsidR="00BA654E" w:rsidRPr="00BA654E" w:rsidRDefault="00BA654E" w:rsidP="00BA654E">
      <w:pPr>
        <w:spacing w:after="0" w:line="240" w:lineRule="auto"/>
        <w:ind w:right="-334"/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3E54D976" w14:textId="5B47E17E" w:rsidR="009661AB" w:rsidRDefault="009661AB" w:rsidP="009661AB">
      <w:pPr>
        <w:rPr>
          <w:b/>
          <w:sz w:val="32"/>
          <w:szCs w:val="32"/>
        </w:rPr>
      </w:pPr>
      <w:r w:rsidRPr="00BF43F0">
        <w:rPr>
          <w:b/>
          <w:sz w:val="32"/>
          <w:szCs w:val="32"/>
        </w:rPr>
        <w:t>Encyclopaedia Article</w:t>
      </w:r>
      <w:r>
        <w:rPr>
          <w:b/>
          <w:sz w:val="32"/>
          <w:szCs w:val="32"/>
        </w:rPr>
        <w:t xml:space="preserve"> 2</w:t>
      </w:r>
      <w:r w:rsidR="00EE0138">
        <w:rPr>
          <w:b/>
          <w:sz w:val="32"/>
          <w:szCs w:val="32"/>
        </w:rPr>
        <w:t xml:space="preserve"> </w:t>
      </w:r>
      <w:r w:rsidR="00EE0138" w:rsidRPr="00EE0138">
        <w:rPr>
          <w:sz w:val="32"/>
          <w:szCs w:val="32"/>
        </w:rPr>
        <w:t>(Oxford Islamic Studies Online)</w:t>
      </w:r>
      <w:r w:rsidR="001B45EF">
        <w:rPr>
          <w:b/>
          <w:sz w:val="32"/>
          <w:szCs w:val="32"/>
        </w:rPr>
        <w:br/>
      </w:r>
    </w:p>
    <w:p w14:paraId="0A76169D" w14:textId="77777777" w:rsidR="00064807" w:rsidRPr="001B45EF" w:rsidRDefault="00064807" w:rsidP="001B45EF">
      <w:pPr>
        <w:spacing w:after="240" w:line="360" w:lineRule="auto"/>
        <w:jc w:val="both"/>
        <w:rPr>
          <w:rFonts w:ascii="Times New Roman" w:hAnsi="Times New Roman" w:cs="Times New Roman"/>
          <w:b/>
          <w:iCs/>
          <w:color w:val="000000"/>
          <w:sz w:val="32"/>
          <w:szCs w:val="32"/>
          <w:shd w:val="clear" w:color="auto" w:fill="FFFFFF"/>
        </w:rPr>
      </w:pPr>
      <w:r w:rsidRPr="001B45EF">
        <w:rPr>
          <w:rFonts w:ascii="Times New Roman" w:hAnsi="Times New Roman" w:cs="Times New Roman"/>
          <w:b/>
          <w:i/>
          <w:iCs/>
          <w:color w:val="000000"/>
          <w:sz w:val="32"/>
          <w:szCs w:val="32"/>
          <w:shd w:val="clear" w:color="auto" w:fill="FFFFFF"/>
        </w:rPr>
        <w:t xml:space="preserve">Uṣūl al-fiqh </w:t>
      </w:r>
    </w:p>
    <w:p w14:paraId="3C2079D7" w14:textId="636E7391" w:rsidR="00064807" w:rsidRPr="00CB5705" w:rsidRDefault="00064807" w:rsidP="001B45EF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An Arabic </w:t>
      </w:r>
      <w:r w:rsidRPr="00F73C0F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term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designating the roots of </w:t>
      </w:r>
      <w:r w:rsidR="00875731" w:rsidRPr="00CB5705">
        <w:rPr>
          <w:rFonts w:ascii="Times New Roman" w:hAnsi="Times New Roman" w:cs="Times New Roman"/>
          <w:sz w:val="24"/>
          <w:szCs w:val="24"/>
        </w:rPr>
        <w:t xml:space="preserve">Islamic </w:t>
      </w:r>
      <w:r w:rsidRPr="00CB5705">
        <w:rPr>
          <w:rFonts w:ascii="Times New Roman" w:hAnsi="Times New Roman" w:cs="Times New Roman"/>
          <w:sz w:val="24"/>
          <w:szCs w:val="24"/>
        </w:rPr>
        <w:t>law and a specific</w:t>
      </w:r>
      <w:r w:rsidR="00875731" w:rsidRPr="00CB5705">
        <w:rPr>
          <w:rFonts w:ascii="Times New Roman" w:hAnsi="Times New Roman" w:cs="Times New Roman"/>
          <w:sz w:val="24"/>
          <w:szCs w:val="24"/>
        </w:rPr>
        <w:t xml:space="preserve"> discipline within the Islamic </w:t>
      </w:r>
      <w:r w:rsidRPr="00CB5705">
        <w:rPr>
          <w:rFonts w:ascii="Times New Roman" w:hAnsi="Times New Roman" w:cs="Times New Roman"/>
          <w:sz w:val="24"/>
          <w:szCs w:val="24"/>
        </w:rPr>
        <w:t>jurisprudence</w:t>
      </w:r>
      <w:r w:rsidR="00875731" w:rsidRPr="00CB5705">
        <w:rPr>
          <w:rFonts w:ascii="Times New Roman" w:hAnsi="Times New Roman" w:cs="Times New Roman"/>
          <w:sz w:val="24"/>
          <w:szCs w:val="24"/>
        </w:rPr>
        <w:t>.</w:t>
      </w:r>
      <w:r w:rsidRPr="00CB5705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Pr="00CB5705">
        <w:rPr>
          <w:rFonts w:ascii="Times New Roman" w:hAnsi="Times New Roman" w:cs="Times New Roman"/>
          <w:sz w:val="24"/>
          <w:szCs w:val="24"/>
        </w:rPr>
        <w:t xml:space="preserve">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The </w:t>
      </w:r>
      <w:r w:rsidRPr="00CB5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Qurʿān</w:t>
      </w:r>
      <w:r w:rsidRPr="00CB5705">
        <w:rPr>
          <w:rFonts w:ascii="Times New Roman" w:hAnsi="Times New Roman" w:cs="Times New Roman"/>
          <w:sz w:val="24"/>
          <w:szCs w:val="24"/>
        </w:rPr>
        <w:t xml:space="preserve"> and </w:t>
      </w:r>
      <w:r w:rsidRPr="00F73C0F">
        <w:rPr>
          <w:rFonts w:ascii="Times New Roman" w:hAnsi="Times New Roman" w:cs="Times New Roman"/>
          <w:i/>
          <w:iCs/>
          <w:noProof/>
          <w:color w:val="000000"/>
          <w:sz w:val="24"/>
          <w:szCs w:val="24"/>
          <w:shd w:val="clear" w:color="auto" w:fill="FFFFFF"/>
        </w:rPr>
        <w:t>sunnah</w:t>
      </w:r>
      <w:r w:rsidR="00146FB8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r w:rsidR="00146FB8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though the primary source of authority,</w:t>
      </w:r>
      <w:r w:rsidR="00146FB8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contain limited legal </w:t>
      </w:r>
      <w:r w:rsidR="001B45E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precepts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. 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Uṣūl al-fiqh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represents the process of expounding what indications are found in the</w:t>
      </w:r>
      <w:r w:rsidR="00A442DD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authoritative sources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to produce rules of 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fiqh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; </w:t>
      </w:r>
      <w:r w:rsidRPr="00F73C0F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 xml:space="preserve">the end product of </w:t>
      </w:r>
      <w:r w:rsidRPr="00F73C0F">
        <w:rPr>
          <w:rFonts w:ascii="Times New Roman" w:hAnsi="Times New Roman" w:cs="Times New Roman"/>
          <w:i/>
          <w:iCs/>
          <w:noProof/>
          <w:color w:val="000000"/>
          <w:sz w:val="24"/>
          <w:szCs w:val="24"/>
          <w:shd w:val="clear" w:color="auto" w:fill="FFFFFF"/>
        </w:rPr>
        <w:t>uṣūl al-fiqh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.</w:t>
      </w:r>
      <w:r w:rsidRPr="00CB5705">
        <w:rPr>
          <w:rStyle w:val="FootnoteReferen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footnoteReference w:id="2"/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It is distinct from </w:t>
      </w:r>
      <w:r w:rsidRPr="001B45E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fiqh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which represents the laws </w:t>
      </w:r>
      <w:r w:rsidR="00A442DD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themselves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whereas 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uṣūl al-fiqh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is the </w:t>
      </w:r>
      <w:r w:rsidR="00A442DD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description of the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method used to deduce such </w:t>
      </w:r>
      <w:r w:rsidRPr="00F73C0F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laws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from their source</w:t>
      </w:r>
      <w:r w:rsidR="00A442DD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s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Pr="00CB5705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3"/>
      </w:r>
    </w:p>
    <w:p w14:paraId="4CB25669" w14:textId="4C096704" w:rsidR="00A442DD" w:rsidRPr="00CB5705" w:rsidRDefault="00146FB8" w:rsidP="001B45EF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</w:pP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The methodology of </w:t>
      </w:r>
      <w:bookmarkStart w:id="8" w:name="_Hlk504083645"/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uṣūl al-fiqh</w:t>
      </w:r>
      <w:bookmarkEnd w:id="8"/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its practices and conventions, is an umbrella term for a collection of ‘methods of reasoning’. Those methods start with consensus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(ijmā</w:t>
      </w:r>
      <w:r w:rsidRPr="00CB570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῾)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and analogy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(qiyās).</w:t>
      </w:r>
      <w:r w:rsidRPr="00CB5705">
        <w:rPr>
          <w:rStyle w:val="FootnoteReferen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footnoteReference w:id="4"/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In combination with the </w:t>
      </w:r>
      <w:r w:rsidRPr="00F73C0F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classical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F73C0F" w:rsidRPr="00F73C0F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s</w:t>
      </w:r>
      <w:r w:rsidRPr="00F73C0F">
        <w:rPr>
          <w:rFonts w:ascii="Times New Roman" w:hAnsi="Times New Roman" w:cs="Times New Roman"/>
          <w:iCs/>
          <w:noProof/>
          <w:color w:val="000000"/>
          <w:sz w:val="24"/>
          <w:szCs w:val="24"/>
          <w:shd w:val="clear" w:color="auto" w:fill="FFFFFF"/>
        </w:rPr>
        <w:t>ourses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,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the four 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make up the roots of law (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uṣūl al-fiqh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).</w:t>
      </w:r>
      <w:r w:rsidRPr="00CB5705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5"/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Where these are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insufficient</w:t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, additional methods or reasoning are available for ‘deducing legal injunctions.’</w:t>
      </w:r>
      <w:r w:rsidRPr="00CB5705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6"/>
      </w:r>
      <w:r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Such methods include showing preference to </w:t>
      </w:r>
      <w:proofErr w:type="gramStart"/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particular solution</w:t>
      </w:r>
      <w:r w:rsidR="001B45E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s</w:t>
      </w:r>
      <w:proofErr w:type="gramEnd"/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301C41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istiḥsān</w:t>
      </w:r>
      <w:proofErr w:type="spellEnd"/>
      <w:r w:rsidR="00301C41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)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and </w:t>
      </w:r>
      <w:r w:rsidR="001B45E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the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presumption of continuity (</w:t>
      </w:r>
      <w:r w:rsidR="00301C41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istiṣḥāb)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. </w:t>
      </w:r>
      <w:r w:rsidR="001B45E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T</w:t>
      </w:r>
      <w:r w:rsidR="004D240E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he totality of these models </w:t>
      </w:r>
      <w:r w:rsidR="004D240E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provides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a methodology to help correctly deduce the </w:t>
      </w:r>
      <w:r w:rsidR="00301C41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sharīʿa.</w:t>
      </w:r>
      <w:r w:rsidR="00301C41" w:rsidRPr="00CB5705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7"/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The need for </w:t>
      </w:r>
      <w:r w:rsidR="00301C41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uṣūl al-fiqh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emerged as numerous individual and groups were generating </w:t>
      </w:r>
      <w:r w:rsidR="002861A7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their own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legal opinions </w:t>
      </w:r>
      <w:r w:rsidR="00301C41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(</w:t>
      </w:r>
      <w:bookmarkStart w:id="10" w:name="_Hlk504516307"/>
      <w:r w:rsidR="001B45EF" w:rsidRPr="001B45EF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ijtihād</w:t>
      </w:r>
      <w:bookmarkEnd w:id="10"/>
      <w:r w:rsidR="00301C41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). Uṣūl al-fiqh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aimed to </w:t>
      </w:r>
      <w:r w:rsidR="001B45E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regulate and </w:t>
      </w:r>
      <w:r w:rsidR="00301C41" w:rsidRPr="00CB5705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limit authority to make such decisions to trained scholars</w:t>
      </w:r>
      <w:r w:rsidR="001B45EF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  <w:r w:rsidR="00301C41" w:rsidRPr="00CB5705">
        <w:rPr>
          <w:rStyle w:val="FootnoteReferen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footnoteReference w:id="8"/>
      </w:r>
      <w:r w:rsidR="002861A7"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61246671" w14:textId="26966298" w:rsidR="00A24C73" w:rsidRPr="00CB5705" w:rsidRDefault="002861A7" w:rsidP="001B45EF">
      <w:pPr>
        <w:spacing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B5705">
        <w:rPr>
          <w:rFonts w:ascii="Times New Roman" w:hAnsi="Times New Roman" w:cs="Times New Roman"/>
          <w:sz w:val="24"/>
          <w:szCs w:val="24"/>
        </w:rPr>
        <w:t xml:space="preserve">Tradition has long held </w:t>
      </w:r>
      <w:proofErr w:type="spellStart"/>
      <w:r w:rsidRPr="00CB5705">
        <w:rPr>
          <w:rFonts w:ascii="Times New Roman" w:hAnsi="Times New Roman" w:cs="Times New Roman"/>
          <w:sz w:val="24"/>
          <w:szCs w:val="24"/>
        </w:rPr>
        <w:t>Muḥammad</w:t>
      </w:r>
      <w:proofErr w:type="spellEnd"/>
      <w:r w:rsidRPr="00CB5705">
        <w:rPr>
          <w:rFonts w:ascii="Times New Roman" w:hAnsi="Times New Roman" w:cs="Times New Roman"/>
          <w:sz w:val="24"/>
          <w:szCs w:val="24"/>
        </w:rPr>
        <w:t xml:space="preserve"> b. </w:t>
      </w:r>
      <w:proofErr w:type="spellStart"/>
      <w:r w:rsidRPr="00CB5705">
        <w:rPr>
          <w:rFonts w:ascii="Times New Roman" w:hAnsi="Times New Roman" w:cs="Times New Roman"/>
          <w:sz w:val="24"/>
          <w:szCs w:val="24"/>
        </w:rPr>
        <w:t>Idrīs</w:t>
      </w:r>
      <w:proofErr w:type="spellEnd"/>
      <w:r w:rsidRPr="00CB5705">
        <w:rPr>
          <w:rFonts w:ascii="Times New Roman" w:hAnsi="Times New Roman" w:cs="Times New Roman"/>
          <w:sz w:val="24"/>
          <w:szCs w:val="24"/>
        </w:rPr>
        <w:t xml:space="preserve"> al-Shāfiʿī (767–820) as being the founder of </w:t>
      </w:r>
      <w:r w:rsidRPr="00CB5705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uṣūl al-fiqh </w:t>
      </w:r>
      <w:r w:rsidRPr="00CB5705">
        <w:rPr>
          <w:rFonts w:ascii="Times New Roman" w:hAnsi="Times New Roman" w:cs="Times New Roman"/>
          <w:sz w:val="24"/>
          <w:szCs w:val="24"/>
        </w:rPr>
        <w:t xml:space="preserve">and his major work, </w:t>
      </w:r>
      <w:r w:rsidRPr="00CB5705">
        <w:rPr>
          <w:rFonts w:ascii="Times New Roman" w:hAnsi="Times New Roman" w:cs="Times New Roman"/>
          <w:i/>
          <w:sz w:val="24"/>
          <w:szCs w:val="24"/>
        </w:rPr>
        <w:t>Al-</w:t>
      </w:r>
      <w:proofErr w:type="spellStart"/>
      <w:r w:rsidRPr="00CB5705">
        <w:rPr>
          <w:rFonts w:ascii="Times New Roman" w:hAnsi="Times New Roman" w:cs="Times New Roman"/>
          <w:i/>
          <w:sz w:val="24"/>
          <w:szCs w:val="24"/>
        </w:rPr>
        <w:t>Risālah</w:t>
      </w:r>
      <w:proofErr w:type="spellEnd"/>
      <w:r w:rsidRPr="00CB5705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CB5705">
        <w:rPr>
          <w:rFonts w:ascii="Times New Roman" w:hAnsi="Times New Roman" w:cs="Times New Roman"/>
          <w:sz w:val="24"/>
          <w:szCs w:val="24"/>
        </w:rPr>
        <w:t>its foundational text</w:t>
      </w:r>
      <w:r w:rsidRPr="00CB5705">
        <w:rPr>
          <w:rFonts w:ascii="Times New Roman" w:hAnsi="Times New Roman" w:cs="Times New Roman"/>
          <w:i/>
          <w:sz w:val="24"/>
          <w:szCs w:val="24"/>
        </w:rPr>
        <w:t>.</w:t>
      </w:r>
      <w:r w:rsidRPr="00CB5705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Pr="00CB5705">
        <w:rPr>
          <w:rFonts w:ascii="Times New Roman" w:hAnsi="Times New Roman" w:cs="Times New Roman"/>
          <w:sz w:val="24"/>
          <w:szCs w:val="24"/>
        </w:rPr>
        <w:t xml:space="preserve"> </w:t>
      </w:r>
      <w:r w:rsidRPr="00CB57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Modern scholars, specifically Wael B. </w:t>
      </w:r>
      <w:proofErr w:type="spellStart"/>
      <w:r w:rsidRPr="00CB5705">
        <w:rPr>
          <w:rFonts w:ascii="Times New Roman" w:hAnsi="Times New Roman" w:cs="Times New Roman"/>
          <w:sz w:val="24"/>
          <w:szCs w:val="24"/>
          <w:shd w:val="clear" w:color="auto" w:fill="FFFFFF"/>
        </w:rPr>
        <w:t>Hallaq</w:t>
      </w:r>
      <w:proofErr w:type="spellEnd"/>
      <w:r w:rsidRPr="00CB57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Joseph </w:t>
      </w:r>
      <w:r w:rsidRPr="00F73C0F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S</w:t>
      </w:r>
      <w:r w:rsidR="00F73C0F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c</w:t>
      </w:r>
      <w:r w:rsidRPr="00F73C0F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hacht</w:t>
      </w:r>
      <w:r w:rsidRPr="00CB5705">
        <w:rPr>
          <w:rFonts w:ascii="Times New Roman" w:hAnsi="Times New Roman" w:cs="Times New Roman"/>
          <w:sz w:val="24"/>
          <w:szCs w:val="24"/>
          <w:shd w:val="clear" w:color="auto" w:fill="FFFFFF"/>
        </w:rPr>
        <w:t>, have questioned this view.</w:t>
      </w:r>
      <w:r w:rsidRPr="00CB5705">
        <w:rPr>
          <w:rStyle w:val="FootnoteReference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footnoteReference w:id="10"/>
      </w:r>
      <w:r w:rsidRPr="00CB57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The former arguing that that </w:t>
      </w:r>
      <w:r w:rsidRPr="00CB5705">
        <w:rPr>
          <w:rFonts w:ascii="Times New Roman" w:hAnsi="Times New Roman" w:cs="Times New Roman"/>
          <w:i/>
          <w:sz w:val="24"/>
          <w:szCs w:val="24"/>
        </w:rPr>
        <w:t>Al-</w:t>
      </w:r>
      <w:proofErr w:type="spellStart"/>
      <w:r w:rsidRPr="00CB5705">
        <w:rPr>
          <w:rFonts w:ascii="Times New Roman" w:hAnsi="Times New Roman" w:cs="Times New Roman"/>
          <w:i/>
          <w:sz w:val="24"/>
          <w:szCs w:val="24"/>
        </w:rPr>
        <w:t>Risālah</w:t>
      </w:r>
      <w:proofErr w:type="spellEnd"/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CB5705">
        <w:rPr>
          <w:rFonts w:ascii="Times New Roman" w:hAnsi="Times New Roman" w:cs="Times New Roman"/>
          <w:sz w:val="24"/>
          <w:szCs w:val="24"/>
        </w:rPr>
        <w:t xml:space="preserve">lacks </w:t>
      </w:r>
      <w:r w:rsidRPr="00F73C0F">
        <w:rPr>
          <w:rFonts w:ascii="Times New Roman" w:hAnsi="Times New Roman" w:cs="Times New Roman"/>
          <w:noProof/>
          <w:sz w:val="24"/>
          <w:szCs w:val="24"/>
        </w:rPr>
        <w:t>depth</w:t>
      </w:r>
      <w:r w:rsidR="00F73C0F">
        <w:rPr>
          <w:rFonts w:ascii="Times New Roman" w:hAnsi="Times New Roman" w:cs="Times New Roman"/>
          <w:noProof/>
          <w:sz w:val="24"/>
          <w:szCs w:val="24"/>
        </w:rPr>
        <w:t>,</w:t>
      </w:r>
      <w:r w:rsidRPr="00CB5705">
        <w:rPr>
          <w:rFonts w:ascii="Times New Roman" w:hAnsi="Times New Roman" w:cs="Times New Roman"/>
          <w:sz w:val="24"/>
          <w:szCs w:val="24"/>
        </w:rPr>
        <w:t xml:space="preserve"> leaves major technical issues unsettled and had </w:t>
      </w:r>
      <w:r w:rsidRPr="00F73C0F">
        <w:rPr>
          <w:rFonts w:ascii="Times New Roman" w:hAnsi="Times New Roman" w:cs="Times New Roman"/>
          <w:noProof/>
          <w:sz w:val="24"/>
          <w:szCs w:val="24"/>
        </w:rPr>
        <w:t>little</w:t>
      </w:r>
      <w:r w:rsidRPr="00CB5705">
        <w:rPr>
          <w:rFonts w:ascii="Times New Roman" w:hAnsi="Times New Roman" w:cs="Times New Roman"/>
          <w:sz w:val="24"/>
          <w:szCs w:val="24"/>
        </w:rPr>
        <w:t xml:space="preserve"> historical impact </w:t>
      </w:r>
      <w:r w:rsidRPr="00CB5705">
        <w:rPr>
          <w:rFonts w:ascii="Times New Roman" w:hAnsi="Times New Roman" w:cs="Times New Roman"/>
          <w:sz w:val="24"/>
          <w:szCs w:val="24"/>
        </w:rPr>
        <w:lastRenderedPageBreak/>
        <w:t>in the 9</w:t>
      </w:r>
      <w:r w:rsidRPr="00CB570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CB5705">
        <w:rPr>
          <w:rFonts w:ascii="Times New Roman" w:hAnsi="Times New Roman" w:cs="Times New Roman"/>
          <w:sz w:val="24"/>
          <w:szCs w:val="24"/>
        </w:rPr>
        <w:t xml:space="preserve"> century. The ide</w:t>
      </w:r>
      <w:r w:rsidR="001B45EF">
        <w:rPr>
          <w:rFonts w:ascii="Times New Roman" w:hAnsi="Times New Roman" w:cs="Times New Roman"/>
          <w:sz w:val="24"/>
          <w:szCs w:val="24"/>
        </w:rPr>
        <w:t xml:space="preserve">a </w:t>
      </w:r>
      <w:r w:rsidRPr="00CB5705">
        <w:rPr>
          <w:rFonts w:ascii="Times New Roman" w:hAnsi="Times New Roman" w:cs="Times New Roman"/>
          <w:sz w:val="24"/>
          <w:szCs w:val="24"/>
        </w:rPr>
        <w:t>is</w:t>
      </w:r>
      <w:r w:rsidR="00F73C0F">
        <w:rPr>
          <w:rFonts w:ascii="Times New Roman" w:hAnsi="Times New Roman" w:cs="Times New Roman"/>
          <w:sz w:val="24"/>
          <w:szCs w:val="24"/>
        </w:rPr>
        <w:t>, therefore,</w:t>
      </w:r>
      <w:r w:rsidRPr="00CB5705">
        <w:rPr>
          <w:rFonts w:ascii="Times New Roman" w:hAnsi="Times New Roman" w:cs="Times New Roman"/>
          <w:sz w:val="24"/>
          <w:szCs w:val="24"/>
        </w:rPr>
        <w:t xml:space="preserve"> more likely a later invention.</w:t>
      </w:r>
      <w:r w:rsidRPr="00CB5705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Pr="00CB5705">
        <w:rPr>
          <w:rFonts w:ascii="Times New Roman" w:hAnsi="Times New Roman" w:cs="Times New Roman"/>
          <w:sz w:val="24"/>
          <w:szCs w:val="24"/>
        </w:rPr>
        <w:t xml:space="preserve"> Other scholars in the </w:t>
      </w:r>
      <w:r w:rsidR="00810AE2" w:rsidRPr="00CB5705">
        <w:rPr>
          <w:rFonts w:ascii="Times New Roman" w:hAnsi="Times New Roman" w:cs="Times New Roman"/>
          <w:sz w:val="24"/>
          <w:szCs w:val="24"/>
        </w:rPr>
        <w:t>m</w:t>
      </w:r>
      <w:r w:rsidRPr="00CB5705">
        <w:rPr>
          <w:rFonts w:ascii="Times New Roman" w:hAnsi="Times New Roman" w:cs="Times New Roman"/>
          <w:sz w:val="24"/>
          <w:szCs w:val="24"/>
        </w:rPr>
        <w:t xml:space="preserve">odern period have sought to offer more progressive approaches to </w:t>
      </w:r>
      <w:r w:rsidRPr="00CB5705">
        <w:rPr>
          <w:rFonts w:ascii="Times New Roman" w:hAnsi="Times New Roman" w:cs="Times New Roman"/>
          <w:i/>
          <w:iCs/>
          <w:sz w:val="24"/>
          <w:szCs w:val="24"/>
        </w:rPr>
        <w:t xml:space="preserve">uṣūl al-fiqh </w:t>
      </w:r>
      <w:r w:rsidRPr="00F73C0F">
        <w:rPr>
          <w:rFonts w:ascii="Times New Roman" w:hAnsi="Times New Roman" w:cs="Times New Roman"/>
          <w:iCs/>
          <w:noProof/>
          <w:sz w:val="24"/>
          <w:szCs w:val="24"/>
        </w:rPr>
        <w:t>to effectively respond to rapidly changing cultures</w:t>
      </w:r>
      <w:r w:rsidRPr="00CB5705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Pr="00CB5705">
        <w:rPr>
          <w:rFonts w:ascii="Times New Roman" w:hAnsi="Times New Roman" w:cs="Times New Roman"/>
          <w:iCs/>
          <w:sz w:val="24"/>
          <w:szCs w:val="24"/>
        </w:rPr>
        <w:t>Hallaq</w:t>
      </w:r>
      <w:proofErr w:type="spellEnd"/>
      <w:r w:rsidRPr="00CB5705">
        <w:rPr>
          <w:rFonts w:ascii="Times New Roman" w:hAnsi="Times New Roman" w:cs="Times New Roman"/>
          <w:iCs/>
          <w:sz w:val="24"/>
          <w:szCs w:val="24"/>
        </w:rPr>
        <w:t xml:space="preserve"> argues it is ideal for the task since ‘re-evaluation and reinterpretation’ represent a central part of its function.</w:t>
      </w:r>
      <w:r w:rsidRPr="00CB5705">
        <w:rPr>
          <w:rStyle w:val="FootnoteReference"/>
          <w:rFonts w:ascii="Times New Roman" w:hAnsi="Times New Roman" w:cs="Times New Roman"/>
          <w:iCs/>
          <w:sz w:val="24"/>
          <w:szCs w:val="24"/>
        </w:rPr>
        <w:footnoteReference w:id="12"/>
      </w:r>
      <w:r w:rsidRPr="00CB5705">
        <w:rPr>
          <w:rFonts w:ascii="Times New Roman" w:hAnsi="Times New Roman" w:cs="Times New Roman"/>
          <w:iCs/>
          <w:sz w:val="24"/>
          <w:szCs w:val="24"/>
        </w:rPr>
        <w:t xml:space="preserve"> Other modern jurists and scholars have sought to emphasise and promote public interest/welfare </w:t>
      </w:r>
      <w:r w:rsidRPr="00CB57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1B45EF">
        <w:rPr>
          <w:rFonts w:ascii="Times New Roman" w:hAnsi="Times New Roman" w:cs="Times New Roman"/>
          <w:i/>
          <w:sz w:val="24"/>
          <w:szCs w:val="24"/>
        </w:rPr>
        <w:t>m</w:t>
      </w:r>
      <w:r w:rsidRPr="00CB5705">
        <w:rPr>
          <w:rFonts w:ascii="Times New Roman" w:hAnsi="Times New Roman" w:cs="Times New Roman"/>
          <w:i/>
          <w:sz w:val="24"/>
          <w:szCs w:val="24"/>
        </w:rPr>
        <w:t>aṣlaḥah</w:t>
      </w:r>
      <w:proofErr w:type="spellEnd"/>
      <w:r w:rsidRPr="00CB5705">
        <w:rPr>
          <w:rFonts w:ascii="Times New Roman" w:hAnsi="Times New Roman" w:cs="Times New Roman"/>
          <w:sz w:val="24"/>
          <w:szCs w:val="24"/>
        </w:rPr>
        <w:t xml:space="preserve">) above other methodologies. </w:t>
      </w:r>
      <w:proofErr w:type="spellStart"/>
      <w:r w:rsidRPr="00CB5705">
        <w:rPr>
          <w:rFonts w:ascii="Times New Roman" w:hAnsi="Times New Roman" w:cs="Times New Roman"/>
          <w:sz w:val="24"/>
          <w:szCs w:val="24"/>
        </w:rPr>
        <w:t>Baderin</w:t>
      </w:r>
      <w:proofErr w:type="spellEnd"/>
      <w:r w:rsidRPr="00CB5705">
        <w:rPr>
          <w:rFonts w:ascii="Times New Roman" w:hAnsi="Times New Roman" w:cs="Times New Roman"/>
          <w:sz w:val="24"/>
          <w:szCs w:val="24"/>
        </w:rPr>
        <w:t xml:space="preserve"> has argued for its use in promoting modern principles of Human Rights within the </w:t>
      </w:r>
      <w:r w:rsidRPr="001B45EF">
        <w:rPr>
          <w:rFonts w:ascii="Times New Roman" w:hAnsi="Times New Roman" w:cs="Times New Roman"/>
          <w:i/>
          <w:sz w:val="24"/>
          <w:szCs w:val="24"/>
        </w:rPr>
        <w:t>sharīʿa</w:t>
      </w:r>
      <w:r w:rsidRPr="00CB5705">
        <w:rPr>
          <w:rFonts w:ascii="Times New Roman" w:hAnsi="Times New Roman" w:cs="Times New Roman"/>
          <w:sz w:val="24"/>
          <w:szCs w:val="24"/>
        </w:rPr>
        <w:t xml:space="preserve">, some of which challenge </w:t>
      </w:r>
      <w:r w:rsidRPr="00F73C0F">
        <w:rPr>
          <w:rFonts w:ascii="Times New Roman" w:hAnsi="Times New Roman" w:cs="Times New Roman"/>
          <w:noProof/>
          <w:sz w:val="24"/>
          <w:szCs w:val="24"/>
        </w:rPr>
        <w:t>historic</w:t>
      </w:r>
      <w:r w:rsidR="00F73C0F">
        <w:rPr>
          <w:rFonts w:ascii="Times New Roman" w:hAnsi="Times New Roman" w:cs="Times New Roman"/>
          <w:noProof/>
          <w:sz w:val="24"/>
          <w:szCs w:val="24"/>
        </w:rPr>
        <w:t>al</w:t>
      </w:r>
      <w:r w:rsidRPr="00CB5705">
        <w:rPr>
          <w:rFonts w:ascii="Times New Roman" w:hAnsi="Times New Roman" w:cs="Times New Roman"/>
          <w:sz w:val="24"/>
          <w:szCs w:val="24"/>
        </w:rPr>
        <w:t xml:space="preserve"> areas of contention</w:t>
      </w:r>
      <w:r w:rsidR="00F73C0F">
        <w:rPr>
          <w:rFonts w:ascii="Times New Roman" w:hAnsi="Times New Roman" w:cs="Times New Roman"/>
          <w:sz w:val="24"/>
          <w:szCs w:val="24"/>
        </w:rPr>
        <w:t>,</w:t>
      </w:r>
      <w:r w:rsidRPr="00CB5705">
        <w:rPr>
          <w:rFonts w:ascii="Times New Roman" w:hAnsi="Times New Roman" w:cs="Times New Roman"/>
          <w:sz w:val="24"/>
          <w:szCs w:val="24"/>
        </w:rPr>
        <w:t xml:space="preserve"> </w:t>
      </w:r>
      <w:r w:rsidRPr="00F73C0F">
        <w:rPr>
          <w:rFonts w:ascii="Times New Roman" w:hAnsi="Times New Roman" w:cs="Times New Roman"/>
          <w:noProof/>
          <w:sz w:val="24"/>
          <w:szCs w:val="24"/>
        </w:rPr>
        <w:t>e.g.</w:t>
      </w:r>
      <w:r w:rsidRPr="00CB5705">
        <w:rPr>
          <w:rFonts w:ascii="Times New Roman" w:hAnsi="Times New Roman" w:cs="Times New Roman"/>
          <w:sz w:val="24"/>
          <w:szCs w:val="24"/>
        </w:rPr>
        <w:t xml:space="preserve"> women’s rights.</w:t>
      </w:r>
      <w:r w:rsidRPr="00CB5705">
        <w:rPr>
          <w:rFonts w:ascii="Times New Roman" w:hAnsi="Times New Roman" w:cs="Times New Roman"/>
          <w:sz w:val="24"/>
          <w:szCs w:val="24"/>
          <w:vertAlign w:val="superscript"/>
        </w:rPr>
        <w:footnoteReference w:id="13"/>
      </w:r>
      <w:r w:rsidRPr="00CB5705">
        <w:rPr>
          <w:rFonts w:ascii="Times New Roman" w:hAnsi="Times New Roman" w:cs="Times New Roman"/>
          <w:sz w:val="24"/>
          <w:szCs w:val="24"/>
        </w:rPr>
        <w:t xml:space="preserve"> Other like Mahmud Muhammad Taha, opted for a far more radical approach. Taha promoted a limited authority for the Qurʿān couple</w:t>
      </w:r>
      <w:r w:rsidR="00810AE2" w:rsidRPr="00CB5705">
        <w:rPr>
          <w:rFonts w:ascii="Times New Roman" w:hAnsi="Times New Roman" w:cs="Times New Roman"/>
          <w:sz w:val="24"/>
          <w:szCs w:val="24"/>
        </w:rPr>
        <w:t>d</w:t>
      </w:r>
      <w:r w:rsidRPr="00CB5705">
        <w:rPr>
          <w:rFonts w:ascii="Times New Roman" w:hAnsi="Times New Roman" w:cs="Times New Roman"/>
          <w:sz w:val="24"/>
          <w:szCs w:val="24"/>
        </w:rPr>
        <w:t xml:space="preserve"> with a near abandonment of classical </w:t>
      </w:r>
      <w:r w:rsidRPr="00CB5705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uṣūl al-fiqh,</w:t>
      </w:r>
      <w:r w:rsidRPr="00CB5705">
        <w:rPr>
          <w:rFonts w:ascii="Times New Roman" w:hAnsi="Times New Roman" w:cs="Times New Roman"/>
          <w:iCs/>
          <w:sz w:val="24"/>
          <w:szCs w:val="24"/>
        </w:rPr>
        <w:t xml:space="preserve"> fuelled by a radical ‘inclusive reinterpretation’ of Islamic law.</w:t>
      </w:r>
      <w:r w:rsidRPr="00CB5705">
        <w:rPr>
          <w:rStyle w:val="FootnoteReference"/>
          <w:rFonts w:ascii="Times New Roman" w:hAnsi="Times New Roman" w:cs="Times New Roman"/>
          <w:iCs/>
          <w:sz w:val="24"/>
          <w:szCs w:val="24"/>
        </w:rPr>
        <w:footnoteReference w:id="14"/>
      </w:r>
    </w:p>
    <w:p w14:paraId="70B2A8D7" w14:textId="77777777" w:rsidR="00A24C73" w:rsidRPr="00301C41" w:rsidRDefault="00A24C73" w:rsidP="00064807">
      <w:pPr>
        <w:rPr>
          <w:rFonts w:ascii="Arial" w:hAnsi="Arial" w:cs="Arial"/>
          <w:iCs/>
          <w:color w:val="002147"/>
          <w:sz w:val="18"/>
          <w:szCs w:val="18"/>
          <w:bdr w:val="none" w:sz="0" w:space="0" w:color="auto" w:frame="1"/>
          <w:shd w:val="clear" w:color="auto" w:fill="EECC55"/>
        </w:rPr>
      </w:pPr>
    </w:p>
    <w:p w14:paraId="475DD7CD" w14:textId="77777777" w:rsidR="009661AB" w:rsidRPr="00BF43F0" w:rsidRDefault="009661AB" w:rsidP="009661AB">
      <w:pPr>
        <w:rPr>
          <w:b/>
          <w:sz w:val="32"/>
          <w:szCs w:val="32"/>
        </w:rPr>
      </w:pPr>
    </w:p>
    <w:p w14:paraId="762CB720" w14:textId="1D7035DE" w:rsidR="001D008F" w:rsidRDefault="001D008F">
      <w:r>
        <w:br w:type="page"/>
      </w:r>
    </w:p>
    <w:p w14:paraId="700D6725" w14:textId="4C8BFD0F" w:rsidR="001D008F" w:rsidRPr="001D008F" w:rsidRDefault="001D008F" w:rsidP="001D008F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Bibliography</w:t>
      </w:r>
      <w:r>
        <w:rPr>
          <w:rFonts w:ascii="Times New Roman" w:hAnsi="Times New Roman" w:cs="Times New Roman"/>
          <w:b/>
          <w:sz w:val="36"/>
          <w:szCs w:val="36"/>
        </w:rPr>
        <w:br/>
      </w:r>
    </w:p>
    <w:p w14:paraId="4D3AE423" w14:textId="77777777" w:rsidR="001D008F" w:rsidRPr="001D008F" w:rsidRDefault="001D008F" w:rsidP="001D008F">
      <w:pPr>
        <w:rPr>
          <w:rFonts w:ascii="Times New Roman" w:hAnsi="Times New Roman" w:cs="Times New Roman"/>
          <w:sz w:val="24"/>
          <w:szCs w:val="24"/>
        </w:rPr>
      </w:pPr>
      <w:r w:rsidRPr="001D008F">
        <w:rPr>
          <w:rFonts w:ascii="Times New Roman" w:hAnsi="Times New Roman" w:cs="Times New Roman"/>
          <w:sz w:val="24"/>
          <w:szCs w:val="24"/>
        </w:rPr>
        <w:t>Dien, M. Izzi. </w:t>
      </w:r>
      <w:r w:rsidRPr="001D008F">
        <w:rPr>
          <w:rFonts w:ascii="Times New Roman" w:hAnsi="Times New Roman" w:cs="Times New Roman"/>
          <w:i/>
          <w:iCs/>
          <w:sz w:val="24"/>
          <w:szCs w:val="24"/>
        </w:rPr>
        <w:t>Islamic Law: From Historical Foundations To Contemporary Practice</w:t>
      </w:r>
      <w:r w:rsidRPr="001D008F">
        <w:rPr>
          <w:rFonts w:ascii="Times New Roman" w:hAnsi="Times New Roman" w:cs="Times New Roman"/>
          <w:sz w:val="24"/>
          <w:szCs w:val="24"/>
        </w:rPr>
        <w:t>. Edinburgh: Edinburgh University Press, 2004.</w:t>
      </w:r>
    </w:p>
    <w:p w14:paraId="674EE98E" w14:textId="317817A5" w:rsidR="001D008F" w:rsidRPr="001D008F" w:rsidRDefault="001D008F" w:rsidP="001D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D008F">
        <w:rPr>
          <w:rFonts w:ascii="Times New Roman" w:hAnsi="Times New Roman" w:cs="Times New Roman"/>
          <w:sz w:val="24"/>
          <w:szCs w:val="24"/>
        </w:rPr>
        <w:t>Glasse</w:t>
      </w:r>
      <w:proofErr w:type="spellEnd"/>
      <w:r w:rsidRPr="001D008F">
        <w:rPr>
          <w:rFonts w:ascii="Times New Roman" w:hAnsi="Times New Roman" w:cs="Times New Roman"/>
          <w:sz w:val="24"/>
          <w:szCs w:val="24"/>
        </w:rPr>
        <w:t>́, Cyril. </w:t>
      </w:r>
      <w:r w:rsidRPr="001D008F">
        <w:rPr>
          <w:rFonts w:ascii="Times New Roman" w:hAnsi="Times New Roman" w:cs="Times New Roman"/>
          <w:i/>
          <w:iCs/>
          <w:sz w:val="24"/>
          <w:szCs w:val="24"/>
        </w:rPr>
        <w:t>The Concise Encyclopaedia Of Islam</w:t>
      </w:r>
      <w:r w:rsidRPr="001D008F">
        <w:rPr>
          <w:rFonts w:ascii="Times New Roman" w:hAnsi="Times New Roman" w:cs="Times New Roman"/>
          <w:sz w:val="24"/>
          <w:szCs w:val="24"/>
        </w:rPr>
        <w:t>. London: Stacey International, 2008.</w:t>
      </w:r>
    </w:p>
    <w:p w14:paraId="5962DA6E" w14:textId="672FDDB2" w:rsidR="001D008F" w:rsidRPr="001D008F" w:rsidRDefault="001D008F" w:rsidP="001D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1D008F">
        <w:rPr>
          <w:rFonts w:ascii="Times New Roman" w:hAnsi="Times New Roman" w:cs="Times New Roman"/>
          <w:sz w:val="24"/>
          <w:szCs w:val="24"/>
        </w:rPr>
        <w:t>Hallaq</w:t>
      </w:r>
      <w:proofErr w:type="spellEnd"/>
      <w:r w:rsidRPr="001D008F">
        <w:rPr>
          <w:rFonts w:ascii="Times New Roman" w:hAnsi="Times New Roman" w:cs="Times New Roman"/>
          <w:sz w:val="24"/>
          <w:szCs w:val="24"/>
        </w:rPr>
        <w:t>, Wael B. "Was Al-</w:t>
      </w:r>
      <w:proofErr w:type="spellStart"/>
      <w:r w:rsidRPr="001D008F">
        <w:rPr>
          <w:rFonts w:ascii="Times New Roman" w:hAnsi="Times New Roman" w:cs="Times New Roman"/>
          <w:sz w:val="24"/>
          <w:szCs w:val="24"/>
        </w:rPr>
        <w:t>Shafii</w:t>
      </w:r>
      <w:proofErr w:type="spellEnd"/>
      <w:r w:rsidRPr="001D008F">
        <w:rPr>
          <w:rFonts w:ascii="Times New Roman" w:hAnsi="Times New Roman" w:cs="Times New Roman"/>
          <w:sz w:val="24"/>
          <w:szCs w:val="24"/>
        </w:rPr>
        <w:t xml:space="preserve"> The Master Architect Of Islamic Jurisprudence?". </w:t>
      </w:r>
      <w:r w:rsidRPr="001D008F">
        <w:rPr>
          <w:rFonts w:ascii="Times New Roman" w:hAnsi="Times New Roman" w:cs="Times New Roman"/>
          <w:i/>
          <w:iCs/>
          <w:sz w:val="24"/>
          <w:szCs w:val="24"/>
        </w:rPr>
        <w:t>International Journal Of Middle East Studies</w:t>
      </w:r>
      <w:r w:rsidRPr="001D008F">
        <w:rPr>
          <w:rFonts w:ascii="Times New Roman" w:hAnsi="Times New Roman" w:cs="Times New Roman"/>
          <w:sz w:val="24"/>
          <w:szCs w:val="24"/>
        </w:rPr>
        <w:t> 25, no. 04 (1993): 587-605. doi:10.1017/s0020743800059274.</w:t>
      </w:r>
    </w:p>
    <w:p w14:paraId="406292BD" w14:textId="3258DDD1" w:rsidR="001D008F" w:rsidRPr="001D008F" w:rsidRDefault="001D008F" w:rsidP="001D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1D008F">
        <w:rPr>
          <w:rFonts w:ascii="Times New Roman" w:hAnsi="Times New Roman" w:cs="Times New Roman"/>
          <w:sz w:val="24"/>
          <w:szCs w:val="24"/>
        </w:rPr>
        <w:t>Kamali, Mohammad Hashim. </w:t>
      </w:r>
      <w:r w:rsidRPr="001D008F">
        <w:rPr>
          <w:rFonts w:ascii="Times New Roman" w:hAnsi="Times New Roman" w:cs="Times New Roman"/>
          <w:i/>
          <w:iCs/>
          <w:sz w:val="24"/>
          <w:szCs w:val="24"/>
        </w:rPr>
        <w:t>Principles Of Islamic Jurisprudence</w:t>
      </w:r>
      <w:r w:rsidRPr="001D008F">
        <w:rPr>
          <w:rFonts w:ascii="Times New Roman" w:hAnsi="Times New Roman" w:cs="Times New Roman"/>
          <w:sz w:val="24"/>
          <w:szCs w:val="24"/>
        </w:rPr>
        <w:t>. Cambridge: The Islamic Texts Society, 2011.</w:t>
      </w:r>
    </w:p>
    <w:p w14:paraId="20A44244" w14:textId="164260D6" w:rsidR="001D008F" w:rsidRPr="001D008F" w:rsidRDefault="001D008F" w:rsidP="001D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1D008F">
        <w:rPr>
          <w:rFonts w:ascii="Times New Roman" w:hAnsi="Times New Roman" w:cs="Times New Roman"/>
          <w:sz w:val="24"/>
          <w:szCs w:val="24"/>
        </w:rPr>
        <w:t>Shah, Niaz A. </w:t>
      </w:r>
      <w:r w:rsidRPr="001D008F">
        <w:rPr>
          <w:rFonts w:ascii="Times New Roman" w:hAnsi="Times New Roman" w:cs="Times New Roman"/>
          <w:i/>
          <w:iCs/>
          <w:sz w:val="24"/>
          <w:szCs w:val="24"/>
        </w:rPr>
        <w:t>Women, The Koran And International Human Rights Law</w:t>
      </w:r>
      <w:r w:rsidRPr="001D008F">
        <w:rPr>
          <w:rFonts w:ascii="Times New Roman" w:hAnsi="Times New Roman" w:cs="Times New Roman"/>
          <w:sz w:val="24"/>
          <w:szCs w:val="24"/>
        </w:rPr>
        <w:t xml:space="preserve">. Leiden/Boston: </w:t>
      </w:r>
      <w:proofErr w:type="spellStart"/>
      <w:r w:rsidRPr="001D008F">
        <w:rPr>
          <w:rFonts w:ascii="Times New Roman" w:hAnsi="Times New Roman" w:cs="Times New Roman"/>
          <w:sz w:val="24"/>
          <w:szCs w:val="24"/>
        </w:rPr>
        <w:t>Martinus</w:t>
      </w:r>
      <w:proofErr w:type="spellEnd"/>
      <w:r w:rsidRPr="001D00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08F">
        <w:rPr>
          <w:rFonts w:ascii="Times New Roman" w:hAnsi="Times New Roman" w:cs="Times New Roman"/>
          <w:sz w:val="24"/>
          <w:szCs w:val="24"/>
        </w:rPr>
        <w:t>Nijhoff</w:t>
      </w:r>
      <w:proofErr w:type="spellEnd"/>
      <w:r w:rsidRPr="001D008F">
        <w:rPr>
          <w:rFonts w:ascii="Times New Roman" w:hAnsi="Times New Roman" w:cs="Times New Roman"/>
          <w:sz w:val="24"/>
          <w:szCs w:val="24"/>
        </w:rPr>
        <w:t xml:space="preserve"> Publishers, 2006.</w:t>
      </w:r>
    </w:p>
    <w:p w14:paraId="588EE9DE" w14:textId="0B89B747" w:rsidR="001D008F" w:rsidRPr="001D008F" w:rsidRDefault="001D008F" w:rsidP="001D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1D008F">
        <w:rPr>
          <w:rFonts w:ascii="Times New Roman" w:hAnsi="Times New Roman" w:cs="Times New Roman"/>
          <w:sz w:val="24"/>
          <w:szCs w:val="24"/>
        </w:rPr>
        <w:t>Sookhdeo, Patrick. </w:t>
      </w:r>
      <w:r w:rsidRPr="001D008F">
        <w:rPr>
          <w:rFonts w:ascii="Times New Roman" w:hAnsi="Times New Roman" w:cs="Times New Roman"/>
          <w:i/>
          <w:iCs/>
          <w:sz w:val="24"/>
          <w:szCs w:val="24"/>
        </w:rPr>
        <w:t>Understanding Islamic Theology</w:t>
      </w:r>
      <w:r w:rsidRPr="001D008F">
        <w:rPr>
          <w:rFonts w:ascii="Times New Roman" w:hAnsi="Times New Roman" w:cs="Times New Roman"/>
          <w:sz w:val="24"/>
          <w:szCs w:val="24"/>
        </w:rPr>
        <w:t>. Cork: Isaac Publishing, 2013.</w:t>
      </w:r>
    </w:p>
    <w:p w14:paraId="7DAEC834" w14:textId="3D48E7D9" w:rsidR="001D008F" w:rsidRPr="001D008F" w:rsidRDefault="001D008F" w:rsidP="001D00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1D008F">
        <w:rPr>
          <w:rFonts w:ascii="Times New Roman" w:hAnsi="Times New Roman" w:cs="Times New Roman"/>
          <w:sz w:val="24"/>
          <w:szCs w:val="24"/>
        </w:rPr>
        <w:t>Thomas, Edward. </w:t>
      </w:r>
      <w:r w:rsidRPr="001D008F">
        <w:rPr>
          <w:rFonts w:ascii="Times New Roman" w:hAnsi="Times New Roman" w:cs="Times New Roman"/>
          <w:i/>
          <w:iCs/>
          <w:sz w:val="24"/>
          <w:szCs w:val="24"/>
        </w:rPr>
        <w:t>Islam's Perfect Stranger - The Life Of Mahmud Muhammad Taha</w:t>
      </w:r>
      <w:r w:rsidRPr="001D008F">
        <w:rPr>
          <w:rFonts w:ascii="Times New Roman" w:hAnsi="Times New Roman" w:cs="Times New Roman"/>
          <w:sz w:val="24"/>
          <w:szCs w:val="24"/>
        </w:rPr>
        <w:t>. London: I.B. Tauris, 2011.</w:t>
      </w:r>
    </w:p>
    <w:p w14:paraId="74CF4EA0" w14:textId="77777777" w:rsidR="005D07CD" w:rsidRDefault="005D07CD"/>
    <w:sectPr w:rsidR="005D07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20C27F" w14:textId="77777777" w:rsidR="004A18D4" w:rsidRDefault="004A18D4" w:rsidP="00064807">
      <w:pPr>
        <w:spacing w:after="0" w:line="240" w:lineRule="auto"/>
      </w:pPr>
      <w:r>
        <w:separator/>
      </w:r>
    </w:p>
  </w:endnote>
  <w:endnote w:type="continuationSeparator" w:id="0">
    <w:p w14:paraId="67085886" w14:textId="77777777" w:rsidR="004A18D4" w:rsidRDefault="004A18D4" w:rsidP="000648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35B9D" w14:textId="77777777" w:rsidR="004A18D4" w:rsidRDefault="004A18D4" w:rsidP="00064807">
      <w:pPr>
        <w:spacing w:after="0" w:line="240" w:lineRule="auto"/>
      </w:pPr>
      <w:r>
        <w:separator/>
      </w:r>
    </w:p>
  </w:footnote>
  <w:footnote w:type="continuationSeparator" w:id="0">
    <w:p w14:paraId="4AC4270B" w14:textId="77777777" w:rsidR="004A18D4" w:rsidRDefault="004A18D4" w:rsidP="00064807">
      <w:pPr>
        <w:spacing w:after="0" w:line="240" w:lineRule="auto"/>
      </w:pPr>
      <w:r>
        <w:continuationSeparator/>
      </w:r>
    </w:p>
  </w:footnote>
  <w:footnote w:id="1">
    <w:p w14:paraId="5E31FA6E" w14:textId="3543969F" w:rsidR="00064807" w:rsidRDefault="000648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A0D06">
        <w:t xml:space="preserve">M. Izzi </w:t>
      </w:r>
      <w:bookmarkStart w:id="7" w:name="_Hlk504057622"/>
      <w:r w:rsidRPr="00AA0D06">
        <w:t>Dien, </w:t>
      </w:r>
      <w:r w:rsidRPr="00AA0D06">
        <w:rPr>
          <w:i/>
          <w:iCs/>
        </w:rPr>
        <w:t>Islamic Law</w:t>
      </w:r>
      <w:bookmarkEnd w:id="7"/>
      <w:r w:rsidRPr="00AA0D06">
        <w:rPr>
          <w:i/>
          <w:iCs/>
        </w:rPr>
        <w:t>: From Historical Foundations To Contemporary Practice</w:t>
      </w:r>
      <w:r w:rsidRPr="00AA0D06">
        <w:t> (Edinburgh: Edinburgh University Press, 2004)</w:t>
      </w:r>
      <w:r>
        <w:t>, 95.</w:t>
      </w:r>
    </w:p>
  </w:footnote>
  <w:footnote w:id="2">
    <w:p w14:paraId="057DE7F7" w14:textId="007504D7" w:rsidR="00064807" w:rsidRDefault="000648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64807">
        <w:t>Mohammad</w:t>
      </w:r>
      <w:r w:rsidR="00146FB8">
        <w:t xml:space="preserve"> </w:t>
      </w:r>
      <w:r w:rsidRPr="00064807">
        <w:t>Kamali, </w:t>
      </w:r>
      <w:r w:rsidRPr="00064807">
        <w:rPr>
          <w:i/>
          <w:iCs/>
        </w:rPr>
        <w:t>Principles Of Islamic Jurisprudence</w:t>
      </w:r>
      <w:r w:rsidRPr="00064807">
        <w:t> (Cambridge: The Islamic Texts Society, 2011)</w:t>
      </w:r>
      <w:r>
        <w:t xml:space="preserve">, </w:t>
      </w:r>
      <w:r w:rsidRPr="00146FB8">
        <w:t>1</w:t>
      </w:r>
      <w:r>
        <w:t>.</w:t>
      </w:r>
    </w:p>
  </w:footnote>
  <w:footnote w:id="3">
    <w:p w14:paraId="472AADE6" w14:textId="5984D0AE" w:rsidR="00064807" w:rsidRDefault="0006480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64807">
        <w:t>Kamali, </w:t>
      </w:r>
      <w:r w:rsidRPr="00064807">
        <w:rPr>
          <w:i/>
          <w:iCs/>
        </w:rPr>
        <w:t>Principles Of Islamic Jurisprudence</w:t>
      </w:r>
      <w:r w:rsidRPr="00064807">
        <w:t xml:space="preserve">, </w:t>
      </w:r>
      <w:r>
        <w:t>2.</w:t>
      </w:r>
    </w:p>
  </w:footnote>
  <w:footnote w:id="4">
    <w:p w14:paraId="3E6B5903" w14:textId="6107B22B" w:rsidR="00146FB8" w:rsidRDefault="00146F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9" w:name="_Hlk504060604"/>
      <w:r w:rsidRPr="00064807">
        <w:t>Kamali, </w:t>
      </w:r>
      <w:r w:rsidRPr="00064807">
        <w:rPr>
          <w:i/>
          <w:iCs/>
        </w:rPr>
        <w:t>Principles Of Islamic Jurisprudence</w:t>
      </w:r>
      <w:r w:rsidRPr="00064807">
        <w:t xml:space="preserve">, </w:t>
      </w:r>
      <w:r>
        <w:t>1</w:t>
      </w:r>
      <w:bookmarkEnd w:id="9"/>
      <w:r>
        <w:t>.</w:t>
      </w:r>
    </w:p>
  </w:footnote>
  <w:footnote w:id="5">
    <w:p w14:paraId="3D06223E" w14:textId="47AEF169" w:rsidR="00146FB8" w:rsidRDefault="00146F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46FB8">
        <w:t xml:space="preserve">Patrick Sookhdeo, </w:t>
      </w:r>
      <w:r w:rsidRPr="00146FB8">
        <w:rPr>
          <w:i/>
        </w:rPr>
        <w:t>Understanding Islamic Theology</w:t>
      </w:r>
      <w:r w:rsidRPr="00146FB8">
        <w:t xml:space="preserve"> (Cork: Isaac Publishing, 2013)</w:t>
      </w:r>
      <w:r>
        <w:t>, 26.</w:t>
      </w:r>
    </w:p>
  </w:footnote>
  <w:footnote w:id="6">
    <w:p w14:paraId="2F7BDB67" w14:textId="403C19D8" w:rsidR="00146FB8" w:rsidRDefault="00146F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A0D06">
        <w:t>Dien, </w:t>
      </w:r>
      <w:r w:rsidRPr="00AA0D06">
        <w:rPr>
          <w:i/>
          <w:iCs/>
        </w:rPr>
        <w:t>Islamic Law</w:t>
      </w:r>
      <w:r>
        <w:rPr>
          <w:i/>
          <w:iCs/>
        </w:rPr>
        <w:t xml:space="preserve">, </w:t>
      </w:r>
      <w:r w:rsidRPr="00146FB8">
        <w:rPr>
          <w:iCs/>
        </w:rPr>
        <w:t>103.</w:t>
      </w:r>
    </w:p>
  </w:footnote>
  <w:footnote w:id="7">
    <w:p w14:paraId="1F065965" w14:textId="2AE2CEEC" w:rsidR="00301C41" w:rsidRDefault="00301C41" w:rsidP="00301C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64807">
        <w:t>Kamali, </w:t>
      </w:r>
      <w:r w:rsidRPr="00064807">
        <w:rPr>
          <w:i/>
          <w:iCs/>
        </w:rPr>
        <w:t>Principles Of Islamic Jurisprudence</w:t>
      </w:r>
      <w:r w:rsidRPr="00064807">
        <w:t xml:space="preserve">, </w:t>
      </w:r>
      <w:r>
        <w:t>1-2.</w:t>
      </w:r>
    </w:p>
  </w:footnote>
  <w:footnote w:id="8">
    <w:p w14:paraId="2162592E" w14:textId="20B59399" w:rsidR="00301C41" w:rsidRDefault="00301C41">
      <w:pPr>
        <w:pStyle w:val="FootnoteText"/>
      </w:pPr>
      <w:r>
        <w:rPr>
          <w:rStyle w:val="FootnoteReference"/>
        </w:rPr>
        <w:footnoteRef/>
      </w:r>
      <w:r>
        <w:t xml:space="preserve"> Ibid, 3.</w:t>
      </w:r>
    </w:p>
  </w:footnote>
  <w:footnote w:id="9">
    <w:p w14:paraId="399CECB7" w14:textId="77777777" w:rsidR="002861A7" w:rsidRDefault="002861A7" w:rsidP="002861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66103">
        <w:t>Kamali, </w:t>
      </w:r>
      <w:r w:rsidRPr="00D66103">
        <w:rPr>
          <w:i/>
          <w:iCs/>
        </w:rPr>
        <w:t>Principles Of Islamic Jurisprudence</w:t>
      </w:r>
      <w:r>
        <w:t>, 3-4.</w:t>
      </w:r>
    </w:p>
  </w:footnote>
  <w:footnote w:id="10">
    <w:p w14:paraId="03473B67" w14:textId="48F059B9" w:rsidR="002861A7" w:rsidRDefault="002861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66103">
        <w:t xml:space="preserve">Wael B. </w:t>
      </w:r>
      <w:proofErr w:type="spellStart"/>
      <w:r w:rsidRPr="00D66103">
        <w:t>Hallaq</w:t>
      </w:r>
      <w:proofErr w:type="spellEnd"/>
      <w:r w:rsidRPr="00D66103">
        <w:t>, "Was Al-</w:t>
      </w:r>
      <w:proofErr w:type="spellStart"/>
      <w:r w:rsidRPr="00D66103">
        <w:t>Shafii</w:t>
      </w:r>
      <w:proofErr w:type="spellEnd"/>
      <w:r w:rsidRPr="00D66103">
        <w:t xml:space="preserve"> The Master Architect Of Islamic Jurisprudence?", </w:t>
      </w:r>
      <w:r w:rsidRPr="00D66103">
        <w:rPr>
          <w:i/>
          <w:iCs/>
        </w:rPr>
        <w:t>International Journal Of Middle East Studies</w:t>
      </w:r>
      <w:r w:rsidRPr="00D66103">
        <w:t> 25, no. 04 (1993): 587-605, doi:10.1017/s0020743800059274</w:t>
      </w:r>
      <w:r>
        <w:t>, 587.</w:t>
      </w:r>
    </w:p>
  </w:footnote>
  <w:footnote w:id="11">
    <w:p w14:paraId="7E410FB1" w14:textId="6ADC2F76" w:rsidR="002861A7" w:rsidRDefault="002861A7">
      <w:pPr>
        <w:pStyle w:val="FootnoteText"/>
      </w:pPr>
      <w:r>
        <w:rPr>
          <w:rStyle w:val="FootnoteReference"/>
        </w:rPr>
        <w:footnoteRef/>
      </w:r>
      <w:r>
        <w:t xml:space="preserve"> Ibid, 592.</w:t>
      </w:r>
    </w:p>
  </w:footnote>
  <w:footnote w:id="12">
    <w:p w14:paraId="78F45304" w14:textId="20ABF160" w:rsidR="002861A7" w:rsidRDefault="002861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861A7">
        <w:t xml:space="preserve">Wael B </w:t>
      </w:r>
      <w:proofErr w:type="spellStart"/>
      <w:r w:rsidRPr="002861A7">
        <w:t>Hallaq</w:t>
      </w:r>
      <w:proofErr w:type="spellEnd"/>
      <w:r w:rsidRPr="002861A7">
        <w:t>, </w:t>
      </w:r>
      <w:r w:rsidRPr="002861A7">
        <w:rPr>
          <w:i/>
          <w:iCs/>
        </w:rPr>
        <w:t>The Origins And Evolution Of Islamic Law</w:t>
      </w:r>
      <w:r w:rsidRPr="002861A7">
        <w:t> (Cambridge, UK: Cambridge University Press, 2008)</w:t>
      </w:r>
      <w:r>
        <w:t>, 131.</w:t>
      </w:r>
    </w:p>
  </w:footnote>
  <w:footnote w:id="13">
    <w:p w14:paraId="1891B212" w14:textId="336E8D0E" w:rsidR="002861A7" w:rsidRDefault="002861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861A7">
        <w:t>Niaz A Shah, </w:t>
      </w:r>
      <w:r w:rsidRPr="002861A7">
        <w:rPr>
          <w:i/>
          <w:iCs/>
        </w:rPr>
        <w:t>Women, The Koran And International Human Rights Law</w:t>
      </w:r>
      <w:r w:rsidRPr="002861A7">
        <w:t xml:space="preserve"> (Leiden/Boston: </w:t>
      </w:r>
      <w:proofErr w:type="spellStart"/>
      <w:r w:rsidRPr="002861A7">
        <w:t>Martinus</w:t>
      </w:r>
      <w:proofErr w:type="spellEnd"/>
      <w:r w:rsidRPr="002861A7">
        <w:t xml:space="preserve"> </w:t>
      </w:r>
      <w:proofErr w:type="spellStart"/>
      <w:r w:rsidRPr="002861A7">
        <w:t>Nijhoff</w:t>
      </w:r>
      <w:proofErr w:type="spellEnd"/>
      <w:r w:rsidRPr="002861A7">
        <w:t xml:space="preserve"> Publishers, 2006</w:t>
      </w:r>
      <w:r>
        <w:t>), 12.</w:t>
      </w:r>
    </w:p>
  </w:footnote>
  <w:footnote w:id="14">
    <w:p w14:paraId="15AE96B9" w14:textId="79A2D34D" w:rsidR="002861A7" w:rsidRDefault="002861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861A7">
        <w:t>Edward Thomas, </w:t>
      </w:r>
      <w:r w:rsidRPr="002861A7">
        <w:rPr>
          <w:i/>
          <w:iCs/>
        </w:rPr>
        <w:t>Islam's Perfect Stranger - The Life Of Mahmud Muhammad Taha</w:t>
      </w:r>
      <w:r w:rsidRPr="002861A7">
        <w:t> (London: I.B. Tauris, 2011)</w:t>
      </w:r>
      <w:r>
        <w:t>,1-3.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AzMjaytDQ1MTQ3NDJR0lEKTi0uzszPAykwrwUA0MMEhCwAAAA="/>
  </w:docVars>
  <w:rsids>
    <w:rsidRoot w:val="009661AB"/>
    <w:rsid w:val="00064807"/>
    <w:rsid w:val="00110A07"/>
    <w:rsid w:val="00146FB8"/>
    <w:rsid w:val="00172B59"/>
    <w:rsid w:val="001B45EF"/>
    <w:rsid w:val="001D008F"/>
    <w:rsid w:val="002861A7"/>
    <w:rsid w:val="002A32F1"/>
    <w:rsid w:val="002C1506"/>
    <w:rsid w:val="00301C41"/>
    <w:rsid w:val="004A18D4"/>
    <w:rsid w:val="004D240E"/>
    <w:rsid w:val="005D07CD"/>
    <w:rsid w:val="005F6E60"/>
    <w:rsid w:val="006E6D3E"/>
    <w:rsid w:val="007931CB"/>
    <w:rsid w:val="00810AE2"/>
    <w:rsid w:val="00875731"/>
    <w:rsid w:val="008D5ED0"/>
    <w:rsid w:val="00945806"/>
    <w:rsid w:val="009661AB"/>
    <w:rsid w:val="009C13CE"/>
    <w:rsid w:val="00A24C73"/>
    <w:rsid w:val="00A442DD"/>
    <w:rsid w:val="00AD36B9"/>
    <w:rsid w:val="00B60EC5"/>
    <w:rsid w:val="00BA654E"/>
    <w:rsid w:val="00C47548"/>
    <w:rsid w:val="00CB5705"/>
    <w:rsid w:val="00CC46BB"/>
    <w:rsid w:val="00DA0798"/>
    <w:rsid w:val="00EE0138"/>
    <w:rsid w:val="00EF13D1"/>
    <w:rsid w:val="00F73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4E070"/>
  <w15:chartTrackingRefBased/>
  <w15:docId w15:val="{8D40E5EF-02FF-4F5F-A4C6-FC26408A7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661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648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6480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6480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10A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0A07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7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7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43FCF-B49F-4B6A-8317-58523BDE4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5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Johnson</dc:creator>
  <cp:keywords/>
  <dc:description/>
  <cp:lastModifiedBy>Daniel Johnson</cp:lastModifiedBy>
  <cp:revision>27</cp:revision>
  <cp:lastPrinted>2018-01-24T01:09:00Z</cp:lastPrinted>
  <dcterms:created xsi:type="dcterms:W3CDTF">2018-01-17T00:41:00Z</dcterms:created>
  <dcterms:modified xsi:type="dcterms:W3CDTF">2018-01-24T16:13:00Z</dcterms:modified>
</cp:coreProperties>
</file>