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08AB" w14:textId="3D84EDA1" w:rsidR="00D43F33" w:rsidRPr="00D43F33" w:rsidRDefault="00D43F33">
      <w:pPr>
        <w:rPr>
          <w:b/>
          <w:bCs/>
          <w:u w:val="single"/>
        </w:rPr>
      </w:pPr>
      <w:r w:rsidRPr="00D43F33">
        <w:rPr>
          <w:b/>
          <w:bCs/>
          <w:u w:val="single"/>
        </w:rPr>
        <w:t>Preliminary Site Investigation Study and Foundation Appraisal</w:t>
      </w:r>
    </w:p>
    <w:p w14:paraId="0E72E916" w14:textId="0E721240" w:rsidR="00D43F33" w:rsidRDefault="00D43F33">
      <w:pPr>
        <w:rPr>
          <w:b/>
          <w:bCs/>
          <w:u w:val="single"/>
        </w:rPr>
      </w:pPr>
      <w:r w:rsidRPr="00D43F33">
        <w:rPr>
          <w:b/>
          <w:bCs/>
          <w:u w:val="single"/>
        </w:rPr>
        <w:t>Proposed Restaurant and Ice-Cream Parlour Development, Swansea Foreshore</w:t>
      </w:r>
    </w:p>
    <w:p w14:paraId="391AC241" w14:textId="77777777" w:rsidR="00D43F33" w:rsidRDefault="00D43F33">
      <w:pPr>
        <w:rPr>
          <w:b/>
          <w:bCs/>
          <w:u w:val="single"/>
        </w:rPr>
      </w:pPr>
    </w:p>
    <w:p w14:paraId="23639085" w14:textId="3FD9EE8E" w:rsidR="00D43F33" w:rsidRDefault="00D43F33">
      <w:pPr>
        <w:rPr>
          <w:b/>
          <w:bCs/>
          <w:u w:val="single"/>
        </w:rPr>
      </w:pPr>
      <w:r>
        <w:rPr>
          <w:b/>
          <w:bCs/>
          <w:u w:val="single"/>
        </w:rPr>
        <w:t>Introduction</w:t>
      </w:r>
    </w:p>
    <w:p w14:paraId="1D5B2361" w14:textId="5DF3229A" w:rsidR="00D43F33" w:rsidRDefault="00D43F33">
      <w:pPr>
        <w:rPr>
          <w:rFonts w:eastAsiaTheme="minorEastAsia"/>
        </w:rPr>
      </w:pPr>
      <w:r>
        <w:t>The proposed development by the City and County of Swansea, in partnership with Marriott Hotels, involves the construction of a waterfront restaurant, café bar and ice-cream parlour with an associated manager’s apartment, meeting rooms and staff facilities.</w:t>
      </w:r>
      <w:r w:rsidR="004433A6">
        <w:t xml:space="preserve"> This site is located on the Swansea foreshore between County Hall and the Swansea Marriott Hotel, forming part of the Maritime Quarter regeneration area. The proposed structure will have a Gross Internal Area (GIA) of approximately 2,000</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4433A6">
        <w:rPr>
          <w:rFonts w:eastAsiaTheme="minorEastAsia"/>
        </w:rPr>
        <w:t>at ground floor level and will incorporate a glazed façade opening onto the promenade, presenting both architectural and environmental challenges.</w:t>
      </w:r>
    </w:p>
    <w:p w14:paraId="65A15EAC" w14:textId="1A0900AA" w:rsidR="00734651" w:rsidRDefault="00734651">
      <w:pPr>
        <w:rPr>
          <w:rFonts w:eastAsiaTheme="minorEastAsia"/>
        </w:rPr>
      </w:pPr>
      <w:r>
        <w:rPr>
          <w:rFonts w:eastAsiaTheme="minorEastAsia"/>
        </w:rPr>
        <w:t>This report presents a preliminary desktop study undertaken at feasibility stage to inform a future detailed ground investigation. The study evaluates the historical development of the site, assess the likely subsurface conditions, identifies key geotechnical and environmental risks, and proposes a site investigation strategy in accordance with current standards. Furthermore, it provides a foundation design recommendation based on the anticipated ground conditions and structural requirements of the proposed development.</w:t>
      </w:r>
    </w:p>
    <w:p w14:paraId="020FF113" w14:textId="77777777" w:rsidR="00F72E4A" w:rsidRDefault="00F72E4A">
      <w:pPr>
        <w:rPr>
          <w:rFonts w:eastAsiaTheme="minorEastAsia"/>
        </w:rPr>
      </w:pPr>
    </w:p>
    <w:p w14:paraId="21894C50" w14:textId="05F3E0EA" w:rsidR="00F72E4A" w:rsidRDefault="00F72E4A">
      <w:pPr>
        <w:rPr>
          <w:rFonts w:eastAsiaTheme="minorEastAsia"/>
          <w:b/>
          <w:bCs/>
          <w:u w:val="single"/>
        </w:rPr>
      </w:pPr>
      <w:r w:rsidRPr="00F72E4A">
        <w:rPr>
          <w:rFonts w:eastAsiaTheme="minorEastAsia"/>
          <w:b/>
          <w:bCs/>
          <w:u w:val="single"/>
        </w:rPr>
        <w:t>Historical Development and Site Context</w:t>
      </w:r>
    </w:p>
    <w:p w14:paraId="6CA2ECC0" w14:textId="0D35A36F" w:rsidR="004E2443" w:rsidRDefault="004E2443">
      <w:pPr>
        <w:rPr>
          <w:rFonts w:eastAsiaTheme="minorEastAsia"/>
        </w:rPr>
      </w:pPr>
      <w:r>
        <w:rPr>
          <w:rFonts w:eastAsiaTheme="minorEastAsia"/>
        </w:rPr>
        <w:t>The Swansea foreshore has undergone significant transformation since the mid-nineteenth century, and its historical evolution is fundamental to understanding current ground conditions. Prior to industrial development, the site formed part of the natural coastal environment of Swansea Bay, characterised by tidal flats, sands and estuarine deposits (Swansea Council, 2023). These deposits were typically soft and compressible, forming a weak natural foundation.</w:t>
      </w:r>
    </w:p>
    <w:p w14:paraId="0739B039" w14:textId="45E71B55" w:rsidR="000A21C3" w:rsidRDefault="000A21C3">
      <w:pPr>
        <w:rPr>
          <w:rFonts w:eastAsiaTheme="minorEastAsia"/>
        </w:rPr>
      </w:pPr>
      <w:r>
        <w:rPr>
          <w:rFonts w:eastAsiaTheme="minorEastAsia"/>
        </w:rPr>
        <w:t xml:space="preserve">The construction of the South Dock in 1859 marked a major phase of industrial expansion, transforming the coastline into a key maritime hub. As by the City and County of Swansea Council, Swansea became a major centre for coal export and metal industries, most specifically copper, with extensive dock infrastructure supporting these activities. </w:t>
      </w:r>
      <w:r w:rsidR="00CB79E4">
        <w:rPr>
          <w:rFonts w:eastAsiaTheme="minorEastAsia"/>
        </w:rPr>
        <w:t>Historical Ordnance Survey maps from the late nineteenth century show the site positioned adjacent to dock basins, warehouses and rail sidings, indicating intensive industrial use.</w:t>
      </w:r>
    </w:p>
    <w:p w14:paraId="66E16C97" w14:textId="375C3296" w:rsidR="00CB79E4" w:rsidRDefault="00CB79E4">
      <w:pPr>
        <w:rPr>
          <w:rFonts w:eastAsiaTheme="minorEastAsia"/>
        </w:rPr>
      </w:pPr>
      <w:r>
        <w:rPr>
          <w:rFonts w:eastAsiaTheme="minorEastAsia"/>
        </w:rPr>
        <w:t xml:space="preserve">Throughout the early twentieth century, the docklands remained heavily industrialised, with activities including coal storage, metal processing and fuel handling. These </w:t>
      </w:r>
      <w:r>
        <w:rPr>
          <w:rFonts w:eastAsiaTheme="minorEastAsia"/>
        </w:rPr>
        <w:lastRenderedPageBreak/>
        <w:t>operations commonly resulted in contamination of the ground through deposition of ash, slag, hydrocarbons and other industrial by-products. Following the decline of heavy industry after the Second World War, dock operations gradually ceased, and by the 1970s the area had become largely derelict.</w:t>
      </w:r>
    </w:p>
    <w:p w14:paraId="0A024815" w14:textId="751E9600" w:rsidR="00CB79E4" w:rsidRDefault="00CB79E4">
      <w:pPr>
        <w:rPr>
          <w:rFonts w:eastAsiaTheme="minorEastAsia"/>
        </w:rPr>
      </w:pPr>
      <w:r>
        <w:rPr>
          <w:rFonts w:eastAsiaTheme="minorEastAsia"/>
        </w:rPr>
        <w:t xml:space="preserve">Regeneration of the Maritime Quarter began in the late twentieth century, involving substantial ground reworking. Archival photographic evidence from 1981 shows the former dock basin drained and excavated with rubble and waste materials used as fill (Swansea History Web, 2023). This phase is particularly significant, as it confirms the presence of </w:t>
      </w:r>
      <w:r w:rsidR="004D1E7F">
        <w:rPr>
          <w:rFonts w:eastAsiaTheme="minorEastAsia"/>
        </w:rPr>
        <w:t>made ground of variable composition beneath the current surface. Furthermore, the construction of the Marriott Hotel in 1989 further demonstrates that the area underwent extensive redevelopment, likely involving ground improvement and regrading.</w:t>
      </w:r>
    </w:p>
    <w:p w14:paraId="284827A5" w14:textId="36EE9D01" w:rsidR="004258B7" w:rsidRDefault="004258B7">
      <w:pPr>
        <w:rPr>
          <w:rFonts w:eastAsiaTheme="minorEastAsia"/>
        </w:rPr>
      </w:pPr>
      <w:r>
        <w:rPr>
          <w:rFonts w:eastAsiaTheme="minorEastAsia"/>
        </w:rPr>
        <w:t>Today, the site forms part of a mixed-use waterfront environment comprising of civic buildings, hospitality facilities and public spaces. Despite this regeneration, the legacy of dockland activity remains embedded within the subsurface, presenting ongoing geotechnical and environmental challenges.</w:t>
      </w:r>
    </w:p>
    <w:p w14:paraId="47C88753" w14:textId="5C295D6C" w:rsidR="004258B7" w:rsidRDefault="00AC0456">
      <w:pPr>
        <w:rPr>
          <w:rFonts w:eastAsiaTheme="minorEastAsia"/>
        </w:rPr>
      </w:pPr>
      <w:r>
        <w:rPr>
          <w:rFonts w:eastAsiaTheme="minorEastAsia"/>
          <w:noProof/>
        </w:rPr>
        <w:drawing>
          <wp:inline distT="0" distB="0" distL="0" distR="0" wp14:anchorId="7FD24BB8" wp14:editId="40ACBCD6">
            <wp:extent cx="2620562" cy="2050415"/>
            <wp:effectExtent l="0" t="0" r="8890" b="6985"/>
            <wp:docPr id="498886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2739" cy="2083416"/>
                    </a:xfrm>
                    <a:prstGeom prst="rect">
                      <a:avLst/>
                    </a:prstGeom>
                    <a:noFill/>
                  </pic:spPr>
                </pic:pic>
              </a:graphicData>
            </a:graphic>
          </wp:inline>
        </w:drawing>
      </w:r>
      <w:r>
        <w:rPr>
          <w:noProof/>
        </w:rPr>
        <w:drawing>
          <wp:inline distT="0" distB="0" distL="0" distR="0" wp14:anchorId="2784391A" wp14:editId="74E283FE">
            <wp:extent cx="3093740" cy="2063750"/>
            <wp:effectExtent l="0" t="0" r="0" b="0"/>
            <wp:docPr id="1055848711" name="Picture 3" descr="Ambition, growth and crisis: The success and failure of rebuild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bition, growth and crisis: The success and failure of rebuilding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5756" cy="2065095"/>
                    </a:xfrm>
                    <a:prstGeom prst="rect">
                      <a:avLst/>
                    </a:prstGeom>
                    <a:noFill/>
                    <a:ln>
                      <a:noFill/>
                    </a:ln>
                  </pic:spPr>
                </pic:pic>
              </a:graphicData>
            </a:graphic>
          </wp:inline>
        </w:drawing>
      </w:r>
    </w:p>
    <w:p w14:paraId="354D7578" w14:textId="7ED7C97B" w:rsidR="00AC0456" w:rsidRDefault="00AC0456">
      <w:pPr>
        <w:rPr>
          <w:rFonts w:eastAsiaTheme="minorEastAsia"/>
        </w:rPr>
      </w:pPr>
      <w:r>
        <w:rPr>
          <w:rFonts w:eastAsiaTheme="minorEastAsia"/>
        </w:rPr>
        <w:t xml:space="preserve">        (Mid-Twentieth Century Swansea)                                  (Modern Day Swansea)</w:t>
      </w:r>
    </w:p>
    <w:p w14:paraId="39C09F03" w14:textId="3147DDD9" w:rsidR="00AC0456" w:rsidRDefault="00AC0456">
      <w:pPr>
        <w:rPr>
          <w:rFonts w:eastAsiaTheme="minorEastAsia"/>
        </w:rPr>
      </w:pPr>
      <w:r>
        <w:rPr>
          <w:rFonts w:eastAsiaTheme="minorEastAsia"/>
        </w:rPr>
        <w:t xml:space="preserve">These images show how the area during the mid-twentieth century and how it has developed and evolved into the </w:t>
      </w:r>
      <w:r w:rsidR="001B4A5F">
        <w:rPr>
          <w:rFonts w:eastAsiaTheme="minorEastAsia"/>
        </w:rPr>
        <w:t>modern-day</w:t>
      </w:r>
      <w:r>
        <w:rPr>
          <w:rFonts w:eastAsiaTheme="minorEastAsia"/>
        </w:rPr>
        <w:t xml:space="preserve"> Swansea we know today.</w:t>
      </w:r>
    </w:p>
    <w:p w14:paraId="3E4E8139" w14:textId="77777777" w:rsidR="00AC0456" w:rsidRDefault="00AC0456">
      <w:pPr>
        <w:rPr>
          <w:rFonts w:eastAsiaTheme="minorEastAsia"/>
        </w:rPr>
      </w:pPr>
    </w:p>
    <w:p w14:paraId="0BE8553E" w14:textId="6BCD07CA" w:rsidR="004258B7" w:rsidRDefault="004258B7">
      <w:pPr>
        <w:rPr>
          <w:rFonts w:eastAsiaTheme="minorEastAsia"/>
          <w:b/>
          <w:bCs/>
          <w:u w:val="single"/>
        </w:rPr>
      </w:pPr>
      <w:r w:rsidRPr="004258B7">
        <w:rPr>
          <w:rFonts w:eastAsiaTheme="minorEastAsia"/>
          <w:b/>
          <w:bCs/>
          <w:u w:val="single"/>
        </w:rPr>
        <w:t>Geological and Geotechnical Context</w:t>
      </w:r>
    </w:p>
    <w:p w14:paraId="1E1CE040" w14:textId="3CFAE673" w:rsidR="004258B7" w:rsidRDefault="004258B7">
      <w:pPr>
        <w:rPr>
          <w:rFonts w:eastAsiaTheme="minorEastAsia"/>
        </w:rPr>
      </w:pPr>
      <w:r>
        <w:rPr>
          <w:rFonts w:eastAsiaTheme="minorEastAsia"/>
        </w:rPr>
        <w:t>The geological framework of the Swansea Marina area is defined by the superficial deposits overlying coal measures bedrock. According to the British Geological Survey (2014), the site is likely underlain by a sequence of made ground, marine deposits, alluvium and locally peat, above mudstone, sandstone and siltstone formations.</w:t>
      </w:r>
    </w:p>
    <w:p w14:paraId="23785083" w14:textId="3B150975" w:rsidR="004258B7" w:rsidRDefault="004258B7">
      <w:pPr>
        <w:rPr>
          <w:rFonts w:eastAsiaTheme="minorEastAsia"/>
        </w:rPr>
      </w:pPr>
      <w:r>
        <w:rPr>
          <w:rFonts w:eastAsiaTheme="minorEastAsia"/>
        </w:rPr>
        <w:t xml:space="preserve">The uppermost layer is expected to consist of made ground associated with dock infilling, car park construction and redevelopment works. This material is typically </w:t>
      </w:r>
      <w:r>
        <w:rPr>
          <w:rFonts w:eastAsiaTheme="minorEastAsia"/>
        </w:rPr>
        <w:lastRenderedPageBreak/>
        <w:t>heterogeneous, comprising sand, gravel, brick fragments, ash, slag and construction debris. The thickness of made ground may vary significantly across the site, reflecting the irregular nature of historical infilling.</w:t>
      </w:r>
    </w:p>
    <w:p w14:paraId="195A3255" w14:textId="39B2BF23" w:rsidR="004258B7" w:rsidRDefault="004258B7">
      <w:pPr>
        <w:rPr>
          <w:rFonts w:eastAsiaTheme="minorEastAsia"/>
        </w:rPr>
      </w:pPr>
      <w:r>
        <w:rPr>
          <w:rFonts w:eastAsiaTheme="minorEastAsia"/>
        </w:rPr>
        <w:t>Beneath the made ground, marine and estuarine deposits are likely to be present. These consist predominantly of soft silts and clays formed in low-energy depositional environments. Such materials are characterised by high moisture content, low shear strength and significant compressibility, making them unsuitable for supporting structural loads without ground improvement.</w:t>
      </w:r>
    </w:p>
    <w:p w14:paraId="2F19335E" w14:textId="539BF32A" w:rsidR="004258B7" w:rsidRDefault="004258B7">
      <w:pPr>
        <w:rPr>
          <w:rFonts w:eastAsiaTheme="minorEastAsia"/>
        </w:rPr>
      </w:pPr>
      <w:r>
        <w:rPr>
          <w:rFonts w:eastAsiaTheme="minorEastAsia"/>
        </w:rPr>
        <w:t>In some areas, alluvial or peat deposits may occur, particularly where former tidal channels or low-lying zones existed. These materials are highly compressible and may contribute to long-term settlement. At greater depth, more competent strata associated with the South Wales Coal Measures are expected to provide a suitable bearing horizon for deep foundations.</w:t>
      </w:r>
    </w:p>
    <w:p w14:paraId="5EC06167" w14:textId="2651CAE6" w:rsidR="002D53FB" w:rsidRDefault="002D53FB">
      <w:pPr>
        <w:rPr>
          <w:rFonts w:eastAsiaTheme="minorEastAsia"/>
          <w:b/>
          <w:bCs/>
          <w:u w:val="single"/>
        </w:rPr>
      </w:pPr>
      <w:r w:rsidRPr="002D53FB">
        <w:rPr>
          <w:rFonts w:eastAsiaTheme="minorEastAsia"/>
          <w:b/>
          <w:bCs/>
          <w:u w:val="single"/>
        </w:rPr>
        <w:t>Risk Assessment and Site Investigation Strategy</w:t>
      </w:r>
    </w:p>
    <w:p w14:paraId="554FF175" w14:textId="7B2D8F28" w:rsidR="002D53FB" w:rsidRDefault="002D53FB">
      <w:pPr>
        <w:rPr>
          <w:rFonts w:eastAsiaTheme="minorEastAsia"/>
        </w:rPr>
      </w:pPr>
      <w:r>
        <w:rPr>
          <w:rFonts w:eastAsiaTheme="minorEastAsia"/>
        </w:rPr>
        <w:t>The historical and geological context indicates that the site presents a number of significant risks that must be addressed through a comprehensive ground investigation. The most critical of these is the presence of variable made ground, which introduces the uncertainty in both strength and compressibility. The heterogeneous nature of this material increases the likelihood of differential settlement and may also contain buried obstructions such as concrete foundations, timber structures or remnants of dock infrastructure.</w:t>
      </w:r>
    </w:p>
    <w:p w14:paraId="4AA8E73D" w14:textId="28FABA14" w:rsidR="002D53FB" w:rsidRDefault="002D53FB">
      <w:pPr>
        <w:rPr>
          <w:rFonts w:eastAsiaTheme="minorEastAsia"/>
        </w:rPr>
      </w:pPr>
      <w:r>
        <w:rPr>
          <w:rFonts w:eastAsiaTheme="minorEastAsia"/>
        </w:rPr>
        <w:t>A detailed intrusive investigation should therefore be undertaken in accordance with BS 5930 (BSI, 2015). Cable percussion boreholes are recommended to characterise superficial deposits, with rotary drilling used to confirm the depth and condition of bedrock. Trial pits should be excavated to assess shallow ground conditions and identify potential obstructions. In addition, in-situ testing such as Standard Penetration Tests or Cone Penetration Tests should be employed to obtain continuous strength profiles.</w:t>
      </w:r>
    </w:p>
    <w:p w14:paraId="557C3BE8" w14:textId="6890A041" w:rsidR="002D53FB" w:rsidRDefault="002D53FB">
      <w:pPr>
        <w:rPr>
          <w:rFonts w:eastAsiaTheme="minorEastAsia"/>
        </w:rPr>
      </w:pPr>
      <w:r>
        <w:rPr>
          <w:rFonts w:eastAsiaTheme="minorEastAsia"/>
        </w:rPr>
        <w:t>Contamination represents a further significant risk due to the site’s industrial history. Potential contaminants include heavy metals, hydrocarbons and polycyclic aromatic hydrocarbons derived from coal and fuel storage activities. Soil sampling and laboratory analysis should be conducted in accordance with BS 10175 (BSI, 2011), enabling the development of a conceptual site model and assessment of risks to human health and the environment.</w:t>
      </w:r>
    </w:p>
    <w:p w14:paraId="25333F6D" w14:textId="6F846F94" w:rsidR="001426BC" w:rsidRDefault="001426BC">
      <w:pPr>
        <w:rPr>
          <w:rFonts w:eastAsiaTheme="minorEastAsia"/>
        </w:rPr>
      </w:pPr>
      <w:r>
        <w:rPr>
          <w:rFonts w:eastAsiaTheme="minorEastAsia"/>
        </w:rPr>
        <w:t xml:space="preserve">Another factor that must be considered is the possible presence of ground gas, as organic material within made ground or underlying sediments may generate methane or carbon dioxide. Monitoring wells should be installed and gas concentrations measure </w:t>
      </w:r>
      <w:r>
        <w:rPr>
          <w:rFonts w:eastAsiaTheme="minorEastAsia"/>
        </w:rPr>
        <w:lastRenderedPageBreak/>
        <w:t>over time, with assessment undertaken in accordance with CIRIA C665 (CIRIA, 2007) and BS 8485 (BSI, 2015).</w:t>
      </w:r>
    </w:p>
    <w:p w14:paraId="5F202690" w14:textId="13E0E404" w:rsidR="005742AB" w:rsidRDefault="00A723EF">
      <w:pPr>
        <w:rPr>
          <w:rFonts w:eastAsiaTheme="minorEastAsia"/>
        </w:rPr>
      </w:pPr>
      <w:r>
        <w:rPr>
          <w:rFonts w:eastAsiaTheme="minorEastAsia"/>
        </w:rPr>
        <w:t>The coastal location introduces additional challenges associated with groundwater and tidal influences. Groundwater levels may be high and subject to fluctuation, potentially affecting construction activities and long-term performance. Chemical testing should also be undertaken to assess the aggressivity of the ground towards concrete, particularly in relation to sulphate content, in line with BRE Special Digest 1 (BRE, 2005).</w:t>
      </w:r>
    </w:p>
    <w:p w14:paraId="2870796B" w14:textId="1195A95F" w:rsidR="00A723EF" w:rsidRDefault="00A723EF">
      <w:pPr>
        <w:rPr>
          <w:rFonts w:eastAsiaTheme="minorEastAsia"/>
        </w:rPr>
      </w:pPr>
      <w:r>
        <w:rPr>
          <w:rFonts w:eastAsiaTheme="minorEastAsia"/>
        </w:rPr>
        <w:t xml:space="preserve">Settlement risk is another key consideration, </w:t>
      </w:r>
      <w:proofErr w:type="spellStart"/>
      <w:r>
        <w:rPr>
          <w:rFonts w:eastAsiaTheme="minorEastAsia"/>
        </w:rPr>
        <w:t>particulary</w:t>
      </w:r>
      <w:proofErr w:type="spellEnd"/>
      <w:r>
        <w:rPr>
          <w:rFonts w:eastAsiaTheme="minorEastAsia"/>
        </w:rPr>
        <w:t xml:space="preserve"> where soft marine or alluvial deposits are present. Laboratory testing including oedometer and triaxial tests, should be conducted to determine the compressibility and shear strength parameters. This data is essential for assessing foundation performance and predicting long-term settlement.</w:t>
      </w:r>
    </w:p>
    <w:p w14:paraId="5A3197C0" w14:textId="03FBF866" w:rsidR="00A723EF" w:rsidRDefault="00A723EF">
      <w:pPr>
        <w:rPr>
          <w:rFonts w:eastAsiaTheme="minorEastAsia"/>
          <w:b/>
          <w:bCs/>
          <w:u w:val="single"/>
        </w:rPr>
      </w:pPr>
      <w:r w:rsidRPr="00A723EF">
        <w:rPr>
          <w:rFonts w:eastAsiaTheme="minorEastAsia"/>
          <w:b/>
          <w:bCs/>
          <w:u w:val="single"/>
        </w:rPr>
        <w:t>Regulatory Framework and Stakeholder Engagement</w:t>
      </w:r>
    </w:p>
    <w:p w14:paraId="4CB25F48" w14:textId="472E6425" w:rsidR="00A723EF" w:rsidRDefault="005923A5">
      <w:pPr>
        <w:rPr>
          <w:rFonts w:eastAsiaTheme="minorEastAsia"/>
        </w:rPr>
      </w:pPr>
      <w:r>
        <w:rPr>
          <w:rFonts w:eastAsiaTheme="minorEastAsia"/>
        </w:rPr>
        <w:t>The site investigation and subsequent design must comply with a range of British Standards and regulatory requirements. BS 5930 provides guidance on ground investigation procedures, while Eurocode 7 (BS EN 1997) established the principles of geotechnical design. Contaminated land assessment is governed by BS 10175, and ground gas protection is addressed by BS 8485. Structural design must satisfy Approved Document A of the Building Regulations, while Approved Document C addresses site preparation and resistance to contaminants and moisture (Welsh Government, 2023).</w:t>
      </w:r>
    </w:p>
    <w:p w14:paraId="6BB708CF" w14:textId="4AE0BCD2" w:rsidR="005923A5" w:rsidRDefault="00FC14B0">
      <w:pPr>
        <w:rPr>
          <w:rFonts w:eastAsiaTheme="minorEastAsia"/>
        </w:rPr>
      </w:pPr>
      <w:r>
        <w:rPr>
          <w:rFonts w:eastAsiaTheme="minorEastAsia"/>
        </w:rPr>
        <w:t>Engagement with key stakeholders is essential to ensure compliance and management risk. The City and County of Swansea Council is responsible for planning approval and building control, while Natural Resources Wales oversees environmental protection, flood risk and groundwater issues. Coordination with Welsh Water (Dwr Cymru) is required to address drainage and sewer infrastructure, and consultation with the Coal Authority may be necessary if mining-related risks are identified.</w:t>
      </w:r>
    </w:p>
    <w:p w14:paraId="4C981849" w14:textId="77777777" w:rsidR="00FC14B0" w:rsidRDefault="00FC14B0">
      <w:pPr>
        <w:rPr>
          <w:rFonts w:eastAsiaTheme="minorEastAsia"/>
        </w:rPr>
      </w:pPr>
    </w:p>
    <w:p w14:paraId="527E76D5" w14:textId="59ECA4BC" w:rsidR="00FC14B0" w:rsidRDefault="00FC14B0">
      <w:pPr>
        <w:rPr>
          <w:rFonts w:eastAsiaTheme="minorEastAsia"/>
          <w:b/>
          <w:bCs/>
          <w:u w:val="single"/>
        </w:rPr>
      </w:pPr>
      <w:r w:rsidRPr="00FC14B0">
        <w:rPr>
          <w:rFonts w:eastAsiaTheme="minorEastAsia"/>
          <w:b/>
          <w:bCs/>
          <w:u w:val="single"/>
        </w:rPr>
        <w:t>Foundation Design Recommendation</w:t>
      </w:r>
    </w:p>
    <w:p w14:paraId="3ABB4E07" w14:textId="0879B3C9" w:rsidR="00FC14B0" w:rsidRDefault="00FC14B0">
      <w:pPr>
        <w:rPr>
          <w:rFonts w:eastAsiaTheme="minorEastAsia"/>
        </w:rPr>
      </w:pPr>
      <w:r>
        <w:rPr>
          <w:rFonts w:eastAsiaTheme="minorEastAsia"/>
        </w:rPr>
        <w:t>The anticipated ground conditions indicate that shallow foundations would be unsuitable due to the variability and low bearing capacity of made ground and the presence of compressible marine deposits. A piled foundation solution is therefore recommended, specifically Continuous Flight Auger (CFA) piles supporting a reinforced concrete suspended slab.</w:t>
      </w:r>
    </w:p>
    <w:p w14:paraId="63DC1FCE" w14:textId="7F09A2EA" w:rsidR="00FC14B0" w:rsidRDefault="00FC14B0">
      <w:pPr>
        <w:rPr>
          <w:rFonts w:eastAsiaTheme="minorEastAsia"/>
        </w:rPr>
      </w:pPr>
      <w:r>
        <w:rPr>
          <w:rFonts w:eastAsiaTheme="minorEastAsia"/>
        </w:rPr>
        <w:t xml:space="preserve">CFA piles over several advantages in this context. They can be installed with relatively low noise and vibration, minimising disturbance to adjacent popular and busy areas such as the Marriot Hotel and also the County Hall. They are also capable of penetrating </w:t>
      </w:r>
      <w:r>
        <w:rPr>
          <w:rFonts w:eastAsiaTheme="minorEastAsia"/>
        </w:rPr>
        <w:lastRenderedPageBreak/>
        <w:t>heterogeneous made ground and transferring loads to competent strata at depth, likely within the coal measures. The use of a suspended slab ensures that the structure is not reliant on the bearing capacity of superficial deposits, while also allowing for the incorporation of gas protection measure where necessary.</w:t>
      </w:r>
    </w:p>
    <w:p w14:paraId="54B48589" w14:textId="1942817D" w:rsidR="00FC14B0" w:rsidRDefault="00FC14B0">
      <w:pPr>
        <w:rPr>
          <w:rFonts w:eastAsiaTheme="minorEastAsia"/>
        </w:rPr>
      </w:pPr>
      <w:r>
        <w:rPr>
          <w:rFonts w:eastAsiaTheme="minorEastAsia"/>
        </w:rPr>
        <w:t>The proposed foundation system would show piles extending through made ground and soft deposits into competent strata, supporting pile caps and ground beams beneath the suspended slab. Additional design considerations include the use of sulphate-resistant concrete, waterproofing measures to address groundwater, and pile testing to verify design assumptions.</w:t>
      </w:r>
    </w:p>
    <w:p w14:paraId="1140B431" w14:textId="77777777" w:rsidR="00226D09" w:rsidRDefault="00226D09">
      <w:pPr>
        <w:rPr>
          <w:rFonts w:eastAsiaTheme="minorEastAsia"/>
        </w:rPr>
      </w:pPr>
    </w:p>
    <w:p w14:paraId="2A84ECBD" w14:textId="77777777" w:rsidR="00226D09" w:rsidRDefault="00226D09">
      <w:pPr>
        <w:rPr>
          <w:rFonts w:eastAsiaTheme="minorEastAsia"/>
          <w:b/>
          <w:bCs/>
          <w:u w:val="single"/>
        </w:rPr>
      </w:pPr>
    </w:p>
    <w:p w14:paraId="2B310AF6" w14:textId="77777777" w:rsidR="00226D09" w:rsidRDefault="00226D09">
      <w:pPr>
        <w:rPr>
          <w:rFonts w:eastAsiaTheme="minorEastAsia"/>
          <w:b/>
          <w:bCs/>
          <w:u w:val="single"/>
        </w:rPr>
      </w:pPr>
    </w:p>
    <w:p w14:paraId="0703705C" w14:textId="487AD458" w:rsidR="00226D09" w:rsidRDefault="00226D09">
      <w:pPr>
        <w:rPr>
          <w:rFonts w:eastAsiaTheme="minorEastAsia"/>
          <w:b/>
          <w:bCs/>
          <w:u w:val="single"/>
        </w:rPr>
      </w:pPr>
      <w:r w:rsidRPr="00226D09">
        <w:rPr>
          <w:rFonts w:eastAsiaTheme="minorEastAsia"/>
          <w:b/>
          <w:bCs/>
          <w:u w:val="single"/>
        </w:rPr>
        <w:t>Conclusion</w:t>
      </w:r>
    </w:p>
    <w:p w14:paraId="10EC1427" w14:textId="236C84DC" w:rsidR="00226D09" w:rsidRDefault="00226D09">
      <w:pPr>
        <w:rPr>
          <w:rFonts w:eastAsiaTheme="minorEastAsia"/>
        </w:rPr>
      </w:pPr>
      <w:r>
        <w:rPr>
          <w:rFonts w:eastAsiaTheme="minorEastAsia"/>
        </w:rPr>
        <w:t>In conclusion, the proposed development on Swansea foreshore presents a complex and inherently high-risk geotechnical environment, primarily as a result of its historical evolution from natural tidal foreshore to heavily industrialised dockland, followed by large-scale regeneration. The archival and geological evidence demonstrates that the site has been subject to significant anthropogenic modification since the mid-nineteenth century, particularly during the construction and subsequent infilling of the South Dock. This legacy has resulted in the presence of variable made ground, which represents the most critical geotechnical constraint for the proposed development.</w:t>
      </w:r>
    </w:p>
    <w:p w14:paraId="3006EC53" w14:textId="26335906" w:rsidR="00226D09" w:rsidRDefault="00226D09">
      <w:pPr>
        <w:rPr>
          <w:rFonts w:eastAsiaTheme="minorEastAsia"/>
        </w:rPr>
      </w:pPr>
      <w:r>
        <w:rPr>
          <w:rFonts w:eastAsiaTheme="minorEastAsia"/>
        </w:rPr>
        <w:t>This study has identified that the made ground is likely to be heterogeneous in both composition and thickness which could potentially comprise of construction debris, industrial waste, ash, slag and remnants of dock infrastructure. Such variability introduces a high degree of uncertainty in ground behaviour, particularly in terms of bearing capacity and settlement characteristics. This is further compounded by the probable presence of underlying marine and estuarine deposits, which are typically soft, compressible and susceptible to long-term consolidation. The combination of these materials creates a challenging subsurface profile that is unsuitable for conventional shallow foundation solutions.</w:t>
      </w:r>
    </w:p>
    <w:p w14:paraId="699F9B11" w14:textId="3624E54E" w:rsidR="00C01E15" w:rsidRDefault="00C01E15">
      <w:pPr>
        <w:rPr>
          <w:rFonts w:eastAsiaTheme="minorEastAsia"/>
        </w:rPr>
      </w:pPr>
      <w:r>
        <w:rPr>
          <w:rFonts w:eastAsiaTheme="minorEastAsia"/>
        </w:rPr>
        <w:t xml:space="preserve">In addition to geotechnical considerations, the historical industrial use of the site raises significant environment concerns. The potential presence of contaminants such as hydrocarbons, heavy metals, and polycyclic aromatic hydrocarbons must be carefully assessed, as they may pose risks to human health, groundwater and the wider environment. Furthermore, the possibility of ground gas generation, particularly methane and carbon dioxide, introduces additional design requirements to ensure the safety of building occupants. These risks highlight the importance of adopting a </w:t>
      </w:r>
      <w:r>
        <w:rPr>
          <w:rFonts w:eastAsiaTheme="minorEastAsia"/>
        </w:rPr>
        <w:lastRenderedPageBreak/>
        <w:t>comprehensive and systematic approach to site investigation, incorporating both geotechnical and geoenvironmental assessments in accordance with current standards.</w:t>
      </w:r>
    </w:p>
    <w:p w14:paraId="0EF72A31" w14:textId="1A22B17F" w:rsidR="00C01E15" w:rsidRDefault="00C01E15">
      <w:pPr>
        <w:rPr>
          <w:rFonts w:eastAsiaTheme="minorEastAsia"/>
        </w:rPr>
      </w:pPr>
      <w:r>
        <w:rPr>
          <w:rFonts w:eastAsiaTheme="minorEastAsia"/>
        </w:rPr>
        <w:t>The proximity of the site to Swansea Bay introduces further complexity, particularly in relation to groundwater conditions and potential tide influence. Elevated groundwater levels, combined with the possibility of saline or aggressive chemical conditions, necessitate careful consideration of construction methods and material durability. These factors also have implication for long-term structural performance, particularly where reinforced concrete elements are used.</w:t>
      </w:r>
    </w:p>
    <w:p w14:paraId="5D571532" w14:textId="4719738C" w:rsidR="00C01E15" w:rsidRDefault="007379EE">
      <w:pPr>
        <w:rPr>
          <w:rFonts w:eastAsiaTheme="minorEastAsia"/>
        </w:rPr>
      </w:pPr>
      <w:r>
        <w:rPr>
          <w:rFonts w:eastAsiaTheme="minorEastAsia"/>
        </w:rPr>
        <w:t>In response to these identified risks, a detailed intrusive site investigation is essential to reduce uncertainty and inform the design process. The proposed investigation strategy, based on borehole drilling, trial pitting, in-situ testing and laboratory analysis, is designed to provide a robust understanding of the ground conditions and enable the development of a reliable geotechnical model. This approach is consistent with the requirements of BS 5930 and Eurocode 7, ensuring that the design is underpinned by appropriate data and risk management.</w:t>
      </w:r>
    </w:p>
    <w:p w14:paraId="656A3818" w14:textId="25DA194E" w:rsidR="007379EE" w:rsidRDefault="007379EE">
      <w:pPr>
        <w:rPr>
          <w:rFonts w:eastAsiaTheme="minorEastAsia"/>
        </w:rPr>
      </w:pPr>
      <w:r>
        <w:rPr>
          <w:rFonts w:eastAsiaTheme="minorEastAsia"/>
        </w:rPr>
        <w:t>Based on the preliminary findings, a piled foundation solution has been identified as the most appropriate approach for the proposed development. The use of CFA piles, combined with a reinforced concrete suspended slab, provides a robust and adaptable system capable of transferring structural loads through weak superficial deposits to competent strata at depth. This solution effectively mitigates the risks associated with made ground and compressible soils, while also accommodating the structural demands of the building.</w:t>
      </w:r>
    </w:p>
    <w:p w14:paraId="76DC84AD" w14:textId="6D8A0590" w:rsidR="007379EE" w:rsidRDefault="007379EE">
      <w:pPr>
        <w:rPr>
          <w:rFonts w:eastAsiaTheme="minorEastAsia"/>
        </w:rPr>
      </w:pPr>
      <w:r>
        <w:rPr>
          <w:rFonts w:eastAsiaTheme="minorEastAsia"/>
        </w:rPr>
        <w:t>Overall, this preliminary study demonstrates that while the site presents significant challenges, these can be effectively managed through careful investigation, informed design and adherence to best practice standards. The integration of historical analysis, geological understanding and engineering judgement has enabled the identification of key risks and the development of a viable foundation strategy. As such, the proposed development is considered feasible from a geotechnical perspective, subject to the successful completion of a detailed site investigation and subsequent design verification.</w:t>
      </w:r>
    </w:p>
    <w:p w14:paraId="5843D791" w14:textId="77777777" w:rsidR="00566CE0" w:rsidRDefault="00566CE0">
      <w:pPr>
        <w:rPr>
          <w:rFonts w:eastAsiaTheme="minorEastAsia"/>
        </w:rPr>
      </w:pPr>
    </w:p>
    <w:p w14:paraId="6830A3E3" w14:textId="77777777" w:rsidR="00566CE0" w:rsidRDefault="00566CE0">
      <w:pPr>
        <w:rPr>
          <w:rFonts w:eastAsiaTheme="minorEastAsia"/>
        </w:rPr>
      </w:pPr>
    </w:p>
    <w:p w14:paraId="4477790D" w14:textId="77777777" w:rsidR="00566CE0" w:rsidRDefault="00566CE0">
      <w:pPr>
        <w:rPr>
          <w:rFonts w:eastAsiaTheme="minorEastAsia"/>
        </w:rPr>
      </w:pPr>
    </w:p>
    <w:p w14:paraId="53A844C1" w14:textId="77777777" w:rsidR="001B4A5F" w:rsidRDefault="001B4A5F">
      <w:pPr>
        <w:rPr>
          <w:rFonts w:eastAsiaTheme="minorEastAsia"/>
          <w:b/>
          <w:bCs/>
          <w:u w:val="single"/>
        </w:rPr>
      </w:pPr>
    </w:p>
    <w:p w14:paraId="557F6E30" w14:textId="77777777" w:rsidR="001B4A5F" w:rsidRDefault="001B4A5F">
      <w:pPr>
        <w:rPr>
          <w:rFonts w:eastAsiaTheme="minorEastAsia"/>
          <w:b/>
          <w:bCs/>
          <w:u w:val="single"/>
        </w:rPr>
      </w:pPr>
    </w:p>
    <w:p w14:paraId="5D4CB5BC" w14:textId="796291C7" w:rsidR="00566CE0" w:rsidRDefault="00566CE0">
      <w:pPr>
        <w:rPr>
          <w:rFonts w:eastAsiaTheme="minorEastAsia"/>
          <w:b/>
          <w:bCs/>
          <w:u w:val="single"/>
        </w:rPr>
      </w:pPr>
      <w:r w:rsidRPr="00566CE0">
        <w:rPr>
          <w:rFonts w:eastAsiaTheme="minorEastAsia"/>
          <w:b/>
          <w:bCs/>
          <w:u w:val="single"/>
        </w:rPr>
        <w:lastRenderedPageBreak/>
        <w:t>References</w:t>
      </w:r>
    </w:p>
    <w:p w14:paraId="7BD4BED5" w14:textId="6A7EDA40" w:rsidR="00566CE0" w:rsidRPr="00566CE0" w:rsidRDefault="00566CE0">
      <w:pPr>
        <w:rPr>
          <w:rFonts w:eastAsiaTheme="minorEastAsia"/>
          <w:i/>
          <w:iCs/>
        </w:rPr>
      </w:pPr>
      <w:r>
        <w:rPr>
          <w:rFonts w:eastAsiaTheme="minorEastAsia"/>
        </w:rPr>
        <w:t xml:space="preserve">British Geological Survey (2014) </w:t>
      </w:r>
      <w:r w:rsidRPr="00566CE0">
        <w:rPr>
          <w:rFonts w:eastAsiaTheme="minorEastAsia"/>
          <w:i/>
          <w:iCs/>
        </w:rPr>
        <w:t>Geology of the Swansea District.</w:t>
      </w:r>
    </w:p>
    <w:p w14:paraId="3371250B" w14:textId="6471D49A" w:rsidR="00566CE0" w:rsidRPr="00566CE0" w:rsidRDefault="00566CE0">
      <w:pPr>
        <w:rPr>
          <w:rFonts w:eastAsiaTheme="minorEastAsia"/>
          <w:i/>
          <w:iCs/>
        </w:rPr>
      </w:pPr>
      <w:r>
        <w:rPr>
          <w:rFonts w:eastAsiaTheme="minorEastAsia"/>
        </w:rPr>
        <w:t xml:space="preserve">British Standards Institution (2011) </w:t>
      </w:r>
      <w:r w:rsidRPr="00566CE0">
        <w:rPr>
          <w:rFonts w:eastAsiaTheme="minorEastAsia"/>
          <w:i/>
          <w:iCs/>
        </w:rPr>
        <w:t>BS 10175: Investigation of Potentially Contaminated Sites.</w:t>
      </w:r>
    </w:p>
    <w:p w14:paraId="5FDC2E19" w14:textId="705E08E7" w:rsidR="00566CE0" w:rsidRDefault="00566CE0">
      <w:pPr>
        <w:rPr>
          <w:rFonts w:eastAsiaTheme="minorEastAsia"/>
        </w:rPr>
      </w:pPr>
      <w:r>
        <w:rPr>
          <w:rFonts w:eastAsiaTheme="minorEastAsia"/>
        </w:rPr>
        <w:t xml:space="preserve">British Standards Institution (2015) </w:t>
      </w:r>
      <w:r w:rsidRPr="00566CE0">
        <w:rPr>
          <w:rFonts w:eastAsiaTheme="minorEastAsia"/>
          <w:i/>
          <w:iCs/>
        </w:rPr>
        <w:t>BS 5930: Code of Practice for Ground Investigations.</w:t>
      </w:r>
    </w:p>
    <w:p w14:paraId="262477E9" w14:textId="2708989E" w:rsidR="00566CE0" w:rsidRPr="00566CE0" w:rsidRDefault="00566CE0">
      <w:pPr>
        <w:rPr>
          <w:rFonts w:eastAsiaTheme="minorEastAsia"/>
          <w:i/>
          <w:iCs/>
        </w:rPr>
      </w:pPr>
      <w:r>
        <w:rPr>
          <w:rFonts w:eastAsiaTheme="minorEastAsia"/>
        </w:rPr>
        <w:t xml:space="preserve">British Standards Institution (2015) </w:t>
      </w:r>
      <w:r w:rsidRPr="00566CE0">
        <w:rPr>
          <w:rFonts w:eastAsiaTheme="minorEastAsia"/>
          <w:i/>
          <w:iCs/>
        </w:rPr>
        <w:t>BS 8485: Ground Gas Protection.</w:t>
      </w:r>
    </w:p>
    <w:p w14:paraId="495F38B4" w14:textId="4CB1B2DD" w:rsidR="00566CE0" w:rsidRPr="00566CE0" w:rsidRDefault="00566CE0">
      <w:pPr>
        <w:rPr>
          <w:rFonts w:eastAsiaTheme="minorEastAsia"/>
          <w:i/>
          <w:iCs/>
        </w:rPr>
      </w:pPr>
      <w:r>
        <w:rPr>
          <w:rFonts w:eastAsiaTheme="minorEastAsia"/>
        </w:rPr>
        <w:t xml:space="preserve">BRE (2005) </w:t>
      </w:r>
      <w:r w:rsidRPr="00566CE0">
        <w:rPr>
          <w:rFonts w:eastAsiaTheme="minorEastAsia"/>
          <w:i/>
          <w:iCs/>
        </w:rPr>
        <w:t>Special Digest 1: Concrete in Aggressive Ground.</w:t>
      </w:r>
    </w:p>
    <w:p w14:paraId="05BC9DB2" w14:textId="63CC94A8" w:rsidR="00566CE0" w:rsidRDefault="00566CE0">
      <w:pPr>
        <w:rPr>
          <w:rFonts w:eastAsiaTheme="minorEastAsia"/>
        </w:rPr>
      </w:pPr>
      <w:r>
        <w:rPr>
          <w:rFonts w:eastAsiaTheme="minorEastAsia"/>
        </w:rPr>
        <w:t xml:space="preserve">CIRIA (2007) </w:t>
      </w:r>
      <w:r w:rsidRPr="00566CE0">
        <w:rPr>
          <w:rFonts w:eastAsiaTheme="minorEastAsia"/>
          <w:i/>
          <w:iCs/>
        </w:rPr>
        <w:t>C665: Assessing Risks from Hazardous Ground Gases.</w:t>
      </w:r>
    </w:p>
    <w:p w14:paraId="6EE05202" w14:textId="1B860E65" w:rsidR="00566CE0" w:rsidRDefault="00566CE0">
      <w:pPr>
        <w:rPr>
          <w:rFonts w:eastAsiaTheme="minorEastAsia"/>
        </w:rPr>
      </w:pPr>
      <w:r>
        <w:rPr>
          <w:rFonts w:eastAsiaTheme="minorEastAsia"/>
        </w:rPr>
        <w:t>Swansea Council (2023) Maritime Swansea.</w:t>
      </w:r>
    </w:p>
    <w:p w14:paraId="1EA766FB" w14:textId="534CDC47" w:rsidR="00566CE0" w:rsidRPr="00566CE0" w:rsidRDefault="00566CE0">
      <w:pPr>
        <w:rPr>
          <w:rFonts w:eastAsiaTheme="minorEastAsia"/>
        </w:rPr>
      </w:pPr>
      <w:r>
        <w:rPr>
          <w:rFonts w:eastAsiaTheme="minorEastAsia"/>
        </w:rPr>
        <w:t xml:space="preserve">Welsh Government (2023) </w:t>
      </w:r>
      <w:r w:rsidRPr="00566CE0">
        <w:rPr>
          <w:rFonts w:eastAsiaTheme="minorEastAsia"/>
          <w:i/>
          <w:iCs/>
        </w:rPr>
        <w:t>Approved Documents A and C.</w:t>
      </w:r>
    </w:p>
    <w:p w14:paraId="2EE4E8AA" w14:textId="77777777" w:rsidR="00C01E15" w:rsidRPr="00226D09" w:rsidRDefault="00C01E15">
      <w:pPr>
        <w:rPr>
          <w:rFonts w:eastAsiaTheme="minorEastAsia"/>
        </w:rPr>
      </w:pPr>
    </w:p>
    <w:p w14:paraId="0857C100" w14:textId="77777777" w:rsidR="00FC14B0" w:rsidRDefault="00FC14B0">
      <w:pPr>
        <w:rPr>
          <w:rFonts w:eastAsiaTheme="minorEastAsia"/>
        </w:rPr>
      </w:pPr>
    </w:p>
    <w:p w14:paraId="257E17D5" w14:textId="77777777" w:rsidR="00FC14B0" w:rsidRPr="00A723EF" w:rsidRDefault="00FC14B0">
      <w:pPr>
        <w:rPr>
          <w:rFonts w:eastAsiaTheme="minorEastAsia"/>
        </w:rPr>
      </w:pPr>
    </w:p>
    <w:p w14:paraId="0FF95392" w14:textId="77777777" w:rsidR="002D53FB" w:rsidRPr="002D53FB" w:rsidRDefault="002D53FB">
      <w:pPr>
        <w:rPr>
          <w:rFonts w:eastAsiaTheme="minorEastAsia"/>
        </w:rPr>
      </w:pPr>
    </w:p>
    <w:p w14:paraId="2BF4862C" w14:textId="77777777" w:rsidR="002D53FB" w:rsidRPr="002D53FB" w:rsidRDefault="002D53FB">
      <w:pPr>
        <w:rPr>
          <w:rFonts w:eastAsiaTheme="minorEastAsia"/>
        </w:rPr>
      </w:pPr>
    </w:p>
    <w:p w14:paraId="66661F55" w14:textId="77777777" w:rsidR="004258B7" w:rsidRDefault="004258B7">
      <w:pPr>
        <w:rPr>
          <w:rFonts w:eastAsiaTheme="minorEastAsia"/>
        </w:rPr>
      </w:pPr>
    </w:p>
    <w:p w14:paraId="56A143ED" w14:textId="77777777" w:rsidR="004258B7" w:rsidRDefault="004258B7">
      <w:pPr>
        <w:rPr>
          <w:rFonts w:eastAsiaTheme="minorEastAsia"/>
        </w:rPr>
      </w:pPr>
    </w:p>
    <w:p w14:paraId="7ECA7899" w14:textId="77777777" w:rsidR="004258B7" w:rsidRPr="004258B7" w:rsidRDefault="004258B7">
      <w:pPr>
        <w:rPr>
          <w:rFonts w:eastAsiaTheme="minorEastAsia"/>
        </w:rPr>
      </w:pPr>
    </w:p>
    <w:p w14:paraId="523B63DF" w14:textId="77777777" w:rsidR="00F72E4A" w:rsidRPr="00F72E4A" w:rsidRDefault="00F72E4A"/>
    <w:sectPr w:rsidR="00F72E4A" w:rsidRPr="00F72E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1CDC9" w14:textId="77777777" w:rsidR="00757F4C" w:rsidRDefault="00757F4C" w:rsidP="00D43F33">
      <w:pPr>
        <w:spacing w:after="0" w:line="240" w:lineRule="auto"/>
      </w:pPr>
      <w:r>
        <w:separator/>
      </w:r>
    </w:p>
  </w:endnote>
  <w:endnote w:type="continuationSeparator" w:id="0">
    <w:p w14:paraId="762B2FCB" w14:textId="77777777" w:rsidR="00757F4C" w:rsidRDefault="00757F4C" w:rsidP="00D43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2ED9F" w14:textId="77777777" w:rsidR="00757F4C" w:rsidRDefault="00757F4C" w:rsidP="00D43F33">
      <w:pPr>
        <w:spacing w:after="0" w:line="240" w:lineRule="auto"/>
      </w:pPr>
      <w:r>
        <w:separator/>
      </w:r>
    </w:p>
  </w:footnote>
  <w:footnote w:type="continuationSeparator" w:id="0">
    <w:p w14:paraId="5B44E746" w14:textId="77777777" w:rsidR="00757F4C" w:rsidRDefault="00757F4C" w:rsidP="00D43F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F33"/>
    <w:rsid w:val="000A21C3"/>
    <w:rsid w:val="001426BC"/>
    <w:rsid w:val="001B4A5F"/>
    <w:rsid w:val="00226D09"/>
    <w:rsid w:val="002D53FB"/>
    <w:rsid w:val="004258B7"/>
    <w:rsid w:val="00440BBD"/>
    <w:rsid w:val="004433A6"/>
    <w:rsid w:val="004D1E7F"/>
    <w:rsid w:val="004E2443"/>
    <w:rsid w:val="00566CE0"/>
    <w:rsid w:val="005742AB"/>
    <w:rsid w:val="005923A5"/>
    <w:rsid w:val="00734651"/>
    <w:rsid w:val="007379EE"/>
    <w:rsid w:val="00757F4C"/>
    <w:rsid w:val="0084134A"/>
    <w:rsid w:val="00A723EF"/>
    <w:rsid w:val="00AC0456"/>
    <w:rsid w:val="00C01E15"/>
    <w:rsid w:val="00CB79E4"/>
    <w:rsid w:val="00D43F33"/>
    <w:rsid w:val="00F72E4A"/>
    <w:rsid w:val="00FC1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3A9F"/>
  <w15:chartTrackingRefBased/>
  <w15:docId w15:val="{E9A5FED8-7249-49FF-94AA-22AE9ADB5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F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F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F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F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F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F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F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F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F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F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F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F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F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F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F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F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F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F33"/>
    <w:rPr>
      <w:rFonts w:eastAsiaTheme="majorEastAsia" w:cstheme="majorBidi"/>
      <w:color w:val="272727" w:themeColor="text1" w:themeTint="D8"/>
    </w:rPr>
  </w:style>
  <w:style w:type="paragraph" w:styleId="Title">
    <w:name w:val="Title"/>
    <w:basedOn w:val="Normal"/>
    <w:next w:val="Normal"/>
    <w:link w:val="TitleChar"/>
    <w:uiPriority w:val="10"/>
    <w:qFormat/>
    <w:rsid w:val="00D43F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F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F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F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F33"/>
    <w:pPr>
      <w:spacing w:before="160"/>
      <w:jc w:val="center"/>
    </w:pPr>
    <w:rPr>
      <w:i/>
      <w:iCs/>
      <w:color w:val="404040" w:themeColor="text1" w:themeTint="BF"/>
    </w:rPr>
  </w:style>
  <w:style w:type="character" w:customStyle="1" w:styleId="QuoteChar">
    <w:name w:val="Quote Char"/>
    <w:basedOn w:val="DefaultParagraphFont"/>
    <w:link w:val="Quote"/>
    <w:uiPriority w:val="29"/>
    <w:rsid w:val="00D43F33"/>
    <w:rPr>
      <w:i/>
      <w:iCs/>
      <w:color w:val="404040" w:themeColor="text1" w:themeTint="BF"/>
    </w:rPr>
  </w:style>
  <w:style w:type="paragraph" w:styleId="ListParagraph">
    <w:name w:val="List Paragraph"/>
    <w:basedOn w:val="Normal"/>
    <w:uiPriority w:val="34"/>
    <w:qFormat/>
    <w:rsid w:val="00D43F33"/>
    <w:pPr>
      <w:ind w:left="720"/>
      <w:contextualSpacing/>
    </w:pPr>
  </w:style>
  <w:style w:type="character" w:styleId="IntenseEmphasis">
    <w:name w:val="Intense Emphasis"/>
    <w:basedOn w:val="DefaultParagraphFont"/>
    <w:uiPriority w:val="21"/>
    <w:qFormat/>
    <w:rsid w:val="00D43F33"/>
    <w:rPr>
      <w:i/>
      <w:iCs/>
      <w:color w:val="0F4761" w:themeColor="accent1" w:themeShade="BF"/>
    </w:rPr>
  </w:style>
  <w:style w:type="paragraph" w:styleId="IntenseQuote">
    <w:name w:val="Intense Quote"/>
    <w:basedOn w:val="Normal"/>
    <w:next w:val="Normal"/>
    <w:link w:val="IntenseQuoteChar"/>
    <w:uiPriority w:val="30"/>
    <w:qFormat/>
    <w:rsid w:val="00D43F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F33"/>
    <w:rPr>
      <w:i/>
      <w:iCs/>
      <w:color w:val="0F4761" w:themeColor="accent1" w:themeShade="BF"/>
    </w:rPr>
  </w:style>
  <w:style w:type="character" w:styleId="IntenseReference">
    <w:name w:val="Intense Reference"/>
    <w:basedOn w:val="DefaultParagraphFont"/>
    <w:uiPriority w:val="32"/>
    <w:qFormat/>
    <w:rsid w:val="00D43F33"/>
    <w:rPr>
      <w:b/>
      <w:bCs/>
      <w:smallCaps/>
      <w:color w:val="0F4761" w:themeColor="accent1" w:themeShade="BF"/>
      <w:spacing w:val="5"/>
    </w:rPr>
  </w:style>
  <w:style w:type="paragraph" w:styleId="Header">
    <w:name w:val="header"/>
    <w:basedOn w:val="Normal"/>
    <w:link w:val="HeaderChar"/>
    <w:uiPriority w:val="99"/>
    <w:unhideWhenUsed/>
    <w:rsid w:val="00D43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F33"/>
  </w:style>
  <w:style w:type="paragraph" w:styleId="Footer">
    <w:name w:val="footer"/>
    <w:basedOn w:val="Normal"/>
    <w:link w:val="FooterChar"/>
    <w:uiPriority w:val="99"/>
    <w:unhideWhenUsed/>
    <w:rsid w:val="00D43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F33"/>
  </w:style>
  <w:style w:type="character" w:styleId="PlaceholderText">
    <w:name w:val="Placeholder Text"/>
    <w:basedOn w:val="DefaultParagraphFont"/>
    <w:uiPriority w:val="99"/>
    <w:semiHidden/>
    <w:rsid w:val="004433A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TotalTime>
  <Pages>7</Pages>
  <Words>2298</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Webster (2519062)</dc:creator>
  <cp:keywords/>
  <dc:description/>
  <cp:lastModifiedBy>Cai Webster (2519062)</cp:lastModifiedBy>
  <cp:revision>24</cp:revision>
  <dcterms:created xsi:type="dcterms:W3CDTF">2026-04-30T15:35:00Z</dcterms:created>
  <dcterms:modified xsi:type="dcterms:W3CDTF">2026-04-30T18:11:00Z</dcterms:modified>
</cp:coreProperties>
</file>