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B946D0" w14:textId="77777777" w:rsidR="00BD7F9D" w:rsidRPr="00C700C8" w:rsidRDefault="00BD7F9D" w:rsidP="00BD7F9D">
      <w:pPr>
        <w:tabs>
          <w:tab w:val="left" w:pos="5550"/>
        </w:tabs>
      </w:pPr>
    </w:p>
    <w:p w14:paraId="7BDE7D37" w14:textId="77777777" w:rsidR="00BD7F9D" w:rsidRPr="00C700C8" w:rsidRDefault="00BD7F9D" w:rsidP="00BD7F9D"/>
    <w:p w14:paraId="21769726" w14:textId="77777777" w:rsidR="00BD7F9D" w:rsidRPr="001E40CB" w:rsidRDefault="00BD7F9D" w:rsidP="00BD7F9D">
      <w:pPr>
        <w:spacing w:after="160"/>
        <w:jc w:val="center"/>
        <w:rPr>
          <w:rFonts w:eastAsiaTheme="minorHAnsi" w:cstheme="minorBidi"/>
          <w:kern w:val="2"/>
          <w14:ligatures w14:val="standardContextual"/>
        </w:rPr>
      </w:pPr>
      <w:r>
        <w:rPr>
          <w:rFonts w:eastAsiaTheme="minorHAnsi" w:cstheme="minorBidi"/>
          <w:noProof/>
          <w:kern w:val="2"/>
          <w:lang w:eastAsia="en-GB"/>
          <w14:ligatures w14:val="standardContextual"/>
        </w:rPr>
        <w:drawing>
          <wp:inline distT="0" distB="0" distL="0" distR="0" wp14:anchorId="10BD97E0" wp14:editId="5478252B">
            <wp:extent cx="2676525" cy="1066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6525" cy="1066800"/>
                    </a:xfrm>
                    <a:prstGeom prst="rect">
                      <a:avLst/>
                    </a:prstGeom>
                    <a:noFill/>
                  </pic:spPr>
                </pic:pic>
              </a:graphicData>
            </a:graphic>
          </wp:inline>
        </w:drawing>
      </w:r>
    </w:p>
    <w:p w14:paraId="5D91637F" w14:textId="77777777" w:rsidR="00BD7F9D" w:rsidRPr="001E40CB" w:rsidRDefault="00BD7F9D" w:rsidP="00BD7F9D">
      <w:pPr>
        <w:spacing w:after="160" w:line="278" w:lineRule="auto"/>
        <w:jc w:val="center"/>
        <w:rPr>
          <w:rFonts w:eastAsiaTheme="minorHAnsi" w:cstheme="minorBidi"/>
          <w:b/>
          <w:bCs/>
          <w:kern w:val="2"/>
          <w14:ligatures w14:val="standardContextual"/>
        </w:rPr>
      </w:pPr>
      <w:r>
        <w:rPr>
          <w:rFonts w:eastAsiaTheme="minorHAnsi" w:cstheme="minorBidi"/>
          <w:b/>
          <w:bCs/>
          <w:kern w:val="2"/>
          <w14:ligatures w14:val="standardContextual"/>
        </w:rPr>
        <w:t>Programme: Master of Business Administration</w:t>
      </w:r>
    </w:p>
    <w:p w14:paraId="2DA2DF0C" w14:textId="77777777" w:rsidR="00BD7F9D" w:rsidRPr="001E40CB" w:rsidRDefault="00BD7F9D" w:rsidP="00BD7F9D">
      <w:pPr>
        <w:spacing w:after="160" w:line="278" w:lineRule="auto"/>
        <w:jc w:val="center"/>
        <w:rPr>
          <w:rFonts w:eastAsiaTheme="minorHAnsi" w:cstheme="minorBidi"/>
          <w:kern w:val="2"/>
          <w14:ligatures w14:val="standardContextual"/>
        </w:rPr>
      </w:pPr>
      <w:r>
        <w:rPr>
          <w:rFonts w:eastAsiaTheme="minorHAnsi" w:cstheme="minorBidi"/>
          <w:b/>
          <w:bCs/>
          <w:kern w:val="2"/>
          <w14:ligatures w14:val="standardContextual"/>
        </w:rPr>
        <w:t>Module: International Business Concepts</w:t>
      </w:r>
    </w:p>
    <w:p w14:paraId="5C539604" w14:textId="77777777" w:rsidR="00BD7F9D" w:rsidRPr="001E40CB" w:rsidRDefault="00BD7F9D" w:rsidP="00BD7F9D">
      <w:pPr>
        <w:spacing w:after="160" w:line="278" w:lineRule="auto"/>
        <w:jc w:val="center"/>
        <w:rPr>
          <w:rFonts w:eastAsiaTheme="minorHAnsi" w:cstheme="minorBidi"/>
          <w:b/>
          <w:bCs/>
          <w:kern w:val="2"/>
          <w14:ligatures w14:val="standardContextual"/>
        </w:rPr>
      </w:pPr>
      <w:r>
        <w:rPr>
          <w:rFonts w:eastAsiaTheme="minorHAnsi" w:cstheme="minorBidi"/>
          <w:b/>
          <w:bCs/>
          <w:kern w:val="2"/>
          <w14:ligatures w14:val="standardContextual"/>
        </w:rPr>
        <w:t>Module code: LCMB7034</w:t>
      </w:r>
    </w:p>
    <w:p w14:paraId="0DAEFC4F" w14:textId="795E34CC" w:rsidR="00BD7F9D" w:rsidRPr="001E40CB" w:rsidRDefault="00BD7F9D" w:rsidP="00BD7F9D">
      <w:pPr>
        <w:spacing w:after="160" w:line="278" w:lineRule="auto"/>
        <w:jc w:val="center"/>
        <w:rPr>
          <w:rFonts w:eastAsiaTheme="minorHAnsi" w:cstheme="minorBidi"/>
          <w:b/>
          <w:bCs/>
          <w:kern w:val="2"/>
          <w14:ligatures w14:val="standardContextual"/>
        </w:rPr>
      </w:pPr>
      <w:r>
        <w:rPr>
          <w:rFonts w:eastAsiaTheme="minorHAnsi" w:cstheme="minorBidi"/>
          <w:b/>
          <w:bCs/>
          <w:kern w:val="2"/>
          <w14:ligatures w14:val="standardContextual"/>
        </w:rPr>
        <w:t xml:space="preserve">Lecturer: </w:t>
      </w:r>
      <w:proofErr w:type="spellStart"/>
      <w:r>
        <w:rPr>
          <w:rFonts w:eastAsiaTheme="minorHAnsi" w:cstheme="minorBidi"/>
          <w:b/>
          <w:bCs/>
          <w:kern w:val="2"/>
          <w14:ligatures w14:val="standardContextual"/>
        </w:rPr>
        <w:t>Ejike</w:t>
      </w:r>
      <w:proofErr w:type="spellEnd"/>
      <w:r>
        <w:rPr>
          <w:rFonts w:eastAsiaTheme="minorHAnsi" w:cstheme="minorBidi"/>
          <w:b/>
          <w:bCs/>
          <w:kern w:val="2"/>
          <w14:ligatures w14:val="standardContextual"/>
        </w:rPr>
        <w:t xml:space="preserve"> </w:t>
      </w:r>
      <w:proofErr w:type="spellStart"/>
      <w:r>
        <w:rPr>
          <w:rFonts w:eastAsiaTheme="minorHAnsi" w:cstheme="minorBidi"/>
          <w:b/>
          <w:bCs/>
          <w:kern w:val="2"/>
          <w14:ligatures w14:val="standardContextual"/>
        </w:rPr>
        <w:t>Udeogu</w:t>
      </w:r>
      <w:proofErr w:type="spellEnd"/>
    </w:p>
    <w:p w14:paraId="0D1228E9" w14:textId="77777777" w:rsidR="00BD7F9D" w:rsidRPr="001E40CB" w:rsidRDefault="00BD7F9D" w:rsidP="00BD7F9D">
      <w:pPr>
        <w:spacing w:after="160" w:line="278" w:lineRule="auto"/>
        <w:jc w:val="center"/>
        <w:rPr>
          <w:rFonts w:eastAsiaTheme="minorHAnsi" w:cstheme="minorBidi"/>
          <w:b/>
          <w:bCs/>
          <w:kern w:val="2"/>
          <w14:ligatures w14:val="standardContextual"/>
        </w:rPr>
      </w:pPr>
      <w:r>
        <w:rPr>
          <w:rFonts w:eastAsiaTheme="minorHAnsi" w:cstheme="minorBidi"/>
          <w:b/>
          <w:bCs/>
          <w:kern w:val="2"/>
          <w14:ligatures w14:val="standardContextual"/>
        </w:rPr>
        <w:t xml:space="preserve">Student Name: MD. </w:t>
      </w:r>
      <w:proofErr w:type="spellStart"/>
      <w:r>
        <w:rPr>
          <w:rFonts w:eastAsiaTheme="minorHAnsi" w:cstheme="minorBidi"/>
          <w:b/>
          <w:bCs/>
          <w:kern w:val="2"/>
          <w14:ligatures w14:val="standardContextual"/>
        </w:rPr>
        <w:t>Nuruzzaman</w:t>
      </w:r>
      <w:proofErr w:type="spellEnd"/>
    </w:p>
    <w:p w14:paraId="0CB82DB1" w14:textId="77777777" w:rsidR="00BD7F9D" w:rsidRDefault="00BD7F9D" w:rsidP="00BD7F9D">
      <w:pPr>
        <w:spacing w:after="160" w:line="278" w:lineRule="auto"/>
        <w:jc w:val="center"/>
        <w:rPr>
          <w:rFonts w:eastAsiaTheme="minorHAnsi" w:cstheme="minorBidi"/>
          <w:b/>
          <w:bCs/>
          <w:kern w:val="2"/>
          <w14:ligatures w14:val="standardContextual"/>
        </w:rPr>
      </w:pPr>
      <w:r>
        <w:rPr>
          <w:rFonts w:eastAsiaTheme="minorHAnsi" w:cstheme="minorBidi"/>
          <w:b/>
          <w:bCs/>
          <w:kern w:val="2"/>
          <w14:ligatures w14:val="standardContextual"/>
        </w:rPr>
        <w:t>Student ID: 2438310</w:t>
      </w:r>
    </w:p>
    <w:p w14:paraId="45925FED" w14:textId="46916154" w:rsidR="005D2A1C" w:rsidRPr="001E40CB" w:rsidRDefault="005D2A1C" w:rsidP="00BD7F9D">
      <w:pPr>
        <w:spacing w:after="160" w:line="278" w:lineRule="auto"/>
        <w:jc w:val="center"/>
        <w:rPr>
          <w:rFonts w:eastAsiaTheme="minorHAnsi" w:cstheme="minorBidi"/>
          <w:b/>
          <w:bCs/>
          <w:kern w:val="2"/>
          <w14:ligatures w14:val="standardContextual"/>
        </w:rPr>
      </w:pPr>
      <w:r>
        <w:rPr>
          <w:rFonts w:eastAsiaTheme="minorHAnsi" w:cstheme="minorBidi"/>
          <w:b/>
          <w:bCs/>
          <w:kern w:val="2"/>
          <w14:ligatures w14:val="standardContextual"/>
        </w:rPr>
        <w:t>Word Count: 5262</w:t>
      </w:r>
    </w:p>
    <w:p w14:paraId="19AA43A5" w14:textId="77777777" w:rsidR="00606E18" w:rsidRDefault="00606E18">
      <w:pPr>
        <w:spacing w:line="240" w:lineRule="auto"/>
        <w:jc w:val="left"/>
        <w:rPr>
          <w:b/>
          <w:bCs/>
        </w:rPr>
      </w:pPr>
      <w:r>
        <w:rPr>
          <w:b/>
          <w:bCs/>
        </w:rPr>
        <w:br w:type="page"/>
      </w:r>
    </w:p>
    <w:sdt>
      <w:sdtPr>
        <w:rPr>
          <w:rFonts w:ascii="Arial" w:eastAsia="Arial" w:hAnsi="Arial" w:cs="Arial"/>
          <w:color w:val="auto"/>
          <w:sz w:val="24"/>
          <w:szCs w:val="24"/>
          <w:lang w:val="en-GB"/>
        </w:rPr>
        <w:id w:val="-1550761476"/>
        <w:docPartObj>
          <w:docPartGallery w:val="Table of Contents"/>
          <w:docPartUnique/>
        </w:docPartObj>
      </w:sdtPr>
      <w:sdtEndPr>
        <w:rPr>
          <w:b/>
          <w:bCs/>
          <w:noProof/>
        </w:rPr>
      </w:sdtEndPr>
      <w:sdtContent>
        <w:p w14:paraId="4BD88FB2" w14:textId="0EBC5A20" w:rsidR="00606E18" w:rsidRDefault="00606E18">
          <w:pPr>
            <w:pStyle w:val="TOCHeading"/>
          </w:pPr>
          <w:r>
            <w:t>Table of Contents</w:t>
          </w:r>
        </w:p>
        <w:p w14:paraId="34046C8B" w14:textId="462C0847" w:rsidR="00BD6AD9" w:rsidRDefault="00606E18">
          <w:pPr>
            <w:pStyle w:val="TOC1"/>
            <w:tabs>
              <w:tab w:val="right" w:leader="dot" w:pos="9016"/>
            </w:tabs>
            <w:rPr>
              <w:rFonts w:asciiTheme="minorHAnsi" w:eastAsiaTheme="minorEastAsia" w:hAnsiTheme="minorHAnsi" w:cstheme="minorBidi"/>
              <w:noProof/>
              <w:kern w:val="2"/>
              <w:lang w:val="en-US"/>
              <w14:ligatures w14:val="standardContextual"/>
            </w:rPr>
          </w:pPr>
          <w:r>
            <w:fldChar w:fldCharType="begin"/>
          </w:r>
          <w:r>
            <w:instrText xml:space="preserve"> TOC \o "1-3" \h \z \u </w:instrText>
          </w:r>
          <w:r>
            <w:fldChar w:fldCharType="separate"/>
          </w:r>
          <w:hyperlink w:anchor="_Toc224431342" w:history="1">
            <w:r w:rsidR="00BD6AD9" w:rsidRPr="00395BB8">
              <w:rPr>
                <w:rStyle w:val="Hyperlink"/>
                <w:noProof/>
              </w:rPr>
              <w:t>Section 1: International Industry Report – India's Information Technology Sector</w:t>
            </w:r>
            <w:r w:rsidR="00BD6AD9">
              <w:rPr>
                <w:noProof/>
                <w:webHidden/>
              </w:rPr>
              <w:tab/>
            </w:r>
            <w:r w:rsidR="00BD6AD9">
              <w:rPr>
                <w:noProof/>
                <w:webHidden/>
              </w:rPr>
              <w:fldChar w:fldCharType="begin"/>
            </w:r>
            <w:r w:rsidR="00BD6AD9">
              <w:rPr>
                <w:noProof/>
                <w:webHidden/>
              </w:rPr>
              <w:instrText xml:space="preserve"> PAGEREF _Toc224431342 \h </w:instrText>
            </w:r>
            <w:r w:rsidR="00BD6AD9">
              <w:rPr>
                <w:noProof/>
                <w:webHidden/>
              </w:rPr>
            </w:r>
            <w:r w:rsidR="00BD6AD9">
              <w:rPr>
                <w:noProof/>
                <w:webHidden/>
              </w:rPr>
              <w:fldChar w:fldCharType="separate"/>
            </w:r>
            <w:r w:rsidR="000D1BBF">
              <w:rPr>
                <w:noProof/>
                <w:webHidden/>
              </w:rPr>
              <w:t>4</w:t>
            </w:r>
            <w:r w:rsidR="00BD6AD9">
              <w:rPr>
                <w:noProof/>
                <w:webHidden/>
              </w:rPr>
              <w:fldChar w:fldCharType="end"/>
            </w:r>
          </w:hyperlink>
        </w:p>
        <w:p w14:paraId="28C4E2B2" w14:textId="03B57282" w:rsidR="00BD6AD9" w:rsidRDefault="00FA6499">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24431343" w:history="1">
            <w:r w:rsidR="00BD6AD9" w:rsidRPr="00395BB8">
              <w:rPr>
                <w:rStyle w:val="Hyperlink"/>
                <w:noProof/>
              </w:rPr>
              <w:t>1. Introduction</w:t>
            </w:r>
            <w:r w:rsidR="00BD6AD9">
              <w:rPr>
                <w:noProof/>
                <w:webHidden/>
              </w:rPr>
              <w:tab/>
            </w:r>
            <w:r w:rsidR="00BD6AD9">
              <w:rPr>
                <w:noProof/>
                <w:webHidden/>
              </w:rPr>
              <w:fldChar w:fldCharType="begin"/>
            </w:r>
            <w:r w:rsidR="00BD6AD9">
              <w:rPr>
                <w:noProof/>
                <w:webHidden/>
              </w:rPr>
              <w:instrText xml:space="preserve"> PAGEREF _Toc224431343 \h </w:instrText>
            </w:r>
            <w:r w:rsidR="00BD6AD9">
              <w:rPr>
                <w:noProof/>
                <w:webHidden/>
              </w:rPr>
            </w:r>
            <w:r w:rsidR="00BD6AD9">
              <w:rPr>
                <w:noProof/>
                <w:webHidden/>
              </w:rPr>
              <w:fldChar w:fldCharType="separate"/>
            </w:r>
            <w:r w:rsidR="000D1BBF">
              <w:rPr>
                <w:noProof/>
                <w:webHidden/>
              </w:rPr>
              <w:t>4</w:t>
            </w:r>
            <w:r w:rsidR="00BD6AD9">
              <w:rPr>
                <w:noProof/>
                <w:webHidden/>
              </w:rPr>
              <w:fldChar w:fldCharType="end"/>
            </w:r>
          </w:hyperlink>
        </w:p>
        <w:p w14:paraId="2439841B" w14:textId="28898BDC" w:rsidR="00BD6AD9" w:rsidRDefault="00FA6499">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24431344" w:history="1">
            <w:r w:rsidR="00BD6AD9" w:rsidRPr="00395BB8">
              <w:rPr>
                <w:rStyle w:val="Hyperlink"/>
                <w:noProof/>
              </w:rPr>
              <w:t>2. Industry and Country Overview</w:t>
            </w:r>
            <w:r w:rsidR="00BD6AD9">
              <w:rPr>
                <w:noProof/>
                <w:webHidden/>
              </w:rPr>
              <w:tab/>
            </w:r>
            <w:r w:rsidR="00BD6AD9">
              <w:rPr>
                <w:noProof/>
                <w:webHidden/>
              </w:rPr>
              <w:fldChar w:fldCharType="begin"/>
            </w:r>
            <w:r w:rsidR="00BD6AD9">
              <w:rPr>
                <w:noProof/>
                <w:webHidden/>
              </w:rPr>
              <w:instrText xml:space="preserve"> PAGEREF _Toc224431344 \h </w:instrText>
            </w:r>
            <w:r w:rsidR="00BD6AD9">
              <w:rPr>
                <w:noProof/>
                <w:webHidden/>
              </w:rPr>
            </w:r>
            <w:r w:rsidR="00BD6AD9">
              <w:rPr>
                <w:noProof/>
                <w:webHidden/>
              </w:rPr>
              <w:fldChar w:fldCharType="separate"/>
            </w:r>
            <w:r w:rsidR="000D1BBF">
              <w:rPr>
                <w:noProof/>
                <w:webHidden/>
              </w:rPr>
              <w:t>4</w:t>
            </w:r>
            <w:r w:rsidR="00BD6AD9">
              <w:rPr>
                <w:noProof/>
                <w:webHidden/>
              </w:rPr>
              <w:fldChar w:fldCharType="end"/>
            </w:r>
          </w:hyperlink>
        </w:p>
        <w:p w14:paraId="4D8DD78D" w14:textId="58618954" w:rsidR="00BD6AD9" w:rsidRDefault="00FA6499">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24431345" w:history="1">
            <w:r w:rsidR="00BD6AD9" w:rsidRPr="00395BB8">
              <w:rPr>
                <w:rStyle w:val="Hyperlink"/>
                <w:noProof/>
              </w:rPr>
              <w:t>2.1 Introduction to the Indian IT Industry</w:t>
            </w:r>
            <w:r w:rsidR="00BD6AD9">
              <w:rPr>
                <w:noProof/>
                <w:webHidden/>
              </w:rPr>
              <w:tab/>
            </w:r>
            <w:r w:rsidR="00BD6AD9">
              <w:rPr>
                <w:noProof/>
                <w:webHidden/>
              </w:rPr>
              <w:fldChar w:fldCharType="begin"/>
            </w:r>
            <w:r w:rsidR="00BD6AD9">
              <w:rPr>
                <w:noProof/>
                <w:webHidden/>
              </w:rPr>
              <w:instrText xml:space="preserve"> PAGEREF _Toc224431345 \h </w:instrText>
            </w:r>
            <w:r w:rsidR="00BD6AD9">
              <w:rPr>
                <w:noProof/>
                <w:webHidden/>
              </w:rPr>
            </w:r>
            <w:r w:rsidR="00BD6AD9">
              <w:rPr>
                <w:noProof/>
                <w:webHidden/>
              </w:rPr>
              <w:fldChar w:fldCharType="separate"/>
            </w:r>
            <w:r w:rsidR="000D1BBF">
              <w:rPr>
                <w:noProof/>
                <w:webHidden/>
              </w:rPr>
              <w:t>4</w:t>
            </w:r>
            <w:r w:rsidR="00BD6AD9">
              <w:rPr>
                <w:noProof/>
                <w:webHidden/>
              </w:rPr>
              <w:fldChar w:fldCharType="end"/>
            </w:r>
          </w:hyperlink>
        </w:p>
        <w:p w14:paraId="55930A99" w14:textId="56F9BE02" w:rsidR="00BD6AD9" w:rsidRDefault="00FA6499">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24431346" w:history="1">
            <w:r w:rsidR="00BD6AD9" w:rsidRPr="00395BB8">
              <w:rPr>
                <w:rStyle w:val="Hyperlink"/>
                <w:noProof/>
              </w:rPr>
              <w:t>2.2 Size, Scope, and Economic Importance</w:t>
            </w:r>
            <w:r w:rsidR="00BD6AD9">
              <w:rPr>
                <w:noProof/>
                <w:webHidden/>
              </w:rPr>
              <w:tab/>
            </w:r>
            <w:r w:rsidR="00BD6AD9">
              <w:rPr>
                <w:noProof/>
                <w:webHidden/>
              </w:rPr>
              <w:fldChar w:fldCharType="begin"/>
            </w:r>
            <w:r w:rsidR="00BD6AD9">
              <w:rPr>
                <w:noProof/>
                <w:webHidden/>
              </w:rPr>
              <w:instrText xml:space="preserve"> PAGEREF _Toc224431346 \h </w:instrText>
            </w:r>
            <w:r w:rsidR="00BD6AD9">
              <w:rPr>
                <w:noProof/>
                <w:webHidden/>
              </w:rPr>
            </w:r>
            <w:r w:rsidR="00BD6AD9">
              <w:rPr>
                <w:noProof/>
                <w:webHidden/>
              </w:rPr>
              <w:fldChar w:fldCharType="separate"/>
            </w:r>
            <w:r w:rsidR="000D1BBF">
              <w:rPr>
                <w:noProof/>
                <w:webHidden/>
              </w:rPr>
              <w:t>5</w:t>
            </w:r>
            <w:r w:rsidR="00BD6AD9">
              <w:rPr>
                <w:noProof/>
                <w:webHidden/>
              </w:rPr>
              <w:fldChar w:fldCharType="end"/>
            </w:r>
          </w:hyperlink>
        </w:p>
        <w:p w14:paraId="050A6946" w14:textId="4F205166" w:rsidR="00BD6AD9" w:rsidRDefault="00FA6499">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24431347" w:history="1">
            <w:r w:rsidR="00BD6AD9" w:rsidRPr="00395BB8">
              <w:rPr>
                <w:rStyle w:val="Hyperlink"/>
                <w:noProof/>
              </w:rPr>
              <w:t>2.3 Competitive Positioning of Key Firms</w:t>
            </w:r>
            <w:r w:rsidR="00BD6AD9">
              <w:rPr>
                <w:noProof/>
                <w:webHidden/>
              </w:rPr>
              <w:tab/>
            </w:r>
            <w:r w:rsidR="00BD6AD9">
              <w:rPr>
                <w:noProof/>
                <w:webHidden/>
              </w:rPr>
              <w:fldChar w:fldCharType="begin"/>
            </w:r>
            <w:r w:rsidR="00BD6AD9">
              <w:rPr>
                <w:noProof/>
                <w:webHidden/>
              </w:rPr>
              <w:instrText xml:space="preserve"> PAGEREF _Toc224431347 \h </w:instrText>
            </w:r>
            <w:r w:rsidR="00BD6AD9">
              <w:rPr>
                <w:noProof/>
                <w:webHidden/>
              </w:rPr>
            </w:r>
            <w:r w:rsidR="00BD6AD9">
              <w:rPr>
                <w:noProof/>
                <w:webHidden/>
              </w:rPr>
              <w:fldChar w:fldCharType="separate"/>
            </w:r>
            <w:r w:rsidR="000D1BBF">
              <w:rPr>
                <w:noProof/>
                <w:webHidden/>
              </w:rPr>
              <w:t>5</w:t>
            </w:r>
            <w:r w:rsidR="00BD6AD9">
              <w:rPr>
                <w:noProof/>
                <w:webHidden/>
              </w:rPr>
              <w:fldChar w:fldCharType="end"/>
            </w:r>
          </w:hyperlink>
        </w:p>
        <w:p w14:paraId="7B756629" w14:textId="0F8B743E" w:rsidR="00BD6AD9" w:rsidRDefault="00FA6499">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24431348" w:history="1">
            <w:r w:rsidR="00BD6AD9" w:rsidRPr="00395BB8">
              <w:rPr>
                <w:rStyle w:val="Hyperlink"/>
                <w:noProof/>
              </w:rPr>
              <w:t>3. Porter's Diamond Model: National Competitiveness of India's IT Industry</w:t>
            </w:r>
            <w:r w:rsidR="00BD6AD9">
              <w:rPr>
                <w:noProof/>
                <w:webHidden/>
              </w:rPr>
              <w:tab/>
            </w:r>
            <w:r w:rsidR="00BD6AD9">
              <w:rPr>
                <w:noProof/>
                <w:webHidden/>
              </w:rPr>
              <w:fldChar w:fldCharType="begin"/>
            </w:r>
            <w:r w:rsidR="00BD6AD9">
              <w:rPr>
                <w:noProof/>
                <w:webHidden/>
              </w:rPr>
              <w:instrText xml:space="preserve"> PAGEREF _Toc224431348 \h </w:instrText>
            </w:r>
            <w:r w:rsidR="00BD6AD9">
              <w:rPr>
                <w:noProof/>
                <w:webHidden/>
              </w:rPr>
            </w:r>
            <w:r w:rsidR="00BD6AD9">
              <w:rPr>
                <w:noProof/>
                <w:webHidden/>
              </w:rPr>
              <w:fldChar w:fldCharType="separate"/>
            </w:r>
            <w:r w:rsidR="000D1BBF">
              <w:rPr>
                <w:noProof/>
                <w:webHidden/>
              </w:rPr>
              <w:t>7</w:t>
            </w:r>
            <w:r w:rsidR="00BD6AD9">
              <w:rPr>
                <w:noProof/>
                <w:webHidden/>
              </w:rPr>
              <w:fldChar w:fldCharType="end"/>
            </w:r>
          </w:hyperlink>
        </w:p>
        <w:p w14:paraId="61DD3AE3" w14:textId="6B3667CA" w:rsidR="00BD6AD9" w:rsidRDefault="00FA6499">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24431349" w:history="1">
            <w:r w:rsidR="00BD6AD9" w:rsidRPr="00395BB8">
              <w:rPr>
                <w:rStyle w:val="Hyperlink"/>
                <w:noProof/>
              </w:rPr>
              <w:t>3.1 Factor Conditions</w:t>
            </w:r>
            <w:r w:rsidR="00BD6AD9">
              <w:rPr>
                <w:noProof/>
                <w:webHidden/>
              </w:rPr>
              <w:tab/>
            </w:r>
            <w:r w:rsidR="00BD6AD9">
              <w:rPr>
                <w:noProof/>
                <w:webHidden/>
              </w:rPr>
              <w:fldChar w:fldCharType="begin"/>
            </w:r>
            <w:r w:rsidR="00BD6AD9">
              <w:rPr>
                <w:noProof/>
                <w:webHidden/>
              </w:rPr>
              <w:instrText xml:space="preserve"> PAGEREF _Toc224431349 \h </w:instrText>
            </w:r>
            <w:r w:rsidR="00BD6AD9">
              <w:rPr>
                <w:noProof/>
                <w:webHidden/>
              </w:rPr>
            </w:r>
            <w:r w:rsidR="00BD6AD9">
              <w:rPr>
                <w:noProof/>
                <w:webHidden/>
              </w:rPr>
              <w:fldChar w:fldCharType="separate"/>
            </w:r>
            <w:r w:rsidR="000D1BBF">
              <w:rPr>
                <w:noProof/>
                <w:webHidden/>
              </w:rPr>
              <w:t>7</w:t>
            </w:r>
            <w:r w:rsidR="00BD6AD9">
              <w:rPr>
                <w:noProof/>
                <w:webHidden/>
              </w:rPr>
              <w:fldChar w:fldCharType="end"/>
            </w:r>
          </w:hyperlink>
        </w:p>
        <w:p w14:paraId="7F290A60" w14:textId="15824BC3" w:rsidR="00BD6AD9" w:rsidRDefault="00FA6499">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24431350" w:history="1">
            <w:r w:rsidR="00BD6AD9" w:rsidRPr="00395BB8">
              <w:rPr>
                <w:rStyle w:val="Hyperlink"/>
                <w:noProof/>
              </w:rPr>
              <w:t>3.2 Demand Conditions</w:t>
            </w:r>
            <w:r w:rsidR="00BD6AD9">
              <w:rPr>
                <w:noProof/>
                <w:webHidden/>
              </w:rPr>
              <w:tab/>
            </w:r>
            <w:r w:rsidR="00BD6AD9">
              <w:rPr>
                <w:noProof/>
                <w:webHidden/>
              </w:rPr>
              <w:fldChar w:fldCharType="begin"/>
            </w:r>
            <w:r w:rsidR="00BD6AD9">
              <w:rPr>
                <w:noProof/>
                <w:webHidden/>
              </w:rPr>
              <w:instrText xml:space="preserve"> PAGEREF _Toc224431350 \h </w:instrText>
            </w:r>
            <w:r w:rsidR="00BD6AD9">
              <w:rPr>
                <w:noProof/>
                <w:webHidden/>
              </w:rPr>
            </w:r>
            <w:r w:rsidR="00BD6AD9">
              <w:rPr>
                <w:noProof/>
                <w:webHidden/>
              </w:rPr>
              <w:fldChar w:fldCharType="separate"/>
            </w:r>
            <w:r w:rsidR="000D1BBF">
              <w:rPr>
                <w:noProof/>
                <w:webHidden/>
              </w:rPr>
              <w:t>8</w:t>
            </w:r>
            <w:r w:rsidR="00BD6AD9">
              <w:rPr>
                <w:noProof/>
                <w:webHidden/>
              </w:rPr>
              <w:fldChar w:fldCharType="end"/>
            </w:r>
          </w:hyperlink>
        </w:p>
        <w:p w14:paraId="64800500" w14:textId="3C60B017" w:rsidR="00BD6AD9" w:rsidRDefault="00FA6499">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24431351" w:history="1">
            <w:r w:rsidR="00BD6AD9" w:rsidRPr="00395BB8">
              <w:rPr>
                <w:rStyle w:val="Hyperlink"/>
                <w:noProof/>
              </w:rPr>
              <w:t>3.3 Related and Supporting Industries</w:t>
            </w:r>
            <w:r w:rsidR="00BD6AD9">
              <w:rPr>
                <w:noProof/>
                <w:webHidden/>
              </w:rPr>
              <w:tab/>
            </w:r>
            <w:r w:rsidR="00BD6AD9">
              <w:rPr>
                <w:noProof/>
                <w:webHidden/>
              </w:rPr>
              <w:fldChar w:fldCharType="begin"/>
            </w:r>
            <w:r w:rsidR="00BD6AD9">
              <w:rPr>
                <w:noProof/>
                <w:webHidden/>
              </w:rPr>
              <w:instrText xml:space="preserve"> PAGEREF _Toc224431351 \h </w:instrText>
            </w:r>
            <w:r w:rsidR="00BD6AD9">
              <w:rPr>
                <w:noProof/>
                <w:webHidden/>
              </w:rPr>
            </w:r>
            <w:r w:rsidR="00BD6AD9">
              <w:rPr>
                <w:noProof/>
                <w:webHidden/>
              </w:rPr>
              <w:fldChar w:fldCharType="separate"/>
            </w:r>
            <w:r w:rsidR="000D1BBF">
              <w:rPr>
                <w:noProof/>
                <w:webHidden/>
              </w:rPr>
              <w:t>9</w:t>
            </w:r>
            <w:r w:rsidR="00BD6AD9">
              <w:rPr>
                <w:noProof/>
                <w:webHidden/>
              </w:rPr>
              <w:fldChar w:fldCharType="end"/>
            </w:r>
          </w:hyperlink>
        </w:p>
        <w:p w14:paraId="1E4CC238" w14:textId="732B1277" w:rsidR="00BD6AD9" w:rsidRDefault="00FA6499">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24431352" w:history="1">
            <w:r w:rsidR="00BD6AD9" w:rsidRPr="00395BB8">
              <w:rPr>
                <w:rStyle w:val="Hyperlink"/>
                <w:noProof/>
              </w:rPr>
              <w:t>3.4 Firm Strategy, Structure, and Rivalry</w:t>
            </w:r>
            <w:r w:rsidR="00BD6AD9">
              <w:rPr>
                <w:noProof/>
                <w:webHidden/>
              </w:rPr>
              <w:tab/>
            </w:r>
            <w:r w:rsidR="00BD6AD9">
              <w:rPr>
                <w:noProof/>
                <w:webHidden/>
              </w:rPr>
              <w:fldChar w:fldCharType="begin"/>
            </w:r>
            <w:r w:rsidR="00BD6AD9">
              <w:rPr>
                <w:noProof/>
                <w:webHidden/>
              </w:rPr>
              <w:instrText xml:space="preserve"> PAGEREF _Toc224431352 \h </w:instrText>
            </w:r>
            <w:r w:rsidR="00BD6AD9">
              <w:rPr>
                <w:noProof/>
                <w:webHidden/>
              </w:rPr>
            </w:r>
            <w:r w:rsidR="00BD6AD9">
              <w:rPr>
                <w:noProof/>
                <w:webHidden/>
              </w:rPr>
              <w:fldChar w:fldCharType="separate"/>
            </w:r>
            <w:r w:rsidR="000D1BBF">
              <w:rPr>
                <w:noProof/>
                <w:webHidden/>
              </w:rPr>
              <w:t>9</w:t>
            </w:r>
            <w:r w:rsidR="00BD6AD9">
              <w:rPr>
                <w:noProof/>
                <w:webHidden/>
              </w:rPr>
              <w:fldChar w:fldCharType="end"/>
            </w:r>
          </w:hyperlink>
        </w:p>
        <w:p w14:paraId="01C3A36F" w14:textId="2ED0A53E" w:rsidR="00BD6AD9" w:rsidRDefault="00FA6499">
          <w:pPr>
            <w:pStyle w:val="TOC3"/>
            <w:tabs>
              <w:tab w:val="right" w:leader="dot" w:pos="9016"/>
            </w:tabs>
            <w:rPr>
              <w:rFonts w:asciiTheme="minorHAnsi" w:eastAsiaTheme="minorEastAsia" w:hAnsiTheme="minorHAnsi" w:cstheme="minorBidi"/>
              <w:noProof/>
              <w:kern w:val="2"/>
              <w:lang w:val="en-US"/>
              <w14:ligatures w14:val="standardContextual"/>
            </w:rPr>
          </w:pPr>
          <w:hyperlink w:anchor="_Toc224431353" w:history="1">
            <w:r w:rsidR="00BD6AD9" w:rsidRPr="00395BB8">
              <w:rPr>
                <w:rStyle w:val="Hyperlink"/>
                <w:noProof/>
              </w:rPr>
              <w:t>3.5 Government and Chance</w:t>
            </w:r>
            <w:r w:rsidR="00BD6AD9">
              <w:rPr>
                <w:noProof/>
                <w:webHidden/>
              </w:rPr>
              <w:tab/>
            </w:r>
            <w:r w:rsidR="00BD6AD9">
              <w:rPr>
                <w:noProof/>
                <w:webHidden/>
              </w:rPr>
              <w:fldChar w:fldCharType="begin"/>
            </w:r>
            <w:r w:rsidR="00BD6AD9">
              <w:rPr>
                <w:noProof/>
                <w:webHidden/>
              </w:rPr>
              <w:instrText xml:space="preserve"> PAGEREF _Toc224431353 \h </w:instrText>
            </w:r>
            <w:r w:rsidR="00BD6AD9">
              <w:rPr>
                <w:noProof/>
                <w:webHidden/>
              </w:rPr>
            </w:r>
            <w:r w:rsidR="00BD6AD9">
              <w:rPr>
                <w:noProof/>
                <w:webHidden/>
              </w:rPr>
              <w:fldChar w:fldCharType="separate"/>
            </w:r>
            <w:r w:rsidR="000D1BBF">
              <w:rPr>
                <w:noProof/>
                <w:webHidden/>
              </w:rPr>
              <w:t>10</w:t>
            </w:r>
            <w:r w:rsidR="00BD6AD9">
              <w:rPr>
                <w:noProof/>
                <w:webHidden/>
              </w:rPr>
              <w:fldChar w:fldCharType="end"/>
            </w:r>
          </w:hyperlink>
        </w:p>
        <w:p w14:paraId="49617892" w14:textId="22797E73" w:rsidR="00BD6AD9" w:rsidRDefault="00FA6499">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24431354" w:history="1">
            <w:r w:rsidR="00BD6AD9" w:rsidRPr="00395BB8">
              <w:rPr>
                <w:rStyle w:val="Hyperlink"/>
                <w:noProof/>
              </w:rPr>
              <w:t>4. Critical Evaluation: Accenture plc in India</w:t>
            </w:r>
            <w:r w:rsidR="00BD6AD9">
              <w:rPr>
                <w:noProof/>
                <w:webHidden/>
              </w:rPr>
              <w:tab/>
            </w:r>
            <w:r w:rsidR="00BD6AD9">
              <w:rPr>
                <w:noProof/>
                <w:webHidden/>
              </w:rPr>
              <w:fldChar w:fldCharType="begin"/>
            </w:r>
            <w:r w:rsidR="00BD6AD9">
              <w:rPr>
                <w:noProof/>
                <w:webHidden/>
              </w:rPr>
              <w:instrText xml:space="preserve"> PAGEREF _Toc224431354 \h </w:instrText>
            </w:r>
            <w:r w:rsidR="00BD6AD9">
              <w:rPr>
                <w:noProof/>
                <w:webHidden/>
              </w:rPr>
            </w:r>
            <w:r w:rsidR="00BD6AD9">
              <w:rPr>
                <w:noProof/>
                <w:webHidden/>
              </w:rPr>
              <w:fldChar w:fldCharType="separate"/>
            </w:r>
            <w:r w:rsidR="000D1BBF">
              <w:rPr>
                <w:noProof/>
                <w:webHidden/>
              </w:rPr>
              <w:t>11</w:t>
            </w:r>
            <w:r w:rsidR="00BD6AD9">
              <w:rPr>
                <w:noProof/>
                <w:webHidden/>
              </w:rPr>
              <w:fldChar w:fldCharType="end"/>
            </w:r>
          </w:hyperlink>
        </w:p>
        <w:p w14:paraId="3B5B4911" w14:textId="2FA304B4" w:rsidR="00BD6AD9" w:rsidRDefault="00FA6499">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24431355" w:history="1">
            <w:r w:rsidR="00BD6AD9" w:rsidRPr="00395BB8">
              <w:rPr>
                <w:rStyle w:val="Hyperlink"/>
                <w:noProof/>
              </w:rPr>
              <w:t>4.1 Overview of Accenture in India</w:t>
            </w:r>
            <w:r w:rsidR="00BD6AD9">
              <w:rPr>
                <w:noProof/>
                <w:webHidden/>
              </w:rPr>
              <w:tab/>
            </w:r>
            <w:r w:rsidR="00BD6AD9">
              <w:rPr>
                <w:noProof/>
                <w:webHidden/>
              </w:rPr>
              <w:fldChar w:fldCharType="begin"/>
            </w:r>
            <w:r w:rsidR="00BD6AD9">
              <w:rPr>
                <w:noProof/>
                <w:webHidden/>
              </w:rPr>
              <w:instrText xml:space="preserve"> PAGEREF _Toc224431355 \h </w:instrText>
            </w:r>
            <w:r w:rsidR="00BD6AD9">
              <w:rPr>
                <w:noProof/>
                <w:webHidden/>
              </w:rPr>
            </w:r>
            <w:r w:rsidR="00BD6AD9">
              <w:rPr>
                <w:noProof/>
                <w:webHidden/>
              </w:rPr>
              <w:fldChar w:fldCharType="separate"/>
            </w:r>
            <w:r w:rsidR="000D1BBF">
              <w:rPr>
                <w:noProof/>
                <w:webHidden/>
              </w:rPr>
              <w:t>11</w:t>
            </w:r>
            <w:r w:rsidR="00BD6AD9">
              <w:rPr>
                <w:noProof/>
                <w:webHidden/>
              </w:rPr>
              <w:fldChar w:fldCharType="end"/>
            </w:r>
          </w:hyperlink>
        </w:p>
        <w:p w14:paraId="380EDB5B" w14:textId="1D982234" w:rsidR="00BD6AD9" w:rsidRDefault="00FA6499">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24431356" w:history="1">
            <w:r w:rsidR="00BD6AD9" w:rsidRPr="00395BB8">
              <w:rPr>
                <w:rStyle w:val="Hyperlink"/>
                <w:noProof/>
              </w:rPr>
              <w:t>4.2 Political Factors</w:t>
            </w:r>
            <w:r w:rsidR="00BD6AD9">
              <w:rPr>
                <w:noProof/>
                <w:webHidden/>
              </w:rPr>
              <w:tab/>
            </w:r>
            <w:r w:rsidR="00BD6AD9">
              <w:rPr>
                <w:noProof/>
                <w:webHidden/>
              </w:rPr>
              <w:fldChar w:fldCharType="begin"/>
            </w:r>
            <w:r w:rsidR="00BD6AD9">
              <w:rPr>
                <w:noProof/>
                <w:webHidden/>
              </w:rPr>
              <w:instrText xml:space="preserve"> PAGEREF _Toc224431356 \h </w:instrText>
            </w:r>
            <w:r w:rsidR="00BD6AD9">
              <w:rPr>
                <w:noProof/>
                <w:webHidden/>
              </w:rPr>
            </w:r>
            <w:r w:rsidR="00BD6AD9">
              <w:rPr>
                <w:noProof/>
                <w:webHidden/>
              </w:rPr>
              <w:fldChar w:fldCharType="separate"/>
            </w:r>
            <w:r w:rsidR="000D1BBF">
              <w:rPr>
                <w:noProof/>
                <w:webHidden/>
              </w:rPr>
              <w:t>11</w:t>
            </w:r>
            <w:r w:rsidR="00BD6AD9">
              <w:rPr>
                <w:noProof/>
                <w:webHidden/>
              </w:rPr>
              <w:fldChar w:fldCharType="end"/>
            </w:r>
          </w:hyperlink>
        </w:p>
        <w:p w14:paraId="2D020528" w14:textId="6BCF91A6" w:rsidR="00BD6AD9" w:rsidRDefault="00FA6499">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24431357" w:history="1">
            <w:r w:rsidR="00BD6AD9" w:rsidRPr="00395BB8">
              <w:rPr>
                <w:rStyle w:val="Hyperlink"/>
                <w:noProof/>
              </w:rPr>
              <w:t>4.3 Economic Factors</w:t>
            </w:r>
            <w:r w:rsidR="00BD6AD9">
              <w:rPr>
                <w:noProof/>
                <w:webHidden/>
              </w:rPr>
              <w:tab/>
            </w:r>
            <w:r w:rsidR="00BD6AD9">
              <w:rPr>
                <w:noProof/>
                <w:webHidden/>
              </w:rPr>
              <w:fldChar w:fldCharType="begin"/>
            </w:r>
            <w:r w:rsidR="00BD6AD9">
              <w:rPr>
                <w:noProof/>
                <w:webHidden/>
              </w:rPr>
              <w:instrText xml:space="preserve"> PAGEREF _Toc224431357 \h </w:instrText>
            </w:r>
            <w:r w:rsidR="00BD6AD9">
              <w:rPr>
                <w:noProof/>
                <w:webHidden/>
              </w:rPr>
            </w:r>
            <w:r w:rsidR="00BD6AD9">
              <w:rPr>
                <w:noProof/>
                <w:webHidden/>
              </w:rPr>
              <w:fldChar w:fldCharType="separate"/>
            </w:r>
            <w:r w:rsidR="000D1BBF">
              <w:rPr>
                <w:noProof/>
                <w:webHidden/>
              </w:rPr>
              <w:t>12</w:t>
            </w:r>
            <w:r w:rsidR="00BD6AD9">
              <w:rPr>
                <w:noProof/>
                <w:webHidden/>
              </w:rPr>
              <w:fldChar w:fldCharType="end"/>
            </w:r>
          </w:hyperlink>
        </w:p>
        <w:p w14:paraId="418C93DE" w14:textId="28179DC5" w:rsidR="00BD6AD9" w:rsidRDefault="00FA6499">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24431358" w:history="1">
            <w:r w:rsidR="00BD6AD9" w:rsidRPr="00395BB8">
              <w:rPr>
                <w:rStyle w:val="Hyperlink"/>
                <w:noProof/>
              </w:rPr>
              <w:t>4.4 Legal Factors</w:t>
            </w:r>
            <w:r w:rsidR="00BD6AD9">
              <w:rPr>
                <w:noProof/>
                <w:webHidden/>
              </w:rPr>
              <w:tab/>
            </w:r>
            <w:r w:rsidR="00BD6AD9">
              <w:rPr>
                <w:noProof/>
                <w:webHidden/>
              </w:rPr>
              <w:fldChar w:fldCharType="begin"/>
            </w:r>
            <w:r w:rsidR="00BD6AD9">
              <w:rPr>
                <w:noProof/>
                <w:webHidden/>
              </w:rPr>
              <w:instrText xml:space="preserve"> PAGEREF _Toc224431358 \h </w:instrText>
            </w:r>
            <w:r w:rsidR="00BD6AD9">
              <w:rPr>
                <w:noProof/>
                <w:webHidden/>
              </w:rPr>
            </w:r>
            <w:r w:rsidR="00BD6AD9">
              <w:rPr>
                <w:noProof/>
                <w:webHidden/>
              </w:rPr>
              <w:fldChar w:fldCharType="separate"/>
            </w:r>
            <w:r w:rsidR="000D1BBF">
              <w:rPr>
                <w:noProof/>
                <w:webHidden/>
              </w:rPr>
              <w:t>13</w:t>
            </w:r>
            <w:r w:rsidR="00BD6AD9">
              <w:rPr>
                <w:noProof/>
                <w:webHidden/>
              </w:rPr>
              <w:fldChar w:fldCharType="end"/>
            </w:r>
          </w:hyperlink>
        </w:p>
        <w:p w14:paraId="4911784D" w14:textId="4FAF53B8" w:rsidR="00BD6AD9" w:rsidRDefault="00FA6499">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24431359" w:history="1">
            <w:r w:rsidR="00BD6AD9" w:rsidRPr="00395BB8">
              <w:rPr>
                <w:rStyle w:val="Hyperlink"/>
                <w:noProof/>
              </w:rPr>
              <w:t>4.5 Cultural Factors</w:t>
            </w:r>
            <w:r w:rsidR="00BD6AD9">
              <w:rPr>
                <w:noProof/>
                <w:webHidden/>
              </w:rPr>
              <w:tab/>
            </w:r>
            <w:r w:rsidR="00BD6AD9">
              <w:rPr>
                <w:noProof/>
                <w:webHidden/>
              </w:rPr>
              <w:fldChar w:fldCharType="begin"/>
            </w:r>
            <w:r w:rsidR="00BD6AD9">
              <w:rPr>
                <w:noProof/>
                <w:webHidden/>
              </w:rPr>
              <w:instrText xml:space="preserve"> PAGEREF _Toc224431359 \h </w:instrText>
            </w:r>
            <w:r w:rsidR="00BD6AD9">
              <w:rPr>
                <w:noProof/>
                <w:webHidden/>
              </w:rPr>
            </w:r>
            <w:r w:rsidR="00BD6AD9">
              <w:rPr>
                <w:noProof/>
                <w:webHidden/>
              </w:rPr>
              <w:fldChar w:fldCharType="separate"/>
            </w:r>
            <w:r w:rsidR="000D1BBF">
              <w:rPr>
                <w:noProof/>
                <w:webHidden/>
              </w:rPr>
              <w:t>14</w:t>
            </w:r>
            <w:r w:rsidR="00BD6AD9">
              <w:rPr>
                <w:noProof/>
                <w:webHidden/>
              </w:rPr>
              <w:fldChar w:fldCharType="end"/>
            </w:r>
          </w:hyperlink>
        </w:p>
        <w:p w14:paraId="3E40F4D8" w14:textId="69DE2EF0" w:rsidR="00BD6AD9" w:rsidRDefault="00FA6499">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24431360" w:history="1">
            <w:r w:rsidR="00BD6AD9" w:rsidRPr="00395BB8">
              <w:rPr>
                <w:rStyle w:val="Hyperlink"/>
                <w:noProof/>
              </w:rPr>
              <w:t>4.6 Summary Assessment: India as a Strategic Location for Accenture</w:t>
            </w:r>
            <w:r w:rsidR="00BD6AD9">
              <w:rPr>
                <w:noProof/>
                <w:webHidden/>
              </w:rPr>
              <w:tab/>
            </w:r>
            <w:r w:rsidR="00BD6AD9">
              <w:rPr>
                <w:noProof/>
                <w:webHidden/>
              </w:rPr>
              <w:fldChar w:fldCharType="begin"/>
            </w:r>
            <w:r w:rsidR="00BD6AD9">
              <w:rPr>
                <w:noProof/>
                <w:webHidden/>
              </w:rPr>
              <w:instrText xml:space="preserve"> PAGEREF _Toc224431360 \h </w:instrText>
            </w:r>
            <w:r w:rsidR="00BD6AD9">
              <w:rPr>
                <w:noProof/>
                <w:webHidden/>
              </w:rPr>
            </w:r>
            <w:r w:rsidR="00BD6AD9">
              <w:rPr>
                <w:noProof/>
                <w:webHidden/>
              </w:rPr>
              <w:fldChar w:fldCharType="separate"/>
            </w:r>
            <w:r w:rsidR="000D1BBF">
              <w:rPr>
                <w:noProof/>
                <w:webHidden/>
              </w:rPr>
              <w:t>15</w:t>
            </w:r>
            <w:r w:rsidR="00BD6AD9">
              <w:rPr>
                <w:noProof/>
                <w:webHidden/>
              </w:rPr>
              <w:fldChar w:fldCharType="end"/>
            </w:r>
          </w:hyperlink>
        </w:p>
        <w:p w14:paraId="5CFDD843" w14:textId="38065D60" w:rsidR="00BD6AD9" w:rsidRDefault="00FA6499">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24431361" w:history="1">
            <w:r w:rsidR="00BD6AD9" w:rsidRPr="00395BB8">
              <w:rPr>
                <w:rStyle w:val="Hyperlink"/>
                <w:noProof/>
              </w:rPr>
              <w:t>5. Conclusion</w:t>
            </w:r>
            <w:r w:rsidR="00BD6AD9">
              <w:rPr>
                <w:noProof/>
                <w:webHidden/>
              </w:rPr>
              <w:tab/>
            </w:r>
            <w:r w:rsidR="00BD6AD9">
              <w:rPr>
                <w:noProof/>
                <w:webHidden/>
              </w:rPr>
              <w:fldChar w:fldCharType="begin"/>
            </w:r>
            <w:r w:rsidR="00BD6AD9">
              <w:rPr>
                <w:noProof/>
                <w:webHidden/>
              </w:rPr>
              <w:instrText xml:space="preserve"> PAGEREF _Toc224431361 \h </w:instrText>
            </w:r>
            <w:r w:rsidR="00BD6AD9">
              <w:rPr>
                <w:noProof/>
                <w:webHidden/>
              </w:rPr>
            </w:r>
            <w:r w:rsidR="00BD6AD9">
              <w:rPr>
                <w:noProof/>
                <w:webHidden/>
              </w:rPr>
              <w:fldChar w:fldCharType="separate"/>
            </w:r>
            <w:r w:rsidR="000D1BBF">
              <w:rPr>
                <w:noProof/>
                <w:webHidden/>
              </w:rPr>
              <w:t>16</w:t>
            </w:r>
            <w:r w:rsidR="00BD6AD9">
              <w:rPr>
                <w:noProof/>
                <w:webHidden/>
              </w:rPr>
              <w:fldChar w:fldCharType="end"/>
            </w:r>
          </w:hyperlink>
        </w:p>
        <w:p w14:paraId="115E5B5C" w14:textId="0F278B7A" w:rsidR="00BD6AD9" w:rsidRDefault="00FA6499">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24431362" w:history="1">
            <w:r w:rsidR="00BD6AD9" w:rsidRPr="00395BB8">
              <w:rPr>
                <w:rStyle w:val="Hyperlink"/>
                <w:noProof/>
              </w:rPr>
              <w:t>Section 2: Reflective Account – Gibbs' Reflective Cycle</w:t>
            </w:r>
            <w:r w:rsidR="00BD6AD9">
              <w:rPr>
                <w:noProof/>
                <w:webHidden/>
              </w:rPr>
              <w:tab/>
            </w:r>
            <w:r w:rsidR="00BD6AD9">
              <w:rPr>
                <w:noProof/>
                <w:webHidden/>
              </w:rPr>
              <w:fldChar w:fldCharType="begin"/>
            </w:r>
            <w:r w:rsidR="00BD6AD9">
              <w:rPr>
                <w:noProof/>
                <w:webHidden/>
              </w:rPr>
              <w:instrText xml:space="preserve"> PAGEREF _Toc224431362 \h </w:instrText>
            </w:r>
            <w:r w:rsidR="00BD6AD9">
              <w:rPr>
                <w:noProof/>
                <w:webHidden/>
              </w:rPr>
            </w:r>
            <w:r w:rsidR="00BD6AD9">
              <w:rPr>
                <w:noProof/>
                <w:webHidden/>
              </w:rPr>
              <w:fldChar w:fldCharType="separate"/>
            </w:r>
            <w:r w:rsidR="000D1BBF">
              <w:rPr>
                <w:noProof/>
                <w:webHidden/>
              </w:rPr>
              <w:t>18</w:t>
            </w:r>
            <w:r w:rsidR="00BD6AD9">
              <w:rPr>
                <w:noProof/>
                <w:webHidden/>
              </w:rPr>
              <w:fldChar w:fldCharType="end"/>
            </w:r>
          </w:hyperlink>
        </w:p>
        <w:p w14:paraId="6BE383CE" w14:textId="5E4DB3C4" w:rsidR="00BD6AD9" w:rsidRDefault="00FA6499">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24431363" w:history="1">
            <w:r w:rsidR="00BD6AD9" w:rsidRPr="00395BB8">
              <w:rPr>
                <w:rStyle w:val="Hyperlink"/>
                <w:noProof/>
              </w:rPr>
              <w:t>Stage 1: Description – What Happened?</w:t>
            </w:r>
            <w:r w:rsidR="00BD6AD9">
              <w:rPr>
                <w:noProof/>
                <w:webHidden/>
              </w:rPr>
              <w:tab/>
            </w:r>
            <w:r w:rsidR="00BD6AD9">
              <w:rPr>
                <w:noProof/>
                <w:webHidden/>
              </w:rPr>
              <w:fldChar w:fldCharType="begin"/>
            </w:r>
            <w:r w:rsidR="00BD6AD9">
              <w:rPr>
                <w:noProof/>
                <w:webHidden/>
              </w:rPr>
              <w:instrText xml:space="preserve"> PAGEREF _Toc224431363 \h </w:instrText>
            </w:r>
            <w:r w:rsidR="00BD6AD9">
              <w:rPr>
                <w:noProof/>
                <w:webHidden/>
              </w:rPr>
            </w:r>
            <w:r w:rsidR="00BD6AD9">
              <w:rPr>
                <w:noProof/>
                <w:webHidden/>
              </w:rPr>
              <w:fldChar w:fldCharType="separate"/>
            </w:r>
            <w:r w:rsidR="000D1BBF">
              <w:rPr>
                <w:noProof/>
                <w:webHidden/>
              </w:rPr>
              <w:t>18</w:t>
            </w:r>
            <w:r w:rsidR="00BD6AD9">
              <w:rPr>
                <w:noProof/>
                <w:webHidden/>
              </w:rPr>
              <w:fldChar w:fldCharType="end"/>
            </w:r>
          </w:hyperlink>
        </w:p>
        <w:p w14:paraId="12445632" w14:textId="374246C9" w:rsidR="00BD6AD9" w:rsidRDefault="00FA6499">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24431364" w:history="1">
            <w:r w:rsidR="00BD6AD9" w:rsidRPr="00395BB8">
              <w:rPr>
                <w:rStyle w:val="Hyperlink"/>
                <w:noProof/>
              </w:rPr>
              <w:t>Stage 2: Feelings – What Were You Thinking and Feeling?</w:t>
            </w:r>
            <w:r w:rsidR="00BD6AD9">
              <w:rPr>
                <w:noProof/>
                <w:webHidden/>
              </w:rPr>
              <w:tab/>
            </w:r>
            <w:r w:rsidR="00BD6AD9">
              <w:rPr>
                <w:noProof/>
                <w:webHidden/>
              </w:rPr>
              <w:fldChar w:fldCharType="begin"/>
            </w:r>
            <w:r w:rsidR="00BD6AD9">
              <w:rPr>
                <w:noProof/>
                <w:webHidden/>
              </w:rPr>
              <w:instrText xml:space="preserve"> PAGEREF _Toc224431364 \h </w:instrText>
            </w:r>
            <w:r w:rsidR="00BD6AD9">
              <w:rPr>
                <w:noProof/>
                <w:webHidden/>
              </w:rPr>
            </w:r>
            <w:r w:rsidR="00BD6AD9">
              <w:rPr>
                <w:noProof/>
                <w:webHidden/>
              </w:rPr>
              <w:fldChar w:fldCharType="separate"/>
            </w:r>
            <w:r w:rsidR="000D1BBF">
              <w:rPr>
                <w:noProof/>
                <w:webHidden/>
              </w:rPr>
              <w:t>18</w:t>
            </w:r>
            <w:r w:rsidR="00BD6AD9">
              <w:rPr>
                <w:noProof/>
                <w:webHidden/>
              </w:rPr>
              <w:fldChar w:fldCharType="end"/>
            </w:r>
          </w:hyperlink>
        </w:p>
        <w:p w14:paraId="62AB866B" w14:textId="61C48075" w:rsidR="00BD6AD9" w:rsidRDefault="00FA6499">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24431365" w:history="1">
            <w:r w:rsidR="00BD6AD9" w:rsidRPr="00395BB8">
              <w:rPr>
                <w:rStyle w:val="Hyperlink"/>
                <w:noProof/>
              </w:rPr>
              <w:t>Stage 3: Evaluation – What Was Good and Bad?</w:t>
            </w:r>
            <w:r w:rsidR="00BD6AD9">
              <w:rPr>
                <w:noProof/>
                <w:webHidden/>
              </w:rPr>
              <w:tab/>
            </w:r>
            <w:r w:rsidR="00BD6AD9">
              <w:rPr>
                <w:noProof/>
                <w:webHidden/>
              </w:rPr>
              <w:fldChar w:fldCharType="begin"/>
            </w:r>
            <w:r w:rsidR="00BD6AD9">
              <w:rPr>
                <w:noProof/>
                <w:webHidden/>
              </w:rPr>
              <w:instrText xml:space="preserve"> PAGEREF _Toc224431365 \h </w:instrText>
            </w:r>
            <w:r w:rsidR="00BD6AD9">
              <w:rPr>
                <w:noProof/>
                <w:webHidden/>
              </w:rPr>
            </w:r>
            <w:r w:rsidR="00BD6AD9">
              <w:rPr>
                <w:noProof/>
                <w:webHidden/>
              </w:rPr>
              <w:fldChar w:fldCharType="separate"/>
            </w:r>
            <w:r w:rsidR="000D1BBF">
              <w:rPr>
                <w:noProof/>
                <w:webHidden/>
              </w:rPr>
              <w:t>19</w:t>
            </w:r>
            <w:r w:rsidR="00BD6AD9">
              <w:rPr>
                <w:noProof/>
                <w:webHidden/>
              </w:rPr>
              <w:fldChar w:fldCharType="end"/>
            </w:r>
          </w:hyperlink>
        </w:p>
        <w:p w14:paraId="695090EF" w14:textId="52D61DD2" w:rsidR="00BD6AD9" w:rsidRDefault="00FA6499">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24431366" w:history="1">
            <w:r w:rsidR="00BD6AD9" w:rsidRPr="00395BB8">
              <w:rPr>
                <w:rStyle w:val="Hyperlink"/>
                <w:noProof/>
              </w:rPr>
              <w:t>Stage 4: Analysis – Why Did Things Happen as They Did?</w:t>
            </w:r>
            <w:r w:rsidR="00BD6AD9">
              <w:rPr>
                <w:noProof/>
                <w:webHidden/>
              </w:rPr>
              <w:tab/>
            </w:r>
            <w:r w:rsidR="00BD6AD9">
              <w:rPr>
                <w:noProof/>
                <w:webHidden/>
              </w:rPr>
              <w:fldChar w:fldCharType="begin"/>
            </w:r>
            <w:r w:rsidR="00BD6AD9">
              <w:rPr>
                <w:noProof/>
                <w:webHidden/>
              </w:rPr>
              <w:instrText xml:space="preserve"> PAGEREF _Toc224431366 \h </w:instrText>
            </w:r>
            <w:r w:rsidR="00BD6AD9">
              <w:rPr>
                <w:noProof/>
                <w:webHidden/>
              </w:rPr>
            </w:r>
            <w:r w:rsidR="00BD6AD9">
              <w:rPr>
                <w:noProof/>
                <w:webHidden/>
              </w:rPr>
              <w:fldChar w:fldCharType="separate"/>
            </w:r>
            <w:r w:rsidR="000D1BBF">
              <w:rPr>
                <w:noProof/>
                <w:webHidden/>
              </w:rPr>
              <w:t>19</w:t>
            </w:r>
            <w:r w:rsidR="00BD6AD9">
              <w:rPr>
                <w:noProof/>
                <w:webHidden/>
              </w:rPr>
              <w:fldChar w:fldCharType="end"/>
            </w:r>
          </w:hyperlink>
        </w:p>
        <w:p w14:paraId="52D50766" w14:textId="528C283E" w:rsidR="00BD6AD9" w:rsidRDefault="00FA6499">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24431367" w:history="1">
            <w:r w:rsidR="00BD6AD9" w:rsidRPr="00395BB8">
              <w:rPr>
                <w:rStyle w:val="Hyperlink"/>
                <w:noProof/>
              </w:rPr>
              <w:t>Stage 5: Conclusion – What Else Could Have Been Done?</w:t>
            </w:r>
            <w:r w:rsidR="00BD6AD9">
              <w:rPr>
                <w:noProof/>
                <w:webHidden/>
              </w:rPr>
              <w:tab/>
            </w:r>
            <w:r w:rsidR="00BD6AD9">
              <w:rPr>
                <w:noProof/>
                <w:webHidden/>
              </w:rPr>
              <w:fldChar w:fldCharType="begin"/>
            </w:r>
            <w:r w:rsidR="00BD6AD9">
              <w:rPr>
                <w:noProof/>
                <w:webHidden/>
              </w:rPr>
              <w:instrText xml:space="preserve"> PAGEREF _Toc224431367 \h </w:instrText>
            </w:r>
            <w:r w:rsidR="00BD6AD9">
              <w:rPr>
                <w:noProof/>
                <w:webHidden/>
              </w:rPr>
            </w:r>
            <w:r w:rsidR="00BD6AD9">
              <w:rPr>
                <w:noProof/>
                <w:webHidden/>
              </w:rPr>
              <w:fldChar w:fldCharType="separate"/>
            </w:r>
            <w:r w:rsidR="000D1BBF">
              <w:rPr>
                <w:noProof/>
                <w:webHidden/>
              </w:rPr>
              <w:t>20</w:t>
            </w:r>
            <w:r w:rsidR="00BD6AD9">
              <w:rPr>
                <w:noProof/>
                <w:webHidden/>
              </w:rPr>
              <w:fldChar w:fldCharType="end"/>
            </w:r>
          </w:hyperlink>
        </w:p>
        <w:p w14:paraId="5189C772" w14:textId="5BACCD7E" w:rsidR="00BD6AD9" w:rsidRDefault="00FA6499">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24431368" w:history="1">
            <w:r w:rsidR="00BD6AD9" w:rsidRPr="00395BB8">
              <w:rPr>
                <w:rStyle w:val="Hyperlink"/>
                <w:noProof/>
              </w:rPr>
              <w:t>Stage 6: Action Plan – If It Arose Again, What Would I Do?</w:t>
            </w:r>
            <w:r w:rsidR="00BD6AD9">
              <w:rPr>
                <w:noProof/>
                <w:webHidden/>
              </w:rPr>
              <w:tab/>
            </w:r>
            <w:r w:rsidR="00BD6AD9">
              <w:rPr>
                <w:noProof/>
                <w:webHidden/>
              </w:rPr>
              <w:fldChar w:fldCharType="begin"/>
            </w:r>
            <w:r w:rsidR="00BD6AD9">
              <w:rPr>
                <w:noProof/>
                <w:webHidden/>
              </w:rPr>
              <w:instrText xml:space="preserve"> PAGEREF _Toc224431368 \h </w:instrText>
            </w:r>
            <w:r w:rsidR="00BD6AD9">
              <w:rPr>
                <w:noProof/>
                <w:webHidden/>
              </w:rPr>
            </w:r>
            <w:r w:rsidR="00BD6AD9">
              <w:rPr>
                <w:noProof/>
                <w:webHidden/>
              </w:rPr>
              <w:fldChar w:fldCharType="separate"/>
            </w:r>
            <w:r w:rsidR="000D1BBF">
              <w:rPr>
                <w:noProof/>
                <w:webHidden/>
              </w:rPr>
              <w:t>20</w:t>
            </w:r>
            <w:r w:rsidR="00BD6AD9">
              <w:rPr>
                <w:noProof/>
                <w:webHidden/>
              </w:rPr>
              <w:fldChar w:fldCharType="end"/>
            </w:r>
          </w:hyperlink>
        </w:p>
        <w:p w14:paraId="2DB52FC4" w14:textId="2E396846" w:rsidR="00BD6AD9" w:rsidRDefault="00FA6499">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24431369" w:history="1">
            <w:r w:rsidR="00BD6AD9" w:rsidRPr="00395BB8">
              <w:rPr>
                <w:rStyle w:val="Hyperlink"/>
                <w:noProof/>
              </w:rPr>
              <w:t>References</w:t>
            </w:r>
            <w:r w:rsidR="00BD6AD9">
              <w:rPr>
                <w:noProof/>
                <w:webHidden/>
              </w:rPr>
              <w:tab/>
            </w:r>
            <w:r w:rsidR="00BD6AD9">
              <w:rPr>
                <w:noProof/>
                <w:webHidden/>
              </w:rPr>
              <w:fldChar w:fldCharType="begin"/>
            </w:r>
            <w:r w:rsidR="00BD6AD9">
              <w:rPr>
                <w:noProof/>
                <w:webHidden/>
              </w:rPr>
              <w:instrText xml:space="preserve"> PAGEREF _Toc224431369 \h </w:instrText>
            </w:r>
            <w:r w:rsidR="00BD6AD9">
              <w:rPr>
                <w:noProof/>
                <w:webHidden/>
              </w:rPr>
            </w:r>
            <w:r w:rsidR="00BD6AD9">
              <w:rPr>
                <w:noProof/>
                <w:webHidden/>
              </w:rPr>
              <w:fldChar w:fldCharType="separate"/>
            </w:r>
            <w:r w:rsidR="000D1BBF">
              <w:rPr>
                <w:noProof/>
                <w:webHidden/>
              </w:rPr>
              <w:t>21</w:t>
            </w:r>
            <w:r w:rsidR="00BD6AD9">
              <w:rPr>
                <w:noProof/>
                <w:webHidden/>
              </w:rPr>
              <w:fldChar w:fldCharType="end"/>
            </w:r>
          </w:hyperlink>
        </w:p>
        <w:p w14:paraId="02E3D979" w14:textId="1AF63365" w:rsidR="005D2A1C" w:rsidRDefault="00606E18">
          <w:pPr>
            <w:rPr>
              <w:b/>
              <w:bCs/>
              <w:noProof/>
            </w:rPr>
          </w:pPr>
          <w:r>
            <w:rPr>
              <w:b/>
              <w:bCs/>
              <w:noProof/>
            </w:rPr>
            <w:fldChar w:fldCharType="end"/>
          </w:r>
        </w:p>
      </w:sdtContent>
    </w:sdt>
    <w:p w14:paraId="1AB16A0A" w14:textId="090AEAF1" w:rsidR="002B5264" w:rsidRPr="005D2A1C" w:rsidRDefault="002B5264">
      <w:r>
        <w:br w:type="page"/>
      </w:r>
    </w:p>
    <w:p w14:paraId="488DC6F6" w14:textId="20E20A4A" w:rsidR="00FE2656" w:rsidRPr="004B418D" w:rsidRDefault="007C698C" w:rsidP="004B418D">
      <w:pPr>
        <w:pStyle w:val="Heading1"/>
      </w:pPr>
      <w:bookmarkStart w:id="0" w:name="_Toc224431342"/>
      <w:r>
        <w:lastRenderedPageBreak/>
        <w:t>Section 1: International Industry Report – India's Information Technology Sector</w:t>
      </w:r>
      <w:bookmarkEnd w:id="0"/>
    </w:p>
    <w:p w14:paraId="0216B59F" w14:textId="77777777" w:rsidR="00FE2656" w:rsidRPr="004B418D" w:rsidRDefault="007C698C" w:rsidP="004B418D">
      <w:pPr>
        <w:pStyle w:val="Heading2"/>
      </w:pPr>
      <w:bookmarkStart w:id="1" w:name="_Toc224431343"/>
      <w:r>
        <w:t>1. Introduction</w:t>
      </w:r>
      <w:bookmarkEnd w:id="1"/>
    </w:p>
    <w:p w14:paraId="039402AD" w14:textId="77777777" w:rsidR="00834840" w:rsidRPr="00834840" w:rsidRDefault="00834840" w:rsidP="004B418D">
      <w:r>
        <w:t>One of the most dynamic and strategically significant sectors of modern economy has turned into the international information technology (IT) market. India has a special and predominant feature in this landscape, and it has developed during the past three decades, transforming itself as a developing economy into the major global producer of IT services and software exports. This report evaluates the IT industry in India with the view to generating an analytically sound research on how India compares internationally in terms of competitiveness, structural make-up and the strategic value of the industry to the multinational corporations.</w:t>
      </w:r>
    </w:p>
    <w:p w14:paraId="2949DB0D" w14:textId="6290C928" w:rsidR="00834840" w:rsidRDefault="00834840" w:rsidP="008A1D11">
      <w:pPr>
        <w:rPr>
          <w:b/>
          <w:bCs/>
        </w:rPr>
      </w:pPr>
      <w:r>
        <w:t>The report has four objectives of analysis. First, it gives a comparative account of the Indian IT industry, making it a part of the national economy and the international competitive environment. Second it uses the Diamond Model of National Advantage (Porter) suggested by Porter (1990) to critically assess the sources and sustainability of the long-term global competitiveness of India in global IT. Third, it performs a PESTLE analysis of Accenture plc - a US and Irish multi-national with its single largest place of operation (geography) in India to evaluate the political, economic, legal and cultural conditions that define its operations in India. Lastly, the report concludes on the way the industry is heading and its strategic implications.</w:t>
      </w:r>
    </w:p>
    <w:p w14:paraId="0AA7910C" w14:textId="47267456" w:rsidR="00FE2656" w:rsidRDefault="007C698C" w:rsidP="00834840">
      <w:pPr>
        <w:pStyle w:val="Heading2"/>
      </w:pPr>
      <w:bookmarkStart w:id="2" w:name="_Toc224431344"/>
      <w:r>
        <w:t>2. Industry and Country Overview</w:t>
      </w:r>
      <w:bookmarkEnd w:id="2"/>
    </w:p>
    <w:p w14:paraId="59743813" w14:textId="77777777" w:rsidR="00FE2656" w:rsidRPr="008A1D11" w:rsidRDefault="007C698C" w:rsidP="004B418D">
      <w:pPr>
        <w:pStyle w:val="Heading3"/>
      </w:pPr>
      <w:bookmarkStart w:id="3" w:name="_Toc224431345"/>
      <w:r>
        <w:t>2.1 Introduction to the Indian IT Industry</w:t>
      </w:r>
      <w:bookmarkEnd w:id="3"/>
    </w:p>
    <w:p w14:paraId="3628D4D0" w14:textId="2856ADF7" w:rsidR="00834840" w:rsidRPr="00834840" w:rsidRDefault="00834840" w:rsidP="004B418D">
      <w:r>
        <w:t xml:space="preserve">India’s IT and IT-enabled services (ITES) business has been a source of modernization of the national economy. Established on the liberalization policies of the early 1990s under the governments of Prime Minister </w:t>
      </w:r>
      <w:proofErr w:type="spellStart"/>
      <w:r>
        <w:t>Narasimha</w:t>
      </w:r>
      <w:proofErr w:type="spellEnd"/>
      <w:r>
        <w:t xml:space="preserve"> Rao and Finance Minister Manmohan Singh, which were favourable to deregulation, accessibility to foreign investment, and infrastructure development through the creation of Software Technology Parks of India (STPI) in 1991, the sector has since evolved to be one of the most globally important IT industrial hubs (</w:t>
      </w:r>
      <w:proofErr w:type="spellStart"/>
      <w:r>
        <w:t>Nasscom</w:t>
      </w:r>
      <w:proofErr w:type="spellEnd"/>
      <w:r>
        <w:t>, 2024). India is currently a globally recognised cost effective and high quality software development, IT outsourcing, business process management (BPM), and digital transformation service provider</w:t>
      </w:r>
      <w:r w:rsidR="00573C6C">
        <w:t xml:space="preserve"> (Rao, 2015)</w:t>
      </w:r>
      <w:r>
        <w:t>.</w:t>
      </w:r>
    </w:p>
    <w:p w14:paraId="358639C2" w14:textId="77777777" w:rsidR="00834840" w:rsidRDefault="00834840" w:rsidP="004B418D">
      <w:pPr>
        <w:rPr>
          <w:b/>
          <w:bCs/>
        </w:rPr>
      </w:pPr>
      <w:r>
        <w:lastRenderedPageBreak/>
        <w:t>The geographical concentration of the industry is around large urban centres such as Bengaluru (popularly referred to as the Silicon Valley of India), Hyderabad, Pune, Chennai, and Mumbai. The headquarters of the largest IT companies in India are also located in these cities, as well as the Indian part of most major world technological companies (IBEF, 2024).</w:t>
      </w:r>
    </w:p>
    <w:p w14:paraId="43924A32" w14:textId="58CC6D34" w:rsidR="00FE2656" w:rsidRDefault="007C698C" w:rsidP="00834840">
      <w:pPr>
        <w:pStyle w:val="Heading3"/>
      </w:pPr>
      <w:bookmarkStart w:id="4" w:name="_Toc224431346"/>
      <w:r>
        <w:t>2.2 Size, Scope, and Economic Importance</w:t>
      </w:r>
      <w:bookmarkEnd w:id="4"/>
    </w:p>
    <w:p w14:paraId="7C710202" w14:textId="5F1D1278" w:rsidR="00834840" w:rsidRPr="004B418D" w:rsidRDefault="00834840" w:rsidP="008B1373">
      <w:r>
        <w:t>The Indian IT-BPM industry is o</w:t>
      </w:r>
      <w:r w:rsidR="005765B8">
        <w:t xml:space="preserve">ne of the biggest in the globe. </w:t>
      </w:r>
      <w:proofErr w:type="spellStart"/>
      <w:r>
        <w:t>Nasscom</w:t>
      </w:r>
      <w:proofErr w:type="spellEnd"/>
      <w:r>
        <w:t xml:space="preserve"> (2024) estimates that the industry had a revenue of about USD 254 billion in FY2024, which is a growth of about 3.8 percent per year. </w:t>
      </w:r>
      <w:r w:rsidR="008B1373" w:rsidRPr="008B1373">
        <w:t>India is largely reliant on its IT-BPM sector, which earns the country more than 7.5 percent of the GDP and about 51 percent of total services exports (Ministry of Electronics and Information Tech</w:t>
      </w:r>
      <w:r w:rsidR="005765B8">
        <w:t xml:space="preserve">nology, 2024). India controls around </w:t>
      </w:r>
      <w:r w:rsidR="008B1373" w:rsidRPr="008B1373">
        <w:t xml:space="preserve">55 percent </w:t>
      </w:r>
      <w:r w:rsidR="005765B8">
        <w:t>share</w:t>
      </w:r>
      <w:r w:rsidR="008B1373" w:rsidRPr="008B1373">
        <w:t xml:space="preserve"> in the global IT outsourcing market which is defined as third-party offshore outsourcing IT services and BPM (IBEF, 2024) though this is in the market of offshore outsourcing and not the overall global IT services market. </w:t>
      </w:r>
      <w:r w:rsidRPr="008B1373">
        <w:t xml:space="preserve"> </w:t>
      </w:r>
      <w:r>
        <w:t>Directly, the industry provides 5.4 million individuals with employment and 13 million more with jobs in other related fields (</w:t>
      </w:r>
      <w:proofErr w:type="spellStart"/>
      <w:r>
        <w:t>Nasscom</w:t>
      </w:r>
      <w:proofErr w:type="spellEnd"/>
      <w:r>
        <w:t>, 2024). It has over 200 countries in its export relations and is integrated into the global networks of the financial service, health care, retail, manufacturing and government sector institutions.</w:t>
      </w:r>
    </w:p>
    <w:p w14:paraId="3DEFE050" w14:textId="5E9104C6" w:rsidR="00FE2656" w:rsidRDefault="007C698C" w:rsidP="00834840">
      <w:pPr>
        <w:pStyle w:val="Heading3"/>
      </w:pPr>
      <w:bookmarkStart w:id="5" w:name="_Toc224431347"/>
      <w:r>
        <w:t>2.3 Competitive Positioning of Key Firms</w:t>
      </w:r>
      <w:bookmarkEnd w:id="5"/>
    </w:p>
    <w:p w14:paraId="5D1B875C" w14:textId="6781FC9D" w:rsidR="004B418D" w:rsidRDefault="00834840" w:rsidP="00834840">
      <w:r>
        <w:t>TCS, Infosys, Wipro, HCLTech and Tech Mahindra are considered the largest Indian IT companies that jointly occupy about 40 percent of the industry revenues (</w:t>
      </w:r>
      <w:proofErr w:type="spellStart"/>
      <w:r>
        <w:t>Nasscom</w:t>
      </w:r>
      <w:proofErr w:type="spellEnd"/>
      <w:r>
        <w:t>, 2024). Nevertheless, their strategic location varies significantly on the main competitive variables, and it implies that they will have a long-term international advantage.</w:t>
      </w:r>
    </w:p>
    <w:p w14:paraId="0DF07582" w14:textId="510563AD" w:rsidR="004B418D" w:rsidRDefault="00834840" w:rsidP="00834840">
      <w:r>
        <w:t xml:space="preserve">TCS has a strong operating margin within the industry (around 24-25 percent EBIT) achieved by its scale, vertical mix and leading position on the largest multi-year outsourcing contracts with Fortune 500 companies, bringing in USD 29.1 billion in FY2024 (revenue) and </w:t>
      </w:r>
      <w:r w:rsidR="005765B8">
        <w:t>successful</w:t>
      </w:r>
      <w:r>
        <w:t xml:space="preserve">. Its breadth first model offers revenue stability but restricts its capacity to charge high premium in high value consulting engagements. Infosys, in its turn, has strategically shifted towards a technology partner and not a services company, with its proprietary platforms (Cobalt cloud, </w:t>
      </w:r>
      <w:proofErr w:type="spellStart"/>
      <w:r>
        <w:t>Finacle</w:t>
      </w:r>
      <w:proofErr w:type="spellEnd"/>
      <w:r>
        <w:t xml:space="preserve"> banking, Topaz AI) becoming a source of recurring licence payments and more high-margin consulting </w:t>
      </w:r>
      <w:r>
        <w:lastRenderedPageBreak/>
        <w:t>engagements. This IP orientation enables a differentiated positioning although it brings in increased reliance on a continued R&amp;D investment and platform commercialisation success.</w:t>
      </w:r>
    </w:p>
    <w:p w14:paraId="42E32C50" w14:textId="55B0BF0D" w:rsidR="00BD7F9D" w:rsidRDefault="00834840" w:rsidP="00834840">
      <w:r>
        <w:t xml:space="preserve">Both Wipro and HCLTech also follow the hybrid model of combining the existing outsourcing capacity with the incremental growth in their engineering services and IP-based offerings, but the margin profile of Wipro (16-17 percent EBIT) is </w:t>
      </w:r>
      <w:r w:rsidR="005765B8">
        <w:t>low</w:t>
      </w:r>
      <w:r>
        <w:t xml:space="preserve"> compared to both TCS and HCLTech, indicating the continued implementation difficulties in its post-acquisition integration strategy. Tech Mahindra has a more </w:t>
      </w:r>
      <w:r w:rsidR="005765B8">
        <w:t>secure</w:t>
      </w:r>
      <w:r>
        <w:t xml:space="preserve"> but less strategic niche in telecom and media, where vertical depth creates client stickiness, but its lowest EBIT margin of the Big Five (around 9-10 percent in FY2024) is a sign of exposure to changes in demand in its highly concentrated vertical exposure. The strategic implication is obvious: companies with greater platform and IP orientation (Infosys, HCLTech) have more room to expand margins and less dependence on labour arbitrage.</w:t>
      </w:r>
    </w:p>
    <w:p w14:paraId="37289A89" w14:textId="79B621A7" w:rsidR="00606E18" w:rsidRPr="005D2A1C" w:rsidRDefault="00606E18" w:rsidP="00606E18">
      <w:pPr>
        <w:pStyle w:val="Caption"/>
        <w:keepNext/>
        <w:rPr>
          <w:sz w:val="22"/>
        </w:rPr>
      </w:pPr>
      <w:r>
        <w:rPr>
          <w:sz w:val="22"/>
        </w:rPr>
        <w:t xml:space="preserve">Table </w:t>
      </w:r>
      <w:r>
        <w:rPr>
          <w:sz w:val="22"/>
        </w:rPr>
        <w:fldChar w:fldCharType="begin"/>
      </w:r>
      <w:r>
        <w:rPr>
          <w:sz w:val="22"/>
        </w:rPr>
        <w:instrText xml:space="preserve"> SEQ Table \* ARABIC </w:instrText>
      </w:r>
      <w:r>
        <w:rPr>
          <w:sz w:val="22"/>
        </w:rPr>
        <w:fldChar w:fldCharType="separate"/>
      </w:r>
      <w:r>
        <w:rPr>
          <w:noProof/>
          <w:sz w:val="22"/>
        </w:rPr>
        <w:t>1</w:t>
      </w:r>
      <w:r>
        <w:rPr>
          <w:sz w:val="22"/>
        </w:rPr>
        <w:fldChar w:fldCharType="end"/>
      </w:r>
      <w:r>
        <w:rPr>
          <w:sz w:val="22"/>
        </w:rPr>
        <w:t xml:space="preserve"> Comparative Overview of Major Indian IT Firms (FY2024)</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15"/>
        <w:gridCol w:w="1489"/>
        <w:gridCol w:w="1841"/>
        <w:gridCol w:w="1500"/>
        <w:gridCol w:w="1492"/>
        <w:gridCol w:w="1523"/>
      </w:tblGrid>
      <w:tr w:rsidR="00FE2656" w14:paraId="5DB1435E" w14:textId="77777777" w:rsidTr="000D1BBF">
        <w:trPr>
          <w:tblHeader/>
          <w:jc w:val="center"/>
        </w:trPr>
        <w:tc>
          <w:tcPr>
            <w:tcW w:w="1560" w:type="dxa"/>
            <w:tcBorders>
              <w:top w:val="single" w:sz="1" w:space="0" w:color="CCCCCC"/>
              <w:left w:val="single" w:sz="1" w:space="0" w:color="CCCCCC"/>
              <w:bottom w:val="single" w:sz="1" w:space="0" w:color="CCCCCC"/>
              <w:right w:val="single" w:sz="1" w:space="0" w:color="CCCCCC"/>
            </w:tcBorders>
            <w:shd w:val="clear" w:color="auto" w:fill="2E4A7A"/>
            <w:tcMar>
              <w:top w:w="80" w:type="dxa"/>
              <w:left w:w="120" w:type="dxa"/>
              <w:bottom w:w="80" w:type="dxa"/>
              <w:right w:w="120" w:type="dxa"/>
            </w:tcMar>
          </w:tcPr>
          <w:p w14:paraId="246AF5DF" w14:textId="77777777" w:rsidR="00FE2656" w:rsidRDefault="007C698C">
            <w:r>
              <w:rPr>
                <w:b/>
                <w:bCs/>
                <w:color w:val="FFFFFF"/>
                <w:sz w:val="20"/>
                <w:szCs w:val="20"/>
              </w:rPr>
              <w:t>Firm</w:t>
            </w:r>
          </w:p>
        </w:tc>
        <w:tc>
          <w:tcPr>
            <w:tcW w:w="1560" w:type="dxa"/>
            <w:tcBorders>
              <w:top w:val="single" w:sz="1" w:space="0" w:color="CCCCCC"/>
              <w:left w:val="single" w:sz="1" w:space="0" w:color="CCCCCC"/>
              <w:bottom w:val="single" w:sz="1" w:space="0" w:color="CCCCCC"/>
              <w:right w:val="single" w:sz="1" w:space="0" w:color="CCCCCC"/>
            </w:tcBorders>
            <w:shd w:val="clear" w:color="auto" w:fill="2E4A7A"/>
            <w:tcMar>
              <w:top w:w="80" w:type="dxa"/>
              <w:left w:w="120" w:type="dxa"/>
              <w:bottom w:w="80" w:type="dxa"/>
              <w:right w:w="120" w:type="dxa"/>
            </w:tcMar>
          </w:tcPr>
          <w:p w14:paraId="36674135" w14:textId="77777777" w:rsidR="00FE2656" w:rsidRDefault="007C698C">
            <w:r>
              <w:rPr>
                <w:b/>
                <w:bCs/>
                <w:color w:val="FFFFFF"/>
                <w:sz w:val="20"/>
                <w:szCs w:val="20"/>
              </w:rPr>
              <w:t xml:space="preserve">FY2024 Revenue (USD </w:t>
            </w:r>
            <w:proofErr w:type="spellStart"/>
            <w:r>
              <w:rPr>
                <w:b/>
                <w:bCs/>
                <w:color w:val="FFFFFF"/>
                <w:sz w:val="20"/>
                <w:szCs w:val="20"/>
              </w:rPr>
              <w:t>bn</w:t>
            </w:r>
            <w:proofErr w:type="spellEnd"/>
            <w:r>
              <w:rPr>
                <w:b/>
                <w:bCs/>
                <w:color w:val="FFFFFF"/>
                <w:sz w:val="20"/>
                <w:szCs w:val="20"/>
              </w:rPr>
              <w:t>)</w:t>
            </w:r>
          </w:p>
        </w:tc>
        <w:tc>
          <w:tcPr>
            <w:tcW w:w="1560" w:type="dxa"/>
            <w:tcBorders>
              <w:top w:val="single" w:sz="1" w:space="0" w:color="CCCCCC"/>
              <w:left w:val="single" w:sz="1" w:space="0" w:color="CCCCCC"/>
              <w:bottom w:val="single" w:sz="1" w:space="0" w:color="CCCCCC"/>
              <w:right w:val="single" w:sz="1" w:space="0" w:color="CCCCCC"/>
            </w:tcBorders>
            <w:shd w:val="clear" w:color="auto" w:fill="2E4A7A"/>
            <w:tcMar>
              <w:top w:w="80" w:type="dxa"/>
              <w:left w:w="120" w:type="dxa"/>
              <w:bottom w:w="80" w:type="dxa"/>
              <w:right w:w="120" w:type="dxa"/>
            </w:tcMar>
          </w:tcPr>
          <w:p w14:paraId="323D55E3" w14:textId="77777777" w:rsidR="00FE2656" w:rsidRDefault="007C698C">
            <w:r>
              <w:rPr>
                <w:b/>
                <w:bCs/>
                <w:color w:val="FFFFFF"/>
                <w:sz w:val="20"/>
                <w:szCs w:val="20"/>
              </w:rPr>
              <w:t>Vertical Specialisation</w:t>
            </w:r>
          </w:p>
        </w:tc>
        <w:tc>
          <w:tcPr>
            <w:tcW w:w="1560" w:type="dxa"/>
            <w:tcBorders>
              <w:top w:val="single" w:sz="1" w:space="0" w:color="CCCCCC"/>
              <w:left w:val="single" w:sz="1" w:space="0" w:color="CCCCCC"/>
              <w:bottom w:val="single" w:sz="1" w:space="0" w:color="CCCCCC"/>
              <w:right w:val="single" w:sz="1" w:space="0" w:color="CCCCCC"/>
            </w:tcBorders>
            <w:shd w:val="clear" w:color="auto" w:fill="2E4A7A"/>
            <w:tcMar>
              <w:top w:w="80" w:type="dxa"/>
              <w:left w:w="120" w:type="dxa"/>
              <w:bottom w:w="80" w:type="dxa"/>
              <w:right w:w="120" w:type="dxa"/>
            </w:tcMar>
          </w:tcPr>
          <w:p w14:paraId="7614B1D0" w14:textId="77777777" w:rsidR="00FE2656" w:rsidRDefault="007C698C">
            <w:r>
              <w:rPr>
                <w:b/>
                <w:bCs/>
                <w:color w:val="FFFFFF"/>
                <w:sz w:val="20"/>
                <w:szCs w:val="20"/>
              </w:rPr>
              <w:t>US Revenue Exposure</w:t>
            </w:r>
          </w:p>
        </w:tc>
        <w:tc>
          <w:tcPr>
            <w:tcW w:w="1560" w:type="dxa"/>
            <w:tcBorders>
              <w:top w:val="single" w:sz="1" w:space="0" w:color="CCCCCC"/>
              <w:left w:val="single" w:sz="1" w:space="0" w:color="CCCCCC"/>
              <w:bottom w:val="single" w:sz="1" w:space="0" w:color="CCCCCC"/>
              <w:right w:val="single" w:sz="1" w:space="0" w:color="CCCCCC"/>
            </w:tcBorders>
            <w:shd w:val="clear" w:color="auto" w:fill="2E4A7A"/>
            <w:tcMar>
              <w:top w:w="80" w:type="dxa"/>
              <w:left w:w="120" w:type="dxa"/>
              <w:bottom w:w="80" w:type="dxa"/>
              <w:right w:w="120" w:type="dxa"/>
            </w:tcMar>
          </w:tcPr>
          <w:p w14:paraId="12F67C4A" w14:textId="77777777" w:rsidR="00FE2656" w:rsidRDefault="007C698C">
            <w:r>
              <w:rPr>
                <w:b/>
                <w:bCs/>
                <w:color w:val="FFFFFF"/>
                <w:sz w:val="20"/>
                <w:szCs w:val="20"/>
              </w:rPr>
              <w:t>EBIT Margin (approx.)</w:t>
            </w:r>
          </w:p>
        </w:tc>
        <w:tc>
          <w:tcPr>
            <w:tcW w:w="1560" w:type="dxa"/>
            <w:tcBorders>
              <w:top w:val="single" w:sz="1" w:space="0" w:color="CCCCCC"/>
              <w:left w:val="single" w:sz="1" w:space="0" w:color="CCCCCC"/>
              <w:bottom w:val="single" w:sz="1" w:space="0" w:color="CCCCCC"/>
              <w:right w:val="single" w:sz="1" w:space="0" w:color="CCCCCC"/>
            </w:tcBorders>
            <w:shd w:val="clear" w:color="auto" w:fill="2E4A7A"/>
            <w:tcMar>
              <w:top w:w="80" w:type="dxa"/>
              <w:left w:w="120" w:type="dxa"/>
              <w:bottom w:w="80" w:type="dxa"/>
              <w:right w:w="120" w:type="dxa"/>
            </w:tcMar>
          </w:tcPr>
          <w:p w14:paraId="150AE2F3" w14:textId="77777777" w:rsidR="00FE2656" w:rsidRDefault="007C698C">
            <w:r>
              <w:rPr>
                <w:b/>
                <w:bCs/>
                <w:color w:val="FFFFFF"/>
                <w:sz w:val="20"/>
                <w:szCs w:val="20"/>
              </w:rPr>
              <w:t>Platform / IP Orientation</w:t>
            </w:r>
          </w:p>
        </w:tc>
      </w:tr>
      <w:tr w:rsidR="00FE2656" w14:paraId="75AC0251" w14:textId="77777777" w:rsidTr="000D1BBF">
        <w:trPr>
          <w:jc w:val="center"/>
        </w:trPr>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47244BD" w14:textId="77777777" w:rsidR="00FE2656" w:rsidRPr="005D2A1C" w:rsidRDefault="007C698C">
            <w:r>
              <w:rPr>
                <w:szCs w:val="20"/>
              </w:rPr>
              <w:t>TCS</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EC3ED76" w14:textId="77777777" w:rsidR="00FE2656" w:rsidRPr="005D2A1C" w:rsidRDefault="007C698C">
            <w:r>
              <w:rPr>
                <w:szCs w:val="20"/>
              </w:rPr>
              <w:t>29.1</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D79A9CD" w14:textId="77777777" w:rsidR="00FE2656" w:rsidRPr="005D2A1C" w:rsidRDefault="007C698C">
            <w:r>
              <w:rPr>
                <w:szCs w:val="20"/>
              </w:rPr>
              <w:t>BFSI, Retail — breadth model</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73E075" w14:textId="77777777" w:rsidR="00FE2656" w:rsidRPr="005D2A1C" w:rsidRDefault="007C698C">
            <w:r>
              <w:rPr>
                <w:szCs w:val="20"/>
              </w:rPr>
              <w:t>~53%</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B76D12D" w14:textId="77777777" w:rsidR="00FE2656" w:rsidRPr="005D2A1C" w:rsidRDefault="007C698C">
            <w:r>
              <w:rPr>
                <w:szCs w:val="20"/>
              </w:rPr>
              <w:t>24–25%</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843A209" w14:textId="77777777" w:rsidR="00FE2656" w:rsidRPr="005D2A1C" w:rsidRDefault="007C698C">
            <w:r>
              <w:rPr>
                <w:szCs w:val="20"/>
              </w:rPr>
              <w:t xml:space="preserve">Moderate — </w:t>
            </w:r>
            <w:proofErr w:type="spellStart"/>
            <w:r>
              <w:rPr>
                <w:szCs w:val="20"/>
              </w:rPr>
              <w:t>Ignio</w:t>
            </w:r>
            <w:proofErr w:type="spellEnd"/>
            <w:r>
              <w:rPr>
                <w:szCs w:val="20"/>
              </w:rPr>
              <w:t xml:space="preserve"> AI, TCS </w:t>
            </w:r>
            <w:proofErr w:type="spellStart"/>
            <w:r>
              <w:rPr>
                <w:szCs w:val="20"/>
              </w:rPr>
              <w:t>BaNCS</w:t>
            </w:r>
            <w:proofErr w:type="spellEnd"/>
          </w:p>
        </w:tc>
      </w:tr>
      <w:tr w:rsidR="00FE2656" w14:paraId="7B1425A9" w14:textId="77777777" w:rsidTr="000D1BBF">
        <w:trPr>
          <w:jc w:val="center"/>
        </w:trPr>
        <w:tc>
          <w:tcPr>
            <w:tcW w:w="1560" w:type="dxa"/>
            <w:tcBorders>
              <w:top w:val="single" w:sz="1" w:space="0" w:color="CCCCCC"/>
              <w:left w:val="single" w:sz="1" w:space="0" w:color="CCCCCC"/>
              <w:bottom w:val="single" w:sz="1" w:space="0" w:color="CCCCCC"/>
              <w:right w:val="single" w:sz="1" w:space="0" w:color="CCCCCC"/>
            </w:tcBorders>
            <w:shd w:val="clear" w:color="auto" w:fill="EEF2F8"/>
            <w:tcMar>
              <w:top w:w="80" w:type="dxa"/>
              <w:left w:w="120" w:type="dxa"/>
              <w:bottom w:w="80" w:type="dxa"/>
              <w:right w:w="120" w:type="dxa"/>
            </w:tcMar>
          </w:tcPr>
          <w:p w14:paraId="62E1CF77" w14:textId="77777777" w:rsidR="00FE2656" w:rsidRPr="005D2A1C" w:rsidRDefault="007C698C">
            <w:r>
              <w:rPr>
                <w:szCs w:val="20"/>
              </w:rPr>
              <w:t>Infosys</w:t>
            </w:r>
          </w:p>
        </w:tc>
        <w:tc>
          <w:tcPr>
            <w:tcW w:w="1560" w:type="dxa"/>
            <w:tcBorders>
              <w:top w:val="single" w:sz="1" w:space="0" w:color="CCCCCC"/>
              <w:left w:val="single" w:sz="1" w:space="0" w:color="CCCCCC"/>
              <w:bottom w:val="single" w:sz="1" w:space="0" w:color="CCCCCC"/>
              <w:right w:val="single" w:sz="1" w:space="0" w:color="CCCCCC"/>
            </w:tcBorders>
            <w:shd w:val="clear" w:color="auto" w:fill="EEF2F8"/>
            <w:tcMar>
              <w:top w:w="80" w:type="dxa"/>
              <w:left w:w="120" w:type="dxa"/>
              <w:bottom w:w="80" w:type="dxa"/>
              <w:right w:w="120" w:type="dxa"/>
            </w:tcMar>
          </w:tcPr>
          <w:p w14:paraId="0BE0F3C2" w14:textId="77777777" w:rsidR="00FE2656" w:rsidRPr="005D2A1C" w:rsidRDefault="007C698C">
            <w:r>
              <w:rPr>
                <w:szCs w:val="20"/>
              </w:rPr>
              <w:t>18.6</w:t>
            </w:r>
          </w:p>
        </w:tc>
        <w:tc>
          <w:tcPr>
            <w:tcW w:w="1560" w:type="dxa"/>
            <w:tcBorders>
              <w:top w:val="single" w:sz="1" w:space="0" w:color="CCCCCC"/>
              <w:left w:val="single" w:sz="1" w:space="0" w:color="CCCCCC"/>
              <w:bottom w:val="single" w:sz="1" w:space="0" w:color="CCCCCC"/>
              <w:right w:val="single" w:sz="1" w:space="0" w:color="CCCCCC"/>
            </w:tcBorders>
            <w:shd w:val="clear" w:color="auto" w:fill="EEF2F8"/>
            <w:tcMar>
              <w:top w:w="80" w:type="dxa"/>
              <w:left w:w="120" w:type="dxa"/>
              <w:bottom w:w="80" w:type="dxa"/>
              <w:right w:w="120" w:type="dxa"/>
            </w:tcMar>
          </w:tcPr>
          <w:p w14:paraId="4FF3FFB0" w14:textId="77777777" w:rsidR="00FE2656" w:rsidRPr="005D2A1C" w:rsidRDefault="007C698C">
            <w:r>
              <w:rPr>
                <w:szCs w:val="20"/>
              </w:rPr>
              <w:t>Digital transformation, consulting</w:t>
            </w:r>
          </w:p>
        </w:tc>
        <w:tc>
          <w:tcPr>
            <w:tcW w:w="1560" w:type="dxa"/>
            <w:tcBorders>
              <w:top w:val="single" w:sz="1" w:space="0" w:color="CCCCCC"/>
              <w:left w:val="single" w:sz="1" w:space="0" w:color="CCCCCC"/>
              <w:bottom w:val="single" w:sz="1" w:space="0" w:color="CCCCCC"/>
              <w:right w:val="single" w:sz="1" w:space="0" w:color="CCCCCC"/>
            </w:tcBorders>
            <w:shd w:val="clear" w:color="auto" w:fill="EEF2F8"/>
            <w:tcMar>
              <w:top w:w="80" w:type="dxa"/>
              <w:left w:w="120" w:type="dxa"/>
              <w:bottom w:w="80" w:type="dxa"/>
              <w:right w:w="120" w:type="dxa"/>
            </w:tcMar>
          </w:tcPr>
          <w:p w14:paraId="5EA4F534" w14:textId="77777777" w:rsidR="00FE2656" w:rsidRPr="005D2A1C" w:rsidRDefault="007C698C">
            <w:r>
              <w:rPr>
                <w:szCs w:val="20"/>
              </w:rPr>
              <w:t>~60%</w:t>
            </w:r>
          </w:p>
        </w:tc>
        <w:tc>
          <w:tcPr>
            <w:tcW w:w="1560" w:type="dxa"/>
            <w:tcBorders>
              <w:top w:val="single" w:sz="1" w:space="0" w:color="CCCCCC"/>
              <w:left w:val="single" w:sz="1" w:space="0" w:color="CCCCCC"/>
              <w:bottom w:val="single" w:sz="1" w:space="0" w:color="CCCCCC"/>
              <w:right w:val="single" w:sz="1" w:space="0" w:color="CCCCCC"/>
            </w:tcBorders>
            <w:shd w:val="clear" w:color="auto" w:fill="EEF2F8"/>
            <w:tcMar>
              <w:top w:w="80" w:type="dxa"/>
              <w:left w:w="120" w:type="dxa"/>
              <w:bottom w:w="80" w:type="dxa"/>
              <w:right w:w="120" w:type="dxa"/>
            </w:tcMar>
          </w:tcPr>
          <w:p w14:paraId="795FA5CD" w14:textId="77777777" w:rsidR="00FE2656" w:rsidRPr="005D2A1C" w:rsidRDefault="007C698C">
            <w:r>
              <w:rPr>
                <w:szCs w:val="20"/>
              </w:rPr>
              <w:t>20–21%</w:t>
            </w:r>
          </w:p>
        </w:tc>
        <w:tc>
          <w:tcPr>
            <w:tcW w:w="1560" w:type="dxa"/>
            <w:tcBorders>
              <w:top w:val="single" w:sz="1" w:space="0" w:color="CCCCCC"/>
              <w:left w:val="single" w:sz="1" w:space="0" w:color="CCCCCC"/>
              <w:bottom w:val="single" w:sz="1" w:space="0" w:color="CCCCCC"/>
              <w:right w:val="single" w:sz="1" w:space="0" w:color="CCCCCC"/>
            </w:tcBorders>
            <w:shd w:val="clear" w:color="auto" w:fill="EEF2F8"/>
            <w:tcMar>
              <w:top w:w="80" w:type="dxa"/>
              <w:left w:w="120" w:type="dxa"/>
              <w:bottom w:w="80" w:type="dxa"/>
              <w:right w:w="120" w:type="dxa"/>
            </w:tcMar>
          </w:tcPr>
          <w:p w14:paraId="6568A879" w14:textId="77777777" w:rsidR="00FE2656" w:rsidRPr="005D2A1C" w:rsidRDefault="007C698C">
            <w:r>
              <w:rPr>
                <w:szCs w:val="20"/>
              </w:rPr>
              <w:t xml:space="preserve">High — Cobalt, </w:t>
            </w:r>
            <w:proofErr w:type="spellStart"/>
            <w:r>
              <w:rPr>
                <w:szCs w:val="20"/>
              </w:rPr>
              <w:t>Finacle</w:t>
            </w:r>
            <w:proofErr w:type="spellEnd"/>
            <w:r>
              <w:rPr>
                <w:szCs w:val="20"/>
              </w:rPr>
              <w:t>, Topaz AI</w:t>
            </w:r>
          </w:p>
        </w:tc>
      </w:tr>
      <w:tr w:rsidR="00FE2656" w14:paraId="4A3A4832" w14:textId="77777777" w:rsidTr="000D1BBF">
        <w:trPr>
          <w:jc w:val="center"/>
        </w:trPr>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EF5C053" w14:textId="77777777" w:rsidR="00FE2656" w:rsidRPr="005D2A1C" w:rsidRDefault="007C698C">
            <w:r>
              <w:rPr>
                <w:szCs w:val="20"/>
              </w:rPr>
              <w:t>Wipro</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4E01AC6" w14:textId="77777777" w:rsidR="00FE2656" w:rsidRPr="005D2A1C" w:rsidRDefault="007C698C">
            <w:r>
              <w:rPr>
                <w:szCs w:val="20"/>
              </w:rPr>
              <w:t>11.3</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47009F9" w14:textId="77777777" w:rsidR="00FE2656" w:rsidRPr="005D2A1C" w:rsidRDefault="007C698C">
            <w:r>
              <w:rPr>
                <w:szCs w:val="20"/>
              </w:rPr>
              <w:t>BFSI, Healthcare, Engineering</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93B92D0" w14:textId="77777777" w:rsidR="00FE2656" w:rsidRPr="005D2A1C" w:rsidRDefault="007C698C">
            <w:r>
              <w:rPr>
                <w:szCs w:val="20"/>
              </w:rPr>
              <w:t>~57%</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D7C0AFB" w14:textId="77777777" w:rsidR="00FE2656" w:rsidRPr="005D2A1C" w:rsidRDefault="007C698C">
            <w:r>
              <w:rPr>
                <w:szCs w:val="20"/>
              </w:rPr>
              <w:t>16–17%</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ABE1BB8" w14:textId="77777777" w:rsidR="00FE2656" w:rsidRPr="005D2A1C" w:rsidRDefault="007C698C">
            <w:r>
              <w:rPr>
                <w:szCs w:val="20"/>
              </w:rPr>
              <w:t>Moderate — Wipro Holmes AI</w:t>
            </w:r>
          </w:p>
        </w:tc>
      </w:tr>
      <w:tr w:rsidR="00FE2656" w14:paraId="4228321F" w14:textId="77777777" w:rsidTr="000D1BBF">
        <w:trPr>
          <w:jc w:val="center"/>
        </w:trPr>
        <w:tc>
          <w:tcPr>
            <w:tcW w:w="1560" w:type="dxa"/>
            <w:tcBorders>
              <w:top w:val="single" w:sz="1" w:space="0" w:color="CCCCCC"/>
              <w:left w:val="single" w:sz="1" w:space="0" w:color="CCCCCC"/>
              <w:bottom w:val="single" w:sz="1" w:space="0" w:color="CCCCCC"/>
              <w:right w:val="single" w:sz="1" w:space="0" w:color="CCCCCC"/>
            </w:tcBorders>
            <w:shd w:val="clear" w:color="auto" w:fill="EEF2F8"/>
            <w:tcMar>
              <w:top w:w="80" w:type="dxa"/>
              <w:left w:w="120" w:type="dxa"/>
              <w:bottom w:w="80" w:type="dxa"/>
              <w:right w:w="120" w:type="dxa"/>
            </w:tcMar>
          </w:tcPr>
          <w:p w14:paraId="38F084A6" w14:textId="77777777" w:rsidR="00FE2656" w:rsidRPr="005D2A1C" w:rsidRDefault="007C698C">
            <w:r>
              <w:rPr>
                <w:szCs w:val="20"/>
              </w:rPr>
              <w:lastRenderedPageBreak/>
              <w:t>HCLTech</w:t>
            </w:r>
          </w:p>
        </w:tc>
        <w:tc>
          <w:tcPr>
            <w:tcW w:w="1560" w:type="dxa"/>
            <w:tcBorders>
              <w:top w:val="single" w:sz="1" w:space="0" w:color="CCCCCC"/>
              <w:left w:val="single" w:sz="1" w:space="0" w:color="CCCCCC"/>
              <w:bottom w:val="single" w:sz="1" w:space="0" w:color="CCCCCC"/>
              <w:right w:val="single" w:sz="1" w:space="0" w:color="CCCCCC"/>
            </w:tcBorders>
            <w:shd w:val="clear" w:color="auto" w:fill="EEF2F8"/>
            <w:tcMar>
              <w:top w:w="80" w:type="dxa"/>
              <w:left w:w="120" w:type="dxa"/>
              <w:bottom w:w="80" w:type="dxa"/>
              <w:right w:w="120" w:type="dxa"/>
            </w:tcMar>
          </w:tcPr>
          <w:p w14:paraId="7E1DB003" w14:textId="77777777" w:rsidR="00FE2656" w:rsidRPr="005D2A1C" w:rsidRDefault="007C698C">
            <w:r>
              <w:rPr>
                <w:szCs w:val="20"/>
              </w:rPr>
              <w:t>13.3</w:t>
            </w:r>
          </w:p>
        </w:tc>
        <w:tc>
          <w:tcPr>
            <w:tcW w:w="1560" w:type="dxa"/>
            <w:tcBorders>
              <w:top w:val="single" w:sz="1" w:space="0" w:color="CCCCCC"/>
              <w:left w:val="single" w:sz="1" w:space="0" w:color="CCCCCC"/>
              <w:bottom w:val="single" w:sz="1" w:space="0" w:color="CCCCCC"/>
              <w:right w:val="single" w:sz="1" w:space="0" w:color="CCCCCC"/>
            </w:tcBorders>
            <w:shd w:val="clear" w:color="auto" w:fill="EEF2F8"/>
            <w:tcMar>
              <w:top w:w="80" w:type="dxa"/>
              <w:left w:w="120" w:type="dxa"/>
              <w:bottom w:w="80" w:type="dxa"/>
              <w:right w:w="120" w:type="dxa"/>
            </w:tcMar>
          </w:tcPr>
          <w:p w14:paraId="53F66FE1" w14:textId="77777777" w:rsidR="00FE2656" w:rsidRPr="005D2A1C" w:rsidRDefault="007C698C">
            <w:r>
              <w:rPr>
                <w:szCs w:val="20"/>
              </w:rPr>
              <w:t>Engineering, IT services, Products</w:t>
            </w:r>
          </w:p>
        </w:tc>
        <w:tc>
          <w:tcPr>
            <w:tcW w:w="1560" w:type="dxa"/>
            <w:tcBorders>
              <w:top w:val="single" w:sz="1" w:space="0" w:color="CCCCCC"/>
              <w:left w:val="single" w:sz="1" w:space="0" w:color="CCCCCC"/>
              <w:bottom w:val="single" w:sz="1" w:space="0" w:color="CCCCCC"/>
              <w:right w:val="single" w:sz="1" w:space="0" w:color="CCCCCC"/>
            </w:tcBorders>
            <w:shd w:val="clear" w:color="auto" w:fill="EEF2F8"/>
            <w:tcMar>
              <w:top w:w="80" w:type="dxa"/>
              <w:left w:w="120" w:type="dxa"/>
              <w:bottom w:w="80" w:type="dxa"/>
              <w:right w:w="120" w:type="dxa"/>
            </w:tcMar>
          </w:tcPr>
          <w:p w14:paraId="302EF044" w14:textId="77777777" w:rsidR="00FE2656" w:rsidRPr="005D2A1C" w:rsidRDefault="007C698C">
            <w:r>
              <w:rPr>
                <w:szCs w:val="20"/>
              </w:rPr>
              <w:t>~60%</w:t>
            </w:r>
          </w:p>
        </w:tc>
        <w:tc>
          <w:tcPr>
            <w:tcW w:w="1560" w:type="dxa"/>
            <w:tcBorders>
              <w:top w:val="single" w:sz="1" w:space="0" w:color="CCCCCC"/>
              <w:left w:val="single" w:sz="1" w:space="0" w:color="CCCCCC"/>
              <w:bottom w:val="single" w:sz="1" w:space="0" w:color="CCCCCC"/>
              <w:right w:val="single" w:sz="1" w:space="0" w:color="CCCCCC"/>
            </w:tcBorders>
            <w:shd w:val="clear" w:color="auto" w:fill="EEF2F8"/>
            <w:tcMar>
              <w:top w:w="80" w:type="dxa"/>
              <w:left w:w="120" w:type="dxa"/>
              <w:bottom w:w="80" w:type="dxa"/>
              <w:right w:w="120" w:type="dxa"/>
            </w:tcMar>
          </w:tcPr>
          <w:p w14:paraId="13C43F44" w14:textId="77777777" w:rsidR="00FE2656" w:rsidRPr="005D2A1C" w:rsidRDefault="007C698C">
            <w:r>
              <w:rPr>
                <w:szCs w:val="20"/>
              </w:rPr>
              <w:t>18–19%</w:t>
            </w:r>
          </w:p>
        </w:tc>
        <w:tc>
          <w:tcPr>
            <w:tcW w:w="1560" w:type="dxa"/>
            <w:tcBorders>
              <w:top w:val="single" w:sz="1" w:space="0" w:color="CCCCCC"/>
              <w:left w:val="single" w:sz="1" w:space="0" w:color="CCCCCC"/>
              <w:bottom w:val="single" w:sz="1" w:space="0" w:color="CCCCCC"/>
              <w:right w:val="single" w:sz="1" w:space="0" w:color="CCCCCC"/>
            </w:tcBorders>
            <w:shd w:val="clear" w:color="auto" w:fill="EEF2F8"/>
            <w:tcMar>
              <w:top w:w="80" w:type="dxa"/>
              <w:left w:w="120" w:type="dxa"/>
              <w:bottom w:w="80" w:type="dxa"/>
              <w:right w:w="120" w:type="dxa"/>
            </w:tcMar>
          </w:tcPr>
          <w:p w14:paraId="6ABBD005" w14:textId="77777777" w:rsidR="00FE2656" w:rsidRPr="005D2A1C" w:rsidRDefault="007C698C">
            <w:r>
              <w:rPr>
                <w:szCs w:val="20"/>
              </w:rPr>
              <w:t>High — HCL Software, IP-led</w:t>
            </w:r>
          </w:p>
        </w:tc>
      </w:tr>
      <w:tr w:rsidR="00FE2656" w14:paraId="0D4E2BB3" w14:textId="77777777" w:rsidTr="000D1BBF">
        <w:trPr>
          <w:jc w:val="center"/>
        </w:trPr>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B17B518" w14:textId="77777777" w:rsidR="00FE2656" w:rsidRPr="005D2A1C" w:rsidRDefault="007C698C">
            <w:r>
              <w:rPr>
                <w:szCs w:val="20"/>
              </w:rPr>
              <w:t>Tech Mahindra</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78B076C" w14:textId="77777777" w:rsidR="00FE2656" w:rsidRPr="005D2A1C" w:rsidRDefault="007C698C">
            <w:r>
              <w:rPr>
                <w:szCs w:val="20"/>
              </w:rPr>
              <w:t>6.0</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BA8B2CC" w14:textId="77777777" w:rsidR="00FE2656" w:rsidRPr="005D2A1C" w:rsidRDefault="007C698C">
            <w:r>
              <w:rPr>
                <w:szCs w:val="20"/>
              </w:rPr>
              <w:t>Telecom &amp; Media — niche depth</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1DFF9A1" w14:textId="77777777" w:rsidR="00FE2656" w:rsidRPr="005D2A1C" w:rsidRDefault="007C698C">
            <w:r>
              <w:rPr>
                <w:szCs w:val="20"/>
              </w:rPr>
              <w:t>~46%</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8784DD7" w14:textId="77777777" w:rsidR="00FE2656" w:rsidRPr="005D2A1C" w:rsidRDefault="007C698C">
            <w:r>
              <w:rPr>
                <w:szCs w:val="20"/>
              </w:rPr>
              <w:t>9–10%</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A4ED501" w14:textId="77777777" w:rsidR="00FE2656" w:rsidRPr="005D2A1C" w:rsidRDefault="007C698C">
            <w:r>
              <w:rPr>
                <w:szCs w:val="20"/>
              </w:rPr>
              <w:t>Low — primarily services</w:t>
            </w:r>
          </w:p>
        </w:tc>
      </w:tr>
    </w:tbl>
    <w:p w14:paraId="0AEF19EC" w14:textId="77777777" w:rsidR="00FE2656" w:rsidRPr="005D2A1C" w:rsidRDefault="007C698C">
      <w:pPr>
        <w:spacing w:before="80" w:after="240"/>
        <w:rPr>
          <w:sz w:val="32"/>
        </w:rPr>
      </w:pPr>
      <w:r>
        <w:rPr>
          <w:i/>
          <w:iCs/>
          <w:sz w:val="22"/>
          <w:szCs w:val="18"/>
        </w:rPr>
        <w:t xml:space="preserve">Sources: </w:t>
      </w:r>
      <w:proofErr w:type="spellStart"/>
      <w:r>
        <w:rPr>
          <w:i/>
          <w:iCs/>
          <w:sz w:val="22"/>
          <w:szCs w:val="18"/>
        </w:rPr>
        <w:t>Nasscom</w:t>
      </w:r>
      <w:proofErr w:type="spellEnd"/>
      <w:r>
        <w:rPr>
          <w:i/>
          <w:iCs/>
          <w:sz w:val="22"/>
          <w:szCs w:val="18"/>
        </w:rPr>
        <w:t xml:space="preserve"> (2024); TCS Annual Report (2024); Infosys Annual Report (2024); HCLTech Annual Report (2024); Wipro Annual Report (2024); Tech Mahindra Annual Report (2024).</w:t>
      </w:r>
    </w:p>
    <w:p w14:paraId="11C21F89" w14:textId="77777777" w:rsidR="00FE2656" w:rsidRDefault="007C698C">
      <w:pPr>
        <w:pStyle w:val="Heading2"/>
      </w:pPr>
      <w:bookmarkStart w:id="6" w:name="_Toc224431348"/>
      <w:r>
        <w:t>3. Porter's Diamond Model: National Competitiveness of India's IT Industry</w:t>
      </w:r>
      <w:bookmarkEnd w:id="6"/>
    </w:p>
    <w:p w14:paraId="1732FF72" w14:textId="2D8E8062" w:rsidR="00834840" w:rsidRDefault="00834840" w:rsidP="004B418D">
      <w:pPr>
        <w:rPr>
          <w:b/>
          <w:bCs/>
        </w:rPr>
      </w:pPr>
      <w:r>
        <w:t xml:space="preserve">The Diamond Model of National Advantage created by Porter (Porter, 1990) is a very </w:t>
      </w:r>
      <w:r w:rsidR="005765B8">
        <w:t>influential</w:t>
      </w:r>
      <w:r>
        <w:t xml:space="preserve"> model that can be used to understand why certain countries create and maintain international competitiveness in certain industries. The model has four interacting determinants that include factor conditions, demand conditions, related and supporting industries and firm strategy, structure and rivalry moderated by government and chance. When applied to the Indian IT industry, the model indicates a collection of competitive advantages that have been reinforcing each other that have allowed India to remain a global leader in thirty years. More importantly, the framework opens up the structural vulnerabilities that are likely to undermine these benefits in given economic and technological conditions.</w:t>
      </w:r>
    </w:p>
    <w:p w14:paraId="4980CDC7" w14:textId="45B3A0F7" w:rsidR="00FE2656" w:rsidRDefault="007C698C">
      <w:pPr>
        <w:pStyle w:val="Heading3"/>
      </w:pPr>
      <w:bookmarkStart w:id="7" w:name="_Toc224431349"/>
      <w:r>
        <w:t>3.1 Factor Conditions</w:t>
      </w:r>
      <w:bookmarkEnd w:id="7"/>
    </w:p>
    <w:p w14:paraId="69693315" w14:textId="258D4542" w:rsidR="008B1373" w:rsidRDefault="00834840" w:rsidP="008B1373">
      <w:r>
        <w:t xml:space="preserve">The highly developed factor conditions in India in terms of IT are based on volume, cost, and language advantage. </w:t>
      </w:r>
      <w:r w:rsidR="008B1373" w:rsidRPr="008B1373">
        <w:t xml:space="preserve">The number of engineering graduates coming out of IITs, NITs, and a massive pool of private engineering institutions in India is estimated at 1.5 million per year (AICTE, 2024). Nevertheless, a key important point is that engineering graduates are by no means identical to employment-immediate IT talent; </w:t>
      </w:r>
      <w:r w:rsidR="008B1373" w:rsidRPr="008B1373">
        <w:lastRenderedPageBreak/>
        <w:t>according to industry estimates, only about 40-45 percent of graduates are ready to work as of the moment of graduation without additional training (</w:t>
      </w:r>
      <w:proofErr w:type="spellStart"/>
      <w:r w:rsidR="008B1373" w:rsidRPr="008B1373">
        <w:t>Nasscom</w:t>
      </w:r>
      <w:proofErr w:type="spellEnd"/>
      <w:r w:rsidR="008B1373" w:rsidRPr="008B1373">
        <w:t>, 2024), and thus the actual talent availability is much lower than the reported numbers suggest. Labour costs are also competitive: an Indian IT worker in the middle of the software development and tes</w:t>
      </w:r>
      <w:r w:rsidR="00613C00">
        <w:t>ting is an average of 60-70 per</w:t>
      </w:r>
      <w:r w:rsidR="008B1373" w:rsidRPr="008B1373">
        <w:t>cent cheaper than their counterparts in the United States or Western Europe equally (Deloitte, 2023), though this margin differs considerably in the case of senior AI, cloud architecture, and cybersecurity experts.</w:t>
      </w:r>
    </w:p>
    <w:p w14:paraId="61226503" w14:textId="121A3EFA" w:rsidR="00834840" w:rsidRDefault="00834840" w:rsidP="004B418D">
      <w:pPr>
        <w:rPr>
          <w:b/>
          <w:bCs/>
        </w:rPr>
      </w:pPr>
      <w:r>
        <w:t xml:space="preserve">These factor advantages are, however, conditional as opposed to being guaranteed. The rapid growth in the application of generative AI and huge language models is already starting to automate the standard coding, testing, and maintaining of applications, which constituted the traditional foundation of the Indian labour-arbitrage model. According to McKinsey (2023), a considerable percentage of low-level IT tasks has the potential to be automated in the next five years, which presents a fundamental threat of overcapacity in low-tech positions and at the same time introduces a scarcity of the higher-value work, requiring advanced AI, machine learning, and data manipulation skills. The conventional engineering educational system in India has been slow to adjust to this change (McKinsey Global Institute, 2023), i.e., it is the factor condition advantage, which is currently very strong, but which is dependent upon speedy </w:t>
      </w:r>
      <w:r w:rsidR="00613C00">
        <w:t>programme</w:t>
      </w:r>
      <w:r>
        <w:t xml:space="preserve"> reform and reskilling investment. </w:t>
      </w:r>
    </w:p>
    <w:p w14:paraId="0CAC7C10" w14:textId="0CE8FC44" w:rsidR="00FE2656" w:rsidRDefault="007C698C">
      <w:pPr>
        <w:pStyle w:val="Heading3"/>
      </w:pPr>
      <w:bookmarkStart w:id="8" w:name="_Toc224431350"/>
      <w:r>
        <w:t>3.2 Demand Conditions</w:t>
      </w:r>
      <w:bookmarkEnd w:id="8"/>
    </w:p>
    <w:p w14:paraId="320C6284" w14:textId="471F0315" w:rsidR="00BD7F9D" w:rsidRPr="00834840" w:rsidRDefault="00834840" w:rsidP="004B418D">
      <w:r>
        <w:t xml:space="preserve">Porter (1990) asserts that complex and challenging domestic customers </w:t>
      </w:r>
      <w:r w:rsidR="00613C00">
        <w:t>coerces</w:t>
      </w:r>
      <w:r>
        <w:t xml:space="preserve"> the firms to innovate and improve quality. The Digital India program of 2015 has changed the domestic demand conditions in India, with a fresh outburst of e-governance, broadband infrastructure, and digital financial services government spending coming into place. One of the most sophisticated digital payment backbones in the world, the Unified Payments Interface (UPI), that handled over 131 billion transactions in FY2024 (National Payments Corporation of India, 2024), has contributed material improvements to the potential of Indian IT companies in fintech and payments engineering.</w:t>
      </w:r>
    </w:p>
    <w:p w14:paraId="28862E1F" w14:textId="1520958F" w:rsidR="00834840" w:rsidRDefault="00834840" w:rsidP="004B418D">
      <w:pPr>
        <w:rPr>
          <w:b/>
          <w:bCs/>
        </w:rPr>
      </w:pPr>
      <w:r>
        <w:t xml:space="preserve">However, the customers who demand the services of Indian IT companies most include those in the international market. The US and European financial institutions, </w:t>
      </w:r>
      <w:r>
        <w:lastRenderedPageBreak/>
        <w:t xml:space="preserve">healthcare systems, and manufacturing conglomerates will need more complicated cloud movement, cybersecurity, data analytics, and AI combination - things that Indian IT firms have been obligated to create to sustain these relations (Gartner, 2023). This external pressure of demand has been the major catalyst of the upgrading of capabilities in that, there is a virtuous cycle where the demand of international clients increases the technical sophistication of India. </w:t>
      </w:r>
    </w:p>
    <w:p w14:paraId="737FC3DF" w14:textId="05A8670E" w:rsidR="00FE2656" w:rsidRDefault="007C698C" w:rsidP="00834840">
      <w:pPr>
        <w:pStyle w:val="Heading3"/>
      </w:pPr>
      <w:bookmarkStart w:id="9" w:name="_Toc224431351"/>
      <w:r>
        <w:t>3.3 Related and Supporting Industries</w:t>
      </w:r>
      <w:bookmarkEnd w:id="9"/>
    </w:p>
    <w:p w14:paraId="5F4E4694" w14:textId="70CA1EA0" w:rsidR="00834840" w:rsidRDefault="00834840" w:rsidP="004B418D">
      <w:pPr>
        <w:rPr>
          <w:b/>
          <w:bCs/>
        </w:rPr>
      </w:pPr>
      <w:r>
        <w:t xml:space="preserve">A well-developed ecosystem of related and supporting industries also contributes towards the competitiveness of India in relation to IT. Radically changed by the entry of Reliance </w:t>
      </w:r>
      <w:proofErr w:type="spellStart"/>
      <w:r>
        <w:t>Jio</w:t>
      </w:r>
      <w:proofErr w:type="spellEnd"/>
      <w:r>
        <w:t xml:space="preserve"> into the market in 2016, the telecommunications sector remains able to provide high-speed and low-cost connectivity to more than 1.2 billion mobile subscribers (TRAI, 2024), and scale services delivery both domestically and internationally. Banks and the financial services sector have come up with dedicated technology start-up financing instruments with regulatory sandbox provisions by the Reserve Bank of India. </w:t>
      </w:r>
    </w:p>
    <w:p w14:paraId="74FE9DE2" w14:textId="1505E217" w:rsidR="00834840" w:rsidRPr="005D2A1C" w:rsidRDefault="00834840" w:rsidP="00BD7F9D">
      <w:pPr>
        <w:rPr>
          <w:b/>
          <w:bCs/>
        </w:rPr>
      </w:pPr>
      <w:r>
        <w:t>The start-up ecosystem (the third largest in the world, with more than 100 unicorns to date, Invest India, 2024) serves as a source of innovation and thus a shortcut of the innovation cycle compared to markets with less developed start-up ecosystems. The legal and professional service has developed a strong application of international intellectual property management, contract law, and dispute resolution (in cases of technologies) and minimized transaction cost in international business to Indian IT companies (</w:t>
      </w:r>
      <w:proofErr w:type="spellStart"/>
      <w:r>
        <w:t>Nasscom</w:t>
      </w:r>
      <w:proofErr w:type="spellEnd"/>
      <w:r>
        <w:t>, 2024). These complementary industries enhance the competitive impact of the core capabilities in India of the IT industry.</w:t>
      </w:r>
    </w:p>
    <w:p w14:paraId="5405B11E" w14:textId="5E40BF7A" w:rsidR="00FE2656" w:rsidRDefault="007C698C" w:rsidP="00834840">
      <w:pPr>
        <w:pStyle w:val="Heading3"/>
      </w:pPr>
      <w:bookmarkStart w:id="10" w:name="_Toc224431352"/>
      <w:r>
        <w:t>3.4 Firm Strategy, Structure, and Rivalry</w:t>
      </w:r>
      <w:bookmarkEnd w:id="10"/>
    </w:p>
    <w:p w14:paraId="7E237C79" w14:textId="77777777" w:rsidR="004676FF" w:rsidRPr="004676FF" w:rsidRDefault="004676FF" w:rsidP="004B418D">
      <w:r>
        <w:t>The high level of rivalry between the Indian IT companies is a determining factor in international competitiveness. Competition among TCS, Infosys, Wipro, HCLTech, and Tech Mahindra is enhanced by the high Indian delivery presence of international companies such as Accenture, IBM, and Cognizant, which makes continuous pressure to improve the quality of services, cost reduction, and investment in technology capabilities (</w:t>
      </w:r>
      <w:proofErr w:type="spellStart"/>
      <w:r>
        <w:t>Nasscom</w:t>
      </w:r>
      <w:proofErr w:type="spellEnd"/>
      <w:r>
        <w:t xml:space="preserve">, 2024). The existence of this level of market competition has played a critical role in the strategic transition of the industry towards low-value </w:t>
      </w:r>
      <w:r>
        <w:lastRenderedPageBreak/>
        <w:t>application maintenance to more lucrative consulting, platform, and digital transformation services.</w:t>
      </w:r>
    </w:p>
    <w:p w14:paraId="326B361A" w14:textId="4DCF2247" w:rsidR="004676FF" w:rsidRPr="004676FF" w:rsidRDefault="004676FF" w:rsidP="004B418D">
      <w:r>
        <w:t>Indian IT vendors have planned to optimize the Global Delivery Model (GDM) which was first developed by Infosys in the early 1990s and distribute work in onshore, nearshore and offshore delivery centres to balance both cost-effectiveness and client proximity. It has become an industry standard and offered Indian IT companies a scalable and replicable operating template in the world markets (Infosys Annual Report, 2024).</w:t>
      </w:r>
    </w:p>
    <w:p w14:paraId="51FFC9C9" w14:textId="77777777" w:rsidR="004676FF" w:rsidRDefault="004676FF" w:rsidP="004B418D">
      <w:pPr>
        <w:rPr>
          <w:b/>
          <w:bCs/>
        </w:rPr>
      </w:pPr>
      <w:r>
        <w:t>There are structural weaknesses though. The concentration in revenue in the United States - about 60 percent of industry revenues (</w:t>
      </w:r>
      <w:proofErr w:type="spellStart"/>
      <w:r>
        <w:t>Nasscom</w:t>
      </w:r>
      <w:proofErr w:type="spellEnd"/>
      <w:r>
        <w:t>, 2024) - causes the systemic vulnerability to the US immigration policy, trade protection, and macroeconomic stagnations. The H1B visa restriction reduces the capability of the Indian IT companies to install talent in customer locations, augmenting onshore recruitment expenses and making service delivery designs complicated. Also, concentrated shareholding of promoters in certain companies has posed corporate governance risks in the past that have occasionally destabilized investor confidence (EIU, 2023).</w:t>
      </w:r>
    </w:p>
    <w:p w14:paraId="2DDA8335" w14:textId="73D1C858" w:rsidR="00FE2656" w:rsidRDefault="007C698C" w:rsidP="004676FF">
      <w:pPr>
        <w:pStyle w:val="Heading3"/>
      </w:pPr>
      <w:bookmarkStart w:id="11" w:name="_Toc224431353"/>
      <w:r>
        <w:t>3.5 Government and Chance</w:t>
      </w:r>
      <w:bookmarkEnd w:id="11"/>
    </w:p>
    <w:p w14:paraId="1DC576ED" w14:textId="1DBF5543" w:rsidR="004B418D" w:rsidRDefault="004676FF" w:rsidP="004B418D">
      <w:r>
        <w:t>The Indian government has facilitated the development of the IT sector by providing tax breaks under the STPI and Special Economic Zone (SEZ) programmes, investment in the National Knowledge Network and diplomatic efforts to facilitate access to H-1B visas by Indian professionals in the IT sector (Ministry of Electronics and Information Technology, 2024). Critics have however observed that fiscal incentives have sometimes replaced indigenous innovation investment as opposed to stimulating it (</w:t>
      </w:r>
      <w:proofErr w:type="spellStart"/>
      <w:r>
        <w:t>Dossani</w:t>
      </w:r>
      <w:proofErr w:type="spellEnd"/>
      <w:r>
        <w:t>, 2008).</w:t>
      </w:r>
    </w:p>
    <w:p w14:paraId="6CCAA882" w14:textId="1E1659CF" w:rsidR="004676FF" w:rsidRPr="004B418D" w:rsidRDefault="004676FF" w:rsidP="004B418D">
      <w:r>
        <w:t>There have also been the chance factors. Indian IT firms were given a premature chance to prove their competence at the global level due to the Y2K crisis of the late 1990s. The globalisation of IT outsourcing that started in the post-2000 period allowed it to grow exponentially in the period of exceptionally good demand (</w:t>
      </w:r>
      <w:proofErr w:type="spellStart"/>
      <w:r>
        <w:t>Heeks</w:t>
      </w:r>
      <w:proofErr w:type="spellEnd"/>
      <w:r>
        <w:t xml:space="preserve">, 2006). The 2020-2022 COVID-19 pandemic increased the demand of digital transformation on a global scale, which gave a structural demand boost that increased the international presence of the Indian IT sector (Gartner, 2023). </w:t>
      </w:r>
    </w:p>
    <w:p w14:paraId="54FD7A74" w14:textId="77777777" w:rsidR="004B418D" w:rsidRDefault="004B418D">
      <w:pPr>
        <w:spacing w:line="240" w:lineRule="auto"/>
        <w:jc w:val="left"/>
        <w:rPr>
          <w:b/>
          <w:bCs/>
          <w:color w:val="2E4A7A"/>
          <w:sz w:val="32"/>
          <w:szCs w:val="32"/>
        </w:rPr>
      </w:pPr>
      <w:r>
        <w:br w:type="page"/>
      </w:r>
    </w:p>
    <w:p w14:paraId="4A324E74" w14:textId="61E97A16" w:rsidR="00FE2656" w:rsidRDefault="007C698C" w:rsidP="004676FF">
      <w:pPr>
        <w:pStyle w:val="Heading1"/>
      </w:pPr>
      <w:bookmarkStart w:id="12" w:name="_Toc224431354"/>
      <w:r>
        <w:lastRenderedPageBreak/>
        <w:t>4. Critical Evaluation: Accenture plc in India</w:t>
      </w:r>
      <w:bookmarkEnd w:id="12"/>
    </w:p>
    <w:p w14:paraId="06F8A1F1" w14:textId="77777777" w:rsidR="00FE2656" w:rsidRDefault="007C698C">
      <w:pPr>
        <w:pStyle w:val="Heading2"/>
      </w:pPr>
      <w:bookmarkStart w:id="13" w:name="_Toc224431355"/>
      <w:r>
        <w:t>4.1 Overview of Accenture in India</w:t>
      </w:r>
      <w:bookmarkEnd w:id="13"/>
    </w:p>
    <w:p w14:paraId="135C30F4" w14:textId="0303727E" w:rsidR="00BD7F9D" w:rsidRDefault="004676FF" w:rsidP="004B418D">
      <w:r>
        <w:t xml:space="preserve">Accenture plc is a professional service firm </w:t>
      </w:r>
      <w:r w:rsidRPr="008B1373">
        <w:t>incorporated and headquartered in Dublin, Ireland, and listed on the New York Stock Exchange (NYSE: ACN)</w:t>
      </w:r>
      <w:r>
        <w:rPr>
          <w:color w:val="FF0000"/>
        </w:rPr>
        <w:t>.</w:t>
      </w:r>
      <w:r>
        <w:t xml:space="preserve"> Having revenues of about USD 64.1 billion in FY2024 and a global workforce of about 733,000 people, Accenture is also active in five service lines Strategy and Consulting, Technology, Operations, Industry X, and Song (Accenture Annual Report, 2024). Being a US-and-Ireland-based multinational company with numerous activities in India, Accenture meets the analytical need of a foreign MNC entering the Indian IT industry.</w:t>
      </w:r>
    </w:p>
    <w:p w14:paraId="26BDE3C3" w14:textId="2070FAD9" w:rsidR="004676FF" w:rsidRPr="00BD6AD9" w:rsidRDefault="0016675A" w:rsidP="004B418D">
      <w:pPr>
        <w:rPr>
          <w:lang w:val="en-US"/>
        </w:rPr>
      </w:pPr>
      <w:r w:rsidRPr="0016675A">
        <w:rPr>
          <w:lang w:val="en-US"/>
        </w:rPr>
        <w:t>India is not only a delivery hub for Accenture; it is also the company’s largest talent base, with more than 300,000 employees across Bengaluru, Hyderabad, Mumbai, Chennai, Pune, and Delhi NCR, representing a substantial share of its global workforce (Accenture Annual Report, 2024).</w:t>
      </w:r>
      <w:r w:rsidRPr="00BD6AD9">
        <w:rPr>
          <w:lang w:val="en-US"/>
        </w:rPr>
        <w:t xml:space="preserve"> </w:t>
      </w:r>
      <w:r w:rsidR="00BD6AD9" w:rsidRPr="00BD6AD9">
        <w:t xml:space="preserve">The operations of Accenture in India </w:t>
      </w:r>
      <w:r w:rsidR="007557F0" w:rsidRPr="00BD6AD9">
        <w:t>fulfil</w:t>
      </w:r>
      <w:r w:rsidR="00BD6AD9" w:rsidRPr="00BD6AD9">
        <w:t xml:space="preserve"> multiple strategic purposes, such as offshore provision of IT and business processes services to clients all around the globe, assistance in the consulting and technology implementation, development of capability in digital and artificial intelligence-related services, and the increase of its market practice in India and among clients of the Indian government. This multi-purpose existence renders India crucial to the Accenture international operation model and a good reason to evaluate the interaction of a foreign MNC in the Indian IT setting. </w:t>
      </w:r>
      <w:r w:rsidR="004676FF" w:rsidRPr="00BD6AD9">
        <w:t>The PESTLE analysis presented below looks into the political, economic, legal and cultural aspects of the Accenture operations in India and focuses on the strategic reactions of the firm and the quantifiable results.</w:t>
      </w:r>
    </w:p>
    <w:p w14:paraId="1CB2AB37" w14:textId="3F86858A" w:rsidR="00FE2656" w:rsidRDefault="007C698C" w:rsidP="004676FF">
      <w:pPr>
        <w:pStyle w:val="Heading2"/>
      </w:pPr>
      <w:bookmarkStart w:id="14" w:name="_Toc224431356"/>
      <w:r>
        <w:t>4.2 Political Factors</w:t>
      </w:r>
      <w:bookmarkEnd w:id="14"/>
    </w:p>
    <w:p w14:paraId="7DECED47" w14:textId="7F1C8C9C" w:rsidR="004676FF" w:rsidRDefault="004676FF" w:rsidP="004B418D">
      <w:r>
        <w:t xml:space="preserve">The political climate in India led by the BJP administration has been generally </w:t>
      </w:r>
      <w:r w:rsidR="007557F0">
        <w:t>favourable</w:t>
      </w:r>
      <w:r>
        <w:t xml:space="preserve"> of the IT industry, and the Digital India program, </w:t>
      </w:r>
      <w:r w:rsidR="007557F0">
        <w:t>Start-up</w:t>
      </w:r>
      <w:r>
        <w:t xml:space="preserve"> India program, and the Government e-Marketplace portal are all making the government a larger addressable market in terms of IT and consulting services. In response to these tailwinds in the policy, Accenture has invested in government-facing delivery services in India, and formed partnerships with central and state government entities on e-governance, digital infrastructure and smart city schemes and eligibility to public sector contracts through the Government e-Marketplace framework (Ministry of Electronics and Information Technology, 2024).</w:t>
      </w:r>
    </w:p>
    <w:p w14:paraId="62532CDE" w14:textId="77777777" w:rsidR="00BD7F9D" w:rsidRPr="004676FF" w:rsidRDefault="00BD7F9D" w:rsidP="004B418D"/>
    <w:p w14:paraId="422C5E70" w14:textId="35035B90" w:rsidR="00BD7F9D" w:rsidRPr="004676FF" w:rsidRDefault="004676FF" w:rsidP="004B418D">
      <w:r>
        <w:t>But the fact that Accenture is a US-listed, foreign-domiciled corporation exposes it directly to the US immigration policy. The H-1B visa programme which was traditionally used by Accenture to place Indian talent in North American client locations has been under continuous political scrutiny that has been instituted by several administrations of the US, over the need to limit the inflow of high-skilled foreign workers (Economic Times, 2023). Accenture is in the process of accelerating its home country recruitment policy.</w:t>
      </w:r>
    </w:p>
    <w:p w14:paraId="1E959174" w14:textId="77777777" w:rsidR="004676FF" w:rsidRDefault="004676FF" w:rsidP="004B418D">
      <w:pPr>
        <w:rPr>
          <w:b/>
          <w:bCs/>
        </w:rPr>
      </w:pPr>
      <w:r>
        <w:t>The accelerating decoupling of the US and China technology has presented a strategic opportunity to Accenture. Western firms that want to break up technology supply chains with Chinese vendors are basing delivery capacity in India, which Accenture has explicitly marketed both in investor communications as a trusted technology hub and in its technology governance due to the presence of democratic governance, the ability to speak English, and the ability to match the western data protection standards (Financial Times, 2024). In response to the Russian-Ukraine conflict at the beginning of 2022, Accenture has reorganized its delivery activities in Eastern Europe, which increases the relative strategic importance of India as a geographical location of delivery (Accenture Annual Report, 2024).</w:t>
      </w:r>
    </w:p>
    <w:p w14:paraId="76188E37" w14:textId="1E723630" w:rsidR="00FE2656" w:rsidRDefault="007C698C" w:rsidP="004676FF">
      <w:pPr>
        <w:pStyle w:val="Heading2"/>
      </w:pPr>
      <w:bookmarkStart w:id="15" w:name="_Toc224431357"/>
      <w:r>
        <w:t>4.3 Economic Factors</w:t>
      </w:r>
      <w:bookmarkEnd w:id="15"/>
    </w:p>
    <w:p w14:paraId="43E16182" w14:textId="5CDC67A5" w:rsidR="004B418D" w:rsidRPr="004676FF" w:rsidRDefault="004676FF" w:rsidP="004B418D">
      <w:r>
        <w:t xml:space="preserve">The macroeconomic situation in India has generally remained favourable to the operations of Accenture. The growth of the real GDP of 8.2 percent in FY2024 (Reserve Bank of India, 2024), the increased domestic enterprise investment in cloud and digital services, and government spending on infrastructure have increased the number of domestic Indian clients. The domestic India practice, which has long been a secondary business unit to the offshore delivery capability of Accenture, is a strategic growth focus, and the organization has focused on Indian banking and financial services, telecommunications, and the public sector using its Accenture Cloud and Industry X. Accenture has a structural cost advantage with regard to currency dynamics. Since most of the global revenues of Accenture are billed using the US dollar and the euro and most of its main cost base in India was billed using the Indian rupee, the depreciation of the rupee against the key currencies has helped the company to retain the affordability of Indian delivery to global clients (Reserve Bank </w:t>
      </w:r>
      <w:r>
        <w:lastRenderedPageBreak/>
        <w:t>of India, 2024). This is an advantage that is proactively handled via the Accenture treasury hedging programme, but incursion is a constant financial management overhead.</w:t>
      </w:r>
    </w:p>
    <w:p w14:paraId="6E1C1EFC" w14:textId="30D93B2B" w:rsidR="00BD7F9D" w:rsidRPr="004676FF" w:rsidRDefault="004676FF" w:rsidP="004B418D">
      <w:r>
        <w:t>The ultimate economic issue that affected Accenture in India was the post-pandemic wage inflation and attrition cycle of FY2021-22 where the India IT talent market had attrition rates of around 27-28 percent (</w:t>
      </w:r>
      <w:proofErr w:type="spellStart"/>
      <w:r>
        <w:t>Nasscom</w:t>
      </w:r>
      <w:proofErr w:type="spellEnd"/>
      <w:r>
        <w:t xml:space="preserve">, 2023). Above-market salary increases, accelerated promotion, hybrid work policies, and hiring fresher were some of the responses Accenture gave to water down the senior talent salary burden. In Q3 FY2024, the attrition was normalised to around 13 percent (Accenture Annual Report, 2024). </w:t>
      </w:r>
    </w:p>
    <w:p w14:paraId="529C80BC" w14:textId="18BFB9A3" w:rsidR="004B418D" w:rsidRPr="005D2A1C" w:rsidRDefault="004676FF" w:rsidP="004B418D">
      <w:r>
        <w:t xml:space="preserve">The creation of demand-side pressure in the primary export markets, especially North America (around 45 percent of Accenture total revenues), through IT spending consolidation caused by increasing interest rates in FY2023-24 resulted in demand side pressure (Gartner, 2023). Accenture switched its focus strategically to consulting engagements focused on cost-optimisation, consulting companies to help clients optimise their IT spending in the face of tight IT budgets, a service category that was also countercyclical to falling discretionary transformation spending. </w:t>
      </w:r>
    </w:p>
    <w:p w14:paraId="24F6AB00" w14:textId="0C865277" w:rsidR="004676FF" w:rsidRDefault="007C698C" w:rsidP="004676FF">
      <w:pPr>
        <w:pStyle w:val="Heading2"/>
      </w:pPr>
      <w:bookmarkStart w:id="16" w:name="_Toc224431358"/>
      <w:r>
        <w:t>4.4 Legal Factors</w:t>
      </w:r>
      <w:bookmarkEnd w:id="16"/>
    </w:p>
    <w:p w14:paraId="2E26668E" w14:textId="07E0D1C2" w:rsidR="00BD7F9D" w:rsidRPr="00BD6AD9" w:rsidRDefault="00BD6AD9" w:rsidP="004B418D">
      <w:r w:rsidRPr="00BD6AD9">
        <w:t xml:space="preserve">The Indian legal regulations affecting Accenture activities are as follows: The Information Technology Act 2000, the Companies Act 2013, and the Digital Personal Data Protection Act 2023. The DPDPA places more stringent conditions on consent, data control and adherence and the state can also introduce limitations on international transfer of personal data, which further escalates the compliance imperatives of companies involved in processing sensitive client data </w:t>
      </w:r>
      <w:r w:rsidR="004676FF" w:rsidRPr="00BD6AD9">
        <w:t xml:space="preserve">(Ministry of Electronics and Information Technology, 2023). </w:t>
      </w:r>
    </w:p>
    <w:p w14:paraId="35170EB4" w14:textId="000A84BB" w:rsidR="00BD7F9D" w:rsidRPr="00E63F1A" w:rsidRDefault="00E63F1A" w:rsidP="004B418D">
      <w:r>
        <w:t xml:space="preserve">The multi-jurisdictional requirements that face Accenture are GDPR to protect client data in the EU, CCPA to protect client data in California, and compliance with a growing volume of country-specific cybersecurity and data protection regulations in its operating locations. There is a high and growing legal overhead of negotiating between conflicting regulatory frameworks. Accenture achieves this by having a centralised Global Legal and Compliance practice which is supported by India specific </w:t>
      </w:r>
      <w:r>
        <w:lastRenderedPageBreak/>
        <w:t>compliance infrastructure, fronted by lawyers who are both qualified in international and Indian law.</w:t>
      </w:r>
    </w:p>
    <w:p w14:paraId="3D68AF2F" w14:textId="306B8625" w:rsidR="00E63F1A" w:rsidRDefault="00E63F1A" w:rsidP="004B418D">
      <w:pPr>
        <w:rPr>
          <w:b/>
          <w:bCs/>
        </w:rPr>
      </w:pPr>
      <w:r>
        <w:t xml:space="preserve">In India, it is the intellectual property law that is very </w:t>
      </w:r>
      <w:r w:rsidR="007557F0">
        <w:t>significant</w:t>
      </w:r>
      <w:r>
        <w:t xml:space="preserve"> to Accenture. The engagement with clients is often associated with the joint design of software, algorithms and data models, and it is necessary to carefully define contractual relations about the ownership of IP, licensing rights and the obligation to remain confidential. The membership of TRIPS Agreement gives India a basic IP protection regime (World Intellectual Property Organization, 2023).</w:t>
      </w:r>
    </w:p>
    <w:p w14:paraId="2E729A88" w14:textId="3BE78F13" w:rsidR="00FE2656" w:rsidRDefault="007C698C" w:rsidP="00E63F1A">
      <w:pPr>
        <w:pStyle w:val="Heading2"/>
      </w:pPr>
      <w:bookmarkStart w:id="17" w:name="_Toc224431359"/>
      <w:r>
        <w:t>4.5 Cultural Factors</w:t>
      </w:r>
      <w:bookmarkEnd w:id="17"/>
    </w:p>
    <w:p w14:paraId="4E982803" w14:textId="2BB5B219" w:rsidR="004B418D" w:rsidRPr="00E63F1A" w:rsidRDefault="00E63F1A" w:rsidP="004B418D">
      <w:r>
        <w:t xml:space="preserve">Cultural issues have their own strategic significance in the case of a professional care company whose prosperity is </w:t>
      </w:r>
      <w:r w:rsidR="007557F0">
        <w:t>attached</w:t>
      </w:r>
      <w:r>
        <w:t xml:space="preserve"> on the quality of human judgment and relationships with clients. Indian-based delivery teams of Accenture have close contact with clients and onshore engagement managers in North America, Europe, and Australia. These cultural dimensions including; higher power distance, collectivist orientation, indirect communication norms (Hofstede, 1980) can be an issue in dealing with clients especially those with low power distance, individualistic society like the United States, Germany, or Australia. To reduce these frictions, Accenture has formalised cross-cultural communication training, client interaction practices, and pre-established onshore-offshore working models.</w:t>
      </w:r>
    </w:p>
    <w:p w14:paraId="4D46695F" w14:textId="4A0240CF" w:rsidR="004B418D" w:rsidRPr="00E63F1A" w:rsidRDefault="00E63F1A" w:rsidP="004B418D">
      <w:r>
        <w:t xml:space="preserve">On the inside, the organisational culture of Accenture in India balances the consistency of the global brands with the adjustment to the local workforce expectations. To attract and retain talent in a competitive market, India-specific employee value propositions such as formal learning opportunities through Accenture </w:t>
      </w:r>
      <w:proofErr w:type="spellStart"/>
      <w:r>
        <w:t>LearnVantage</w:t>
      </w:r>
      <w:proofErr w:type="spellEnd"/>
      <w:r>
        <w:t xml:space="preserve"> knowledge management platform, internal mobility programmes, and flexible working arrangements, have been invested in the company</w:t>
      </w:r>
      <w:r w:rsidR="0016675A">
        <w:t xml:space="preserve">. </w:t>
      </w:r>
      <w:r w:rsidR="00BD6AD9" w:rsidRPr="00BD6AD9">
        <w:t>It has been publicly stressing the high gender representation and DEI commitment in India, as it helps to build the employer brand and aligns with broader corporate values and investor expectations, but India-specific workforce ratios must be quoted only where the source directly reports them (Accenture Annual Report, 2024).</w:t>
      </w:r>
    </w:p>
    <w:p w14:paraId="35B3B372" w14:textId="25FAA189" w:rsidR="00E63F1A" w:rsidRDefault="00E63F1A" w:rsidP="004B418D">
      <w:pPr>
        <w:rPr>
          <w:b/>
          <w:bCs/>
        </w:rPr>
      </w:pPr>
      <w:r>
        <w:t>The multi-city IT geography of India is characterized by regional and linguistic diversity, which stands to introduce constant human resource management issues.</w:t>
      </w:r>
      <w:r w:rsidR="007557F0" w:rsidRPr="007557F0">
        <w:t xml:space="preserve"> </w:t>
      </w:r>
      <w:r w:rsidR="00BD6AD9" w:rsidRPr="00BD6AD9">
        <w:t xml:space="preserve">The DEI frameworks of Accenture in India are specific to </w:t>
      </w:r>
      <w:proofErr w:type="spellStart"/>
      <w:r w:rsidR="00BD6AD9" w:rsidRPr="00BD6AD9">
        <w:t>fulfill</w:t>
      </w:r>
      <w:proofErr w:type="spellEnd"/>
      <w:r w:rsidR="00BD6AD9" w:rsidRPr="00BD6AD9">
        <w:t xml:space="preserve"> regional, linguistic, and </w:t>
      </w:r>
      <w:r w:rsidR="00BD6AD9" w:rsidRPr="00BD6AD9">
        <w:lastRenderedPageBreak/>
        <w:t xml:space="preserve">socioeconomic diversity in hiring and the workforce management of Bengaluru, Hyderabad, Chennai, Mumbai, Pune, and Delhi NCR. </w:t>
      </w:r>
      <w:r>
        <w:t>The relative protective effects of the global brand and size of the company against culturally motivated eventualities of attrition which have occurred intermittently to smaller domestically based and headquartered IT companies.</w:t>
      </w:r>
    </w:p>
    <w:p w14:paraId="68819DAE" w14:textId="22A52CC8" w:rsidR="00FE2656" w:rsidRDefault="007C698C" w:rsidP="00E63F1A">
      <w:pPr>
        <w:pStyle w:val="Heading2"/>
      </w:pPr>
      <w:bookmarkStart w:id="18" w:name="_Toc224431360"/>
      <w:r>
        <w:t>4.6 Summary Assessment: India as a Strategic Location for Accenture</w:t>
      </w:r>
      <w:bookmarkEnd w:id="18"/>
    </w:p>
    <w:p w14:paraId="0A98C321" w14:textId="49B7C1FA" w:rsidR="004B418D" w:rsidRPr="00E63F1A" w:rsidRDefault="00E63F1A" w:rsidP="004B418D">
      <w:r>
        <w:t xml:space="preserve">India is one of the most strategically critical and structurally advantaged operating geographies of Accenture as seen through the PESTLE analysis through the prism of Dunning OLI framework (Dunning, 2001). The ownership strengths of Accenture, including global brand, proprietary AI, cloud solutions, extensive consulting relationships, and industry specific solutions are leveraged by the location strengths of India: large, technologically skilled workforce; cost base that is competitive with wage inflation; enhancing digital and physical infrastructure; government support of the IT sector; and geopolitical alignment with the largely Western clientele of Accenture. </w:t>
      </w:r>
    </w:p>
    <w:p w14:paraId="2F48D318" w14:textId="281FFD4C" w:rsidR="004B418D" w:rsidRPr="00BD6AD9" w:rsidRDefault="00E63F1A" w:rsidP="004B418D">
      <w:r w:rsidRPr="00BD6AD9">
        <w:t xml:space="preserve">The main risks that will need continuous strategic management are the wage inflation and pressure on talent retention, the growing compliance costs of multi-jurisdictional data protection regulation and demand side volatility in North America. </w:t>
      </w:r>
      <w:r w:rsidR="00BD6AD9" w:rsidRPr="00BD6AD9">
        <w:t>The strategic actions of Accenture such as investing in automation, alignment of compliance systems to emerging data-protection demands, diversifying its portfolio to meet the cost-optimisation demand and expanding its market in the domestic Indian market demonstrate a significant level of adaptive capacity and support the idea that India has been one of the most critical locations of delivery in the portfolio of Accenture.</w:t>
      </w:r>
    </w:p>
    <w:p w14:paraId="7D810487" w14:textId="77777777" w:rsidR="005D2A1C" w:rsidRDefault="005D2A1C">
      <w:pPr>
        <w:spacing w:before="0" w:line="240" w:lineRule="auto"/>
        <w:jc w:val="left"/>
        <w:rPr>
          <w:b/>
          <w:bCs/>
          <w:color w:val="2E4A7A"/>
          <w:sz w:val="32"/>
          <w:szCs w:val="32"/>
          <w:lang w:val="en-US"/>
        </w:rPr>
      </w:pPr>
      <w:r>
        <w:br w:type="page"/>
      </w:r>
    </w:p>
    <w:p w14:paraId="435C5850" w14:textId="16DBFD0F" w:rsidR="00FE2656" w:rsidRDefault="007C698C" w:rsidP="00E63F1A">
      <w:pPr>
        <w:pStyle w:val="Heading1"/>
      </w:pPr>
      <w:bookmarkStart w:id="19" w:name="_Toc224431361"/>
      <w:r>
        <w:lastRenderedPageBreak/>
        <w:t>5. Conclusion</w:t>
      </w:r>
      <w:bookmarkEnd w:id="19"/>
    </w:p>
    <w:p w14:paraId="75A88B13" w14:textId="06B32BDA" w:rsidR="00BD7F9D" w:rsidRPr="00BD6AD9" w:rsidRDefault="00E63F1A" w:rsidP="00BD6AD9">
      <w:pPr>
        <w:spacing w:before="100" w:after="120"/>
      </w:pPr>
      <w:r w:rsidRPr="00BD6AD9">
        <w:t xml:space="preserve">The IT industry in India is competitive at the international level due to a self-reinforcing system of structural advantages which have become entrenched within the industry over three decades. A combination of unprecedented engineering talent pipeline, continued labour cost competitiveness, an exacting group of worldwide customers who are regularly upgrading their capability needs, a bountiful ecosystem of supporting industries, and intense home rivalry has developed a competitive edge in IT service and digital transformation that no other national economy has matched on the level of scale. </w:t>
      </w:r>
      <w:r w:rsidR="00BD6AD9" w:rsidRPr="00BD6AD9">
        <w:t xml:space="preserve">This strength does not last forever but is relatively strong in the short term due to the stocks made to infrastructure, talent systems, and </w:t>
      </w:r>
      <w:r w:rsidR="000D1BBF" w:rsidRPr="00BD6AD9">
        <w:t>long-time</w:t>
      </w:r>
      <w:r w:rsidR="00BD6AD9" w:rsidRPr="00BD6AD9">
        <w:t xml:space="preserve"> relationships with clients.</w:t>
      </w:r>
    </w:p>
    <w:p w14:paraId="5850D695" w14:textId="6395674B" w:rsidR="00BD7F9D" w:rsidRDefault="00E63F1A" w:rsidP="00BD7F9D">
      <w:pPr>
        <w:spacing w:before="100" w:after="120"/>
      </w:pPr>
      <w:r>
        <w:t>The largest material threat that might diminish this advantage is the AI-based automation of service delivery that replaces the labour-arbitrage based service delivery. To the extent that the financial and quality justifications of offshoring less-complex IT work - basic software development, testing, application maintenance - is increasingly undermined by AI-based products and services allowing clients to create similar outputs at home at a lower overall cost, the large pool of entry-level IT jobs in India is structurally at risk. The causal mechanism is straightforward: an increase in AI capacity causes the marginal cost of automation of routine functions to fall; the volume demand in labour-intensive delivery decreases; the revenue per worker of Indian IT firms falls; the talent pipeline also changes slowly because the higher education cycle takes long; and there is an excess supply of talent in less-skilled automation and an under-supply of talent in more-skilled automation, cloud, and cybersecurity services. The speed of educational change, the scale of investment in reskilling of the private sector, and the potential of major IT companies to switch their business models to platforms, advisory and AI-enhanced services.</w:t>
      </w:r>
    </w:p>
    <w:p w14:paraId="377FEE00" w14:textId="061A1267" w:rsidR="008C129F" w:rsidRPr="00BD7F9D" w:rsidRDefault="008C129F" w:rsidP="008B1373">
      <w:r>
        <w:t xml:space="preserve">The strategic implication of this landscape in the case of Accenture is to augment its platform and AI capability presence in India, in terms of its Accenture AI Refinery and </w:t>
      </w:r>
      <w:proofErr w:type="spellStart"/>
      <w:r>
        <w:t>LearnVantage</w:t>
      </w:r>
      <w:proofErr w:type="spellEnd"/>
      <w:r>
        <w:t xml:space="preserve"> platforms, and to expedite the local India market practice to decouple its revenue base with North American outsourcing. </w:t>
      </w:r>
      <w:r w:rsidR="00BD6AD9" w:rsidRPr="00BD6AD9">
        <w:t xml:space="preserve">The Western corporations, its relatively safe status as a democratic technology partner, along with its size, cost saturation, English-language skill and its technical ability, justify the conclusion that </w:t>
      </w:r>
      <w:r w:rsidR="00BD6AD9" w:rsidRPr="00BD6AD9">
        <w:lastRenderedPageBreak/>
        <w:t xml:space="preserve">India will continue to be among the most important operating locales of Accenture in the next few years, unless AI-driven </w:t>
      </w:r>
      <w:proofErr w:type="spellStart"/>
      <w:r w:rsidR="00BD6AD9" w:rsidRPr="00BD6AD9">
        <w:t>onshoring</w:t>
      </w:r>
      <w:proofErr w:type="spellEnd"/>
      <w:r w:rsidR="00BD6AD9" w:rsidRPr="00BD6AD9">
        <w:t>, a tighter regulation of cross-border data transfer, and the long-standing weakness of North American demand have significant impacts on the current economics of global delivery</w:t>
      </w:r>
      <w:r w:rsidR="0016675A" w:rsidRPr="00BD6AD9">
        <w:t xml:space="preserve">. </w:t>
      </w:r>
      <w:r w:rsidRPr="00BD6AD9">
        <w:t xml:space="preserve">It is </w:t>
      </w:r>
      <w:r>
        <w:t>not about whether India is becoming competitive: the question is whether its IT industry can shift to the next stage of knowledge leadership based on AI before the structural wind of the previous model completely blows away.</w:t>
      </w:r>
    </w:p>
    <w:p w14:paraId="71347252" w14:textId="77777777" w:rsidR="004B418D" w:rsidRDefault="004B418D">
      <w:pPr>
        <w:spacing w:line="240" w:lineRule="auto"/>
        <w:jc w:val="left"/>
        <w:rPr>
          <w:b/>
          <w:bCs/>
          <w:color w:val="2E4A7A"/>
          <w:sz w:val="32"/>
          <w:szCs w:val="32"/>
        </w:rPr>
      </w:pPr>
      <w:r>
        <w:br w:type="page"/>
      </w:r>
    </w:p>
    <w:p w14:paraId="32075A85" w14:textId="7EADEB9A" w:rsidR="00FE2656" w:rsidRDefault="007C698C">
      <w:pPr>
        <w:pStyle w:val="Heading1"/>
      </w:pPr>
      <w:bookmarkStart w:id="20" w:name="_Toc224431362"/>
      <w:r>
        <w:lastRenderedPageBreak/>
        <w:t>Section 2: Reflective Account – Gibbs' Reflective Cycle</w:t>
      </w:r>
      <w:bookmarkEnd w:id="20"/>
    </w:p>
    <w:p w14:paraId="29ABD77B" w14:textId="3F28C73A" w:rsidR="008C129F" w:rsidRDefault="008C129F" w:rsidP="004B418D">
      <w:pPr>
        <w:rPr>
          <w:b/>
          <w:bCs/>
        </w:rPr>
      </w:pPr>
      <w:r>
        <w:t xml:space="preserve">The reflective </w:t>
      </w:r>
      <w:r w:rsidR="007557F0">
        <w:t>description</w:t>
      </w:r>
      <w:r>
        <w:t xml:space="preserve"> below is based on Gibbs Reflective Cycle (Gibbs, 1988), according to which the reflective process is organized into six phases, including description, feelings, evaluation, and analysis, conclusion, and action plan. The model is especially applicable to academic tasks that are important and involve research, since it encourages fair assessment of intellectual content or the practice itself.</w:t>
      </w:r>
    </w:p>
    <w:p w14:paraId="2C2E615F" w14:textId="2CE00851" w:rsidR="00FE2656" w:rsidRDefault="007C698C">
      <w:pPr>
        <w:pStyle w:val="Heading2"/>
      </w:pPr>
      <w:bookmarkStart w:id="21" w:name="_Toc224431363"/>
      <w:r>
        <w:t>Stage 1: Description – What Happened?</w:t>
      </w:r>
      <w:bookmarkEnd w:id="21"/>
    </w:p>
    <w:p w14:paraId="2503E059" w14:textId="77777777" w:rsidR="008C129F" w:rsidRDefault="008C129F" w:rsidP="004B418D">
      <w:pPr>
        <w:rPr>
          <w:b/>
          <w:bCs/>
        </w:rPr>
      </w:pPr>
      <w:r>
        <w:t>The assignment involved the choice of a country and industry, a substantial amount of secondary research, utilizing the available theoretical frameworks, and the creation of a consistent and analytical report in 4,500-5,500 words. I chose the IT sector in India and, after being advised by my lecturer, changed my original target focus company (Infosys, an Indian based company) with Accenture plc, which is an US and Irish company with its main delivery location in India. This was corrected to meet the requirement of the assignment brief, which entailed a foreign MNC to be operating in the selected country-industry. The process of the research took about three to four weeks and relied on peer-reviewed articles in academic literature, official governmental and industry publications (</w:t>
      </w:r>
      <w:proofErr w:type="spellStart"/>
      <w:r>
        <w:t>Nasscom</w:t>
      </w:r>
      <w:proofErr w:type="spellEnd"/>
      <w:r>
        <w:t>, Gartner, Ministry of Electronics and Information Technology), annual report of companies, and reliable second-party sources. As the main tools of analysis, the Diamond Model by Porter and a PESTLE framework were referred to.</w:t>
      </w:r>
    </w:p>
    <w:p w14:paraId="45875D84" w14:textId="29BBCF13" w:rsidR="00FE2656" w:rsidRDefault="007C698C">
      <w:pPr>
        <w:pStyle w:val="Heading2"/>
      </w:pPr>
      <w:bookmarkStart w:id="22" w:name="_Toc224431364"/>
      <w:r>
        <w:t>Stage 2: Feelings – What Were You Thinking and Feeling?</w:t>
      </w:r>
      <w:bookmarkEnd w:id="22"/>
    </w:p>
    <w:p w14:paraId="135D3ECA" w14:textId="4DF58E42" w:rsidR="006E7544" w:rsidRDefault="006E7544" w:rsidP="008B1373">
      <w:pPr>
        <w:rPr>
          <w:b/>
          <w:bCs/>
        </w:rPr>
      </w:pPr>
      <w:r w:rsidRPr="006E7544">
        <w:t xml:space="preserve">To be completely </w:t>
      </w:r>
      <w:bookmarkStart w:id="23" w:name="_GoBack"/>
      <w:bookmarkEnd w:id="23"/>
      <w:r w:rsidR="007557F0" w:rsidRPr="006E7544">
        <w:t>straight</w:t>
      </w:r>
      <w:r w:rsidRPr="006E7544">
        <w:t xml:space="preserve">, I did not know where to start when I first saw the extent of this assignment. The IT industry in India is such a diverse field that involves a lot of aspects such as economic, corporate strategy, governance, and digital transformation, and initially, it seemed too difficult to place it all in a single analytical writing. This became worse when my lecturer indicated that Infosys, which I had initially considered as the company, was not a foreign MNC and, thus, I needed to revisit much of my work. That was really exasperating then. In retrospect, however, the decision to switch to Accenture was analytically correct, as that compelled me to answer the question correctly regarding how a foreign company feels about India as a host country which is much more thought provoking and pertinent. When I had that better focus, the </w:t>
      </w:r>
      <w:r w:rsidRPr="006E7544">
        <w:lastRenderedPageBreak/>
        <w:t>research seemed to have a purpose and I realized the process of making arguments out of facts, instead of merely explaining what I read, watered me down with greater pleasantness.</w:t>
      </w:r>
    </w:p>
    <w:p w14:paraId="52469100" w14:textId="528D575C" w:rsidR="00FE2656" w:rsidRDefault="007C698C">
      <w:pPr>
        <w:pStyle w:val="Heading2"/>
      </w:pPr>
      <w:bookmarkStart w:id="24" w:name="_Toc224431365"/>
      <w:r>
        <w:t>Stage 3: Evaluation – What Was Good and Bad?</w:t>
      </w:r>
      <w:bookmarkEnd w:id="24"/>
    </w:p>
    <w:p w14:paraId="2A4E998A" w14:textId="77777777" w:rsidR="006E7544" w:rsidRDefault="006E7544" w:rsidP="008B1373">
      <w:pPr>
        <w:rPr>
          <w:b/>
          <w:bCs/>
        </w:rPr>
      </w:pPr>
      <w:r w:rsidRPr="006E7544">
        <w:t xml:space="preserve">One of the strengths was the good quality of the sources that I was able to find. The fact that I was able to access </w:t>
      </w:r>
      <w:proofErr w:type="spellStart"/>
      <w:r w:rsidRPr="006E7544">
        <w:t>Nasscom</w:t>
      </w:r>
      <w:proofErr w:type="spellEnd"/>
      <w:r w:rsidRPr="006E7544">
        <w:t xml:space="preserve"> data, Gartner projections, company annual reports and academic literature also implied that my arguments were supported by evidence, as opposed to conjecture. Taking the Diamond analysis a step further to describe the advantages of India, in fact, doubting whether these advantages can withstand the AI-based change, strengthened the analysis to a substantial degree. What failed in my initial draft is that I took too much time discussing and not evaluating. In the competitor section, I mentioned what each firm was doing but failed to mention what it really means competitively. The PESTLE analysis was more of a general analysis of the business environment in India but not the specific situation in Accenture. They both required a lot of reworking before they declared something which was analytically meaningful.</w:t>
      </w:r>
      <w:r>
        <w:rPr>
          <w:b/>
          <w:bCs/>
        </w:rPr>
        <w:t xml:space="preserve"> </w:t>
      </w:r>
    </w:p>
    <w:p w14:paraId="34828BE9" w14:textId="22BC3BCB" w:rsidR="00FE2656" w:rsidRDefault="007C698C" w:rsidP="008C129F">
      <w:pPr>
        <w:pStyle w:val="Heading2"/>
      </w:pPr>
      <w:bookmarkStart w:id="25" w:name="_Toc224431366"/>
      <w:r>
        <w:t>Stage 4: Analysis – Why Did Things Happen as They Did?</w:t>
      </w:r>
      <w:bookmarkEnd w:id="25"/>
    </w:p>
    <w:p w14:paraId="5DB6B8BC" w14:textId="77777777" w:rsidR="006E7544" w:rsidRPr="006E7544" w:rsidRDefault="006E7544" w:rsidP="008B1373">
      <w:r w:rsidRPr="006E7544">
        <w:t>I believe the reason that my first draft sounded so descriptive was that when you encounter any complicated stuff, it is only natural that you want to demonstrate that you get it fully before you bother making a judgment about it. Coverage has a certain level of comfort. The same can be said with Schwartz (2004) regarding the problem of too many options, that it was ironical that there were so many good sources available, this made it even harder to decide which ones were the most important in terms of the analysis, since everything looked worth putting on the list.</w:t>
      </w:r>
    </w:p>
    <w:p w14:paraId="4A3FA482" w14:textId="77777777" w:rsidR="006E7544" w:rsidRDefault="006E7544" w:rsidP="008B1373">
      <w:r w:rsidRPr="006E7544">
        <w:t>The Infosys error was more deliberate, I just did not properly read the brief before I began. I made the mistake of thinking that the best thing to do is to select the biggest company in the market without bothering of whether it has to be a foreign company. Several minutes of thoughtful reading at the beginning would have saved hours of re-work in the future.</w:t>
      </w:r>
    </w:p>
    <w:p w14:paraId="201F07C2" w14:textId="77777777" w:rsidR="000D1BBF" w:rsidRDefault="000D1BBF" w:rsidP="008B1373">
      <w:pPr>
        <w:rPr>
          <w:b/>
          <w:bCs/>
        </w:rPr>
      </w:pPr>
    </w:p>
    <w:p w14:paraId="04FC11BA" w14:textId="1DE73742" w:rsidR="00FE2656" w:rsidRDefault="007C698C" w:rsidP="006E7544">
      <w:pPr>
        <w:pStyle w:val="Heading2"/>
      </w:pPr>
      <w:bookmarkStart w:id="26" w:name="_Toc224431367"/>
      <w:r>
        <w:lastRenderedPageBreak/>
        <w:t>Stage 5: Conclusion – What Else Could Have Been Done?</w:t>
      </w:r>
      <w:bookmarkEnd w:id="26"/>
    </w:p>
    <w:p w14:paraId="7EAC62FB" w14:textId="77777777" w:rsidR="006E7544" w:rsidRDefault="006E7544" w:rsidP="008B1373">
      <w:pPr>
        <w:rPr>
          <w:b/>
          <w:bCs/>
        </w:rPr>
      </w:pPr>
      <w:r w:rsidRPr="006E7544">
        <w:t>The best way that I might have improved would be to sit down and read the brief, and plan out precisely what the assignment needed, what could not be compromised, like the foreign MNC requirement. That omission is the thing that cost me most of time in the process. On the analysis front, Hofstede (1980) provided me with a very practical cultural framework, but I believe that the GLOBE Study (House et al., 2004) would have been more effective, especially in terms of how the cultural dynamics work out in the sphere of professional services and client-facing work.</w:t>
      </w:r>
    </w:p>
    <w:p w14:paraId="2D797C09" w14:textId="1684C5FE" w:rsidR="00FE2656" w:rsidRDefault="007C698C">
      <w:pPr>
        <w:pStyle w:val="Heading2"/>
      </w:pPr>
      <w:bookmarkStart w:id="27" w:name="_Toc224431368"/>
      <w:r>
        <w:t>Stage 6: Action Plan – If It Arose Again, What Would I Do?</w:t>
      </w:r>
      <w:bookmarkEnd w:id="27"/>
    </w:p>
    <w:p w14:paraId="04E65924" w14:textId="4F413306" w:rsidR="004B418D" w:rsidRDefault="006E7544" w:rsidP="008B1373">
      <w:r w:rsidRPr="006E7544">
        <w:t>Three things that I would do differently next time. First, prior to I perusing even a source, I will run through the brief and jot down all the requirements that cannot be bargained out with, the nature of company, the structures necessary, the number of words, the source specifications, and compare my plan with this list before I begin writing. Second, whenever I use a theoretical framework, I will pose myself three questions to each point I bring up: what factual support actually goes to support this, what does this mean in the context in which the firm or the industry competes, and where can this strength fail. In that manner the analysis will remain evaluative without dwelling upon the description. Third, I will receive peer feedback about my outline, and not the draft. The structural issues were the largest in this assignment, and structural issues are much easier to correct before you have thousands of words of it around you. Unless in this case, I would have to have some structural changes, which I would know that this time I went through the revision process and did not have to make some changes.</w:t>
      </w:r>
      <w:r w:rsidR="004B418D">
        <w:rPr>
          <w:b/>
          <w:bCs/>
        </w:rPr>
        <w:br w:type="page"/>
      </w:r>
    </w:p>
    <w:p w14:paraId="66A04587" w14:textId="04EFF713" w:rsidR="00FE2656" w:rsidRDefault="007C698C" w:rsidP="004B418D">
      <w:pPr>
        <w:pStyle w:val="Heading1"/>
      </w:pPr>
      <w:bookmarkStart w:id="28" w:name="_Toc224431369"/>
      <w:r>
        <w:lastRenderedPageBreak/>
        <w:t>References</w:t>
      </w:r>
      <w:bookmarkEnd w:id="28"/>
    </w:p>
    <w:p w14:paraId="7435CE8C" w14:textId="77777777" w:rsidR="00F242CF" w:rsidRPr="00573C6C" w:rsidRDefault="00F242CF" w:rsidP="00573C6C">
      <w:r w:rsidRPr="00573C6C">
        <w:t xml:space="preserve">Accenture plc (2024) </w:t>
      </w:r>
      <w:r w:rsidRPr="00573C6C">
        <w:rPr>
          <w:i/>
          <w:iCs/>
        </w:rPr>
        <w:t>Annual report 2023–24.</w:t>
      </w:r>
      <w:r w:rsidRPr="00573C6C">
        <w:t xml:space="preserve"> Dublin: Accenture plc. Available at: </w:t>
      </w:r>
      <w:hyperlink r:id="rId9" w:history="1">
        <w:r w:rsidRPr="00573C6C">
          <w:rPr>
            <w:rStyle w:val="Hyperlink"/>
            <w:lang w:val="en-US"/>
          </w:rPr>
          <w:t>https://investor.accenture.com/financial-information/annual-reports</w:t>
        </w:r>
      </w:hyperlink>
      <w:r w:rsidRPr="00573C6C">
        <w:t xml:space="preserve"> (Accessed: 15 February 2025).</w:t>
      </w:r>
    </w:p>
    <w:p w14:paraId="4F41BAE2" w14:textId="77777777" w:rsidR="00F242CF" w:rsidRPr="00573C6C" w:rsidRDefault="00F242CF" w:rsidP="00573C6C">
      <w:r w:rsidRPr="00573C6C">
        <w:t xml:space="preserve">AICTE (All India Council for Technical Education) (2024) </w:t>
      </w:r>
      <w:r w:rsidRPr="00573C6C">
        <w:rPr>
          <w:i/>
          <w:iCs/>
        </w:rPr>
        <w:t>Annual report 2023–24.</w:t>
      </w:r>
      <w:r w:rsidRPr="00573C6C">
        <w:t xml:space="preserve"> New Delhi: AICTE. Available at: </w:t>
      </w:r>
      <w:hyperlink r:id="rId10" w:history="1">
        <w:r w:rsidRPr="00573C6C">
          <w:rPr>
            <w:rStyle w:val="Hyperlink"/>
            <w:lang w:val="en-US"/>
          </w:rPr>
          <w:t>https://www.aicte-india.org/reports/overview/Annual-Report</w:t>
        </w:r>
      </w:hyperlink>
      <w:r w:rsidRPr="00573C6C">
        <w:t xml:space="preserve"> (Accessed: 15 February 2025).</w:t>
      </w:r>
    </w:p>
    <w:p w14:paraId="7162F2AB" w14:textId="77777777" w:rsidR="00F242CF" w:rsidRPr="00573C6C" w:rsidRDefault="00F242CF" w:rsidP="00573C6C">
      <w:pPr>
        <w:rPr>
          <w:lang w:val="en-US"/>
        </w:rPr>
      </w:pPr>
      <w:r w:rsidRPr="00573C6C">
        <w:rPr>
          <w:lang w:val="en-US"/>
        </w:rPr>
        <w:t xml:space="preserve">Deloitte (2023) </w:t>
      </w:r>
      <w:r w:rsidRPr="00573C6C">
        <w:rPr>
          <w:i/>
          <w:iCs/>
          <w:lang w:val="en-US"/>
        </w:rPr>
        <w:t>Global shared services and outsourcing survey 2023.</w:t>
      </w:r>
      <w:r w:rsidRPr="00573C6C">
        <w:rPr>
          <w:lang w:val="en-US"/>
        </w:rPr>
        <w:t xml:space="preserve"> London: Deloitte Insights. Available at: </w:t>
      </w:r>
      <w:hyperlink r:id="rId11" w:history="1">
        <w:r w:rsidRPr="00573C6C">
          <w:rPr>
            <w:rStyle w:val="Hyperlink"/>
            <w:lang w:val="en-US"/>
          </w:rPr>
          <w:t>https://www2.deloitte.com/content/dam/Deloitte/us/Documents/process-and-operations/us-2023-global-shared-services-and-outsourcing-survey-executive-summary.pdf</w:t>
        </w:r>
      </w:hyperlink>
      <w:r w:rsidRPr="00573C6C">
        <w:rPr>
          <w:lang w:val="en-US"/>
        </w:rPr>
        <w:t xml:space="preserve"> (Accessed: 17 February 2025).</w:t>
      </w:r>
    </w:p>
    <w:p w14:paraId="7C047EC8" w14:textId="77777777" w:rsidR="00F242CF" w:rsidRPr="00573C6C" w:rsidRDefault="00F242CF" w:rsidP="00573C6C">
      <w:proofErr w:type="spellStart"/>
      <w:r w:rsidRPr="00573C6C">
        <w:t>Dossani</w:t>
      </w:r>
      <w:proofErr w:type="spellEnd"/>
      <w:r w:rsidRPr="00573C6C">
        <w:t xml:space="preserve">, R. (2008) </w:t>
      </w:r>
      <w:r w:rsidRPr="00573C6C">
        <w:rPr>
          <w:i/>
          <w:iCs/>
        </w:rPr>
        <w:t>India arriving: How this economic powerhouse is redefining global business.</w:t>
      </w:r>
      <w:r w:rsidRPr="00573C6C">
        <w:t xml:space="preserve"> New York: AMACOM.</w:t>
      </w:r>
    </w:p>
    <w:p w14:paraId="5380B7D0" w14:textId="77777777" w:rsidR="00F242CF" w:rsidRPr="00573C6C" w:rsidRDefault="00F242CF" w:rsidP="00573C6C">
      <w:r w:rsidRPr="00573C6C">
        <w:t>Dunning, J.H. (2001) '</w:t>
      </w:r>
      <w:proofErr w:type="gramStart"/>
      <w:r w:rsidRPr="00573C6C">
        <w:t>The</w:t>
      </w:r>
      <w:proofErr w:type="gramEnd"/>
      <w:r w:rsidRPr="00573C6C">
        <w:t xml:space="preserve"> eclectic (OLI) paradigm of international production: past, present and future', </w:t>
      </w:r>
      <w:r w:rsidRPr="00573C6C">
        <w:rPr>
          <w:i/>
          <w:iCs/>
        </w:rPr>
        <w:t>International Journal of the Economics of Business,</w:t>
      </w:r>
      <w:r w:rsidRPr="00573C6C">
        <w:t xml:space="preserve"> 8(2), pp. 173–190.</w:t>
      </w:r>
    </w:p>
    <w:p w14:paraId="0C189BD4" w14:textId="77777777" w:rsidR="00F242CF" w:rsidRPr="00573C6C" w:rsidRDefault="00F242CF" w:rsidP="00573C6C">
      <w:r w:rsidRPr="00573C6C">
        <w:t xml:space="preserve">Economic Times (2023) 'Accenture and Indian IT firms respond to US visa pressures', </w:t>
      </w:r>
      <w:r w:rsidRPr="00573C6C">
        <w:rPr>
          <w:i/>
          <w:iCs/>
        </w:rPr>
        <w:t>The Economic Times,</w:t>
      </w:r>
      <w:r w:rsidRPr="00573C6C">
        <w:t xml:space="preserve"> 14 October. Available at: </w:t>
      </w:r>
      <w:hyperlink r:id="rId12" w:history="1">
        <w:r w:rsidRPr="00573C6C">
          <w:rPr>
            <w:rStyle w:val="Hyperlink"/>
            <w:lang w:val="en-US"/>
          </w:rPr>
          <w:t>https://economictimes.indiatimes.com</w:t>
        </w:r>
      </w:hyperlink>
      <w:r w:rsidRPr="00573C6C">
        <w:t xml:space="preserve"> (Accessed: 18 February 2025).</w:t>
      </w:r>
    </w:p>
    <w:p w14:paraId="271ED1C2" w14:textId="77777777" w:rsidR="00F242CF" w:rsidRPr="00573C6C" w:rsidRDefault="00F242CF" w:rsidP="00573C6C">
      <w:r w:rsidRPr="00573C6C">
        <w:t xml:space="preserve">Economist Intelligence Unit (EIU) (2023) </w:t>
      </w:r>
      <w:r w:rsidRPr="00573C6C">
        <w:rPr>
          <w:i/>
          <w:iCs/>
        </w:rPr>
        <w:t>India technology sector risk assessment 2023.</w:t>
      </w:r>
      <w:r w:rsidRPr="00573C6C">
        <w:t xml:space="preserve"> London: EIU. Available at: </w:t>
      </w:r>
      <w:hyperlink r:id="rId13" w:history="1">
        <w:r w:rsidRPr="00573C6C">
          <w:rPr>
            <w:rStyle w:val="Hyperlink"/>
            <w:lang w:val="en-US"/>
          </w:rPr>
          <w:t>https://www.eiu.com/n/solutions/country-analysis</w:t>
        </w:r>
      </w:hyperlink>
      <w:r w:rsidRPr="00573C6C">
        <w:t xml:space="preserve"> (Accessed: 18 February 2025).</w:t>
      </w:r>
    </w:p>
    <w:p w14:paraId="6461CCBA" w14:textId="77777777" w:rsidR="00F242CF" w:rsidRPr="00573C6C" w:rsidRDefault="00F242CF" w:rsidP="00573C6C">
      <w:r w:rsidRPr="00573C6C">
        <w:t xml:space="preserve">Financial Times (2024) 'India's IT sector positions as western alternative to Chinese technology', </w:t>
      </w:r>
      <w:proofErr w:type="gramStart"/>
      <w:r w:rsidRPr="00573C6C">
        <w:rPr>
          <w:i/>
          <w:iCs/>
        </w:rPr>
        <w:t>Financial</w:t>
      </w:r>
      <w:proofErr w:type="gramEnd"/>
      <w:r w:rsidRPr="00573C6C">
        <w:rPr>
          <w:i/>
          <w:iCs/>
        </w:rPr>
        <w:t xml:space="preserve"> Times,</w:t>
      </w:r>
      <w:r w:rsidRPr="00573C6C">
        <w:t xml:space="preserve"> 5 March. Available at: </w:t>
      </w:r>
      <w:hyperlink r:id="rId14" w:history="1">
        <w:r w:rsidRPr="00573C6C">
          <w:rPr>
            <w:rStyle w:val="Hyperlink"/>
            <w:lang w:val="en-US"/>
          </w:rPr>
          <w:t>https://www.ft.com</w:t>
        </w:r>
      </w:hyperlink>
      <w:r w:rsidRPr="00573C6C">
        <w:t xml:space="preserve"> (Accessed: 19 February 2025).</w:t>
      </w:r>
    </w:p>
    <w:p w14:paraId="16F7DFD4" w14:textId="77777777" w:rsidR="00F242CF" w:rsidRPr="00573C6C" w:rsidRDefault="00F242CF" w:rsidP="00573C6C">
      <w:pPr>
        <w:rPr>
          <w:lang w:val="en-US"/>
        </w:rPr>
      </w:pPr>
      <w:r w:rsidRPr="00573C6C">
        <w:rPr>
          <w:lang w:val="en-US"/>
        </w:rPr>
        <w:t xml:space="preserve">Gartner (2023) </w:t>
      </w:r>
      <w:r w:rsidRPr="00573C6C">
        <w:rPr>
          <w:i/>
          <w:iCs/>
          <w:lang w:val="en-US"/>
        </w:rPr>
        <w:t>IT spending forecast Q4 2023.</w:t>
      </w:r>
      <w:r w:rsidRPr="00573C6C">
        <w:rPr>
          <w:lang w:val="en-US"/>
        </w:rPr>
        <w:t xml:space="preserve"> Stamford, CT: Gartner Inc. Available at: </w:t>
      </w:r>
      <w:hyperlink r:id="rId15" w:history="1">
        <w:r w:rsidRPr="00573C6C">
          <w:rPr>
            <w:rStyle w:val="Hyperlink"/>
            <w:lang w:val="en-US"/>
          </w:rPr>
          <w:t>https://www.gartner.com/en/newsroom/press-releases/2023-10-18-gartner-forecasts-worldwide-it-spending-to-grow-8-percent-in-2024</w:t>
        </w:r>
      </w:hyperlink>
      <w:r w:rsidRPr="00573C6C">
        <w:rPr>
          <w:lang w:val="en-US"/>
        </w:rPr>
        <w:t xml:space="preserve"> (Accessed: 21 February 2025).</w:t>
      </w:r>
    </w:p>
    <w:p w14:paraId="3E527CD7" w14:textId="77777777" w:rsidR="00F242CF" w:rsidRPr="00573C6C" w:rsidRDefault="00F242CF" w:rsidP="00573C6C">
      <w:r w:rsidRPr="00573C6C">
        <w:lastRenderedPageBreak/>
        <w:t xml:space="preserve">Gibbs, G. (1988) </w:t>
      </w:r>
      <w:r w:rsidRPr="00573C6C">
        <w:rPr>
          <w:i/>
          <w:iCs/>
        </w:rPr>
        <w:t>Learning by doing: A guide to teaching and learning methods.</w:t>
      </w:r>
      <w:r w:rsidRPr="00573C6C">
        <w:t xml:space="preserve"> Oxford: Further Education Unit, Oxford Polytechnic.</w:t>
      </w:r>
    </w:p>
    <w:p w14:paraId="7D8C201D" w14:textId="77777777" w:rsidR="00F242CF" w:rsidRPr="00573C6C" w:rsidRDefault="00F242CF" w:rsidP="00573C6C">
      <w:r w:rsidRPr="00573C6C">
        <w:t xml:space="preserve">HCLTech (2024) </w:t>
      </w:r>
      <w:r w:rsidRPr="00573C6C">
        <w:rPr>
          <w:i/>
          <w:iCs/>
        </w:rPr>
        <w:t>Annual report 2023–24.</w:t>
      </w:r>
      <w:r w:rsidRPr="00573C6C">
        <w:t xml:space="preserve"> Noida: HCL Technologies Limited. Available at: </w:t>
      </w:r>
      <w:hyperlink r:id="rId16" w:history="1">
        <w:r w:rsidRPr="00573C6C">
          <w:rPr>
            <w:rStyle w:val="Hyperlink"/>
            <w:lang w:val="en-US"/>
          </w:rPr>
          <w:t>https://www.hcltech.com/investor-relations/annual-reports</w:t>
        </w:r>
      </w:hyperlink>
      <w:r w:rsidRPr="00573C6C">
        <w:t xml:space="preserve"> (Accessed: 20 February 2025).</w:t>
      </w:r>
    </w:p>
    <w:p w14:paraId="03B8FAD7" w14:textId="77777777" w:rsidR="00F242CF" w:rsidRPr="00573C6C" w:rsidRDefault="00F242CF" w:rsidP="00573C6C">
      <w:proofErr w:type="spellStart"/>
      <w:r w:rsidRPr="00573C6C">
        <w:t>Heeks</w:t>
      </w:r>
      <w:proofErr w:type="spellEnd"/>
      <w:r w:rsidRPr="00573C6C">
        <w:t xml:space="preserve">, R. (2006) </w:t>
      </w:r>
      <w:r w:rsidRPr="00573C6C">
        <w:rPr>
          <w:i/>
          <w:iCs/>
        </w:rPr>
        <w:t xml:space="preserve">Implementing and managing </w:t>
      </w:r>
      <w:proofErr w:type="spellStart"/>
      <w:r w:rsidRPr="00573C6C">
        <w:rPr>
          <w:i/>
          <w:iCs/>
        </w:rPr>
        <w:t>eGovernment</w:t>
      </w:r>
      <w:proofErr w:type="spellEnd"/>
      <w:r w:rsidRPr="00573C6C">
        <w:rPr>
          <w:i/>
          <w:iCs/>
        </w:rPr>
        <w:t>: An international text.</w:t>
      </w:r>
      <w:r w:rsidRPr="00573C6C">
        <w:t xml:space="preserve"> London: SAGE Publications.</w:t>
      </w:r>
    </w:p>
    <w:p w14:paraId="6A7BB8C9" w14:textId="77777777" w:rsidR="00F242CF" w:rsidRPr="00573C6C" w:rsidRDefault="00F242CF" w:rsidP="00573C6C">
      <w:r w:rsidRPr="00573C6C">
        <w:t xml:space="preserve">Hofstede, G. (1980) </w:t>
      </w:r>
      <w:r w:rsidRPr="00573C6C">
        <w:rPr>
          <w:i/>
          <w:iCs/>
        </w:rPr>
        <w:t>Culture's consequences: International differences in work-related values.</w:t>
      </w:r>
      <w:r w:rsidRPr="00573C6C">
        <w:t xml:space="preserve"> Beverly Hills, CA: SAGE Publications.</w:t>
      </w:r>
    </w:p>
    <w:p w14:paraId="54DE4B42" w14:textId="77777777" w:rsidR="00F273BA" w:rsidRDefault="00F273BA" w:rsidP="00573C6C">
      <w:r w:rsidRPr="00F273BA">
        <w:t xml:space="preserve">House, R.J., </w:t>
      </w:r>
      <w:proofErr w:type="spellStart"/>
      <w:r w:rsidRPr="00F273BA">
        <w:t>Hanges</w:t>
      </w:r>
      <w:proofErr w:type="spellEnd"/>
      <w:r w:rsidRPr="00F273BA">
        <w:t xml:space="preserve">, P.J., </w:t>
      </w:r>
      <w:proofErr w:type="spellStart"/>
      <w:r w:rsidRPr="00F273BA">
        <w:t>Javidan</w:t>
      </w:r>
      <w:proofErr w:type="spellEnd"/>
      <w:r w:rsidRPr="00F273BA">
        <w:t xml:space="preserve">, M., </w:t>
      </w:r>
      <w:proofErr w:type="spellStart"/>
      <w:r w:rsidRPr="00F273BA">
        <w:t>Dorfman</w:t>
      </w:r>
      <w:proofErr w:type="spellEnd"/>
      <w:r w:rsidRPr="00F273BA">
        <w:t xml:space="preserve">, P.W. and Gupta, V. (2004) </w:t>
      </w:r>
      <w:r w:rsidRPr="00573C6C">
        <w:rPr>
          <w:i/>
          <w:iCs/>
        </w:rPr>
        <w:t>Culture, leadership, and organizations: The GLOBE study of 62 societies.</w:t>
      </w:r>
      <w:r w:rsidRPr="00F273BA">
        <w:t xml:space="preserve"> Thousand Oaks, CA: SAGE Publications. Available at: </w:t>
      </w:r>
      <w:hyperlink r:id="rId17" w:history="1">
        <w:r w:rsidRPr="00F273BA">
          <w:rPr>
            <w:rStyle w:val="Hyperlink"/>
          </w:rPr>
          <w:t>https://us.sagepub.com/en-us/nam/culture-leadership-and-organizations/book226013</w:t>
        </w:r>
      </w:hyperlink>
      <w:r w:rsidRPr="00F273BA">
        <w:t xml:space="preserve"> (Accessed: 23 February 2025).</w:t>
      </w:r>
    </w:p>
    <w:p w14:paraId="1583EEDD" w14:textId="47EC7200" w:rsidR="00F242CF" w:rsidRPr="00573C6C" w:rsidRDefault="00F242CF" w:rsidP="00573C6C">
      <w:r w:rsidRPr="00573C6C">
        <w:t xml:space="preserve">IBEF (India Brand Equity Foundation) (2024) </w:t>
      </w:r>
      <w:r w:rsidRPr="00573C6C">
        <w:rPr>
          <w:i/>
          <w:iCs/>
        </w:rPr>
        <w:t xml:space="preserve">IT &amp; </w:t>
      </w:r>
      <w:proofErr w:type="spellStart"/>
      <w:r w:rsidRPr="00573C6C">
        <w:rPr>
          <w:i/>
          <w:iCs/>
        </w:rPr>
        <w:t>ITeS</w:t>
      </w:r>
      <w:proofErr w:type="spellEnd"/>
      <w:r w:rsidRPr="00573C6C">
        <w:rPr>
          <w:i/>
          <w:iCs/>
        </w:rPr>
        <w:t xml:space="preserve"> industry in India.</w:t>
      </w:r>
      <w:r w:rsidRPr="00573C6C">
        <w:t xml:space="preserve"> Available at: </w:t>
      </w:r>
      <w:hyperlink r:id="rId18" w:history="1">
        <w:r w:rsidRPr="00573C6C">
          <w:rPr>
            <w:rStyle w:val="Hyperlink"/>
            <w:lang w:val="en-US"/>
          </w:rPr>
          <w:t>https://www.ibef.org/industry/information-technology-india</w:t>
        </w:r>
      </w:hyperlink>
      <w:r w:rsidRPr="00573C6C">
        <w:t xml:space="preserve"> (Accessed: 15 February 2025).</w:t>
      </w:r>
    </w:p>
    <w:p w14:paraId="016F4A8A" w14:textId="77777777" w:rsidR="00F242CF" w:rsidRPr="00573C6C" w:rsidRDefault="00F242CF" w:rsidP="00573C6C">
      <w:r w:rsidRPr="00573C6C">
        <w:t xml:space="preserve">Infosys </w:t>
      </w:r>
      <w:proofErr w:type="gramStart"/>
      <w:r w:rsidRPr="00573C6C">
        <w:t>Limited</w:t>
      </w:r>
      <w:proofErr w:type="gramEnd"/>
      <w:r w:rsidRPr="00573C6C">
        <w:t xml:space="preserve"> (2024) </w:t>
      </w:r>
      <w:r w:rsidRPr="00573C6C">
        <w:rPr>
          <w:i/>
          <w:iCs/>
        </w:rPr>
        <w:t>Annual report 2023–24.</w:t>
      </w:r>
      <w:r w:rsidRPr="00573C6C">
        <w:t xml:space="preserve"> Bengaluru: Infosys Limited. Available at: </w:t>
      </w:r>
      <w:hyperlink r:id="rId19" w:history="1">
        <w:r w:rsidRPr="00573C6C">
          <w:rPr>
            <w:rStyle w:val="Hyperlink"/>
            <w:lang w:val="en-US"/>
          </w:rPr>
          <w:t>https://www.infosys.com/investors/reports-filings/annual-report.html</w:t>
        </w:r>
      </w:hyperlink>
      <w:r w:rsidRPr="00573C6C">
        <w:t xml:space="preserve"> (Accessed: 20 February 2025).</w:t>
      </w:r>
    </w:p>
    <w:p w14:paraId="258B30BB" w14:textId="77777777" w:rsidR="00F242CF" w:rsidRPr="00573C6C" w:rsidRDefault="00F242CF" w:rsidP="00573C6C">
      <w:r w:rsidRPr="00573C6C">
        <w:t xml:space="preserve">Invest India (2024) </w:t>
      </w:r>
      <w:r w:rsidRPr="00573C6C">
        <w:rPr>
          <w:i/>
          <w:iCs/>
        </w:rPr>
        <w:t xml:space="preserve">India </w:t>
      </w:r>
      <w:proofErr w:type="spellStart"/>
      <w:r w:rsidRPr="00573C6C">
        <w:rPr>
          <w:i/>
          <w:iCs/>
        </w:rPr>
        <w:t>startup</w:t>
      </w:r>
      <w:proofErr w:type="spellEnd"/>
      <w:r w:rsidRPr="00573C6C">
        <w:rPr>
          <w:i/>
          <w:iCs/>
        </w:rPr>
        <w:t xml:space="preserve"> ecosystem report 2024.</w:t>
      </w:r>
      <w:r w:rsidRPr="00573C6C">
        <w:t xml:space="preserve"> New Delhi: Invest India. Available at: </w:t>
      </w:r>
      <w:hyperlink r:id="rId20" w:history="1">
        <w:r w:rsidRPr="00573C6C">
          <w:rPr>
            <w:rStyle w:val="Hyperlink"/>
            <w:lang w:val="en-US"/>
          </w:rPr>
          <w:t>https://www.investindia.gov.in/sector/it-bpm</w:t>
        </w:r>
      </w:hyperlink>
      <w:r w:rsidRPr="00573C6C">
        <w:t xml:space="preserve"> (Accessed: 21 February 2025).</w:t>
      </w:r>
    </w:p>
    <w:p w14:paraId="67D929EF" w14:textId="77777777" w:rsidR="00F242CF" w:rsidRPr="00573C6C" w:rsidRDefault="00F242CF" w:rsidP="00573C6C">
      <w:r w:rsidRPr="00573C6C">
        <w:t xml:space="preserve">McKinsey Global Institute (2023) </w:t>
      </w:r>
      <w:proofErr w:type="gramStart"/>
      <w:r w:rsidRPr="00573C6C">
        <w:rPr>
          <w:i/>
          <w:iCs/>
        </w:rPr>
        <w:t>The</w:t>
      </w:r>
      <w:proofErr w:type="gramEnd"/>
      <w:r w:rsidRPr="00573C6C">
        <w:rPr>
          <w:i/>
          <w:iCs/>
        </w:rPr>
        <w:t xml:space="preserve"> economic potential of generative AI: The next productivity frontier.</w:t>
      </w:r>
      <w:r w:rsidRPr="00573C6C">
        <w:t xml:space="preserve"> New York: McKinsey &amp; Company. Available at: </w:t>
      </w:r>
      <w:hyperlink r:id="rId21" w:history="1">
        <w:r w:rsidRPr="00573C6C">
          <w:rPr>
            <w:rStyle w:val="Hyperlink"/>
            <w:lang w:val="en-US"/>
          </w:rPr>
          <w:t>https://www.mckinsey.com/capabilities/mckinsey-digital/our-insights/the-economic-potential-of-generative-ai</w:t>
        </w:r>
      </w:hyperlink>
      <w:r w:rsidRPr="00573C6C">
        <w:t xml:space="preserve"> (Accessed: 20 February 2025).</w:t>
      </w:r>
    </w:p>
    <w:p w14:paraId="112A9D6A" w14:textId="77777777" w:rsidR="00F242CF" w:rsidRPr="00573C6C" w:rsidRDefault="00F242CF" w:rsidP="00573C6C">
      <w:r w:rsidRPr="00573C6C">
        <w:t>Ministry of Electronics and Information Technology (</w:t>
      </w:r>
      <w:proofErr w:type="spellStart"/>
      <w:r w:rsidRPr="00573C6C">
        <w:t>MeitY</w:t>
      </w:r>
      <w:proofErr w:type="spellEnd"/>
      <w:r w:rsidRPr="00573C6C">
        <w:t xml:space="preserve">) (2023) </w:t>
      </w:r>
      <w:r w:rsidRPr="00573C6C">
        <w:rPr>
          <w:i/>
          <w:iCs/>
        </w:rPr>
        <w:t>Digital Personal Data Protection Act, 2023.</w:t>
      </w:r>
      <w:r w:rsidRPr="00573C6C">
        <w:t xml:space="preserve"> New Delhi: Government of India. Available at: </w:t>
      </w:r>
      <w:hyperlink r:id="rId22" w:history="1">
        <w:r w:rsidRPr="00573C6C">
          <w:rPr>
            <w:rStyle w:val="Hyperlink"/>
            <w:lang w:val="en-US"/>
          </w:rPr>
          <w:t>https://www.meity.gov.in/content/digital-personal-data-protection-act-2023</w:t>
        </w:r>
      </w:hyperlink>
      <w:r w:rsidRPr="00573C6C">
        <w:t xml:space="preserve"> (Accessed: 19 February 2025).</w:t>
      </w:r>
    </w:p>
    <w:p w14:paraId="2AE5B6BD" w14:textId="77777777" w:rsidR="00F242CF" w:rsidRPr="00573C6C" w:rsidRDefault="00F242CF" w:rsidP="00573C6C">
      <w:r w:rsidRPr="00573C6C">
        <w:lastRenderedPageBreak/>
        <w:t>Ministry of Electronics and Information Technology (</w:t>
      </w:r>
      <w:proofErr w:type="spellStart"/>
      <w:r w:rsidRPr="00573C6C">
        <w:t>MeitY</w:t>
      </w:r>
      <w:proofErr w:type="spellEnd"/>
      <w:r w:rsidRPr="00573C6C">
        <w:t xml:space="preserve">) (2024) </w:t>
      </w:r>
      <w:r w:rsidRPr="00573C6C">
        <w:rPr>
          <w:i/>
          <w:iCs/>
        </w:rPr>
        <w:t>Annual report 2023–24.</w:t>
      </w:r>
      <w:r w:rsidRPr="00573C6C">
        <w:t xml:space="preserve"> New Delhi: Government of India. Available at: </w:t>
      </w:r>
      <w:hyperlink r:id="rId23" w:history="1">
        <w:r w:rsidRPr="00573C6C">
          <w:rPr>
            <w:rStyle w:val="Hyperlink"/>
            <w:lang w:val="en-US"/>
          </w:rPr>
          <w:t>https://www.meity.gov.in/annual-reports</w:t>
        </w:r>
      </w:hyperlink>
      <w:r w:rsidRPr="00573C6C">
        <w:t xml:space="preserve"> (Accessed: 19 February 2025).</w:t>
      </w:r>
    </w:p>
    <w:p w14:paraId="49A03239" w14:textId="77777777" w:rsidR="00F242CF" w:rsidRPr="00573C6C" w:rsidRDefault="00F242CF" w:rsidP="00573C6C">
      <w:proofErr w:type="spellStart"/>
      <w:r w:rsidRPr="00573C6C">
        <w:t>Minkov</w:t>
      </w:r>
      <w:proofErr w:type="spellEnd"/>
      <w:r w:rsidRPr="00573C6C">
        <w:t xml:space="preserve">, M. (2013) </w:t>
      </w:r>
      <w:r w:rsidRPr="00573C6C">
        <w:rPr>
          <w:i/>
          <w:iCs/>
        </w:rPr>
        <w:t>Cross-cultural analysis: The science and art of comparing the world's modern societies and their cultures.</w:t>
      </w:r>
      <w:r w:rsidRPr="00573C6C">
        <w:t xml:space="preserve"> Thousand Oaks, CA: SAGE Publications.</w:t>
      </w:r>
    </w:p>
    <w:p w14:paraId="21B38C13" w14:textId="77777777" w:rsidR="00F242CF" w:rsidRPr="00573C6C" w:rsidRDefault="00F242CF" w:rsidP="00573C6C">
      <w:proofErr w:type="spellStart"/>
      <w:r w:rsidRPr="00573C6C">
        <w:t>Nasscom</w:t>
      </w:r>
      <w:proofErr w:type="spellEnd"/>
      <w:r w:rsidRPr="00573C6C">
        <w:t xml:space="preserve"> (2023) </w:t>
      </w:r>
      <w:r w:rsidRPr="00573C6C">
        <w:rPr>
          <w:i/>
          <w:iCs/>
        </w:rPr>
        <w:t>India IT-BPM industry report 2022–23.</w:t>
      </w:r>
      <w:r w:rsidRPr="00573C6C">
        <w:t xml:space="preserve"> New Delhi: </w:t>
      </w:r>
      <w:proofErr w:type="spellStart"/>
      <w:r w:rsidRPr="00573C6C">
        <w:t>Nasscom</w:t>
      </w:r>
      <w:proofErr w:type="spellEnd"/>
      <w:r w:rsidRPr="00573C6C">
        <w:t xml:space="preserve">. Available at: </w:t>
      </w:r>
      <w:hyperlink r:id="rId24" w:history="1">
        <w:r w:rsidRPr="00573C6C">
          <w:rPr>
            <w:rStyle w:val="Hyperlink"/>
            <w:lang w:val="en-US"/>
          </w:rPr>
          <w:t>https://nasscom.in/knowledge-center/publications</w:t>
        </w:r>
      </w:hyperlink>
      <w:r w:rsidRPr="00573C6C">
        <w:t xml:space="preserve"> (Accessed: 18 February 2025).</w:t>
      </w:r>
    </w:p>
    <w:p w14:paraId="001186CE" w14:textId="77777777" w:rsidR="00F242CF" w:rsidRPr="00573C6C" w:rsidRDefault="00F242CF" w:rsidP="00573C6C">
      <w:proofErr w:type="spellStart"/>
      <w:r w:rsidRPr="00573C6C">
        <w:t>Nasscom</w:t>
      </w:r>
      <w:proofErr w:type="spellEnd"/>
      <w:r w:rsidRPr="00573C6C">
        <w:t xml:space="preserve"> (2024) </w:t>
      </w:r>
      <w:r w:rsidRPr="00573C6C">
        <w:rPr>
          <w:i/>
          <w:iCs/>
        </w:rPr>
        <w:t>India IT-BPM industry report 2023–24.</w:t>
      </w:r>
      <w:r w:rsidRPr="00573C6C">
        <w:t xml:space="preserve"> New Delhi: </w:t>
      </w:r>
      <w:proofErr w:type="spellStart"/>
      <w:r w:rsidRPr="00573C6C">
        <w:t>Nasscom</w:t>
      </w:r>
      <w:proofErr w:type="spellEnd"/>
      <w:r w:rsidRPr="00573C6C">
        <w:t xml:space="preserve">. Available at: </w:t>
      </w:r>
      <w:hyperlink r:id="rId25" w:history="1">
        <w:r w:rsidRPr="00573C6C">
          <w:rPr>
            <w:rStyle w:val="Hyperlink"/>
            <w:lang w:val="en-US"/>
          </w:rPr>
          <w:t>https://nasscom.in/knowledge-center/publications</w:t>
        </w:r>
      </w:hyperlink>
      <w:r w:rsidRPr="00573C6C">
        <w:t xml:space="preserve"> (Accessed: 18 February 2025).</w:t>
      </w:r>
    </w:p>
    <w:p w14:paraId="3B6D2E68" w14:textId="77777777" w:rsidR="00F242CF" w:rsidRPr="00573C6C" w:rsidRDefault="00F242CF" w:rsidP="00573C6C">
      <w:r w:rsidRPr="00573C6C">
        <w:t xml:space="preserve">National Payments Corporation of India (NPCI) (2024) </w:t>
      </w:r>
      <w:r w:rsidRPr="00573C6C">
        <w:rPr>
          <w:i/>
          <w:iCs/>
        </w:rPr>
        <w:t>UPI product statistics FY2024.</w:t>
      </w:r>
      <w:r w:rsidRPr="00573C6C">
        <w:t xml:space="preserve"> Mumbai: NPCI. Available at: </w:t>
      </w:r>
      <w:hyperlink r:id="rId26" w:history="1">
        <w:r w:rsidRPr="00573C6C">
          <w:rPr>
            <w:rStyle w:val="Hyperlink"/>
            <w:lang w:val="en-US"/>
          </w:rPr>
          <w:t>https://www.npci.org.in/what-we-do/upi/product-statistics</w:t>
        </w:r>
      </w:hyperlink>
      <w:r w:rsidRPr="00573C6C">
        <w:t xml:space="preserve"> (Accessed: 22 February 2025).</w:t>
      </w:r>
    </w:p>
    <w:p w14:paraId="669A0DA5" w14:textId="77777777" w:rsidR="00F242CF" w:rsidRPr="00573C6C" w:rsidRDefault="00F242CF" w:rsidP="00573C6C">
      <w:r w:rsidRPr="00573C6C">
        <w:t xml:space="preserve">Porter, M.E. (1990) </w:t>
      </w:r>
      <w:proofErr w:type="gramStart"/>
      <w:r w:rsidRPr="00573C6C">
        <w:rPr>
          <w:i/>
          <w:iCs/>
        </w:rPr>
        <w:t>The</w:t>
      </w:r>
      <w:proofErr w:type="gramEnd"/>
      <w:r w:rsidRPr="00573C6C">
        <w:rPr>
          <w:i/>
          <w:iCs/>
        </w:rPr>
        <w:t xml:space="preserve"> competitive advantage of nations.</w:t>
      </w:r>
      <w:r w:rsidRPr="00573C6C">
        <w:t xml:space="preserve"> New York: Free Press.</w:t>
      </w:r>
    </w:p>
    <w:p w14:paraId="3F0A4D75" w14:textId="230417E9" w:rsidR="00F242CF" w:rsidRPr="00573C6C" w:rsidRDefault="00F242CF" w:rsidP="00573C6C">
      <w:r w:rsidRPr="000D1BBF">
        <w:t>Rao</w:t>
      </w:r>
      <w:r w:rsidRPr="00573C6C">
        <w:t xml:space="preserve">, M.S. (2015) 'Cross-cultural communication competencies in Indian IT outsourcing', </w:t>
      </w:r>
      <w:r w:rsidRPr="00573C6C">
        <w:rPr>
          <w:i/>
          <w:iCs/>
        </w:rPr>
        <w:t>Journal of International Business Studies,</w:t>
      </w:r>
      <w:r w:rsidRPr="00573C6C">
        <w:t xml:space="preserve"> 46(4), pp. 451–467.</w:t>
      </w:r>
    </w:p>
    <w:p w14:paraId="094A452B" w14:textId="77777777" w:rsidR="00F242CF" w:rsidRPr="00573C6C" w:rsidRDefault="00F242CF" w:rsidP="00573C6C">
      <w:r w:rsidRPr="00573C6C">
        <w:t xml:space="preserve">Reserve Bank of India (RBI) (2024) </w:t>
      </w:r>
      <w:r w:rsidRPr="00573C6C">
        <w:rPr>
          <w:i/>
          <w:iCs/>
        </w:rPr>
        <w:t>Annual report 2023–24.</w:t>
      </w:r>
      <w:r w:rsidRPr="00573C6C">
        <w:t xml:space="preserve"> Mumbai: RBI. Available at: </w:t>
      </w:r>
      <w:hyperlink r:id="rId27" w:history="1">
        <w:r w:rsidRPr="00573C6C">
          <w:rPr>
            <w:rStyle w:val="Hyperlink"/>
            <w:lang w:val="en-US"/>
          </w:rPr>
          <w:t>https://www.rbi.org.in/Scripts/AnnualReportMainDisplay.aspx</w:t>
        </w:r>
      </w:hyperlink>
      <w:r w:rsidRPr="00573C6C">
        <w:t xml:space="preserve"> (Accessed: 22 February 2025).</w:t>
      </w:r>
    </w:p>
    <w:p w14:paraId="014C36ED" w14:textId="77777777" w:rsidR="00F242CF" w:rsidRPr="00573C6C" w:rsidRDefault="00F242CF" w:rsidP="00573C6C">
      <w:r w:rsidRPr="00573C6C">
        <w:rPr>
          <w:highlight w:val="yellow"/>
        </w:rPr>
        <w:t>Rugman</w:t>
      </w:r>
      <w:r w:rsidRPr="00573C6C">
        <w:t xml:space="preserve">, A. and Collinson, S. (2012) </w:t>
      </w:r>
      <w:r w:rsidRPr="00573C6C">
        <w:rPr>
          <w:i/>
          <w:iCs/>
        </w:rPr>
        <w:t>International business.</w:t>
      </w:r>
      <w:r w:rsidRPr="00573C6C">
        <w:t xml:space="preserve"> 6th </w:t>
      </w:r>
      <w:proofErr w:type="spellStart"/>
      <w:r w:rsidRPr="00573C6C">
        <w:t>edn</w:t>
      </w:r>
      <w:proofErr w:type="spellEnd"/>
      <w:r w:rsidRPr="00573C6C">
        <w:t>. Harlow: Pearson Education.</w:t>
      </w:r>
    </w:p>
    <w:p w14:paraId="63E3CD54" w14:textId="77777777" w:rsidR="00F242CF" w:rsidRPr="00573C6C" w:rsidRDefault="00F242CF" w:rsidP="00573C6C">
      <w:r w:rsidRPr="00573C6C">
        <w:t xml:space="preserve">Schwartz, B. (2004) </w:t>
      </w:r>
      <w:proofErr w:type="gramStart"/>
      <w:r w:rsidRPr="00573C6C">
        <w:rPr>
          <w:i/>
          <w:iCs/>
        </w:rPr>
        <w:t>The</w:t>
      </w:r>
      <w:proofErr w:type="gramEnd"/>
      <w:r w:rsidRPr="00573C6C">
        <w:rPr>
          <w:i/>
          <w:iCs/>
        </w:rPr>
        <w:t xml:space="preserve"> paradox of choice: Why more is less.</w:t>
      </w:r>
      <w:r w:rsidRPr="00573C6C">
        <w:t xml:space="preserve"> New York: </w:t>
      </w:r>
      <w:proofErr w:type="spellStart"/>
      <w:r w:rsidRPr="00573C6C">
        <w:t>Ecco</w:t>
      </w:r>
      <w:proofErr w:type="spellEnd"/>
      <w:r w:rsidRPr="00573C6C">
        <w:t xml:space="preserve"> Press.</w:t>
      </w:r>
    </w:p>
    <w:p w14:paraId="3549084D" w14:textId="77777777" w:rsidR="00F242CF" w:rsidRPr="00573C6C" w:rsidRDefault="00F242CF" w:rsidP="00573C6C">
      <w:r w:rsidRPr="00573C6C">
        <w:t xml:space="preserve">Tata Consultancy Services (TCS) (2024) </w:t>
      </w:r>
      <w:r w:rsidRPr="00573C6C">
        <w:rPr>
          <w:i/>
          <w:iCs/>
        </w:rPr>
        <w:t>Annual report 2023–24.</w:t>
      </w:r>
      <w:r w:rsidRPr="00573C6C">
        <w:t xml:space="preserve"> Mumbai: TCS. Available at: </w:t>
      </w:r>
      <w:hyperlink r:id="rId28" w:history="1">
        <w:r w:rsidRPr="00573C6C">
          <w:rPr>
            <w:rStyle w:val="Hyperlink"/>
            <w:lang w:val="en-US"/>
          </w:rPr>
          <w:t>https://www.tcs.com/investor-relations/annual-reports</w:t>
        </w:r>
      </w:hyperlink>
      <w:r w:rsidRPr="00573C6C">
        <w:t xml:space="preserve"> (Accessed: 20 February 2025).</w:t>
      </w:r>
    </w:p>
    <w:p w14:paraId="4DD04FC8" w14:textId="77777777" w:rsidR="00F242CF" w:rsidRPr="00573C6C" w:rsidRDefault="00F242CF" w:rsidP="00573C6C">
      <w:r w:rsidRPr="00573C6C">
        <w:t xml:space="preserve">Tech Mahindra (2024) </w:t>
      </w:r>
      <w:r w:rsidRPr="00573C6C">
        <w:rPr>
          <w:i/>
          <w:iCs/>
        </w:rPr>
        <w:t>Annual report 2023–24.</w:t>
      </w:r>
      <w:r w:rsidRPr="00573C6C">
        <w:t xml:space="preserve"> Pune: Tech Mahindra Limited. Available at: </w:t>
      </w:r>
      <w:hyperlink r:id="rId29" w:history="1">
        <w:r w:rsidRPr="00573C6C">
          <w:rPr>
            <w:rStyle w:val="Hyperlink"/>
            <w:lang w:val="en-US"/>
          </w:rPr>
          <w:t>https://www.techmahindra.com/en-in/investors/annual-reports</w:t>
        </w:r>
      </w:hyperlink>
      <w:r w:rsidRPr="00573C6C">
        <w:t xml:space="preserve"> (Accessed: 20 February 2025).</w:t>
      </w:r>
    </w:p>
    <w:p w14:paraId="4B919561" w14:textId="77777777" w:rsidR="00F242CF" w:rsidRPr="00573C6C" w:rsidRDefault="00F242CF" w:rsidP="00573C6C">
      <w:r w:rsidRPr="00573C6C">
        <w:lastRenderedPageBreak/>
        <w:t xml:space="preserve">Telecom Regulatory Authority of India (TRAI) (2024) </w:t>
      </w:r>
      <w:r w:rsidRPr="00573C6C">
        <w:rPr>
          <w:i/>
          <w:iCs/>
        </w:rPr>
        <w:t>Telecom subscription data.</w:t>
      </w:r>
      <w:r w:rsidRPr="00573C6C">
        <w:t xml:space="preserve"> New Delhi: TRAI. Available at: </w:t>
      </w:r>
      <w:hyperlink r:id="rId30" w:history="1">
        <w:r w:rsidRPr="00573C6C">
          <w:rPr>
            <w:rStyle w:val="Hyperlink"/>
            <w:lang w:val="en-US"/>
          </w:rPr>
          <w:t>https://trai.gov.in/release-publication/reports/telecom-subscriptions-reports</w:t>
        </w:r>
      </w:hyperlink>
      <w:r w:rsidRPr="00573C6C">
        <w:t xml:space="preserve"> (Accessed: 22 February 2025).</w:t>
      </w:r>
    </w:p>
    <w:p w14:paraId="2B1C8F65" w14:textId="77777777" w:rsidR="00F242CF" w:rsidRPr="00573C6C" w:rsidRDefault="00F242CF" w:rsidP="00573C6C">
      <w:r w:rsidRPr="00573C6C">
        <w:rPr>
          <w:highlight w:val="yellow"/>
        </w:rPr>
        <w:t xml:space="preserve">Wipro </w:t>
      </w:r>
      <w:proofErr w:type="gramStart"/>
      <w:r w:rsidRPr="00573C6C">
        <w:rPr>
          <w:highlight w:val="yellow"/>
        </w:rPr>
        <w:t>Limited</w:t>
      </w:r>
      <w:proofErr w:type="gramEnd"/>
      <w:r w:rsidRPr="00573C6C">
        <w:rPr>
          <w:highlight w:val="yellow"/>
        </w:rPr>
        <w:t xml:space="preserve"> (</w:t>
      </w:r>
      <w:r w:rsidRPr="00573C6C">
        <w:t xml:space="preserve">2024) </w:t>
      </w:r>
      <w:r w:rsidRPr="00573C6C">
        <w:rPr>
          <w:i/>
          <w:iCs/>
        </w:rPr>
        <w:t>Annual report 2023–24.</w:t>
      </w:r>
      <w:r w:rsidRPr="00573C6C">
        <w:t xml:space="preserve"> Bengaluru: Wipro Limited. Available at: </w:t>
      </w:r>
      <w:hyperlink r:id="rId31" w:history="1">
        <w:r w:rsidRPr="00573C6C">
          <w:rPr>
            <w:rStyle w:val="Hyperlink"/>
            <w:lang w:val="en-US"/>
          </w:rPr>
          <w:t>https://www.wipro.com/investors/annual-report</w:t>
        </w:r>
      </w:hyperlink>
      <w:r w:rsidRPr="00573C6C">
        <w:t xml:space="preserve"> (Accessed: 20 February 2025).</w:t>
      </w:r>
    </w:p>
    <w:p w14:paraId="01B5D16A" w14:textId="77777777" w:rsidR="00F242CF" w:rsidRPr="00573C6C" w:rsidRDefault="00F242CF" w:rsidP="00573C6C">
      <w:r w:rsidRPr="00573C6C">
        <w:t xml:space="preserve">World Bank Group (2024) </w:t>
      </w:r>
      <w:r w:rsidRPr="00573C6C">
        <w:rPr>
          <w:i/>
          <w:iCs/>
        </w:rPr>
        <w:t>Business Ready (B-READY) report 2024.</w:t>
      </w:r>
      <w:r w:rsidRPr="00573C6C">
        <w:t xml:space="preserve"> Washington, DC: World Bank Group. Available at: </w:t>
      </w:r>
      <w:hyperlink r:id="rId32" w:history="1">
        <w:r w:rsidRPr="00573C6C">
          <w:rPr>
            <w:rStyle w:val="Hyperlink"/>
            <w:lang w:val="en-US"/>
          </w:rPr>
          <w:t>https://www.worldbank.org/en/businessready/publications</w:t>
        </w:r>
      </w:hyperlink>
      <w:r w:rsidRPr="00573C6C">
        <w:t xml:space="preserve"> (Accessed: 23 February 2025).</w:t>
      </w:r>
    </w:p>
    <w:p w14:paraId="372F7A11" w14:textId="77777777" w:rsidR="00F242CF" w:rsidRPr="00573C6C" w:rsidRDefault="00F242CF" w:rsidP="00573C6C">
      <w:r w:rsidRPr="00573C6C">
        <w:t xml:space="preserve">World Intellectual Property Organization (WIPO) (2023) </w:t>
      </w:r>
      <w:r w:rsidRPr="00573C6C">
        <w:rPr>
          <w:i/>
          <w:iCs/>
        </w:rPr>
        <w:t>World intellectual property indicators 2023.</w:t>
      </w:r>
      <w:r w:rsidRPr="00573C6C">
        <w:t xml:space="preserve"> Geneva: WIPO. Available at: </w:t>
      </w:r>
      <w:hyperlink r:id="rId33" w:history="1">
        <w:r w:rsidRPr="00573C6C">
          <w:rPr>
            <w:rStyle w:val="Hyperlink"/>
            <w:lang w:val="en-US"/>
          </w:rPr>
          <w:t>https://www.wipo.int/publications/en/details.jsp?id=4678</w:t>
        </w:r>
      </w:hyperlink>
      <w:r w:rsidRPr="00573C6C">
        <w:t xml:space="preserve"> (Accessed: 23 February 2025).</w:t>
      </w:r>
    </w:p>
    <w:p w14:paraId="7AE14FE4" w14:textId="5B966BBA" w:rsidR="00FE2656" w:rsidRPr="00F242CF" w:rsidRDefault="00FE2656" w:rsidP="00573C6C">
      <w:pPr>
        <w:ind w:left="60"/>
      </w:pPr>
    </w:p>
    <w:sectPr w:rsidR="00FE2656" w:rsidRPr="00F242CF">
      <w:footerReference w:type="default" r:id="rId3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093E65" w14:textId="77777777" w:rsidR="00FA6499" w:rsidRDefault="00FA6499" w:rsidP="00BD7F9D">
      <w:pPr>
        <w:spacing w:line="240" w:lineRule="auto"/>
      </w:pPr>
      <w:r>
        <w:separator/>
      </w:r>
    </w:p>
  </w:endnote>
  <w:endnote w:type="continuationSeparator" w:id="0">
    <w:p w14:paraId="2B1FDD0B" w14:textId="77777777" w:rsidR="00FA6499" w:rsidRDefault="00FA6499" w:rsidP="00BD7F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4844226"/>
      <w:docPartObj>
        <w:docPartGallery w:val="Page Numbers (Bottom of Page)"/>
        <w:docPartUnique/>
      </w:docPartObj>
    </w:sdtPr>
    <w:sdtEndPr/>
    <w:sdtContent>
      <w:sdt>
        <w:sdtPr>
          <w:id w:val="1728636285"/>
          <w:docPartObj>
            <w:docPartGallery w:val="Page Numbers (Top of Page)"/>
            <w:docPartUnique/>
          </w:docPartObj>
        </w:sdtPr>
        <w:sdtEndPr/>
        <w:sdtContent>
          <w:p w14:paraId="46082DB6" w14:textId="5C76A347" w:rsidR="00BD7F9D" w:rsidRDefault="00BD7F9D">
            <w:pPr>
              <w:pStyle w:val="Footer"/>
              <w:jc w:val="center"/>
            </w:pPr>
            <w:r>
              <w:t xml:space="preserve">Page </w:t>
            </w:r>
            <w:r>
              <w:rPr>
                <w:b/>
                <w:bCs/>
              </w:rPr>
              <w:fldChar w:fldCharType="begin"/>
            </w:r>
            <w:r>
              <w:rPr>
                <w:b/>
                <w:bCs/>
              </w:rPr>
              <w:instrText xml:space="preserve"> PAGE </w:instrText>
            </w:r>
            <w:r>
              <w:rPr>
                <w:b/>
                <w:bCs/>
              </w:rPr>
              <w:fldChar w:fldCharType="separate"/>
            </w:r>
            <w:r w:rsidR="007557F0">
              <w:rPr>
                <w:b/>
                <w:bCs/>
                <w:noProof/>
              </w:rPr>
              <w:t>21</w:t>
            </w:r>
            <w:r>
              <w:rPr>
                <w:b/>
                <w:bCs/>
              </w:rPr>
              <w:fldChar w:fldCharType="end"/>
            </w:r>
            <w:r>
              <w:t xml:space="preserve"> of </w:t>
            </w:r>
            <w:r>
              <w:rPr>
                <w:b/>
                <w:bCs/>
              </w:rPr>
              <w:fldChar w:fldCharType="begin"/>
            </w:r>
            <w:r>
              <w:rPr>
                <w:b/>
                <w:bCs/>
              </w:rPr>
              <w:instrText xml:space="preserve"> NUMPAGES  </w:instrText>
            </w:r>
            <w:r>
              <w:rPr>
                <w:b/>
                <w:bCs/>
              </w:rPr>
              <w:fldChar w:fldCharType="separate"/>
            </w:r>
            <w:r w:rsidR="007557F0">
              <w:rPr>
                <w:b/>
                <w:bCs/>
                <w:noProof/>
              </w:rPr>
              <w:t>24</w:t>
            </w:r>
            <w:r>
              <w:rPr>
                <w:b/>
                <w:bCs/>
              </w:rPr>
              <w:fldChar w:fldCharType="end"/>
            </w:r>
          </w:p>
        </w:sdtContent>
      </w:sdt>
    </w:sdtContent>
  </w:sdt>
  <w:p w14:paraId="5DDBD3F8" w14:textId="77777777" w:rsidR="00BD7F9D" w:rsidRDefault="00BD7F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5A0C44" w14:textId="77777777" w:rsidR="00FA6499" w:rsidRDefault="00FA6499" w:rsidP="00BD7F9D">
      <w:pPr>
        <w:spacing w:line="240" w:lineRule="auto"/>
      </w:pPr>
      <w:r>
        <w:separator/>
      </w:r>
    </w:p>
  </w:footnote>
  <w:footnote w:type="continuationSeparator" w:id="0">
    <w:p w14:paraId="537EB0E5" w14:textId="77777777" w:rsidR="00FA6499" w:rsidRDefault="00FA6499" w:rsidP="00BD7F9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153997"/>
    <w:multiLevelType w:val="hybridMultilevel"/>
    <w:tmpl w:val="4CDE4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AB0049C"/>
    <w:multiLevelType w:val="hybridMultilevel"/>
    <w:tmpl w:val="F6F498B4"/>
    <w:lvl w:ilvl="0" w:tplc="D95A0C68">
      <w:start w:val="1"/>
      <w:numFmt w:val="bullet"/>
      <w:lvlText w:val="●"/>
      <w:lvlJc w:val="left"/>
      <w:pPr>
        <w:ind w:left="720" w:hanging="360"/>
      </w:pPr>
    </w:lvl>
    <w:lvl w:ilvl="1" w:tplc="4C3E5FD2">
      <w:start w:val="1"/>
      <w:numFmt w:val="bullet"/>
      <w:lvlText w:val="○"/>
      <w:lvlJc w:val="left"/>
      <w:pPr>
        <w:ind w:left="1440" w:hanging="360"/>
      </w:pPr>
    </w:lvl>
    <w:lvl w:ilvl="2" w:tplc="969415B8">
      <w:start w:val="1"/>
      <w:numFmt w:val="bullet"/>
      <w:lvlText w:val="■"/>
      <w:lvlJc w:val="left"/>
      <w:pPr>
        <w:ind w:left="2160" w:hanging="360"/>
      </w:pPr>
    </w:lvl>
    <w:lvl w:ilvl="3" w:tplc="720009A4">
      <w:start w:val="1"/>
      <w:numFmt w:val="bullet"/>
      <w:lvlText w:val="●"/>
      <w:lvlJc w:val="left"/>
      <w:pPr>
        <w:ind w:left="2880" w:hanging="360"/>
      </w:pPr>
    </w:lvl>
    <w:lvl w:ilvl="4" w:tplc="20E68F6A">
      <w:start w:val="1"/>
      <w:numFmt w:val="bullet"/>
      <w:lvlText w:val="○"/>
      <w:lvlJc w:val="left"/>
      <w:pPr>
        <w:ind w:left="3600" w:hanging="360"/>
      </w:pPr>
    </w:lvl>
    <w:lvl w:ilvl="5" w:tplc="742093BE">
      <w:start w:val="1"/>
      <w:numFmt w:val="bullet"/>
      <w:lvlText w:val="■"/>
      <w:lvlJc w:val="left"/>
      <w:pPr>
        <w:ind w:left="4320" w:hanging="360"/>
      </w:pPr>
    </w:lvl>
    <w:lvl w:ilvl="6" w:tplc="51660DCA">
      <w:start w:val="1"/>
      <w:numFmt w:val="bullet"/>
      <w:lvlText w:val="●"/>
      <w:lvlJc w:val="left"/>
      <w:pPr>
        <w:ind w:left="5040" w:hanging="360"/>
      </w:pPr>
    </w:lvl>
    <w:lvl w:ilvl="7" w:tplc="594ADB84">
      <w:start w:val="1"/>
      <w:numFmt w:val="bullet"/>
      <w:lvlText w:val="●"/>
      <w:lvlJc w:val="left"/>
      <w:pPr>
        <w:ind w:left="5760" w:hanging="360"/>
      </w:pPr>
    </w:lvl>
    <w:lvl w:ilvl="8" w:tplc="0BFE7774">
      <w:start w:val="1"/>
      <w:numFmt w:val="bullet"/>
      <w:lvlText w:val="●"/>
      <w:lvlJc w:val="left"/>
      <w:pPr>
        <w:ind w:left="6480" w:hanging="360"/>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656"/>
    <w:rsid w:val="00075D95"/>
    <w:rsid w:val="000D1BBF"/>
    <w:rsid w:val="0016675A"/>
    <w:rsid w:val="00182EDC"/>
    <w:rsid w:val="002B5264"/>
    <w:rsid w:val="00437FED"/>
    <w:rsid w:val="004451A8"/>
    <w:rsid w:val="004676FF"/>
    <w:rsid w:val="004B418D"/>
    <w:rsid w:val="00573C6C"/>
    <w:rsid w:val="005765B8"/>
    <w:rsid w:val="005D2A1C"/>
    <w:rsid w:val="00606E18"/>
    <w:rsid w:val="00613C00"/>
    <w:rsid w:val="006E7544"/>
    <w:rsid w:val="007557F0"/>
    <w:rsid w:val="007C698C"/>
    <w:rsid w:val="00834840"/>
    <w:rsid w:val="008768DC"/>
    <w:rsid w:val="00880E64"/>
    <w:rsid w:val="008A1D11"/>
    <w:rsid w:val="008B1373"/>
    <w:rsid w:val="008C129F"/>
    <w:rsid w:val="009A7777"/>
    <w:rsid w:val="00BD6AD9"/>
    <w:rsid w:val="00BD7F9D"/>
    <w:rsid w:val="00C629BF"/>
    <w:rsid w:val="00D82944"/>
    <w:rsid w:val="00E22DB0"/>
    <w:rsid w:val="00E57717"/>
    <w:rsid w:val="00E63F1A"/>
    <w:rsid w:val="00F242CF"/>
    <w:rsid w:val="00F273BA"/>
    <w:rsid w:val="00FA6499"/>
    <w:rsid w:val="00FE26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307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2A1C"/>
    <w:pPr>
      <w:spacing w:before="120" w:line="360" w:lineRule="auto"/>
      <w:jc w:val="both"/>
    </w:pPr>
    <w:rPr>
      <w:lang w:val="en-GB"/>
    </w:rPr>
  </w:style>
  <w:style w:type="paragraph" w:styleId="Heading1">
    <w:name w:val="heading 1"/>
    <w:uiPriority w:val="9"/>
    <w:qFormat/>
    <w:pPr>
      <w:spacing w:before="400" w:after="200"/>
      <w:outlineLvl w:val="0"/>
    </w:pPr>
    <w:rPr>
      <w:b/>
      <w:bCs/>
      <w:color w:val="2E4A7A"/>
      <w:sz w:val="32"/>
      <w:szCs w:val="32"/>
    </w:rPr>
  </w:style>
  <w:style w:type="paragraph" w:styleId="Heading2">
    <w:name w:val="heading 2"/>
    <w:uiPriority w:val="9"/>
    <w:unhideWhenUsed/>
    <w:qFormat/>
    <w:pPr>
      <w:spacing w:before="300" w:after="140"/>
      <w:outlineLvl w:val="1"/>
    </w:pPr>
    <w:rPr>
      <w:b/>
      <w:bCs/>
      <w:color w:val="2E4A7A"/>
      <w:sz w:val="28"/>
      <w:szCs w:val="28"/>
    </w:rPr>
  </w:style>
  <w:style w:type="paragraph" w:styleId="Heading3">
    <w:name w:val="heading 3"/>
    <w:uiPriority w:val="9"/>
    <w:unhideWhenUsed/>
    <w:qFormat/>
    <w:rsid w:val="005765B8"/>
    <w:pPr>
      <w:spacing w:before="200" w:after="100"/>
      <w:outlineLvl w:val="2"/>
    </w:pPr>
    <w:rPr>
      <w:b/>
      <w:bCs/>
      <w:i/>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TOCHeading">
    <w:name w:val="TOC Heading"/>
    <w:basedOn w:val="Heading1"/>
    <w:next w:val="Normal"/>
    <w:uiPriority w:val="39"/>
    <w:unhideWhenUsed/>
    <w:qFormat/>
    <w:rsid w:val="00606E18"/>
    <w:pPr>
      <w:keepNext/>
      <w:keepLines/>
      <w:spacing w:before="240" w:after="0" w:line="259" w:lineRule="auto"/>
      <w:outlineLvl w:val="9"/>
    </w:pPr>
    <w:rPr>
      <w:rFonts w:asciiTheme="majorHAnsi" w:eastAsiaTheme="majorEastAsia" w:hAnsiTheme="majorHAnsi" w:cstheme="majorBidi"/>
      <w:b w:val="0"/>
      <w:bCs w:val="0"/>
      <w:color w:val="0F4761" w:themeColor="accent1" w:themeShade="BF"/>
    </w:rPr>
  </w:style>
  <w:style w:type="paragraph" w:styleId="TOC1">
    <w:name w:val="toc 1"/>
    <w:basedOn w:val="Normal"/>
    <w:next w:val="Normal"/>
    <w:autoRedefine/>
    <w:uiPriority w:val="39"/>
    <w:unhideWhenUsed/>
    <w:rsid w:val="00606E18"/>
    <w:pPr>
      <w:spacing w:after="100"/>
    </w:pPr>
  </w:style>
  <w:style w:type="paragraph" w:styleId="TOC2">
    <w:name w:val="toc 2"/>
    <w:basedOn w:val="Normal"/>
    <w:next w:val="Normal"/>
    <w:autoRedefine/>
    <w:uiPriority w:val="39"/>
    <w:unhideWhenUsed/>
    <w:rsid w:val="00606E18"/>
    <w:pPr>
      <w:spacing w:after="100"/>
      <w:ind w:left="240"/>
    </w:pPr>
  </w:style>
  <w:style w:type="paragraph" w:styleId="TOC3">
    <w:name w:val="toc 3"/>
    <w:basedOn w:val="Normal"/>
    <w:next w:val="Normal"/>
    <w:autoRedefine/>
    <w:uiPriority w:val="39"/>
    <w:unhideWhenUsed/>
    <w:rsid w:val="00606E18"/>
    <w:pPr>
      <w:spacing w:after="100"/>
      <w:ind w:left="480"/>
    </w:pPr>
  </w:style>
  <w:style w:type="paragraph" w:styleId="Caption">
    <w:name w:val="caption"/>
    <w:basedOn w:val="Normal"/>
    <w:next w:val="Normal"/>
    <w:uiPriority w:val="35"/>
    <w:unhideWhenUsed/>
    <w:qFormat/>
    <w:rsid w:val="00606E18"/>
    <w:pPr>
      <w:spacing w:after="200" w:line="240" w:lineRule="auto"/>
    </w:pPr>
    <w:rPr>
      <w:i/>
      <w:iCs/>
      <w:color w:val="0E2841" w:themeColor="text2"/>
      <w:sz w:val="18"/>
      <w:szCs w:val="18"/>
    </w:rPr>
  </w:style>
  <w:style w:type="paragraph" w:styleId="Header">
    <w:name w:val="header"/>
    <w:basedOn w:val="Normal"/>
    <w:link w:val="HeaderChar"/>
    <w:uiPriority w:val="99"/>
    <w:unhideWhenUsed/>
    <w:rsid w:val="00BD7F9D"/>
    <w:pPr>
      <w:tabs>
        <w:tab w:val="center" w:pos="4680"/>
        <w:tab w:val="right" w:pos="9360"/>
      </w:tabs>
      <w:spacing w:line="240" w:lineRule="auto"/>
    </w:pPr>
  </w:style>
  <w:style w:type="character" w:customStyle="1" w:styleId="HeaderChar">
    <w:name w:val="Header Char"/>
    <w:basedOn w:val="DefaultParagraphFont"/>
    <w:link w:val="Header"/>
    <w:uiPriority w:val="99"/>
    <w:rsid w:val="00BD7F9D"/>
  </w:style>
  <w:style w:type="paragraph" w:styleId="Footer">
    <w:name w:val="footer"/>
    <w:basedOn w:val="Normal"/>
    <w:link w:val="FooterChar"/>
    <w:uiPriority w:val="99"/>
    <w:unhideWhenUsed/>
    <w:rsid w:val="00BD7F9D"/>
    <w:pPr>
      <w:tabs>
        <w:tab w:val="center" w:pos="4680"/>
        <w:tab w:val="right" w:pos="9360"/>
      </w:tabs>
      <w:spacing w:line="240" w:lineRule="auto"/>
    </w:pPr>
  </w:style>
  <w:style w:type="character" w:customStyle="1" w:styleId="FooterChar">
    <w:name w:val="Footer Char"/>
    <w:basedOn w:val="DefaultParagraphFont"/>
    <w:link w:val="Footer"/>
    <w:uiPriority w:val="99"/>
    <w:rsid w:val="00BD7F9D"/>
  </w:style>
  <w:style w:type="character" w:customStyle="1" w:styleId="UnresolvedMention">
    <w:name w:val="Unresolved Mention"/>
    <w:basedOn w:val="DefaultParagraphFont"/>
    <w:uiPriority w:val="99"/>
    <w:semiHidden/>
    <w:unhideWhenUsed/>
    <w:rsid w:val="00F242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943326">
      <w:bodyDiv w:val="1"/>
      <w:marLeft w:val="0"/>
      <w:marRight w:val="0"/>
      <w:marTop w:val="0"/>
      <w:marBottom w:val="0"/>
      <w:divBdr>
        <w:top w:val="none" w:sz="0" w:space="0" w:color="auto"/>
        <w:left w:val="none" w:sz="0" w:space="0" w:color="auto"/>
        <w:bottom w:val="none" w:sz="0" w:space="0" w:color="auto"/>
        <w:right w:val="none" w:sz="0" w:space="0" w:color="auto"/>
      </w:divBdr>
    </w:div>
    <w:div w:id="1474446647">
      <w:bodyDiv w:val="1"/>
      <w:marLeft w:val="0"/>
      <w:marRight w:val="0"/>
      <w:marTop w:val="0"/>
      <w:marBottom w:val="0"/>
      <w:divBdr>
        <w:top w:val="none" w:sz="0" w:space="0" w:color="auto"/>
        <w:left w:val="none" w:sz="0" w:space="0" w:color="auto"/>
        <w:bottom w:val="none" w:sz="0" w:space="0" w:color="auto"/>
        <w:right w:val="none" w:sz="0" w:space="0" w:color="auto"/>
      </w:divBdr>
    </w:div>
    <w:div w:id="1599867794">
      <w:bodyDiv w:val="1"/>
      <w:marLeft w:val="0"/>
      <w:marRight w:val="0"/>
      <w:marTop w:val="0"/>
      <w:marBottom w:val="0"/>
      <w:divBdr>
        <w:top w:val="none" w:sz="0" w:space="0" w:color="auto"/>
        <w:left w:val="none" w:sz="0" w:space="0" w:color="auto"/>
        <w:bottom w:val="none" w:sz="0" w:space="0" w:color="auto"/>
        <w:right w:val="none" w:sz="0" w:space="0" w:color="auto"/>
      </w:divBdr>
    </w:div>
    <w:div w:id="208378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eiu.com/n/solutions/country-analysis" TargetMode="External"/><Relationship Id="rId18" Type="http://schemas.openxmlformats.org/officeDocument/2006/relationships/hyperlink" Target="https://www.ibef.org/industry/information-technology-india" TargetMode="External"/><Relationship Id="rId26" Type="http://schemas.openxmlformats.org/officeDocument/2006/relationships/hyperlink" Target="https://www.npci.org.in/what-we-do/upi/product-statistics" TargetMode="External"/><Relationship Id="rId3" Type="http://schemas.openxmlformats.org/officeDocument/2006/relationships/styles" Target="styles.xml"/><Relationship Id="rId21" Type="http://schemas.openxmlformats.org/officeDocument/2006/relationships/hyperlink" Target="https://www.mckinsey.com/capabilities/mckinsey-digital/our-insights/the-economic-potential-of-generative-ai"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conomictimes.indiatimes.com" TargetMode="External"/><Relationship Id="rId17" Type="http://schemas.openxmlformats.org/officeDocument/2006/relationships/hyperlink" Target="https://us.sagepub.com/en-us/nam/culture-leadership-and-organizations/book226013" TargetMode="External"/><Relationship Id="rId25" Type="http://schemas.openxmlformats.org/officeDocument/2006/relationships/hyperlink" Target="https://nasscom.in/knowledge-center/publications" TargetMode="External"/><Relationship Id="rId33" Type="http://schemas.openxmlformats.org/officeDocument/2006/relationships/hyperlink" Target="https://www.wipo.int/publications/en/details.jsp?id=4678" TargetMode="External"/><Relationship Id="rId2" Type="http://schemas.openxmlformats.org/officeDocument/2006/relationships/numbering" Target="numbering.xml"/><Relationship Id="rId16" Type="http://schemas.openxmlformats.org/officeDocument/2006/relationships/hyperlink" Target="https://www.hcltech.com/investor-relations/annual-reports" TargetMode="External"/><Relationship Id="rId20" Type="http://schemas.openxmlformats.org/officeDocument/2006/relationships/hyperlink" Target="https://www.investindia.gov.in/sector/it-bpm" TargetMode="External"/><Relationship Id="rId29" Type="http://schemas.openxmlformats.org/officeDocument/2006/relationships/hyperlink" Target="https://www.techmahindra.com/en-in/investors/annual-repor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deloitte.com/content/dam/Deloitte/us/Documents/process-and-operations/us-2023-global-shared-services-and-outsourcing-survey-executive-summary.pdf" TargetMode="External"/><Relationship Id="rId24" Type="http://schemas.openxmlformats.org/officeDocument/2006/relationships/hyperlink" Target="https://nasscom.in/knowledge-center/publications" TargetMode="External"/><Relationship Id="rId32" Type="http://schemas.openxmlformats.org/officeDocument/2006/relationships/hyperlink" Target="https://www.worldbank.org/en/businessready/publications" TargetMode="External"/><Relationship Id="rId5" Type="http://schemas.openxmlformats.org/officeDocument/2006/relationships/webSettings" Target="webSettings.xml"/><Relationship Id="rId15" Type="http://schemas.openxmlformats.org/officeDocument/2006/relationships/hyperlink" Target="https://www.gartner.com/en/newsroom/press-releases/2023-10-18-gartner-forecasts-worldwide-it-spending-to-grow-8-percent-in-2024" TargetMode="External"/><Relationship Id="rId23" Type="http://schemas.openxmlformats.org/officeDocument/2006/relationships/hyperlink" Target="https://www.meity.gov.in/annual-reports" TargetMode="External"/><Relationship Id="rId28" Type="http://schemas.openxmlformats.org/officeDocument/2006/relationships/hyperlink" Target="https://www.tcs.com/investor-relations/annual-reports" TargetMode="External"/><Relationship Id="rId36" Type="http://schemas.openxmlformats.org/officeDocument/2006/relationships/theme" Target="theme/theme1.xml"/><Relationship Id="rId10" Type="http://schemas.openxmlformats.org/officeDocument/2006/relationships/hyperlink" Target="https://www.aicte-india.org/reports/overview/Annual-Report" TargetMode="External"/><Relationship Id="rId19" Type="http://schemas.openxmlformats.org/officeDocument/2006/relationships/hyperlink" Target="https://www.infosys.com/investors/reports-filings/annual-report.html" TargetMode="External"/><Relationship Id="rId31" Type="http://schemas.openxmlformats.org/officeDocument/2006/relationships/hyperlink" Target="https://www.wipro.com/investors/annual-report" TargetMode="External"/><Relationship Id="rId4" Type="http://schemas.openxmlformats.org/officeDocument/2006/relationships/settings" Target="settings.xml"/><Relationship Id="rId9" Type="http://schemas.openxmlformats.org/officeDocument/2006/relationships/hyperlink" Target="https://investor.accenture.com/financial-information/annual-reports" TargetMode="External"/><Relationship Id="rId14" Type="http://schemas.openxmlformats.org/officeDocument/2006/relationships/hyperlink" Target="https://www.ft.com" TargetMode="External"/><Relationship Id="rId22" Type="http://schemas.openxmlformats.org/officeDocument/2006/relationships/hyperlink" Target="https://www.meity.gov.in/content/digital-personal-data-protection-act-2023" TargetMode="External"/><Relationship Id="rId27" Type="http://schemas.openxmlformats.org/officeDocument/2006/relationships/hyperlink" Target="https://www.rbi.org.in/Scripts/AnnualReportMainDisplay.aspx" TargetMode="External"/><Relationship Id="rId30" Type="http://schemas.openxmlformats.org/officeDocument/2006/relationships/hyperlink" Target="https://trai.gov.in/release-publication/reports/telecom-subscriptions-reports"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DC4E5-D6B4-40BC-90F2-4294B2603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7091</Words>
  <Characters>40419</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2026-03-15T19:27:00Z</dcterms:created>
  <dcterms:modified xsi:type="dcterms:W3CDTF">2026-03-18T18:23:00Z</dcterms:modified>
</cp:coreProperties>
</file>