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4DD877" w14:textId="77777777" w:rsidR="00485C5D" w:rsidRPr="00485C5D" w:rsidRDefault="00485C5D" w:rsidP="00485C5D">
      <w:pPr>
        <w:spacing w:line="360" w:lineRule="auto"/>
        <w:jc w:val="right"/>
        <w:rPr>
          <w:rFonts w:ascii="Arial" w:hAnsi="Arial" w:cs="Arial"/>
          <w:b/>
          <w:bCs/>
          <w:sz w:val="24"/>
          <w:szCs w:val="24"/>
        </w:rPr>
      </w:pPr>
      <w:r w:rsidRPr="00485C5D">
        <w:rPr>
          <w:rFonts w:ascii="Arial" w:hAnsi="Arial" w:cs="Arial"/>
          <w:b/>
          <w:bCs/>
          <w:sz w:val="24"/>
          <w:szCs w:val="24"/>
        </w:rPr>
        <w:t>Sustainable Hospitality &amp; Tourism Management</w:t>
      </w:r>
    </w:p>
    <w:p w14:paraId="25763A1A" w14:textId="77777777" w:rsidR="00485C5D" w:rsidRPr="00485C5D" w:rsidRDefault="00485C5D" w:rsidP="00485C5D">
      <w:pPr>
        <w:spacing w:line="360" w:lineRule="auto"/>
        <w:jc w:val="right"/>
        <w:rPr>
          <w:rFonts w:ascii="Arial" w:hAnsi="Arial" w:cs="Arial"/>
          <w:sz w:val="24"/>
          <w:szCs w:val="24"/>
        </w:rPr>
      </w:pPr>
      <w:r w:rsidRPr="00485C5D">
        <w:rPr>
          <w:rFonts w:ascii="Arial" w:hAnsi="Arial" w:cs="Arial"/>
          <w:sz w:val="24"/>
          <w:szCs w:val="24"/>
        </w:rPr>
        <w:t>BMIH5006</w:t>
      </w:r>
    </w:p>
    <w:p w14:paraId="36156540" w14:textId="439FCE5D" w:rsidR="00B151A8" w:rsidRDefault="00485C5D" w:rsidP="00485C5D">
      <w:pPr>
        <w:spacing w:line="360" w:lineRule="auto"/>
        <w:jc w:val="right"/>
        <w:rPr>
          <w:rFonts w:ascii="Arial" w:hAnsi="Arial" w:cs="Arial"/>
          <w:sz w:val="24"/>
          <w:szCs w:val="24"/>
        </w:rPr>
      </w:pPr>
      <w:r w:rsidRPr="00485C5D">
        <w:rPr>
          <w:rFonts w:ascii="Arial" w:hAnsi="Arial" w:cs="Arial"/>
          <w:sz w:val="24"/>
          <w:szCs w:val="24"/>
        </w:rPr>
        <w:t>Report</w:t>
      </w:r>
    </w:p>
    <w:p w14:paraId="0933E707" w14:textId="77777777" w:rsidR="00485C5D" w:rsidRDefault="00485C5D" w:rsidP="00485C5D">
      <w:pPr>
        <w:spacing w:line="360" w:lineRule="auto"/>
        <w:jc w:val="right"/>
        <w:rPr>
          <w:rFonts w:ascii="Arial" w:hAnsi="Arial" w:cs="Arial"/>
          <w:sz w:val="24"/>
          <w:szCs w:val="24"/>
        </w:rPr>
      </w:pPr>
    </w:p>
    <w:p w14:paraId="60DFCD92" w14:textId="77777777" w:rsidR="00485C5D" w:rsidRDefault="00485C5D" w:rsidP="00485C5D">
      <w:pPr>
        <w:spacing w:line="360" w:lineRule="auto"/>
        <w:jc w:val="right"/>
        <w:rPr>
          <w:rFonts w:ascii="Arial" w:hAnsi="Arial" w:cs="Arial"/>
          <w:sz w:val="24"/>
          <w:szCs w:val="24"/>
        </w:rPr>
      </w:pPr>
    </w:p>
    <w:p w14:paraId="5B621172" w14:textId="77777777" w:rsidR="00485C5D" w:rsidRDefault="00485C5D" w:rsidP="00485C5D">
      <w:pPr>
        <w:spacing w:line="360" w:lineRule="auto"/>
        <w:jc w:val="right"/>
        <w:rPr>
          <w:rFonts w:ascii="Arial" w:hAnsi="Arial" w:cs="Arial"/>
          <w:sz w:val="24"/>
          <w:szCs w:val="24"/>
        </w:rPr>
      </w:pPr>
    </w:p>
    <w:p w14:paraId="3B1C8560" w14:textId="77777777" w:rsidR="00485C5D" w:rsidRDefault="00485C5D" w:rsidP="00485C5D">
      <w:pPr>
        <w:spacing w:line="360" w:lineRule="auto"/>
        <w:jc w:val="right"/>
        <w:rPr>
          <w:rFonts w:ascii="Arial" w:hAnsi="Arial" w:cs="Arial"/>
          <w:sz w:val="24"/>
          <w:szCs w:val="24"/>
        </w:rPr>
      </w:pPr>
    </w:p>
    <w:p w14:paraId="2DE7210E" w14:textId="472CA276" w:rsidR="00485C5D" w:rsidRDefault="007A0037" w:rsidP="007A0037">
      <w:pPr>
        <w:spacing w:line="360" w:lineRule="auto"/>
        <w:jc w:val="right"/>
        <w:rPr>
          <w:rFonts w:ascii="Arial" w:hAnsi="Arial" w:cs="Arial"/>
          <w:sz w:val="24"/>
          <w:szCs w:val="24"/>
        </w:rPr>
      </w:pPr>
      <w:r w:rsidRPr="007A0037">
        <w:rPr>
          <w:rFonts w:ascii="Arial" w:hAnsi="Arial" w:cs="Arial"/>
          <w:sz w:val="24"/>
          <w:szCs w:val="24"/>
        </w:rPr>
        <w:t>Lecturer:</w:t>
      </w:r>
      <w:r>
        <w:rPr>
          <w:rFonts w:ascii="Arial" w:hAnsi="Arial" w:cs="Arial"/>
          <w:sz w:val="24"/>
          <w:szCs w:val="24"/>
        </w:rPr>
        <w:t xml:space="preserve"> </w:t>
      </w:r>
      <w:r w:rsidRPr="007A0037">
        <w:rPr>
          <w:rFonts w:ascii="Arial" w:hAnsi="Arial" w:cs="Arial"/>
          <w:sz w:val="24"/>
          <w:szCs w:val="24"/>
        </w:rPr>
        <w:t>Lisa Knight</w:t>
      </w:r>
    </w:p>
    <w:p w14:paraId="732F767A" w14:textId="6EAE8615" w:rsidR="00485C5D" w:rsidRDefault="00485C5D" w:rsidP="00485C5D">
      <w:pPr>
        <w:spacing w:line="360" w:lineRule="auto"/>
        <w:jc w:val="right"/>
        <w:rPr>
          <w:rFonts w:ascii="Arial" w:hAnsi="Arial" w:cs="Arial"/>
          <w:sz w:val="24"/>
          <w:szCs w:val="24"/>
        </w:rPr>
      </w:pPr>
      <w:r>
        <w:rPr>
          <w:rFonts w:ascii="Arial" w:hAnsi="Arial" w:cs="Arial"/>
          <w:sz w:val="24"/>
          <w:szCs w:val="24"/>
        </w:rPr>
        <w:t>Student name:</w:t>
      </w:r>
      <w:r w:rsidR="007A0037">
        <w:rPr>
          <w:rFonts w:ascii="Arial" w:hAnsi="Arial" w:cs="Arial"/>
          <w:sz w:val="24"/>
          <w:szCs w:val="24"/>
        </w:rPr>
        <w:t xml:space="preserve"> </w:t>
      </w:r>
      <w:r w:rsidR="007A0037" w:rsidRPr="007A0037">
        <w:rPr>
          <w:rFonts w:ascii="Arial" w:hAnsi="Arial" w:cs="Arial"/>
          <w:sz w:val="24"/>
          <w:szCs w:val="24"/>
        </w:rPr>
        <w:t>Constantin Alexandru Toma</w:t>
      </w:r>
    </w:p>
    <w:p w14:paraId="20D46B3C" w14:textId="5C85B96E" w:rsidR="00485C5D" w:rsidRDefault="00485C5D" w:rsidP="00485C5D">
      <w:pPr>
        <w:spacing w:line="360" w:lineRule="auto"/>
        <w:jc w:val="right"/>
        <w:rPr>
          <w:rFonts w:ascii="Arial" w:hAnsi="Arial" w:cs="Arial"/>
          <w:sz w:val="24"/>
          <w:szCs w:val="24"/>
        </w:rPr>
      </w:pPr>
      <w:r>
        <w:rPr>
          <w:rFonts w:ascii="Arial" w:hAnsi="Arial" w:cs="Arial"/>
          <w:sz w:val="24"/>
          <w:szCs w:val="24"/>
        </w:rPr>
        <w:t>Student id:</w:t>
      </w:r>
      <w:r w:rsidR="007A0037">
        <w:rPr>
          <w:rFonts w:ascii="Arial" w:hAnsi="Arial" w:cs="Arial"/>
          <w:sz w:val="24"/>
          <w:szCs w:val="24"/>
        </w:rPr>
        <w:t xml:space="preserve"> </w:t>
      </w:r>
      <w:r w:rsidR="007A0037" w:rsidRPr="007A0037">
        <w:rPr>
          <w:rFonts w:ascii="Arial" w:hAnsi="Arial" w:cs="Arial"/>
          <w:sz w:val="24"/>
          <w:szCs w:val="24"/>
        </w:rPr>
        <w:t>2234760</w:t>
      </w:r>
    </w:p>
    <w:p w14:paraId="199D001C" w14:textId="77777777" w:rsidR="00485C5D" w:rsidRDefault="00485C5D" w:rsidP="00485C5D">
      <w:pPr>
        <w:spacing w:line="360" w:lineRule="auto"/>
        <w:jc w:val="right"/>
        <w:rPr>
          <w:rFonts w:ascii="Arial" w:hAnsi="Arial" w:cs="Arial"/>
          <w:sz w:val="24"/>
          <w:szCs w:val="24"/>
        </w:rPr>
      </w:pPr>
    </w:p>
    <w:p w14:paraId="7BE450ED" w14:textId="77777777" w:rsidR="00485C5D" w:rsidRDefault="00485C5D" w:rsidP="00485C5D">
      <w:pPr>
        <w:spacing w:line="360" w:lineRule="auto"/>
        <w:jc w:val="right"/>
        <w:rPr>
          <w:rFonts w:ascii="Arial" w:hAnsi="Arial" w:cs="Arial"/>
          <w:sz w:val="24"/>
          <w:szCs w:val="24"/>
        </w:rPr>
      </w:pPr>
    </w:p>
    <w:p w14:paraId="3147A650" w14:textId="77777777" w:rsidR="00485C5D" w:rsidRPr="007A0037" w:rsidRDefault="00485C5D" w:rsidP="007A0037">
      <w:pPr>
        <w:spacing w:line="360" w:lineRule="auto"/>
        <w:jc w:val="both"/>
        <w:rPr>
          <w:rFonts w:ascii="Arial" w:hAnsi="Arial" w:cs="Arial"/>
          <w:sz w:val="24"/>
          <w:szCs w:val="24"/>
          <w:u w:val="single"/>
        </w:rPr>
      </w:pPr>
    </w:p>
    <w:p w14:paraId="1466A7FB" w14:textId="76932EFD" w:rsidR="00485C5D" w:rsidRPr="007A0037" w:rsidRDefault="007A0037" w:rsidP="007A0037">
      <w:pPr>
        <w:spacing w:line="360" w:lineRule="auto"/>
        <w:jc w:val="both"/>
        <w:rPr>
          <w:rFonts w:ascii="Arial" w:hAnsi="Arial" w:cs="Arial"/>
          <w:sz w:val="24"/>
          <w:szCs w:val="24"/>
          <w:u w:val="single"/>
        </w:rPr>
      </w:pPr>
      <w:proofErr w:type="gramStart"/>
      <w:r w:rsidRPr="007A0037">
        <w:rPr>
          <w:rFonts w:ascii="Arial" w:hAnsi="Arial" w:cs="Arial"/>
          <w:sz w:val="24"/>
          <w:szCs w:val="24"/>
          <w:u w:val="single"/>
        </w:rPr>
        <w:t>I confirm</w:t>
      </w:r>
      <w:proofErr w:type="gramEnd"/>
      <w:r w:rsidRPr="007A0037">
        <w:rPr>
          <w:rFonts w:ascii="Arial" w:hAnsi="Arial" w:cs="Arial"/>
          <w:sz w:val="24"/>
          <w:szCs w:val="24"/>
          <w:u w:val="single"/>
        </w:rPr>
        <w:t xml:space="preserve"> that I have not used any AI tools in the research and creation of this assignment. </w:t>
      </w:r>
      <w:proofErr w:type="gramStart"/>
      <w:r w:rsidRPr="007A0037">
        <w:rPr>
          <w:rFonts w:ascii="Arial" w:hAnsi="Arial" w:cs="Arial"/>
          <w:sz w:val="24"/>
          <w:szCs w:val="24"/>
          <w:u w:val="single"/>
        </w:rPr>
        <w:t>I confirm</w:t>
      </w:r>
      <w:proofErr w:type="gramEnd"/>
      <w:r w:rsidRPr="007A0037">
        <w:rPr>
          <w:rFonts w:ascii="Arial" w:hAnsi="Arial" w:cs="Arial"/>
          <w:sz w:val="24"/>
          <w:szCs w:val="24"/>
          <w:u w:val="single"/>
        </w:rPr>
        <w:t xml:space="preserve"> that I have not presented any AI generated materials as my own work. </w:t>
      </w:r>
      <w:proofErr w:type="gramStart"/>
      <w:r w:rsidRPr="007A0037">
        <w:rPr>
          <w:rFonts w:ascii="Arial" w:hAnsi="Arial" w:cs="Arial"/>
          <w:sz w:val="24"/>
          <w:szCs w:val="24"/>
          <w:u w:val="single"/>
        </w:rPr>
        <w:t>I confirm</w:t>
      </w:r>
      <w:proofErr w:type="gramEnd"/>
      <w:r w:rsidRPr="007A0037">
        <w:rPr>
          <w:rFonts w:ascii="Arial" w:hAnsi="Arial" w:cs="Arial"/>
          <w:sz w:val="24"/>
          <w:szCs w:val="24"/>
          <w:u w:val="single"/>
        </w:rPr>
        <w:t xml:space="preserve"> I have copies of my drafts, notes, and other resources I used, which I may be asked to provide in evidence.</w:t>
      </w:r>
    </w:p>
    <w:p w14:paraId="5DD9257B" w14:textId="77777777" w:rsidR="00485C5D" w:rsidRDefault="00485C5D" w:rsidP="00485C5D">
      <w:pPr>
        <w:spacing w:line="360" w:lineRule="auto"/>
        <w:jc w:val="right"/>
        <w:rPr>
          <w:rFonts w:ascii="Arial" w:hAnsi="Arial" w:cs="Arial"/>
          <w:sz w:val="24"/>
          <w:szCs w:val="24"/>
        </w:rPr>
      </w:pPr>
    </w:p>
    <w:p w14:paraId="3578B5CB" w14:textId="77777777" w:rsidR="00485C5D" w:rsidRDefault="00485C5D" w:rsidP="00485C5D">
      <w:pPr>
        <w:spacing w:line="360" w:lineRule="auto"/>
        <w:jc w:val="right"/>
        <w:rPr>
          <w:rFonts w:ascii="Arial" w:hAnsi="Arial" w:cs="Arial"/>
          <w:sz w:val="24"/>
          <w:szCs w:val="24"/>
        </w:rPr>
      </w:pPr>
    </w:p>
    <w:p w14:paraId="06E2E3D0" w14:textId="77777777" w:rsidR="00485C5D" w:rsidRDefault="00485C5D" w:rsidP="00485C5D">
      <w:pPr>
        <w:spacing w:line="360" w:lineRule="auto"/>
        <w:jc w:val="right"/>
        <w:rPr>
          <w:rFonts w:ascii="Arial" w:hAnsi="Arial" w:cs="Arial"/>
          <w:sz w:val="24"/>
          <w:szCs w:val="24"/>
        </w:rPr>
      </w:pPr>
    </w:p>
    <w:p w14:paraId="4166AB3D" w14:textId="77777777" w:rsidR="00485C5D" w:rsidRDefault="00485C5D" w:rsidP="00485C5D">
      <w:pPr>
        <w:spacing w:line="360" w:lineRule="auto"/>
        <w:jc w:val="right"/>
        <w:rPr>
          <w:rFonts w:ascii="Arial" w:hAnsi="Arial" w:cs="Arial"/>
          <w:sz w:val="24"/>
          <w:szCs w:val="24"/>
        </w:rPr>
      </w:pPr>
    </w:p>
    <w:p w14:paraId="71B30DFF" w14:textId="77777777" w:rsidR="00485C5D" w:rsidRDefault="00485C5D" w:rsidP="00485C5D">
      <w:pPr>
        <w:spacing w:line="360" w:lineRule="auto"/>
        <w:jc w:val="right"/>
        <w:rPr>
          <w:rFonts w:ascii="Arial" w:hAnsi="Arial" w:cs="Arial"/>
          <w:sz w:val="24"/>
          <w:szCs w:val="24"/>
        </w:rPr>
      </w:pPr>
    </w:p>
    <w:p w14:paraId="3CE0808C" w14:textId="77777777" w:rsidR="00485C5D" w:rsidRDefault="00485C5D" w:rsidP="00485C5D">
      <w:pPr>
        <w:spacing w:line="360" w:lineRule="auto"/>
        <w:jc w:val="right"/>
        <w:rPr>
          <w:rFonts w:ascii="Arial" w:hAnsi="Arial" w:cs="Arial"/>
          <w:sz w:val="24"/>
          <w:szCs w:val="24"/>
        </w:rPr>
      </w:pPr>
    </w:p>
    <w:p w14:paraId="05A5B49A" w14:textId="77777777" w:rsidR="00485C5D" w:rsidRDefault="00485C5D" w:rsidP="00485C5D">
      <w:pPr>
        <w:spacing w:line="360" w:lineRule="auto"/>
        <w:jc w:val="right"/>
        <w:rPr>
          <w:rFonts w:ascii="Arial" w:hAnsi="Arial" w:cs="Arial"/>
          <w:sz w:val="24"/>
          <w:szCs w:val="24"/>
        </w:rPr>
      </w:pPr>
    </w:p>
    <w:p w14:paraId="3E13DC7D" w14:textId="77777777" w:rsidR="00485C5D" w:rsidRDefault="00485C5D" w:rsidP="007A0037">
      <w:pPr>
        <w:spacing w:line="360" w:lineRule="auto"/>
        <w:rPr>
          <w:rFonts w:ascii="Arial" w:hAnsi="Arial" w:cs="Arial"/>
          <w:sz w:val="24"/>
          <w:szCs w:val="24"/>
        </w:rPr>
      </w:pPr>
    </w:p>
    <w:p w14:paraId="2F301741" w14:textId="01D549EB" w:rsidR="00485C5D" w:rsidRPr="007A0037" w:rsidRDefault="00485C5D" w:rsidP="0031137D">
      <w:pPr>
        <w:pStyle w:val="EU"/>
        <w:spacing w:line="360" w:lineRule="auto"/>
        <w:rPr>
          <w:color w:val="auto"/>
        </w:rPr>
      </w:pPr>
      <w:bookmarkStart w:id="0" w:name="_Toc182582573"/>
      <w:r w:rsidRPr="007A0037">
        <w:rPr>
          <w:color w:val="auto"/>
        </w:rPr>
        <w:lastRenderedPageBreak/>
        <w:t>Executive summary</w:t>
      </w:r>
      <w:bookmarkEnd w:id="0"/>
      <w:r w:rsidRPr="007A0037">
        <w:rPr>
          <w:color w:val="auto"/>
        </w:rPr>
        <w:t xml:space="preserve"> </w:t>
      </w:r>
    </w:p>
    <w:p w14:paraId="5388C3C4" w14:textId="5B26DCA2" w:rsidR="00485C5D" w:rsidRPr="0031137D" w:rsidRDefault="0031137D" w:rsidP="0031137D">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 xml:space="preserve">This research looks at Hilton </w:t>
      </w:r>
      <w:proofErr w:type="spellStart"/>
      <w:r w:rsidRPr="007A0037">
        <w:rPr>
          <w:rFonts w:ascii="Arial" w:eastAsiaTheme="majorEastAsia" w:hAnsi="Arial" w:cs="Arial"/>
          <w:bCs/>
          <w:kern w:val="0"/>
          <w:sz w:val="24"/>
          <w:szCs w:val="24"/>
          <w:lang w:eastAsia="en-GB"/>
          <w14:ligatures w14:val="none"/>
        </w:rPr>
        <w:t>Worldwide's</w:t>
      </w:r>
      <w:proofErr w:type="spellEnd"/>
      <w:r w:rsidRPr="007A0037">
        <w:rPr>
          <w:rFonts w:ascii="Arial" w:eastAsiaTheme="majorEastAsia" w:hAnsi="Arial" w:cs="Arial"/>
          <w:bCs/>
          <w:kern w:val="0"/>
          <w:sz w:val="24"/>
          <w:szCs w:val="24"/>
          <w:lang w:eastAsia="en-GB"/>
          <w14:ligatures w14:val="none"/>
        </w:rPr>
        <w:t xml:space="preserve"> sustainability efforts, as well as the difficulties of greenwashing and greenhushing in the hotel business. While Hilton has launched programs like "Travel with Purpose" and the </w:t>
      </w:r>
      <w:proofErr w:type="spellStart"/>
      <w:r w:rsidRPr="007A0037">
        <w:rPr>
          <w:rFonts w:ascii="Arial" w:eastAsiaTheme="majorEastAsia" w:hAnsi="Arial" w:cs="Arial"/>
          <w:bCs/>
          <w:kern w:val="0"/>
          <w:sz w:val="24"/>
          <w:szCs w:val="24"/>
          <w:lang w:eastAsia="en-GB"/>
          <w14:ligatures w14:val="none"/>
        </w:rPr>
        <w:t>LightStay</w:t>
      </w:r>
      <w:proofErr w:type="spellEnd"/>
      <w:r w:rsidRPr="007A0037">
        <w:rPr>
          <w:rFonts w:ascii="Arial" w:eastAsiaTheme="majorEastAsia" w:hAnsi="Arial" w:cs="Arial"/>
          <w:bCs/>
          <w:kern w:val="0"/>
          <w:sz w:val="24"/>
          <w:szCs w:val="24"/>
          <w:lang w:eastAsia="en-GB"/>
          <w14:ligatures w14:val="none"/>
        </w:rPr>
        <w:t xml:space="preserve"> platform, discrepancies and charges of deceptive promises damage its credibility. Greenwashing refers to making false environmental claims, </w:t>
      </w:r>
      <w:proofErr w:type="gramStart"/>
      <w:r w:rsidRPr="007A0037">
        <w:rPr>
          <w:rFonts w:ascii="Arial" w:eastAsiaTheme="majorEastAsia" w:hAnsi="Arial" w:cs="Arial"/>
          <w:bCs/>
          <w:kern w:val="0"/>
          <w:sz w:val="24"/>
          <w:szCs w:val="24"/>
          <w:lang w:eastAsia="en-GB"/>
          <w14:ligatures w14:val="none"/>
        </w:rPr>
        <w:t>whereas</w:t>
      </w:r>
      <w:proofErr w:type="gramEnd"/>
      <w:r w:rsidRPr="007A0037">
        <w:rPr>
          <w:rFonts w:ascii="Arial" w:eastAsiaTheme="majorEastAsia" w:hAnsi="Arial" w:cs="Arial"/>
          <w:bCs/>
          <w:kern w:val="0"/>
          <w:sz w:val="24"/>
          <w:szCs w:val="24"/>
          <w:lang w:eastAsia="en-GB"/>
          <w14:ligatures w14:val="none"/>
        </w:rPr>
        <w:t xml:space="preserve"> greenhushing is suppressing information about actual sustainability initiatives. These methods can erode consumer trust, draw regulatory scrutiny, and reduce the company's environmental effect.</w:t>
      </w:r>
      <w:r w:rsidRPr="007A0037">
        <w:rPr>
          <w:rFonts w:ascii="Arial" w:eastAsiaTheme="majorEastAsia" w:hAnsi="Arial" w:cs="Arial"/>
          <w:bCs/>
          <w:kern w:val="0"/>
          <w:sz w:val="24"/>
          <w:szCs w:val="24"/>
          <w:lang w:eastAsia="en-GB"/>
          <w14:ligatures w14:val="none"/>
        </w:rPr>
        <w:t xml:space="preserve"> </w:t>
      </w:r>
      <w:r w:rsidRPr="007A0037">
        <w:rPr>
          <w:rFonts w:ascii="Arial" w:eastAsiaTheme="majorEastAsia" w:hAnsi="Arial" w:cs="Arial"/>
          <w:bCs/>
          <w:kern w:val="0"/>
          <w:sz w:val="24"/>
          <w:szCs w:val="24"/>
          <w:lang w:eastAsia="en-GB"/>
          <w14:ligatures w14:val="none"/>
        </w:rPr>
        <w:t xml:space="preserve">The paper cites shortcomings in Hilton's strategy, such as uneven implementation of sustainable policies, reliance on fossil fuels, and insufficient transparency. The recommendations centre on implementing a Comprehensive Sustainability Transparency Framework, which includes third-party certifications, stakeholder participation, and unambiguous reporting of environmental parameters. Implementation challenges, such as worldwide regulatory differences and resource constraints, are </w:t>
      </w:r>
      <w:proofErr w:type="gramStart"/>
      <w:r w:rsidRPr="007A0037">
        <w:rPr>
          <w:rFonts w:ascii="Arial" w:eastAsiaTheme="majorEastAsia" w:hAnsi="Arial" w:cs="Arial"/>
          <w:bCs/>
          <w:kern w:val="0"/>
          <w:sz w:val="24"/>
          <w:szCs w:val="24"/>
          <w:lang w:eastAsia="en-GB"/>
          <w14:ligatures w14:val="none"/>
        </w:rPr>
        <w:t>identified</w:t>
      </w:r>
      <w:proofErr w:type="gramEnd"/>
      <w:r w:rsidRPr="007A0037">
        <w:rPr>
          <w:rFonts w:ascii="Arial" w:eastAsiaTheme="majorEastAsia" w:hAnsi="Arial" w:cs="Arial"/>
          <w:bCs/>
          <w:kern w:val="0"/>
          <w:sz w:val="24"/>
          <w:szCs w:val="24"/>
          <w:lang w:eastAsia="en-GB"/>
          <w14:ligatures w14:val="none"/>
        </w:rPr>
        <w:t>, and ways are given to address these concerns.</w:t>
      </w:r>
      <w:r w:rsidRPr="007A0037">
        <w:rPr>
          <w:rFonts w:ascii="Arial" w:eastAsiaTheme="majorEastAsia" w:hAnsi="Arial" w:cs="Arial"/>
          <w:bCs/>
          <w:kern w:val="0"/>
          <w:sz w:val="24"/>
          <w:szCs w:val="24"/>
          <w:lang w:eastAsia="en-GB"/>
          <w14:ligatures w14:val="none"/>
        </w:rPr>
        <w:t xml:space="preserve"> </w:t>
      </w:r>
      <w:r w:rsidRPr="007A0037">
        <w:rPr>
          <w:rFonts w:ascii="Arial" w:eastAsiaTheme="majorEastAsia" w:hAnsi="Arial" w:cs="Arial"/>
          <w:bCs/>
          <w:kern w:val="0"/>
          <w:sz w:val="24"/>
          <w:szCs w:val="24"/>
          <w:lang w:eastAsia="en-GB"/>
          <w14:ligatures w14:val="none"/>
        </w:rPr>
        <w:t xml:space="preserve">By resolving these gaps and promoting openness, Hilton can recover its reputation, increase consumer confidence, and </w:t>
      </w:r>
      <w:proofErr w:type="gramStart"/>
      <w:r w:rsidRPr="007A0037">
        <w:rPr>
          <w:rFonts w:ascii="Arial" w:eastAsiaTheme="majorEastAsia" w:hAnsi="Arial" w:cs="Arial"/>
          <w:bCs/>
          <w:kern w:val="0"/>
          <w:sz w:val="24"/>
          <w:szCs w:val="24"/>
          <w:lang w:eastAsia="en-GB"/>
          <w14:ligatures w14:val="none"/>
        </w:rPr>
        <w:t>comply with</w:t>
      </w:r>
      <w:proofErr w:type="gramEnd"/>
      <w:r w:rsidRPr="007A0037">
        <w:rPr>
          <w:rFonts w:ascii="Arial" w:eastAsiaTheme="majorEastAsia" w:hAnsi="Arial" w:cs="Arial"/>
          <w:bCs/>
          <w:kern w:val="0"/>
          <w:sz w:val="24"/>
          <w:szCs w:val="24"/>
          <w:lang w:eastAsia="en-GB"/>
          <w14:ligatures w14:val="none"/>
        </w:rPr>
        <w:t xml:space="preserve"> global sustainability requirements. This method not only decreases environmental effect, but also increases brand value and operational resilience. Hilton's dedication to responsibility and innovation distinguishes it as a pioneer in sustainable hospitality, providing long-term benefits to stakeholders and the environment.</w:t>
      </w:r>
    </w:p>
    <w:p w14:paraId="490DE959" w14:textId="77777777" w:rsidR="00485C5D" w:rsidRPr="0031137D" w:rsidRDefault="00485C5D" w:rsidP="0031137D">
      <w:pPr>
        <w:spacing w:line="360" w:lineRule="auto"/>
        <w:jc w:val="both"/>
        <w:rPr>
          <w:bCs/>
          <w:lang w:eastAsia="en-GB"/>
        </w:rPr>
      </w:pPr>
    </w:p>
    <w:p w14:paraId="50DE112E" w14:textId="77777777" w:rsidR="00485C5D" w:rsidRDefault="00485C5D" w:rsidP="00485C5D">
      <w:pPr>
        <w:rPr>
          <w:lang w:eastAsia="en-GB"/>
        </w:rPr>
      </w:pPr>
    </w:p>
    <w:p w14:paraId="7E6A7D67" w14:textId="77777777" w:rsidR="00485C5D" w:rsidRDefault="00485C5D" w:rsidP="00485C5D">
      <w:pPr>
        <w:rPr>
          <w:lang w:eastAsia="en-GB"/>
        </w:rPr>
      </w:pPr>
    </w:p>
    <w:p w14:paraId="4D42FB41" w14:textId="77777777" w:rsidR="00485C5D" w:rsidRDefault="00485C5D" w:rsidP="00485C5D">
      <w:pPr>
        <w:rPr>
          <w:lang w:eastAsia="en-GB"/>
        </w:rPr>
      </w:pPr>
    </w:p>
    <w:p w14:paraId="2DEE09F6" w14:textId="77777777" w:rsidR="00485C5D" w:rsidRDefault="00485C5D" w:rsidP="00485C5D">
      <w:pPr>
        <w:rPr>
          <w:lang w:eastAsia="en-GB"/>
        </w:rPr>
      </w:pPr>
    </w:p>
    <w:p w14:paraId="5F70FF17" w14:textId="77777777" w:rsidR="00485C5D" w:rsidRDefault="00485C5D" w:rsidP="00485C5D">
      <w:pPr>
        <w:rPr>
          <w:lang w:eastAsia="en-GB"/>
        </w:rPr>
      </w:pPr>
    </w:p>
    <w:p w14:paraId="7AA76749" w14:textId="77777777" w:rsidR="00485C5D" w:rsidRDefault="00485C5D" w:rsidP="00485C5D">
      <w:pPr>
        <w:rPr>
          <w:lang w:eastAsia="en-GB"/>
        </w:rPr>
      </w:pPr>
    </w:p>
    <w:p w14:paraId="3E93B2EB" w14:textId="77777777" w:rsidR="00485C5D" w:rsidRDefault="00485C5D" w:rsidP="00485C5D">
      <w:pPr>
        <w:rPr>
          <w:lang w:eastAsia="en-GB"/>
        </w:rPr>
      </w:pPr>
    </w:p>
    <w:p w14:paraId="467D53C2" w14:textId="77777777" w:rsidR="00485C5D" w:rsidRDefault="00485C5D" w:rsidP="00485C5D">
      <w:pPr>
        <w:rPr>
          <w:lang w:eastAsia="en-GB"/>
        </w:rPr>
      </w:pPr>
    </w:p>
    <w:sdt>
      <w:sdtPr>
        <w:id w:val="8451029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96A8F04" w14:textId="0DE0C227" w:rsidR="00DC7686" w:rsidRPr="00DC7686" w:rsidRDefault="00DC7686" w:rsidP="00DC7686">
          <w:pPr>
            <w:pStyle w:val="TOCHeading"/>
            <w:spacing w:line="360" w:lineRule="auto"/>
            <w:rPr>
              <w:rFonts w:ascii="Arial" w:hAnsi="Arial" w:cs="Arial"/>
            </w:rPr>
          </w:pPr>
          <w:r w:rsidRPr="00DC7686">
            <w:rPr>
              <w:rFonts w:ascii="Arial" w:hAnsi="Arial" w:cs="Arial"/>
            </w:rPr>
            <w:t>Table of Contents</w:t>
          </w:r>
        </w:p>
        <w:p w14:paraId="7C75EC8E" w14:textId="57341054" w:rsidR="00DC7686" w:rsidRPr="00DC7686" w:rsidRDefault="00DC7686" w:rsidP="00DC7686">
          <w:pPr>
            <w:pStyle w:val="TOC1"/>
            <w:tabs>
              <w:tab w:val="right" w:leader="dot" w:pos="9016"/>
            </w:tabs>
            <w:spacing w:line="360" w:lineRule="auto"/>
            <w:rPr>
              <w:rFonts w:ascii="Arial" w:hAnsi="Arial" w:cs="Arial"/>
              <w:noProof/>
            </w:rPr>
          </w:pPr>
          <w:r w:rsidRPr="00DC7686">
            <w:rPr>
              <w:rFonts w:ascii="Arial" w:hAnsi="Arial" w:cs="Arial"/>
            </w:rPr>
            <w:fldChar w:fldCharType="begin"/>
          </w:r>
          <w:r w:rsidRPr="00DC7686">
            <w:rPr>
              <w:rFonts w:ascii="Arial" w:hAnsi="Arial" w:cs="Arial"/>
            </w:rPr>
            <w:instrText xml:space="preserve"> TOC \o "1-3" \h \z \u </w:instrText>
          </w:r>
          <w:r w:rsidRPr="00DC7686">
            <w:rPr>
              <w:rFonts w:ascii="Arial" w:hAnsi="Arial" w:cs="Arial"/>
            </w:rPr>
            <w:fldChar w:fldCharType="separate"/>
          </w:r>
          <w:hyperlink w:anchor="_Toc182582573" w:history="1">
            <w:r w:rsidRPr="00DC7686">
              <w:rPr>
                <w:rStyle w:val="Hyperlink"/>
                <w:rFonts w:ascii="Arial" w:hAnsi="Arial" w:cs="Arial"/>
                <w:noProof/>
              </w:rPr>
              <w:t>Executive summary</w:t>
            </w:r>
            <w:r w:rsidRPr="00DC7686">
              <w:rPr>
                <w:rFonts w:ascii="Arial" w:hAnsi="Arial" w:cs="Arial"/>
                <w:noProof/>
                <w:webHidden/>
              </w:rPr>
              <w:tab/>
            </w:r>
            <w:r w:rsidRPr="00DC7686">
              <w:rPr>
                <w:rFonts w:ascii="Arial" w:hAnsi="Arial" w:cs="Arial"/>
                <w:noProof/>
                <w:webHidden/>
              </w:rPr>
              <w:fldChar w:fldCharType="begin"/>
            </w:r>
            <w:r w:rsidRPr="00DC7686">
              <w:rPr>
                <w:rFonts w:ascii="Arial" w:hAnsi="Arial" w:cs="Arial"/>
                <w:noProof/>
                <w:webHidden/>
              </w:rPr>
              <w:instrText xml:space="preserve"> PAGEREF _Toc182582573 \h </w:instrText>
            </w:r>
            <w:r w:rsidRPr="00DC7686">
              <w:rPr>
                <w:rFonts w:ascii="Arial" w:hAnsi="Arial" w:cs="Arial"/>
                <w:noProof/>
                <w:webHidden/>
              </w:rPr>
            </w:r>
            <w:r w:rsidRPr="00DC7686">
              <w:rPr>
                <w:rFonts w:ascii="Arial" w:hAnsi="Arial" w:cs="Arial"/>
                <w:noProof/>
                <w:webHidden/>
              </w:rPr>
              <w:fldChar w:fldCharType="separate"/>
            </w:r>
            <w:r w:rsidR="007A0037">
              <w:rPr>
                <w:rFonts w:ascii="Arial" w:hAnsi="Arial" w:cs="Arial"/>
                <w:noProof/>
                <w:webHidden/>
              </w:rPr>
              <w:t>2</w:t>
            </w:r>
            <w:r w:rsidRPr="00DC7686">
              <w:rPr>
                <w:rFonts w:ascii="Arial" w:hAnsi="Arial" w:cs="Arial"/>
                <w:noProof/>
                <w:webHidden/>
              </w:rPr>
              <w:fldChar w:fldCharType="end"/>
            </w:r>
          </w:hyperlink>
        </w:p>
        <w:p w14:paraId="5300F1F4" w14:textId="156029ED" w:rsidR="00DC7686" w:rsidRPr="00DC7686" w:rsidRDefault="00DC7686" w:rsidP="00DC7686">
          <w:pPr>
            <w:pStyle w:val="TOC1"/>
            <w:tabs>
              <w:tab w:val="left" w:pos="480"/>
              <w:tab w:val="right" w:leader="dot" w:pos="9016"/>
            </w:tabs>
            <w:spacing w:line="360" w:lineRule="auto"/>
            <w:rPr>
              <w:rFonts w:ascii="Arial" w:hAnsi="Arial" w:cs="Arial"/>
              <w:noProof/>
            </w:rPr>
          </w:pPr>
          <w:hyperlink w:anchor="_Toc182582574" w:history="1">
            <w:r w:rsidRPr="00DC7686">
              <w:rPr>
                <w:rStyle w:val="Hyperlink"/>
                <w:rFonts w:ascii="Arial" w:hAnsi="Arial" w:cs="Arial"/>
                <w:noProof/>
              </w:rPr>
              <w:t>1.</w:t>
            </w:r>
            <w:r w:rsidRPr="00DC7686">
              <w:rPr>
                <w:rFonts w:ascii="Arial" w:hAnsi="Arial" w:cs="Arial"/>
                <w:noProof/>
              </w:rPr>
              <w:tab/>
            </w:r>
            <w:r w:rsidRPr="00DC7686">
              <w:rPr>
                <w:rStyle w:val="Hyperlink"/>
                <w:rFonts w:ascii="Arial" w:hAnsi="Arial" w:cs="Arial"/>
                <w:noProof/>
              </w:rPr>
              <w:t>Introduction</w:t>
            </w:r>
            <w:r w:rsidRPr="00DC7686">
              <w:rPr>
                <w:rFonts w:ascii="Arial" w:hAnsi="Arial" w:cs="Arial"/>
                <w:noProof/>
                <w:webHidden/>
              </w:rPr>
              <w:tab/>
            </w:r>
            <w:r w:rsidRPr="00DC7686">
              <w:rPr>
                <w:rFonts w:ascii="Arial" w:hAnsi="Arial" w:cs="Arial"/>
                <w:noProof/>
                <w:webHidden/>
              </w:rPr>
              <w:fldChar w:fldCharType="begin"/>
            </w:r>
            <w:r w:rsidRPr="00DC7686">
              <w:rPr>
                <w:rFonts w:ascii="Arial" w:hAnsi="Arial" w:cs="Arial"/>
                <w:noProof/>
                <w:webHidden/>
              </w:rPr>
              <w:instrText xml:space="preserve"> PAGEREF _Toc182582574 \h </w:instrText>
            </w:r>
            <w:r w:rsidRPr="00DC7686">
              <w:rPr>
                <w:rFonts w:ascii="Arial" w:hAnsi="Arial" w:cs="Arial"/>
                <w:noProof/>
                <w:webHidden/>
              </w:rPr>
            </w:r>
            <w:r w:rsidRPr="00DC7686">
              <w:rPr>
                <w:rFonts w:ascii="Arial" w:hAnsi="Arial" w:cs="Arial"/>
                <w:noProof/>
                <w:webHidden/>
              </w:rPr>
              <w:fldChar w:fldCharType="separate"/>
            </w:r>
            <w:r w:rsidR="007A0037">
              <w:rPr>
                <w:rFonts w:ascii="Arial" w:hAnsi="Arial" w:cs="Arial"/>
                <w:noProof/>
                <w:webHidden/>
              </w:rPr>
              <w:t>4</w:t>
            </w:r>
            <w:r w:rsidRPr="00DC7686">
              <w:rPr>
                <w:rFonts w:ascii="Arial" w:hAnsi="Arial" w:cs="Arial"/>
                <w:noProof/>
                <w:webHidden/>
              </w:rPr>
              <w:fldChar w:fldCharType="end"/>
            </w:r>
          </w:hyperlink>
        </w:p>
        <w:p w14:paraId="664F0CE8" w14:textId="0411487F" w:rsidR="00DC7686" w:rsidRPr="00DC7686" w:rsidRDefault="00DC7686" w:rsidP="00DC7686">
          <w:pPr>
            <w:pStyle w:val="TOC1"/>
            <w:tabs>
              <w:tab w:val="left" w:pos="480"/>
              <w:tab w:val="right" w:leader="dot" w:pos="9016"/>
            </w:tabs>
            <w:spacing w:line="360" w:lineRule="auto"/>
            <w:rPr>
              <w:rFonts w:ascii="Arial" w:hAnsi="Arial" w:cs="Arial"/>
              <w:noProof/>
            </w:rPr>
          </w:pPr>
          <w:hyperlink w:anchor="_Toc182582575" w:history="1">
            <w:r w:rsidRPr="00DC7686">
              <w:rPr>
                <w:rStyle w:val="Hyperlink"/>
                <w:rFonts w:ascii="Arial" w:hAnsi="Arial" w:cs="Arial"/>
                <w:noProof/>
              </w:rPr>
              <w:t>2.</w:t>
            </w:r>
            <w:r w:rsidRPr="00DC7686">
              <w:rPr>
                <w:rFonts w:ascii="Arial" w:hAnsi="Arial" w:cs="Arial"/>
                <w:noProof/>
              </w:rPr>
              <w:tab/>
            </w:r>
            <w:r w:rsidRPr="00DC7686">
              <w:rPr>
                <w:rStyle w:val="Hyperlink"/>
                <w:rFonts w:ascii="Arial" w:hAnsi="Arial" w:cs="Arial"/>
                <w:noProof/>
              </w:rPr>
              <w:t>Main Findings</w:t>
            </w:r>
            <w:r w:rsidRPr="00DC7686">
              <w:rPr>
                <w:rFonts w:ascii="Arial" w:hAnsi="Arial" w:cs="Arial"/>
                <w:noProof/>
                <w:webHidden/>
              </w:rPr>
              <w:tab/>
            </w:r>
            <w:r w:rsidRPr="00DC7686">
              <w:rPr>
                <w:rFonts w:ascii="Arial" w:hAnsi="Arial" w:cs="Arial"/>
                <w:noProof/>
                <w:webHidden/>
              </w:rPr>
              <w:fldChar w:fldCharType="begin"/>
            </w:r>
            <w:r w:rsidRPr="00DC7686">
              <w:rPr>
                <w:rFonts w:ascii="Arial" w:hAnsi="Arial" w:cs="Arial"/>
                <w:noProof/>
                <w:webHidden/>
              </w:rPr>
              <w:instrText xml:space="preserve"> PAGEREF _Toc182582575 \h </w:instrText>
            </w:r>
            <w:r w:rsidRPr="00DC7686">
              <w:rPr>
                <w:rFonts w:ascii="Arial" w:hAnsi="Arial" w:cs="Arial"/>
                <w:noProof/>
                <w:webHidden/>
              </w:rPr>
            </w:r>
            <w:r w:rsidRPr="00DC7686">
              <w:rPr>
                <w:rFonts w:ascii="Arial" w:hAnsi="Arial" w:cs="Arial"/>
                <w:noProof/>
                <w:webHidden/>
              </w:rPr>
              <w:fldChar w:fldCharType="separate"/>
            </w:r>
            <w:r w:rsidR="007A0037">
              <w:rPr>
                <w:rFonts w:ascii="Arial" w:hAnsi="Arial" w:cs="Arial"/>
                <w:noProof/>
                <w:webHidden/>
              </w:rPr>
              <w:t>4</w:t>
            </w:r>
            <w:r w:rsidRPr="00DC7686">
              <w:rPr>
                <w:rFonts w:ascii="Arial" w:hAnsi="Arial" w:cs="Arial"/>
                <w:noProof/>
                <w:webHidden/>
              </w:rPr>
              <w:fldChar w:fldCharType="end"/>
            </w:r>
          </w:hyperlink>
        </w:p>
        <w:p w14:paraId="01AF165F" w14:textId="5893DF48" w:rsidR="00DC7686" w:rsidRPr="00DC7686" w:rsidRDefault="00DC7686" w:rsidP="00DC7686">
          <w:pPr>
            <w:pStyle w:val="TOC1"/>
            <w:tabs>
              <w:tab w:val="left" w:pos="720"/>
              <w:tab w:val="right" w:leader="dot" w:pos="9016"/>
            </w:tabs>
            <w:spacing w:line="360" w:lineRule="auto"/>
            <w:rPr>
              <w:rFonts w:ascii="Arial" w:hAnsi="Arial" w:cs="Arial"/>
              <w:noProof/>
            </w:rPr>
          </w:pPr>
          <w:hyperlink w:anchor="_Toc182582576" w:history="1">
            <w:r w:rsidRPr="00DC7686">
              <w:rPr>
                <w:rStyle w:val="Hyperlink"/>
                <w:rFonts w:ascii="Arial" w:hAnsi="Arial" w:cs="Arial"/>
                <w:noProof/>
              </w:rPr>
              <w:t>2.1.</w:t>
            </w:r>
            <w:r w:rsidRPr="00DC7686">
              <w:rPr>
                <w:rFonts w:ascii="Arial" w:hAnsi="Arial" w:cs="Arial"/>
                <w:noProof/>
              </w:rPr>
              <w:tab/>
            </w:r>
            <w:r w:rsidRPr="00DC7686">
              <w:rPr>
                <w:rStyle w:val="Hyperlink"/>
                <w:rFonts w:ascii="Arial" w:hAnsi="Arial" w:cs="Arial"/>
                <w:noProof/>
              </w:rPr>
              <w:t>Overview of Greener Practices in Hospitality</w:t>
            </w:r>
            <w:r w:rsidRPr="00DC7686">
              <w:rPr>
                <w:rFonts w:ascii="Arial" w:hAnsi="Arial" w:cs="Arial"/>
                <w:noProof/>
                <w:webHidden/>
              </w:rPr>
              <w:tab/>
            </w:r>
            <w:r w:rsidRPr="00DC7686">
              <w:rPr>
                <w:rFonts w:ascii="Arial" w:hAnsi="Arial" w:cs="Arial"/>
                <w:noProof/>
                <w:webHidden/>
              </w:rPr>
              <w:fldChar w:fldCharType="begin"/>
            </w:r>
            <w:r w:rsidRPr="00DC7686">
              <w:rPr>
                <w:rFonts w:ascii="Arial" w:hAnsi="Arial" w:cs="Arial"/>
                <w:noProof/>
                <w:webHidden/>
              </w:rPr>
              <w:instrText xml:space="preserve"> PAGEREF _Toc182582576 \h </w:instrText>
            </w:r>
            <w:r w:rsidRPr="00DC7686">
              <w:rPr>
                <w:rFonts w:ascii="Arial" w:hAnsi="Arial" w:cs="Arial"/>
                <w:noProof/>
                <w:webHidden/>
              </w:rPr>
            </w:r>
            <w:r w:rsidRPr="00DC7686">
              <w:rPr>
                <w:rFonts w:ascii="Arial" w:hAnsi="Arial" w:cs="Arial"/>
                <w:noProof/>
                <w:webHidden/>
              </w:rPr>
              <w:fldChar w:fldCharType="separate"/>
            </w:r>
            <w:r w:rsidR="007A0037">
              <w:rPr>
                <w:rFonts w:ascii="Arial" w:hAnsi="Arial" w:cs="Arial"/>
                <w:noProof/>
                <w:webHidden/>
              </w:rPr>
              <w:t>4</w:t>
            </w:r>
            <w:r w:rsidRPr="00DC7686">
              <w:rPr>
                <w:rFonts w:ascii="Arial" w:hAnsi="Arial" w:cs="Arial"/>
                <w:noProof/>
                <w:webHidden/>
              </w:rPr>
              <w:fldChar w:fldCharType="end"/>
            </w:r>
          </w:hyperlink>
        </w:p>
        <w:p w14:paraId="34F9F82E" w14:textId="0FB51F6C" w:rsidR="00DC7686" w:rsidRPr="00DC7686" w:rsidRDefault="00DC7686" w:rsidP="00DC7686">
          <w:pPr>
            <w:pStyle w:val="TOC1"/>
            <w:tabs>
              <w:tab w:val="left" w:pos="720"/>
              <w:tab w:val="right" w:leader="dot" w:pos="9016"/>
            </w:tabs>
            <w:spacing w:line="360" w:lineRule="auto"/>
            <w:rPr>
              <w:rFonts w:ascii="Arial" w:hAnsi="Arial" w:cs="Arial"/>
              <w:noProof/>
            </w:rPr>
          </w:pPr>
          <w:hyperlink w:anchor="_Toc182582577" w:history="1">
            <w:r w:rsidRPr="00DC7686">
              <w:rPr>
                <w:rStyle w:val="Hyperlink"/>
                <w:rFonts w:ascii="Arial" w:hAnsi="Arial" w:cs="Arial"/>
                <w:noProof/>
              </w:rPr>
              <w:t>2.2.</w:t>
            </w:r>
            <w:r w:rsidRPr="00DC7686">
              <w:rPr>
                <w:rFonts w:ascii="Arial" w:hAnsi="Arial" w:cs="Arial"/>
                <w:noProof/>
              </w:rPr>
              <w:tab/>
            </w:r>
            <w:r w:rsidRPr="00DC7686">
              <w:rPr>
                <w:rStyle w:val="Hyperlink"/>
                <w:rFonts w:ascii="Arial" w:hAnsi="Arial" w:cs="Arial"/>
                <w:noProof/>
              </w:rPr>
              <w:t>Hilton’s Current Sustainability Initiatives</w:t>
            </w:r>
            <w:r w:rsidRPr="00DC7686">
              <w:rPr>
                <w:rFonts w:ascii="Arial" w:hAnsi="Arial" w:cs="Arial"/>
                <w:noProof/>
                <w:webHidden/>
              </w:rPr>
              <w:tab/>
            </w:r>
            <w:r w:rsidRPr="00DC7686">
              <w:rPr>
                <w:rFonts w:ascii="Arial" w:hAnsi="Arial" w:cs="Arial"/>
                <w:noProof/>
                <w:webHidden/>
              </w:rPr>
              <w:fldChar w:fldCharType="begin"/>
            </w:r>
            <w:r w:rsidRPr="00DC7686">
              <w:rPr>
                <w:rFonts w:ascii="Arial" w:hAnsi="Arial" w:cs="Arial"/>
                <w:noProof/>
                <w:webHidden/>
              </w:rPr>
              <w:instrText xml:space="preserve"> PAGEREF _Toc182582577 \h </w:instrText>
            </w:r>
            <w:r w:rsidRPr="00DC7686">
              <w:rPr>
                <w:rFonts w:ascii="Arial" w:hAnsi="Arial" w:cs="Arial"/>
                <w:noProof/>
                <w:webHidden/>
              </w:rPr>
            </w:r>
            <w:r w:rsidRPr="00DC7686">
              <w:rPr>
                <w:rFonts w:ascii="Arial" w:hAnsi="Arial" w:cs="Arial"/>
                <w:noProof/>
                <w:webHidden/>
              </w:rPr>
              <w:fldChar w:fldCharType="separate"/>
            </w:r>
            <w:r w:rsidR="007A0037">
              <w:rPr>
                <w:rFonts w:ascii="Arial" w:hAnsi="Arial" w:cs="Arial"/>
                <w:noProof/>
                <w:webHidden/>
              </w:rPr>
              <w:t>5</w:t>
            </w:r>
            <w:r w:rsidRPr="00DC7686">
              <w:rPr>
                <w:rFonts w:ascii="Arial" w:hAnsi="Arial" w:cs="Arial"/>
                <w:noProof/>
                <w:webHidden/>
              </w:rPr>
              <w:fldChar w:fldCharType="end"/>
            </w:r>
          </w:hyperlink>
        </w:p>
        <w:p w14:paraId="74B2C2FE" w14:textId="6C252A78" w:rsidR="00DC7686" w:rsidRPr="00DC7686" w:rsidRDefault="00DC7686" w:rsidP="00DC7686">
          <w:pPr>
            <w:pStyle w:val="TOC1"/>
            <w:tabs>
              <w:tab w:val="left" w:pos="720"/>
              <w:tab w:val="right" w:leader="dot" w:pos="9016"/>
            </w:tabs>
            <w:spacing w:line="360" w:lineRule="auto"/>
            <w:rPr>
              <w:rFonts w:ascii="Arial" w:hAnsi="Arial" w:cs="Arial"/>
              <w:noProof/>
            </w:rPr>
          </w:pPr>
          <w:hyperlink w:anchor="_Toc182582578" w:history="1">
            <w:r w:rsidRPr="00DC7686">
              <w:rPr>
                <w:rStyle w:val="Hyperlink"/>
                <w:rFonts w:ascii="Arial" w:hAnsi="Arial" w:cs="Arial"/>
                <w:noProof/>
              </w:rPr>
              <w:t>2.3.</w:t>
            </w:r>
            <w:r w:rsidRPr="00DC7686">
              <w:rPr>
                <w:rFonts w:ascii="Arial" w:hAnsi="Arial" w:cs="Arial"/>
                <w:noProof/>
              </w:rPr>
              <w:tab/>
            </w:r>
            <w:r w:rsidRPr="00DC7686">
              <w:rPr>
                <w:rStyle w:val="Hyperlink"/>
                <w:rFonts w:ascii="Arial" w:hAnsi="Arial" w:cs="Arial"/>
                <w:noProof/>
              </w:rPr>
              <w:t>Recognised Gaps in Hilton’s Sustainability Efforts</w:t>
            </w:r>
            <w:r w:rsidRPr="00DC7686">
              <w:rPr>
                <w:rFonts w:ascii="Arial" w:hAnsi="Arial" w:cs="Arial"/>
                <w:noProof/>
                <w:webHidden/>
              </w:rPr>
              <w:tab/>
            </w:r>
            <w:r w:rsidRPr="00DC7686">
              <w:rPr>
                <w:rFonts w:ascii="Arial" w:hAnsi="Arial" w:cs="Arial"/>
                <w:noProof/>
                <w:webHidden/>
              </w:rPr>
              <w:fldChar w:fldCharType="begin"/>
            </w:r>
            <w:r w:rsidRPr="00DC7686">
              <w:rPr>
                <w:rFonts w:ascii="Arial" w:hAnsi="Arial" w:cs="Arial"/>
                <w:noProof/>
                <w:webHidden/>
              </w:rPr>
              <w:instrText xml:space="preserve"> PAGEREF _Toc182582578 \h </w:instrText>
            </w:r>
            <w:r w:rsidRPr="00DC7686">
              <w:rPr>
                <w:rFonts w:ascii="Arial" w:hAnsi="Arial" w:cs="Arial"/>
                <w:noProof/>
                <w:webHidden/>
              </w:rPr>
            </w:r>
            <w:r w:rsidRPr="00DC7686">
              <w:rPr>
                <w:rFonts w:ascii="Arial" w:hAnsi="Arial" w:cs="Arial"/>
                <w:noProof/>
                <w:webHidden/>
              </w:rPr>
              <w:fldChar w:fldCharType="separate"/>
            </w:r>
            <w:r w:rsidR="007A0037">
              <w:rPr>
                <w:rFonts w:ascii="Arial" w:hAnsi="Arial" w:cs="Arial"/>
                <w:noProof/>
                <w:webHidden/>
              </w:rPr>
              <w:t>5</w:t>
            </w:r>
            <w:r w:rsidRPr="00DC7686">
              <w:rPr>
                <w:rFonts w:ascii="Arial" w:hAnsi="Arial" w:cs="Arial"/>
                <w:noProof/>
                <w:webHidden/>
              </w:rPr>
              <w:fldChar w:fldCharType="end"/>
            </w:r>
          </w:hyperlink>
        </w:p>
        <w:p w14:paraId="08EF89A8" w14:textId="3A551585" w:rsidR="00DC7686" w:rsidRPr="00DC7686" w:rsidRDefault="00DC7686" w:rsidP="00DC7686">
          <w:pPr>
            <w:pStyle w:val="TOC1"/>
            <w:tabs>
              <w:tab w:val="left" w:pos="720"/>
              <w:tab w:val="right" w:leader="dot" w:pos="9016"/>
            </w:tabs>
            <w:spacing w:line="360" w:lineRule="auto"/>
            <w:rPr>
              <w:rFonts w:ascii="Arial" w:hAnsi="Arial" w:cs="Arial"/>
              <w:noProof/>
            </w:rPr>
          </w:pPr>
          <w:hyperlink w:anchor="_Toc182582579" w:history="1">
            <w:r w:rsidRPr="00DC7686">
              <w:rPr>
                <w:rStyle w:val="Hyperlink"/>
                <w:rFonts w:ascii="Arial" w:hAnsi="Arial" w:cs="Arial"/>
                <w:noProof/>
              </w:rPr>
              <w:t>2.4.</w:t>
            </w:r>
            <w:r w:rsidRPr="00DC7686">
              <w:rPr>
                <w:rFonts w:ascii="Arial" w:hAnsi="Arial" w:cs="Arial"/>
                <w:noProof/>
              </w:rPr>
              <w:tab/>
            </w:r>
            <w:r w:rsidRPr="00DC7686">
              <w:rPr>
                <w:rStyle w:val="Hyperlink"/>
                <w:rFonts w:ascii="Arial" w:hAnsi="Arial" w:cs="Arial"/>
                <w:noProof/>
              </w:rPr>
              <w:t>Greenwashing Concerns and Impacts</w:t>
            </w:r>
            <w:r w:rsidRPr="00DC7686">
              <w:rPr>
                <w:rFonts w:ascii="Arial" w:hAnsi="Arial" w:cs="Arial"/>
                <w:noProof/>
                <w:webHidden/>
              </w:rPr>
              <w:tab/>
            </w:r>
            <w:r w:rsidRPr="00DC7686">
              <w:rPr>
                <w:rFonts w:ascii="Arial" w:hAnsi="Arial" w:cs="Arial"/>
                <w:noProof/>
                <w:webHidden/>
              </w:rPr>
              <w:fldChar w:fldCharType="begin"/>
            </w:r>
            <w:r w:rsidRPr="00DC7686">
              <w:rPr>
                <w:rFonts w:ascii="Arial" w:hAnsi="Arial" w:cs="Arial"/>
                <w:noProof/>
                <w:webHidden/>
              </w:rPr>
              <w:instrText xml:space="preserve"> PAGEREF _Toc182582579 \h </w:instrText>
            </w:r>
            <w:r w:rsidRPr="00DC7686">
              <w:rPr>
                <w:rFonts w:ascii="Arial" w:hAnsi="Arial" w:cs="Arial"/>
                <w:noProof/>
                <w:webHidden/>
              </w:rPr>
            </w:r>
            <w:r w:rsidRPr="00DC7686">
              <w:rPr>
                <w:rFonts w:ascii="Arial" w:hAnsi="Arial" w:cs="Arial"/>
                <w:noProof/>
                <w:webHidden/>
              </w:rPr>
              <w:fldChar w:fldCharType="separate"/>
            </w:r>
            <w:r w:rsidR="007A0037">
              <w:rPr>
                <w:rFonts w:ascii="Arial" w:hAnsi="Arial" w:cs="Arial"/>
                <w:noProof/>
                <w:webHidden/>
              </w:rPr>
              <w:t>7</w:t>
            </w:r>
            <w:r w:rsidRPr="00DC7686">
              <w:rPr>
                <w:rFonts w:ascii="Arial" w:hAnsi="Arial" w:cs="Arial"/>
                <w:noProof/>
                <w:webHidden/>
              </w:rPr>
              <w:fldChar w:fldCharType="end"/>
            </w:r>
          </w:hyperlink>
        </w:p>
        <w:p w14:paraId="68809D6A" w14:textId="1AFA20B7" w:rsidR="00DC7686" w:rsidRPr="00DC7686" w:rsidRDefault="00DC7686" w:rsidP="00DC7686">
          <w:pPr>
            <w:pStyle w:val="TOC1"/>
            <w:tabs>
              <w:tab w:val="left" w:pos="720"/>
              <w:tab w:val="right" w:leader="dot" w:pos="9016"/>
            </w:tabs>
            <w:spacing w:line="360" w:lineRule="auto"/>
            <w:rPr>
              <w:rFonts w:ascii="Arial" w:hAnsi="Arial" w:cs="Arial"/>
              <w:noProof/>
            </w:rPr>
          </w:pPr>
          <w:hyperlink w:anchor="_Toc182582580" w:history="1">
            <w:r w:rsidRPr="00DC7686">
              <w:rPr>
                <w:rStyle w:val="Hyperlink"/>
                <w:rFonts w:ascii="Arial" w:hAnsi="Arial" w:cs="Arial"/>
                <w:noProof/>
              </w:rPr>
              <w:t>2.5.</w:t>
            </w:r>
            <w:r w:rsidRPr="00DC7686">
              <w:rPr>
                <w:rFonts w:ascii="Arial" w:hAnsi="Arial" w:cs="Arial"/>
                <w:noProof/>
              </w:rPr>
              <w:tab/>
            </w:r>
            <w:r w:rsidRPr="00DC7686">
              <w:rPr>
                <w:rStyle w:val="Hyperlink"/>
                <w:rFonts w:ascii="Arial" w:hAnsi="Arial" w:cs="Arial"/>
                <w:noProof/>
              </w:rPr>
              <w:t>Key Regulatory and Market Implications</w:t>
            </w:r>
            <w:r w:rsidRPr="00DC7686">
              <w:rPr>
                <w:rFonts w:ascii="Arial" w:hAnsi="Arial" w:cs="Arial"/>
                <w:noProof/>
                <w:webHidden/>
              </w:rPr>
              <w:tab/>
            </w:r>
            <w:r w:rsidRPr="00DC7686">
              <w:rPr>
                <w:rFonts w:ascii="Arial" w:hAnsi="Arial" w:cs="Arial"/>
                <w:noProof/>
                <w:webHidden/>
              </w:rPr>
              <w:fldChar w:fldCharType="begin"/>
            </w:r>
            <w:r w:rsidRPr="00DC7686">
              <w:rPr>
                <w:rFonts w:ascii="Arial" w:hAnsi="Arial" w:cs="Arial"/>
                <w:noProof/>
                <w:webHidden/>
              </w:rPr>
              <w:instrText xml:space="preserve"> PAGEREF _Toc182582580 \h </w:instrText>
            </w:r>
            <w:r w:rsidRPr="00DC7686">
              <w:rPr>
                <w:rFonts w:ascii="Arial" w:hAnsi="Arial" w:cs="Arial"/>
                <w:noProof/>
                <w:webHidden/>
              </w:rPr>
            </w:r>
            <w:r w:rsidRPr="00DC7686">
              <w:rPr>
                <w:rFonts w:ascii="Arial" w:hAnsi="Arial" w:cs="Arial"/>
                <w:noProof/>
                <w:webHidden/>
              </w:rPr>
              <w:fldChar w:fldCharType="separate"/>
            </w:r>
            <w:r w:rsidR="007A0037">
              <w:rPr>
                <w:rFonts w:ascii="Arial" w:hAnsi="Arial" w:cs="Arial"/>
                <w:noProof/>
                <w:webHidden/>
              </w:rPr>
              <w:t>8</w:t>
            </w:r>
            <w:r w:rsidRPr="00DC7686">
              <w:rPr>
                <w:rFonts w:ascii="Arial" w:hAnsi="Arial" w:cs="Arial"/>
                <w:noProof/>
                <w:webHidden/>
              </w:rPr>
              <w:fldChar w:fldCharType="end"/>
            </w:r>
          </w:hyperlink>
        </w:p>
        <w:p w14:paraId="2923CBDE" w14:textId="288C8735" w:rsidR="00DC7686" w:rsidRPr="00DC7686" w:rsidRDefault="00DC7686" w:rsidP="00DC7686">
          <w:pPr>
            <w:pStyle w:val="TOC1"/>
            <w:tabs>
              <w:tab w:val="left" w:pos="480"/>
              <w:tab w:val="right" w:leader="dot" w:pos="9016"/>
            </w:tabs>
            <w:spacing w:line="360" w:lineRule="auto"/>
            <w:rPr>
              <w:rFonts w:ascii="Arial" w:hAnsi="Arial" w:cs="Arial"/>
              <w:noProof/>
            </w:rPr>
          </w:pPr>
          <w:hyperlink w:anchor="_Toc182582581" w:history="1">
            <w:r w:rsidRPr="00DC7686">
              <w:rPr>
                <w:rStyle w:val="Hyperlink"/>
                <w:rFonts w:ascii="Arial" w:hAnsi="Arial" w:cs="Arial"/>
                <w:noProof/>
              </w:rPr>
              <w:t>3.</w:t>
            </w:r>
            <w:r w:rsidRPr="00DC7686">
              <w:rPr>
                <w:rFonts w:ascii="Arial" w:hAnsi="Arial" w:cs="Arial"/>
                <w:noProof/>
              </w:rPr>
              <w:tab/>
            </w:r>
            <w:r w:rsidRPr="00DC7686">
              <w:rPr>
                <w:rStyle w:val="Hyperlink"/>
                <w:rFonts w:ascii="Arial" w:hAnsi="Arial" w:cs="Arial"/>
                <w:noProof/>
              </w:rPr>
              <w:t>Recommendations</w:t>
            </w:r>
            <w:r w:rsidRPr="00DC7686">
              <w:rPr>
                <w:rFonts w:ascii="Arial" w:hAnsi="Arial" w:cs="Arial"/>
                <w:noProof/>
                <w:webHidden/>
              </w:rPr>
              <w:tab/>
            </w:r>
            <w:r w:rsidRPr="00DC7686">
              <w:rPr>
                <w:rFonts w:ascii="Arial" w:hAnsi="Arial" w:cs="Arial"/>
                <w:noProof/>
                <w:webHidden/>
              </w:rPr>
              <w:fldChar w:fldCharType="begin"/>
            </w:r>
            <w:r w:rsidRPr="00DC7686">
              <w:rPr>
                <w:rFonts w:ascii="Arial" w:hAnsi="Arial" w:cs="Arial"/>
                <w:noProof/>
                <w:webHidden/>
              </w:rPr>
              <w:instrText xml:space="preserve"> PAGEREF _Toc182582581 \h </w:instrText>
            </w:r>
            <w:r w:rsidRPr="00DC7686">
              <w:rPr>
                <w:rFonts w:ascii="Arial" w:hAnsi="Arial" w:cs="Arial"/>
                <w:noProof/>
                <w:webHidden/>
              </w:rPr>
            </w:r>
            <w:r w:rsidRPr="00DC7686">
              <w:rPr>
                <w:rFonts w:ascii="Arial" w:hAnsi="Arial" w:cs="Arial"/>
                <w:noProof/>
                <w:webHidden/>
              </w:rPr>
              <w:fldChar w:fldCharType="separate"/>
            </w:r>
            <w:r w:rsidR="007A0037">
              <w:rPr>
                <w:rFonts w:ascii="Arial" w:hAnsi="Arial" w:cs="Arial"/>
                <w:noProof/>
                <w:webHidden/>
              </w:rPr>
              <w:t>9</w:t>
            </w:r>
            <w:r w:rsidRPr="00DC7686">
              <w:rPr>
                <w:rFonts w:ascii="Arial" w:hAnsi="Arial" w:cs="Arial"/>
                <w:noProof/>
                <w:webHidden/>
              </w:rPr>
              <w:fldChar w:fldCharType="end"/>
            </w:r>
          </w:hyperlink>
        </w:p>
        <w:p w14:paraId="5D50CDC0" w14:textId="5500BC91" w:rsidR="00DC7686" w:rsidRPr="00DC7686" w:rsidRDefault="00DC7686" w:rsidP="00DC7686">
          <w:pPr>
            <w:pStyle w:val="TOC1"/>
            <w:tabs>
              <w:tab w:val="left" w:pos="480"/>
              <w:tab w:val="right" w:leader="dot" w:pos="9016"/>
            </w:tabs>
            <w:spacing w:line="360" w:lineRule="auto"/>
            <w:rPr>
              <w:rFonts w:ascii="Arial" w:hAnsi="Arial" w:cs="Arial"/>
              <w:noProof/>
            </w:rPr>
          </w:pPr>
          <w:hyperlink w:anchor="_Toc182582582" w:history="1">
            <w:r w:rsidRPr="00DC7686">
              <w:rPr>
                <w:rStyle w:val="Hyperlink"/>
                <w:rFonts w:ascii="Arial" w:hAnsi="Arial" w:cs="Arial"/>
                <w:noProof/>
              </w:rPr>
              <w:t>4.</w:t>
            </w:r>
            <w:r w:rsidRPr="00DC7686">
              <w:rPr>
                <w:rFonts w:ascii="Arial" w:hAnsi="Arial" w:cs="Arial"/>
                <w:noProof/>
              </w:rPr>
              <w:tab/>
            </w:r>
            <w:r w:rsidRPr="00DC7686">
              <w:rPr>
                <w:rStyle w:val="Hyperlink"/>
                <w:rFonts w:ascii="Arial" w:hAnsi="Arial" w:cs="Arial"/>
                <w:noProof/>
              </w:rPr>
              <w:t>Conclusion</w:t>
            </w:r>
            <w:r w:rsidRPr="00DC7686">
              <w:rPr>
                <w:rFonts w:ascii="Arial" w:hAnsi="Arial" w:cs="Arial"/>
                <w:noProof/>
                <w:webHidden/>
              </w:rPr>
              <w:tab/>
            </w:r>
            <w:r w:rsidRPr="00DC7686">
              <w:rPr>
                <w:rFonts w:ascii="Arial" w:hAnsi="Arial" w:cs="Arial"/>
                <w:noProof/>
                <w:webHidden/>
              </w:rPr>
              <w:fldChar w:fldCharType="begin"/>
            </w:r>
            <w:r w:rsidRPr="00DC7686">
              <w:rPr>
                <w:rFonts w:ascii="Arial" w:hAnsi="Arial" w:cs="Arial"/>
                <w:noProof/>
                <w:webHidden/>
              </w:rPr>
              <w:instrText xml:space="preserve"> PAGEREF _Toc182582582 \h </w:instrText>
            </w:r>
            <w:r w:rsidRPr="00DC7686">
              <w:rPr>
                <w:rFonts w:ascii="Arial" w:hAnsi="Arial" w:cs="Arial"/>
                <w:noProof/>
                <w:webHidden/>
              </w:rPr>
            </w:r>
            <w:r w:rsidRPr="00DC7686">
              <w:rPr>
                <w:rFonts w:ascii="Arial" w:hAnsi="Arial" w:cs="Arial"/>
                <w:noProof/>
                <w:webHidden/>
              </w:rPr>
              <w:fldChar w:fldCharType="separate"/>
            </w:r>
            <w:r w:rsidR="007A0037">
              <w:rPr>
                <w:rFonts w:ascii="Arial" w:hAnsi="Arial" w:cs="Arial"/>
                <w:noProof/>
                <w:webHidden/>
              </w:rPr>
              <w:t>10</w:t>
            </w:r>
            <w:r w:rsidRPr="00DC7686">
              <w:rPr>
                <w:rFonts w:ascii="Arial" w:hAnsi="Arial" w:cs="Arial"/>
                <w:noProof/>
                <w:webHidden/>
              </w:rPr>
              <w:fldChar w:fldCharType="end"/>
            </w:r>
          </w:hyperlink>
        </w:p>
        <w:p w14:paraId="7FF2313D" w14:textId="23924A70" w:rsidR="00DC7686" w:rsidRPr="00DC7686" w:rsidRDefault="00DC7686" w:rsidP="00DC7686">
          <w:pPr>
            <w:pStyle w:val="TOC1"/>
            <w:tabs>
              <w:tab w:val="right" w:leader="dot" w:pos="9016"/>
            </w:tabs>
            <w:spacing w:line="360" w:lineRule="auto"/>
            <w:rPr>
              <w:rFonts w:ascii="Arial" w:hAnsi="Arial" w:cs="Arial"/>
              <w:noProof/>
            </w:rPr>
          </w:pPr>
          <w:hyperlink w:anchor="_Toc182582583" w:history="1">
            <w:r w:rsidRPr="00DC7686">
              <w:rPr>
                <w:rStyle w:val="Hyperlink"/>
                <w:rFonts w:ascii="Arial" w:hAnsi="Arial" w:cs="Arial"/>
                <w:noProof/>
              </w:rPr>
              <w:t>References</w:t>
            </w:r>
            <w:r w:rsidRPr="00DC7686">
              <w:rPr>
                <w:rFonts w:ascii="Arial" w:hAnsi="Arial" w:cs="Arial"/>
                <w:noProof/>
                <w:webHidden/>
              </w:rPr>
              <w:tab/>
            </w:r>
            <w:r w:rsidRPr="00DC7686">
              <w:rPr>
                <w:rFonts w:ascii="Arial" w:hAnsi="Arial" w:cs="Arial"/>
                <w:noProof/>
                <w:webHidden/>
              </w:rPr>
              <w:fldChar w:fldCharType="begin"/>
            </w:r>
            <w:r w:rsidRPr="00DC7686">
              <w:rPr>
                <w:rFonts w:ascii="Arial" w:hAnsi="Arial" w:cs="Arial"/>
                <w:noProof/>
                <w:webHidden/>
              </w:rPr>
              <w:instrText xml:space="preserve"> PAGEREF _Toc182582583 \h </w:instrText>
            </w:r>
            <w:r w:rsidRPr="00DC7686">
              <w:rPr>
                <w:rFonts w:ascii="Arial" w:hAnsi="Arial" w:cs="Arial"/>
                <w:noProof/>
                <w:webHidden/>
              </w:rPr>
            </w:r>
            <w:r w:rsidRPr="00DC7686">
              <w:rPr>
                <w:rFonts w:ascii="Arial" w:hAnsi="Arial" w:cs="Arial"/>
                <w:noProof/>
                <w:webHidden/>
              </w:rPr>
              <w:fldChar w:fldCharType="separate"/>
            </w:r>
            <w:r w:rsidR="007A0037">
              <w:rPr>
                <w:rFonts w:ascii="Arial" w:hAnsi="Arial" w:cs="Arial"/>
                <w:noProof/>
                <w:webHidden/>
              </w:rPr>
              <w:t>11</w:t>
            </w:r>
            <w:r w:rsidRPr="00DC7686">
              <w:rPr>
                <w:rFonts w:ascii="Arial" w:hAnsi="Arial" w:cs="Arial"/>
                <w:noProof/>
                <w:webHidden/>
              </w:rPr>
              <w:fldChar w:fldCharType="end"/>
            </w:r>
          </w:hyperlink>
        </w:p>
        <w:p w14:paraId="77FD59A0" w14:textId="5167958A" w:rsidR="00DC7686" w:rsidRDefault="00DC7686" w:rsidP="00DC7686">
          <w:pPr>
            <w:spacing w:line="360" w:lineRule="auto"/>
          </w:pPr>
          <w:r w:rsidRPr="00DC7686">
            <w:rPr>
              <w:rFonts w:ascii="Arial" w:hAnsi="Arial" w:cs="Arial"/>
              <w:b/>
              <w:bCs/>
              <w:noProof/>
            </w:rPr>
            <w:fldChar w:fldCharType="end"/>
          </w:r>
        </w:p>
      </w:sdtContent>
    </w:sdt>
    <w:p w14:paraId="7B6DFA19" w14:textId="77777777" w:rsidR="00485C5D" w:rsidRDefault="00485C5D" w:rsidP="00485C5D">
      <w:pPr>
        <w:rPr>
          <w:lang w:eastAsia="en-GB"/>
        </w:rPr>
      </w:pPr>
    </w:p>
    <w:p w14:paraId="0CEE3538" w14:textId="77777777" w:rsidR="00485C5D" w:rsidRDefault="00485C5D" w:rsidP="00485C5D">
      <w:pPr>
        <w:rPr>
          <w:lang w:eastAsia="en-GB"/>
        </w:rPr>
      </w:pPr>
    </w:p>
    <w:p w14:paraId="230C1A97" w14:textId="77777777" w:rsidR="00485C5D" w:rsidRDefault="00485C5D" w:rsidP="00485C5D">
      <w:pPr>
        <w:rPr>
          <w:lang w:eastAsia="en-GB"/>
        </w:rPr>
      </w:pPr>
    </w:p>
    <w:p w14:paraId="1412E343" w14:textId="77777777" w:rsidR="00485C5D" w:rsidRDefault="00485C5D" w:rsidP="00485C5D">
      <w:pPr>
        <w:rPr>
          <w:lang w:eastAsia="en-GB"/>
        </w:rPr>
      </w:pPr>
    </w:p>
    <w:p w14:paraId="66354D15" w14:textId="77777777" w:rsidR="00485C5D" w:rsidRDefault="00485C5D" w:rsidP="00485C5D">
      <w:pPr>
        <w:rPr>
          <w:lang w:eastAsia="en-GB"/>
        </w:rPr>
      </w:pPr>
    </w:p>
    <w:p w14:paraId="6209C53F" w14:textId="77777777" w:rsidR="00485C5D" w:rsidRDefault="00485C5D" w:rsidP="00485C5D">
      <w:pPr>
        <w:rPr>
          <w:lang w:eastAsia="en-GB"/>
        </w:rPr>
      </w:pPr>
    </w:p>
    <w:p w14:paraId="7108EA50" w14:textId="77777777" w:rsidR="00485C5D" w:rsidRDefault="00485C5D" w:rsidP="00485C5D">
      <w:pPr>
        <w:rPr>
          <w:lang w:eastAsia="en-GB"/>
        </w:rPr>
      </w:pPr>
    </w:p>
    <w:p w14:paraId="0ED77AF1" w14:textId="77777777" w:rsidR="00485C5D" w:rsidRDefault="00485C5D" w:rsidP="00485C5D">
      <w:pPr>
        <w:rPr>
          <w:lang w:eastAsia="en-GB"/>
        </w:rPr>
      </w:pPr>
    </w:p>
    <w:p w14:paraId="7B72A7D6" w14:textId="77777777" w:rsidR="00485C5D" w:rsidRDefault="00485C5D" w:rsidP="00485C5D">
      <w:pPr>
        <w:rPr>
          <w:lang w:eastAsia="en-GB"/>
        </w:rPr>
      </w:pPr>
    </w:p>
    <w:p w14:paraId="534D055B" w14:textId="77777777" w:rsidR="00485C5D" w:rsidRDefault="00485C5D" w:rsidP="00485C5D">
      <w:pPr>
        <w:rPr>
          <w:lang w:eastAsia="en-GB"/>
        </w:rPr>
      </w:pPr>
    </w:p>
    <w:p w14:paraId="6057CE1F" w14:textId="77777777" w:rsidR="00485C5D" w:rsidRDefault="00485C5D" w:rsidP="00485C5D">
      <w:pPr>
        <w:rPr>
          <w:lang w:eastAsia="en-GB"/>
        </w:rPr>
      </w:pPr>
    </w:p>
    <w:p w14:paraId="384E9E70" w14:textId="77777777" w:rsidR="00485C5D" w:rsidRDefault="00485C5D" w:rsidP="00485C5D">
      <w:pPr>
        <w:rPr>
          <w:lang w:eastAsia="en-GB"/>
        </w:rPr>
      </w:pPr>
    </w:p>
    <w:p w14:paraId="7DC3EF8A" w14:textId="77777777" w:rsidR="00485C5D" w:rsidRDefault="00485C5D" w:rsidP="00485C5D">
      <w:pPr>
        <w:rPr>
          <w:lang w:eastAsia="en-GB"/>
        </w:rPr>
      </w:pPr>
    </w:p>
    <w:p w14:paraId="2BAD666D" w14:textId="77777777" w:rsidR="00485C5D" w:rsidRDefault="00485C5D" w:rsidP="00485C5D">
      <w:pPr>
        <w:rPr>
          <w:lang w:eastAsia="en-GB"/>
        </w:rPr>
      </w:pPr>
    </w:p>
    <w:p w14:paraId="2E36DC23" w14:textId="77777777" w:rsidR="00485C5D" w:rsidRDefault="00485C5D" w:rsidP="00485C5D">
      <w:pPr>
        <w:rPr>
          <w:lang w:eastAsia="en-GB"/>
        </w:rPr>
      </w:pPr>
    </w:p>
    <w:p w14:paraId="3CB59F25" w14:textId="77777777" w:rsidR="00485C5D" w:rsidRDefault="00485C5D" w:rsidP="00485C5D">
      <w:pPr>
        <w:rPr>
          <w:lang w:eastAsia="en-GB"/>
        </w:rPr>
      </w:pPr>
    </w:p>
    <w:p w14:paraId="2B5F0DEE" w14:textId="216B225C" w:rsidR="00485C5D" w:rsidRPr="007A0037" w:rsidRDefault="00485C5D" w:rsidP="007A0037">
      <w:pPr>
        <w:pStyle w:val="EU"/>
        <w:numPr>
          <w:ilvl w:val="0"/>
          <w:numId w:val="1"/>
        </w:numPr>
        <w:spacing w:line="360" w:lineRule="auto"/>
        <w:rPr>
          <w:color w:val="auto"/>
        </w:rPr>
      </w:pPr>
      <w:bookmarkStart w:id="1" w:name="_Toc182582574"/>
      <w:r w:rsidRPr="007A0037">
        <w:rPr>
          <w:color w:val="auto"/>
        </w:rPr>
        <w:t>Introduction</w:t>
      </w:r>
      <w:bookmarkEnd w:id="1"/>
      <w:r w:rsidRPr="007A0037">
        <w:rPr>
          <w:color w:val="auto"/>
        </w:rPr>
        <w:t xml:space="preserve"> </w:t>
      </w:r>
    </w:p>
    <w:p w14:paraId="14124918" w14:textId="448B0FF7" w:rsidR="0068145E" w:rsidRPr="007A0037" w:rsidRDefault="00485C5D"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Sustainability has arisen as a critical concern in today's hotel business, driven by growing environmental challenges and shifting consumer expectations. Hotels are progressively implementing sustainable methods to reduce their environmental impact and promote corporate responsibility</w:t>
      </w:r>
      <w:r w:rsidR="00B079CF" w:rsidRPr="007A0037">
        <w:rPr>
          <w:rFonts w:ascii="Arial" w:hAnsi="Arial" w:cs="Arial"/>
          <w:sz w:val="24"/>
          <w:szCs w:val="24"/>
        </w:rPr>
        <w:t xml:space="preserve"> </w:t>
      </w:r>
      <w:r w:rsidR="00B079CF" w:rsidRPr="007A0037">
        <w:rPr>
          <w:rFonts w:ascii="Arial" w:hAnsi="Arial" w:cs="Arial"/>
          <w:sz w:val="24"/>
          <w:szCs w:val="24"/>
          <w:lang w:eastAsia="en-GB"/>
        </w:rPr>
        <w:t>(Khatter, 2023)</w:t>
      </w:r>
      <w:r w:rsidRPr="007A0037">
        <w:rPr>
          <w:rFonts w:ascii="Arial" w:hAnsi="Arial" w:cs="Arial"/>
          <w:sz w:val="24"/>
          <w:szCs w:val="24"/>
          <w:lang w:eastAsia="en-GB"/>
        </w:rPr>
        <w:t>. Hilton Worldwide</w:t>
      </w:r>
      <w:r w:rsidR="00B079CF" w:rsidRPr="007A0037">
        <w:rPr>
          <w:rFonts w:ascii="Arial" w:hAnsi="Arial" w:cs="Arial"/>
          <w:sz w:val="24"/>
          <w:szCs w:val="24"/>
          <w:lang w:eastAsia="en-GB"/>
        </w:rPr>
        <w:t xml:space="preserve"> </w:t>
      </w:r>
      <w:r w:rsidRPr="007A0037">
        <w:rPr>
          <w:rFonts w:ascii="Arial" w:hAnsi="Arial" w:cs="Arial"/>
          <w:sz w:val="24"/>
          <w:szCs w:val="24"/>
          <w:lang w:eastAsia="en-GB"/>
        </w:rPr>
        <w:t xml:space="preserve">has been incorporating sustainability into its operations. The company's dedication to sustainability is reflected in initiatives like as the </w:t>
      </w:r>
      <w:proofErr w:type="spellStart"/>
      <w:r w:rsidRPr="007A0037">
        <w:rPr>
          <w:rFonts w:ascii="Arial" w:hAnsi="Arial" w:cs="Arial"/>
          <w:sz w:val="24"/>
          <w:szCs w:val="24"/>
          <w:lang w:eastAsia="en-GB"/>
        </w:rPr>
        <w:t>LightStay</w:t>
      </w:r>
      <w:proofErr w:type="spellEnd"/>
      <w:r w:rsidRPr="007A0037">
        <w:rPr>
          <w:rFonts w:ascii="Arial" w:hAnsi="Arial" w:cs="Arial"/>
          <w:sz w:val="24"/>
          <w:szCs w:val="24"/>
          <w:lang w:eastAsia="en-GB"/>
        </w:rPr>
        <w:t xml:space="preserve"> program, which </w:t>
      </w:r>
      <w:proofErr w:type="gramStart"/>
      <w:r w:rsidRPr="007A0037">
        <w:rPr>
          <w:rFonts w:ascii="Arial" w:hAnsi="Arial" w:cs="Arial"/>
          <w:sz w:val="24"/>
          <w:szCs w:val="24"/>
          <w:lang w:eastAsia="en-GB"/>
        </w:rPr>
        <w:t>monitors</w:t>
      </w:r>
      <w:proofErr w:type="gramEnd"/>
      <w:r w:rsidRPr="007A0037">
        <w:rPr>
          <w:rFonts w:ascii="Arial" w:hAnsi="Arial" w:cs="Arial"/>
          <w:sz w:val="24"/>
          <w:szCs w:val="24"/>
          <w:lang w:eastAsia="en-GB"/>
        </w:rPr>
        <w:t xml:space="preserve"> and improves environmental parameters across all properties </w:t>
      </w:r>
      <w:r w:rsidR="00B079CF" w:rsidRPr="007A0037">
        <w:rPr>
          <w:rFonts w:ascii="Arial" w:hAnsi="Arial" w:cs="Arial"/>
          <w:sz w:val="24"/>
          <w:szCs w:val="24"/>
          <w:lang w:eastAsia="en-GB"/>
        </w:rPr>
        <w:t>(Zientara et al., 2020)</w:t>
      </w:r>
      <w:r w:rsidR="00B079CF" w:rsidRPr="007A0037">
        <w:rPr>
          <w:rFonts w:ascii="Arial" w:hAnsi="Arial" w:cs="Arial"/>
          <w:sz w:val="24"/>
          <w:szCs w:val="24"/>
          <w:lang w:eastAsia="en-GB"/>
        </w:rPr>
        <w:t xml:space="preserve">. </w:t>
      </w:r>
      <w:r w:rsidR="0068145E" w:rsidRPr="007A0037">
        <w:rPr>
          <w:rFonts w:ascii="Arial" w:hAnsi="Arial" w:cs="Arial"/>
          <w:sz w:val="24"/>
          <w:szCs w:val="24"/>
          <w:lang w:eastAsia="en-GB"/>
        </w:rPr>
        <w:t>However</w:t>
      </w:r>
      <w:r w:rsidRPr="007A0037">
        <w:rPr>
          <w:rFonts w:ascii="Arial" w:hAnsi="Arial" w:cs="Arial"/>
          <w:sz w:val="24"/>
          <w:szCs w:val="24"/>
          <w:lang w:eastAsia="en-GB"/>
        </w:rPr>
        <w:t xml:space="preserve">, the company still faced </w:t>
      </w:r>
      <w:r w:rsidR="00B079CF" w:rsidRPr="007A0037">
        <w:rPr>
          <w:rFonts w:ascii="Arial" w:hAnsi="Arial" w:cs="Arial"/>
          <w:sz w:val="24"/>
          <w:szCs w:val="24"/>
          <w:lang w:eastAsia="en-GB"/>
        </w:rPr>
        <w:t>allegations</w:t>
      </w:r>
      <w:r w:rsidRPr="007A0037">
        <w:rPr>
          <w:rFonts w:ascii="Arial" w:hAnsi="Arial" w:cs="Arial"/>
          <w:sz w:val="24"/>
          <w:szCs w:val="24"/>
          <w:lang w:eastAsia="en-GB"/>
        </w:rPr>
        <w:t xml:space="preserve"> of greenwashing.</w:t>
      </w:r>
      <w:r w:rsidR="0068145E" w:rsidRPr="007A0037">
        <w:rPr>
          <w:rFonts w:ascii="Arial" w:hAnsi="Arial" w:cs="Arial"/>
          <w:sz w:val="24"/>
          <w:szCs w:val="24"/>
          <w:lang w:eastAsia="en-GB"/>
        </w:rPr>
        <w:t xml:space="preserve"> </w:t>
      </w:r>
      <w:r w:rsidR="0068145E" w:rsidRPr="007A0037">
        <w:rPr>
          <w:rFonts w:ascii="Arial" w:hAnsi="Arial" w:cs="Arial"/>
          <w:sz w:val="24"/>
          <w:szCs w:val="24"/>
          <w:lang w:eastAsia="en-GB"/>
        </w:rPr>
        <w:t xml:space="preserve">For example, the hotel operator </w:t>
      </w:r>
      <w:proofErr w:type="gramStart"/>
      <w:r w:rsidR="0068145E" w:rsidRPr="007A0037">
        <w:rPr>
          <w:rFonts w:ascii="Arial" w:hAnsi="Arial" w:cs="Arial"/>
          <w:sz w:val="24"/>
          <w:szCs w:val="24"/>
          <w:lang w:eastAsia="en-GB"/>
        </w:rPr>
        <w:t>was chastised</w:t>
      </w:r>
      <w:proofErr w:type="gramEnd"/>
      <w:r w:rsidR="0068145E" w:rsidRPr="007A0037">
        <w:rPr>
          <w:rFonts w:ascii="Arial" w:hAnsi="Arial" w:cs="Arial"/>
          <w:sz w:val="24"/>
          <w:szCs w:val="24"/>
          <w:lang w:eastAsia="en-GB"/>
        </w:rPr>
        <w:t xml:space="preserve"> for its operations in the Maldives, where environmentalists accused it of ripping down palm and mangrove trees on </w:t>
      </w:r>
      <w:proofErr w:type="spellStart"/>
      <w:r w:rsidR="0068145E" w:rsidRPr="007A0037">
        <w:rPr>
          <w:rFonts w:ascii="Arial" w:hAnsi="Arial" w:cs="Arial"/>
          <w:sz w:val="24"/>
          <w:szCs w:val="24"/>
          <w:lang w:eastAsia="en-GB"/>
        </w:rPr>
        <w:t>Mandhoo</w:t>
      </w:r>
      <w:proofErr w:type="spellEnd"/>
      <w:r w:rsidR="0068145E" w:rsidRPr="007A0037">
        <w:rPr>
          <w:rFonts w:ascii="Arial" w:hAnsi="Arial" w:cs="Arial"/>
          <w:sz w:val="24"/>
          <w:szCs w:val="24"/>
          <w:lang w:eastAsia="en-GB"/>
        </w:rPr>
        <w:t xml:space="preserve"> Island to build resorts on </w:t>
      </w:r>
      <w:proofErr w:type="spellStart"/>
      <w:r w:rsidR="0068145E" w:rsidRPr="007A0037">
        <w:rPr>
          <w:rFonts w:ascii="Arial" w:hAnsi="Arial" w:cs="Arial"/>
          <w:sz w:val="24"/>
          <w:szCs w:val="24"/>
          <w:lang w:eastAsia="en-GB"/>
        </w:rPr>
        <w:t>Rangali</w:t>
      </w:r>
      <w:proofErr w:type="spellEnd"/>
      <w:r w:rsidR="0068145E" w:rsidRPr="007A0037">
        <w:rPr>
          <w:rFonts w:ascii="Arial" w:hAnsi="Arial" w:cs="Arial"/>
          <w:sz w:val="24"/>
          <w:szCs w:val="24"/>
          <w:lang w:eastAsia="en-GB"/>
        </w:rPr>
        <w:t xml:space="preserve"> and </w:t>
      </w:r>
      <w:proofErr w:type="spellStart"/>
      <w:r w:rsidR="0068145E" w:rsidRPr="007A0037">
        <w:rPr>
          <w:rFonts w:ascii="Arial" w:hAnsi="Arial" w:cs="Arial"/>
          <w:sz w:val="24"/>
          <w:szCs w:val="24"/>
          <w:lang w:eastAsia="en-GB"/>
        </w:rPr>
        <w:t>Rangalifinolhu</w:t>
      </w:r>
      <w:proofErr w:type="spellEnd"/>
      <w:r w:rsidR="0068145E" w:rsidRPr="007A0037">
        <w:rPr>
          <w:rFonts w:ascii="Arial" w:hAnsi="Arial" w:cs="Arial"/>
          <w:sz w:val="24"/>
          <w:szCs w:val="24"/>
          <w:lang w:eastAsia="en-GB"/>
        </w:rPr>
        <w:t xml:space="preserve"> islands. Tourism Concern, an activist group, said Hilton inflated its community support efforts following the tsunami and criticised the environmental damage caused by these development works</w:t>
      </w:r>
      <w:r w:rsidR="00B079CF" w:rsidRPr="007A0037">
        <w:rPr>
          <w:rFonts w:ascii="Arial" w:hAnsi="Arial" w:cs="Arial"/>
          <w:sz w:val="24"/>
          <w:szCs w:val="24"/>
          <w:lang w:eastAsia="en-GB"/>
        </w:rPr>
        <w:t xml:space="preserve"> (</w:t>
      </w:r>
      <w:r w:rsidR="00B079CF" w:rsidRPr="007A0037">
        <w:rPr>
          <w:rFonts w:ascii="Arial" w:hAnsi="Arial" w:cs="Arial"/>
          <w:sz w:val="24"/>
          <w:szCs w:val="24"/>
          <w:lang w:eastAsia="en-GB"/>
        </w:rPr>
        <w:t>Kundi</w:t>
      </w:r>
      <w:r w:rsidR="00B079CF" w:rsidRPr="007A0037">
        <w:rPr>
          <w:rFonts w:ascii="Arial" w:hAnsi="Arial" w:cs="Arial"/>
          <w:sz w:val="24"/>
          <w:szCs w:val="24"/>
          <w:lang w:eastAsia="en-GB"/>
        </w:rPr>
        <w:t xml:space="preserve"> </w:t>
      </w:r>
      <w:r w:rsidR="00B079CF" w:rsidRPr="007A0037">
        <w:rPr>
          <w:rFonts w:ascii="Arial" w:hAnsi="Arial" w:cs="Arial"/>
          <w:sz w:val="24"/>
          <w:szCs w:val="24"/>
          <w:lang w:eastAsia="en-GB"/>
        </w:rPr>
        <w:t>and Ernszt, 2024</w:t>
      </w:r>
      <w:r w:rsidR="00B079CF" w:rsidRPr="007A0037">
        <w:rPr>
          <w:rFonts w:ascii="Arial" w:hAnsi="Arial" w:cs="Arial"/>
          <w:sz w:val="24"/>
          <w:szCs w:val="24"/>
          <w:lang w:eastAsia="en-GB"/>
        </w:rPr>
        <w:t>)</w:t>
      </w:r>
      <w:r w:rsidR="0068145E" w:rsidRPr="007A0037">
        <w:rPr>
          <w:rFonts w:ascii="Arial" w:hAnsi="Arial" w:cs="Arial"/>
          <w:sz w:val="24"/>
          <w:szCs w:val="24"/>
          <w:lang w:eastAsia="en-GB"/>
        </w:rPr>
        <w:t xml:space="preserve">. These behaviours were described as prioritising profit over </w:t>
      </w:r>
      <w:proofErr w:type="gramStart"/>
      <w:r w:rsidR="0068145E" w:rsidRPr="007A0037">
        <w:rPr>
          <w:rFonts w:ascii="Arial" w:hAnsi="Arial" w:cs="Arial"/>
          <w:sz w:val="24"/>
          <w:szCs w:val="24"/>
          <w:lang w:eastAsia="en-GB"/>
        </w:rPr>
        <w:t>real environmental</w:t>
      </w:r>
      <w:proofErr w:type="gramEnd"/>
      <w:r w:rsidR="0068145E" w:rsidRPr="007A0037">
        <w:rPr>
          <w:rFonts w:ascii="Arial" w:hAnsi="Arial" w:cs="Arial"/>
          <w:sz w:val="24"/>
          <w:szCs w:val="24"/>
          <w:lang w:eastAsia="en-GB"/>
        </w:rPr>
        <w:t xml:space="preserve"> commitment.</w:t>
      </w:r>
      <w:r w:rsidRPr="007A0037">
        <w:rPr>
          <w:rFonts w:ascii="Arial" w:hAnsi="Arial" w:cs="Arial"/>
          <w:sz w:val="24"/>
          <w:szCs w:val="24"/>
          <w:lang w:eastAsia="en-GB"/>
        </w:rPr>
        <w:t xml:space="preserve"> </w:t>
      </w:r>
      <w:r w:rsidR="0068145E" w:rsidRPr="007A0037">
        <w:rPr>
          <w:rFonts w:ascii="Arial" w:hAnsi="Arial" w:cs="Arial"/>
          <w:sz w:val="24"/>
          <w:szCs w:val="24"/>
          <w:lang w:eastAsia="en-GB"/>
        </w:rPr>
        <w:t>Whereas g</w:t>
      </w:r>
      <w:r w:rsidR="0068145E" w:rsidRPr="007A0037">
        <w:rPr>
          <w:rFonts w:ascii="Arial" w:hAnsi="Arial" w:cs="Arial"/>
          <w:sz w:val="24"/>
          <w:szCs w:val="24"/>
          <w:lang w:eastAsia="en-GB"/>
        </w:rPr>
        <w:t xml:space="preserve">reenwashing is the practice of organisations communicating false or deceptive information about their environmental initiatives, </w:t>
      </w:r>
      <w:proofErr w:type="gramStart"/>
      <w:r w:rsidR="0068145E" w:rsidRPr="007A0037">
        <w:rPr>
          <w:rFonts w:ascii="Arial" w:hAnsi="Arial" w:cs="Arial"/>
          <w:sz w:val="24"/>
          <w:szCs w:val="24"/>
          <w:lang w:eastAsia="en-GB"/>
        </w:rPr>
        <w:t>frequently</w:t>
      </w:r>
      <w:proofErr w:type="gramEnd"/>
      <w:r w:rsidR="0068145E" w:rsidRPr="007A0037">
        <w:rPr>
          <w:rFonts w:ascii="Arial" w:hAnsi="Arial" w:cs="Arial"/>
          <w:sz w:val="24"/>
          <w:szCs w:val="24"/>
          <w:lang w:eastAsia="en-GB"/>
        </w:rPr>
        <w:t xml:space="preserve"> spending more resources presenting an image of environmental responsibility than really implementing environmentally sound policies</w:t>
      </w:r>
      <w:r w:rsidR="00B079CF" w:rsidRPr="007A0037">
        <w:rPr>
          <w:rFonts w:ascii="Arial" w:hAnsi="Arial" w:cs="Arial"/>
          <w:sz w:val="24"/>
          <w:szCs w:val="24"/>
          <w:lang w:eastAsia="en-GB"/>
        </w:rPr>
        <w:t xml:space="preserve"> (Sloan, Legrand and Chen, 2017)</w:t>
      </w:r>
      <w:r w:rsidR="0068145E" w:rsidRPr="007A0037">
        <w:rPr>
          <w:rFonts w:ascii="Arial" w:hAnsi="Arial" w:cs="Arial"/>
          <w:sz w:val="24"/>
          <w:szCs w:val="24"/>
          <w:lang w:eastAsia="en-GB"/>
        </w:rPr>
        <w:t>.</w:t>
      </w:r>
      <w:r w:rsidR="0068145E" w:rsidRPr="007A0037">
        <w:rPr>
          <w:rFonts w:ascii="Arial" w:hAnsi="Arial" w:cs="Arial"/>
          <w:sz w:val="24"/>
          <w:szCs w:val="24"/>
          <w:lang w:eastAsia="en-GB"/>
        </w:rPr>
        <w:t xml:space="preserve"> </w:t>
      </w:r>
      <w:r w:rsidRPr="007A0037">
        <w:rPr>
          <w:rFonts w:ascii="Arial" w:hAnsi="Arial" w:cs="Arial"/>
          <w:sz w:val="24"/>
          <w:szCs w:val="24"/>
          <w:lang w:eastAsia="en-GB"/>
        </w:rPr>
        <w:t>This paper digs into Hilton's sustainability efforts, looking at the implementation of greener practices, the benefits and obstacles faced, and the strategic initiatives taken to conform with global sustainability standards.</w:t>
      </w:r>
    </w:p>
    <w:p w14:paraId="5DC0A7F7" w14:textId="25B79C9F" w:rsidR="0068145E" w:rsidRPr="007A0037" w:rsidRDefault="0068145E" w:rsidP="007A0037">
      <w:pPr>
        <w:pStyle w:val="EU"/>
        <w:numPr>
          <w:ilvl w:val="0"/>
          <w:numId w:val="1"/>
        </w:numPr>
        <w:spacing w:line="360" w:lineRule="auto"/>
        <w:rPr>
          <w:color w:val="auto"/>
        </w:rPr>
      </w:pPr>
      <w:bookmarkStart w:id="2" w:name="_Toc182582575"/>
      <w:r w:rsidRPr="007A0037">
        <w:rPr>
          <w:color w:val="auto"/>
        </w:rPr>
        <w:t>Main Findings</w:t>
      </w:r>
      <w:bookmarkEnd w:id="2"/>
      <w:r w:rsidRPr="007A0037">
        <w:rPr>
          <w:color w:val="auto"/>
        </w:rPr>
        <w:t xml:space="preserve"> </w:t>
      </w:r>
    </w:p>
    <w:p w14:paraId="06F12C09" w14:textId="0E69E222" w:rsidR="0068145E" w:rsidRPr="007A0037" w:rsidRDefault="0068145E" w:rsidP="007A0037">
      <w:pPr>
        <w:pStyle w:val="EU"/>
        <w:numPr>
          <w:ilvl w:val="1"/>
          <w:numId w:val="1"/>
        </w:numPr>
        <w:spacing w:line="360" w:lineRule="auto"/>
        <w:rPr>
          <w:color w:val="auto"/>
        </w:rPr>
      </w:pPr>
      <w:bookmarkStart w:id="3" w:name="_Toc182582576"/>
      <w:r w:rsidRPr="007A0037">
        <w:rPr>
          <w:color w:val="auto"/>
        </w:rPr>
        <w:t>Overview of Greener Practices in Hospitality</w:t>
      </w:r>
      <w:bookmarkEnd w:id="3"/>
    </w:p>
    <w:p w14:paraId="4CA161EF" w14:textId="1D35D1CC" w:rsidR="0068145E" w:rsidRPr="007A0037" w:rsidRDefault="0068145E"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Greener hospitality practices promote environmental and resource conservation. These include water conservation measures such as low-flow fixtures and linen recycling programs, energy-efficient lighting and extensive waste reduction strategies such as composting and waste recycling. These are metrics that correspond to the three dimensions of sustainability: environmental, social, and economic (</w:t>
      </w:r>
      <w:r w:rsidR="00B079CF" w:rsidRPr="007A0037">
        <w:rPr>
          <w:rFonts w:ascii="Arial" w:hAnsi="Arial" w:cs="Arial"/>
          <w:sz w:val="24"/>
          <w:szCs w:val="24"/>
          <w:lang w:eastAsia="en-GB"/>
        </w:rPr>
        <w:t xml:space="preserve">Singh, </w:t>
      </w:r>
      <w:proofErr w:type="spellStart"/>
      <w:r w:rsidR="00B079CF" w:rsidRPr="007A0037">
        <w:rPr>
          <w:rFonts w:ascii="Arial" w:hAnsi="Arial" w:cs="Arial"/>
          <w:sz w:val="24"/>
          <w:szCs w:val="24"/>
          <w:lang w:eastAsia="en-GB"/>
        </w:rPr>
        <w:t>Cranange</w:t>
      </w:r>
      <w:proofErr w:type="spellEnd"/>
      <w:r w:rsidR="00B079CF" w:rsidRPr="007A0037">
        <w:rPr>
          <w:rFonts w:ascii="Arial" w:hAnsi="Arial" w:cs="Arial"/>
          <w:sz w:val="24"/>
          <w:szCs w:val="24"/>
          <w:lang w:eastAsia="en-GB"/>
        </w:rPr>
        <w:t xml:space="preserve"> and Lee, 2014</w:t>
      </w:r>
      <w:r w:rsidRPr="007A0037">
        <w:rPr>
          <w:rFonts w:ascii="Arial" w:hAnsi="Arial" w:cs="Arial"/>
          <w:sz w:val="24"/>
          <w:szCs w:val="24"/>
          <w:lang w:eastAsia="en-GB"/>
        </w:rPr>
        <w:t xml:space="preserve">). This concept, often known as the triple bottom line, requires hotels to </w:t>
      </w:r>
      <w:proofErr w:type="gramStart"/>
      <w:r w:rsidRPr="007A0037">
        <w:rPr>
          <w:rFonts w:ascii="Arial" w:hAnsi="Arial" w:cs="Arial"/>
          <w:sz w:val="24"/>
          <w:szCs w:val="24"/>
          <w:lang w:eastAsia="en-GB"/>
        </w:rPr>
        <w:t>operate</w:t>
      </w:r>
      <w:proofErr w:type="gramEnd"/>
      <w:r w:rsidRPr="007A0037">
        <w:rPr>
          <w:rFonts w:ascii="Arial" w:hAnsi="Arial" w:cs="Arial"/>
          <w:sz w:val="24"/>
          <w:szCs w:val="24"/>
          <w:lang w:eastAsia="en-GB"/>
        </w:rPr>
        <w:t xml:space="preserve"> under the principles of ecological stewardship, social accountability, and sustainability. The transition from the linear economy's take-make-dispose paradigm to the circular economy is critical for sustainable hotel management (</w:t>
      </w:r>
      <w:r w:rsidR="00B079CF" w:rsidRPr="007A0037">
        <w:rPr>
          <w:rFonts w:ascii="Arial" w:hAnsi="Arial" w:cs="Arial"/>
          <w:sz w:val="24"/>
          <w:szCs w:val="24"/>
          <w:lang w:eastAsia="en-GB"/>
        </w:rPr>
        <w:t>Rodríguez-Antón</w:t>
      </w:r>
      <w:r w:rsidR="00B079CF" w:rsidRPr="007A0037">
        <w:rPr>
          <w:rFonts w:ascii="Arial" w:hAnsi="Arial" w:cs="Arial"/>
          <w:sz w:val="24"/>
          <w:szCs w:val="24"/>
          <w:lang w:eastAsia="en-GB"/>
        </w:rPr>
        <w:t xml:space="preserve"> </w:t>
      </w:r>
      <w:r w:rsidR="00B079CF" w:rsidRPr="007A0037">
        <w:rPr>
          <w:rFonts w:ascii="Arial" w:hAnsi="Arial" w:cs="Arial"/>
          <w:sz w:val="24"/>
          <w:szCs w:val="24"/>
          <w:lang w:eastAsia="en-GB"/>
        </w:rPr>
        <w:t>and del Mar Alonso-Almeida, 2020</w:t>
      </w:r>
      <w:r w:rsidRPr="007A0037">
        <w:rPr>
          <w:rFonts w:ascii="Arial" w:hAnsi="Arial" w:cs="Arial"/>
          <w:sz w:val="24"/>
          <w:szCs w:val="24"/>
          <w:lang w:eastAsia="en-GB"/>
        </w:rPr>
        <w:t>). The circular economy focusses on reuse, repair, and recycling to reduce waste and maximise resource utilisation. Hoteliers may use a circular economy-inspired approach to decrease environmental impact, boost efficiency, and achieve long-term sustainability. This move not only reduces the carbon impact, but it also improves the economy and social stability of the hotel business (</w:t>
      </w:r>
      <w:r w:rsidR="00B079CF" w:rsidRPr="007A0037">
        <w:rPr>
          <w:rFonts w:ascii="Arial" w:hAnsi="Arial" w:cs="Arial"/>
          <w:sz w:val="24"/>
          <w:szCs w:val="24"/>
          <w:lang w:eastAsia="en-GB"/>
        </w:rPr>
        <w:t>Ioannidis</w:t>
      </w:r>
      <w:r w:rsidR="00B079CF" w:rsidRPr="007A0037">
        <w:rPr>
          <w:rFonts w:ascii="Arial" w:hAnsi="Arial" w:cs="Arial"/>
          <w:sz w:val="24"/>
          <w:szCs w:val="24"/>
          <w:lang w:eastAsia="en-GB"/>
        </w:rPr>
        <w:t xml:space="preserve"> et al., 2021</w:t>
      </w:r>
      <w:r w:rsidRPr="007A0037">
        <w:rPr>
          <w:rFonts w:ascii="Arial" w:hAnsi="Arial" w:cs="Arial"/>
          <w:sz w:val="24"/>
          <w:szCs w:val="24"/>
          <w:lang w:eastAsia="en-GB"/>
        </w:rPr>
        <w:t>).</w:t>
      </w:r>
    </w:p>
    <w:p w14:paraId="3F37FAD2" w14:textId="121439F1" w:rsidR="0068145E" w:rsidRPr="007A0037" w:rsidRDefault="0068145E" w:rsidP="007A0037">
      <w:pPr>
        <w:pStyle w:val="EU"/>
        <w:numPr>
          <w:ilvl w:val="1"/>
          <w:numId w:val="1"/>
        </w:numPr>
        <w:spacing w:line="360" w:lineRule="auto"/>
        <w:rPr>
          <w:color w:val="auto"/>
        </w:rPr>
      </w:pPr>
      <w:bookmarkStart w:id="4" w:name="_Toc182582577"/>
      <w:r w:rsidRPr="007A0037">
        <w:rPr>
          <w:color w:val="auto"/>
        </w:rPr>
        <w:t>Hilton’s Current Sustainability Initiatives</w:t>
      </w:r>
      <w:bookmarkEnd w:id="4"/>
    </w:p>
    <w:p w14:paraId="1FDC60E3" w14:textId="6DA51978" w:rsidR="0068145E" w:rsidRPr="007A0037" w:rsidRDefault="0068145E"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Hilton Worldwide has strengthened its commitment to sustainability through its "Travel with Purpose" initiative, which will reach significant milestones in 2022 and 2023. The firm reported a 45.1% drop in carbon emissions intensity and a 26.5% reduction in water use intensity from its 2008 baseline, moving closer to its 2030 targets of 75% and 50% reductions, respectively</w:t>
      </w:r>
      <w:r w:rsidR="00B079CF" w:rsidRPr="007A0037">
        <w:rPr>
          <w:rFonts w:ascii="Arial" w:hAnsi="Arial" w:cs="Arial"/>
          <w:sz w:val="24"/>
          <w:szCs w:val="24"/>
          <w:lang w:eastAsia="en-GB"/>
        </w:rPr>
        <w:t xml:space="preserve"> (Hilton, 2023).</w:t>
      </w:r>
      <w:r w:rsidRPr="007A0037">
        <w:rPr>
          <w:rFonts w:ascii="Arial" w:hAnsi="Arial" w:cs="Arial"/>
          <w:sz w:val="24"/>
          <w:szCs w:val="24"/>
          <w:lang w:eastAsia="en-GB"/>
        </w:rPr>
        <w:t xml:space="preserve"> Furthermore, Hilton exceeded its waste reduction </w:t>
      </w:r>
      <w:r w:rsidRPr="007A0037">
        <w:rPr>
          <w:rFonts w:ascii="Arial" w:hAnsi="Arial" w:cs="Arial"/>
          <w:sz w:val="24"/>
          <w:szCs w:val="24"/>
          <w:lang w:eastAsia="en-GB"/>
        </w:rPr>
        <w:t>aim</w:t>
      </w:r>
      <w:r w:rsidRPr="007A0037">
        <w:rPr>
          <w:rFonts w:ascii="Arial" w:hAnsi="Arial" w:cs="Arial"/>
          <w:sz w:val="24"/>
          <w:szCs w:val="24"/>
          <w:lang w:eastAsia="en-GB"/>
        </w:rPr>
        <w:t xml:space="preserve">, resulting in a 63.7% reduction in landfilled waste intensity, </w:t>
      </w:r>
      <w:proofErr w:type="gramStart"/>
      <w:r w:rsidRPr="007A0037">
        <w:rPr>
          <w:rFonts w:ascii="Arial" w:hAnsi="Arial" w:cs="Arial"/>
          <w:sz w:val="24"/>
          <w:szCs w:val="24"/>
          <w:lang w:eastAsia="en-GB"/>
        </w:rPr>
        <w:t>demonstrating</w:t>
      </w:r>
      <w:proofErr w:type="gramEnd"/>
      <w:r w:rsidRPr="007A0037">
        <w:rPr>
          <w:rFonts w:ascii="Arial" w:hAnsi="Arial" w:cs="Arial"/>
          <w:sz w:val="24"/>
          <w:szCs w:val="24"/>
          <w:lang w:eastAsia="en-GB"/>
        </w:rPr>
        <w:t xml:space="preserve"> environmental leadership. Technological developments, such as expanding Digital Key access to 82% of Hilton hotels, saved over 100 tonnes of plastic per year, while the installation of electric vehicle (EV) chargers at over 1,800 sites aided sustainable mobility. Hilton has increased community participation by providing over 860,000 learning and professional development opportunities and </w:t>
      </w:r>
      <w:proofErr w:type="gramStart"/>
      <w:r w:rsidRPr="007A0037">
        <w:rPr>
          <w:rFonts w:ascii="Arial" w:hAnsi="Arial" w:cs="Arial"/>
          <w:sz w:val="24"/>
          <w:szCs w:val="24"/>
          <w:lang w:eastAsia="en-GB"/>
        </w:rPr>
        <w:t>assisting</w:t>
      </w:r>
      <w:proofErr w:type="gramEnd"/>
      <w:r w:rsidRPr="007A0037">
        <w:rPr>
          <w:rFonts w:ascii="Arial" w:hAnsi="Arial" w:cs="Arial"/>
          <w:sz w:val="24"/>
          <w:szCs w:val="24"/>
          <w:lang w:eastAsia="en-GB"/>
        </w:rPr>
        <w:t xml:space="preserve"> 2.69 million people via disaster relief and local support activities</w:t>
      </w:r>
      <w:r w:rsidR="00B079CF" w:rsidRPr="007A0037">
        <w:rPr>
          <w:rFonts w:ascii="Arial" w:hAnsi="Arial" w:cs="Arial"/>
          <w:sz w:val="24"/>
          <w:szCs w:val="24"/>
        </w:rPr>
        <w:t xml:space="preserve"> </w:t>
      </w:r>
      <w:r w:rsidR="00B079CF" w:rsidRPr="007A0037">
        <w:rPr>
          <w:rFonts w:ascii="Arial" w:hAnsi="Arial" w:cs="Arial"/>
          <w:sz w:val="24"/>
          <w:szCs w:val="24"/>
          <w:lang w:eastAsia="en-GB"/>
        </w:rPr>
        <w:t>(Hilton, 2023)</w:t>
      </w:r>
      <w:r w:rsidRPr="007A0037">
        <w:rPr>
          <w:rFonts w:ascii="Arial" w:hAnsi="Arial" w:cs="Arial"/>
          <w:sz w:val="24"/>
          <w:szCs w:val="24"/>
          <w:lang w:eastAsia="en-GB"/>
        </w:rPr>
        <w:t>. The company's volunteer activities were noteworthy, with team members donating more than 377,000 hours in 2023</w:t>
      </w:r>
      <w:r w:rsidR="0043074E" w:rsidRPr="007A0037">
        <w:rPr>
          <w:rFonts w:ascii="Arial" w:hAnsi="Arial" w:cs="Arial"/>
          <w:sz w:val="24"/>
          <w:szCs w:val="24"/>
          <w:lang w:eastAsia="en-GB"/>
        </w:rPr>
        <w:t xml:space="preserve"> (Stories </w:t>
      </w:r>
      <w:proofErr w:type="gramStart"/>
      <w:r w:rsidR="0043074E" w:rsidRPr="007A0037">
        <w:rPr>
          <w:rFonts w:ascii="Arial" w:hAnsi="Arial" w:cs="Arial"/>
          <w:sz w:val="24"/>
          <w:szCs w:val="24"/>
          <w:lang w:eastAsia="en-GB"/>
        </w:rPr>
        <w:t>From</w:t>
      </w:r>
      <w:proofErr w:type="gramEnd"/>
      <w:r w:rsidR="0043074E" w:rsidRPr="007A0037">
        <w:rPr>
          <w:rFonts w:ascii="Arial" w:hAnsi="Arial" w:cs="Arial"/>
          <w:sz w:val="24"/>
          <w:szCs w:val="24"/>
          <w:lang w:eastAsia="en-GB"/>
        </w:rPr>
        <w:t xml:space="preserve"> Hilton, 2024)</w:t>
      </w:r>
      <w:r w:rsidRPr="007A0037">
        <w:rPr>
          <w:rFonts w:ascii="Arial" w:hAnsi="Arial" w:cs="Arial"/>
          <w:sz w:val="24"/>
          <w:szCs w:val="24"/>
          <w:lang w:eastAsia="en-GB"/>
        </w:rPr>
        <w:t>. Certifications such as ISO 14001, ISO 50001, and ISO 9001 emphasised Hilton's operational competence, while participation in the S&amp;P Global Sustainability Yearbook 2023 recognised the company's ESG achievements</w:t>
      </w:r>
      <w:r w:rsidR="0043074E" w:rsidRPr="007A0037">
        <w:rPr>
          <w:rFonts w:ascii="Arial" w:hAnsi="Arial" w:cs="Arial"/>
          <w:sz w:val="24"/>
          <w:szCs w:val="24"/>
          <w:lang w:eastAsia="en-GB"/>
        </w:rPr>
        <w:t xml:space="preserve"> (Hilton, 2023)</w:t>
      </w:r>
      <w:r w:rsidRPr="007A0037">
        <w:rPr>
          <w:rFonts w:ascii="Arial" w:hAnsi="Arial" w:cs="Arial"/>
          <w:sz w:val="24"/>
          <w:szCs w:val="24"/>
          <w:lang w:eastAsia="en-GB"/>
        </w:rPr>
        <w:t xml:space="preserve">. These programs illustrate Hilton's approach to environmental, social, and governance </w:t>
      </w:r>
      <w:proofErr w:type="gramStart"/>
      <w:r w:rsidRPr="007A0037">
        <w:rPr>
          <w:rFonts w:ascii="Arial" w:hAnsi="Arial" w:cs="Arial"/>
          <w:sz w:val="24"/>
          <w:szCs w:val="24"/>
          <w:lang w:eastAsia="en-GB"/>
        </w:rPr>
        <w:t>objectives</w:t>
      </w:r>
      <w:proofErr w:type="gramEnd"/>
      <w:r w:rsidRPr="007A0037">
        <w:rPr>
          <w:rFonts w:ascii="Arial" w:hAnsi="Arial" w:cs="Arial"/>
          <w:sz w:val="24"/>
          <w:szCs w:val="24"/>
          <w:lang w:eastAsia="en-GB"/>
        </w:rPr>
        <w:t>, highlighting the company's leadership in sustainable hospitality and integration framework of people, planet, and profit.</w:t>
      </w:r>
    </w:p>
    <w:p w14:paraId="73C59651" w14:textId="48F1F02F" w:rsidR="0068145E" w:rsidRPr="007A0037" w:rsidRDefault="008A7504" w:rsidP="007A0037">
      <w:pPr>
        <w:pStyle w:val="EU"/>
        <w:numPr>
          <w:ilvl w:val="1"/>
          <w:numId w:val="1"/>
        </w:numPr>
        <w:spacing w:line="360" w:lineRule="auto"/>
        <w:rPr>
          <w:color w:val="auto"/>
        </w:rPr>
      </w:pPr>
      <w:bookmarkStart w:id="5" w:name="_Toc182582578"/>
      <w:r w:rsidRPr="007A0037">
        <w:rPr>
          <w:color w:val="auto"/>
        </w:rPr>
        <w:t>Recognised</w:t>
      </w:r>
      <w:r w:rsidRPr="007A0037">
        <w:rPr>
          <w:color w:val="auto"/>
        </w:rPr>
        <w:t xml:space="preserve"> Gaps in Hilton’s Sustainability Efforts</w:t>
      </w:r>
      <w:bookmarkEnd w:id="5"/>
    </w:p>
    <w:p w14:paraId="32B11DE2" w14:textId="26F65FD4" w:rsidR="008A7504" w:rsidRPr="007A0037" w:rsidRDefault="008A7504"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 xml:space="preserve">Hilton </w:t>
      </w:r>
      <w:proofErr w:type="spellStart"/>
      <w:r w:rsidRPr="007A0037">
        <w:rPr>
          <w:rFonts w:ascii="Arial" w:hAnsi="Arial" w:cs="Arial"/>
          <w:sz w:val="24"/>
          <w:szCs w:val="24"/>
          <w:lang w:eastAsia="en-GB"/>
        </w:rPr>
        <w:t>Worldwide's</w:t>
      </w:r>
      <w:proofErr w:type="spellEnd"/>
      <w:r w:rsidRPr="007A0037">
        <w:rPr>
          <w:rFonts w:ascii="Arial" w:hAnsi="Arial" w:cs="Arial"/>
          <w:sz w:val="24"/>
          <w:szCs w:val="24"/>
          <w:lang w:eastAsia="en-GB"/>
        </w:rPr>
        <w:t xml:space="preserve"> reliance on fossil fuels creates a substantial sustainability gap, jeopardising its environmental goals and long-term operational stability. While Hilton has reduced its carbon emissions intensity by 45.1% since 2008, this drop is mostly due to energy efficiency initiatives rather than the move to renewable energy sources</w:t>
      </w:r>
      <w:r w:rsidR="0043074E" w:rsidRPr="007A0037">
        <w:rPr>
          <w:rFonts w:ascii="Arial" w:hAnsi="Arial" w:cs="Arial"/>
          <w:sz w:val="24"/>
          <w:szCs w:val="24"/>
          <w:lang w:eastAsia="en-GB"/>
        </w:rPr>
        <w:t xml:space="preserve"> (Hilton, 2023)</w:t>
      </w:r>
      <w:r w:rsidRPr="007A0037">
        <w:rPr>
          <w:rFonts w:ascii="Arial" w:hAnsi="Arial" w:cs="Arial"/>
          <w:sz w:val="24"/>
          <w:szCs w:val="24"/>
          <w:lang w:eastAsia="en-GB"/>
        </w:rPr>
        <w:t>. Fossil fuels continue to be the primary energy source, leading to significant greenhouse gas (GHG) emissions, particularly carbon dioxide (CO</w:t>
      </w:r>
      <w:r w:rsidRPr="007A0037">
        <w:rPr>
          <w:rFonts w:ascii="Cambria Math" w:hAnsi="Cambria Math" w:cs="Cambria Math"/>
          <w:sz w:val="24"/>
          <w:szCs w:val="24"/>
          <w:lang w:eastAsia="en-GB"/>
        </w:rPr>
        <w:t>₂</w:t>
      </w:r>
      <w:r w:rsidRPr="007A0037">
        <w:rPr>
          <w:rFonts w:ascii="Arial" w:hAnsi="Arial" w:cs="Arial"/>
          <w:sz w:val="24"/>
          <w:szCs w:val="24"/>
          <w:lang w:eastAsia="en-GB"/>
        </w:rPr>
        <w:t>), which worsens global warming. To reduce global warming to 1.5°C, the Intergovernmental Panel on Climate Change recommends significant CO</w:t>
      </w:r>
      <w:r w:rsidRPr="007A0037">
        <w:rPr>
          <w:rFonts w:ascii="Cambria Math" w:hAnsi="Cambria Math" w:cs="Cambria Math"/>
          <w:sz w:val="24"/>
          <w:szCs w:val="24"/>
          <w:lang w:eastAsia="en-GB"/>
        </w:rPr>
        <w:t>₂</w:t>
      </w:r>
      <w:r w:rsidRPr="007A0037">
        <w:rPr>
          <w:rFonts w:ascii="Arial" w:hAnsi="Arial" w:cs="Arial"/>
          <w:sz w:val="24"/>
          <w:szCs w:val="24"/>
          <w:lang w:eastAsia="en-GB"/>
        </w:rPr>
        <w:t xml:space="preserve"> emission </w:t>
      </w:r>
      <w:proofErr w:type="gramStart"/>
      <w:r w:rsidRPr="007A0037">
        <w:rPr>
          <w:rFonts w:ascii="Arial" w:hAnsi="Arial" w:cs="Arial"/>
          <w:sz w:val="24"/>
          <w:szCs w:val="24"/>
          <w:lang w:eastAsia="en-GB"/>
        </w:rPr>
        <w:t>reductions</w:t>
      </w:r>
      <w:r w:rsidR="0043074E" w:rsidRPr="007A0037">
        <w:rPr>
          <w:rFonts w:ascii="Arial" w:hAnsi="Arial" w:cs="Arial"/>
          <w:sz w:val="24"/>
          <w:szCs w:val="24"/>
          <w:lang w:eastAsia="en-GB"/>
        </w:rPr>
        <w:t>(</w:t>
      </w:r>
      <w:proofErr w:type="gramEnd"/>
      <w:r w:rsidR="0043074E" w:rsidRPr="007A0037">
        <w:rPr>
          <w:rFonts w:ascii="Arial" w:hAnsi="Arial" w:cs="Arial"/>
          <w:sz w:val="24"/>
          <w:szCs w:val="24"/>
          <w:lang w:eastAsia="en-GB"/>
        </w:rPr>
        <w:t>IPCC, 2018)</w:t>
      </w:r>
      <w:r w:rsidRPr="007A0037">
        <w:rPr>
          <w:rFonts w:ascii="Arial" w:hAnsi="Arial" w:cs="Arial"/>
          <w:sz w:val="24"/>
          <w:szCs w:val="24"/>
          <w:lang w:eastAsia="en-GB"/>
        </w:rPr>
        <w:t xml:space="preserve">. Hilton's continuous reliance on fossil fuels not only contradicts these climate imperatives, but also puts the company at danger of </w:t>
      </w:r>
      <w:proofErr w:type="gramStart"/>
      <w:r w:rsidRPr="007A0037">
        <w:rPr>
          <w:rFonts w:ascii="Arial" w:hAnsi="Arial" w:cs="Arial"/>
          <w:sz w:val="24"/>
          <w:szCs w:val="24"/>
          <w:lang w:eastAsia="en-GB"/>
        </w:rPr>
        <w:t>failing to fulfil</w:t>
      </w:r>
      <w:proofErr w:type="gramEnd"/>
      <w:r w:rsidRPr="007A0037">
        <w:rPr>
          <w:rFonts w:ascii="Arial" w:hAnsi="Arial" w:cs="Arial"/>
          <w:sz w:val="24"/>
          <w:szCs w:val="24"/>
          <w:lang w:eastAsia="en-GB"/>
        </w:rPr>
        <w:t xml:space="preserve"> its 2030 emissions intensity reduction objectives of 75%.</w:t>
      </w:r>
      <w:r w:rsidRPr="007A0037">
        <w:rPr>
          <w:rFonts w:ascii="Arial" w:hAnsi="Arial" w:cs="Arial"/>
          <w:sz w:val="24"/>
          <w:szCs w:val="24"/>
          <w:lang w:eastAsia="en-GB"/>
        </w:rPr>
        <w:t xml:space="preserve"> </w:t>
      </w:r>
      <w:r w:rsidRPr="007A0037">
        <w:rPr>
          <w:rFonts w:ascii="Arial" w:hAnsi="Arial" w:cs="Arial"/>
          <w:sz w:val="24"/>
          <w:szCs w:val="24"/>
          <w:lang w:eastAsia="en-GB"/>
        </w:rPr>
        <w:t>This gap has larger regulatory ramifications. Governments throughout the world are implementing strict emissions requirements through initiatives like the European Green Deal, which seeks to achieve climate neutrality by 2050. Noncompliance with changing requirements may result in penalties, increased retrofitting costs, and reputational harm (European Commission, 20</w:t>
      </w:r>
      <w:r w:rsidR="0043074E" w:rsidRPr="007A0037">
        <w:rPr>
          <w:rFonts w:ascii="Arial" w:hAnsi="Arial" w:cs="Arial"/>
          <w:sz w:val="24"/>
          <w:szCs w:val="24"/>
          <w:lang w:eastAsia="en-GB"/>
        </w:rPr>
        <w:t>22</w:t>
      </w:r>
      <w:r w:rsidRPr="007A0037">
        <w:rPr>
          <w:rFonts w:ascii="Arial" w:hAnsi="Arial" w:cs="Arial"/>
          <w:sz w:val="24"/>
          <w:szCs w:val="24"/>
          <w:lang w:eastAsia="en-GB"/>
        </w:rPr>
        <w:t xml:space="preserve">). Financially, fluctuation in fossil fuel prices adds unpredictability to operating expenditures, </w:t>
      </w:r>
      <w:proofErr w:type="gramStart"/>
      <w:r w:rsidRPr="007A0037">
        <w:rPr>
          <w:rFonts w:ascii="Arial" w:hAnsi="Arial" w:cs="Arial"/>
          <w:sz w:val="24"/>
          <w:szCs w:val="24"/>
          <w:lang w:eastAsia="en-GB"/>
        </w:rPr>
        <w:t>whereas</w:t>
      </w:r>
      <w:proofErr w:type="gramEnd"/>
      <w:r w:rsidRPr="007A0037">
        <w:rPr>
          <w:rFonts w:ascii="Arial" w:hAnsi="Arial" w:cs="Arial"/>
          <w:sz w:val="24"/>
          <w:szCs w:val="24"/>
          <w:lang w:eastAsia="en-GB"/>
        </w:rPr>
        <w:t xml:space="preserve"> renewable energy provides consistent, long-term cost reductions. Hilton risks losing out on financial benefits connected with lower energy prices and improved price certainty if it does not invest significantly in renewable sources (</w:t>
      </w:r>
      <w:r w:rsidR="0043074E" w:rsidRPr="007A0037">
        <w:rPr>
          <w:rFonts w:ascii="Arial" w:hAnsi="Arial" w:cs="Arial"/>
          <w:sz w:val="24"/>
          <w:szCs w:val="24"/>
          <w:lang w:eastAsia="en-GB"/>
        </w:rPr>
        <w:t>Ali et al., 2024</w:t>
      </w:r>
      <w:r w:rsidRPr="007A0037">
        <w:rPr>
          <w:rFonts w:ascii="Arial" w:hAnsi="Arial" w:cs="Arial"/>
          <w:sz w:val="24"/>
          <w:szCs w:val="24"/>
          <w:lang w:eastAsia="en-GB"/>
        </w:rPr>
        <w:t>).</w:t>
      </w:r>
      <w:r w:rsidRPr="007A0037">
        <w:rPr>
          <w:rFonts w:ascii="Arial" w:hAnsi="Arial" w:cs="Arial"/>
          <w:sz w:val="24"/>
          <w:szCs w:val="24"/>
          <w:lang w:eastAsia="en-GB"/>
        </w:rPr>
        <w:t xml:space="preserve"> </w:t>
      </w:r>
      <w:r w:rsidRPr="007A0037">
        <w:rPr>
          <w:rFonts w:ascii="Arial" w:hAnsi="Arial" w:cs="Arial"/>
          <w:sz w:val="24"/>
          <w:szCs w:val="24"/>
          <w:lang w:eastAsia="en-GB"/>
        </w:rPr>
        <w:t xml:space="preserve">From a reputational standpoint, the expanding sector of eco-conscious travellers expects visible environmental commitment from hospitality firms. </w:t>
      </w:r>
      <w:r w:rsidR="0043074E" w:rsidRPr="007A0037">
        <w:rPr>
          <w:rFonts w:ascii="Arial" w:hAnsi="Arial" w:cs="Arial"/>
          <w:sz w:val="24"/>
          <w:szCs w:val="24"/>
          <w:lang w:eastAsia="en-GB"/>
        </w:rPr>
        <w:t>Warren</w:t>
      </w:r>
      <w:r w:rsidRPr="007A0037">
        <w:rPr>
          <w:rFonts w:ascii="Arial" w:hAnsi="Arial" w:cs="Arial"/>
          <w:sz w:val="24"/>
          <w:szCs w:val="24"/>
          <w:lang w:eastAsia="en-GB"/>
        </w:rPr>
        <w:t xml:space="preserve"> (20</w:t>
      </w:r>
      <w:r w:rsidR="0043074E" w:rsidRPr="007A0037">
        <w:rPr>
          <w:rFonts w:ascii="Arial" w:hAnsi="Arial" w:cs="Arial"/>
          <w:sz w:val="24"/>
          <w:szCs w:val="24"/>
          <w:lang w:eastAsia="en-GB"/>
        </w:rPr>
        <w:t>23</w:t>
      </w:r>
      <w:r w:rsidRPr="007A0037">
        <w:rPr>
          <w:rFonts w:ascii="Arial" w:hAnsi="Arial" w:cs="Arial"/>
          <w:sz w:val="24"/>
          <w:szCs w:val="24"/>
          <w:lang w:eastAsia="en-GB"/>
        </w:rPr>
        <w:t>) found that green activities had a direct impact on consumer preferences, with visitors ready to pay more for sustainable lodgings. Hilton's sluggish adoption of renewable energy might damage consumer confidence and loyalty, especially when competitors like Marriott make larger investments in renewable energy technology. This gap not only reduces Hilton's competitive advantage, but also exposes the company to allegations of greenwashing, eroding its environmental reputation.</w:t>
      </w:r>
      <w:r w:rsidRPr="007A0037">
        <w:rPr>
          <w:rFonts w:ascii="Arial" w:hAnsi="Arial" w:cs="Arial"/>
          <w:sz w:val="24"/>
          <w:szCs w:val="24"/>
          <w:lang w:eastAsia="en-GB"/>
        </w:rPr>
        <w:t xml:space="preserve"> </w:t>
      </w:r>
      <w:r w:rsidRPr="007A0037">
        <w:rPr>
          <w:rFonts w:ascii="Arial" w:hAnsi="Arial" w:cs="Arial"/>
          <w:sz w:val="24"/>
          <w:szCs w:val="24"/>
          <w:lang w:eastAsia="en-GB"/>
        </w:rPr>
        <w:t>Operational dependency on fossil fuels reduces resilience to climate-related disturbances</w:t>
      </w:r>
      <w:r w:rsidR="0043074E" w:rsidRPr="007A0037">
        <w:rPr>
          <w:rFonts w:ascii="Arial" w:hAnsi="Arial" w:cs="Arial"/>
          <w:sz w:val="24"/>
          <w:szCs w:val="24"/>
          <w:lang w:eastAsia="en-GB"/>
        </w:rPr>
        <w:t xml:space="preserve"> (Jauhari, 2021)</w:t>
      </w:r>
      <w:r w:rsidRPr="007A0037">
        <w:rPr>
          <w:rFonts w:ascii="Arial" w:hAnsi="Arial" w:cs="Arial"/>
          <w:sz w:val="24"/>
          <w:szCs w:val="24"/>
          <w:lang w:eastAsia="en-GB"/>
        </w:rPr>
        <w:t xml:space="preserve">. Natural catastrophes, worsened by climate change, can interrupt power supply, exposing homes to outages. Renewable energy technologies, including solar and wind power, provide decentralised energy solutions that improve energy security and continuity during </w:t>
      </w:r>
      <w:r w:rsidR="0043074E" w:rsidRPr="007A0037">
        <w:rPr>
          <w:rFonts w:ascii="Arial" w:hAnsi="Arial" w:cs="Arial"/>
          <w:sz w:val="24"/>
          <w:szCs w:val="24"/>
          <w:lang w:eastAsia="en-GB"/>
        </w:rPr>
        <w:t>crises (</w:t>
      </w:r>
      <w:r w:rsidR="0043074E" w:rsidRPr="007A0037">
        <w:rPr>
          <w:rFonts w:ascii="Arial" w:hAnsi="Arial" w:cs="Arial"/>
          <w:sz w:val="24"/>
          <w:szCs w:val="24"/>
          <w:lang w:eastAsia="en-GB"/>
        </w:rPr>
        <w:t>United Nations, 2024)</w:t>
      </w:r>
      <w:r w:rsidR="0043074E" w:rsidRPr="007A0037">
        <w:rPr>
          <w:rFonts w:ascii="Arial" w:hAnsi="Arial" w:cs="Arial"/>
          <w:sz w:val="24"/>
          <w:szCs w:val="24"/>
          <w:lang w:eastAsia="en-GB"/>
        </w:rPr>
        <w:t xml:space="preserve">. </w:t>
      </w:r>
      <w:r w:rsidRPr="007A0037">
        <w:rPr>
          <w:rFonts w:ascii="Arial" w:hAnsi="Arial" w:cs="Arial"/>
          <w:sz w:val="24"/>
          <w:szCs w:val="24"/>
          <w:lang w:eastAsia="en-GB"/>
        </w:rPr>
        <w:t>Furthermore, renewable energy integration supports the circular economy concept by minimising dependency on finite resources and encouraging sustainability.</w:t>
      </w:r>
      <w:r w:rsidRPr="007A0037">
        <w:rPr>
          <w:rFonts w:ascii="Arial" w:hAnsi="Arial" w:cs="Arial"/>
          <w:sz w:val="24"/>
          <w:szCs w:val="24"/>
          <w:lang w:eastAsia="en-GB"/>
        </w:rPr>
        <w:t xml:space="preserve"> </w:t>
      </w:r>
      <w:r w:rsidRPr="007A0037">
        <w:rPr>
          <w:rFonts w:ascii="Arial" w:hAnsi="Arial" w:cs="Arial"/>
          <w:sz w:val="24"/>
          <w:szCs w:val="24"/>
          <w:lang w:eastAsia="en-GB"/>
        </w:rPr>
        <w:t xml:space="preserve">To solve this gap, Hilton must prioritise renewable energy adoption </w:t>
      </w:r>
      <w:proofErr w:type="gramStart"/>
      <w:r w:rsidRPr="007A0037">
        <w:rPr>
          <w:rFonts w:ascii="Arial" w:hAnsi="Arial" w:cs="Arial"/>
          <w:sz w:val="24"/>
          <w:szCs w:val="24"/>
          <w:lang w:eastAsia="en-GB"/>
        </w:rPr>
        <w:t>in order to</w:t>
      </w:r>
      <w:proofErr w:type="gramEnd"/>
      <w:r w:rsidRPr="007A0037">
        <w:rPr>
          <w:rFonts w:ascii="Arial" w:hAnsi="Arial" w:cs="Arial"/>
          <w:sz w:val="24"/>
          <w:szCs w:val="24"/>
          <w:lang w:eastAsia="en-GB"/>
        </w:rPr>
        <w:t xml:space="preserve"> reap long-term environmental, financial, and reputational advantages. Accelerating this shift is critical for meeting global climate targets, preserving market competitiveness, and guaranteeing operational resilience in an environmentally conscious future.</w:t>
      </w:r>
    </w:p>
    <w:p w14:paraId="33272B22" w14:textId="70DF85D7" w:rsidR="008A7504" w:rsidRPr="007A0037" w:rsidRDefault="008A7504" w:rsidP="007A0037">
      <w:pPr>
        <w:pStyle w:val="EU"/>
        <w:numPr>
          <w:ilvl w:val="1"/>
          <w:numId w:val="1"/>
        </w:numPr>
        <w:spacing w:line="360" w:lineRule="auto"/>
        <w:rPr>
          <w:color w:val="auto"/>
        </w:rPr>
      </w:pPr>
      <w:bookmarkStart w:id="6" w:name="_Toc182582579"/>
      <w:r w:rsidRPr="007A0037">
        <w:rPr>
          <w:color w:val="auto"/>
        </w:rPr>
        <w:t>Greenwashing Concerns and Impacts</w:t>
      </w:r>
      <w:bookmarkEnd w:id="6"/>
    </w:p>
    <w:p w14:paraId="2E0DB01F" w14:textId="54B302ED" w:rsidR="008A7504" w:rsidRPr="007A0037" w:rsidRDefault="008A7504"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 xml:space="preserve">To avoid inspection or criticism, firms engage in greenhushing, which is the purposeful reduction or avoidance of information </w:t>
      </w:r>
      <w:proofErr w:type="gramStart"/>
      <w:r w:rsidRPr="007A0037">
        <w:rPr>
          <w:rFonts w:ascii="Arial" w:hAnsi="Arial" w:cs="Arial"/>
          <w:sz w:val="24"/>
          <w:szCs w:val="24"/>
          <w:lang w:eastAsia="en-GB"/>
        </w:rPr>
        <w:t>regarding</w:t>
      </w:r>
      <w:proofErr w:type="gramEnd"/>
      <w:r w:rsidRPr="007A0037">
        <w:rPr>
          <w:rFonts w:ascii="Arial" w:hAnsi="Arial" w:cs="Arial"/>
          <w:sz w:val="24"/>
          <w:szCs w:val="24"/>
          <w:lang w:eastAsia="en-GB"/>
        </w:rPr>
        <w:t xml:space="preserve"> actual sustainability activities. This effect has </w:t>
      </w:r>
      <w:proofErr w:type="gramStart"/>
      <w:r w:rsidRPr="007A0037">
        <w:rPr>
          <w:rFonts w:ascii="Arial" w:hAnsi="Arial" w:cs="Arial"/>
          <w:sz w:val="24"/>
          <w:szCs w:val="24"/>
          <w:lang w:eastAsia="en-GB"/>
        </w:rPr>
        <w:t>been noticed</w:t>
      </w:r>
      <w:proofErr w:type="gramEnd"/>
      <w:r w:rsidRPr="007A0037">
        <w:rPr>
          <w:rFonts w:ascii="Arial" w:hAnsi="Arial" w:cs="Arial"/>
          <w:sz w:val="24"/>
          <w:szCs w:val="24"/>
          <w:lang w:eastAsia="en-GB"/>
        </w:rPr>
        <w:t xml:space="preserve"> in several industries, including hospitality</w:t>
      </w:r>
      <w:r w:rsidR="00D062F5" w:rsidRPr="007A0037">
        <w:rPr>
          <w:rFonts w:ascii="Arial" w:hAnsi="Arial" w:cs="Arial"/>
          <w:sz w:val="24"/>
          <w:szCs w:val="24"/>
          <w:lang w:eastAsia="en-GB"/>
        </w:rPr>
        <w:t xml:space="preserve"> (</w:t>
      </w:r>
      <w:proofErr w:type="spellStart"/>
      <w:r w:rsidR="00D062F5" w:rsidRPr="007A0037">
        <w:rPr>
          <w:rFonts w:ascii="Arial" w:hAnsi="Arial" w:cs="Arial"/>
          <w:sz w:val="24"/>
          <w:szCs w:val="24"/>
          <w:lang w:eastAsia="en-GB"/>
        </w:rPr>
        <w:t>Swestiana</w:t>
      </w:r>
      <w:proofErr w:type="spellEnd"/>
      <w:r w:rsidR="00D062F5" w:rsidRPr="007A0037">
        <w:rPr>
          <w:rFonts w:ascii="Arial" w:hAnsi="Arial" w:cs="Arial"/>
          <w:sz w:val="24"/>
          <w:szCs w:val="24"/>
          <w:lang w:eastAsia="en-GB"/>
        </w:rPr>
        <w:t xml:space="preserve">, </w:t>
      </w:r>
      <w:proofErr w:type="spellStart"/>
      <w:r w:rsidR="00D062F5" w:rsidRPr="007A0037">
        <w:rPr>
          <w:rFonts w:ascii="Arial" w:hAnsi="Arial" w:cs="Arial"/>
          <w:sz w:val="24"/>
          <w:szCs w:val="24"/>
          <w:lang w:eastAsia="en-GB"/>
        </w:rPr>
        <w:t>Kusworo</w:t>
      </w:r>
      <w:proofErr w:type="spellEnd"/>
      <w:r w:rsidR="00D062F5" w:rsidRPr="007A0037">
        <w:rPr>
          <w:rFonts w:ascii="Arial" w:hAnsi="Arial" w:cs="Arial"/>
          <w:sz w:val="24"/>
          <w:szCs w:val="24"/>
          <w:lang w:eastAsia="en-GB"/>
        </w:rPr>
        <w:t xml:space="preserve">, and </w:t>
      </w:r>
      <w:proofErr w:type="spellStart"/>
      <w:r w:rsidR="00D062F5" w:rsidRPr="007A0037">
        <w:rPr>
          <w:rFonts w:ascii="Arial" w:hAnsi="Arial" w:cs="Arial"/>
          <w:sz w:val="24"/>
          <w:szCs w:val="24"/>
          <w:lang w:eastAsia="en-GB"/>
        </w:rPr>
        <w:t>Fandeli</w:t>
      </w:r>
      <w:proofErr w:type="spellEnd"/>
      <w:r w:rsidR="00D062F5" w:rsidRPr="007A0037">
        <w:rPr>
          <w:rFonts w:ascii="Arial" w:hAnsi="Arial" w:cs="Arial"/>
          <w:sz w:val="24"/>
          <w:szCs w:val="24"/>
          <w:lang w:eastAsia="en-GB"/>
        </w:rPr>
        <w:t>,</w:t>
      </w:r>
      <w:r w:rsidR="00D062F5" w:rsidRPr="007A0037">
        <w:rPr>
          <w:rFonts w:ascii="Arial" w:hAnsi="Arial" w:cs="Arial"/>
          <w:sz w:val="24"/>
          <w:szCs w:val="24"/>
          <w:lang w:eastAsia="en-GB"/>
        </w:rPr>
        <w:t xml:space="preserve"> </w:t>
      </w:r>
      <w:r w:rsidR="00D062F5" w:rsidRPr="007A0037">
        <w:rPr>
          <w:rFonts w:ascii="Arial" w:hAnsi="Arial" w:cs="Arial"/>
          <w:sz w:val="24"/>
          <w:szCs w:val="24"/>
          <w:lang w:eastAsia="en-GB"/>
        </w:rPr>
        <w:t>2022</w:t>
      </w:r>
      <w:r w:rsidR="00D062F5" w:rsidRPr="007A0037">
        <w:rPr>
          <w:rFonts w:ascii="Arial" w:hAnsi="Arial" w:cs="Arial"/>
          <w:sz w:val="24"/>
          <w:szCs w:val="24"/>
          <w:lang w:eastAsia="en-GB"/>
        </w:rPr>
        <w:t>)</w:t>
      </w:r>
      <w:r w:rsidRPr="007A0037">
        <w:rPr>
          <w:rFonts w:ascii="Arial" w:hAnsi="Arial" w:cs="Arial"/>
          <w:sz w:val="24"/>
          <w:szCs w:val="24"/>
          <w:lang w:eastAsia="en-GB"/>
        </w:rPr>
        <w:t>.</w:t>
      </w:r>
      <w:r w:rsidRPr="007A0037">
        <w:rPr>
          <w:rFonts w:ascii="Arial" w:hAnsi="Arial" w:cs="Arial"/>
          <w:sz w:val="24"/>
          <w:szCs w:val="24"/>
          <w:lang w:eastAsia="en-GB"/>
        </w:rPr>
        <w:t xml:space="preserve"> </w:t>
      </w:r>
      <w:r w:rsidRPr="007A0037">
        <w:rPr>
          <w:rFonts w:ascii="Arial" w:hAnsi="Arial" w:cs="Arial"/>
          <w:sz w:val="24"/>
          <w:szCs w:val="24"/>
          <w:lang w:eastAsia="en-GB"/>
        </w:rPr>
        <w:t xml:space="preserve">Hilton Worldwide has been criticised for both greenwashing and greenhushing. Despite </w:t>
      </w:r>
      <w:proofErr w:type="gramStart"/>
      <w:r w:rsidRPr="007A0037">
        <w:rPr>
          <w:rFonts w:ascii="Arial" w:hAnsi="Arial" w:cs="Arial"/>
          <w:sz w:val="24"/>
          <w:szCs w:val="24"/>
          <w:lang w:eastAsia="en-GB"/>
        </w:rPr>
        <w:t>establishing</w:t>
      </w:r>
      <w:proofErr w:type="gramEnd"/>
      <w:r w:rsidRPr="007A0037">
        <w:rPr>
          <w:rFonts w:ascii="Arial" w:hAnsi="Arial" w:cs="Arial"/>
          <w:sz w:val="24"/>
          <w:szCs w:val="24"/>
          <w:lang w:eastAsia="en-GB"/>
        </w:rPr>
        <w:t xml:space="preserve"> initiatives like as "Travel with Purpose" and the </w:t>
      </w:r>
      <w:proofErr w:type="spellStart"/>
      <w:r w:rsidRPr="007A0037">
        <w:rPr>
          <w:rFonts w:ascii="Arial" w:hAnsi="Arial" w:cs="Arial"/>
          <w:sz w:val="24"/>
          <w:szCs w:val="24"/>
          <w:lang w:eastAsia="en-GB"/>
        </w:rPr>
        <w:t>LightStay</w:t>
      </w:r>
      <w:proofErr w:type="spellEnd"/>
      <w:r w:rsidRPr="007A0037">
        <w:rPr>
          <w:rFonts w:ascii="Arial" w:hAnsi="Arial" w:cs="Arial"/>
          <w:sz w:val="24"/>
          <w:szCs w:val="24"/>
          <w:lang w:eastAsia="en-GB"/>
        </w:rPr>
        <w:t xml:space="preserve"> platform to assess environmental performance, errors in execution have been identified. For example, although some properties have implemented energy-efficient equipment and waste reduction initiatives, others have fallen behind, prompting charges of greenwashing. </w:t>
      </w:r>
      <w:r w:rsidR="00D062F5" w:rsidRPr="007A0037">
        <w:rPr>
          <w:rFonts w:ascii="Arial" w:hAnsi="Arial" w:cs="Arial"/>
          <w:sz w:val="24"/>
          <w:szCs w:val="24"/>
          <w:lang w:eastAsia="en-GB"/>
        </w:rPr>
        <w:t xml:space="preserve">Pearse (2012) </w:t>
      </w:r>
      <w:r w:rsidRPr="007A0037">
        <w:rPr>
          <w:rFonts w:ascii="Arial" w:hAnsi="Arial" w:cs="Arial"/>
          <w:sz w:val="24"/>
          <w:szCs w:val="24"/>
          <w:lang w:eastAsia="en-GB"/>
        </w:rPr>
        <w:t xml:space="preserve">claim that initiatives like towel reuse schemes are more cost-cutting strategies than genuine environmental efforts, fooling customers about the organization's true sustainability goals. Hilton has also </w:t>
      </w:r>
      <w:proofErr w:type="gramStart"/>
      <w:r w:rsidRPr="007A0037">
        <w:rPr>
          <w:rFonts w:ascii="Arial" w:hAnsi="Arial" w:cs="Arial"/>
          <w:sz w:val="24"/>
          <w:szCs w:val="24"/>
          <w:lang w:eastAsia="en-GB"/>
        </w:rPr>
        <w:t>been chastised</w:t>
      </w:r>
      <w:proofErr w:type="gramEnd"/>
      <w:r w:rsidRPr="007A0037">
        <w:rPr>
          <w:rFonts w:ascii="Arial" w:hAnsi="Arial" w:cs="Arial"/>
          <w:sz w:val="24"/>
          <w:szCs w:val="24"/>
          <w:lang w:eastAsia="en-GB"/>
        </w:rPr>
        <w:t xml:space="preserve"> for construction projects in environmentally sensitive places, such as the Maldives, where developments have allegedly resulted in environmental devastation, casting doubt on the veracity of its sustainability promises</w:t>
      </w:r>
      <w:r w:rsidR="00D062F5" w:rsidRPr="007A0037">
        <w:rPr>
          <w:rFonts w:ascii="Arial" w:hAnsi="Arial" w:cs="Arial"/>
          <w:sz w:val="24"/>
          <w:szCs w:val="24"/>
          <w:lang w:eastAsia="en-GB"/>
        </w:rPr>
        <w:t xml:space="preserve"> (</w:t>
      </w:r>
      <w:r w:rsidR="00D062F5" w:rsidRPr="007A0037">
        <w:rPr>
          <w:rFonts w:ascii="Arial" w:hAnsi="Arial" w:cs="Arial"/>
          <w:sz w:val="24"/>
          <w:szCs w:val="24"/>
          <w:lang w:eastAsia="en-GB"/>
        </w:rPr>
        <w:t>Kundi and Ernszt, 2024</w:t>
      </w:r>
      <w:r w:rsidR="00D062F5" w:rsidRPr="007A0037">
        <w:rPr>
          <w:rFonts w:ascii="Arial" w:hAnsi="Arial" w:cs="Arial"/>
          <w:sz w:val="24"/>
          <w:szCs w:val="24"/>
          <w:lang w:eastAsia="en-GB"/>
        </w:rPr>
        <w:t>)</w:t>
      </w:r>
      <w:r w:rsidRPr="007A0037">
        <w:rPr>
          <w:rFonts w:ascii="Arial" w:hAnsi="Arial" w:cs="Arial"/>
          <w:sz w:val="24"/>
          <w:szCs w:val="24"/>
          <w:lang w:eastAsia="en-GB"/>
        </w:rPr>
        <w:t xml:space="preserve">. </w:t>
      </w:r>
      <w:r w:rsidRPr="007A0037">
        <w:rPr>
          <w:rFonts w:ascii="Arial" w:hAnsi="Arial" w:cs="Arial"/>
          <w:sz w:val="24"/>
          <w:szCs w:val="24"/>
          <w:lang w:eastAsia="en-GB"/>
        </w:rPr>
        <w:t xml:space="preserve"> </w:t>
      </w:r>
      <w:r w:rsidRPr="007A0037">
        <w:rPr>
          <w:rFonts w:ascii="Arial" w:hAnsi="Arial" w:cs="Arial"/>
          <w:sz w:val="24"/>
          <w:szCs w:val="24"/>
          <w:lang w:eastAsia="en-GB"/>
        </w:rPr>
        <w:t xml:space="preserve">The consequences of greenwashing and greenhushing are serious. Greenwashing may damage consumer trust by making customers sceptical of the company's environmental promises, </w:t>
      </w:r>
      <w:proofErr w:type="gramStart"/>
      <w:r w:rsidRPr="007A0037">
        <w:rPr>
          <w:rFonts w:ascii="Arial" w:hAnsi="Arial" w:cs="Arial"/>
          <w:sz w:val="24"/>
          <w:szCs w:val="24"/>
          <w:lang w:eastAsia="en-GB"/>
        </w:rPr>
        <w:t>perhaps resulting</w:t>
      </w:r>
      <w:proofErr w:type="gramEnd"/>
      <w:r w:rsidRPr="007A0037">
        <w:rPr>
          <w:rFonts w:ascii="Arial" w:hAnsi="Arial" w:cs="Arial"/>
          <w:sz w:val="24"/>
          <w:szCs w:val="24"/>
          <w:lang w:eastAsia="en-GB"/>
        </w:rPr>
        <w:t xml:space="preserve"> in a loss of revenue from environmentally concerned travellers. It may also face regulatory scrutiny and legal challenges, resulting in financial penalties and brand harm</w:t>
      </w:r>
      <w:r w:rsidR="00D062F5" w:rsidRPr="007A0037">
        <w:rPr>
          <w:rFonts w:ascii="Arial" w:hAnsi="Arial" w:cs="Arial"/>
          <w:sz w:val="24"/>
          <w:szCs w:val="24"/>
          <w:lang w:eastAsia="en-GB"/>
        </w:rPr>
        <w:t xml:space="preserve"> (Costa and Costa, 2022)</w:t>
      </w:r>
      <w:r w:rsidRPr="007A0037">
        <w:rPr>
          <w:rFonts w:ascii="Arial" w:hAnsi="Arial" w:cs="Arial"/>
          <w:sz w:val="24"/>
          <w:szCs w:val="24"/>
          <w:lang w:eastAsia="en-GB"/>
        </w:rPr>
        <w:t xml:space="preserve">. While avoiding instant criticism, greenhushing might impede openness and accountability. Companies that </w:t>
      </w:r>
      <w:proofErr w:type="gramStart"/>
      <w:r w:rsidRPr="007A0037">
        <w:rPr>
          <w:rFonts w:ascii="Arial" w:hAnsi="Arial" w:cs="Arial"/>
          <w:sz w:val="24"/>
          <w:szCs w:val="24"/>
          <w:lang w:eastAsia="en-GB"/>
        </w:rPr>
        <w:t>fail to</w:t>
      </w:r>
      <w:proofErr w:type="gramEnd"/>
      <w:r w:rsidRPr="007A0037">
        <w:rPr>
          <w:rFonts w:ascii="Arial" w:hAnsi="Arial" w:cs="Arial"/>
          <w:sz w:val="24"/>
          <w:szCs w:val="24"/>
          <w:lang w:eastAsia="en-GB"/>
        </w:rPr>
        <w:t xml:space="preserve"> communicate their sustainability initiatives pass up opportunities to engage stakeholders, exchange best practices, and contribute to industry-wide environmental goals. This silence can also inhibit customers from making informed decisions and create impressions of inactivity or indifference to environmental concerns</w:t>
      </w:r>
      <w:r w:rsidR="00D062F5" w:rsidRPr="007A0037">
        <w:rPr>
          <w:rFonts w:ascii="Arial" w:hAnsi="Arial" w:cs="Arial"/>
          <w:sz w:val="24"/>
          <w:szCs w:val="24"/>
          <w:lang w:eastAsia="en-GB"/>
        </w:rPr>
        <w:t xml:space="preserve"> (Edgell, 2020).</w:t>
      </w:r>
      <w:r w:rsidRPr="007A0037">
        <w:rPr>
          <w:rFonts w:ascii="Arial" w:hAnsi="Arial" w:cs="Arial"/>
          <w:sz w:val="24"/>
          <w:szCs w:val="24"/>
          <w:lang w:eastAsia="en-GB"/>
        </w:rPr>
        <w:t xml:space="preserve"> </w:t>
      </w:r>
      <w:r w:rsidRPr="007A0037">
        <w:rPr>
          <w:rFonts w:ascii="Arial" w:hAnsi="Arial" w:cs="Arial"/>
          <w:sz w:val="24"/>
          <w:szCs w:val="24"/>
          <w:lang w:eastAsia="en-GB"/>
        </w:rPr>
        <w:t xml:space="preserve"> </w:t>
      </w:r>
      <w:r w:rsidRPr="007A0037">
        <w:rPr>
          <w:rFonts w:ascii="Arial" w:hAnsi="Arial" w:cs="Arial"/>
          <w:sz w:val="24"/>
          <w:szCs w:val="24"/>
          <w:lang w:eastAsia="en-GB"/>
        </w:rPr>
        <w:t>Hence, while Hilton has made progress in adopting sustainability programs, allegations of greenwashing and greenhushing underline the importance of continuous, honest, and sincere communication about environmental activities. Addressing these issues is critical for preserving customer trust, achieving regulatory requirements, and positively contributing to environmental sustainability.</w:t>
      </w:r>
    </w:p>
    <w:p w14:paraId="369939B0" w14:textId="4F48F81E" w:rsidR="008A7504" w:rsidRPr="007A0037" w:rsidRDefault="008A7504" w:rsidP="007A0037">
      <w:pPr>
        <w:pStyle w:val="EU"/>
        <w:numPr>
          <w:ilvl w:val="1"/>
          <w:numId w:val="1"/>
        </w:numPr>
        <w:spacing w:line="360" w:lineRule="auto"/>
        <w:rPr>
          <w:color w:val="auto"/>
        </w:rPr>
      </w:pPr>
      <w:bookmarkStart w:id="7" w:name="_Toc182582580"/>
      <w:r w:rsidRPr="007A0037">
        <w:rPr>
          <w:color w:val="auto"/>
        </w:rPr>
        <w:t>Key Regulatory and Market Implications</w:t>
      </w:r>
      <w:bookmarkEnd w:id="7"/>
    </w:p>
    <w:p w14:paraId="6BC9820B" w14:textId="35D2DF29" w:rsidR="00DA3535" w:rsidRPr="007A0037" w:rsidRDefault="00DA3535"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 xml:space="preserve">Greenwashing has serious legal and reputational consequences in the hotel industry, </w:t>
      </w:r>
      <w:proofErr w:type="gramStart"/>
      <w:r w:rsidRPr="007A0037">
        <w:rPr>
          <w:rFonts w:ascii="Arial" w:hAnsi="Arial" w:cs="Arial"/>
          <w:sz w:val="24"/>
          <w:szCs w:val="24"/>
          <w:lang w:eastAsia="en-GB"/>
        </w:rPr>
        <w:t>in particular in</w:t>
      </w:r>
      <w:proofErr w:type="gramEnd"/>
      <w:r w:rsidRPr="007A0037">
        <w:rPr>
          <w:rFonts w:ascii="Arial" w:hAnsi="Arial" w:cs="Arial"/>
          <w:sz w:val="24"/>
          <w:szCs w:val="24"/>
          <w:lang w:eastAsia="en-GB"/>
        </w:rPr>
        <w:t xml:space="preserve"> the European Union. The EU has enacted strict legislation to prevent such misleading activities, most notably the Unfair Commercial activities Directive (UCPD) and the Consumer Rights Directive (CRD). These regulations have </w:t>
      </w:r>
      <w:proofErr w:type="gramStart"/>
      <w:r w:rsidRPr="007A0037">
        <w:rPr>
          <w:rFonts w:ascii="Arial" w:hAnsi="Arial" w:cs="Arial"/>
          <w:sz w:val="24"/>
          <w:szCs w:val="24"/>
          <w:lang w:eastAsia="en-GB"/>
        </w:rPr>
        <w:t>been revised</w:t>
      </w:r>
      <w:proofErr w:type="gramEnd"/>
      <w:r w:rsidRPr="007A0037">
        <w:rPr>
          <w:rFonts w:ascii="Arial" w:hAnsi="Arial" w:cs="Arial"/>
          <w:sz w:val="24"/>
          <w:szCs w:val="24"/>
          <w:lang w:eastAsia="en-GB"/>
        </w:rPr>
        <w:t xml:space="preserve"> to include explicit measures against greenwashing, which ensures that environmental claims are transparent, truthful, and supported</w:t>
      </w:r>
      <w:r w:rsidR="00D062F5" w:rsidRPr="007A0037">
        <w:rPr>
          <w:rFonts w:ascii="Arial" w:hAnsi="Arial" w:cs="Arial"/>
          <w:sz w:val="24"/>
          <w:szCs w:val="24"/>
        </w:rPr>
        <w:t xml:space="preserve"> </w:t>
      </w:r>
      <w:r w:rsidR="00D062F5" w:rsidRPr="007A0037">
        <w:rPr>
          <w:rFonts w:ascii="Arial" w:hAnsi="Arial" w:cs="Arial"/>
          <w:sz w:val="24"/>
          <w:szCs w:val="24"/>
          <w:lang w:eastAsia="en-GB"/>
        </w:rPr>
        <w:t>(European Parliament, 2024)</w:t>
      </w:r>
      <w:r w:rsidRPr="007A0037">
        <w:rPr>
          <w:rFonts w:ascii="Arial" w:hAnsi="Arial" w:cs="Arial"/>
          <w:sz w:val="24"/>
          <w:szCs w:val="24"/>
          <w:lang w:eastAsia="en-GB"/>
        </w:rPr>
        <w:t>. The European Commission's Green Claims Directive proposes standardised standards for environmental claims, requiring corporations to give documentation and verification by independent agencies (ASHURST).</w:t>
      </w:r>
      <w:r w:rsidRPr="007A0037">
        <w:rPr>
          <w:rFonts w:ascii="Arial" w:hAnsi="Arial" w:cs="Arial"/>
          <w:sz w:val="24"/>
          <w:szCs w:val="24"/>
          <w:lang w:eastAsia="en-GB"/>
        </w:rPr>
        <w:t xml:space="preserve"> </w:t>
      </w:r>
      <w:r w:rsidRPr="007A0037">
        <w:rPr>
          <w:rFonts w:ascii="Arial" w:hAnsi="Arial" w:cs="Arial"/>
          <w:sz w:val="24"/>
          <w:szCs w:val="24"/>
          <w:lang w:eastAsia="en-GB"/>
        </w:rPr>
        <w:t xml:space="preserve">A significant case </w:t>
      </w:r>
      <w:proofErr w:type="gramStart"/>
      <w:r w:rsidRPr="007A0037">
        <w:rPr>
          <w:rFonts w:ascii="Arial" w:hAnsi="Arial" w:cs="Arial"/>
          <w:sz w:val="24"/>
          <w:szCs w:val="24"/>
          <w:lang w:eastAsia="en-GB"/>
        </w:rPr>
        <w:t>demonstrating</w:t>
      </w:r>
      <w:proofErr w:type="gramEnd"/>
      <w:r w:rsidRPr="007A0037">
        <w:rPr>
          <w:rFonts w:ascii="Arial" w:hAnsi="Arial" w:cs="Arial"/>
          <w:sz w:val="24"/>
          <w:szCs w:val="24"/>
          <w:lang w:eastAsia="en-GB"/>
        </w:rPr>
        <w:t xml:space="preserve"> the execution of these restrictions involves the Dutch advertising authority, </w:t>
      </w:r>
      <w:proofErr w:type="spellStart"/>
      <w:r w:rsidRPr="007A0037">
        <w:rPr>
          <w:rFonts w:ascii="Arial" w:hAnsi="Arial" w:cs="Arial"/>
          <w:sz w:val="24"/>
          <w:szCs w:val="24"/>
          <w:lang w:eastAsia="en-GB"/>
        </w:rPr>
        <w:t>Stichting</w:t>
      </w:r>
      <w:proofErr w:type="spellEnd"/>
      <w:r w:rsidRPr="007A0037">
        <w:rPr>
          <w:rFonts w:ascii="Arial" w:hAnsi="Arial" w:cs="Arial"/>
          <w:sz w:val="24"/>
          <w:szCs w:val="24"/>
          <w:lang w:eastAsia="en-GB"/>
        </w:rPr>
        <w:t xml:space="preserve"> </w:t>
      </w:r>
      <w:proofErr w:type="spellStart"/>
      <w:r w:rsidRPr="007A0037">
        <w:rPr>
          <w:rFonts w:ascii="Arial" w:hAnsi="Arial" w:cs="Arial"/>
          <w:sz w:val="24"/>
          <w:szCs w:val="24"/>
          <w:lang w:eastAsia="en-GB"/>
        </w:rPr>
        <w:t>Reclame</w:t>
      </w:r>
      <w:proofErr w:type="spellEnd"/>
      <w:r w:rsidRPr="007A0037">
        <w:rPr>
          <w:rFonts w:ascii="Arial" w:hAnsi="Arial" w:cs="Arial"/>
          <w:sz w:val="24"/>
          <w:szCs w:val="24"/>
          <w:lang w:eastAsia="en-GB"/>
        </w:rPr>
        <w:t xml:space="preserve"> Code (SRC), which ruled against MSC Cruises for making false sustainability claims</w:t>
      </w:r>
      <w:r w:rsidR="00D062F5" w:rsidRPr="007A0037">
        <w:rPr>
          <w:rFonts w:ascii="Arial" w:hAnsi="Arial" w:cs="Arial"/>
          <w:sz w:val="24"/>
          <w:szCs w:val="24"/>
        </w:rPr>
        <w:t xml:space="preserve"> </w:t>
      </w:r>
      <w:r w:rsidR="00D062F5" w:rsidRPr="007A0037">
        <w:rPr>
          <w:rFonts w:ascii="Arial" w:hAnsi="Arial" w:cs="Arial"/>
          <w:sz w:val="24"/>
          <w:szCs w:val="24"/>
          <w:lang w:eastAsia="en-GB"/>
        </w:rPr>
        <w:t>(European Commission, 2023)</w:t>
      </w:r>
      <w:r w:rsidRPr="007A0037">
        <w:rPr>
          <w:rFonts w:ascii="Arial" w:hAnsi="Arial" w:cs="Arial"/>
          <w:sz w:val="24"/>
          <w:szCs w:val="24"/>
          <w:lang w:eastAsia="en-GB"/>
        </w:rPr>
        <w:t xml:space="preserve">. The SRC </w:t>
      </w:r>
      <w:proofErr w:type="gramStart"/>
      <w:r w:rsidRPr="007A0037">
        <w:rPr>
          <w:rFonts w:ascii="Arial" w:hAnsi="Arial" w:cs="Arial"/>
          <w:sz w:val="24"/>
          <w:szCs w:val="24"/>
          <w:lang w:eastAsia="en-GB"/>
        </w:rPr>
        <w:t>determined</w:t>
      </w:r>
      <w:proofErr w:type="gramEnd"/>
      <w:r w:rsidRPr="007A0037">
        <w:rPr>
          <w:rFonts w:ascii="Arial" w:hAnsi="Arial" w:cs="Arial"/>
          <w:sz w:val="24"/>
          <w:szCs w:val="24"/>
          <w:lang w:eastAsia="en-GB"/>
        </w:rPr>
        <w:t xml:space="preserve"> that MSC's comments about attaining "net zero by 2050" and advertising liquefied natural gas (LNG) as "one of the cleanest" fuels were misleading, since they lacked adequate proof and might mislead customers on the environmental effect of their activities. </w:t>
      </w:r>
      <w:r w:rsidRPr="007A0037">
        <w:rPr>
          <w:rFonts w:ascii="Arial" w:hAnsi="Arial" w:cs="Arial"/>
          <w:sz w:val="24"/>
          <w:szCs w:val="24"/>
          <w:lang w:eastAsia="en-GB"/>
        </w:rPr>
        <w:t xml:space="preserve"> </w:t>
      </w:r>
      <w:r w:rsidRPr="007A0037">
        <w:rPr>
          <w:rFonts w:ascii="Arial" w:hAnsi="Arial" w:cs="Arial"/>
          <w:sz w:val="24"/>
          <w:szCs w:val="24"/>
          <w:lang w:eastAsia="en-GB"/>
        </w:rPr>
        <w:t xml:space="preserve">This judgement </w:t>
      </w:r>
      <w:proofErr w:type="gramStart"/>
      <w:r w:rsidRPr="007A0037">
        <w:rPr>
          <w:rFonts w:ascii="Arial" w:hAnsi="Arial" w:cs="Arial"/>
          <w:sz w:val="24"/>
          <w:szCs w:val="24"/>
          <w:lang w:eastAsia="en-GB"/>
        </w:rPr>
        <w:t>demonstrates</w:t>
      </w:r>
      <w:proofErr w:type="gramEnd"/>
      <w:r w:rsidRPr="007A0037">
        <w:rPr>
          <w:rFonts w:ascii="Arial" w:hAnsi="Arial" w:cs="Arial"/>
          <w:sz w:val="24"/>
          <w:szCs w:val="24"/>
          <w:lang w:eastAsia="en-GB"/>
        </w:rPr>
        <w:t xml:space="preserve"> the EU's commitment to holding firms accountable for their environmental representations and ensuring that consumers are given accurate information.</w:t>
      </w:r>
      <w:r w:rsidRPr="007A0037">
        <w:rPr>
          <w:rFonts w:ascii="Arial" w:hAnsi="Arial" w:cs="Arial"/>
          <w:sz w:val="24"/>
          <w:szCs w:val="24"/>
          <w:lang w:eastAsia="en-GB"/>
        </w:rPr>
        <w:t xml:space="preserve"> </w:t>
      </w:r>
      <w:r w:rsidRPr="007A0037">
        <w:rPr>
          <w:rFonts w:ascii="Arial" w:hAnsi="Arial" w:cs="Arial"/>
          <w:sz w:val="24"/>
          <w:szCs w:val="24"/>
          <w:lang w:eastAsia="en-GB"/>
        </w:rPr>
        <w:t xml:space="preserve">Similarly, the European Commission, in partnership with national consumer protection agencies, has </w:t>
      </w:r>
      <w:proofErr w:type="gramStart"/>
      <w:r w:rsidRPr="007A0037">
        <w:rPr>
          <w:rFonts w:ascii="Arial" w:hAnsi="Arial" w:cs="Arial"/>
          <w:sz w:val="24"/>
          <w:szCs w:val="24"/>
          <w:lang w:eastAsia="en-GB"/>
        </w:rPr>
        <w:t>taken action</w:t>
      </w:r>
      <w:proofErr w:type="gramEnd"/>
      <w:r w:rsidRPr="007A0037">
        <w:rPr>
          <w:rFonts w:ascii="Arial" w:hAnsi="Arial" w:cs="Arial"/>
          <w:sz w:val="24"/>
          <w:szCs w:val="24"/>
          <w:lang w:eastAsia="en-GB"/>
        </w:rPr>
        <w:t xml:space="preserve"> against 20 airlines for possibly deceptive greenwashing tactics relating to carbon offsets. The inquiry focused on spurious claims regarding the advantages of environmental initiatives and sustainable jet fuels, emphasising the need of airlines providing accurate, </w:t>
      </w:r>
      <w:proofErr w:type="gramStart"/>
      <w:r w:rsidRPr="007A0037">
        <w:rPr>
          <w:rFonts w:ascii="Arial" w:hAnsi="Arial" w:cs="Arial"/>
          <w:sz w:val="24"/>
          <w:szCs w:val="24"/>
          <w:lang w:eastAsia="en-GB"/>
        </w:rPr>
        <w:t>scientifically-based</w:t>
      </w:r>
      <w:proofErr w:type="gramEnd"/>
      <w:r w:rsidRPr="007A0037">
        <w:rPr>
          <w:rFonts w:ascii="Arial" w:hAnsi="Arial" w:cs="Arial"/>
          <w:sz w:val="24"/>
          <w:szCs w:val="24"/>
          <w:lang w:eastAsia="en-GB"/>
        </w:rPr>
        <w:t xml:space="preserve"> information to </w:t>
      </w:r>
      <w:r w:rsidR="006C18BE" w:rsidRPr="007A0037">
        <w:rPr>
          <w:rFonts w:ascii="Arial" w:hAnsi="Arial" w:cs="Arial"/>
          <w:sz w:val="24"/>
          <w:szCs w:val="24"/>
          <w:lang w:eastAsia="en-GB"/>
        </w:rPr>
        <w:t>consumers (</w:t>
      </w:r>
      <w:r w:rsidR="006C18BE" w:rsidRPr="007A0037">
        <w:rPr>
          <w:rFonts w:ascii="Arial" w:hAnsi="Arial" w:cs="Arial"/>
          <w:sz w:val="24"/>
          <w:szCs w:val="24"/>
          <w:lang w:eastAsia="en-GB"/>
        </w:rPr>
        <w:t>European Commission, n.d.)</w:t>
      </w:r>
      <w:r w:rsidRPr="007A0037">
        <w:rPr>
          <w:rFonts w:ascii="Arial" w:hAnsi="Arial" w:cs="Arial"/>
          <w:sz w:val="24"/>
          <w:szCs w:val="24"/>
          <w:lang w:eastAsia="en-GB"/>
        </w:rPr>
        <w:t>. In the United Kingdom, regulatory authorities such as the Competition and Markets Authority (CMA) and the Advertising Standards Authority (ASA) have increased scrutiny of environmental claims. The CMA's Green Claims Code offers specific guidance to firms, detailing six criteria for ensuring that environmental claims are true, transparent, and proven</w:t>
      </w:r>
      <w:r w:rsidR="006C18BE" w:rsidRPr="007A0037">
        <w:rPr>
          <w:rFonts w:ascii="Arial" w:hAnsi="Arial" w:cs="Arial"/>
          <w:sz w:val="24"/>
          <w:szCs w:val="24"/>
          <w:lang w:eastAsia="en-GB"/>
        </w:rPr>
        <w:t xml:space="preserve"> (PWC, n.d.)</w:t>
      </w:r>
      <w:r w:rsidRPr="007A0037">
        <w:rPr>
          <w:rFonts w:ascii="Arial" w:hAnsi="Arial" w:cs="Arial"/>
          <w:sz w:val="24"/>
          <w:szCs w:val="24"/>
          <w:lang w:eastAsia="en-GB"/>
        </w:rPr>
        <w:t xml:space="preserve">. Failure to comply might lead to enforcement actions, such as penalties and court procedures (LAWNOW). The ASA has also </w:t>
      </w:r>
      <w:proofErr w:type="gramStart"/>
      <w:r w:rsidRPr="007A0037">
        <w:rPr>
          <w:rFonts w:ascii="Arial" w:hAnsi="Arial" w:cs="Arial"/>
          <w:sz w:val="24"/>
          <w:szCs w:val="24"/>
          <w:lang w:eastAsia="en-GB"/>
        </w:rPr>
        <w:t>taken action</w:t>
      </w:r>
      <w:proofErr w:type="gramEnd"/>
      <w:r w:rsidRPr="007A0037">
        <w:rPr>
          <w:rFonts w:ascii="Arial" w:hAnsi="Arial" w:cs="Arial"/>
          <w:sz w:val="24"/>
          <w:szCs w:val="24"/>
          <w:lang w:eastAsia="en-GB"/>
        </w:rPr>
        <w:t xml:space="preserve"> against deceptive commercials, highlighting the significance of accuracy in environmental marketing.</w:t>
      </w:r>
      <w:r w:rsidRPr="007A0037">
        <w:rPr>
          <w:rFonts w:ascii="Arial" w:hAnsi="Arial" w:cs="Arial"/>
          <w:sz w:val="24"/>
          <w:szCs w:val="24"/>
          <w:lang w:eastAsia="en-GB"/>
        </w:rPr>
        <w:t xml:space="preserve"> </w:t>
      </w:r>
      <w:r w:rsidRPr="007A0037">
        <w:rPr>
          <w:rFonts w:ascii="Arial" w:hAnsi="Arial" w:cs="Arial"/>
          <w:sz w:val="24"/>
          <w:szCs w:val="24"/>
          <w:lang w:eastAsia="en-GB"/>
        </w:rPr>
        <w:t>These regulatory frameworks and enforcement actions serve as a cautionary story for hospitality businesses. Greenwashing not only carries legal consequences, but it also harms brand reputation and undermines customer trust</w:t>
      </w:r>
      <w:r w:rsidR="006C18BE" w:rsidRPr="007A0037">
        <w:rPr>
          <w:rFonts w:ascii="Arial" w:hAnsi="Arial" w:cs="Arial"/>
          <w:sz w:val="24"/>
          <w:szCs w:val="24"/>
          <w:lang w:eastAsia="en-GB"/>
        </w:rPr>
        <w:t xml:space="preserve"> (ASA, n.d.)</w:t>
      </w:r>
      <w:r w:rsidRPr="007A0037">
        <w:rPr>
          <w:rFonts w:ascii="Arial" w:hAnsi="Arial" w:cs="Arial"/>
          <w:sz w:val="24"/>
          <w:szCs w:val="24"/>
          <w:lang w:eastAsia="en-GB"/>
        </w:rPr>
        <w:t>. To prevent these risks, hospitality organisations must make sure their environmental statements are open, verifiable, and reflect true sustainability efforts. Implementing strong environmental policies, gaining reputable certifications, and keeping open communication with stakeholders are all critical steps towards building confidence and proving a genuine commitment to sustainability</w:t>
      </w:r>
      <w:r w:rsidR="006C18BE" w:rsidRPr="007A0037">
        <w:rPr>
          <w:rFonts w:ascii="Arial" w:hAnsi="Arial" w:cs="Arial"/>
          <w:sz w:val="24"/>
          <w:szCs w:val="24"/>
          <w:lang w:eastAsia="en-GB"/>
        </w:rPr>
        <w:t xml:space="preserve"> (</w:t>
      </w:r>
      <w:proofErr w:type="spellStart"/>
      <w:r w:rsidR="006C18BE" w:rsidRPr="007A0037">
        <w:rPr>
          <w:rFonts w:ascii="Arial" w:hAnsi="Arial" w:cs="Arial"/>
          <w:sz w:val="24"/>
          <w:szCs w:val="24"/>
          <w:lang w:eastAsia="en-GB"/>
        </w:rPr>
        <w:t>Batabyal</w:t>
      </w:r>
      <w:proofErr w:type="spellEnd"/>
      <w:r w:rsidR="006C18BE" w:rsidRPr="007A0037">
        <w:rPr>
          <w:rFonts w:ascii="Arial" w:hAnsi="Arial" w:cs="Arial"/>
          <w:sz w:val="24"/>
          <w:szCs w:val="24"/>
          <w:lang w:eastAsia="en-GB"/>
        </w:rPr>
        <w:t>, 2018).</w:t>
      </w:r>
    </w:p>
    <w:p w14:paraId="797DA7E9" w14:textId="24999D8D" w:rsidR="00DA3535" w:rsidRPr="007A0037" w:rsidRDefault="00DA3535" w:rsidP="007A0037">
      <w:pPr>
        <w:pStyle w:val="EU"/>
        <w:numPr>
          <w:ilvl w:val="0"/>
          <w:numId w:val="1"/>
        </w:numPr>
        <w:spacing w:line="360" w:lineRule="auto"/>
        <w:rPr>
          <w:color w:val="auto"/>
        </w:rPr>
      </w:pPr>
      <w:bookmarkStart w:id="8" w:name="_Toc182582581"/>
      <w:r w:rsidRPr="007A0037">
        <w:rPr>
          <w:color w:val="auto"/>
        </w:rPr>
        <w:t>Recommendations</w:t>
      </w:r>
      <w:bookmarkEnd w:id="8"/>
    </w:p>
    <w:p w14:paraId="45515625" w14:textId="06D52AFA" w:rsidR="00DC7686" w:rsidRPr="007A0037" w:rsidRDefault="00DC7686"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To solve its greenwashing and greenhushing challenges, Hilton should implement a Comprehensive Sustainability Transparency Framework. This strategy entails transparent communication about its environmental actions and a true commitment to sustainability goals. The first stage is to apply third-party certifications, like as Green Key or LEED, throughout all properties to substantiate Hilton's claims. These certifications will ensure consistency in sustainable policies while also providing convincing documentation of environmental initiatives</w:t>
      </w:r>
      <w:r w:rsidR="006C18BE" w:rsidRPr="007A0037">
        <w:rPr>
          <w:rFonts w:ascii="Arial" w:hAnsi="Arial" w:cs="Arial"/>
          <w:sz w:val="24"/>
          <w:szCs w:val="24"/>
          <w:lang w:eastAsia="en-GB"/>
        </w:rPr>
        <w:t xml:space="preserve"> (</w:t>
      </w:r>
      <w:proofErr w:type="spellStart"/>
      <w:r w:rsidR="006C18BE" w:rsidRPr="007A0037">
        <w:rPr>
          <w:rFonts w:ascii="Arial" w:hAnsi="Arial" w:cs="Arial"/>
          <w:sz w:val="24"/>
          <w:szCs w:val="24"/>
          <w:lang w:eastAsia="en-GB"/>
        </w:rPr>
        <w:t>Guix</w:t>
      </w:r>
      <w:proofErr w:type="spellEnd"/>
      <w:r w:rsidR="006C18BE" w:rsidRPr="007A0037">
        <w:rPr>
          <w:rFonts w:ascii="Arial" w:hAnsi="Arial" w:cs="Arial"/>
          <w:sz w:val="24"/>
          <w:szCs w:val="24"/>
          <w:lang w:eastAsia="en-GB"/>
        </w:rPr>
        <w:t xml:space="preserve"> et al.,2018)</w:t>
      </w:r>
      <w:r w:rsidRPr="007A0037">
        <w:rPr>
          <w:rFonts w:ascii="Arial" w:hAnsi="Arial" w:cs="Arial"/>
          <w:sz w:val="24"/>
          <w:szCs w:val="24"/>
          <w:lang w:eastAsia="en-GB"/>
        </w:rPr>
        <w:t xml:space="preserve">. Hilton could also have a strong data transparency strategy by </w:t>
      </w:r>
      <w:proofErr w:type="gramStart"/>
      <w:r w:rsidRPr="007A0037">
        <w:rPr>
          <w:rFonts w:ascii="Arial" w:hAnsi="Arial" w:cs="Arial"/>
          <w:sz w:val="24"/>
          <w:szCs w:val="24"/>
          <w:lang w:eastAsia="en-GB"/>
        </w:rPr>
        <w:t>publicly releasing</w:t>
      </w:r>
      <w:proofErr w:type="gramEnd"/>
      <w:r w:rsidRPr="007A0037">
        <w:rPr>
          <w:rFonts w:ascii="Arial" w:hAnsi="Arial" w:cs="Arial"/>
          <w:sz w:val="24"/>
          <w:szCs w:val="24"/>
          <w:lang w:eastAsia="en-GB"/>
        </w:rPr>
        <w:t xml:space="preserve"> important environmental metrics—such as carbon emissions, water consumption, and trash reduction—on its website and annual sustainability report. This transparent reporting can </w:t>
      </w:r>
      <w:proofErr w:type="gramStart"/>
      <w:r w:rsidRPr="007A0037">
        <w:rPr>
          <w:rFonts w:ascii="Arial" w:hAnsi="Arial" w:cs="Arial"/>
          <w:sz w:val="24"/>
          <w:szCs w:val="24"/>
          <w:lang w:eastAsia="en-GB"/>
        </w:rPr>
        <w:t>assist</w:t>
      </w:r>
      <w:proofErr w:type="gramEnd"/>
      <w:r w:rsidRPr="007A0037">
        <w:rPr>
          <w:rFonts w:ascii="Arial" w:hAnsi="Arial" w:cs="Arial"/>
          <w:sz w:val="24"/>
          <w:szCs w:val="24"/>
          <w:lang w:eastAsia="en-GB"/>
        </w:rPr>
        <w:t xml:space="preserve"> prevent greenwashing and regain confidence among environmentally conscientious stakeholders.</w:t>
      </w:r>
      <w:r w:rsidRPr="007A0037">
        <w:rPr>
          <w:rFonts w:ascii="Arial" w:hAnsi="Arial" w:cs="Arial"/>
          <w:sz w:val="24"/>
          <w:szCs w:val="24"/>
          <w:lang w:eastAsia="en-GB"/>
        </w:rPr>
        <w:t xml:space="preserve"> </w:t>
      </w:r>
      <w:r w:rsidRPr="007A0037">
        <w:rPr>
          <w:rFonts w:ascii="Arial" w:hAnsi="Arial" w:cs="Arial"/>
          <w:sz w:val="24"/>
          <w:szCs w:val="24"/>
          <w:lang w:eastAsia="en-GB"/>
        </w:rPr>
        <w:t xml:space="preserve">Stakeholder interaction is a key </w:t>
      </w:r>
      <w:proofErr w:type="gramStart"/>
      <w:r w:rsidRPr="007A0037">
        <w:rPr>
          <w:rFonts w:ascii="Arial" w:hAnsi="Arial" w:cs="Arial"/>
          <w:sz w:val="24"/>
          <w:szCs w:val="24"/>
          <w:lang w:eastAsia="en-GB"/>
        </w:rPr>
        <w:t>component</w:t>
      </w:r>
      <w:proofErr w:type="gramEnd"/>
      <w:r w:rsidRPr="007A0037">
        <w:rPr>
          <w:rFonts w:ascii="Arial" w:hAnsi="Arial" w:cs="Arial"/>
          <w:sz w:val="24"/>
          <w:szCs w:val="24"/>
          <w:lang w:eastAsia="en-GB"/>
        </w:rPr>
        <w:t xml:space="preserve"> of this strategy</w:t>
      </w:r>
      <w:r w:rsidR="006C18BE" w:rsidRPr="007A0037">
        <w:rPr>
          <w:rFonts w:ascii="Arial" w:hAnsi="Arial" w:cs="Arial"/>
          <w:sz w:val="24"/>
          <w:szCs w:val="24"/>
          <w:lang w:eastAsia="en-GB"/>
        </w:rPr>
        <w:t xml:space="preserve"> (</w:t>
      </w:r>
      <w:proofErr w:type="spellStart"/>
      <w:r w:rsidR="006C18BE" w:rsidRPr="007A0037">
        <w:rPr>
          <w:rFonts w:ascii="Arial" w:hAnsi="Arial" w:cs="Arial"/>
          <w:sz w:val="24"/>
          <w:szCs w:val="24"/>
          <w:lang w:eastAsia="en-GB"/>
        </w:rPr>
        <w:t>Korstanje</w:t>
      </w:r>
      <w:proofErr w:type="spellEnd"/>
      <w:r w:rsidR="006C18BE" w:rsidRPr="007A0037">
        <w:rPr>
          <w:rFonts w:ascii="Arial" w:hAnsi="Arial" w:cs="Arial"/>
          <w:sz w:val="24"/>
          <w:szCs w:val="24"/>
          <w:lang w:eastAsia="en-GB"/>
        </w:rPr>
        <w:t xml:space="preserve"> and </w:t>
      </w:r>
      <w:r w:rsidR="006C18BE" w:rsidRPr="007A0037">
        <w:rPr>
          <w:rFonts w:ascii="Arial" w:hAnsi="Arial" w:cs="Arial"/>
          <w:sz w:val="24"/>
          <w:szCs w:val="24"/>
          <w:lang w:eastAsia="en-GB"/>
        </w:rPr>
        <w:t>Nedelea, 2020)</w:t>
      </w:r>
      <w:r w:rsidRPr="007A0037">
        <w:rPr>
          <w:rFonts w:ascii="Arial" w:hAnsi="Arial" w:cs="Arial"/>
          <w:sz w:val="24"/>
          <w:szCs w:val="24"/>
          <w:lang w:eastAsia="en-GB"/>
        </w:rPr>
        <w:t xml:space="preserve">. Hilton must include workers, guests, and suppliers in its sustainability efforts. Employee training programs should emphasise sustainable operations, ensuring that all employees understand and use green practices. Engaging visitors with visible measures, such as in-room trash segregation bins and eco-friendly activity promotions, encourages them to </w:t>
      </w:r>
      <w:proofErr w:type="gramStart"/>
      <w:r w:rsidRPr="007A0037">
        <w:rPr>
          <w:rFonts w:ascii="Arial" w:hAnsi="Arial" w:cs="Arial"/>
          <w:sz w:val="24"/>
          <w:szCs w:val="24"/>
          <w:lang w:eastAsia="en-GB"/>
        </w:rPr>
        <w:t>participate</w:t>
      </w:r>
      <w:proofErr w:type="gramEnd"/>
      <w:r w:rsidRPr="007A0037">
        <w:rPr>
          <w:rFonts w:ascii="Arial" w:hAnsi="Arial" w:cs="Arial"/>
          <w:sz w:val="24"/>
          <w:szCs w:val="24"/>
          <w:lang w:eastAsia="en-GB"/>
        </w:rPr>
        <w:t xml:space="preserve"> in the company's aims. Hilton could also </w:t>
      </w:r>
      <w:proofErr w:type="gramStart"/>
      <w:r w:rsidRPr="007A0037">
        <w:rPr>
          <w:rFonts w:ascii="Arial" w:hAnsi="Arial" w:cs="Arial"/>
          <w:sz w:val="24"/>
          <w:szCs w:val="24"/>
          <w:lang w:eastAsia="en-GB"/>
        </w:rPr>
        <w:t>work</w:t>
      </w:r>
      <w:proofErr w:type="gramEnd"/>
      <w:r w:rsidRPr="007A0037">
        <w:rPr>
          <w:rFonts w:ascii="Arial" w:hAnsi="Arial" w:cs="Arial"/>
          <w:sz w:val="24"/>
          <w:szCs w:val="24"/>
          <w:lang w:eastAsia="en-GB"/>
        </w:rPr>
        <w:t xml:space="preserve"> with suppliers to reduce packaging waste and promote sustainable sourcing.</w:t>
      </w:r>
      <w:r w:rsidRPr="007A0037">
        <w:rPr>
          <w:rFonts w:ascii="Arial" w:hAnsi="Arial" w:cs="Arial"/>
          <w:sz w:val="24"/>
          <w:szCs w:val="24"/>
          <w:lang w:eastAsia="en-GB"/>
        </w:rPr>
        <w:t xml:space="preserve"> </w:t>
      </w:r>
      <w:r w:rsidRPr="007A0037">
        <w:rPr>
          <w:rFonts w:ascii="Arial" w:hAnsi="Arial" w:cs="Arial"/>
          <w:sz w:val="24"/>
          <w:szCs w:val="24"/>
          <w:lang w:eastAsia="en-GB"/>
        </w:rPr>
        <w:t>However, applying this technique presents obstacles. It may be challenging to ensure uniform compliance throughout Hilton's global properties owing to diverse regulatory frameworks and resource resources</w:t>
      </w:r>
      <w:r w:rsidR="006C18BE" w:rsidRPr="007A0037">
        <w:rPr>
          <w:rFonts w:ascii="Arial" w:hAnsi="Arial" w:cs="Arial"/>
          <w:sz w:val="24"/>
          <w:szCs w:val="24"/>
          <w:lang w:eastAsia="en-GB"/>
        </w:rPr>
        <w:t xml:space="preserve"> (Zaidi, 2024)</w:t>
      </w:r>
      <w:r w:rsidRPr="007A0037">
        <w:rPr>
          <w:rFonts w:ascii="Arial" w:hAnsi="Arial" w:cs="Arial"/>
          <w:sz w:val="24"/>
          <w:szCs w:val="24"/>
          <w:lang w:eastAsia="en-GB"/>
        </w:rPr>
        <w:t xml:space="preserve">. For example, certain areas may lack access to recycling facilities or renewable energy infrastructure, </w:t>
      </w:r>
      <w:proofErr w:type="gramStart"/>
      <w:r w:rsidRPr="007A0037">
        <w:rPr>
          <w:rFonts w:ascii="Arial" w:hAnsi="Arial" w:cs="Arial"/>
          <w:sz w:val="24"/>
          <w:szCs w:val="24"/>
          <w:lang w:eastAsia="en-GB"/>
        </w:rPr>
        <w:t>necessitating</w:t>
      </w:r>
      <w:proofErr w:type="gramEnd"/>
      <w:r w:rsidRPr="007A0037">
        <w:rPr>
          <w:rFonts w:ascii="Arial" w:hAnsi="Arial" w:cs="Arial"/>
          <w:sz w:val="24"/>
          <w:szCs w:val="24"/>
          <w:lang w:eastAsia="en-GB"/>
        </w:rPr>
        <w:t xml:space="preserve"> larger initial expenditures and alternate options. Employees or suppliers who are unfamiliar with these methods may resist change, demanding further training and relationship-building activities</w:t>
      </w:r>
      <w:r w:rsidR="007A0037" w:rsidRPr="007A0037">
        <w:rPr>
          <w:rFonts w:ascii="Arial" w:hAnsi="Arial" w:cs="Arial"/>
          <w:sz w:val="24"/>
          <w:szCs w:val="24"/>
          <w:lang w:eastAsia="en-GB"/>
        </w:rPr>
        <w:t xml:space="preserve"> (Khatter, 2023).</w:t>
      </w:r>
      <w:r w:rsidRPr="007A0037">
        <w:rPr>
          <w:rFonts w:ascii="Arial" w:hAnsi="Arial" w:cs="Arial"/>
          <w:sz w:val="24"/>
          <w:szCs w:val="24"/>
          <w:lang w:eastAsia="en-GB"/>
        </w:rPr>
        <w:t xml:space="preserve"> </w:t>
      </w:r>
      <w:r w:rsidR="007A0037" w:rsidRPr="007A0037">
        <w:rPr>
          <w:rFonts w:ascii="Arial" w:hAnsi="Arial" w:cs="Arial"/>
          <w:sz w:val="24"/>
          <w:szCs w:val="24"/>
          <w:lang w:eastAsia="en-GB"/>
        </w:rPr>
        <w:t>Additionally</w:t>
      </w:r>
      <w:r w:rsidRPr="007A0037">
        <w:rPr>
          <w:rFonts w:ascii="Arial" w:hAnsi="Arial" w:cs="Arial"/>
          <w:sz w:val="24"/>
          <w:szCs w:val="24"/>
          <w:lang w:eastAsia="en-GB"/>
        </w:rPr>
        <w:t xml:space="preserve">, preserving transparency while avoiding overexposure to criticism is a tricky balancing. While transparent reporting can build confidence, it also puts Hilton under scrutiny if </w:t>
      </w:r>
      <w:proofErr w:type="gramStart"/>
      <w:r w:rsidRPr="007A0037">
        <w:rPr>
          <w:rFonts w:ascii="Arial" w:hAnsi="Arial" w:cs="Arial"/>
          <w:sz w:val="24"/>
          <w:szCs w:val="24"/>
          <w:lang w:eastAsia="en-GB"/>
        </w:rPr>
        <w:t>objectives</w:t>
      </w:r>
      <w:proofErr w:type="gramEnd"/>
      <w:r w:rsidRPr="007A0037">
        <w:rPr>
          <w:rFonts w:ascii="Arial" w:hAnsi="Arial" w:cs="Arial"/>
          <w:sz w:val="24"/>
          <w:szCs w:val="24"/>
          <w:lang w:eastAsia="en-GB"/>
        </w:rPr>
        <w:t xml:space="preserve"> are not reached or discrepancies are discovered. To reduce this risk, the organisation should set reasonable, quantifiable goals and commit to regular audits to </w:t>
      </w:r>
      <w:proofErr w:type="gramStart"/>
      <w:r w:rsidRPr="007A0037">
        <w:rPr>
          <w:rFonts w:ascii="Arial" w:hAnsi="Arial" w:cs="Arial"/>
          <w:sz w:val="24"/>
          <w:szCs w:val="24"/>
          <w:lang w:eastAsia="en-GB"/>
        </w:rPr>
        <w:t>monitor</w:t>
      </w:r>
      <w:proofErr w:type="gramEnd"/>
      <w:r w:rsidRPr="007A0037">
        <w:rPr>
          <w:rFonts w:ascii="Arial" w:hAnsi="Arial" w:cs="Arial"/>
          <w:sz w:val="24"/>
          <w:szCs w:val="24"/>
          <w:lang w:eastAsia="en-GB"/>
        </w:rPr>
        <w:t xml:space="preserve"> progress.</w:t>
      </w:r>
      <w:r w:rsidRPr="007A0037">
        <w:rPr>
          <w:rFonts w:ascii="Arial" w:hAnsi="Arial" w:cs="Arial"/>
          <w:sz w:val="24"/>
          <w:szCs w:val="24"/>
          <w:lang w:eastAsia="en-GB"/>
        </w:rPr>
        <w:t xml:space="preserve"> </w:t>
      </w:r>
    </w:p>
    <w:p w14:paraId="5C4B498E" w14:textId="789DBD37" w:rsidR="00DC7686" w:rsidRPr="007A0037" w:rsidRDefault="00DC7686" w:rsidP="007A0037">
      <w:pPr>
        <w:pStyle w:val="EU"/>
        <w:numPr>
          <w:ilvl w:val="0"/>
          <w:numId w:val="1"/>
        </w:numPr>
        <w:spacing w:line="360" w:lineRule="auto"/>
        <w:rPr>
          <w:color w:val="auto"/>
        </w:rPr>
      </w:pPr>
      <w:bookmarkStart w:id="9" w:name="_Toc182582582"/>
      <w:r w:rsidRPr="007A0037">
        <w:rPr>
          <w:color w:val="auto"/>
        </w:rPr>
        <w:t>Conclusion</w:t>
      </w:r>
      <w:bookmarkEnd w:id="9"/>
      <w:r w:rsidRPr="007A0037">
        <w:rPr>
          <w:color w:val="auto"/>
        </w:rPr>
        <w:t xml:space="preserve"> </w:t>
      </w:r>
    </w:p>
    <w:p w14:paraId="76F42DFE" w14:textId="6EDF0F38" w:rsidR="00DC7686" w:rsidRPr="007A0037" w:rsidRDefault="00DC7686"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 xml:space="preserve">In conclusion, fixing Hilton's greenwashing and greenhushing concerns is critical to re-establishing its environmental reputation and sustaining its competitive advantage. By implementing a transparent sustainability framework that includes third-party certifications, stakeholder involvement, and data sharing, Hilton can match its operations with worldwide environmental norms. While problems like as regulatory variations, resource constraints, and opposition to change may exist, strategic planning and regular audits can help to manage these risks. Genuine sustainability initiatives will increase operational efficiency, decrease environmental consequences, and foster confidence among environmentally concerned travellers. Finally, adopting openness and responsibility boosts Hilton's brand reputation while also positioning it as a pioneer in sustainable hospitality, </w:t>
      </w:r>
      <w:proofErr w:type="gramStart"/>
      <w:r w:rsidRPr="007A0037">
        <w:rPr>
          <w:rFonts w:ascii="Arial" w:hAnsi="Arial" w:cs="Arial"/>
          <w:sz w:val="24"/>
          <w:szCs w:val="24"/>
          <w:lang w:eastAsia="en-GB"/>
        </w:rPr>
        <w:t>benefiting</w:t>
      </w:r>
      <w:proofErr w:type="gramEnd"/>
      <w:r w:rsidRPr="007A0037">
        <w:rPr>
          <w:rFonts w:ascii="Arial" w:hAnsi="Arial" w:cs="Arial"/>
          <w:sz w:val="24"/>
          <w:szCs w:val="24"/>
          <w:lang w:eastAsia="en-GB"/>
        </w:rPr>
        <w:t xml:space="preserve"> both the industry and the environment.</w:t>
      </w:r>
    </w:p>
    <w:p w14:paraId="275AB023" w14:textId="77777777" w:rsidR="00DC7686" w:rsidRDefault="00DC7686" w:rsidP="00DC7686">
      <w:pPr>
        <w:spacing w:line="360" w:lineRule="auto"/>
        <w:jc w:val="both"/>
        <w:rPr>
          <w:rFonts w:ascii="Arial" w:hAnsi="Arial" w:cs="Arial"/>
          <w:sz w:val="24"/>
          <w:szCs w:val="24"/>
          <w:lang w:eastAsia="en-GB"/>
        </w:rPr>
      </w:pPr>
    </w:p>
    <w:p w14:paraId="49B6C947" w14:textId="77777777" w:rsidR="00DC7686" w:rsidRDefault="00DC7686" w:rsidP="00DC7686">
      <w:pPr>
        <w:spacing w:line="360" w:lineRule="auto"/>
        <w:jc w:val="both"/>
        <w:rPr>
          <w:rFonts w:ascii="Arial" w:hAnsi="Arial" w:cs="Arial"/>
          <w:sz w:val="24"/>
          <w:szCs w:val="24"/>
          <w:lang w:eastAsia="en-GB"/>
        </w:rPr>
      </w:pPr>
    </w:p>
    <w:p w14:paraId="371EE9CE" w14:textId="77777777" w:rsidR="00DC7686" w:rsidRDefault="00DC7686" w:rsidP="00DC7686">
      <w:pPr>
        <w:spacing w:line="360" w:lineRule="auto"/>
        <w:jc w:val="both"/>
        <w:rPr>
          <w:rFonts w:ascii="Arial" w:hAnsi="Arial" w:cs="Arial"/>
          <w:sz w:val="24"/>
          <w:szCs w:val="24"/>
          <w:lang w:eastAsia="en-GB"/>
        </w:rPr>
      </w:pPr>
    </w:p>
    <w:p w14:paraId="63BFF444" w14:textId="77777777" w:rsidR="00DC7686" w:rsidRDefault="00DC7686" w:rsidP="00DC7686">
      <w:pPr>
        <w:spacing w:line="360" w:lineRule="auto"/>
        <w:jc w:val="both"/>
        <w:rPr>
          <w:rFonts w:ascii="Arial" w:hAnsi="Arial" w:cs="Arial"/>
          <w:sz w:val="24"/>
          <w:szCs w:val="24"/>
          <w:lang w:eastAsia="en-GB"/>
        </w:rPr>
      </w:pPr>
    </w:p>
    <w:p w14:paraId="73BCD1D2" w14:textId="77777777" w:rsidR="00DC7686" w:rsidRDefault="00DC7686" w:rsidP="00DC7686">
      <w:pPr>
        <w:spacing w:line="360" w:lineRule="auto"/>
        <w:jc w:val="both"/>
        <w:rPr>
          <w:rFonts w:ascii="Arial" w:hAnsi="Arial" w:cs="Arial"/>
          <w:sz w:val="24"/>
          <w:szCs w:val="24"/>
          <w:lang w:eastAsia="en-GB"/>
        </w:rPr>
      </w:pPr>
    </w:p>
    <w:p w14:paraId="45294C9C" w14:textId="77777777" w:rsidR="00DC7686" w:rsidRDefault="00DC7686" w:rsidP="00DC7686">
      <w:pPr>
        <w:spacing w:line="360" w:lineRule="auto"/>
        <w:jc w:val="both"/>
        <w:rPr>
          <w:rFonts w:ascii="Arial" w:hAnsi="Arial" w:cs="Arial"/>
          <w:sz w:val="24"/>
          <w:szCs w:val="24"/>
          <w:lang w:eastAsia="en-GB"/>
        </w:rPr>
      </w:pPr>
    </w:p>
    <w:p w14:paraId="5922F218" w14:textId="77777777" w:rsidR="00DC7686" w:rsidRDefault="00DC7686" w:rsidP="00DC7686">
      <w:pPr>
        <w:spacing w:line="360" w:lineRule="auto"/>
        <w:jc w:val="both"/>
        <w:rPr>
          <w:rFonts w:ascii="Arial" w:hAnsi="Arial" w:cs="Arial"/>
          <w:sz w:val="24"/>
          <w:szCs w:val="24"/>
          <w:lang w:eastAsia="en-GB"/>
        </w:rPr>
      </w:pPr>
    </w:p>
    <w:p w14:paraId="38B44507" w14:textId="77777777" w:rsidR="00DC7686" w:rsidRDefault="00DC7686" w:rsidP="00DC7686">
      <w:pPr>
        <w:spacing w:line="360" w:lineRule="auto"/>
        <w:jc w:val="both"/>
        <w:rPr>
          <w:rFonts w:ascii="Arial" w:hAnsi="Arial" w:cs="Arial"/>
          <w:sz w:val="24"/>
          <w:szCs w:val="24"/>
          <w:lang w:eastAsia="en-GB"/>
        </w:rPr>
      </w:pPr>
    </w:p>
    <w:p w14:paraId="13F5BCBD" w14:textId="77777777" w:rsidR="00DC7686" w:rsidRDefault="00DC7686" w:rsidP="00DC7686">
      <w:pPr>
        <w:spacing w:line="360" w:lineRule="auto"/>
        <w:jc w:val="both"/>
        <w:rPr>
          <w:rFonts w:ascii="Arial" w:hAnsi="Arial" w:cs="Arial"/>
          <w:sz w:val="24"/>
          <w:szCs w:val="24"/>
          <w:lang w:eastAsia="en-GB"/>
        </w:rPr>
      </w:pPr>
    </w:p>
    <w:p w14:paraId="6B54DD7D" w14:textId="77777777" w:rsidR="00DC7686" w:rsidRDefault="00DC7686" w:rsidP="00DC7686">
      <w:pPr>
        <w:spacing w:line="360" w:lineRule="auto"/>
        <w:jc w:val="both"/>
        <w:rPr>
          <w:rFonts w:ascii="Arial" w:hAnsi="Arial" w:cs="Arial"/>
          <w:sz w:val="24"/>
          <w:szCs w:val="24"/>
          <w:lang w:eastAsia="en-GB"/>
        </w:rPr>
      </w:pPr>
    </w:p>
    <w:p w14:paraId="78B9A97D" w14:textId="77777777" w:rsidR="00DC7686" w:rsidRDefault="00DC7686" w:rsidP="00DC7686">
      <w:pPr>
        <w:spacing w:line="360" w:lineRule="auto"/>
        <w:jc w:val="both"/>
        <w:rPr>
          <w:rFonts w:ascii="Arial" w:hAnsi="Arial" w:cs="Arial"/>
          <w:sz w:val="24"/>
          <w:szCs w:val="24"/>
          <w:lang w:eastAsia="en-GB"/>
        </w:rPr>
      </w:pPr>
    </w:p>
    <w:p w14:paraId="2706587E" w14:textId="77777777" w:rsidR="00DC7686" w:rsidRPr="007A0037" w:rsidRDefault="00DC7686" w:rsidP="007A0037">
      <w:pPr>
        <w:spacing w:line="360" w:lineRule="auto"/>
        <w:jc w:val="both"/>
        <w:rPr>
          <w:rFonts w:ascii="Arial" w:hAnsi="Arial" w:cs="Arial"/>
          <w:sz w:val="24"/>
          <w:szCs w:val="24"/>
          <w:lang w:eastAsia="en-GB"/>
        </w:rPr>
      </w:pPr>
    </w:p>
    <w:p w14:paraId="5603286D" w14:textId="061AA04C" w:rsidR="00B079CF" w:rsidRPr="007A0037" w:rsidRDefault="00DC7686" w:rsidP="007A0037">
      <w:pPr>
        <w:pStyle w:val="EU"/>
        <w:spacing w:line="360" w:lineRule="auto"/>
        <w:rPr>
          <w:color w:val="auto"/>
        </w:rPr>
      </w:pPr>
      <w:bookmarkStart w:id="10" w:name="_Toc182582583"/>
      <w:r w:rsidRPr="007A0037">
        <w:rPr>
          <w:color w:val="auto"/>
        </w:rPr>
        <w:t>References</w:t>
      </w:r>
      <w:bookmarkEnd w:id="10"/>
    </w:p>
    <w:p w14:paraId="1F5B685F" w14:textId="77777777" w:rsidR="0043074E" w:rsidRPr="007A0037" w:rsidRDefault="0043074E"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 xml:space="preserve">Ali, S., Hamid, A.B.B.A., </w:t>
      </w:r>
      <w:proofErr w:type="spellStart"/>
      <w:r w:rsidRPr="007A0037">
        <w:rPr>
          <w:rFonts w:ascii="Arial" w:eastAsiaTheme="majorEastAsia" w:hAnsi="Arial" w:cs="Arial"/>
          <w:bCs/>
          <w:kern w:val="0"/>
          <w:sz w:val="24"/>
          <w:szCs w:val="24"/>
          <w:lang w:eastAsia="en-GB"/>
          <w14:ligatures w14:val="none"/>
        </w:rPr>
        <w:t>Ya’akub</w:t>
      </w:r>
      <w:proofErr w:type="spellEnd"/>
      <w:r w:rsidRPr="007A0037">
        <w:rPr>
          <w:rFonts w:ascii="Arial" w:eastAsiaTheme="majorEastAsia" w:hAnsi="Arial" w:cs="Arial"/>
          <w:bCs/>
          <w:kern w:val="0"/>
          <w:sz w:val="24"/>
          <w:szCs w:val="24"/>
          <w:lang w:eastAsia="en-GB"/>
          <w14:ligatures w14:val="none"/>
        </w:rPr>
        <w:t>, N.I.B. and Iqbal, S., 2024. Environmental impacts of international tourism: examining the role of policy uncertainty, renewable energy, and service sector output. Environmental Science and Pollution Research, 31(34), pp.46221-46234.</w:t>
      </w:r>
    </w:p>
    <w:p w14:paraId="2BC478E5" w14:textId="131567B2" w:rsidR="006C18BE" w:rsidRPr="007A0037" w:rsidRDefault="006C18BE"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ASA (n.d.</w:t>
      </w:r>
      <w:proofErr w:type="gramStart"/>
      <w:r w:rsidRPr="007A0037">
        <w:rPr>
          <w:rFonts w:ascii="Arial" w:eastAsiaTheme="majorEastAsia" w:hAnsi="Arial" w:cs="Arial"/>
          <w:bCs/>
          <w:kern w:val="0"/>
          <w:sz w:val="24"/>
          <w:szCs w:val="24"/>
          <w:lang w:eastAsia="en-GB"/>
          <w14:ligatures w14:val="none"/>
        </w:rPr>
        <w:t>).</w:t>
      </w:r>
      <w:r w:rsidRPr="007A0037">
        <w:rPr>
          <w:rFonts w:ascii="Arial" w:eastAsiaTheme="majorEastAsia" w:hAnsi="Arial" w:cs="Arial"/>
          <w:bCs/>
          <w:kern w:val="0"/>
          <w:sz w:val="24"/>
          <w:szCs w:val="24"/>
          <w:lang w:eastAsia="en-GB"/>
          <w14:ligatures w14:val="none"/>
        </w:rPr>
        <w:t>Environmental</w:t>
      </w:r>
      <w:proofErr w:type="gramEnd"/>
      <w:r w:rsidRPr="007A0037">
        <w:rPr>
          <w:rFonts w:ascii="Arial" w:eastAsiaTheme="majorEastAsia" w:hAnsi="Arial" w:cs="Arial"/>
          <w:bCs/>
          <w:kern w:val="0"/>
          <w:sz w:val="24"/>
          <w:szCs w:val="24"/>
          <w:lang w:eastAsia="en-GB"/>
          <w14:ligatures w14:val="none"/>
        </w:rPr>
        <w:t xml:space="preserve"> claims: General ‘Green’ claims. [online] www.asa.org.uk. Available at: </w:t>
      </w:r>
      <w:hyperlink r:id="rId7" w:history="1">
        <w:r w:rsidRPr="007A0037">
          <w:rPr>
            <w:rStyle w:val="Hyperlink"/>
            <w:rFonts w:ascii="Arial" w:eastAsiaTheme="majorEastAsia" w:hAnsi="Arial" w:cs="Arial"/>
            <w:bCs/>
            <w:color w:val="auto"/>
            <w:kern w:val="0"/>
            <w:sz w:val="24"/>
            <w:szCs w:val="24"/>
            <w:lang w:eastAsia="en-GB"/>
            <w14:ligatures w14:val="none"/>
          </w:rPr>
          <w:t>https://www.asa.org.uk/advice-online/environmental-claims-general-green-claims.html</w:t>
        </w:r>
      </w:hyperlink>
      <w:r w:rsidRPr="007A0037">
        <w:rPr>
          <w:rFonts w:ascii="Arial" w:eastAsiaTheme="majorEastAsia" w:hAnsi="Arial" w:cs="Arial"/>
          <w:bCs/>
          <w:kern w:val="0"/>
          <w:sz w:val="24"/>
          <w:szCs w:val="24"/>
          <w:lang w:eastAsia="en-GB"/>
          <w14:ligatures w14:val="none"/>
        </w:rPr>
        <w:t>.</w:t>
      </w:r>
    </w:p>
    <w:p w14:paraId="1173A373" w14:textId="738E63C2" w:rsidR="006C18BE" w:rsidRPr="007A0037" w:rsidRDefault="006C18BE" w:rsidP="007A0037">
      <w:pPr>
        <w:spacing w:line="360" w:lineRule="auto"/>
        <w:jc w:val="both"/>
        <w:rPr>
          <w:rFonts w:ascii="Arial" w:eastAsiaTheme="majorEastAsia" w:hAnsi="Arial" w:cs="Arial"/>
          <w:bCs/>
          <w:kern w:val="0"/>
          <w:sz w:val="24"/>
          <w:szCs w:val="24"/>
          <w:lang w:eastAsia="en-GB"/>
          <w14:ligatures w14:val="none"/>
        </w:rPr>
      </w:pPr>
      <w:proofErr w:type="spellStart"/>
      <w:r w:rsidRPr="007A0037">
        <w:rPr>
          <w:rFonts w:ascii="Arial" w:eastAsiaTheme="majorEastAsia" w:hAnsi="Arial" w:cs="Arial"/>
          <w:bCs/>
          <w:kern w:val="0"/>
          <w:sz w:val="24"/>
          <w:szCs w:val="24"/>
          <w:lang w:eastAsia="en-GB"/>
          <w14:ligatures w14:val="none"/>
        </w:rPr>
        <w:t>Batabyal</w:t>
      </w:r>
      <w:proofErr w:type="spellEnd"/>
      <w:r w:rsidRPr="007A0037">
        <w:rPr>
          <w:rFonts w:ascii="Arial" w:eastAsiaTheme="majorEastAsia" w:hAnsi="Arial" w:cs="Arial"/>
          <w:bCs/>
          <w:kern w:val="0"/>
          <w:sz w:val="24"/>
          <w:szCs w:val="24"/>
          <w:lang w:eastAsia="en-GB"/>
          <w14:ligatures w14:val="none"/>
        </w:rPr>
        <w:t>. (2018). Managing Sustainable Tourism Resources. IGI Global.</w:t>
      </w:r>
    </w:p>
    <w:p w14:paraId="1B599FC6" w14:textId="269F7A35" w:rsidR="00D062F5" w:rsidRPr="007A0037" w:rsidRDefault="00D062F5"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 xml:space="preserve">Costa, </w:t>
      </w:r>
      <w:r w:rsidRPr="007A0037">
        <w:rPr>
          <w:rFonts w:ascii="Arial" w:eastAsiaTheme="majorEastAsia" w:hAnsi="Arial" w:cs="Arial"/>
          <w:bCs/>
          <w:kern w:val="0"/>
          <w:sz w:val="24"/>
          <w:szCs w:val="24"/>
          <w:lang w:eastAsia="en-GB"/>
          <w14:ligatures w14:val="none"/>
        </w:rPr>
        <w:t>and</w:t>
      </w:r>
      <w:r w:rsidRPr="007A0037">
        <w:rPr>
          <w:rFonts w:ascii="Arial" w:eastAsiaTheme="majorEastAsia" w:hAnsi="Arial" w:cs="Arial"/>
          <w:bCs/>
          <w:kern w:val="0"/>
          <w:sz w:val="24"/>
          <w:szCs w:val="24"/>
          <w:lang w:eastAsia="en-GB"/>
          <w14:ligatures w14:val="none"/>
        </w:rPr>
        <w:t xml:space="preserve"> Costa, C. (2022). Sustainability and competitiveness in the hospitality industry (Costa &amp; C. Costa, Eds.). Business Science Reference.</w:t>
      </w:r>
    </w:p>
    <w:p w14:paraId="0391490D" w14:textId="39D5A8A1" w:rsidR="00D062F5" w:rsidRPr="007A0037" w:rsidRDefault="00D062F5"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Edgell</w:t>
      </w:r>
      <w:r w:rsidRPr="007A0037">
        <w:rPr>
          <w:rFonts w:ascii="Arial" w:eastAsiaTheme="majorEastAsia" w:hAnsi="Arial" w:cs="Arial"/>
          <w:bCs/>
          <w:kern w:val="0"/>
          <w:sz w:val="24"/>
          <w:szCs w:val="24"/>
          <w:lang w:eastAsia="en-GB"/>
          <w14:ligatures w14:val="none"/>
        </w:rPr>
        <w:t>, D.L.</w:t>
      </w:r>
      <w:r w:rsidRPr="007A0037">
        <w:rPr>
          <w:rFonts w:ascii="Arial" w:eastAsiaTheme="majorEastAsia" w:hAnsi="Arial" w:cs="Arial"/>
          <w:bCs/>
          <w:kern w:val="0"/>
          <w:sz w:val="24"/>
          <w:szCs w:val="24"/>
          <w:lang w:eastAsia="en-GB"/>
          <w14:ligatures w14:val="none"/>
        </w:rPr>
        <w:t xml:space="preserve"> (2020). Managing sustainable </w:t>
      </w:r>
      <w:proofErr w:type="gramStart"/>
      <w:r w:rsidRPr="007A0037">
        <w:rPr>
          <w:rFonts w:ascii="Arial" w:eastAsiaTheme="majorEastAsia" w:hAnsi="Arial" w:cs="Arial"/>
          <w:bCs/>
          <w:kern w:val="0"/>
          <w:sz w:val="24"/>
          <w:szCs w:val="24"/>
          <w:lang w:eastAsia="en-GB"/>
          <w14:ligatures w14:val="none"/>
        </w:rPr>
        <w:t>tourism :</w:t>
      </w:r>
      <w:proofErr w:type="gramEnd"/>
      <w:r w:rsidRPr="007A0037">
        <w:rPr>
          <w:rFonts w:ascii="Arial" w:eastAsiaTheme="majorEastAsia" w:hAnsi="Arial" w:cs="Arial"/>
          <w:bCs/>
          <w:kern w:val="0"/>
          <w:sz w:val="24"/>
          <w:szCs w:val="24"/>
          <w:lang w:eastAsia="en-GB"/>
          <w14:ligatures w14:val="none"/>
        </w:rPr>
        <w:t xml:space="preserve"> a legacy for the future (Third edition). Routledge</w:t>
      </w:r>
    </w:p>
    <w:p w14:paraId="0F426665" w14:textId="0696D48E" w:rsidR="006C18BE" w:rsidRPr="007A0037" w:rsidRDefault="006C18BE"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European Commission - European Commission. (n.d.). Press corner. [online] Available at: https://ec.europa.eu/commission/presscorner/detail/en/ip_24_2322.</w:t>
      </w:r>
    </w:p>
    <w:p w14:paraId="658411B2" w14:textId="3AD3C761" w:rsidR="0043074E" w:rsidRPr="007A0037" w:rsidRDefault="0043074E"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 xml:space="preserve">European Commission (2022). 2050 long-term strategy. [online] climate.ec.europa.eu. Available at: </w:t>
      </w:r>
      <w:hyperlink r:id="rId8" w:history="1">
        <w:r w:rsidR="00D062F5" w:rsidRPr="007A0037">
          <w:rPr>
            <w:rStyle w:val="Hyperlink"/>
            <w:rFonts w:ascii="Arial" w:eastAsiaTheme="majorEastAsia" w:hAnsi="Arial" w:cs="Arial"/>
            <w:bCs/>
            <w:color w:val="auto"/>
            <w:kern w:val="0"/>
            <w:sz w:val="24"/>
            <w:szCs w:val="24"/>
            <w:lang w:eastAsia="en-GB"/>
            <w14:ligatures w14:val="none"/>
          </w:rPr>
          <w:t>https://climate.ec.europa.eu/eu-action/climate-strategies-targets/2050-long-term-strategy_en</w:t>
        </w:r>
      </w:hyperlink>
      <w:r w:rsidRPr="007A0037">
        <w:rPr>
          <w:rFonts w:ascii="Arial" w:eastAsiaTheme="majorEastAsia" w:hAnsi="Arial" w:cs="Arial"/>
          <w:bCs/>
          <w:kern w:val="0"/>
          <w:sz w:val="24"/>
          <w:szCs w:val="24"/>
          <w:lang w:eastAsia="en-GB"/>
          <w14:ligatures w14:val="none"/>
        </w:rPr>
        <w:t>.</w:t>
      </w:r>
    </w:p>
    <w:p w14:paraId="76BF7677" w14:textId="769AA5F0" w:rsidR="00D062F5" w:rsidRPr="007A0037" w:rsidRDefault="00D062F5"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 xml:space="preserve">European Commission (2023). Green claims. [online] environment.ec.europa.eu. Available at: </w:t>
      </w:r>
      <w:hyperlink r:id="rId9" w:history="1">
        <w:r w:rsidR="006C18BE" w:rsidRPr="007A0037">
          <w:rPr>
            <w:rStyle w:val="Hyperlink"/>
            <w:rFonts w:ascii="Arial" w:eastAsiaTheme="majorEastAsia" w:hAnsi="Arial" w:cs="Arial"/>
            <w:bCs/>
            <w:color w:val="auto"/>
            <w:kern w:val="0"/>
            <w:sz w:val="24"/>
            <w:szCs w:val="24"/>
            <w:lang w:eastAsia="en-GB"/>
            <w14:ligatures w14:val="none"/>
          </w:rPr>
          <w:t>https://environment.ec.europa.eu/topics/circular-economy/green-claims_en</w:t>
        </w:r>
      </w:hyperlink>
      <w:r w:rsidRPr="007A0037">
        <w:rPr>
          <w:rFonts w:ascii="Arial" w:eastAsiaTheme="majorEastAsia" w:hAnsi="Arial" w:cs="Arial"/>
          <w:bCs/>
          <w:kern w:val="0"/>
          <w:sz w:val="24"/>
          <w:szCs w:val="24"/>
          <w:lang w:eastAsia="en-GB"/>
          <w14:ligatures w14:val="none"/>
        </w:rPr>
        <w:t>.</w:t>
      </w:r>
    </w:p>
    <w:p w14:paraId="5D9F8BFA" w14:textId="444A5B48" w:rsidR="006C18BE" w:rsidRPr="007A0037" w:rsidRDefault="006C18BE" w:rsidP="007A0037">
      <w:pPr>
        <w:spacing w:line="360" w:lineRule="auto"/>
        <w:jc w:val="both"/>
        <w:rPr>
          <w:rFonts w:ascii="Arial" w:eastAsiaTheme="majorEastAsia" w:hAnsi="Arial" w:cs="Arial"/>
          <w:bCs/>
          <w:kern w:val="0"/>
          <w:sz w:val="24"/>
          <w:szCs w:val="24"/>
          <w:lang w:eastAsia="en-GB"/>
          <w14:ligatures w14:val="none"/>
        </w:rPr>
      </w:pPr>
      <w:proofErr w:type="spellStart"/>
      <w:r w:rsidRPr="007A0037">
        <w:rPr>
          <w:rFonts w:ascii="Arial" w:eastAsiaTheme="majorEastAsia" w:hAnsi="Arial" w:cs="Arial"/>
          <w:bCs/>
          <w:kern w:val="0"/>
          <w:sz w:val="24"/>
          <w:szCs w:val="24"/>
          <w:lang w:eastAsia="en-GB"/>
          <w14:ligatures w14:val="none"/>
        </w:rPr>
        <w:t>Guix</w:t>
      </w:r>
      <w:proofErr w:type="spellEnd"/>
      <w:r w:rsidRPr="007A0037">
        <w:rPr>
          <w:rFonts w:ascii="Arial" w:eastAsiaTheme="majorEastAsia" w:hAnsi="Arial" w:cs="Arial"/>
          <w:bCs/>
          <w:kern w:val="0"/>
          <w:sz w:val="24"/>
          <w:szCs w:val="24"/>
          <w:lang w:eastAsia="en-GB"/>
          <w14:ligatures w14:val="none"/>
        </w:rPr>
        <w:t>, M., Bonilla-Priego, M.J. and Font, X., 2018. The process of sustainability reporting in international hotel groups: An analysis of stakeholder inclusiveness, materiality and responsiveness. Journal of Sustainable Tourism, 26(7), pp.1063-1084.</w:t>
      </w:r>
    </w:p>
    <w:p w14:paraId="10D6633B" w14:textId="16A7D839" w:rsidR="00B079CF" w:rsidRPr="007A0037" w:rsidRDefault="0043074E"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w:t>
      </w:r>
      <w:r w:rsidR="00B079CF" w:rsidRPr="007A0037">
        <w:rPr>
          <w:rFonts w:ascii="Arial" w:eastAsiaTheme="majorEastAsia" w:hAnsi="Arial" w:cs="Arial"/>
          <w:bCs/>
          <w:kern w:val="0"/>
          <w:sz w:val="24"/>
          <w:szCs w:val="24"/>
          <w:lang w:eastAsia="en-GB"/>
          <w14:ligatures w14:val="none"/>
        </w:rPr>
        <w:t xml:space="preserve">Hilton (2023). How Hilton’s Tech Innovations Deliver Frictionless Travel. [online] Stories </w:t>
      </w:r>
      <w:proofErr w:type="gramStart"/>
      <w:r w:rsidR="00B079CF" w:rsidRPr="007A0037">
        <w:rPr>
          <w:rFonts w:ascii="Arial" w:eastAsiaTheme="majorEastAsia" w:hAnsi="Arial" w:cs="Arial"/>
          <w:bCs/>
          <w:kern w:val="0"/>
          <w:sz w:val="24"/>
          <w:szCs w:val="24"/>
          <w:lang w:eastAsia="en-GB"/>
          <w14:ligatures w14:val="none"/>
        </w:rPr>
        <w:t>From</w:t>
      </w:r>
      <w:proofErr w:type="gramEnd"/>
      <w:r w:rsidR="00B079CF" w:rsidRPr="007A0037">
        <w:rPr>
          <w:rFonts w:ascii="Arial" w:eastAsiaTheme="majorEastAsia" w:hAnsi="Arial" w:cs="Arial"/>
          <w:bCs/>
          <w:kern w:val="0"/>
          <w:sz w:val="24"/>
          <w:szCs w:val="24"/>
          <w:lang w:eastAsia="en-GB"/>
          <w14:ligatures w14:val="none"/>
        </w:rPr>
        <w:t xml:space="preserve"> Hilton. Available at: https://stories.hilton.com/innovation/hiltons-consumer-centric-tech-innovations-delivering-frictionless-travel-experience.</w:t>
      </w:r>
    </w:p>
    <w:p w14:paraId="7F9A0B02" w14:textId="20D6B144" w:rsidR="00B079CF" w:rsidRPr="007A0037" w:rsidRDefault="00B079CF"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Hilton</w:t>
      </w:r>
      <w:r w:rsidRPr="007A0037">
        <w:rPr>
          <w:rFonts w:ascii="Arial" w:eastAsiaTheme="majorEastAsia" w:hAnsi="Arial" w:cs="Arial"/>
          <w:bCs/>
          <w:kern w:val="0"/>
          <w:sz w:val="24"/>
          <w:szCs w:val="24"/>
          <w:lang w:eastAsia="en-GB"/>
          <w14:ligatures w14:val="none"/>
        </w:rPr>
        <w:t xml:space="preserve"> (2023). Travel with Purpose 2023 REPORT. [online] Available at: https://esg.hilton.com/wp-content/uploads/sites/4/2024/05/2023-Travel-with-Purpose-Report-ADA-final.pdf.</w:t>
      </w:r>
    </w:p>
    <w:p w14:paraId="44592586" w14:textId="5232BD6E" w:rsidR="00773DBF" w:rsidRPr="007A0037" w:rsidRDefault="00B079CF"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 xml:space="preserve">Ioannidis, A., Chalvatzis, K.J., </w:t>
      </w:r>
      <w:proofErr w:type="spellStart"/>
      <w:r w:rsidRPr="007A0037">
        <w:rPr>
          <w:rFonts w:ascii="Arial" w:eastAsiaTheme="majorEastAsia" w:hAnsi="Arial" w:cs="Arial"/>
          <w:bCs/>
          <w:kern w:val="0"/>
          <w:sz w:val="24"/>
          <w:szCs w:val="24"/>
          <w:lang w:eastAsia="en-GB"/>
          <w14:ligatures w14:val="none"/>
        </w:rPr>
        <w:t>Leonidou</w:t>
      </w:r>
      <w:proofErr w:type="spellEnd"/>
      <w:r w:rsidRPr="007A0037">
        <w:rPr>
          <w:rFonts w:ascii="Arial" w:eastAsiaTheme="majorEastAsia" w:hAnsi="Arial" w:cs="Arial"/>
          <w:bCs/>
          <w:kern w:val="0"/>
          <w:sz w:val="24"/>
          <w:szCs w:val="24"/>
          <w:lang w:eastAsia="en-GB"/>
          <w14:ligatures w14:val="none"/>
        </w:rPr>
        <w:t>, L.C. and Feng, Z., 2021. Applying the reduce, reuse, and recycle principle in the hospitality sector: Its antecedents and performance implications. Business Strategy and the Environment, 30(7), pp.3394-3410.</w:t>
      </w:r>
    </w:p>
    <w:p w14:paraId="10B28CDD" w14:textId="40E5989C" w:rsidR="0043074E" w:rsidRPr="007A0037" w:rsidRDefault="0043074E"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 xml:space="preserve">IPCC (2018). Global Warming of 1.5 </w:t>
      </w:r>
      <w:proofErr w:type="spellStart"/>
      <w:r w:rsidRPr="007A0037">
        <w:rPr>
          <w:rFonts w:ascii="Arial" w:eastAsiaTheme="majorEastAsia" w:hAnsi="Arial" w:cs="Arial"/>
          <w:bCs/>
          <w:kern w:val="0"/>
          <w:sz w:val="24"/>
          <w:szCs w:val="24"/>
          <w:lang w:eastAsia="en-GB"/>
          <w14:ligatures w14:val="none"/>
        </w:rPr>
        <w:t>oC.</w:t>
      </w:r>
      <w:proofErr w:type="spellEnd"/>
      <w:r w:rsidRPr="007A0037">
        <w:rPr>
          <w:rFonts w:ascii="Arial" w:eastAsiaTheme="majorEastAsia" w:hAnsi="Arial" w:cs="Arial"/>
          <w:bCs/>
          <w:kern w:val="0"/>
          <w:sz w:val="24"/>
          <w:szCs w:val="24"/>
          <w:lang w:eastAsia="en-GB"/>
          <w14:ligatures w14:val="none"/>
        </w:rPr>
        <w:t xml:space="preserve"> [online] IPCC. Available at: </w:t>
      </w:r>
      <w:hyperlink r:id="rId10" w:history="1">
        <w:r w:rsidRPr="007A0037">
          <w:rPr>
            <w:rStyle w:val="Hyperlink"/>
            <w:rFonts w:ascii="Arial" w:eastAsiaTheme="majorEastAsia" w:hAnsi="Arial" w:cs="Arial"/>
            <w:bCs/>
            <w:color w:val="auto"/>
            <w:kern w:val="0"/>
            <w:sz w:val="24"/>
            <w:szCs w:val="24"/>
            <w:lang w:eastAsia="en-GB"/>
            <w14:ligatures w14:val="none"/>
          </w:rPr>
          <w:t>https://www.ipcc.ch/sr15/</w:t>
        </w:r>
      </w:hyperlink>
      <w:r w:rsidRPr="007A0037">
        <w:rPr>
          <w:rFonts w:ascii="Arial" w:eastAsiaTheme="majorEastAsia" w:hAnsi="Arial" w:cs="Arial"/>
          <w:bCs/>
          <w:kern w:val="0"/>
          <w:sz w:val="24"/>
          <w:szCs w:val="24"/>
          <w:lang w:eastAsia="en-GB"/>
          <w14:ligatures w14:val="none"/>
        </w:rPr>
        <w:t>.</w:t>
      </w:r>
    </w:p>
    <w:p w14:paraId="5FB0829F" w14:textId="61265658" w:rsidR="0043074E" w:rsidRPr="007A0037" w:rsidRDefault="0043074E" w:rsidP="007A0037">
      <w:pPr>
        <w:spacing w:line="360" w:lineRule="auto"/>
        <w:jc w:val="both"/>
        <w:rPr>
          <w:rFonts w:ascii="Arial" w:eastAsiaTheme="majorEastAsia" w:hAnsi="Arial" w:cs="Arial"/>
          <w:bCs/>
          <w:kern w:val="0"/>
          <w:sz w:val="24"/>
          <w:szCs w:val="24"/>
          <w:lang w:eastAsia="en-GB"/>
          <w14:ligatures w14:val="none"/>
        </w:rPr>
      </w:pPr>
      <w:r w:rsidRPr="007A0037">
        <w:rPr>
          <w:rFonts w:ascii="Arial" w:eastAsiaTheme="majorEastAsia" w:hAnsi="Arial" w:cs="Arial"/>
          <w:bCs/>
          <w:kern w:val="0"/>
          <w:sz w:val="24"/>
          <w:szCs w:val="24"/>
          <w:lang w:eastAsia="en-GB"/>
          <w14:ligatures w14:val="none"/>
        </w:rPr>
        <w:t xml:space="preserve">Jauhari, V (2021) ‘Managing Sustainability in the Hospitality and Tourism Industry: Paradigms and Directions for the Future’ 9th </w:t>
      </w:r>
      <w:proofErr w:type="spellStart"/>
      <w:proofErr w:type="gramStart"/>
      <w:r w:rsidRPr="007A0037">
        <w:rPr>
          <w:rFonts w:ascii="Arial" w:eastAsiaTheme="majorEastAsia" w:hAnsi="Arial" w:cs="Arial"/>
          <w:bCs/>
          <w:kern w:val="0"/>
          <w:sz w:val="24"/>
          <w:szCs w:val="24"/>
          <w:lang w:eastAsia="en-GB"/>
          <w14:ligatures w14:val="none"/>
        </w:rPr>
        <w:t>edn.Oakville</w:t>
      </w:r>
      <w:proofErr w:type="spellEnd"/>
      <w:proofErr w:type="gramEnd"/>
      <w:r w:rsidRPr="007A0037">
        <w:rPr>
          <w:rFonts w:ascii="Arial" w:eastAsiaTheme="majorEastAsia" w:hAnsi="Arial" w:cs="Arial"/>
          <w:bCs/>
          <w:kern w:val="0"/>
          <w:sz w:val="24"/>
          <w:szCs w:val="24"/>
          <w:lang w:eastAsia="en-GB"/>
          <w14:ligatures w14:val="none"/>
        </w:rPr>
        <w:t>: Apple Academic Press. Inc</w:t>
      </w:r>
    </w:p>
    <w:p w14:paraId="41ABFC44" w14:textId="77777777" w:rsidR="00B079CF" w:rsidRPr="007A0037" w:rsidRDefault="00B079CF"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 xml:space="preserve">Khatter, A. (2023). Challenges and Solutions for Environmental Sustainability in the Hospitality Sector. Sustainability, [online] 15(15), pp.11491–11491. </w:t>
      </w:r>
      <w:proofErr w:type="spellStart"/>
      <w:proofErr w:type="gramStart"/>
      <w:r w:rsidRPr="007A0037">
        <w:rPr>
          <w:rFonts w:ascii="Arial" w:hAnsi="Arial" w:cs="Arial"/>
          <w:sz w:val="24"/>
          <w:szCs w:val="24"/>
          <w:lang w:eastAsia="en-GB"/>
        </w:rPr>
        <w:t>doi:https</w:t>
      </w:r>
      <w:proofErr w:type="spellEnd"/>
      <w:r w:rsidRPr="007A0037">
        <w:rPr>
          <w:rFonts w:ascii="Arial" w:hAnsi="Arial" w:cs="Arial"/>
          <w:sz w:val="24"/>
          <w:szCs w:val="24"/>
          <w:lang w:eastAsia="en-GB"/>
        </w:rPr>
        <w:t>://doi.org/10.3390/su151511491</w:t>
      </w:r>
      <w:proofErr w:type="gramEnd"/>
      <w:r w:rsidRPr="007A0037">
        <w:rPr>
          <w:rFonts w:ascii="Arial" w:hAnsi="Arial" w:cs="Arial"/>
          <w:sz w:val="24"/>
          <w:szCs w:val="24"/>
          <w:lang w:eastAsia="en-GB"/>
        </w:rPr>
        <w:t>.</w:t>
      </w:r>
    </w:p>
    <w:p w14:paraId="6C6C0FC4" w14:textId="02D3A402" w:rsidR="006C18BE" w:rsidRPr="007A0037" w:rsidRDefault="006C18BE" w:rsidP="007A0037">
      <w:pPr>
        <w:spacing w:line="360" w:lineRule="auto"/>
        <w:jc w:val="both"/>
        <w:rPr>
          <w:rFonts w:ascii="Arial" w:hAnsi="Arial" w:cs="Arial"/>
          <w:sz w:val="24"/>
          <w:szCs w:val="24"/>
          <w:lang w:eastAsia="en-GB"/>
        </w:rPr>
      </w:pPr>
      <w:proofErr w:type="spellStart"/>
      <w:r w:rsidRPr="007A0037">
        <w:rPr>
          <w:rFonts w:ascii="Arial" w:hAnsi="Arial" w:cs="Arial"/>
          <w:sz w:val="24"/>
          <w:szCs w:val="24"/>
          <w:lang w:eastAsia="en-GB"/>
        </w:rPr>
        <w:t>Korstanje</w:t>
      </w:r>
      <w:proofErr w:type="spellEnd"/>
      <w:r w:rsidRPr="007A0037">
        <w:rPr>
          <w:rFonts w:ascii="Arial" w:hAnsi="Arial" w:cs="Arial"/>
          <w:sz w:val="24"/>
          <w:szCs w:val="24"/>
          <w:lang w:eastAsia="en-GB"/>
        </w:rPr>
        <w:t>, George, B., &amp; Nedelea, A. (2020). Strategies for promoting sustainable hospitality and tourism services. IGI Global.</w:t>
      </w:r>
    </w:p>
    <w:p w14:paraId="46563ABE" w14:textId="5EFB3EB8" w:rsidR="00B079CF" w:rsidRPr="007A0037" w:rsidRDefault="00B079CF"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 xml:space="preserve">Kundi, V. and Ernszt, I., </w:t>
      </w:r>
      <w:r w:rsidRPr="007A0037">
        <w:rPr>
          <w:rFonts w:ascii="Arial" w:hAnsi="Arial" w:cs="Arial"/>
          <w:sz w:val="24"/>
          <w:szCs w:val="24"/>
          <w:lang w:eastAsia="en-GB"/>
        </w:rPr>
        <w:t>(</w:t>
      </w:r>
      <w:r w:rsidRPr="007A0037">
        <w:rPr>
          <w:rFonts w:ascii="Arial" w:hAnsi="Arial" w:cs="Arial"/>
          <w:sz w:val="24"/>
          <w:szCs w:val="24"/>
          <w:lang w:eastAsia="en-GB"/>
        </w:rPr>
        <w:t>2024</w:t>
      </w:r>
      <w:r w:rsidRPr="007A0037">
        <w:rPr>
          <w:rFonts w:ascii="Arial" w:hAnsi="Arial" w:cs="Arial"/>
          <w:sz w:val="24"/>
          <w:szCs w:val="24"/>
          <w:lang w:eastAsia="en-GB"/>
        </w:rPr>
        <w:t>)</w:t>
      </w:r>
      <w:r w:rsidRPr="007A0037">
        <w:rPr>
          <w:rFonts w:ascii="Arial" w:hAnsi="Arial" w:cs="Arial"/>
          <w:sz w:val="24"/>
          <w:szCs w:val="24"/>
          <w:lang w:eastAsia="en-GB"/>
        </w:rPr>
        <w:t>. Safeguarding natural environment in tourism—And the phenomenon of greenwashing. Journal of Infrastructure, Policy and Development, 8(8), p.5000.</w:t>
      </w:r>
    </w:p>
    <w:p w14:paraId="11DA94FE" w14:textId="690CDA72" w:rsidR="00D062F5" w:rsidRPr="007A0037" w:rsidRDefault="00D062F5"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 xml:space="preserve">Pearse, G., 2012. Greenwash: Big brands and carbon </w:t>
      </w:r>
      <w:proofErr w:type="gramStart"/>
      <w:r w:rsidRPr="007A0037">
        <w:rPr>
          <w:rFonts w:ascii="Arial" w:hAnsi="Arial" w:cs="Arial"/>
          <w:sz w:val="24"/>
          <w:szCs w:val="24"/>
          <w:lang w:eastAsia="en-GB"/>
        </w:rPr>
        <w:t>scams</w:t>
      </w:r>
      <w:proofErr w:type="gramEnd"/>
      <w:r w:rsidRPr="007A0037">
        <w:rPr>
          <w:rFonts w:ascii="Arial" w:hAnsi="Arial" w:cs="Arial"/>
          <w:sz w:val="24"/>
          <w:szCs w:val="24"/>
          <w:lang w:eastAsia="en-GB"/>
        </w:rPr>
        <w:t>. Black Inc..</w:t>
      </w:r>
    </w:p>
    <w:p w14:paraId="413F94D6" w14:textId="3B1C9D5A" w:rsidR="006C18BE" w:rsidRPr="007A0037" w:rsidRDefault="006C18BE"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PricewaterhouseCoopers (n.d.). CMA Green Claims Code now in effect: substantiating green claims to prevent greenwashing. [online] PwC. Available at: https://www.pwc.co.uk/services/legal/cma-green-claims-code-now-in-effect.html.</w:t>
      </w:r>
    </w:p>
    <w:p w14:paraId="328F00E8" w14:textId="382AA353" w:rsidR="00B079CF" w:rsidRPr="007A0037" w:rsidRDefault="00B079CF"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Rodríguez-Antón, J.M. and del Mar Alonso-Almeida, M., 2020. Guiding principles of design for circular tourism. In Mapping, Managing, and Crafting Sustainable Business Strategies for the Circular Economy (pp. 11-30). IGI Global.</w:t>
      </w:r>
    </w:p>
    <w:p w14:paraId="7D5D991A" w14:textId="72FFB964" w:rsidR="00B079CF" w:rsidRPr="007A0037" w:rsidRDefault="00B079CF"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Singh, N., Cranage, D. and Lee, S., 2014. Green strategies for hotels: Estimation of recycling benefits. International journal of hospitality management, 43, pp.13-22.</w:t>
      </w:r>
    </w:p>
    <w:p w14:paraId="49ED7BC2" w14:textId="7283C78B" w:rsidR="00B079CF" w:rsidRPr="007A0037" w:rsidRDefault="00B079CF"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 xml:space="preserve">Sloan, P., Legrand, W. and Chen, J.S. (2017) Sustainability in the hospitality </w:t>
      </w:r>
      <w:r w:rsidRPr="007A0037">
        <w:rPr>
          <w:rFonts w:ascii="Arial" w:hAnsi="Arial" w:cs="Arial"/>
          <w:sz w:val="24"/>
          <w:szCs w:val="24"/>
          <w:lang w:eastAsia="en-GB"/>
        </w:rPr>
        <w:t>industry:</w:t>
      </w:r>
      <w:r w:rsidRPr="007A0037">
        <w:rPr>
          <w:rFonts w:ascii="Arial" w:hAnsi="Arial" w:cs="Arial"/>
          <w:sz w:val="24"/>
          <w:szCs w:val="24"/>
          <w:lang w:eastAsia="en-GB"/>
        </w:rPr>
        <w:t xml:space="preserve"> </w:t>
      </w:r>
      <w:r w:rsidRPr="007A0037">
        <w:rPr>
          <w:rFonts w:ascii="Arial" w:hAnsi="Arial" w:cs="Arial"/>
          <w:sz w:val="24"/>
          <w:szCs w:val="24"/>
          <w:lang w:eastAsia="en-GB"/>
        </w:rPr>
        <w:t>P</w:t>
      </w:r>
      <w:r w:rsidRPr="007A0037">
        <w:rPr>
          <w:rFonts w:ascii="Arial" w:hAnsi="Arial" w:cs="Arial"/>
          <w:sz w:val="24"/>
          <w:szCs w:val="24"/>
          <w:lang w:eastAsia="en-GB"/>
        </w:rPr>
        <w:t xml:space="preserve">rinciples of sustainable operations. 3rd </w:t>
      </w:r>
      <w:proofErr w:type="spellStart"/>
      <w:r w:rsidRPr="007A0037">
        <w:rPr>
          <w:rFonts w:ascii="Arial" w:hAnsi="Arial" w:cs="Arial"/>
          <w:sz w:val="24"/>
          <w:szCs w:val="24"/>
          <w:lang w:eastAsia="en-GB"/>
        </w:rPr>
        <w:t>edn</w:t>
      </w:r>
      <w:proofErr w:type="spellEnd"/>
      <w:r w:rsidRPr="007A0037">
        <w:rPr>
          <w:rFonts w:ascii="Arial" w:hAnsi="Arial" w:cs="Arial"/>
          <w:sz w:val="24"/>
          <w:szCs w:val="24"/>
          <w:lang w:eastAsia="en-GB"/>
        </w:rPr>
        <w:t>. London: Butterworth-Heinemann.</w:t>
      </w:r>
    </w:p>
    <w:p w14:paraId="5E0923FD" w14:textId="1686F5AC" w:rsidR="0043074E" w:rsidRPr="007A0037" w:rsidRDefault="0043074E"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 xml:space="preserve">Stories From Hilton. (2024). Hilton and the Hilton Global Foundation Announce Notable Year of Progress Towards 2030 Travel with Purpose Goals. [online] Available at: </w:t>
      </w:r>
      <w:hyperlink r:id="rId11" w:history="1">
        <w:r w:rsidRPr="007A0037">
          <w:rPr>
            <w:rStyle w:val="Hyperlink"/>
            <w:rFonts w:ascii="Arial" w:hAnsi="Arial" w:cs="Arial"/>
            <w:color w:val="auto"/>
            <w:sz w:val="24"/>
            <w:szCs w:val="24"/>
            <w:lang w:eastAsia="en-GB"/>
          </w:rPr>
          <w:t>https://stories.hilton.com/releases/hilton-and-the-hilton-global-foundation-announce-notable-year-of-progress-towards-2030-travel-with-purpose-goals</w:t>
        </w:r>
      </w:hyperlink>
      <w:r w:rsidRPr="007A0037">
        <w:rPr>
          <w:rFonts w:ascii="Arial" w:hAnsi="Arial" w:cs="Arial"/>
          <w:sz w:val="24"/>
          <w:szCs w:val="24"/>
          <w:lang w:eastAsia="en-GB"/>
        </w:rPr>
        <w:t>.</w:t>
      </w:r>
    </w:p>
    <w:p w14:paraId="7858AF8A" w14:textId="6D8E4461" w:rsidR="00D062F5" w:rsidRPr="007A0037" w:rsidRDefault="00D062F5" w:rsidP="007A0037">
      <w:pPr>
        <w:spacing w:line="360" w:lineRule="auto"/>
        <w:jc w:val="both"/>
        <w:rPr>
          <w:rFonts w:ascii="Arial" w:hAnsi="Arial" w:cs="Arial"/>
          <w:sz w:val="24"/>
          <w:szCs w:val="24"/>
          <w:lang w:eastAsia="en-GB"/>
        </w:rPr>
      </w:pPr>
      <w:proofErr w:type="spellStart"/>
      <w:r w:rsidRPr="007A0037">
        <w:rPr>
          <w:rFonts w:ascii="Arial" w:hAnsi="Arial" w:cs="Arial"/>
          <w:sz w:val="24"/>
          <w:szCs w:val="24"/>
          <w:lang w:eastAsia="en-GB"/>
        </w:rPr>
        <w:t>Swestiana</w:t>
      </w:r>
      <w:proofErr w:type="spellEnd"/>
      <w:r w:rsidRPr="007A0037">
        <w:rPr>
          <w:rFonts w:ascii="Arial" w:hAnsi="Arial" w:cs="Arial"/>
          <w:sz w:val="24"/>
          <w:szCs w:val="24"/>
          <w:lang w:eastAsia="en-GB"/>
        </w:rPr>
        <w:t xml:space="preserve">, A., </w:t>
      </w:r>
      <w:proofErr w:type="spellStart"/>
      <w:r w:rsidRPr="007A0037">
        <w:rPr>
          <w:rFonts w:ascii="Arial" w:hAnsi="Arial" w:cs="Arial"/>
          <w:sz w:val="24"/>
          <w:szCs w:val="24"/>
          <w:lang w:eastAsia="en-GB"/>
        </w:rPr>
        <w:t>Kusworo</w:t>
      </w:r>
      <w:proofErr w:type="spellEnd"/>
      <w:r w:rsidRPr="007A0037">
        <w:rPr>
          <w:rFonts w:ascii="Arial" w:hAnsi="Arial" w:cs="Arial"/>
          <w:sz w:val="24"/>
          <w:szCs w:val="24"/>
          <w:lang w:eastAsia="en-GB"/>
        </w:rPr>
        <w:t xml:space="preserve">, H.A. and </w:t>
      </w:r>
      <w:proofErr w:type="spellStart"/>
      <w:r w:rsidRPr="007A0037">
        <w:rPr>
          <w:rFonts w:ascii="Arial" w:hAnsi="Arial" w:cs="Arial"/>
          <w:sz w:val="24"/>
          <w:szCs w:val="24"/>
          <w:lang w:eastAsia="en-GB"/>
        </w:rPr>
        <w:t>Fandeli</w:t>
      </w:r>
      <w:proofErr w:type="spellEnd"/>
      <w:r w:rsidRPr="007A0037">
        <w:rPr>
          <w:rFonts w:ascii="Arial" w:hAnsi="Arial" w:cs="Arial"/>
          <w:sz w:val="24"/>
          <w:szCs w:val="24"/>
          <w:lang w:eastAsia="en-GB"/>
        </w:rPr>
        <w:t xml:space="preserve">, C., 2022. Greenwashing or Greenhushing?: A Quasi-Experiment to Correlate Green Behaviour and Tourist’s Level of Trust Toward Communication Strategies in Volunteer Tourism’s Website. </w:t>
      </w:r>
      <w:proofErr w:type="spellStart"/>
      <w:r w:rsidRPr="007A0037">
        <w:rPr>
          <w:rFonts w:ascii="Arial" w:hAnsi="Arial" w:cs="Arial"/>
          <w:sz w:val="24"/>
          <w:szCs w:val="24"/>
          <w:lang w:eastAsia="en-GB"/>
        </w:rPr>
        <w:t>Jurnal</w:t>
      </w:r>
      <w:proofErr w:type="spellEnd"/>
      <w:r w:rsidRPr="007A0037">
        <w:rPr>
          <w:rFonts w:ascii="Arial" w:hAnsi="Arial" w:cs="Arial"/>
          <w:sz w:val="24"/>
          <w:szCs w:val="24"/>
          <w:lang w:eastAsia="en-GB"/>
        </w:rPr>
        <w:t xml:space="preserve"> </w:t>
      </w:r>
      <w:proofErr w:type="spellStart"/>
      <w:r w:rsidRPr="007A0037">
        <w:rPr>
          <w:rFonts w:ascii="Arial" w:hAnsi="Arial" w:cs="Arial"/>
          <w:sz w:val="24"/>
          <w:szCs w:val="24"/>
          <w:lang w:eastAsia="en-GB"/>
        </w:rPr>
        <w:t>Kepariwisataan</w:t>
      </w:r>
      <w:proofErr w:type="spellEnd"/>
      <w:r w:rsidRPr="007A0037">
        <w:rPr>
          <w:rFonts w:ascii="Arial" w:hAnsi="Arial" w:cs="Arial"/>
          <w:sz w:val="24"/>
          <w:szCs w:val="24"/>
          <w:lang w:eastAsia="en-GB"/>
        </w:rPr>
        <w:t xml:space="preserve">: </w:t>
      </w:r>
      <w:proofErr w:type="spellStart"/>
      <w:r w:rsidRPr="007A0037">
        <w:rPr>
          <w:rFonts w:ascii="Arial" w:hAnsi="Arial" w:cs="Arial"/>
          <w:sz w:val="24"/>
          <w:szCs w:val="24"/>
          <w:lang w:eastAsia="en-GB"/>
        </w:rPr>
        <w:t>Destinasi</w:t>
      </w:r>
      <w:proofErr w:type="spellEnd"/>
      <w:r w:rsidRPr="007A0037">
        <w:rPr>
          <w:rFonts w:ascii="Arial" w:hAnsi="Arial" w:cs="Arial"/>
          <w:sz w:val="24"/>
          <w:szCs w:val="24"/>
          <w:lang w:eastAsia="en-GB"/>
        </w:rPr>
        <w:t xml:space="preserve">, </w:t>
      </w:r>
      <w:proofErr w:type="spellStart"/>
      <w:r w:rsidRPr="007A0037">
        <w:rPr>
          <w:rFonts w:ascii="Arial" w:hAnsi="Arial" w:cs="Arial"/>
          <w:sz w:val="24"/>
          <w:szCs w:val="24"/>
          <w:lang w:eastAsia="en-GB"/>
        </w:rPr>
        <w:t>Hospitalitas</w:t>
      </w:r>
      <w:proofErr w:type="spellEnd"/>
      <w:r w:rsidRPr="007A0037">
        <w:rPr>
          <w:rFonts w:ascii="Arial" w:hAnsi="Arial" w:cs="Arial"/>
          <w:sz w:val="24"/>
          <w:szCs w:val="24"/>
          <w:lang w:eastAsia="en-GB"/>
        </w:rPr>
        <w:t xml:space="preserve"> dan </w:t>
      </w:r>
      <w:proofErr w:type="spellStart"/>
      <w:r w:rsidRPr="007A0037">
        <w:rPr>
          <w:rFonts w:ascii="Arial" w:hAnsi="Arial" w:cs="Arial"/>
          <w:sz w:val="24"/>
          <w:szCs w:val="24"/>
          <w:lang w:eastAsia="en-GB"/>
        </w:rPr>
        <w:t>Perjalanan</w:t>
      </w:r>
      <w:proofErr w:type="spellEnd"/>
      <w:r w:rsidRPr="007A0037">
        <w:rPr>
          <w:rFonts w:ascii="Arial" w:hAnsi="Arial" w:cs="Arial"/>
          <w:sz w:val="24"/>
          <w:szCs w:val="24"/>
          <w:lang w:eastAsia="en-GB"/>
        </w:rPr>
        <w:t>, 6(1), pp.53-66.</w:t>
      </w:r>
    </w:p>
    <w:p w14:paraId="72DE4918" w14:textId="3C31B68A" w:rsidR="0043074E" w:rsidRPr="007A0037" w:rsidRDefault="0043074E"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United Nations. (2024). Renewable Energy – Powering a Safer Future. [online] Available at: https://www.un.org/en/climatechange/raising-ambition/renewable-energy.</w:t>
      </w:r>
    </w:p>
    <w:p w14:paraId="100FA7F9" w14:textId="0BB65EB1" w:rsidR="0043074E" w:rsidRPr="007A0037" w:rsidRDefault="0043074E"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Warren, C., 2023. How to Create Sustainable Hospitality: A handbook for guest participation. Goodfellow Publishers Ltd.</w:t>
      </w:r>
    </w:p>
    <w:p w14:paraId="2B5142F4" w14:textId="0C2A01B1" w:rsidR="006C18BE" w:rsidRPr="007A0037" w:rsidRDefault="006C18BE"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Zaidi, U., 2024. Global Challenges to achieve Sustainability in Marketing Implications for Marketing Theory. Journal of Excellence in Management Sciences, 3(2), pp.25-33.</w:t>
      </w:r>
    </w:p>
    <w:p w14:paraId="0A68C31A" w14:textId="77777777" w:rsidR="00B079CF" w:rsidRPr="007A0037" w:rsidRDefault="00B079CF" w:rsidP="007A0037">
      <w:pPr>
        <w:spacing w:line="360" w:lineRule="auto"/>
        <w:jc w:val="both"/>
        <w:rPr>
          <w:rFonts w:ascii="Arial" w:hAnsi="Arial" w:cs="Arial"/>
          <w:sz w:val="24"/>
          <w:szCs w:val="24"/>
          <w:lang w:eastAsia="en-GB"/>
        </w:rPr>
      </w:pPr>
      <w:r w:rsidRPr="007A0037">
        <w:rPr>
          <w:rFonts w:ascii="Arial" w:hAnsi="Arial" w:cs="Arial"/>
          <w:sz w:val="24"/>
          <w:szCs w:val="24"/>
          <w:lang w:eastAsia="en-GB"/>
        </w:rPr>
        <w:t xml:space="preserve">Zientara, P., </w:t>
      </w:r>
      <w:proofErr w:type="spellStart"/>
      <w:r w:rsidRPr="007A0037">
        <w:rPr>
          <w:rFonts w:ascii="Arial" w:hAnsi="Arial" w:cs="Arial"/>
          <w:sz w:val="24"/>
          <w:szCs w:val="24"/>
          <w:lang w:eastAsia="en-GB"/>
        </w:rPr>
        <w:t>Bohdanowicz</w:t>
      </w:r>
      <w:proofErr w:type="spellEnd"/>
      <w:r w:rsidRPr="007A0037">
        <w:rPr>
          <w:rFonts w:ascii="Arial" w:hAnsi="Arial" w:cs="Arial"/>
          <w:sz w:val="24"/>
          <w:szCs w:val="24"/>
          <w:lang w:eastAsia="en-GB"/>
        </w:rPr>
        <w:t xml:space="preserve">-Godfrey, P., Whitely, C. and Maciejewski, G. (2020). A Case Study of </w:t>
      </w:r>
      <w:proofErr w:type="spellStart"/>
      <w:r w:rsidRPr="007A0037">
        <w:rPr>
          <w:rFonts w:ascii="Arial" w:hAnsi="Arial" w:cs="Arial"/>
          <w:sz w:val="24"/>
          <w:szCs w:val="24"/>
          <w:lang w:eastAsia="en-GB"/>
        </w:rPr>
        <w:t>LightStay</w:t>
      </w:r>
      <w:proofErr w:type="spellEnd"/>
      <w:r w:rsidRPr="007A0037">
        <w:rPr>
          <w:rFonts w:ascii="Arial" w:hAnsi="Arial" w:cs="Arial"/>
          <w:sz w:val="24"/>
          <w:szCs w:val="24"/>
          <w:lang w:eastAsia="en-GB"/>
        </w:rPr>
        <w:t xml:space="preserve"> (2010–2017)—Hilton’s Corporate Responsibility Management System. Energies, 13(9), p.2303.</w:t>
      </w:r>
    </w:p>
    <w:p w14:paraId="701164AE" w14:textId="77777777" w:rsidR="00B079CF" w:rsidRDefault="00B079CF" w:rsidP="00B079CF">
      <w:pPr>
        <w:rPr>
          <w:lang w:eastAsia="en-GB"/>
        </w:rPr>
      </w:pPr>
    </w:p>
    <w:p w14:paraId="7DF994E4" w14:textId="665055CE" w:rsidR="00B079CF" w:rsidRDefault="00B079CF" w:rsidP="00B079CF">
      <w:pPr>
        <w:rPr>
          <w:lang w:eastAsia="en-GB"/>
        </w:rPr>
      </w:pPr>
      <w:r>
        <w:rPr>
          <w:rFonts w:hint="cs"/>
          <w:lang w:eastAsia="en-GB"/>
        </w:rPr>
        <w:t>‌</w:t>
      </w:r>
    </w:p>
    <w:p w14:paraId="70B9EBF7" w14:textId="6AD1E703" w:rsidR="00773DBF" w:rsidRPr="00773DBF" w:rsidRDefault="00B079CF" w:rsidP="00B079CF">
      <w:pPr>
        <w:rPr>
          <w:lang w:eastAsia="en-GB"/>
        </w:rPr>
      </w:pPr>
      <w:r>
        <w:rPr>
          <w:rFonts w:hint="cs"/>
          <w:lang w:eastAsia="en-GB"/>
        </w:rPr>
        <w:t>‌</w:t>
      </w:r>
    </w:p>
    <w:sectPr w:rsidR="00773DBF" w:rsidRPr="00773DB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1CB453" w14:textId="77777777" w:rsidR="003C0E69" w:rsidRDefault="003C0E69" w:rsidP="00485C5D">
      <w:pPr>
        <w:spacing w:after="0" w:line="240" w:lineRule="auto"/>
      </w:pPr>
      <w:r>
        <w:separator/>
      </w:r>
    </w:p>
  </w:endnote>
  <w:endnote w:type="continuationSeparator" w:id="0">
    <w:p w14:paraId="4F0D8D4F" w14:textId="77777777" w:rsidR="003C0E69" w:rsidRDefault="003C0E69" w:rsidP="00485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9613938"/>
      <w:docPartObj>
        <w:docPartGallery w:val="Page Numbers (Bottom of Page)"/>
        <w:docPartUnique/>
      </w:docPartObj>
    </w:sdtPr>
    <w:sdtEndPr>
      <w:rPr>
        <w:noProof/>
      </w:rPr>
    </w:sdtEndPr>
    <w:sdtContent>
      <w:p w14:paraId="6916361C" w14:textId="2ECA336C" w:rsidR="00485C5D" w:rsidRDefault="00485C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2F7B82" w14:textId="77777777" w:rsidR="00485C5D" w:rsidRDefault="00485C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31C006" w14:textId="77777777" w:rsidR="003C0E69" w:rsidRDefault="003C0E69" w:rsidP="00485C5D">
      <w:pPr>
        <w:spacing w:after="0" w:line="240" w:lineRule="auto"/>
      </w:pPr>
      <w:r>
        <w:separator/>
      </w:r>
    </w:p>
  </w:footnote>
  <w:footnote w:type="continuationSeparator" w:id="0">
    <w:p w14:paraId="5D34D85B" w14:textId="77777777" w:rsidR="003C0E69" w:rsidRDefault="003C0E69" w:rsidP="00485C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8B694F"/>
    <w:multiLevelType w:val="multilevel"/>
    <w:tmpl w:val="9ECA144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348022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C5D"/>
    <w:rsid w:val="0031137D"/>
    <w:rsid w:val="003C0E69"/>
    <w:rsid w:val="0043074E"/>
    <w:rsid w:val="00485C5D"/>
    <w:rsid w:val="0068145E"/>
    <w:rsid w:val="006C18BE"/>
    <w:rsid w:val="00773DBF"/>
    <w:rsid w:val="007A0037"/>
    <w:rsid w:val="007B0CC3"/>
    <w:rsid w:val="008A7504"/>
    <w:rsid w:val="00B079CF"/>
    <w:rsid w:val="00B151A8"/>
    <w:rsid w:val="00C82D1F"/>
    <w:rsid w:val="00D062F5"/>
    <w:rsid w:val="00DA3535"/>
    <w:rsid w:val="00DC7686"/>
    <w:rsid w:val="00E30D56"/>
    <w:rsid w:val="00EC2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AC63C"/>
  <w15:chartTrackingRefBased/>
  <w15:docId w15:val="{512E0A97-D1A0-40D0-BD0D-3FA8A479C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485C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5C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5C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5C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5C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5C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5C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5C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485C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5C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5C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5C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5C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5C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5C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5C5D"/>
    <w:rPr>
      <w:rFonts w:eastAsiaTheme="majorEastAsia" w:cstheme="majorBidi"/>
      <w:color w:val="272727" w:themeColor="text1" w:themeTint="D8"/>
    </w:rPr>
  </w:style>
  <w:style w:type="paragraph" w:styleId="Title">
    <w:name w:val="Title"/>
    <w:basedOn w:val="Normal"/>
    <w:next w:val="Normal"/>
    <w:link w:val="TitleChar"/>
    <w:uiPriority w:val="10"/>
    <w:qFormat/>
    <w:rsid w:val="00485C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5C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5C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5C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5C5D"/>
    <w:pPr>
      <w:spacing w:before="160"/>
      <w:jc w:val="center"/>
    </w:pPr>
    <w:rPr>
      <w:i/>
      <w:iCs/>
      <w:color w:val="404040" w:themeColor="text1" w:themeTint="BF"/>
    </w:rPr>
  </w:style>
  <w:style w:type="character" w:customStyle="1" w:styleId="QuoteChar">
    <w:name w:val="Quote Char"/>
    <w:basedOn w:val="DefaultParagraphFont"/>
    <w:link w:val="Quote"/>
    <w:uiPriority w:val="29"/>
    <w:rsid w:val="00485C5D"/>
    <w:rPr>
      <w:i/>
      <w:iCs/>
      <w:color w:val="404040" w:themeColor="text1" w:themeTint="BF"/>
    </w:rPr>
  </w:style>
  <w:style w:type="paragraph" w:styleId="ListParagraph">
    <w:name w:val="List Paragraph"/>
    <w:basedOn w:val="Normal"/>
    <w:uiPriority w:val="34"/>
    <w:qFormat/>
    <w:rsid w:val="00485C5D"/>
    <w:pPr>
      <w:ind w:left="720"/>
      <w:contextualSpacing/>
    </w:pPr>
  </w:style>
  <w:style w:type="character" w:styleId="IntenseEmphasis">
    <w:name w:val="Intense Emphasis"/>
    <w:basedOn w:val="DefaultParagraphFont"/>
    <w:uiPriority w:val="21"/>
    <w:qFormat/>
    <w:rsid w:val="00485C5D"/>
    <w:rPr>
      <w:i/>
      <w:iCs/>
      <w:color w:val="0F4761" w:themeColor="accent1" w:themeShade="BF"/>
    </w:rPr>
  </w:style>
  <w:style w:type="paragraph" w:styleId="IntenseQuote">
    <w:name w:val="Intense Quote"/>
    <w:basedOn w:val="Normal"/>
    <w:next w:val="Normal"/>
    <w:link w:val="IntenseQuoteChar"/>
    <w:uiPriority w:val="30"/>
    <w:qFormat/>
    <w:rsid w:val="00485C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5C5D"/>
    <w:rPr>
      <w:i/>
      <w:iCs/>
      <w:color w:val="0F4761" w:themeColor="accent1" w:themeShade="BF"/>
    </w:rPr>
  </w:style>
  <w:style w:type="character" w:styleId="IntenseReference">
    <w:name w:val="Intense Reference"/>
    <w:basedOn w:val="DefaultParagraphFont"/>
    <w:uiPriority w:val="32"/>
    <w:qFormat/>
    <w:rsid w:val="00485C5D"/>
    <w:rPr>
      <w:b/>
      <w:bCs/>
      <w:smallCaps/>
      <w:color w:val="0F4761" w:themeColor="accent1" w:themeShade="BF"/>
      <w:spacing w:val="5"/>
    </w:rPr>
  </w:style>
  <w:style w:type="paragraph" w:styleId="Header">
    <w:name w:val="header"/>
    <w:basedOn w:val="Normal"/>
    <w:link w:val="HeaderChar"/>
    <w:uiPriority w:val="99"/>
    <w:unhideWhenUsed/>
    <w:rsid w:val="00485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C5D"/>
  </w:style>
  <w:style w:type="paragraph" w:styleId="Footer">
    <w:name w:val="footer"/>
    <w:basedOn w:val="Normal"/>
    <w:link w:val="FooterChar"/>
    <w:uiPriority w:val="99"/>
    <w:unhideWhenUsed/>
    <w:rsid w:val="00485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C5D"/>
  </w:style>
  <w:style w:type="paragraph" w:styleId="TOCHeading">
    <w:name w:val="TOC Heading"/>
    <w:basedOn w:val="Heading1"/>
    <w:next w:val="Normal"/>
    <w:uiPriority w:val="39"/>
    <w:unhideWhenUsed/>
    <w:qFormat/>
    <w:rsid w:val="00DC7686"/>
    <w:pPr>
      <w:outlineLvl w:val="9"/>
    </w:pPr>
    <w:rPr>
      <w:kern w:val="0"/>
      <w:lang w:val="en-US"/>
      <w14:ligatures w14:val="none"/>
    </w:rPr>
  </w:style>
  <w:style w:type="paragraph" w:styleId="TOC1">
    <w:name w:val="toc 1"/>
    <w:basedOn w:val="Normal"/>
    <w:next w:val="Normal"/>
    <w:autoRedefine/>
    <w:uiPriority w:val="39"/>
    <w:unhideWhenUsed/>
    <w:rsid w:val="00DC7686"/>
    <w:pPr>
      <w:spacing w:after="100"/>
    </w:pPr>
  </w:style>
  <w:style w:type="character" w:styleId="Hyperlink">
    <w:name w:val="Hyperlink"/>
    <w:basedOn w:val="DefaultParagraphFont"/>
    <w:uiPriority w:val="99"/>
    <w:unhideWhenUsed/>
    <w:rsid w:val="00DC7686"/>
    <w:rPr>
      <w:color w:val="467886" w:themeColor="hyperlink"/>
      <w:u w:val="single"/>
    </w:rPr>
  </w:style>
  <w:style w:type="character" w:styleId="UnresolvedMention">
    <w:name w:val="Unresolved Mention"/>
    <w:basedOn w:val="DefaultParagraphFont"/>
    <w:uiPriority w:val="99"/>
    <w:semiHidden/>
    <w:unhideWhenUsed/>
    <w:rsid w:val="004307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8951146">
      <w:bodyDiv w:val="1"/>
      <w:marLeft w:val="0"/>
      <w:marRight w:val="0"/>
      <w:marTop w:val="0"/>
      <w:marBottom w:val="0"/>
      <w:divBdr>
        <w:top w:val="none" w:sz="0" w:space="0" w:color="auto"/>
        <w:left w:val="none" w:sz="0" w:space="0" w:color="auto"/>
        <w:bottom w:val="none" w:sz="0" w:space="0" w:color="auto"/>
        <w:right w:val="none" w:sz="0" w:space="0" w:color="auto"/>
      </w:divBdr>
    </w:div>
    <w:div w:id="1013535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imate.ec.europa.eu/eu-action/climate-strategies-targets/2050-long-term-strategy_e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sa.org.uk/advice-online/environmental-claims-general-green-claims.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ories.hilton.com/releases/hilton-and-the-hilton-global-foundation-announce-notable-year-of-progress-towards-2030-travel-with-purpose-goals" TargetMode="External"/><Relationship Id="rId5" Type="http://schemas.openxmlformats.org/officeDocument/2006/relationships/footnotes" Target="footnotes.xml"/><Relationship Id="rId10" Type="http://schemas.openxmlformats.org/officeDocument/2006/relationships/hyperlink" Target="https://www.ipcc.ch/sr15/" TargetMode="External"/><Relationship Id="rId4" Type="http://schemas.openxmlformats.org/officeDocument/2006/relationships/webSettings" Target="webSettings.xml"/><Relationship Id="rId9" Type="http://schemas.openxmlformats.org/officeDocument/2006/relationships/hyperlink" Target="https://environment.ec.europa.eu/topics/circular-economy/green-claims_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13</Pages>
  <Words>3813</Words>
  <Characters>21738</Characters>
  <Application>Microsoft Office Word</Application>
  <DocSecurity>0</DocSecurity>
  <Lines>181</Lines>
  <Paragraphs>50</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Executive summary </vt:lpstr>
      <vt:lpstr>Introduction </vt:lpstr>
      <vt:lpstr>Main Findings </vt:lpstr>
      <vt:lpstr>Overview of Greener Practices in Hospitality</vt:lpstr>
      <vt:lpstr>Hilton’s Current Sustainability Initiatives</vt:lpstr>
      <vt:lpstr>Recognised Gaps in Hilton’s Sustainability Efforts</vt:lpstr>
      <vt:lpstr>Greenwashing Concerns and Impacts</vt:lpstr>
      <vt:lpstr>Key Regulatory and Market Implications</vt:lpstr>
      <vt:lpstr>Recommendations</vt:lpstr>
      <vt:lpstr>Conclusion </vt:lpstr>
      <vt:lpstr>References</vt:lpstr>
    </vt:vector>
  </TitlesOfParts>
  <Company/>
  <LinksUpToDate>false</LinksUpToDate>
  <CharactersWithSpaces>25501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2024-11-15T16:26:00Z</dcterms:created>
  <dcterms:modified xsi:type="dcterms:W3CDTF">2024-11-15T17:59:00Z</dcterms:modified>
</cp:coreProperties>
</file>