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8630489"/>
        <w:docPartObj>
          <w:docPartGallery w:val="Cover Pages"/>
          <w:docPartUnique/>
        </w:docPartObj>
      </w:sdtPr>
      <w:sdtContent>
        <w:p w14:paraId="6B32C370" w14:textId="7D245547" w:rsidR="004A6957" w:rsidRDefault="004A6957">
          <w:r>
            <w:rPr>
              <w:noProof/>
            </w:rPr>
            <mc:AlternateContent>
              <mc:Choice Requires="wpg">
                <w:drawing>
                  <wp:anchor distT="0" distB="0" distL="114300" distR="114300" simplePos="0" relativeHeight="251662336" behindDoc="0" locked="0" layoutInCell="1" allowOverlap="1" wp14:anchorId="15808A2A" wp14:editId="7F4125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D57B1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385679" wp14:editId="695A0A2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0DEA7" w14:textId="77777777" w:rsidR="00954FA8" w:rsidRDefault="00954FA8" w:rsidP="00954FA8">
                                <w:pPr>
                                  <w:pStyle w:val="NoSpacing"/>
                                  <w:spacing w:line="360" w:lineRule="auto"/>
                                  <w:jc w:val="right"/>
                                  <w:rPr>
                                    <w:color w:val="595959" w:themeColor="text1" w:themeTint="A6"/>
                                    <w:sz w:val="28"/>
                                    <w:szCs w:val="28"/>
                                  </w:rPr>
                                </w:pPr>
                                <w:r w:rsidRPr="00954FA8">
                                  <w:rPr>
                                    <w:color w:val="595959" w:themeColor="text1" w:themeTint="A6"/>
                                    <w:sz w:val="28"/>
                                    <w:szCs w:val="28"/>
                                  </w:rPr>
                                  <w:t>Hira Ahmed</w:t>
                                </w:r>
                              </w:p>
                              <w:p w14:paraId="235D846D" w14:textId="77777777" w:rsidR="00954FA8" w:rsidRPr="00954FA8" w:rsidRDefault="00954FA8" w:rsidP="00954FA8">
                                <w:pPr>
                                  <w:pStyle w:val="NoSpacing"/>
                                  <w:spacing w:line="360" w:lineRule="auto"/>
                                  <w:jc w:val="right"/>
                                  <w:rPr>
                                    <w:color w:val="595959" w:themeColor="text1" w:themeTint="A6"/>
                                    <w:sz w:val="28"/>
                                    <w:szCs w:val="28"/>
                                    <w:lang w:val="en-GB"/>
                                  </w:rPr>
                                </w:pPr>
                                <w:r w:rsidRPr="00954FA8">
                                  <w:rPr>
                                    <w:color w:val="595959" w:themeColor="text1" w:themeTint="A6"/>
                                    <w:sz w:val="28"/>
                                    <w:szCs w:val="28"/>
                                    <w:lang w:val="en-GB"/>
                                  </w:rPr>
                                  <w:t>Student No. 2426399</w:t>
                                </w:r>
                              </w:p>
                              <w:p w14:paraId="2E66009E" w14:textId="77777777" w:rsidR="00954FA8" w:rsidRPr="00954FA8" w:rsidRDefault="00954FA8" w:rsidP="00954FA8">
                                <w:pPr>
                                  <w:pStyle w:val="NoSpacing"/>
                                  <w:spacing w:line="360" w:lineRule="auto"/>
                                  <w:jc w:val="right"/>
                                  <w:rPr>
                                    <w:sz w:val="26"/>
                                    <w:szCs w:val="26"/>
                                  </w:rPr>
                                </w:pPr>
                                <w:r w:rsidRPr="00954FA8">
                                  <w:rPr>
                                    <w:sz w:val="26"/>
                                    <w:szCs w:val="26"/>
                                  </w:rPr>
                                  <w:t>Lecturer: Aishat Baker</w:t>
                                </w:r>
                              </w:p>
                              <w:p w14:paraId="28B20523" w14:textId="77777777" w:rsidR="00954FA8" w:rsidRPr="00954FA8" w:rsidRDefault="00954FA8" w:rsidP="00954FA8">
                                <w:pPr>
                                  <w:pStyle w:val="NoSpacing"/>
                                  <w:spacing w:line="360" w:lineRule="auto"/>
                                  <w:jc w:val="right"/>
                                  <w:rPr>
                                    <w:color w:val="595959" w:themeColor="text1" w:themeTint="A6"/>
                                    <w:sz w:val="28"/>
                                    <w:szCs w:val="28"/>
                                  </w:rPr>
                                </w:pPr>
                              </w:p>
                              <w:p w14:paraId="6DDA75FC" w14:textId="06A1986C" w:rsidR="004A6957" w:rsidRDefault="004A6957" w:rsidP="00954FA8">
                                <w:pPr>
                                  <w:pStyle w:val="NoSpacing"/>
                                  <w:spacing w:line="360" w:lineRule="auto"/>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38567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B50DEA7" w14:textId="77777777" w:rsidR="00954FA8" w:rsidRDefault="00954FA8" w:rsidP="00954FA8">
                          <w:pPr>
                            <w:pStyle w:val="NoSpacing"/>
                            <w:spacing w:line="360" w:lineRule="auto"/>
                            <w:jc w:val="right"/>
                            <w:rPr>
                              <w:color w:val="595959" w:themeColor="text1" w:themeTint="A6"/>
                              <w:sz w:val="28"/>
                              <w:szCs w:val="28"/>
                            </w:rPr>
                          </w:pPr>
                          <w:r w:rsidRPr="00954FA8">
                            <w:rPr>
                              <w:color w:val="595959" w:themeColor="text1" w:themeTint="A6"/>
                              <w:sz w:val="28"/>
                              <w:szCs w:val="28"/>
                            </w:rPr>
                            <w:t>Hira Ahmed</w:t>
                          </w:r>
                        </w:p>
                        <w:p w14:paraId="235D846D" w14:textId="77777777" w:rsidR="00954FA8" w:rsidRPr="00954FA8" w:rsidRDefault="00954FA8" w:rsidP="00954FA8">
                          <w:pPr>
                            <w:pStyle w:val="NoSpacing"/>
                            <w:spacing w:line="360" w:lineRule="auto"/>
                            <w:jc w:val="right"/>
                            <w:rPr>
                              <w:color w:val="595959" w:themeColor="text1" w:themeTint="A6"/>
                              <w:sz w:val="28"/>
                              <w:szCs w:val="28"/>
                              <w:lang w:val="en-GB"/>
                            </w:rPr>
                          </w:pPr>
                          <w:r w:rsidRPr="00954FA8">
                            <w:rPr>
                              <w:color w:val="595959" w:themeColor="text1" w:themeTint="A6"/>
                              <w:sz w:val="28"/>
                              <w:szCs w:val="28"/>
                              <w:lang w:val="en-GB"/>
                            </w:rPr>
                            <w:t>Student No. 2426399</w:t>
                          </w:r>
                        </w:p>
                        <w:p w14:paraId="2E66009E" w14:textId="77777777" w:rsidR="00954FA8" w:rsidRPr="00954FA8" w:rsidRDefault="00954FA8" w:rsidP="00954FA8">
                          <w:pPr>
                            <w:pStyle w:val="NoSpacing"/>
                            <w:spacing w:line="360" w:lineRule="auto"/>
                            <w:jc w:val="right"/>
                            <w:rPr>
                              <w:sz w:val="26"/>
                              <w:szCs w:val="26"/>
                            </w:rPr>
                          </w:pPr>
                          <w:r w:rsidRPr="00954FA8">
                            <w:rPr>
                              <w:sz w:val="26"/>
                              <w:szCs w:val="26"/>
                            </w:rPr>
                            <w:t>Lecturer: Aishat Baker</w:t>
                          </w:r>
                        </w:p>
                        <w:p w14:paraId="28B20523" w14:textId="77777777" w:rsidR="00954FA8" w:rsidRPr="00954FA8" w:rsidRDefault="00954FA8" w:rsidP="00954FA8">
                          <w:pPr>
                            <w:pStyle w:val="NoSpacing"/>
                            <w:spacing w:line="360" w:lineRule="auto"/>
                            <w:jc w:val="right"/>
                            <w:rPr>
                              <w:color w:val="595959" w:themeColor="text1" w:themeTint="A6"/>
                              <w:sz w:val="28"/>
                              <w:szCs w:val="28"/>
                            </w:rPr>
                          </w:pPr>
                        </w:p>
                        <w:p w14:paraId="6DDA75FC" w14:textId="06A1986C" w:rsidR="004A6957" w:rsidRDefault="004A6957" w:rsidP="00954FA8">
                          <w:pPr>
                            <w:pStyle w:val="NoSpacing"/>
                            <w:spacing w:line="360" w:lineRule="auto"/>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E43EB09" wp14:editId="4E9C830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ED10E" w14:textId="7D05CC5B" w:rsidR="004A6957" w:rsidRDefault="004A6957">
                                <w:pPr>
                                  <w:pStyle w:val="NoSpacing"/>
                                  <w:jc w:val="right"/>
                                  <w:rPr>
                                    <w:color w:val="156082" w:themeColor="accent1"/>
                                    <w:sz w:val="28"/>
                                    <w:szCs w:val="28"/>
                                  </w:rPr>
                                </w:pPr>
                                <w:r>
                                  <w:rPr>
                                    <w:color w:val="156082" w:themeColor="accent1"/>
                                    <w:sz w:val="28"/>
                                    <w:szCs w:val="28"/>
                                  </w:rPr>
                                  <w:t xml:space="preserve">Module Code: </w:t>
                                </w:r>
                                <w:r w:rsidRPr="004A6957">
                                  <w:rPr>
                                    <w:bCs/>
                                    <w:color w:val="156082" w:themeColor="accent1"/>
                                    <w:sz w:val="28"/>
                                    <w:szCs w:val="28"/>
                                    <w:lang w:val="en-GB"/>
                                  </w:rPr>
                                  <w:t>BMHP5016</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5D16E984" w14:textId="4AABFFA8" w:rsidR="004A6957" w:rsidRPr="004A6957" w:rsidRDefault="004A6957">
                                    <w:pPr>
                                      <w:pStyle w:val="NoSpacing"/>
                                      <w:jc w:val="right"/>
                                      <w:rPr>
                                        <w:color w:val="595959" w:themeColor="text1" w:themeTint="A6"/>
                                        <w:sz w:val="36"/>
                                        <w:szCs w:val="36"/>
                                      </w:rPr>
                                    </w:pPr>
                                    <w:r w:rsidRPr="004A6957">
                                      <w:rPr>
                                        <w:color w:val="595959" w:themeColor="text1" w:themeTint="A6"/>
                                        <w:sz w:val="36"/>
                                        <w:szCs w:val="36"/>
                                      </w:rPr>
                                      <w:t>Principles of Health and Social Care Practice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E43EB0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62ED10E" w14:textId="7D05CC5B" w:rsidR="004A6957" w:rsidRDefault="004A6957">
                          <w:pPr>
                            <w:pStyle w:val="NoSpacing"/>
                            <w:jc w:val="right"/>
                            <w:rPr>
                              <w:color w:val="156082" w:themeColor="accent1"/>
                              <w:sz w:val="28"/>
                              <w:szCs w:val="28"/>
                            </w:rPr>
                          </w:pPr>
                          <w:r>
                            <w:rPr>
                              <w:color w:val="156082" w:themeColor="accent1"/>
                              <w:sz w:val="28"/>
                              <w:szCs w:val="28"/>
                            </w:rPr>
                            <w:t xml:space="preserve">Module Code: </w:t>
                          </w:r>
                          <w:r w:rsidRPr="004A6957">
                            <w:rPr>
                              <w:bCs/>
                              <w:color w:val="156082" w:themeColor="accent1"/>
                              <w:sz w:val="28"/>
                              <w:szCs w:val="28"/>
                              <w:lang w:val="en-GB"/>
                            </w:rPr>
                            <w:t>BMHP5016</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5D16E984" w14:textId="4AABFFA8" w:rsidR="004A6957" w:rsidRPr="004A6957" w:rsidRDefault="004A6957">
                              <w:pPr>
                                <w:pStyle w:val="NoSpacing"/>
                                <w:jc w:val="right"/>
                                <w:rPr>
                                  <w:color w:val="595959" w:themeColor="text1" w:themeTint="A6"/>
                                  <w:sz w:val="36"/>
                                  <w:szCs w:val="36"/>
                                </w:rPr>
                              </w:pPr>
                              <w:r w:rsidRPr="004A6957">
                                <w:rPr>
                                  <w:color w:val="595959" w:themeColor="text1" w:themeTint="A6"/>
                                  <w:sz w:val="36"/>
                                  <w:szCs w:val="36"/>
                                </w:rPr>
                                <w:t>Principles of Health and Social Care Practice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5C47D6" wp14:editId="203CCCD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DD2F" w14:textId="3D7517CA" w:rsidR="004A6957" w:rsidRDefault="004A6957">
                                <w:pPr>
                                  <w:jc w:val="right"/>
                                  <w:rPr>
                                    <w:smallCaps/>
                                    <w:color w:val="404040" w:themeColor="text1" w:themeTint="BF"/>
                                    <w:sz w:val="36"/>
                                    <w:szCs w:val="36"/>
                                  </w:rPr>
                                </w:pPr>
                                <w:r>
                                  <w:rPr>
                                    <w:noProof/>
                                  </w:rPr>
                                  <w:drawing>
                                    <wp:inline distT="0" distB="0" distL="0" distR="0" wp14:anchorId="2D00D38F" wp14:editId="35E74EC4">
                                      <wp:extent cx="4822190" cy="3127375"/>
                                      <wp:effectExtent l="0" t="0" r="0" b="0"/>
                                      <wp:docPr id="1891611878" name="Picture 1" descr="Team-Based Care for a Collaborative Work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am-Based Care for a Collaborative Work Environ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190" cy="3127375"/>
                                              </a:xfrm>
                                              <a:prstGeom prst="rect">
                                                <a:avLst/>
                                              </a:prstGeom>
                                              <a:noFill/>
                                              <a:ln>
                                                <a:noFill/>
                                              </a:ln>
                                            </pic:spPr>
                                          </pic:pic>
                                        </a:graphicData>
                                      </a:graphic>
                                    </wp:inline>
                                  </w:drawing>
                                </w:r>
                                <w:sdt>
                                  <w:sdtPr>
                                    <w:rPr>
                                      <w:rFonts w:ascii="Arial" w:hAnsi="Arial" w:cs="Arial"/>
                                      <w:b/>
                                      <w:sz w:val="34"/>
                                      <w:szCs w:val="3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4A6957">
                                      <w:rPr>
                                        <w:rFonts w:ascii="Arial" w:hAnsi="Arial" w:cs="Arial"/>
                                        <w:b/>
                                        <w:sz w:val="34"/>
                                        <w:szCs w:val="34"/>
                                      </w:rPr>
                                      <w:t>Component 2: Written Assignment (Report)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5C47D6"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90FDD2F" w14:textId="3D7517CA" w:rsidR="004A6957" w:rsidRDefault="004A6957">
                          <w:pPr>
                            <w:jc w:val="right"/>
                            <w:rPr>
                              <w:smallCaps/>
                              <w:color w:val="404040" w:themeColor="text1" w:themeTint="BF"/>
                              <w:sz w:val="36"/>
                              <w:szCs w:val="36"/>
                            </w:rPr>
                          </w:pPr>
                          <w:r>
                            <w:rPr>
                              <w:noProof/>
                            </w:rPr>
                            <w:drawing>
                              <wp:inline distT="0" distB="0" distL="0" distR="0" wp14:anchorId="2D00D38F" wp14:editId="35E74EC4">
                                <wp:extent cx="4822190" cy="3127375"/>
                                <wp:effectExtent l="0" t="0" r="0" b="0"/>
                                <wp:docPr id="1891611878" name="Picture 1" descr="Team-Based Care for a Collaborative Work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am-Based Care for a Collaborative Work Environ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22190" cy="3127375"/>
                                        </a:xfrm>
                                        <a:prstGeom prst="rect">
                                          <a:avLst/>
                                        </a:prstGeom>
                                        <a:noFill/>
                                        <a:ln>
                                          <a:noFill/>
                                        </a:ln>
                                      </pic:spPr>
                                    </pic:pic>
                                  </a:graphicData>
                                </a:graphic>
                              </wp:inline>
                            </w:drawing>
                          </w:r>
                          <w:sdt>
                            <w:sdtPr>
                              <w:rPr>
                                <w:rFonts w:ascii="Arial" w:hAnsi="Arial" w:cs="Arial"/>
                                <w:b/>
                                <w:sz w:val="34"/>
                                <w:szCs w:val="3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4A6957">
                                <w:rPr>
                                  <w:rFonts w:ascii="Arial" w:hAnsi="Arial" w:cs="Arial"/>
                                  <w:b/>
                                  <w:sz w:val="34"/>
                                  <w:szCs w:val="34"/>
                                </w:rPr>
                                <w:t>Component 2: Written Assignment (Report)</w:t>
                              </w:r>
                            </w:sdtContent>
                          </w:sdt>
                        </w:p>
                      </w:txbxContent>
                    </v:textbox>
                    <w10:wrap type="square" anchorx="page" anchory="page"/>
                  </v:shape>
                </w:pict>
              </mc:Fallback>
            </mc:AlternateContent>
          </w:r>
        </w:p>
        <w:p w14:paraId="52BF522F" w14:textId="1EF86CA5" w:rsidR="004A6957" w:rsidRDefault="004A6957">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32187757"/>
        <w:docPartObj>
          <w:docPartGallery w:val="Table of Contents"/>
          <w:docPartUnique/>
        </w:docPartObj>
      </w:sdtPr>
      <w:sdtEndPr>
        <w:rPr>
          <w:b/>
          <w:bCs/>
          <w:noProof/>
        </w:rPr>
      </w:sdtEndPr>
      <w:sdtContent>
        <w:p w14:paraId="79C10DC8" w14:textId="789A4E6B" w:rsidR="00DF7895" w:rsidRDefault="00DF7895" w:rsidP="00DD401C">
          <w:pPr>
            <w:pStyle w:val="TOCHeading"/>
            <w:spacing w:line="360" w:lineRule="auto"/>
          </w:pPr>
          <w:r>
            <w:t>Contents</w:t>
          </w:r>
        </w:p>
        <w:p w14:paraId="03F9BEAE" w14:textId="78C9F953" w:rsidR="00A12096" w:rsidRDefault="00DF7895" w:rsidP="00DD401C">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4611267" w:history="1">
            <w:r w:rsidR="00A12096" w:rsidRPr="00B7011F">
              <w:rPr>
                <w:rStyle w:val="Hyperlink"/>
                <w:noProof/>
              </w:rPr>
              <w:t>Abstract</w:t>
            </w:r>
            <w:r w:rsidR="00A12096">
              <w:rPr>
                <w:noProof/>
                <w:webHidden/>
              </w:rPr>
              <w:tab/>
            </w:r>
            <w:r w:rsidR="00A12096">
              <w:rPr>
                <w:noProof/>
                <w:webHidden/>
              </w:rPr>
              <w:fldChar w:fldCharType="begin"/>
            </w:r>
            <w:r w:rsidR="00A12096">
              <w:rPr>
                <w:noProof/>
                <w:webHidden/>
              </w:rPr>
              <w:instrText xml:space="preserve"> PAGEREF _Toc224611267 \h </w:instrText>
            </w:r>
            <w:r w:rsidR="00A12096">
              <w:rPr>
                <w:noProof/>
                <w:webHidden/>
              </w:rPr>
            </w:r>
            <w:r w:rsidR="00A12096">
              <w:rPr>
                <w:noProof/>
                <w:webHidden/>
              </w:rPr>
              <w:fldChar w:fldCharType="separate"/>
            </w:r>
            <w:r w:rsidR="00A12096">
              <w:rPr>
                <w:noProof/>
                <w:webHidden/>
              </w:rPr>
              <w:t>2</w:t>
            </w:r>
            <w:r w:rsidR="00A12096">
              <w:rPr>
                <w:noProof/>
                <w:webHidden/>
              </w:rPr>
              <w:fldChar w:fldCharType="end"/>
            </w:r>
          </w:hyperlink>
        </w:p>
        <w:p w14:paraId="1F14C3B3" w14:textId="72705C40" w:rsidR="00A12096" w:rsidRDefault="00A12096" w:rsidP="00DD401C">
          <w:pPr>
            <w:pStyle w:val="TOC1"/>
            <w:tabs>
              <w:tab w:val="right" w:leader="dot" w:pos="9016"/>
            </w:tabs>
            <w:spacing w:line="360" w:lineRule="auto"/>
            <w:rPr>
              <w:rFonts w:eastAsiaTheme="minorEastAsia"/>
              <w:noProof/>
              <w:lang w:eastAsia="en-GB"/>
            </w:rPr>
          </w:pPr>
          <w:hyperlink w:anchor="_Toc224611268" w:history="1">
            <w:r w:rsidRPr="00B7011F">
              <w:rPr>
                <w:rStyle w:val="Hyperlink"/>
                <w:noProof/>
              </w:rPr>
              <w:t>Introduction</w:t>
            </w:r>
            <w:r>
              <w:rPr>
                <w:noProof/>
                <w:webHidden/>
              </w:rPr>
              <w:tab/>
            </w:r>
            <w:r>
              <w:rPr>
                <w:noProof/>
                <w:webHidden/>
              </w:rPr>
              <w:fldChar w:fldCharType="begin"/>
            </w:r>
            <w:r>
              <w:rPr>
                <w:noProof/>
                <w:webHidden/>
              </w:rPr>
              <w:instrText xml:space="preserve"> PAGEREF _Toc224611268 \h </w:instrText>
            </w:r>
            <w:r>
              <w:rPr>
                <w:noProof/>
                <w:webHidden/>
              </w:rPr>
            </w:r>
            <w:r>
              <w:rPr>
                <w:noProof/>
                <w:webHidden/>
              </w:rPr>
              <w:fldChar w:fldCharType="separate"/>
            </w:r>
            <w:r>
              <w:rPr>
                <w:noProof/>
                <w:webHidden/>
              </w:rPr>
              <w:t>2</w:t>
            </w:r>
            <w:r>
              <w:rPr>
                <w:noProof/>
                <w:webHidden/>
              </w:rPr>
              <w:fldChar w:fldCharType="end"/>
            </w:r>
          </w:hyperlink>
        </w:p>
        <w:p w14:paraId="7AA45D20" w14:textId="3E854F07" w:rsidR="00A12096" w:rsidRDefault="00A12096" w:rsidP="00DD401C">
          <w:pPr>
            <w:pStyle w:val="TOC2"/>
            <w:tabs>
              <w:tab w:val="right" w:leader="dot" w:pos="9016"/>
            </w:tabs>
            <w:spacing w:line="360" w:lineRule="auto"/>
            <w:rPr>
              <w:rFonts w:eastAsiaTheme="minorEastAsia"/>
              <w:noProof/>
              <w:lang w:eastAsia="en-GB"/>
            </w:rPr>
          </w:pPr>
          <w:hyperlink w:anchor="_Toc224611269" w:history="1">
            <w:r w:rsidRPr="00B7011F">
              <w:rPr>
                <w:rStyle w:val="Hyperlink"/>
                <w:noProof/>
              </w:rPr>
              <w:t>Person-Centred Care: Definition, Benefits and Limitations</w:t>
            </w:r>
            <w:r>
              <w:rPr>
                <w:noProof/>
                <w:webHidden/>
              </w:rPr>
              <w:tab/>
            </w:r>
            <w:r>
              <w:rPr>
                <w:noProof/>
                <w:webHidden/>
              </w:rPr>
              <w:fldChar w:fldCharType="begin"/>
            </w:r>
            <w:r>
              <w:rPr>
                <w:noProof/>
                <w:webHidden/>
              </w:rPr>
              <w:instrText xml:space="preserve"> PAGEREF _Toc224611269 \h </w:instrText>
            </w:r>
            <w:r>
              <w:rPr>
                <w:noProof/>
                <w:webHidden/>
              </w:rPr>
            </w:r>
            <w:r>
              <w:rPr>
                <w:noProof/>
                <w:webHidden/>
              </w:rPr>
              <w:fldChar w:fldCharType="separate"/>
            </w:r>
            <w:r>
              <w:rPr>
                <w:noProof/>
                <w:webHidden/>
              </w:rPr>
              <w:t>3</w:t>
            </w:r>
            <w:r>
              <w:rPr>
                <w:noProof/>
                <w:webHidden/>
              </w:rPr>
              <w:fldChar w:fldCharType="end"/>
            </w:r>
          </w:hyperlink>
        </w:p>
        <w:p w14:paraId="0E95902F" w14:textId="70085044" w:rsidR="00A12096" w:rsidRDefault="00A12096" w:rsidP="00DD401C">
          <w:pPr>
            <w:pStyle w:val="TOC1"/>
            <w:tabs>
              <w:tab w:val="right" w:leader="dot" w:pos="9016"/>
            </w:tabs>
            <w:spacing w:line="360" w:lineRule="auto"/>
            <w:rPr>
              <w:rFonts w:eastAsiaTheme="minorEastAsia"/>
              <w:noProof/>
              <w:lang w:eastAsia="en-GB"/>
            </w:rPr>
          </w:pPr>
          <w:hyperlink w:anchor="_Toc224611270" w:history="1">
            <w:r w:rsidRPr="00B7011F">
              <w:rPr>
                <w:rStyle w:val="Hyperlink"/>
                <w:noProof/>
              </w:rPr>
              <w:t>Relevant Theory Supporting Person-Centred Care: Maslow’s Hierarchy of Needs</w:t>
            </w:r>
            <w:r>
              <w:rPr>
                <w:noProof/>
                <w:webHidden/>
              </w:rPr>
              <w:tab/>
            </w:r>
            <w:r>
              <w:rPr>
                <w:noProof/>
                <w:webHidden/>
              </w:rPr>
              <w:fldChar w:fldCharType="begin"/>
            </w:r>
            <w:r>
              <w:rPr>
                <w:noProof/>
                <w:webHidden/>
              </w:rPr>
              <w:instrText xml:space="preserve"> PAGEREF _Toc224611270 \h </w:instrText>
            </w:r>
            <w:r>
              <w:rPr>
                <w:noProof/>
                <w:webHidden/>
              </w:rPr>
            </w:r>
            <w:r>
              <w:rPr>
                <w:noProof/>
                <w:webHidden/>
              </w:rPr>
              <w:fldChar w:fldCharType="separate"/>
            </w:r>
            <w:r>
              <w:rPr>
                <w:noProof/>
                <w:webHidden/>
              </w:rPr>
              <w:t>4</w:t>
            </w:r>
            <w:r>
              <w:rPr>
                <w:noProof/>
                <w:webHidden/>
              </w:rPr>
              <w:fldChar w:fldCharType="end"/>
            </w:r>
          </w:hyperlink>
        </w:p>
        <w:p w14:paraId="1AC922C8" w14:textId="2AE8D1C2" w:rsidR="00A12096" w:rsidRDefault="00A12096" w:rsidP="00DD401C">
          <w:pPr>
            <w:pStyle w:val="TOC1"/>
            <w:tabs>
              <w:tab w:val="right" w:leader="dot" w:pos="9016"/>
            </w:tabs>
            <w:spacing w:line="360" w:lineRule="auto"/>
            <w:rPr>
              <w:rFonts w:eastAsiaTheme="minorEastAsia"/>
              <w:noProof/>
              <w:lang w:eastAsia="en-GB"/>
            </w:rPr>
          </w:pPr>
          <w:hyperlink w:anchor="_Toc224611271" w:history="1">
            <w:r w:rsidRPr="00B7011F">
              <w:rPr>
                <w:rStyle w:val="Hyperlink"/>
                <w:noProof/>
              </w:rPr>
              <w:t>Ethical Fundamentals in Health and Social Care</w:t>
            </w:r>
            <w:r>
              <w:rPr>
                <w:noProof/>
                <w:webHidden/>
              </w:rPr>
              <w:tab/>
            </w:r>
            <w:r>
              <w:rPr>
                <w:noProof/>
                <w:webHidden/>
              </w:rPr>
              <w:fldChar w:fldCharType="begin"/>
            </w:r>
            <w:r>
              <w:rPr>
                <w:noProof/>
                <w:webHidden/>
              </w:rPr>
              <w:instrText xml:space="preserve"> PAGEREF _Toc224611271 \h </w:instrText>
            </w:r>
            <w:r>
              <w:rPr>
                <w:noProof/>
                <w:webHidden/>
              </w:rPr>
            </w:r>
            <w:r>
              <w:rPr>
                <w:noProof/>
                <w:webHidden/>
              </w:rPr>
              <w:fldChar w:fldCharType="separate"/>
            </w:r>
            <w:r>
              <w:rPr>
                <w:noProof/>
                <w:webHidden/>
              </w:rPr>
              <w:t>5</w:t>
            </w:r>
            <w:r>
              <w:rPr>
                <w:noProof/>
                <w:webHidden/>
              </w:rPr>
              <w:fldChar w:fldCharType="end"/>
            </w:r>
          </w:hyperlink>
        </w:p>
        <w:p w14:paraId="314825FA" w14:textId="34F0648A" w:rsidR="00A12096" w:rsidRDefault="00A12096" w:rsidP="00DD401C">
          <w:pPr>
            <w:pStyle w:val="TOC1"/>
            <w:tabs>
              <w:tab w:val="right" w:leader="dot" w:pos="9016"/>
            </w:tabs>
            <w:spacing w:line="360" w:lineRule="auto"/>
            <w:rPr>
              <w:rFonts w:eastAsiaTheme="minorEastAsia"/>
              <w:noProof/>
              <w:lang w:eastAsia="en-GB"/>
            </w:rPr>
          </w:pPr>
          <w:hyperlink w:anchor="_Toc224611272" w:history="1">
            <w:r w:rsidRPr="00B7011F">
              <w:rPr>
                <w:rStyle w:val="Hyperlink"/>
                <w:noProof/>
              </w:rPr>
              <w:t>Evaluation of Partnership Working</w:t>
            </w:r>
            <w:r>
              <w:rPr>
                <w:noProof/>
                <w:webHidden/>
              </w:rPr>
              <w:tab/>
            </w:r>
            <w:r>
              <w:rPr>
                <w:noProof/>
                <w:webHidden/>
              </w:rPr>
              <w:fldChar w:fldCharType="begin"/>
            </w:r>
            <w:r>
              <w:rPr>
                <w:noProof/>
                <w:webHidden/>
              </w:rPr>
              <w:instrText xml:space="preserve"> PAGEREF _Toc224611272 \h </w:instrText>
            </w:r>
            <w:r>
              <w:rPr>
                <w:noProof/>
                <w:webHidden/>
              </w:rPr>
            </w:r>
            <w:r>
              <w:rPr>
                <w:noProof/>
                <w:webHidden/>
              </w:rPr>
              <w:fldChar w:fldCharType="separate"/>
            </w:r>
            <w:r>
              <w:rPr>
                <w:noProof/>
                <w:webHidden/>
              </w:rPr>
              <w:t>6</w:t>
            </w:r>
            <w:r>
              <w:rPr>
                <w:noProof/>
                <w:webHidden/>
              </w:rPr>
              <w:fldChar w:fldCharType="end"/>
            </w:r>
          </w:hyperlink>
        </w:p>
        <w:p w14:paraId="37E5C110" w14:textId="135C3AE7" w:rsidR="00A12096" w:rsidRDefault="00A12096" w:rsidP="00DD401C">
          <w:pPr>
            <w:pStyle w:val="TOC1"/>
            <w:tabs>
              <w:tab w:val="right" w:leader="dot" w:pos="9016"/>
            </w:tabs>
            <w:spacing w:line="360" w:lineRule="auto"/>
            <w:rPr>
              <w:rFonts w:eastAsiaTheme="minorEastAsia"/>
              <w:noProof/>
              <w:lang w:eastAsia="en-GB"/>
            </w:rPr>
          </w:pPr>
          <w:hyperlink w:anchor="_Toc224611273" w:history="1">
            <w:r w:rsidRPr="00B7011F">
              <w:rPr>
                <w:rStyle w:val="Hyperlink"/>
                <w:noProof/>
              </w:rPr>
              <w:t>Policy and Legislation</w:t>
            </w:r>
            <w:r>
              <w:rPr>
                <w:noProof/>
                <w:webHidden/>
              </w:rPr>
              <w:tab/>
            </w:r>
            <w:r>
              <w:rPr>
                <w:noProof/>
                <w:webHidden/>
              </w:rPr>
              <w:fldChar w:fldCharType="begin"/>
            </w:r>
            <w:r>
              <w:rPr>
                <w:noProof/>
                <w:webHidden/>
              </w:rPr>
              <w:instrText xml:space="preserve"> PAGEREF _Toc224611273 \h </w:instrText>
            </w:r>
            <w:r>
              <w:rPr>
                <w:noProof/>
                <w:webHidden/>
              </w:rPr>
            </w:r>
            <w:r>
              <w:rPr>
                <w:noProof/>
                <w:webHidden/>
              </w:rPr>
              <w:fldChar w:fldCharType="separate"/>
            </w:r>
            <w:r>
              <w:rPr>
                <w:noProof/>
                <w:webHidden/>
              </w:rPr>
              <w:t>8</w:t>
            </w:r>
            <w:r>
              <w:rPr>
                <w:noProof/>
                <w:webHidden/>
              </w:rPr>
              <w:fldChar w:fldCharType="end"/>
            </w:r>
          </w:hyperlink>
        </w:p>
        <w:p w14:paraId="042C431B" w14:textId="157EDDF9" w:rsidR="00A12096" w:rsidRDefault="00A12096" w:rsidP="00DD401C">
          <w:pPr>
            <w:pStyle w:val="TOC1"/>
            <w:tabs>
              <w:tab w:val="right" w:leader="dot" w:pos="9016"/>
            </w:tabs>
            <w:spacing w:line="360" w:lineRule="auto"/>
            <w:rPr>
              <w:rFonts w:eastAsiaTheme="minorEastAsia"/>
              <w:noProof/>
              <w:lang w:eastAsia="en-GB"/>
            </w:rPr>
          </w:pPr>
          <w:hyperlink w:anchor="_Toc224611274" w:history="1">
            <w:r w:rsidRPr="00B7011F">
              <w:rPr>
                <w:rStyle w:val="Hyperlink"/>
                <w:noProof/>
              </w:rPr>
              <w:t>Recommendations</w:t>
            </w:r>
            <w:r>
              <w:rPr>
                <w:noProof/>
                <w:webHidden/>
              </w:rPr>
              <w:tab/>
            </w:r>
            <w:r>
              <w:rPr>
                <w:noProof/>
                <w:webHidden/>
              </w:rPr>
              <w:fldChar w:fldCharType="begin"/>
            </w:r>
            <w:r>
              <w:rPr>
                <w:noProof/>
                <w:webHidden/>
              </w:rPr>
              <w:instrText xml:space="preserve"> PAGEREF _Toc224611274 \h </w:instrText>
            </w:r>
            <w:r>
              <w:rPr>
                <w:noProof/>
                <w:webHidden/>
              </w:rPr>
            </w:r>
            <w:r>
              <w:rPr>
                <w:noProof/>
                <w:webHidden/>
              </w:rPr>
              <w:fldChar w:fldCharType="separate"/>
            </w:r>
            <w:r>
              <w:rPr>
                <w:noProof/>
                <w:webHidden/>
              </w:rPr>
              <w:t>8</w:t>
            </w:r>
            <w:r>
              <w:rPr>
                <w:noProof/>
                <w:webHidden/>
              </w:rPr>
              <w:fldChar w:fldCharType="end"/>
            </w:r>
          </w:hyperlink>
        </w:p>
        <w:p w14:paraId="31171071" w14:textId="57330BBE" w:rsidR="00A12096" w:rsidRDefault="00A12096" w:rsidP="00DD401C">
          <w:pPr>
            <w:pStyle w:val="TOC1"/>
            <w:tabs>
              <w:tab w:val="right" w:leader="dot" w:pos="9016"/>
            </w:tabs>
            <w:spacing w:line="360" w:lineRule="auto"/>
            <w:rPr>
              <w:rFonts w:eastAsiaTheme="minorEastAsia"/>
              <w:noProof/>
              <w:lang w:eastAsia="en-GB"/>
            </w:rPr>
          </w:pPr>
          <w:hyperlink w:anchor="_Toc224611275" w:history="1">
            <w:r w:rsidRPr="00B7011F">
              <w:rPr>
                <w:rStyle w:val="Hyperlink"/>
                <w:noProof/>
              </w:rPr>
              <w:t>Conclusion</w:t>
            </w:r>
            <w:r>
              <w:rPr>
                <w:noProof/>
                <w:webHidden/>
              </w:rPr>
              <w:tab/>
            </w:r>
            <w:r>
              <w:rPr>
                <w:noProof/>
                <w:webHidden/>
              </w:rPr>
              <w:fldChar w:fldCharType="begin"/>
            </w:r>
            <w:r>
              <w:rPr>
                <w:noProof/>
                <w:webHidden/>
              </w:rPr>
              <w:instrText xml:space="preserve"> PAGEREF _Toc224611275 \h </w:instrText>
            </w:r>
            <w:r>
              <w:rPr>
                <w:noProof/>
                <w:webHidden/>
              </w:rPr>
            </w:r>
            <w:r>
              <w:rPr>
                <w:noProof/>
                <w:webHidden/>
              </w:rPr>
              <w:fldChar w:fldCharType="separate"/>
            </w:r>
            <w:r>
              <w:rPr>
                <w:noProof/>
                <w:webHidden/>
              </w:rPr>
              <w:t>9</w:t>
            </w:r>
            <w:r>
              <w:rPr>
                <w:noProof/>
                <w:webHidden/>
              </w:rPr>
              <w:fldChar w:fldCharType="end"/>
            </w:r>
          </w:hyperlink>
        </w:p>
        <w:p w14:paraId="5CDE8A47" w14:textId="78EDE1AB" w:rsidR="00A12096" w:rsidRDefault="00A12096" w:rsidP="00DD401C">
          <w:pPr>
            <w:pStyle w:val="TOC1"/>
            <w:tabs>
              <w:tab w:val="right" w:leader="dot" w:pos="9016"/>
            </w:tabs>
            <w:spacing w:line="360" w:lineRule="auto"/>
            <w:rPr>
              <w:rFonts w:eastAsiaTheme="minorEastAsia"/>
              <w:noProof/>
              <w:lang w:eastAsia="en-GB"/>
            </w:rPr>
          </w:pPr>
          <w:hyperlink w:anchor="_Toc224611276" w:history="1">
            <w:r w:rsidRPr="00B7011F">
              <w:rPr>
                <w:rStyle w:val="Hyperlink"/>
                <w:noProof/>
              </w:rPr>
              <w:t>Refrence</w:t>
            </w:r>
            <w:r>
              <w:rPr>
                <w:noProof/>
                <w:webHidden/>
              </w:rPr>
              <w:tab/>
            </w:r>
            <w:r>
              <w:rPr>
                <w:noProof/>
                <w:webHidden/>
              </w:rPr>
              <w:fldChar w:fldCharType="begin"/>
            </w:r>
            <w:r>
              <w:rPr>
                <w:noProof/>
                <w:webHidden/>
              </w:rPr>
              <w:instrText xml:space="preserve"> PAGEREF _Toc224611276 \h </w:instrText>
            </w:r>
            <w:r>
              <w:rPr>
                <w:noProof/>
                <w:webHidden/>
              </w:rPr>
            </w:r>
            <w:r>
              <w:rPr>
                <w:noProof/>
                <w:webHidden/>
              </w:rPr>
              <w:fldChar w:fldCharType="separate"/>
            </w:r>
            <w:r>
              <w:rPr>
                <w:noProof/>
                <w:webHidden/>
              </w:rPr>
              <w:t>11</w:t>
            </w:r>
            <w:r>
              <w:rPr>
                <w:noProof/>
                <w:webHidden/>
              </w:rPr>
              <w:fldChar w:fldCharType="end"/>
            </w:r>
          </w:hyperlink>
        </w:p>
        <w:p w14:paraId="7E3A9DED" w14:textId="606BADB8" w:rsidR="00DF7895" w:rsidRDefault="00DF7895" w:rsidP="00DD401C">
          <w:pPr>
            <w:spacing w:line="360" w:lineRule="auto"/>
          </w:pPr>
          <w:r>
            <w:rPr>
              <w:b/>
              <w:bCs/>
              <w:noProof/>
            </w:rPr>
            <w:fldChar w:fldCharType="end"/>
          </w:r>
        </w:p>
      </w:sdtContent>
    </w:sdt>
    <w:p w14:paraId="50BC7501" w14:textId="77777777" w:rsidR="00DF7895" w:rsidRDefault="00DF7895">
      <w:pPr>
        <w:rPr>
          <w:rFonts w:asciiTheme="majorHAnsi" w:eastAsiaTheme="majorEastAsia" w:hAnsiTheme="majorHAnsi" w:cstheme="majorBidi"/>
          <w:color w:val="0F4761" w:themeColor="accent1" w:themeShade="BF"/>
          <w:sz w:val="40"/>
          <w:szCs w:val="40"/>
        </w:rPr>
      </w:pPr>
      <w:r>
        <w:br w:type="page"/>
      </w:r>
    </w:p>
    <w:p w14:paraId="5EADE2BA" w14:textId="58EB2A23" w:rsidR="009E0D7B" w:rsidRPr="009E0D7B" w:rsidRDefault="009E0D7B" w:rsidP="009E0D7B">
      <w:pPr>
        <w:pStyle w:val="Heading1"/>
      </w:pPr>
      <w:bookmarkStart w:id="0" w:name="_Toc224611267"/>
      <w:r w:rsidRPr="009E0D7B">
        <w:lastRenderedPageBreak/>
        <w:t>Abstract</w:t>
      </w:r>
      <w:bookmarkEnd w:id="0"/>
      <w:r w:rsidRPr="009E0D7B">
        <w:t xml:space="preserve"> </w:t>
      </w:r>
    </w:p>
    <w:p w14:paraId="65EF68D0" w14:textId="4141F3AD" w:rsidR="009E0D7B" w:rsidRPr="009E0D7B" w:rsidRDefault="00D77498" w:rsidP="009E0D7B">
      <w:pPr>
        <w:spacing w:line="360" w:lineRule="auto"/>
        <w:jc w:val="both"/>
        <w:rPr>
          <w:rFonts w:ascii="Arial" w:hAnsi="Arial"/>
        </w:rPr>
      </w:pPr>
      <w:r w:rsidRPr="00D77498">
        <w:rPr>
          <w:rFonts w:ascii="Arial" w:hAnsi="Arial"/>
        </w:rPr>
        <w:t>Person-centred care (PCC) is a key principle in health and social care that focuses on respecting individuals’ needs, preferences, and values while promoting dignity, independence, and participation in decision-making. Partnership working (PW) refers to collaboration between professionals, organisations, service users, and families to deliver coordinated and effective care. This report evaluates the importance of PCC and PW within a health and social care setting and examines how they work together to improve care outcomes. Maslow’s Hierarchy of Needs is used as the main theory to explain how meeting individuals’ physical, psychological, and social needs supports person-centred practice. The report also analyses ethical principles, relevant legislation, and policies that guide practice in the UK. The findings highlight that effective communication, collaborative practice, and supportive policy frameworks strengthen PCC and PW. Recommendations include improved professional training, better use of technology, and stronger inter-agency collaboration to enhance person-centred service delivery.</w:t>
      </w:r>
    </w:p>
    <w:p w14:paraId="2C94E72E" w14:textId="3877B37E" w:rsidR="009E0D7B" w:rsidRPr="009E0D7B" w:rsidRDefault="009E0D7B" w:rsidP="009E0D7B">
      <w:pPr>
        <w:pStyle w:val="Heading1"/>
      </w:pPr>
      <w:bookmarkStart w:id="1" w:name="_Toc224611268"/>
      <w:r w:rsidRPr="009E0D7B">
        <w:t>Introduction</w:t>
      </w:r>
      <w:bookmarkEnd w:id="1"/>
      <w:r w:rsidRPr="009E0D7B">
        <w:t xml:space="preserve"> </w:t>
      </w:r>
    </w:p>
    <w:p w14:paraId="67758D9A" w14:textId="77777777" w:rsidR="009E0D7B" w:rsidRPr="009E0D7B" w:rsidRDefault="009E0D7B" w:rsidP="009E0D7B">
      <w:pPr>
        <w:spacing w:line="360" w:lineRule="auto"/>
        <w:jc w:val="both"/>
        <w:rPr>
          <w:rFonts w:ascii="Arial" w:hAnsi="Arial"/>
        </w:rPr>
      </w:pPr>
    </w:p>
    <w:p w14:paraId="419AD047" w14:textId="77777777" w:rsidR="00D77498" w:rsidRPr="00D77498" w:rsidRDefault="00D77498" w:rsidP="00D77498">
      <w:pPr>
        <w:spacing w:line="360" w:lineRule="auto"/>
        <w:jc w:val="both"/>
        <w:rPr>
          <w:rFonts w:ascii="Arial" w:hAnsi="Arial"/>
        </w:rPr>
      </w:pPr>
      <w:r w:rsidRPr="00D77498">
        <w:rPr>
          <w:rFonts w:ascii="Arial" w:hAnsi="Arial"/>
        </w:rPr>
        <w:t xml:space="preserve">Person-centred care (PCC) is an approach in health and social care that focuses on understanding and respecting </w:t>
      </w:r>
      <w:proofErr w:type="gramStart"/>
      <w:r w:rsidRPr="00D77498">
        <w:rPr>
          <w:rFonts w:ascii="Arial" w:hAnsi="Arial"/>
        </w:rPr>
        <w:t>each individual’s</w:t>
      </w:r>
      <w:proofErr w:type="gramEnd"/>
      <w:r w:rsidRPr="00D77498">
        <w:rPr>
          <w:rFonts w:ascii="Arial" w:hAnsi="Arial"/>
        </w:rPr>
        <w:t xml:space="preserve"> needs, preferences, and values when delivering care and support. It emphasises dignity, independence, choice, and active involvement of service users in decision-making (NHS England, 2023). Partnership working (PW) refers to collaboration between professionals, organisations, service users, and families to ensure coordinated and effective care. Effective partnership working improves communication, resource sharing, and the </w:t>
      </w:r>
      <w:proofErr w:type="gramStart"/>
      <w:r w:rsidRPr="00D77498">
        <w:rPr>
          <w:rFonts w:ascii="Arial" w:hAnsi="Arial"/>
        </w:rPr>
        <w:t>quality of service</w:t>
      </w:r>
      <w:proofErr w:type="gramEnd"/>
      <w:r w:rsidRPr="00D77498">
        <w:rPr>
          <w:rFonts w:ascii="Arial" w:hAnsi="Arial"/>
        </w:rPr>
        <w:t xml:space="preserve"> delivery across health and social care systems (Glasby and Dickinson, 2021).</w:t>
      </w:r>
    </w:p>
    <w:p w14:paraId="6B3512A6" w14:textId="77777777" w:rsidR="00D77498" w:rsidRPr="00D77498" w:rsidRDefault="00D77498" w:rsidP="00D77498">
      <w:pPr>
        <w:spacing w:line="360" w:lineRule="auto"/>
        <w:jc w:val="both"/>
        <w:rPr>
          <w:rFonts w:ascii="Arial" w:hAnsi="Arial"/>
        </w:rPr>
      </w:pPr>
      <w:r w:rsidRPr="00D77498">
        <w:rPr>
          <w:rFonts w:ascii="Arial" w:hAnsi="Arial"/>
        </w:rPr>
        <w:t>The purpose of this report is to evaluate the role of PCC and PW in health and social care practice and to examine how they work together to improve care outcomes. The report focuses on a hospital setting, where multidisciplinary teams collaborate to meet patient needs. It will define PCC, explore Maslow’s Hierarchy of Needs, analyse ethical principles, evaluate partnership working, examine relevant legislation and policies, and provide recommendations for future practice.</w:t>
      </w:r>
    </w:p>
    <w:p w14:paraId="1BA3FC71" w14:textId="70CC9103" w:rsidR="009E0D7B" w:rsidRPr="009E0D7B" w:rsidRDefault="009E0D7B" w:rsidP="00A12096">
      <w:pPr>
        <w:pStyle w:val="Heading1"/>
      </w:pPr>
      <w:bookmarkStart w:id="2" w:name="_Toc224611269"/>
      <w:r w:rsidRPr="009E0D7B">
        <w:lastRenderedPageBreak/>
        <w:t>Person-Centred Care: Definition, Benefits and Limitations</w:t>
      </w:r>
      <w:bookmarkEnd w:id="2"/>
    </w:p>
    <w:p w14:paraId="7D182D79" w14:textId="77777777" w:rsidR="009E0D7B" w:rsidRPr="009E0D7B" w:rsidRDefault="009E0D7B" w:rsidP="009E0D7B">
      <w:pPr>
        <w:spacing w:line="360" w:lineRule="auto"/>
        <w:jc w:val="both"/>
        <w:rPr>
          <w:rFonts w:ascii="Arial" w:hAnsi="Arial"/>
        </w:rPr>
      </w:pPr>
    </w:p>
    <w:p w14:paraId="4AE534BE" w14:textId="77777777" w:rsidR="00D77498" w:rsidRPr="00D77498" w:rsidRDefault="00D77498" w:rsidP="00D77498">
      <w:pPr>
        <w:spacing w:line="360" w:lineRule="auto"/>
        <w:jc w:val="both"/>
        <w:rPr>
          <w:rFonts w:ascii="Arial" w:hAnsi="Arial"/>
        </w:rPr>
      </w:pPr>
      <w:r w:rsidRPr="00D77498">
        <w:rPr>
          <w:rFonts w:ascii="Arial" w:hAnsi="Arial"/>
        </w:rPr>
        <w:t>Person-centred care (PCC) is a fundamental approach in health and social care that focuses on providing care that respects and responds to the individual needs, values, and preferences of service users. It emphasises that individuals should be treated as partners in their own care rather than passive recipients of services (NHS England, 2023). PCC aims to ensure that care is tailored to each person’s circumstances, enabling them to maintain dignity, independence, and control over decisions affecting their health and wellbeing (Santana et al., 2020).</w:t>
      </w:r>
    </w:p>
    <w:p w14:paraId="56254313" w14:textId="77777777" w:rsidR="00D77498" w:rsidRPr="00D77498" w:rsidRDefault="00D77498" w:rsidP="00D77498">
      <w:pPr>
        <w:spacing w:line="360" w:lineRule="auto"/>
        <w:jc w:val="both"/>
        <w:rPr>
          <w:rFonts w:ascii="Arial" w:hAnsi="Arial"/>
        </w:rPr>
      </w:pPr>
      <w:r w:rsidRPr="00D77498">
        <w:rPr>
          <w:rFonts w:ascii="Arial" w:hAnsi="Arial"/>
        </w:rPr>
        <w:t>Several key principles underpin PCC. These include respect, dignity, individuality, and empowerment. Respect involves recognising the rights, beliefs, and cultural backgrounds of service users. Dignity means treating individuals with compassion and valuing their privacy and personal choices. Individuality recognises that each person has unique needs and experiences, which should shape the care they receive. Empowerment encourages service users to participate actively in decisions about their treatment and support, helping them to feel confident and involved in their own care planning (Morgan and Yoder, 2021).</w:t>
      </w:r>
    </w:p>
    <w:p w14:paraId="6E8B18E0" w14:textId="77777777" w:rsidR="00D77498" w:rsidRPr="00D77498" w:rsidRDefault="00D77498" w:rsidP="00D77498">
      <w:pPr>
        <w:spacing w:line="360" w:lineRule="auto"/>
        <w:jc w:val="both"/>
        <w:rPr>
          <w:rFonts w:ascii="Arial" w:hAnsi="Arial"/>
        </w:rPr>
      </w:pPr>
      <w:r w:rsidRPr="00D77498">
        <w:rPr>
          <w:rFonts w:ascii="Arial" w:hAnsi="Arial"/>
        </w:rPr>
        <w:t>PCC provides several benefits for both service users and healthcare professionals. One major benefit is improved patient satisfaction, as individuals feel respected and listened to when their preferences are considered in care decisions. Another advantage is better health outcomes, because personalised care plans often lead to improved treatment adherence and recovery (Santana et al., 2020). PCC also encourages greater patient involvement, allowing individuals to take an active role in managing their health conditions. In a hospital setting, this can include involving patients in discussions about treatment options, discharge planning, and rehabilitation goals, which can enhance communication and trust between patients and healthcare professionals.</w:t>
      </w:r>
    </w:p>
    <w:p w14:paraId="69463592" w14:textId="77777777" w:rsidR="00D77498" w:rsidRPr="00D77498" w:rsidRDefault="00D77498" w:rsidP="00D77498">
      <w:pPr>
        <w:spacing w:line="360" w:lineRule="auto"/>
        <w:jc w:val="both"/>
        <w:rPr>
          <w:rFonts w:ascii="Arial" w:hAnsi="Arial"/>
        </w:rPr>
      </w:pPr>
      <w:r w:rsidRPr="00D77498">
        <w:rPr>
          <w:rFonts w:ascii="Arial" w:hAnsi="Arial"/>
        </w:rPr>
        <w:t xml:space="preserve">Despite its advantages, PCC also faces several limitations in practice. One challenge is increased staff workload, as personalised care requires more time for communication, assessment, and care planning. Another limitation is the lack of </w:t>
      </w:r>
      <w:r w:rsidRPr="00D77498">
        <w:rPr>
          <w:rFonts w:ascii="Arial" w:hAnsi="Arial"/>
        </w:rPr>
        <w:lastRenderedPageBreak/>
        <w:t>resources, including insufficient staffing levels and limited funding within healthcare organisations (Glasby and Dickinson, 2021). Additionally, organisational barriers, such as rigid procedures and poor interprofessional communication, can make it difficult to fully implement PCC in hospital environments. Therefore, while PCC has clear benefits, its successful implementation depends on adequate resources, effective leadership, and supportive organisational structures.</w:t>
      </w:r>
    </w:p>
    <w:p w14:paraId="52067C60" w14:textId="77777777" w:rsidR="009E0D7B" w:rsidRPr="009E0D7B" w:rsidRDefault="009E0D7B" w:rsidP="009E0D7B">
      <w:pPr>
        <w:spacing w:line="360" w:lineRule="auto"/>
        <w:jc w:val="both"/>
        <w:rPr>
          <w:rFonts w:ascii="Arial" w:hAnsi="Arial"/>
        </w:rPr>
      </w:pPr>
    </w:p>
    <w:p w14:paraId="35AD6D62" w14:textId="0768FC15" w:rsidR="00D77498" w:rsidRPr="00D77498" w:rsidRDefault="00D77498" w:rsidP="00D77498">
      <w:pPr>
        <w:pStyle w:val="Heading1"/>
      </w:pPr>
      <w:bookmarkStart w:id="3" w:name="_Toc224611270"/>
      <w:r w:rsidRPr="00D77498">
        <w:t>Relevant Theory Supporting Person-Centred Care: Maslow’s Hierarchy of Needs</w:t>
      </w:r>
      <w:bookmarkEnd w:id="3"/>
      <w:r w:rsidRPr="00D77498">
        <w:t xml:space="preserve"> </w:t>
      </w:r>
    </w:p>
    <w:p w14:paraId="15F2E18C" w14:textId="77777777" w:rsidR="00C53B95" w:rsidRDefault="00D77498" w:rsidP="00D77498">
      <w:pPr>
        <w:spacing w:line="360" w:lineRule="auto"/>
        <w:jc w:val="both"/>
        <w:rPr>
          <w:rFonts w:ascii="Arial" w:hAnsi="Arial"/>
        </w:rPr>
      </w:pPr>
      <w:r w:rsidRPr="00D77498">
        <w:rPr>
          <w:rFonts w:ascii="Arial" w:hAnsi="Arial"/>
        </w:rPr>
        <w:t xml:space="preserve">Maslow’s Hierarchy of Needs is a psychological theory developed by Abraham Maslow that explains human motivation through a five-level hierarchy of needs. </w:t>
      </w:r>
    </w:p>
    <w:p w14:paraId="694D9A01" w14:textId="77777777" w:rsidR="00C53B95" w:rsidRDefault="00C53B95" w:rsidP="00C53B95">
      <w:pPr>
        <w:keepNext/>
        <w:spacing w:line="360" w:lineRule="auto"/>
        <w:jc w:val="both"/>
      </w:pPr>
      <w:r>
        <w:rPr>
          <w:noProof/>
        </w:rPr>
        <w:drawing>
          <wp:inline distT="0" distB="0" distL="0" distR="0" wp14:anchorId="6E4088B6" wp14:editId="72C628CC">
            <wp:extent cx="5731510" cy="4687570"/>
            <wp:effectExtent l="0" t="0" r="2540" b="0"/>
            <wp:docPr id="763214276" name="Picture 2" descr="The image depicts a colorful, triangular pyramid illustrating various levels of Maslow's hierarchy of needs, starting with physiological needs at the base, followed by safety, love and belonging, and self-este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214276" name="Picture 2" descr="The image depicts a colorful, triangular pyramid illustrating various levels of Maslow's hierarchy of needs, starting with physiological needs at the base, followed by safety, love and belonging, and self-esteem.&#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687570"/>
                    </a:xfrm>
                    <a:prstGeom prst="rect">
                      <a:avLst/>
                    </a:prstGeom>
                    <a:noFill/>
                    <a:ln>
                      <a:noFill/>
                    </a:ln>
                  </pic:spPr>
                </pic:pic>
              </a:graphicData>
            </a:graphic>
          </wp:inline>
        </w:drawing>
      </w:r>
    </w:p>
    <w:p w14:paraId="611A08AE" w14:textId="5796EB8C" w:rsidR="00C53B95" w:rsidRPr="00C53B95" w:rsidRDefault="00C53B95" w:rsidP="00C53B95">
      <w:pPr>
        <w:pStyle w:val="Caption"/>
        <w:jc w:val="both"/>
        <w:rPr>
          <w:sz w:val="22"/>
          <w:szCs w:val="22"/>
        </w:rPr>
      </w:pPr>
      <w:r w:rsidRPr="00C53B95">
        <w:rPr>
          <w:sz w:val="22"/>
          <w:szCs w:val="22"/>
        </w:rPr>
        <w:t xml:space="preserve">Figure </w:t>
      </w:r>
      <w:r w:rsidRPr="00C53B95">
        <w:rPr>
          <w:sz w:val="22"/>
          <w:szCs w:val="22"/>
        </w:rPr>
        <w:fldChar w:fldCharType="begin"/>
      </w:r>
      <w:r w:rsidRPr="00C53B95">
        <w:rPr>
          <w:sz w:val="22"/>
          <w:szCs w:val="22"/>
        </w:rPr>
        <w:instrText xml:space="preserve"> SEQ Figure \* ARABIC </w:instrText>
      </w:r>
      <w:r w:rsidRPr="00C53B95">
        <w:rPr>
          <w:sz w:val="22"/>
          <w:szCs w:val="22"/>
        </w:rPr>
        <w:fldChar w:fldCharType="separate"/>
      </w:r>
      <w:r w:rsidR="00785743">
        <w:rPr>
          <w:noProof/>
          <w:sz w:val="22"/>
          <w:szCs w:val="22"/>
        </w:rPr>
        <w:t>1</w:t>
      </w:r>
      <w:r w:rsidRPr="00C53B95">
        <w:rPr>
          <w:sz w:val="22"/>
          <w:szCs w:val="22"/>
        </w:rPr>
        <w:fldChar w:fldCharType="end"/>
      </w:r>
      <w:r w:rsidRPr="00C53B95">
        <w:rPr>
          <w:sz w:val="22"/>
          <w:szCs w:val="22"/>
        </w:rPr>
        <w:t>:Maslow’s Hierarchy of Needs (Maslow, 1943).</w:t>
      </w:r>
    </w:p>
    <w:p w14:paraId="594A2822" w14:textId="7AC817FF" w:rsidR="00D77498" w:rsidRPr="00D77498" w:rsidRDefault="00D77498" w:rsidP="00D77498">
      <w:pPr>
        <w:spacing w:line="360" w:lineRule="auto"/>
        <w:jc w:val="both"/>
        <w:rPr>
          <w:rFonts w:ascii="Arial" w:hAnsi="Arial"/>
        </w:rPr>
      </w:pPr>
      <w:r w:rsidRPr="00D77498">
        <w:rPr>
          <w:rFonts w:ascii="Arial" w:hAnsi="Arial"/>
        </w:rPr>
        <w:lastRenderedPageBreak/>
        <w:t>These needs include physiological needs, safety needs, love and belonging, esteem, and self-actualisation. According to the theory, basic needs such as food, shelter, and safety must be satisfied before individuals can focus on higher-level needs like confidence, independence, and personal growth (Maslow, 2020). In health and social care, this theory helps professionals understand that individuals require both physical and psychological support to achieve wellbeing.</w:t>
      </w:r>
    </w:p>
    <w:p w14:paraId="0CF290E6" w14:textId="77777777" w:rsidR="00D77498" w:rsidRPr="00D77498" w:rsidRDefault="00D77498" w:rsidP="00D77498">
      <w:pPr>
        <w:spacing w:line="360" w:lineRule="auto"/>
        <w:jc w:val="both"/>
        <w:rPr>
          <w:rFonts w:ascii="Arial" w:hAnsi="Arial"/>
        </w:rPr>
      </w:pPr>
      <w:r w:rsidRPr="00D77498">
        <w:rPr>
          <w:rFonts w:ascii="Arial" w:hAnsi="Arial"/>
        </w:rPr>
        <w:t>Maslow’s theory strongly supports the principles of person-centred care (PCC) because it highlights the importance of understanding the whole person rather than only treating a medical condition. PCC aims to respect individuals’ needs, preferences, and values, which aligns with Maslow’s idea that people have different levels of needs that must be addressed to support wellbeing (Morgan and Yoder, 2021). For example, healthcare professionals must ensure that patients’ basic needs, such as pain management, nutrition, and safety, are met before focusing on emotional support, social interaction, and recovery goals.</w:t>
      </w:r>
    </w:p>
    <w:p w14:paraId="50AD7449" w14:textId="77777777" w:rsidR="00D77498" w:rsidRPr="00D77498" w:rsidRDefault="00D77498" w:rsidP="00D77498">
      <w:pPr>
        <w:spacing w:line="360" w:lineRule="auto"/>
        <w:jc w:val="both"/>
        <w:rPr>
          <w:rFonts w:ascii="Arial" w:hAnsi="Arial"/>
        </w:rPr>
      </w:pPr>
      <w:r w:rsidRPr="00D77498">
        <w:rPr>
          <w:rFonts w:ascii="Arial" w:hAnsi="Arial"/>
        </w:rPr>
        <w:t>In a hospital setting, Maslow’s hierarchy can guide healthcare professionals when planning patient care. Nurses and other practitioners first ensure that patients’ physiological needs are met, such as providing medication, food, and rest. Next, they focus on safety through infection control, monitoring health conditions, and protecting patient wellbeing. Higher-level needs can then be addressed by encouraging family involvement, supporting emotional wellbeing, and empowering patients to participate in decisions about their treatment (Santana et al., 2020).</w:t>
      </w:r>
    </w:p>
    <w:p w14:paraId="2952FF38" w14:textId="77777777" w:rsidR="00D77498" w:rsidRPr="00D77498" w:rsidRDefault="00D77498" w:rsidP="00D77498">
      <w:pPr>
        <w:spacing w:line="360" w:lineRule="auto"/>
        <w:jc w:val="both"/>
        <w:rPr>
          <w:rFonts w:ascii="Arial" w:hAnsi="Arial"/>
        </w:rPr>
      </w:pPr>
      <w:r w:rsidRPr="00D77498">
        <w:rPr>
          <w:rFonts w:ascii="Arial" w:hAnsi="Arial"/>
        </w:rPr>
        <w:t>However, Maslow’s theory also has limitations. The hierarchy suggests that needs must be fulfilled in a fixed order, but in real life individuals may experience several needs at the same time. Additionally, cultural differences may influence how people prioritise their needs (Taormina and Gao, 2022). Despite these limitations, Maslow’s theory remains useful because it provides a clear framework that helps healthcare professionals understand holistic care and supports the implementation of person-centred care in practice.</w:t>
      </w:r>
    </w:p>
    <w:p w14:paraId="3E296334" w14:textId="77777777" w:rsidR="00C53B95" w:rsidRDefault="00C53B95">
      <w:pPr>
        <w:rPr>
          <w:rFonts w:asciiTheme="majorHAnsi" w:eastAsiaTheme="majorEastAsia" w:hAnsiTheme="majorHAnsi" w:cstheme="majorBidi"/>
          <w:color w:val="0F4761" w:themeColor="accent1" w:themeShade="BF"/>
          <w:sz w:val="40"/>
          <w:szCs w:val="40"/>
        </w:rPr>
      </w:pPr>
      <w:bookmarkStart w:id="4" w:name="_Toc224611271"/>
      <w:r>
        <w:br w:type="page"/>
      </w:r>
    </w:p>
    <w:p w14:paraId="180C4F36" w14:textId="05699297" w:rsidR="009E0D7B" w:rsidRPr="009E0D7B" w:rsidRDefault="009E0D7B" w:rsidP="009E0D7B">
      <w:pPr>
        <w:pStyle w:val="Heading1"/>
      </w:pPr>
      <w:r w:rsidRPr="009E0D7B">
        <w:lastRenderedPageBreak/>
        <w:t>Ethical Fundamentals in Health and Social Care</w:t>
      </w:r>
      <w:bookmarkEnd w:id="4"/>
    </w:p>
    <w:p w14:paraId="2B4798B2" w14:textId="77777777" w:rsidR="009E0D7B" w:rsidRPr="00D77498" w:rsidRDefault="009E0D7B" w:rsidP="009E0D7B">
      <w:pPr>
        <w:spacing w:line="360" w:lineRule="auto"/>
        <w:jc w:val="both"/>
        <w:rPr>
          <w:rFonts w:ascii="Arial" w:hAnsi="Arial"/>
        </w:rPr>
      </w:pPr>
    </w:p>
    <w:p w14:paraId="6187F0AA" w14:textId="77777777" w:rsidR="00D77498" w:rsidRPr="00D77498" w:rsidRDefault="00D77498" w:rsidP="00D77498">
      <w:pPr>
        <w:spacing w:line="360" w:lineRule="auto"/>
        <w:jc w:val="both"/>
        <w:rPr>
          <w:rFonts w:ascii="Arial" w:hAnsi="Arial"/>
        </w:rPr>
      </w:pPr>
      <w:r w:rsidRPr="00D77498">
        <w:rPr>
          <w:rFonts w:ascii="Arial" w:hAnsi="Arial"/>
        </w:rPr>
        <w:t>Ethical principles play an important role in guiding professional practice in health and social care. Ethical decision-making helps professionals provide safe, fair, and respectful care while protecting the rights and wellbeing of service users. Four key ethical principles commonly used in healthcare are autonomy, beneficence, non-maleficence, and justice (Beauchamp and Childress, 2019). These principles support person-centred care by ensuring that individuals are treated with dignity and respect while receiving appropriate care.</w:t>
      </w:r>
    </w:p>
    <w:p w14:paraId="37288E63" w14:textId="77777777" w:rsidR="00D77498" w:rsidRPr="00D77498" w:rsidRDefault="00D77498" w:rsidP="00D77498">
      <w:pPr>
        <w:spacing w:line="360" w:lineRule="auto"/>
        <w:jc w:val="both"/>
        <w:rPr>
          <w:rFonts w:ascii="Arial" w:hAnsi="Arial"/>
        </w:rPr>
      </w:pPr>
      <w:r w:rsidRPr="00D77498">
        <w:rPr>
          <w:rFonts w:ascii="Arial" w:hAnsi="Arial"/>
        </w:rPr>
        <w:t>Autonomy refers to respecting a patient’s right to make decisions about their own care and treatment. In a hospital setting, this means healthcare professionals must provide clear information and allow patients to give informed consent before treatment. Respecting autonomy supports person-centred care because it encourages patients to actively participate in decisions about their health (NHS England, 2023).</w:t>
      </w:r>
    </w:p>
    <w:p w14:paraId="29EB43A2" w14:textId="77777777" w:rsidR="00D77498" w:rsidRPr="00D77498" w:rsidRDefault="00D77498" w:rsidP="00D77498">
      <w:pPr>
        <w:spacing w:line="360" w:lineRule="auto"/>
        <w:jc w:val="both"/>
        <w:rPr>
          <w:rFonts w:ascii="Arial" w:hAnsi="Arial"/>
        </w:rPr>
      </w:pPr>
      <w:r w:rsidRPr="00D77498">
        <w:rPr>
          <w:rFonts w:ascii="Arial" w:hAnsi="Arial"/>
        </w:rPr>
        <w:t>Beneficence means acting in the best interest of the patient and promoting their wellbeing. Healthcare professionals aim to provide treatments that improve health and quality of life. Closely related to this is non-maleficence, which means avoiding harm to patients. For example, doctors and nurses must carefully assess treatments to ensure that the benefits outweigh potential risks (Haddad and Geiger, 2022).</w:t>
      </w:r>
    </w:p>
    <w:p w14:paraId="418E6542" w14:textId="23DA81A8" w:rsidR="00D77498" w:rsidRPr="00D77498" w:rsidRDefault="00D77498" w:rsidP="00D77498">
      <w:pPr>
        <w:spacing w:line="360" w:lineRule="auto"/>
        <w:jc w:val="both"/>
        <w:rPr>
          <w:rFonts w:ascii="Arial" w:hAnsi="Arial"/>
        </w:rPr>
      </w:pPr>
      <w:r w:rsidRPr="00D77498">
        <w:rPr>
          <w:rFonts w:ascii="Arial" w:hAnsi="Arial"/>
        </w:rPr>
        <w:t xml:space="preserve">Justice refers to fairness and equality in healthcare, ensuring that individuals receive appropriate care regardless of their background, age, or socioeconomic status. In hospitals, this </w:t>
      </w:r>
      <w:r w:rsidR="00293074" w:rsidRPr="00D77498">
        <w:rPr>
          <w:rFonts w:ascii="Arial" w:hAnsi="Arial"/>
        </w:rPr>
        <w:t>principal</w:t>
      </w:r>
      <w:r w:rsidRPr="00D77498">
        <w:rPr>
          <w:rFonts w:ascii="Arial" w:hAnsi="Arial"/>
        </w:rPr>
        <w:t xml:space="preserve"> guides decisions about access to services, allocation of resources, and equal treatment of patients.</w:t>
      </w:r>
    </w:p>
    <w:p w14:paraId="0ECF72CA" w14:textId="77777777" w:rsidR="00D77498" w:rsidRPr="00D77498" w:rsidRDefault="00D77498" w:rsidP="00D77498">
      <w:pPr>
        <w:spacing w:line="360" w:lineRule="auto"/>
        <w:jc w:val="both"/>
        <w:rPr>
          <w:rFonts w:ascii="Arial" w:hAnsi="Arial"/>
        </w:rPr>
      </w:pPr>
      <w:r w:rsidRPr="00D77498">
        <w:rPr>
          <w:rFonts w:ascii="Arial" w:hAnsi="Arial"/>
        </w:rPr>
        <w:t>However, ethical dilemmas can occur when these principles conflict. For example, a patient may refuse life-saving treatment due to personal beliefs. Healthcare professionals must then balance respect for autonomy with the principle of beneficence. Different viewpoints may exist, as some professionals may prioritise patient choice, while others focus on preserving life. Therefore, ethical frameworks help professionals make balanced decisions while maintaining person-centred care.</w:t>
      </w:r>
    </w:p>
    <w:p w14:paraId="36F1FBFF" w14:textId="17AB1129" w:rsidR="009E0D7B" w:rsidRPr="00DF7895" w:rsidRDefault="009E0D7B" w:rsidP="009E0D7B">
      <w:pPr>
        <w:pStyle w:val="Heading1"/>
      </w:pPr>
      <w:bookmarkStart w:id="5" w:name="_Toc224611272"/>
      <w:r w:rsidRPr="00DF7895">
        <w:lastRenderedPageBreak/>
        <w:t>Evaluation of Partnership Working</w:t>
      </w:r>
      <w:bookmarkEnd w:id="5"/>
    </w:p>
    <w:p w14:paraId="7C5D4504" w14:textId="77777777" w:rsidR="009E0D7B" w:rsidRPr="00A12096" w:rsidRDefault="009E0D7B" w:rsidP="009E0D7B">
      <w:pPr>
        <w:spacing w:line="360" w:lineRule="auto"/>
        <w:jc w:val="both"/>
        <w:rPr>
          <w:rFonts w:ascii="Arial" w:hAnsi="Arial"/>
        </w:rPr>
      </w:pPr>
    </w:p>
    <w:p w14:paraId="3BEA36B6" w14:textId="27D72207" w:rsidR="00785743" w:rsidRDefault="0058108B" w:rsidP="00A12096">
      <w:pPr>
        <w:spacing w:line="360" w:lineRule="auto"/>
        <w:jc w:val="both"/>
        <w:rPr>
          <w:rFonts w:ascii="Arial" w:hAnsi="Arial"/>
        </w:rPr>
      </w:pPr>
      <w:r w:rsidRPr="0058108B">
        <w:rPr>
          <w:rFonts w:ascii="Arial" w:hAnsi="Arial"/>
        </w:rPr>
        <w:t>Partnership working in health and social care is the process of multiple professionals, organisations, service users, and families working collaboratively to ensure care is well-coordinated and effective.</w:t>
      </w:r>
      <w:r w:rsidR="00A12096" w:rsidRPr="00A12096">
        <w:rPr>
          <w:rFonts w:ascii="Arial" w:hAnsi="Arial"/>
        </w:rPr>
        <w:t xml:space="preserve"> </w:t>
      </w:r>
    </w:p>
    <w:p w14:paraId="41407C0C" w14:textId="77777777" w:rsidR="00785743" w:rsidRDefault="00785743" w:rsidP="00785743">
      <w:pPr>
        <w:keepNext/>
        <w:spacing w:line="360" w:lineRule="auto"/>
        <w:jc w:val="both"/>
      </w:pPr>
      <w:r>
        <w:rPr>
          <w:noProof/>
        </w:rPr>
        <w:drawing>
          <wp:inline distT="0" distB="0" distL="0" distR="0" wp14:anchorId="41487282" wp14:editId="042D95CA">
            <wp:extent cx="5731510" cy="4299585"/>
            <wp:effectExtent l="0" t="0" r="0" b="5715"/>
            <wp:docPr id="117047175" name="Picture 3" descr="Leading for outcomes: integrated working, Part one | Iri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ading for outcomes: integrated working, Part one | Iris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7356AABF" w14:textId="0B51C488" w:rsidR="00785743" w:rsidRPr="00785743" w:rsidRDefault="00785743" w:rsidP="00785743">
      <w:pPr>
        <w:pStyle w:val="Caption"/>
        <w:jc w:val="both"/>
        <w:rPr>
          <w:rFonts w:ascii="Arial" w:hAnsi="Arial"/>
          <w:sz w:val="22"/>
          <w:szCs w:val="22"/>
        </w:rPr>
      </w:pPr>
      <w:r w:rsidRPr="00785743">
        <w:rPr>
          <w:sz w:val="22"/>
          <w:szCs w:val="22"/>
        </w:rPr>
        <w:t>Figure 2: Key elements of effective partnership working in health and social care (Iriss, 2013).</w:t>
      </w:r>
    </w:p>
    <w:p w14:paraId="3765371B" w14:textId="63D812D0" w:rsidR="00A12096" w:rsidRPr="00A12096" w:rsidRDefault="00A12096" w:rsidP="00A12096">
      <w:pPr>
        <w:spacing w:line="360" w:lineRule="auto"/>
        <w:jc w:val="both"/>
        <w:rPr>
          <w:rFonts w:ascii="Arial" w:hAnsi="Arial"/>
        </w:rPr>
      </w:pPr>
      <w:r w:rsidRPr="00A12096">
        <w:rPr>
          <w:rFonts w:ascii="Arial" w:hAnsi="Arial"/>
        </w:rPr>
        <w:t>It involves sharing responsibilities, resources, and information to meet the complex needs of individuals. Partnership working is particularly important in modern healthcare systems where patients often require support from multiple services, such as doctors, nurses, social workers, and community organisations (Glasby and Dickinson, 2021).</w:t>
      </w:r>
    </w:p>
    <w:p w14:paraId="40FFD6FB" w14:textId="28B680E8" w:rsidR="00A12096" w:rsidRPr="00A12096" w:rsidRDefault="0058108B" w:rsidP="00A12096">
      <w:pPr>
        <w:spacing w:line="360" w:lineRule="auto"/>
        <w:jc w:val="both"/>
        <w:rPr>
          <w:rFonts w:ascii="Arial" w:hAnsi="Arial"/>
        </w:rPr>
      </w:pPr>
      <w:r w:rsidRPr="0058108B">
        <w:rPr>
          <w:rFonts w:ascii="Arial" w:hAnsi="Arial"/>
        </w:rPr>
        <w:t>Improved patient outcomes are a major benefit of partnership working, as collaboration between professionals from different disciplines supports the delivery of comprehensive and person-centred care.</w:t>
      </w:r>
      <w:r w:rsidR="00A12096" w:rsidRPr="00A12096">
        <w:rPr>
          <w:rFonts w:ascii="Arial" w:hAnsi="Arial"/>
        </w:rPr>
        <w:t xml:space="preserve"> For example, in a hospital setting, doctors, nurses, physiotherapists, and social workers may collaborate to develop a treatment </w:t>
      </w:r>
      <w:r w:rsidR="00A12096" w:rsidRPr="00A12096">
        <w:rPr>
          <w:rFonts w:ascii="Arial" w:hAnsi="Arial"/>
        </w:rPr>
        <w:lastRenderedPageBreak/>
        <w:t>and discharge plan for a patient. This coordinated approach ensures that both medical and social needs are addressed, which can improve recovery and reduce hospital readmissions (NHS England, 2023).</w:t>
      </w:r>
    </w:p>
    <w:p w14:paraId="31E742A9" w14:textId="77777777" w:rsidR="00A12096" w:rsidRPr="00A12096" w:rsidRDefault="00A12096" w:rsidP="00A12096">
      <w:pPr>
        <w:spacing w:line="360" w:lineRule="auto"/>
        <w:jc w:val="both"/>
        <w:rPr>
          <w:rFonts w:ascii="Arial" w:hAnsi="Arial"/>
        </w:rPr>
      </w:pPr>
      <w:r w:rsidRPr="00A12096">
        <w:rPr>
          <w:rFonts w:ascii="Arial" w:hAnsi="Arial"/>
        </w:rPr>
        <w:t>Another important benefit is better service coordination. Partnership working allows different organisations to share information and plan services together, which helps reduce duplication of work and delays in care. For example, effective communication between hospitals and community care services can ensure that patients receive appropriate support after discharge. Additionally, partnership working promotes shared expertise, as professionals with different skills and knowledge contribute to decision-making, leading to more informed and effective care planning (Care Quality Commission, 2025).</w:t>
      </w:r>
    </w:p>
    <w:p w14:paraId="0FF52151" w14:textId="77777777" w:rsidR="00A12096" w:rsidRPr="00A12096" w:rsidRDefault="00A12096" w:rsidP="00A12096">
      <w:pPr>
        <w:spacing w:line="360" w:lineRule="auto"/>
        <w:jc w:val="both"/>
        <w:rPr>
          <w:rFonts w:ascii="Arial" w:hAnsi="Arial"/>
        </w:rPr>
      </w:pPr>
      <w:r w:rsidRPr="00A12096">
        <w:rPr>
          <w:rFonts w:ascii="Arial" w:hAnsi="Arial"/>
        </w:rPr>
        <w:t>Despite these benefits, partnership working can also face several challenges. One common issue is communication barriers between organisations, which can result in delays or misunderstandings in patient care. Organisational differences, such as different priorities, policies, and working cultures, may also create difficulties in collaboration. Furthermore, resource limitations, including staff shortages and funding pressures, can reduce the ability of organisations to work together effectively (Glasby and Dickinson, 2021).</w:t>
      </w:r>
    </w:p>
    <w:p w14:paraId="4A0BE4AF" w14:textId="77777777" w:rsidR="00A12096" w:rsidRPr="00A12096" w:rsidRDefault="00A12096" w:rsidP="00A12096">
      <w:pPr>
        <w:spacing w:line="360" w:lineRule="auto"/>
        <w:jc w:val="both"/>
        <w:rPr>
          <w:rFonts w:ascii="Arial" w:hAnsi="Arial"/>
        </w:rPr>
      </w:pPr>
      <w:r w:rsidRPr="00A12096">
        <w:rPr>
          <w:rFonts w:ascii="Arial" w:hAnsi="Arial"/>
        </w:rPr>
        <w:t>To address these challenges, the UK health system has introduced Integrated Care Systems (ICS), which aim to improve collaboration between health and social care organisations. ICS encourage joint planning, shared decision-making, and integrated services to meet the needs of local populations (NHS England, 2022). In a hospital setting, ICS can improve service delivery by supporting stronger links between hospitals, community services, and social care providers. Overall, effective partnership working is essential for delivering coordinated, person-centred care and improving healthcare outcomes.</w:t>
      </w:r>
    </w:p>
    <w:p w14:paraId="4E9CFBB9" w14:textId="5737C1E8" w:rsidR="009E0D7B" w:rsidRPr="009E0D7B" w:rsidRDefault="009E0D7B" w:rsidP="009E0D7B">
      <w:pPr>
        <w:pStyle w:val="Heading1"/>
      </w:pPr>
      <w:bookmarkStart w:id="6" w:name="_Toc224611273"/>
      <w:r w:rsidRPr="009E0D7B">
        <w:t>Policy and Legislation</w:t>
      </w:r>
      <w:bookmarkEnd w:id="6"/>
    </w:p>
    <w:p w14:paraId="7771B72E" w14:textId="77777777" w:rsidR="009E0D7B" w:rsidRPr="009E0D7B" w:rsidRDefault="009E0D7B" w:rsidP="009E0D7B">
      <w:pPr>
        <w:spacing w:line="360" w:lineRule="auto"/>
        <w:jc w:val="both"/>
        <w:rPr>
          <w:rFonts w:ascii="Arial" w:hAnsi="Arial"/>
        </w:rPr>
      </w:pPr>
    </w:p>
    <w:p w14:paraId="39404182" w14:textId="77777777" w:rsidR="00C53B95" w:rsidRDefault="00A12096" w:rsidP="00A12096">
      <w:pPr>
        <w:spacing w:line="360" w:lineRule="auto"/>
        <w:jc w:val="both"/>
        <w:rPr>
          <w:rFonts w:ascii="Arial" w:hAnsi="Arial"/>
        </w:rPr>
      </w:pPr>
      <w:r w:rsidRPr="00A12096">
        <w:rPr>
          <w:rFonts w:ascii="Arial" w:hAnsi="Arial"/>
        </w:rPr>
        <w:t xml:space="preserve">Policies and legislation play an important role in guiding health and social care practice in the United Kingdom. </w:t>
      </w:r>
    </w:p>
    <w:tbl>
      <w:tblPr>
        <w:tblStyle w:val="GridTable4-Accent4"/>
        <w:tblW w:w="0" w:type="auto"/>
        <w:tblLook w:val="04A0" w:firstRow="1" w:lastRow="0" w:firstColumn="1" w:lastColumn="0" w:noHBand="0" w:noVBand="1"/>
      </w:tblPr>
      <w:tblGrid>
        <w:gridCol w:w="2965"/>
        <w:gridCol w:w="4926"/>
      </w:tblGrid>
      <w:tr w:rsidR="00C53B95" w:rsidRPr="00C53B95" w14:paraId="1AFC6194" w14:textId="77777777" w:rsidTr="00C53B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6B6233" w14:textId="77777777" w:rsidR="00C53B95" w:rsidRPr="00C53B95" w:rsidRDefault="00C53B95" w:rsidP="00C53B95">
            <w:pPr>
              <w:spacing w:after="160" w:line="360" w:lineRule="auto"/>
              <w:jc w:val="both"/>
              <w:rPr>
                <w:rFonts w:ascii="Arial" w:hAnsi="Arial"/>
              </w:rPr>
            </w:pPr>
            <w:r w:rsidRPr="00C53B95">
              <w:rPr>
                <w:rFonts w:ascii="Arial" w:hAnsi="Arial"/>
              </w:rPr>
              <w:lastRenderedPageBreak/>
              <w:t>Policy / Legislation</w:t>
            </w:r>
          </w:p>
        </w:tc>
        <w:tc>
          <w:tcPr>
            <w:tcW w:w="0" w:type="auto"/>
            <w:hideMark/>
          </w:tcPr>
          <w:p w14:paraId="3AA304D0" w14:textId="77777777" w:rsidR="00C53B95" w:rsidRPr="00C53B95" w:rsidRDefault="00C53B95" w:rsidP="00C53B9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C53B95">
              <w:rPr>
                <w:rFonts w:ascii="Arial" w:hAnsi="Arial"/>
              </w:rPr>
              <w:t>Purpose</w:t>
            </w:r>
          </w:p>
        </w:tc>
      </w:tr>
      <w:tr w:rsidR="00C53B95" w:rsidRPr="00C53B95" w14:paraId="670D7221" w14:textId="77777777" w:rsidTr="00C5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381F37" w14:textId="77777777" w:rsidR="00C53B95" w:rsidRPr="00C53B95" w:rsidRDefault="00C53B95" w:rsidP="00C53B95">
            <w:pPr>
              <w:spacing w:after="160" w:line="360" w:lineRule="auto"/>
              <w:jc w:val="both"/>
              <w:rPr>
                <w:rFonts w:ascii="Arial" w:hAnsi="Arial"/>
                <w:b w:val="0"/>
                <w:bCs w:val="0"/>
              </w:rPr>
            </w:pPr>
            <w:r w:rsidRPr="00C53B95">
              <w:rPr>
                <w:rFonts w:ascii="Arial" w:hAnsi="Arial"/>
                <w:b w:val="0"/>
                <w:bCs w:val="0"/>
              </w:rPr>
              <w:t>Health and Care Act 2022</w:t>
            </w:r>
          </w:p>
        </w:tc>
        <w:tc>
          <w:tcPr>
            <w:tcW w:w="0" w:type="auto"/>
            <w:hideMark/>
          </w:tcPr>
          <w:p w14:paraId="07126085" w14:textId="77777777" w:rsidR="00C53B95" w:rsidRPr="00C53B95" w:rsidRDefault="00C53B95" w:rsidP="00C53B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53B95">
              <w:rPr>
                <w:rFonts w:ascii="Arial" w:hAnsi="Arial"/>
              </w:rPr>
              <w:t>Promotes integrated care systems</w:t>
            </w:r>
          </w:p>
        </w:tc>
      </w:tr>
      <w:tr w:rsidR="00C53B95" w:rsidRPr="00C53B95" w14:paraId="33DAE230" w14:textId="77777777" w:rsidTr="00C53B95">
        <w:tc>
          <w:tcPr>
            <w:cnfStyle w:val="001000000000" w:firstRow="0" w:lastRow="0" w:firstColumn="1" w:lastColumn="0" w:oddVBand="0" w:evenVBand="0" w:oddHBand="0" w:evenHBand="0" w:firstRowFirstColumn="0" w:firstRowLastColumn="0" w:lastRowFirstColumn="0" w:lastRowLastColumn="0"/>
            <w:tcW w:w="0" w:type="auto"/>
            <w:hideMark/>
          </w:tcPr>
          <w:p w14:paraId="09E05573" w14:textId="77777777" w:rsidR="00C53B95" w:rsidRPr="00C53B95" w:rsidRDefault="00C53B95" w:rsidP="00C53B95">
            <w:pPr>
              <w:spacing w:after="160" w:line="360" w:lineRule="auto"/>
              <w:jc w:val="both"/>
              <w:rPr>
                <w:rFonts w:ascii="Arial" w:hAnsi="Arial"/>
                <w:b w:val="0"/>
                <w:bCs w:val="0"/>
              </w:rPr>
            </w:pPr>
            <w:r w:rsidRPr="00C53B95">
              <w:rPr>
                <w:rFonts w:ascii="Arial" w:hAnsi="Arial"/>
                <w:b w:val="0"/>
                <w:bCs w:val="0"/>
              </w:rPr>
              <w:t>Care Act 2014</w:t>
            </w:r>
          </w:p>
        </w:tc>
        <w:tc>
          <w:tcPr>
            <w:tcW w:w="0" w:type="auto"/>
            <w:hideMark/>
          </w:tcPr>
          <w:p w14:paraId="7E3AE11C" w14:textId="77777777" w:rsidR="00C53B95" w:rsidRPr="00C53B95" w:rsidRDefault="00C53B95" w:rsidP="00C53B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C53B95">
              <w:rPr>
                <w:rFonts w:ascii="Arial" w:hAnsi="Arial"/>
              </w:rPr>
              <w:t>Supports wellbeing and person-centred care</w:t>
            </w:r>
          </w:p>
        </w:tc>
      </w:tr>
      <w:tr w:rsidR="00C53B95" w:rsidRPr="00C53B95" w14:paraId="5A662ED4" w14:textId="77777777" w:rsidTr="00C5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241E61" w14:textId="77777777" w:rsidR="00C53B95" w:rsidRPr="00C53B95" w:rsidRDefault="00C53B95" w:rsidP="00C53B95">
            <w:pPr>
              <w:spacing w:after="160" w:line="360" w:lineRule="auto"/>
              <w:jc w:val="both"/>
              <w:rPr>
                <w:rFonts w:ascii="Arial" w:hAnsi="Arial"/>
                <w:b w:val="0"/>
                <w:bCs w:val="0"/>
              </w:rPr>
            </w:pPr>
            <w:r w:rsidRPr="00C53B95">
              <w:rPr>
                <w:rFonts w:ascii="Arial" w:hAnsi="Arial"/>
                <w:b w:val="0"/>
                <w:bCs w:val="0"/>
              </w:rPr>
              <w:t>Equality Act 2010</w:t>
            </w:r>
          </w:p>
        </w:tc>
        <w:tc>
          <w:tcPr>
            <w:tcW w:w="0" w:type="auto"/>
            <w:hideMark/>
          </w:tcPr>
          <w:p w14:paraId="57AE725D" w14:textId="77777777" w:rsidR="00C53B95" w:rsidRPr="00C53B95" w:rsidRDefault="00C53B95" w:rsidP="00C53B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53B95">
              <w:rPr>
                <w:rFonts w:ascii="Arial" w:hAnsi="Arial"/>
              </w:rPr>
              <w:t>Prevents discrimination</w:t>
            </w:r>
          </w:p>
        </w:tc>
      </w:tr>
      <w:tr w:rsidR="00C53B95" w:rsidRPr="00C53B95" w14:paraId="2C4D30C0" w14:textId="77777777" w:rsidTr="00C53B95">
        <w:tc>
          <w:tcPr>
            <w:cnfStyle w:val="001000000000" w:firstRow="0" w:lastRow="0" w:firstColumn="1" w:lastColumn="0" w:oddVBand="0" w:evenVBand="0" w:oddHBand="0" w:evenHBand="0" w:firstRowFirstColumn="0" w:firstRowLastColumn="0" w:lastRowFirstColumn="0" w:lastRowLastColumn="0"/>
            <w:tcW w:w="0" w:type="auto"/>
            <w:hideMark/>
          </w:tcPr>
          <w:p w14:paraId="1D1F5B13" w14:textId="77777777" w:rsidR="00C53B95" w:rsidRPr="00C53B95" w:rsidRDefault="00C53B95" w:rsidP="00C53B95">
            <w:pPr>
              <w:spacing w:after="160" w:line="360" w:lineRule="auto"/>
              <w:jc w:val="both"/>
              <w:rPr>
                <w:rFonts w:ascii="Arial" w:hAnsi="Arial"/>
                <w:b w:val="0"/>
                <w:bCs w:val="0"/>
              </w:rPr>
            </w:pPr>
            <w:r w:rsidRPr="00C53B95">
              <w:rPr>
                <w:rFonts w:ascii="Arial" w:hAnsi="Arial"/>
                <w:b w:val="0"/>
                <w:bCs w:val="0"/>
              </w:rPr>
              <w:t>Human Rights Act 1998</w:t>
            </w:r>
          </w:p>
        </w:tc>
        <w:tc>
          <w:tcPr>
            <w:tcW w:w="0" w:type="auto"/>
            <w:hideMark/>
          </w:tcPr>
          <w:p w14:paraId="56F5BC7F" w14:textId="77777777" w:rsidR="00C53B95" w:rsidRPr="00C53B95" w:rsidRDefault="00C53B95" w:rsidP="00C90EE9">
            <w:pPr>
              <w:keepNext/>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C53B95">
              <w:rPr>
                <w:rFonts w:ascii="Arial" w:hAnsi="Arial"/>
              </w:rPr>
              <w:t>Protects dignity and rights</w:t>
            </w:r>
          </w:p>
        </w:tc>
      </w:tr>
    </w:tbl>
    <w:p w14:paraId="23F0A8BF" w14:textId="12738F2F" w:rsidR="00C90EE9" w:rsidRPr="00C90EE9" w:rsidRDefault="00C90EE9">
      <w:pPr>
        <w:pStyle w:val="Caption"/>
        <w:rPr>
          <w:sz w:val="22"/>
          <w:szCs w:val="22"/>
        </w:rPr>
      </w:pPr>
      <w:r>
        <w:rPr>
          <w:sz w:val="22"/>
          <w:szCs w:val="22"/>
        </w:rPr>
        <w:t>Table</w:t>
      </w:r>
      <w:r w:rsidRPr="00C90EE9">
        <w:rPr>
          <w:sz w:val="22"/>
          <w:szCs w:val="22"/>
        </w:rPr>
        <w:t xml:space="preserve"> </w:t>
      </w:r>
      <w:r>
        <w:rPr>
          <w:sz w:val="22"/>
          <w:szCs w:val="22"/>
        </w:rPr>
        <w:t>1</w:t>
      </w:r>
      <w:r w:rsidRPr="00C90EE9">
        <w:rPr>
          <w:sz w:val="22"/>
          <w:szCs w:val="22"/>
        </w:rPr>
        <w:t>:</w:t>
      </w:r>
      <w:r>
        <w:rPr>
          <w:sz w:val="22"/>
          <w:szCs w:val="22"/>
        </w:rPr>
        <w:t xml:space="preserve"> </w:t>
      </w:r>
      <w:r w:rsidRPr="00C90EE9">
        <w:rPr>
          <w:sz w:val="22"/>
          <w:szCs w:val="22"/>
        </w:rPr>
        <w:t>Key UK policies and legislation supporting person-centred care and partnership working.</w:t>
      </w:r>
    </w:p>
    <w:p w14:paraId="60829874" w14:textId="54CF8C25" w:rsidR="00A12096" w:rsidRPr="00A12096" w:rsidRDefault="00A12096" w:rsidP="00A12096">
      <w:pPr>
        <w:spacing w:line="360" w:lineRule="auto"/>
        <w:jc w:val="both"/>
        <w:rPr>
          <w:rFonts w:ascii="Arial" w:hAnsi="Arial"/>
        </w:rPr>
      </w:pPr>
      <w:r w:rsidRPr="00A12096">
        <w:rPr>
          <w:rFonts w:ascii="Arial" w:hAnsi="Arial"/>
        </w:rPr>
        <w:t>These laws help ensure that services provide safe, fair, and person-centred care while encouraging partnership working between organisations. One key policy is the Health and Care Act 2022, which introduced Integrated Care Systems (ICS) to improve collaboration between health services, local authorities, and community organisations. This policy aims to strengthen partnership working and improve coordinated care for patients across different services (NHS England, 2022).</w:t>
      </w:r>
    </w:p>
    <w:p w14:paraId="0D1F80A5" w14:textId="77777777" w:rsidR="00A12096" w:rsidRPr="00A12096" w:rsidRDefault="00A12096" w:rsidP="00A12096">
      <w:pPr>
        <w:spacing w:line="360" w:lineRule="auto"/>
        <w:jc w:val="both"/>
        <w:rPr>
          <w:rFonts w:ascii="Arial" w:hAnsi="Arial"/>
        </w:rPr>
      </w:pPr>
      <w:r w:rsidRPr="00A12096">
        <w:rPr>
          <w:rFonts w:ascii="Arial" w:hAnsi="Arial"/>
        </w:rPr>
        <w:t>Another important law is the Health and Social Care Act 2012, which restructured the NHS and promoted integrated services to improve the quality and efficiency of healthcare delivery. It encourages organisations to work together to meet the needs of local populations (Glasby and Dickinson, 2021). The Care Act 2014 also supports person-centred care by emphasising wellbeing, independence, and the involvement of individuals in decisions about their care and support (Department of Health and Social Care, 2020).</w:t>
      </w:r>
    </w:p>
    <w:p w14:paraId="0C970001" w14:textId="72B1B368" w:rsidR="00A12096" w:rsidRPr="00A12096" w:rsidRDefault="007C3C9C" w:rsidP="00A12096">
      <w:pPr>
        <w:spacing w:line="360" w:lineRule="auto"/>
        <w:jc w:val="both"/>
        <w:rPr>
          <w:rFonts w:ascii="Arial" w:hAnsi="Arial"/>
        </w:rPr>
      </w:pPr>
      <w:r w:rsidRPr="007C3C9C">
        <w:rPr>
          <w:rFonts w:ascii="Arial" w:hAnsi="Arial"/>
        </w:rPr>
        <w:t xml:space="preserve">In addition, the Human Rights Act 1998 protects fundamental rights such as dignity, privacy, and respect, which are essential for person-centred care. The Act requires public bodies, including healthcare organisations, to respect and protect individuals’ human rights when delivering services (Equality and Human Rights Commission, 2023). </w:t>
      </w:r>
      <w:r w:rsidR="0058108B" w:rsidRPr="0058108B">
        <w:rPr>
          <w:rFonts w:ascii="Arial" w:hAnsi="Arial"/>
        </w:rPr>
        <w:t>Furthermore, the Equality Act 2010 protects individuals from discrimination and ensures equal and fair access to healthcare services.</w:t>
      </w:r>
      <w:r w:rsidRPr="007C3C9C">
        <w:rPr>
          <w:rFonts w:ascii="Arial" w:hAnsi="Arial"/>
        </w:rPr>
        <w:t xml:space="preserve"> (UK Government, 2024). The Act makes it unlawful to discriminate against individuals based on protected characteristics such as age, disability, gender, race, religion, or sexual orientation, ensuring equal access to services (Equality and Human Rights Commission, 2024). In a hospital setting, these laws guide professionals to deliver respectful, inclusive, and coordinated care while working collaboratively with other services.</w:t>
      </w:r>
    </w:p>
    <w:p w14:paraId="55288931" w14:textId="66D07FD5" w:rsidR="009E0D7B" w:rsidRPr="009E0D7B" w:rsidRDefault="009E0D7B" w:rsidP="009E0D7B">
      <w:pPr>
        <w:pStyle w:val="Heading1"/>
      </w:pPr>
      <w:bookmarkStart w:id="7" w:name="_Toc224611274"/>
      <w:r w:rsidRPr="009E0D7B">
        <w:lastRenderedPageBreak/>
        <w:t>Recommendations</w:t>
      </w:r>
      <w:bookmarkEnd w:id="7"/>
    </w:p>
    <w:p w14:paraId="0F2404BB" w14:textId="77777777" w:rsidR="009E0D7B" w:rsidRPr="00922CE1" w:rsidRDefault="009E0D7B" w:rsidP="009E0D7B">
      <w:pPr>
        <w:spacing w:line="360" w:lineRule="auto"/>
        <w:jc w:val="both"/>
        <w:rPr>
          <w:rFonts w:ascii="Arial" w:hAnsi="Arial"/>
        </w:rPr>
      </w:pPr>
    </w:p>
    <w:p w14:paraId="365E295E" w14:textId="3DC80494" w:rsidR="00A12096" w:rsidRPr="00A12096" w:rsidRDefault="00A12096" w:rsidP="00A12096">
      <w:pPr>
        <w:spacing w:line="360" w:lineRule="auto"/>
        <w:jc w:val="both"/>
        <w:rPr>
          <w:rFonts w:ascii="Arial" w:hAnsi="Arial"/>
        </w:rPr>
      </w:pPr>
      <w:r w:rsidRPr="00A12096">
        <w:rPr>
          <w:rFonts w:ascii="Arial" w:hAnsi="Arial"/>
        </w:rPr>
        <w:t xml:space="preserve">Several improvements can strengthen the implementation of person-centred care (PCC) and partnership working in health and social care settings. First, improved staff training is </w:t>
      </w:r>
      <w:r w:rsidR="00785743" w:rsidRPr="00A12096">
        <w:rPr>
          <w:rFonts w:ascii="Arial" w:hAnsi="Arial"/>
        </w:rPr>
        <w:t>essential,</w:t>
      </w:r>
      <w:r w:rsidRPr="00A12096">
        <w:rPr>
          <w:rFonts w:ascii="Arial" w:hAnsi="Arial"/>
        </w:rPr>
        <w:t xml:space="preserve"> so healthcare professionals develop stronger communication, cultural competence, and collaborative working skills. Training can help staff better understand patients’ needs and deliver personalised care (Santana et al., 2020). Second, </w:t>
      </w:r>
      <w:r w:rsidR="00824B64" w:rsidRPr="0058108B">
        <w:rPr>
          <w:rFonts w:ascii="Arial" w:hAnsi="Arial"/>
        </w:rPr>
        <w:t>implementing</w:t>
      </w:r>
      <w:r w:rsidR="0058108B" w:rsidRPr="0058108B">
        <w:rPr>
          <w:rFonts w:ascii="Arial" w:hAnsi="Arial"/>
        </w:rPr>
        <w:t xml:space="preserve"> digital healthcare technologies, including electronic health records, supports better information exchange between professionals and healthcare services</w:t>
      </w:r>
      <w:r w:rsidRPr="00A12096">
        <w:rPr>
          <w:rFonts w:ascii="Arial" w:hAnsi="Arial"/>
        </w:rPr>
        <w:t>, supporting more coordinated care (NHS England, 2023). Third, stronger collaboration between services, including hospitals, community care providers, and social services, can ensure smoother care transitions for patients. Finally, policy improvements that encourage integrated services and adequate funding can support effective partnership working.</w:t>
      </w:r>
    </w:p>
    <w:p w14:paraId="5565D6C9" w14:textId="77777777" w:rsidR="00A12096" w:rsidRPr="00A12096" w:rsidRDefault="00A12096" w:rsidP="00A12096">
      <w:pPr>
        <w:spacing w:line="360" w:lineRule="auto"/>
        <w:jc w:val="both"/>
        <w:rPr>
          <w:rFonts w:ascii="Arial" w:hAnsi="Arial"/>
        </w:rPr>
      </w:pPr>
      <w:r w:rsidRPr="00A12096">
        <w:rPr>
          <w:rFonts w:ascii="Arial" w:hAnsi="Arial"/>
        </w:rPr>
        <w:t>However, several barriers may affect implementation. These include staff shortages, limited financial resources, and resistance to organisational change, which may slow the adoption of new practices (Glasby and Dickinson, 2021).</w:t>
      </w:r>
    </w:p>
    <w:p w14:paraId="7603194F" w14:textId="603B4963" w:rsidR="009E0D7B" w:rsidRPr="009E0D7B" w:rsidRDefault="009E0D7B" w:rsidP="009E0D7B">
      <w:pPr>
        <w:pStyle w:val="Heading1"/>
      </w:pPr>
      <w:bookmarkStart w:id="8" w:name="_Toc224611275"/>
      <w:r w:rsidRPr="009E0D7B">
        <w:t>Conclusion</w:t>
      </w:r>
      <w:bookmarkEnd w:id="8"/>
    </w:p>
    <w:p w14:paraId="18CBC89A" w14:textId="4C989351" w:rsidR="008C78D6" w:rsidRPr="00A12096" w:rsidRDefault="0058108B" w:rsidP="00922CE1">
      <w:pPr>
        <w:spacing w:line="360" w:lineRule="auto"/>
        <w:jc w:val="both"/>
        <w:rPr>
          <w:rFonts w:ascii="Arial" w:hAnsi="Arial"/>
        </w:rPr>
      </w:pPr>
      <w:r w:rsidRPr="0058108B">
        <w:rPr>
          <w:rFonts w:ascii="Arial" w:hAnsi="Arial"/>
        </w:rPr>
        <w:t>This report evaluated the role and importance of person-centred care (PCC) and partnership working (PW) in delivering effective health and social care services.</w:t>
      </w:r>
      <w:r w:rsidR="00A12096" w:rsidRPr="00A12096">
        <w:rPr>
          <w:rFonts w:ascii="Arial" w:hAnsi="Arial"/>
        </w:rPr>
        <w:t xml:space="preserve"> The discussion showed that PCC focuses on respecting individuals’ needs, values, and preferences while promoting dignity, independence, and involvement in decision-making. Maslow’s Hierarchy of Needs helped explain how meeting both physical and psychological needs supports person-centred care in a hospital setting. The report also highlighted that partnership working between healthcare professionals and organisations improves communication, coordination of services, and patient outcomes. Relevant policies and ethical principles were identified as important frameworks that guide practice and support high-quality care. However, challenges such as limited resources and communication barriers may affect implementation. The recommendations emphasised improved staff training, stronger collaboration, and the </w:t>
      </w:r>
      <w:r w:rsidR="00A12096" w:rsidRPr="00A12096">
        <w:rPr>
          <w:rFonts w:ascii="Arial" w:hAnsi="Arial"/>
        </w:rPr>
        <w:lastRenderedPageBreak/>
        <w:t>use of digital systems to enhance care. Overall, effective PCC and partnership working are essential for delivering safe, coordinated, and high-quality healthcare services.</w:t>
      </w:r>
    </w:p>
    <w:p w14:paraId="454E5D52" w14:textId="77777777" w:rsidR="008C78D6" w:rsidRDefault="008C78D6">
      <w:pPr>
        <w:rPr>
          <w:rFonts w:ascii="Arial" w:hAnsi="Arial"/>
        </w:rPr>
      </w:pPr>
      <w:r>
        <w:rPr>
          <w:rFonts w:ascii="Arial" w:hAnsi="Arial"/>
        </w:rPr>
        <w:br w:type="page"/>
      </w:r>
    </w:p>
    <w:p w14:paraId="6A5EFBFC" w14:textId="360B17C8" w:rsidR="008C78D6" w:rsidRDefault="008C78D6" w:rsidP="008C78D6">
      <w:pPr>
        <w:pStyle w:val="Heading1"/>
      </w:pPr>
      <w:bookmarkStart w:id="9" w:name="_Toc224611276"/>
      <w:proofErr w:type="spellStart"/>
      <w:r>
        <w:lastRenderedPageBreak/>
        <w:t>Refrence</w:t>
      </w:r>
      <w:bookmarkEnd w:id="9"/>
      <w:proofErr w:type="spellEnd"/>
    </w:p>
    <w:p w14:paraId="5C8FBF3E" w14:textId="77777777" w:rsidR="00F664F0" w:rsidRPr="00F664F0" w:rsidRDefault="00F664F0" w:rsidP="00F664F0">
      <w:r w:rsidRPr="00F664F0">
        <w:t xml:space="preserve">Beauchamp, T.L. and Childress, J.F. (2019) </w:t>
      </w:r>
      <w:r w:rsidRPr="00F664F0">
        <w:rPr>
          <w:i/>
          <w:iCs/>
        </w:rPr>
        <w:t>Principles of biomedical ethics</w:t>
      </w:r>
      <w:r w:rsidRPr="00F664F0">
        <w:t xml:space="preserve">. 8th </w:t>
      </w:r>
      <w:proofErr w:type="spellStart"/>
      <w:r w:rsidRPr="00F664F0">
        <w:t>edn</w:t>
      </w:r>
      <w:proofErr w:type="spellEnd"/>
      <w:r w:rsidRPr="00F664F0">
        <w:t xml:space="preserve">. Oxford: Oxford University Press. Available at: </w:t>
      </w:r>
      <w:hyperlink r:id="rId15" w:tgtFrame="_new" w:history="1">
        <w:r w:rsidRPr="00F664F0">
          <w:rPr>
            <w:rStyle w:val="Hyperlink"/>
          </w:rPr>
          <w:t>https://global.oup.com/ukhe/product/principles-of-biomedical-ethics-9780190640873</w:t>
        </w:r>
      </w:hyperlink>
      <w:r w:rsidRPr="00F664F0">
        <w:t xml:space="preserve"> (Accessed: 19 March 2026).</w:t>
      </w:r>
    </w:p>
    <w:p w14:paraId="11A8A5F0" w14:textId="77777777" w:rsidR="00F664F0" w:rsidRPr="00F664F0" w:rsidRDefault="00F664F0" w:rsidP="00F664F0">
      <w:r w:rsidRPr="00F664F0">
        <w:t xml:space="preserve">Care Quality Commission (2025) </w:t>
      </w:r>
      <w:r w:rsidRPr="00F664F0">
        <w:rPr>
          <w:i/>
          <w:iCs/>
        </w:rPr>
        <w:t>The State of Health Care and Adult Social Care in England 2024/25</w:t>
      </w:r>
      <w:r w:rsidRPr="00F664F0">
        <w:t xml:space="preserve">. London: Care Quality Commission. Available at: </w:t>
      </w:r>
      <w:hyperlink r:id="rId16" w:tgtFrame="_new" w:history="1">
        <w:r w:rsidRPr="00F664F0">
          <w:rPr>
            <w:rStyle w:val="Hyperlink"/>
          </w:rPr>
          <w:t>https://www.cqc.org.uk/publications/major-report/state-care/2024-2025</w:t>
        </w:r>
      </w:hyperlink>
      <w:r w:rsidRPr="00F664F0">
        <w:t xml:space="preserve"> (Accessed: 14 March 2026).</w:t>
      </w:r>
    </w:p>
    <w:p w14:paraId="0DF297B2" w14:textId="77777777" w:rsidR="00F664F0" w:rsidRPr="00F664F0" w:rsidRDefault="00F664F0" w:rsidP="00F664F0">
      <w:r w:rsidRPr="00F664F0">
        <w:t xml:space="preserve">Department of Health and Social Care (2020) </w:t>
      </w:r>
      <w:r w:rsidRPr="00F664F0">
        <w:rPr>
          <w:i/>
          <w:iCs/>
        </w:rPr>
        <w:t>Care Act 2014: statutory guidance</w:t>
      </w:r>
      <w:r w:rsidRPr="00F664F0">
        <w:t xml:space="preserve">. London: Department of Health and Social Care. Available at: </w:t>
      </w:r>
      <w:hyperlink r:id="rId17" w:tgtFrame="_new" w:history="1">
        <w:r w:rsidRPr="00F664F0">
          <w:rPr>
            <w:rStyle w:val="Hyperlink"/>
          </w:rPr>
          <w:t>https://www.gov.uk/government/publications/care-act-statutory-guidance/care-and-support-statutory-guidance</w:t>
        </w:r>
      </w:hyperlink>
      <w:r w:rsidRPr="00F664F0">
        <w:t xml:space="preserve"> (Accessed: 12 March 2026).</w:t>
      </w:r>
    </w:p>
    <w:p w14:paraId="2EB24149" w14:textId="77777777" w:rsidR="00F664F0" w:rsidRPr="00F664F0" w:rsidRDefault="00F664F0" w:rsidP="00F664F0">
      <w:r w:rsidRPr="00F664F0">
        <w:t xml:space="preserve">Equality and Human Rights Commission (2018) </w:t>
      </w:r>
      <w:r w:rsidRPr="00F664F0">
        <w:rPr>
          <w:i/>
          <w:iCs/>
        </w:rPr>
        <w:t>The Human Rights Act</w:t>
      </w:r>
      <w:r w:rsidRPr="00F664F0">
        <w:t xml:space="preserve">. Available at: </w:t>
      </w:r>
      <w:hyperlink r:id="rId18" w:tgtFrame="_new" w:history="1">
        <w:r w:rsidRPr="00F664F0">
          <w:rPr>
            <w:rStyle w:val="Hyperlink"/>
          </w:rPr>
          <w:t>https://www.equalityhumanrights.com/human-rights/human-rights-act</w:t>
        </w:r>
      </w:hyperlink>
      <w:r w:rsidRPr="00F664F0">
        <w:t xml:space="preserve"> (Accessed: 12 March 2026).</w:t>
      </w:r>
    </w:p>
    <w:p w14:paraId="077F5B26" w14:textId="77777777" w:rsidR="00F664F0" w:rsidRPr="00F664F0" w:rsidRDefault="00F664F0" w:rsidP="00F664F0">
      <w:r w:rsidRPr="00F664F0">
        <w:t xml:space="preserve">Equality and Human Rights Commission (2024) </w:t>
      </w:r>
      <w:r w:rsidRPr="00F664F0">
        <w:rPr>
          <w:i/>
          <w:iCs/>
        </w:rPr>
        <w:t>Equality Act 2010 guidance</w:t>
      </w:r>
      <w:r w:rsidRPr="00F664F0">
        <w:t xml:space="preserve">. Available at: </w:t>
      </w:r>
      <w:hyperlink r:id="rId19" w:tgtFrame="_new" w:history="1">
        <w:r w:rsidRPr="00F664F0">
          <w:rPr>
            <w:rStyle w:val="Hyperlink"/>
          </w:rPr>
          <w:t>https://www.equalityhumanrights.com/en/equality-act</w:t>
        </w:r>
      </w:hyperlink>
      <w:r w:rsidRPr="00F664F0">
        <w:t xml:space="preserve"> (Accessed: 13 March 2026).</w:t>
      </w:r>
    </w:p>
    <w:p w14:paraId="3BD87B2D" w14:textId="77777777" w:rsidR="00F664F0" w:rsidRPr="00F664F0" w:rsidRDefault="00F664F0" w:rsidP="00F664F0">
      <w:r w:rsidRPr="00F664F0">
        <w:t xml:space="preserve">Glasby, J. and Dickinson, H. (2021) </w:t>
      </w:r>
      <w:r w:rsidRPr="00F664F0">
        <w:rPr>
          <w:i/>
          <w:iCs/>
        </w:rPr>
        <w:t>Partnership working in health and social care: What is integrated care and how can we deliver it?</w:t>
      </w:r>
      <w:r w:rsidRPr="00F664F0">
        <w:t xml:space="preserve"> 3rd </w:t>
      </w:r>
      <w:proofErr w:type="spellStart"/>
      <w:r w:rsidRPr="00F664F0">
        <w:t>edn</w:t>
      </w:r>
      <w:proofErr w:type="spellEnd"/>
      <w:r w:rsidRPr="00F664F0">
        <w:t xml:space="preserve">. Bristol: Policy Press. Available at: </w:t>
      </w:r>
      <w:hyperlink r:id="rId20" w:tgtFrame="_new" w:history="1">
        <w:r w:rsidRPr="00F664F0">
          <w:rPr>
            <w:rStyle w:val="Hyperlink"/>
          </w:rPr>
          <w:t>https://policy.bristoluniversitypress.co.uk/partnership-working-in-health-and-social-care-second-edition</w:t>
        </w:r>
      </w:hyperlink>
      <w:r w:rsidRPr="00F664F0">
        <w:t xml:space="preserve"> (Accessed: 18 March 2026).</w:t>
      </w:r>
    </w:p>
    <w:p w14:paraId="7AFA33ED" w14:textId="77777777" w:rsidR="00F664F0" w:rsidRPr="00F664F0" w:rsidRDefault="00F664F0" w:rsidP="00F664F0">
      <w:r w:rsidRPr="00F664F0">
        <w:t xml:space="preserve">Haddad, L.M. and Geiger, R.A. (2022) </w:t>
      </w:r>
      <w:r w:rsidRPr="00F664F0">
        <w:rPr>
          <w:i/>
          <w:iCs/>
        </w:rPr>
        <w:t>Nursing ethical considerations</w:t>
      </w:r>
      <w:r w:rsidRPr="00F664F0">
        <w:t xml:space="preserve">. Treasure Island, FL: </w:t>
      </w:r>
      <w:proofErr w:type="spellStart"/>
      <w:r w:rsidRPr="00F664F0">
        <w:t>StatPearls</w:t>
      </w:r>
      <w:proofErr w:type="spellEnd"/>
      <w:r w:rsidRPr="00F664F0">
        <w:t xml:space="preserve"> Publishing. Available at: </w:t>
      </w:r>
      <w:hyperlink r:id="rId21" w:tgtFrame="_new" w:history="1">
        <w:r w:rsidRPr="00F664F0">
          <w:rPr>
            <w:rStyle w:val="Hyperlink"/>
          </w:rPr>
          <w:t>https://www.ncbi.nlm.nih.gov/books/NBK526054/</w:t>
        </w:r>
      </w:hyperlink>
      <w:r w:rsidRPr="00F664F0">
        <w:t xml:space="preserve"> (Accessed: 13 March 2026).</w:t>
      </w:r>
    </w:p>
    <w:p w14:paraId="6BA70F58" w14:textId="77777777" w:rsidR="00F664F0" w:rsidRDefault="00F664F0" w:rsidP="00F664F0">
      <w:r w:rsidRPr="00F664F0">
        <w:rPr>
          <w:i/>
          <w:iCs/>
        </w:rPr>
        <w:t>Health and Care Act 2022</w:t>
      </w:r>
      <w:r w:rsidRPr="00F664F0">
        <w:t xml:space="preserve">. Available at: </w:t>
      </w:r>
      <w:hyperlink r:id="rId22" w:tgtFrame="_new" w:history="1">
        <w:r w:rsidRPr="00F664F0">
          <w:rPr>
            <w:rStyle w:val="Hyperlink"/>
          </w:rPr>
          <w:t>https://www.legislation.gov.uk/ukpga/2022/31/contents</w:t>
        </w:r>
      </w:hyperlink>
      <w:r w:rsidRPr="00F664F0">
        <w:t xml:space="preserve"> (Accessed: 19 March 2026).</w:t>
      </w:r>
    </w:p>
    <w:p w14:paraId="5ACFE642" w14:textId="7250B4F9" w:rsidR="00785743" w:rsidRPr="00F664F0" w:rsidRDefault="00785743" w:rsidP="00F664F0">
      <w:r w:rsidRPr="00785743">
        <w:t xml:space="preserve">Iriss (2013) </w:t>
      </w:r>
      <w:r w:rsidRPr="00785743">
        <w:rPr>
          <w:i/>
          <w:iCs/>
        </w:rPr>
        <w:t>Leading for outcomes: integrated working, Part one</w:t>
      </w:r>
      <w:r w:rsidRPr="00785743">
        <w:t xml:space="preserve">. Available at: </w:t>
      </w:r>
      <w:hyperlink r:id="rId23" w:tgtFrame="_new" w:history="1">
        <w:r w:rsidRPr="00785743">
          <w:rPr>
            <w:rStyle w:val="Hyperlink"/>
          </w:rPr>
          <w:t>https://www.iriss.org.uk/resources/tools/leading-outcomes-integrated-working-part-one</w:t>
        </w:r>
      </w:hyperlink>
      <w:r w:rsidRPr="00785743">
        <w:t xml:space="preserve"> (Accessed: 17 March 2026).</w:t>
      </w:r>
    </w:p>
    <w:p w14:paraId="030493BD" w14:textId="77777777" w:rsidR="00F664F0" w:rsidRPr="00F664F0" w:rsidRDefault="00F664F0" w:rsidP="00F664F0">
      <w:r w:rsidRPr="00F664F0">
        <w:t xml:space="preserve">Maslow, A.H. (1943) ‘A theory of human motivation’. </w:t>
      </w:r>
      <w:r w:rsidRPr="00F664F0">
        <w:rPr>
          <w:i/>
          <w:iCs/>
        </w:rPr>
        <w:t>Psychological Review</w:t>
      </w:r>
      <w:r w:rsidRPr="00F664F0">
        <w:t xml:space="preserve">, 50(4), pp. 370–396. Available at: </w:t>
      </w:r>
      <w:hyperlink r:id="rId24" w:tgtFrame="_new" w:history="1">
        <w:r w:rsidRPr="00F664F0">
          <w:rPr>
            <w:rStyle w:val="Hyperlink"/>
          </w:rPr>
          <w:t>https://psychclassics.yorku.ca/Maslow/motivation.htm</w:t>
        </w:r>
      </w:hyperlink>
      <w:r w:rsidRPr="00F664F0">
        <w:t xml:space="preserve"> (Accessed: 17 March 2026).</w:t>
      </w:r>
    </w:p>
    <w:p w14:paraId="61A47B5F" w14:textId="77777777" w:rsidR="00F664F0" w:rsidRPr="00F664F0" w:rsidRDefault="00F664F0" w:rsidP="00F664F0">
      <w:r w:rsidRPr="00F664F0">
        <w:t>Morgan, S. and Yoder, L.H. (2012) ‘A concept analysis of person-</w:t>
      </w:r>
      <w:proofErr w:type="spellStart"/>
      <w:r w:rsidRPr="00F664F0">
        <w:t>centered</w:t>
      </w:r>
      <w:proofErr w:type="spellEnd"/>
      <w:r w:rsidRPr="00F664F0">
        <w:t xml:space="preserve"> care’. </w:t>
      </w:r>
      <w:r w:rsidRPr="00F664F0">
        <w:rPr>
          <w:i/>
          <w:iCs/>
        </w:rPr>
        <w:t>Journal of Holistic Nursing</w:t>
      </w:r>
      <w:r w:rsidRPr="00F664F0">
        <w:t xml:space="preserve">, 30(1), pp. 6–15. Available at: </w:t>
      </w:r>
      <w:hyperlink r:id="rId25" w:tgtFrame="_new" w:history="1">
        <w:r w:rsidRPr="00F664F0">
          <w:rPr>
            <w:rStyle w:val="Hyperlink"/>
          </w:rPr>
          <w:t>https://journals.sagepub.com/doi/10.1177/0898010111412189</w:t>
        </w:r>
      </w:hyperlink>
      <w:r w:rsidRPr="00F664F0">
        <w:t xml:space="preserve"> (Accessed: 15 March 2026).</w:t>
      </w:r>
    </w:p>
    <w:p w14:paraId="7E1DD0D0" w14:textId="77777777" w:rsidR="00F664F0" w:rsidRPr="00F664F0" w:rsidRDefault="00F664F0" w:rsidP="00F664F0">
      <w:r w:rsidRPr="00F664F0">
        <w:t xml:space="preserve">NHS England (2022) </w:t>
      </w:r>
      <w:r w:rsidRPr="00F664F0">
        <w:rPr>
          <w:i/>
          <w:iCs/>
        </w:rPr>
        <w:t>Integrated Care Systems: design framework</w:t>
      </w:r>
      <w:r w:rsidRPr="00F664F0">
        <w:t xml:space="preserve">. Available at: </w:t>
      </w:r>
      <w:hyperlink r:id="rId26" w:tgtFrame="_new" w:history="1">
        <w:r w:rsidRPr="00F664F0">
          <w:rPr>
            <w:rStyle w:val="Hyperlink"/>
          </w:rPr>
          <w:t>https://www.england.nhs.uk/integratedcare</w:t>
        </w:r>
      </w:hyperlink>
      <w:r w:rsidRPr="00F664F0">
        <w:t xml:space="preserve"> (Accessed: 20 March 2026).</w:t>
      </w:r>
    </w:p>
    <w:p w14:paraId="58E0C295" w14:textId="77777777" w:rsidR="00F664F0" w:rsidRPr="00F664F0" w:rsidRDefault="00F664F0" w:rsidP="00F664F0">
      <w:r w:rsidRPr="00F664F0">
        <w:t xml:space="preserve">NHS England (2022) </w:t>
      </w:r>
      <w:r w:rsidRPr="00F664F0">
        <w:rPr>
          <w:i/>
          <w:iCs/>
        </w:rPr>
        <w:t>Integrated care systems: design framework</w:t>
      </w:r>
      <w:r w:rsidRPr="00F664F0">
        <w:t xml:space="preserve">. Available at: </w:t>
      </w:r>
      <w:hyperlink r:id="rId27" w:tgtFrame="_new" w:history="1">
        <w:r w:rsidRPr="00F664F0">
          <w:rPr>
            <w:rStyle w:val="Hyperlink"/>
          </w:rPr>
          <w:t>https://www.england.nhs.uk/integratedcare</w:t>
        </w:r>
      </w:hyperlink>
      <w:r w:rsidRPr="00F664F0">
        <w:t xml:space="preserve"> (Accessed: 11 March 2026).</w:t>
      </w:r>
    </w:p>
    <w:p w14:paraId="4195B442" w14:textId="77777777" w:rsidR="00F664F0" w:rsidRPr="00F664F0" w:rsidRDefault="00F664F0" w:rsidP="00F664F0">
      <w:r w:rsidRPr="00F664F0">
        <w:t xml:space="preserve">Santana, M.J., Manalili, K., Jolley, R.J., Zelinsky, S., Quan, H. and Lu, M. (2020) ‘How to practice person-centred care: A conceptual framework’. </w:t>
      </w:r>
      <w:r w:rsidRPr="00F664F0">
        <w:rPr>
          <w:i/>
          <w:iCs/>
        </w:rPr>
        <w:t>Health Expectations</w:t>
      </w:r>
      <w:r w:rsidRPr="00F664F0">
        <w:t xml:space="preserve">, 23(2), pp. 429–440. Available at: </w:t>
      </w:r>
      <w:hyperlink r:id="rId28" w:tgtFrame="_new" w:history="1">
        <w:r w:rsidRPr="00F664F0">
          <w:rPr>
            <w:rStyle w:val="Hyperlink"/>
          </w:rPr>
          <w:t>https://onlinelibrary.wiley.com/doi/10.1111/hex.12640</w:t>
        </w:r>
      </w:hyperlink>
      <w:r w:rsidRPr="00F664F0">
        <w:t xml:space="preserve"> (Accessed: 16 March 2026).</w:t>
      </w:r>
    </w:p>
    <w:p w14:paraId="2731118F" w14:textId="77777777" w:rsidR="00F664F0" w:rsidRPr="00F664F0" w:rsidRDefault="00F664F0" w:rsidP="00F664F0">
      <w:r w:rsidRPr="00F664F0">
        <w:t xml:space="preserve">Taormina, R.J. and Gao, J.H. (2013) ‘Maslow and the motivation hierarchy: Measuring satisfaction of the </w:t>
      </w:r>
      <w:proofErr w:type="gramStart"/>
      <w:r w:rsidRPr="00F664F0">
        <w:t>needs’</w:t>
      </w:r>
      <w:proofErr w:type="gramEnd"/>
      <w:r w:rsidRPr="00F664F0">
        <w:t xml:space="preserve">. </w:t>
      </w:r>
      <w:r w:rsidRPr="00F664F0">
        <w:rPr>
          <w:i/>
          <w:iCs/>
        </w:rPr>
        <w:t>American Journal of Psychology</w:t>
      </w:r>
      <w:r w:rsidRPr="00F664F0">
        <w:t xml:space="preserve">, 126(2), pp. 155–177. Available at: </w:t>
      </w:r>
      <w:hyperlink r:id="rId29" w:tgtFrame="_new" w:history="1">
        <w:r w:rsidRPr="00F664F0">
          <w:rPr>
            <w:rStyle w:val="Hyperlink"/>
          </w:rPr>
          <w:t>https://pubmed.ncbi.nlm.nih.gov/23858951/</w:t>
        </w:r>
      </w:hyperlink>
      <w:r w:rsidRPr="00F664F0">
        <w:t xml:space="preserve"> (Accessed: 14 March 2026).</w:t>
      </w:r>
    </w:p>
    <w:p w14:paraId="207B5CAA" w14:textId="77777777" w:rsidR="00F664F0" w:rsidRPr="00F664F0" w:rsidRDefault="00F664F0" w:rsidP="00F664F0">
      <w:r w:rsidRPr="00F664F0">
        <w:t xml:space="preserve">UK Government (2024) </w:t>
      </w:r>
      <w:r w:rsidRPr="00F664F0">
        <w:rPr>
          <w:i/>
          <w:iCs/>
        </w:rPr>
        <w:t>Equality Act 2010: guidance</w:t>
      </w:r>
      <w:r w:rsidRPr="00F664F0">
        <w:t xml:space="preserve">. Available at: </w:t>
      </w:r>
      <w:hyperlink r:id="rId30" w:tgtFrame="_new" w:history="1">
        <w:r w:rsidRPr="00F664F0">
          <w:rPr>
            <w:rStyle w:val="Hyperlink"/>
          </w:rPr>
          <w:t>https://www.gov.uk/guidance/equality-act-2010-guidance</w:t>
        </w:r>
      </w:hyperlink>
      <w:r w:rsidRPr="00F664F0">
        <w:t xml:space="preserve"> (Accessed: 18 March 2026).</w:t>
      </w:r>
    </w:p>
    <w:sectPr w:rsidR="00F664F0" w:rsidRPr="00F664F0" w:rsidSect="004A695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75451" w14:textId="77777777" w:rsidR="00E64BB6" w:rsidRDefault="00E64BB6" w:rsidP="008C78D6">
      <w:pPr>
        <w:spacing w:after="0" w:line="240" w:lineRule="auto"/>
      </w:pPr>
      <w:r>
        <w:separator/>
      </w:r>
    </w:p>
  </w:endnote>
  <w:endnote w:type="continuationSeparator" w:id="0">
    <w:p w14:paraId="3D58919C" w14:textId="77777777" w:rsidR="00E64BB6" w:rsidRDefault="00E64BB6" w:rsidP="008C7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0583528"/>
      <w:docPartObj>
        <w:docPartGallery w:val="Page Numbers (Bottom of Page)"/>
        <w:docPartUnique/>
      </w:docPartObj>
    </w:sdtPr>
    <w:sdtEndPr>
      <w:rPr>
        <w:noProof/>
      </w:rPr>
    </w:sdtEndPr>
    <w:sdtContent>
      <w:p w14:paraId="0D435496" w14:textId="7CEC8D37" w:rsidR="008C78D6" w:rsidRDefault="008C7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F2B3A2" w14:textId="77777777" w:rsidR="008C78D6" w:rsidRDefault="008C7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B5A38" w14:textId="77777777" w:rsidR="00E64BB6" w:rsidRDefault="00E64BB6" w:rsidP="008C78D6">
      <w:pPr>
        <w:spacing w:after="0" w:line="240" w:lineRule="auto"/>
      </w:pPr>
      <w:r>
        <w:separator/>
      </w:r>
    </w:p>
  </w:footnote>
  <w:footnote w:type="continuationSeparator" w:id="0">
    <w:p w14:paraId="40382CE0" w14:textId="77777777" w:rsidR="00E64BB6" w:rsidRDefault="00E64BB6" w:rsidP="008C78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207AB"/>
    <w:multiLevelType w:val="multilevel"/>
    <w:tmpl w:val="BC92C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9B5643"/>
    <w:multiLevelType w:val="multilevel"/>
    <w:tmpl w:val="242C3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0E2F2D"/>
    <w:multiLevelType w:val="multilevel"/>
    <w:tmpl w:val="F9FCC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0665071">
    <w:abstractNumId w:val="0"/>
  </w:num>
  <w:num w:numId="2" w16cid:durableId="477848072">
    <w:abstractNumId w:val="1"/>
  </w:num>
  <w:num w:numId="3" w16cid:durableId="7816120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AD4"/>
    <w:rsid w:val="0027166F"/>
    <w:rsid w:val="00293074"/>
    <w:rsid w:val="003076FD"/>
    <w:rsid w:val="004A6957"/>
    <w:rsid w:val="0058108B"/>
    <w:rsid w:val="006D490A"/>
    <w:rsid w:val="00785743"/>
    <w:rsid w:val="007C3C9C"/>
    <w:rsid w:val="00824B64"/>
    <w:rsid w:val="008C78D6"/>
    <w:rsid w:val="00922CE1"/>
    <w:rsid w:val="00951667"/>
    <w:rsid w:val="00954FA8"/>
    <w:rsid w:val="00970994"/>
    <w:rsid w:val="009E0D7B"/>
    <w:rsid w:val="00A12096"/>
    <w:rsid w:val="00A60AF7"/>
    <w:rsid w:val="00AD66F7"/>
    <w:rsid w:val="00BA1F67"/>
    <w:rsid w:val="00C53B95"/>
    <w:rsid w:val="00C90EE9"/>
    <w:rsid w:val="00CA33DB"/>
    <w:rsid w:val="00D77498"/>
    <w:rsid w:val="00DA6AD4"/>
    <w:rsid w:val="00DD401C"/>
    <w:rsid w:val="00DF7895"/>
    <w:rsid w:val="00E64BB6"/>
    <w:rsid w:val="00EF441A"/>
    <w:rsid w:val="00F36DD8"/>
    <w:rsid w:val="00F664F0"/>
    <w:rsid w:val="00FE6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6715F"/>
  <w15:chartTrackingRefBased/>
  <w15:docId w15:val="{573C9D77-5A07-450B-AF3D-3BCD2A562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A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A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A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A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A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A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A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6A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A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A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AD4"/>
    <w:rPr>
      <w:rFonts w:eastAsiaTheme="majorEastAsia" w:cstheme="majorBidi"/>
      <w:color w:val="272727" w:themeColor="text1" w:themeTint="D8"/>
    </w:rPr>
  </w:style>
  <w:style w:type="paragraph" w:styleId="Title">
    <w:name w:val="Title"/>
    <w:basedOn w:val="Normal"/>
    <w:next w:val="Normal"/>
    <w:link w:val="TitleChar"/>
    <w:uiPriority w:val="10"/>
    <w:qFormat/>
    <w:rsid w:val="00DA6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AD4"/>
    <w:pPr>
      <w:spacing w:before="160"/>
      <w:jc w:val="center"/>
    </w:pPr>
    <w:rPr>
      <w:i/>
      <w:iCs/>
      <w:color w:val="404040" w:themeColor="text1" w:themeTint="BF"/>
    </w:rPr>
  </w:style>
  <w:style w:type="character" w:customStyle="1" w:styleId="QuoteChar">
    <w:name w:val="Quote Char"/>
    <w:basedOn w:val="DefaultParagraphFont"/>
    <w:link w:val="Quote"/>
    <w:uiPriority w:val="29"/>
    <w:rsid w:val="00DA6AD4"/>
    <w:rPr>
      <w:i/>
      <w:iCs/>
      <w:color w:val="404040" w:themeColor="text1" w:themeTint="BF"/>
    </w:rPr>
  </w:style>
  <w:style w:type="paragraph" w:styleId="ListParagraph">
    <w:name w:val="List Paragraph"/>
    <w:basedOn w:val="Normal"/>
    <w:uiPriority w:val="34"/>
    <w:qFormat/>
    <w:rsid w:val="00DA6AD4"/>
    <w:pPr>
      <w:ind w:left="720"/>
      <w:contextualSpacing/>
    </w:pPr>
  </w:style>
  <w:style w:type="character" w:styleId="IntenseEmphasis">
    <w:name w:val="Intense Emphasis"/>
    <w:basedOn w:val="DefaultParagraphFont"/>
    <w:uiPriority w:val="21"/>
    <w:qFormat/>
    <w:rsid w:val="00DA6AD4"/>
    <w:rPr>
      <w:i/>
      <w:iCs/>
      <w:color w:val="0F4761" w:themeColor="accent1" w:themeShade="BF"/>
    </w:rPr>
  </w:style>
  <w:style w:type="paragraph" w:styleId="IntenseQuote">
    <w:name w:val="Intense Quote"/>
    <w:basedOn w:val="Normal"/>
    <w:next w:val="Normal"/>
    <w:link w:val="IntenseQuoteChar"/>
    <w:uiPriority w:val="30"/>
    <w:qFormat/>
    <w:rsid w:val="00DA6A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AD4"/>
    <w:rPr>
      <w:i/>
      <w:iCs/>
      <w:color w:val="0F4761" w:themeColor="accent1" w:themeShade="BF"/>
    </w:rPr>
  </w:style>
  <w:style w:type="character" w:styleId="IntenseReference">
    <w:name w:val="Intense Reference"/>
    <w:basedOn w:val="DefaultParagraphFont"/>
    <w:uiPriority w:val="32"/>
    <w:qFormat/>
    <w:rsid w:val="00DA6AD4"/>
    <w:rPr>
      <w:b/>
      <w:bCs/>
      <w:smallCaps/>
      <w:color w:val="0F4761" w:themeColor="accent1" w:themeShade="BF"/>
      <w:spacing w:val="5"/>
    </w:rPr>
  </w:style>
  <w:style w:type="paragraph" w:styleId="TOCHeading">
    <w:name w:val="TOC Heading"/>
    <w:basedOn w:val="Heading1"/>
    <w:next w:val="Normal"/>
    <w:uiPriority w:val="39"/>
    <w:unhideWhenUsed/>
    <w:qFormat/>
    <w:rsid w:val="00DF78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F7895"/>
    <w:pPr>
      <w:spacing w:after="100"/>
    </w:pPr>
  </w:style>
  <w:style w:type="paragraph" w:styleId="TOC2">
    <w:name w:val="toc 2"/>
    <w:basedOn w:val="Normal"/>
    <w:next w:val="Normal"/>
    <w:autoRedefine/>
    <w:uiPriority w:val="39"/>
    <w:unhideWhenUsed/>
    <w:rsid w:val="00DF7895"/>
    <w:pPr>
      <w:spacing w:after="100"/>
      <w:ind w:left="240"/>
    </w:pPr>
  </w:style>
  <w:style w:type="character" w:styleId="Hyperlink">
    <w:name w:val="Hyperlink"/>
    <w:basedOn w:val="DefaultParagraphFont"/>
    <w:uiPriority w:val="99"/>
    <w:unhideWhenUsed/>
    <w:rsid w:val="00DF7895"/>
    <w:rPr>
      <w:color w:val="467886" w:themeColor="hyperlink"/>
      <w:u w:val="single"/>
    </w:rPr>
  </w:style>
  <w:style w:type="paragraph" w:styleId="Header">
    <w:name w:val="header"/>
    <w:basedOn w:val="Normal"/>
    <w:link w:val="HeaderChar"/>
    <w:uiPriority w:val="99"/>
    <w:unhideWhenUsed/>
    <w:rsid w:val="008C7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8D6"/>
  </w:style>
  <w:style w:type="paragraph" w:styleId="Footer">
    <w:name w:val="footer"/>
    <w:basedOn w:val="Normal"/>
    <w:link w:val="FooterChar"/>
    <w:uiPriority w:val="99"/>
    <w:unhideWhenUsed/>
    <w:rsid w:val="008C7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8D6"/>
  </w:style>
  <w:style w:type="character" w:styleId="UnresolvedMention">
    <w:name w:val="Unresolved Mention"/>
    <w:basedOn w:val="DefaultParagraphFont"/>
    <w:uiPriority w:val="99"/>
    <w:semiHidden/>
    <w:unhideWhenUsed/>
    <w:rsid w:val="00D77498"/>
    <w:rPr>
      <w:color w:val="605E5C"/>
      <w:shd w:val="clear" w:color="auto" w:fill="E1DFDD"/>
    </w:rPr>
  </w:style>
  <w:style w:type="character" w:styleId="FollowedHyperlink">
    <w:name w:val="FollowedHyperlink"/>
    <w:basedOn w:val="DefaultParagraphFont"/>
    <w:uiPriority w:val="99"/>
    <w:semiHidden/>
    <w:unhideWhenUsed/>
    <w:rsid w:val="00DD401C"/>
    <w:rPr>
      <w:color w:val="96607D" w:themeColor="followedHyperlink"/>
      <w:u w:val="single"/>
    </w:rPr>
  </w:style>
  <w:style w:type="paragraph" w:styleId="NoSpacing">
    <w:name w:val="No Spacing"/>
    <w:link w:val="NoSpacingChar"/>
    <w:uiPriority w:val="1"/>
    <w:qFormat/>
    <w:rsid w:val="004A695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A6957"/>
    <w:rPr>
      <w:rFonts w:eastAsiaTheme="minorEastAsia"/>
      <w:kern w:val="0"/>
      <w:sz w:val="22"/>
      <w:szCs w:val="22"/>
      <w:lang w:val="en-US"/>
      <w14:ligatures w14:val="none"/>
    </w:rPr>
  </w:style>
  <w:style w:type="paragraph" w:styleId="Caption">
    <w:name w:val="caption"/>
    <w:basedOn w:val="Normal"/>
    <w:next w:val="Normal"/>
    <w:uiPriority w:val="35"/>
    <w:unhideWhenUsed/>
    <w:qFormat/>
    <w:rsid w:val="00C53B95"/>
    <w:pPr>
      <w:spacing w:after="200" w:line="240" w:lineRule="auto"/>
    </w:pPr>
    <w:rPr>
      <w:i/>
      <w:iCs/>
      <w:color w:val="0E2841" w:themeColor="text2"/>
      <w:sz w:val="18"/>
      <w:szCs w:val="18"/>
    </w:rPr>
  </w:style>
  <w:style w:type="table" w:styleId="GridTable4-Accent4">
    <w:name w:val="Grid Table 4 Accent 4"/>
    <w:basedOn w:val="TableNormal"/>
    <w:uiPriority w:val="49"/>
    <w:rsid w:val="00C53B9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equalityhumanrights.com/human-rights/human-rights-act" TargetMode="External"/><Relationship Id="rId26" Type="http://schemas.openxmlformats.org/officeDocument/2006/relationships/hyperlink" Target="https://www.england.nhs.uk/integratedcare" TargetMode="External"/><Relationship Id="rId3" Type="http://schemas.openxmlformats.org/officeDocument/2006/relationships/numbering" Target="numbering.xml"/><Relationship Id="rId21" Type="http://schemas.openxmlformats.org/officeDocument/2006/relationships/hyperlink" Target="https://www.ncbi.nlm.nih.gov/books/NBK526054/"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gov.uk/government/publications/care-act-statutory-guidance/care-and-support-statutory-guidance" TargetMode="External"/><Relationship Id="rId25" Type="http://schemas.openxmlformats.org/officeDocument/2006/relationships/hyperlink" Target="https://journals.sagepub.com/doi/10.1177/0898010111412189"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qc.org.uk/publications/major-report/state-care/2024-2025" TargetMode="External"/><Relationship Id="rId20" Type="http://schemas.openxmlformats.org/officeDocument/2006/relationships/hyperlink" Target="https://policy.bristoluniversitypress.co.uk/partnership-working-in-health-and-social-care-second-edition" TargetMode="External"/><Relationship Id="rId29" Type="http://schemas.openxmlformats.org/officeDocument/2006/relationships/hyperlink" Target="https://pubmed.ncbi.nlm.nih.gov/2385895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psychclassics.yorku.ca/Maslow/motivation.ht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global.oup.com/ukhe/product/principles-of-biomedical-ethics-9780190640873" TargetMode="External"/><Relationship Id="rId23" Type="http://schemas.openxmlformats.org/officeDocument/2006/relationships/hyperlink" Target="https://www.iriss.org.uk/resources/tools/leading-outcomes-integrated-working-part-one" TargetMode="External"/><Relationship Id="rId28" Type="http://schemas.openxmlformats.org/officeDocument/2006/relationships/hyperlink" Target="https://onlinelibrary.wiley.com/doi/10.1111/hex.12640" TargetMode="External"/><Relationship Id="rId10" Type="http://schemas.openxmlformats.org/officeDocument/2006/relationships/image" Target="media/image2.png"/><Relationship Id="rId19" Type="http://schemas.openxmlformats.org/officeDocument/2006/relationships/hyperlink" Target="https://www.equalityhumanrights.com/en/equality-act"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legislation.gov.uk/ukpga/2022/31/contents" TargetMode="External"/><Relationship Id="rId27" Type="http://schemas.openxmlformats.org/officeDocument/2006/relationships/hyperlink" Target="https://www.england.nhs.uk/integratedcare" TargetMode="External"/><Relationship Id="rId30" Type="http://schemas.openxmlformats.org/officeDocument/2006/relationships/hyperlink" Target="https://www.gov.uk/guidance/equality-act-2010-guidance"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Principles of Health and Social Care Practice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E6C9A3-EB64-4FCC-AD70-99219D1C6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Component 2: Written Assignment (Report)</dc:subject>
  <dc:creator>Iftekhar Rashid</dc:creator>
  <cp:keywords/>
  <dc:description/>
  <cp:lastModifiedBy>Iftekhar Rashid</cp:lastModifiedBy>
  <cp:revision>2</cp:revision>
  <dcterms:created xsi:type="dcterms:W3CDTF">2026-03-25T23:03:00Z</dcterms:created>
  <dcterms:modified xsi:type="dcterms:W3CDTF">2026-03-25T23:03:00Z</dcterms:modified>
</cp:coreProperties>
</file>