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81063" w14:textId="79CE8BEA" w:rsidR="00E90F77" w:rsidRPr="002C5537" w:rsidRDefault="00E90F77" w:rsidP="00E90F77">
      <w:pPr>
        <w:spacing w:line="480" w:lineRule="auto"/>
        <w:jc w:val="both"/>
        <w:rPr>
          <w:rFonts w:cs="Times New Roman"/>
        </w:rPr>
      </w:pPr>
      <w:r w:rsidRPr="002C5537">
        <w:rPr>
          <w:rFonts w:cs="Times New Roman"/>
        </w:rPr>
        <w:t>Case Formulation</w:t>
      </w:r>
    </w:p>
    <w:p w14:paraId="7B78FE37" w14:textId="0354F225" w:rsidR="00E90F77" w:rsidRPr="002C5537" w:rsidRDefault="00E90F77" w:rsidP="00E90F77">
      <w:pPr>
        <w:spacing w:line="480" w:lineRule="auto"/>
        <w:jc w:val="both"/>
        <w:rPr>
          <w:rFonts w:cs="Times New Roman"/>
          <w:b/>
          <w:bCs/>
        </w:rPr>
      </w:pPr>
      <w:r w:rsidRPr="002C5537">
        <w:rPr>
          <w:rFonts w:cs="Times New Roman"/>
          <w:b/>
          <w:bCs/>
        </w:rPr>
        <w:t>Introduction</w:t>
      </w:r>
    </w:p>
    <w:p w14:paraId="0A68D9A4" w14:textId="06BB9995" w:rsidR="00E90F77" w:rsidRPr="002C5537" w:rsidRDefault="00E90F77" w:rsidP="00A8666F">
      <w:pPr>
        <w:spacing w:line="480" w:lineRule="auto"/>
        <w:ind w:firstLine="720"/>
        <w:jc w:val="both"/>
        <w:rPr>
          <w:rFonts w:cs="Times New Roman"/>
        </w:rPr>
      </w:pPr>
      <w:r w:rsidRPr="002C5537">
        <w:rPr>
          <w:rFonts w:cs="Times New Roman"/>
        </w:rPr>
        <w:t xml:space="preserve">This formulation applies the 4P’s model </w:t>
      </w:r>
      <w:r w:rsidR="000B61B6" w:rsidRPr="002C5537">
        <w:rPr>
          <w:rFonts w:cs="Times New Roman"/>
        </w:rPr>
        <w:t xml:space="preserve">- </w:t>
      </w:r>
      <w:r w:rsidRPr="002C5537">
        <w:rPr>
          <w:rFonts w:cs="Times New Roman"/>
        </w:rPr>
        <w:t>presenting, predisposing, precipitating, perpetuating</w:t>
      </w:r>
      <w:r w:rsidR="00912865" w:rsidRPr="002C5537">
        <w:rPr>
          <w:rFonts w:cs="Times New Roman"/>
        </w:rPr>
        <w:t>,</w:t>
      </w:r>
      <w:r w:rsidR="000B61B6" w:rsidRPr="002C5537">
        <w:rPr>
          <w:rFonts w:cs="Times New Roman"/>
        </w:rPr>
        <w:t xml:space="preserve"> (Bolton, 2014</w:t>
      </w:r>
      <w:r w:rsidR="00B47C04" w:rsidRPr="002C5537">
        <w:rPr>
          <w:rFonts w:cs="Times New Roman"/>
        </w:rPr>
        <w:t>) to</w:t>
      </w:r>
      <w:r w:rsidRPr="002C5537">
        <w:rPr>
          <w:rFonts w:cs="Times New Roman"/>
        </w:rPr>
        <w:t xml:space="preserve"> understand the offence-related behaviour of Mark R, a 41-year-old male convicted of sexual assault against an adult female victim. Mark currently resides in a medium-secure forensic rehabilitation unit and is participating/engaged in psychological treatment and alcohol-reduction interventions. This formulation aims to identify psychological and contextual factors relevant to risk, treatment needs, and relapse prevention, while maintaining a clear distinction between evidence and inference and avoiding deterministic explanations. In addition to the 4P’s, the 3D’s framework</w:t>
      </w:r>
      <w:r w:rsidR="000B61B6" w:rsidRPr="002C5537">
        <w:rPr>
          <w:rFonts w:cs="Times New Roman"/>
        </w:rPr>
        <w:t xml:space="preserve"> - </w:t>
      </w:r>
      <w:r w:rsidRPr="002C5537">
        <w:rPr>
          <w:rFonts w:cs="Times New Roman"/>
        </w:rPr>
        <w:t>Drivers, Destabilisers, Disinhibitors</w:t>
      </w:r>
      <w:r w:rsidR="000B61B6" w:rsidRPr="002C5537">
        <w:rPr>
          <w:rFonts w:cs="Times New Roman"/>
        </w:rPr>
        <w:t>, (</w:t>
      </w:r>
      <w:r w:rsidR="00A8666F" w:rsidRPr="002C5537">
        <w:rPr>
          <w:rFonts w:cs="Times New Roman"/>
        </w:rPr>
        <w:t>Logan</w:t>
      </w:r>
      <w:r w:rsidR="000B61B6" w:rsidRPr="002C5537">
        <w:rPr>
          <w:rFonts w:cs="Times New Roman"/>
        </w:rPr>
        <w:t xml:space="preserve">, </w:t>
      </w:r>
      <w:r w:rsidR="00A8666F" w:rsidRPr="002C5537">
        <w:rPr>
          <w:rFonts w:cs="Times New Roman"/>
        </w:rPr>
        <w:t xml:space="preserve">2014) </w:t>
      </w:r>
      <w:r w:rsidRPr="002C5537">
        <w:rPr>
          <w:rFonts w:cs="Times New Roman"/>
        </w:rPr>
        <w:t xml:space="preserve">is used selectively to clarify the offence pathway – what Mark may have been trying to achieve, what escalated risk, and what reduced behavioural restraint at the point of decision-making – so that criminogenic needs are translated into a targeted intervention plan. </w:t>
      </w:r>
    </w:p>
    <w:p w14:paraId="21DE3523" w14:textId="05C17E57" w:rsidR="00E90F77" w:rsidRPr="002C5537" w:rsidRDefault="00E90F77" w:rsidP="00E90F77">
      <w:pPr>
        <w:spacing w:line="480" w:lineRule="auto"/>
        <w:jc w:val="both"/>
        <w:rPr>
          <w:rFonts w:cs="Times New Roman"/>
          <w:b/>
          <w:bCs/>
        </w:rPr>
      </w:pPr>
      <w:r w:rsidRPr="002C5537">
        <w:rPr>
          <w:rFonts w:cs="Times New Roman"/>
          <w:b/>
          <w:bCs/>
        </w:rPr>
        <w:t>Presenting problem</w:t>
      </w:r>
    </w:p>
    <w:p w14:paraId="2880363F" w14:textId="3DCA33FB" w:rsidR="00E90F77" w:rsidRPr="002C5537" w:rsidRDefault="00E90F77" w:rsidP="00E90F77">
      <w:pPr>
        <w:spacing w:line="480" w:lineRule="auto"/>
        <w:jc w:val="both"/>
        <w:rPr>
          <w:rFonts w:cs="Times New Roman"/>
        </w:rPr>
      </w:pPr>
      <w:r w:rsidRPr="002C5537">
        <w:rPr>
          <w:rFonts w:cs="Times New Roman"/>
          <w:b/>
          <w:bCs/>
        </w:rPr>
        <w:tab/>
      </w:r>
      <w:r w:rsidRPr="002C5537">
        <w:rPr>
          <w:rFonts w:cs="Times New Roman"/>
        </w:rPr>
        <w:t xml:space="preserve">Mark was convicted </w:t>
      </w:r>
      <w:r w:rsidR="006B25A4" w:rsidRPr="002C5537">
        <w:rPr>
          <w:rFonts w:cs="Times New Roman"/>
        </w:rPr>
        <w:t>of sexual assault following an office party. CCTV and witnesses indicate he engaged in non-consensual sexual touching and continued despite the victim’s verbal refusals. Both parties consumed alcohol, and Mark has a broader history of alcohol misuse and emotional volatility. Clinically, this offence pattern indicates risk in contexts where alcohol, social ambiguity, and reduced external controls increase reliance on internal self-regulation and boundary sensitivity</w:t>
      </w:r>
      <w:r w:rsidR="00B47C04" w:rsidRPr="002C5537">
        <w:rPr>
          <w:rFonts w:cs="Times New Roman"/>
        </w:rPr>
        <w:t xml:space="preserve"> (Kroon et al, 2025).</w:t>
      </w:r>
    </w:p>
    <w:p w14:paraId="2D87C650" w14:textId="5B56E75D" w:rsidR="005B2C56" w:rsidRPr="002C5537" w:rsidRDefault="005B2C56" w:rsidP="00B2782F">
      <w:pPr>
        <w:spacing w:line="480" w:lineRule="auto"/>
        <w:jc w:val="both"/>
        <w:rPr>
          <w:rFonts w:cs="Times New Roman"/>
        </w:rPr>
      </w:pPr>
      <w:r w:rsidRPr="002C5537">
        <w:rPr>
          <w:rFonts w:cs="Times New Roman"/>
        </w:rPr>
        <w:lastRenderedPageBreak/>
        <w:tab/>
        <w:t xml:space="preserve">The Self-Regulation Model of sexual offending (Ward </w:t>
      </w:r>
      <w:r w:rsidR="00B47C04" w:rsidRPr="002C5537">
        <w:rPr>
          <w:rFonts w:cs="Times New Roman"/>
        </w:rPr>
        <w:t>et al. 1998</w:t>
      </w:r>
      <w:r w:rsidRPr="002C5537">
        <w:rPr>
          <w:rFonts w:cs="Times New Roman"/>
        </w:rPr>
        <w:t>) is relevant because it conceptualises offending as arising from failures in self-regulation – monitoring behaviour, inhibiting impulses, and aligning actions with internal standards and longer-term goals. Mark’s behaviour appears consistent with an approach-oriented, poorly regulated pathway, where an immediate approach goal (e.g., sexual gratification, perceived intimacy, validation, or agency) becomes prioritised over inhibitory processes (e.g., empathy, moral self-sanction, risk appraisal)</w:t>
      </w:r>
      <w:r w:rsidR="00444EA1" w:rsidRPr="002C5537">
        <w:rPr>
          <w:rFonts w:cs="Times New Roman"/>
        </w:rPr>
        <w:t>, (</w:t>
      </w:r>
      <w:r w:rsidR="00B2782F" w:rsidRPr="002C5537">
        <w:rPr>
          <w:rFonts w:cs="Times New Roman"/>
        </w:rPr>
        <w:t>Seto et al</w:t>
      </w:r>
      <w:r w:rsidR="002E3C40" w:rsidRPr="002C5537">
        <w:rPr>
          <w:rFonts w:cs="Times New Roman"/>
        </w:rPr>
        <w:t>.</w:t>
      </w:r>
      <w:r w:rsidR="00B2782F" w:rsidRPr="002C5537">
        <w:rPr>
          <w:rFonts w:cs="Times New Roman"/>
        </w:rPr>
        <w:t xml:space="preserve"> 2023). </w:t>
      </w:r>
      <w:r w:rsidRPr="002C5537">
        <w:rPr>
          <w:rFonts w:cs="Times New Roman"/>
        </w:rPr>
        <w:t xml:space="preserve">The persistence despite refusal suggests either reduced processing of “stop” cues or </w:t>
      </w:r>
      <w:r w:rsidR="00BD705E" w:rsidRPr="002C5537">
        <w:rPr>
          <w:rFonts w:cs="Times New Roman"/>
        </w:rPr>
        <w:t>discounting of those cues once arousal/approach motivation was activated</w:t>
      </w:r>
      <w:r w:rsidR="00701BFE" w:rsidRPr="002C5537">
        <w:rPr>
          <w:rFonts w:cs="Times New Roman"/>
        </w:rPr>
        <w:t xml:space="preserve"> (</w:t>
      </w:r>
      <w:r w:rsidR="00B2782F" w:rsidRPr="002C5537">
        <w:rPr>
          <w:rFonts w:cs="Times New Roman"/>
        </w:rPr>
        <w:t>Burton</w:t>
      </w:r>
      <w:r w:rsidR="002E3C40" w:rsidRPr="002C5537">
        <w:rPr>
          <w:rFonts w:cs="Times New Roman"/>
        </w:rPr>
        <w:t xml:space="preserve"> et al. </w:t>
      </w:r>
      <w:r w:rsidR="00B2782F" w:rsidRPr="002C5537">
        <w:rPr>
          <w:rFonts w:cs="Times New Roman"/>
        </w:rPr>
        <w:t>2021).</w:t>
      </w:r>
      <w:r w:rsidR="00701BFE" w:rsidRPr="002C5537">
        <w:rPr>
          <w:rFonts w:cs="Times New Roman"/>
        </w:rPr>
        <w:t xml:space="preserve"> </w:t>
      </w:r>
      <w:r w:rsidR="00BD705E" w:rsidRPr="002C5537">
        <w:rPr>
          <w:rFonts w:cs="Times New Roman"/>
        </w:rPr>
        <w:t xml:space="preserve"> This is important because it frames risk as driven less by stable deviant interest (not indicated in the case material) and more by situational escalation combined with impaired behavioural stopping</w:t>
      </w:r>
      <w:r w:rsidR="002E3C40" w:rsidRPr="002C5537">
        <w:rPr>
          <w:rFonts w:cs="Times New Roman"/>
        </w:rPr>
        <w:t xml:space="preserve"> (</w:t>
      </w:r>
      <w:r w:rsidR="00AD1D2C" w:rsidRPr="002C5537">
        <w:rPr>
          <w:rFonts w:cs="Times New Roman"/>
        </w:rPr>
        <w:t>Lievesley</w:t>
      </w:r>
      <w:r w:rsidR="002E3C40" w:rsidRPr="002C5537">
        <w:rPr>
          <w:rFonts w:cs="Times New Roman"/>
        </w:rPr>
        <w:t xml:space="preserve"> </w:t>
      </w:r>
      <w:r w:rsidR="00AD1D2C" w:rsidRPr="002C5537">
        <w:rPr>
          <w:rFonts w:cs="Times New Roman"/>
        </w:rPr>
        <w:t>et al.</w:t>
      </w:r>
      <w:r w:rsidR="002E3C40" w:rsidRPr="002C5537">
        <w:rPr>
          <w:rFonts w:cs="Times New Roman"/>
        </w:rPr>
        <w:t xml:space="preserve"> </w:t>
      </w:r>
      <w:r w:rsidR="00AD1D2C" w:rsidRPr="002C5537">
        <w:rPr>
          <w:rFonts w:cs="Times New Roman"/>
        </w:rPr>
        <w:t xml:space="preserve">2024). </w:t>
      </w:r>
    </w:p>
    <w:p w14:paraId="1F934767" w14:textId="1BFDFB5D" w:rsidR="00BD705E" w:rsidRPr="002C5537" w:rsidRDefault="00BD705E" w:rsidP="00E90F77">
      <w:pPr>
        <w:spacing w:line="480" w:lineRule="auto"/>
        <w:jc w:val="both"/>
        <w:rPr>
          <w:rFonts w:cs="Times New Roman"/>
        </w:rPr>
      </w:pPr>
      <w:r w:rsidRPr="002C5537">
        <w:rPr>
          <w:rFonts w:cs="Times New Roman"/>
        </w:rPr>
        <w:tab/>
        <w:t>Alcohol is functionally relevant rather than merely contextual. Intoxication is associated with impaired executive control and weaker response inhibition, increasing the likelihood that reward cues dominate decision-making</w:t>
      </w:r>
      <w:r w:rsidR="00C0684C" w:rsidRPr="002C5537">
        <w:rPr>
          <w:rFonts w:cs="Times New Roman"/>
        </w:rPr>
        <w:t xml:space="preserve"> (Yang et al, 2022).</w:t>
      </w:r>
      <w:r w:rsidRPr="002C5537">
        <w:rPr>
          <w:rFonts w:cs="Times New Roman"/>
        </w:rPr>
        <w:t xml:space="preserve"> Mark’s alcohol misuse</w:t>
      </w:r>
      <w:r w:rsidR="002E3C40" w:rsidRPr="002C5537">
        <w:rPr>
          <w:rFonts w:cs="Times New Roman"/>
        </w:rPr>
        <w:t>,</w:t>
      </w:r>
      <w:r w:rsidRPr="002C5537">
        <w:rPr>
          <w:rFonts w:cs="Times New Roman"/>
        </w:rPr>
        <w:t xml:space="preserve"> therefore, represents a central dynamic criminogenic need: it both raises disinhibition in high-risk contexts and may function as maladaptive coping for distress or interpersonal discomfort</w:t>
      </w:r>
      <w:r w:rsidR="00C0684C" w:rsidRPr="002C5537">
        <w:rPr>
          <w:rFonts w:cs="Times New Roman"/>
        </w:rPr>
        <w:t xml:space="preserve"> (</w:t>
      </w:r>
      <w:r w:rsidR="00FD60BD" w:rsidRPr="002C5537">
        <w:rPr>
          <w:rFonts w:cs="Times New Roman"/>
        </w:rPr>
        <w:t>Matei-Mitacu</w:t>
      </w:r>
      <w:r w:rsidR="002E3C40" w:rsidRPr="002C5537">
        <w:rPr>
          <w:rFonts w:cs="Times New Roman"/>
        </w:rPr>
        <w:t xml:space="preserve"> </w:t>
      </w:r>
      <w:r w:rsidR="00FD60BD" w:rsidRPr="002C5537">
        <w:rPr>
          <w:rFonts w:cs="Times New Roman"/>
        </w:rPr>
        <w:t xml:space="preserve">et al. 2024). </w:t>
      </w:r>
    </w:p>
    <w:p w14:paraId="50BB2115" w14:textId="3E969F5B" w:rsidR="00BD705E" w:rsidRPr="002C5537" w:rsidRDefault="00BD705E" w:rsidP="00E90F77">
      <w:pPr>
        <w:spacing w:line="480" w:lineRule="auto"/>
        <w:jc w:val="both"/>
        <w:rPr>
          <w:rFonts w:cs="Times New Roman"/>
        </w:rPr>
      </w:pPr>
      <w:r w:rsidRPr="002C5537">
        <w:rPr>
          <w:rFonts w:cs="Times New Roman"/>
        </w:rPr>
        <w:tab/>
        <w:t>Mark’s post-offence account (“she misunderstood”; just drunken flirting”) and later partial acknowledgement (“went too far” but “didn’t mean any harm”) suggest minim</w:t>
      </w:r>
      <w:r w:rsidR="00330F3A" w:rsidRPr="002C5537">
        <w:rPr>
          <w:rFonts w:cs="Times New Roman"/>
        </w:rPr>
        <w:t>isation and partial externalisation of responsibility</w:t>
      </w:r>
      <w:r w:rsidR="008A39C3" w:rsidRPr="002C5537">
        <w:rPr>
          <w:rFonts w:cs="Times New Roman"/>
        </w:rPr>
        <w:t xml:space="preserve"> (Dietz</w:t>
      </w:r>
      <w:r w:rsidR="002E3C40" w:rsidRPr="002C5537">
        <w:rPr>
          <w:rFonts w:cs="Times New Roman"/>
        </w:rPr>
        <w:t>,</w:t>
      </w:r>
      <w:r w:rsidR="008A39C3" w:rsidRPr="002C5537">
        <w:rPr>
          <w:rFonts w:cs="Times New Roman"/>
        </w:rPr>
        <w:t xml:space="preserve"> 2020). </w:t>
      </w:r>
      <w:r w:rsidR="00330F3A" w:rsidRPr="002C5537">
        <w:rPr>
          <w:rFonts w:cs="Times New Roman"/>
        </w:rPr>
        <w:t>These cognitions may protect self-concept and reduce shame in the short term</w:t>
      </w:r>
      <w:r w:rsidR="008A39C3" w:rsidRPr="002C5537">
        <w:rPr>
          <w:rFonts w:cs="Times New Roman"/>
        </w:rPr>
        <w:t>, still, they</w:t>
      </w:r>
      <w:r w:rsidR="00330F3A" w:rsidRPr="002C5537">
        <w:rPr>
          <w:rFonts w:cs="Times New Roman"/>
        </w:rPr>
        <w:t xml:space="preserve"> undermine the reflective learning needed for change:</w:t>
      </w:r>
      <w:r w:rsidR="00AF09EC" w:rsidRPr="002C5537">
        <w:t xml:space="preserve"> (</w:t>
      </w:r>
      <w:r w:rsidR="00AF09EC" w:rsidRPr="002C5537">
        <w:rPr>
          <w:rFonts w:cs="Times New Roman"/>
        </w:rPr>
        <w:t>Syasyila et al</w:t>
      </w:r>
      <w:r w:rsidR="002E3C40" w:rsidRPr="002C5537">
        <w:rPr>
          <w:rFonts w:cs="Times New Roman"/>
        </w:rPr>
        <w:t>.</w:t>
      </w:r>
      <w:r w:rsidR="00AF09EC" w:rsidRPr="002C5537">
        <w:rPr>
          <w:rFonts w:cs="Times New Roman"/>
        </w:rPr>
        <w:t xml:space="preserve"> 2024).</w:t>
      </w:r>
      <w:r w:rsidR="00330F3A" w:rsidRPr="002C5537">
        <w:rPr>
          <w:rFonts w:cs="Times New Roman"/>
        </w:rPr>
        <w:t xml:space="preserve"> </w:t>
      </w:r>
      <w:r w:rsidR="00AF09EC" w:rsidRPr="002C5537">
        <w:rPr>
          <w:rFonts w:cs="Times New Roman"/>
        </w:rPr>
        <w:t>I</w:t>
      </w:r>
      <w:r w:rsidR="00330F3A" w:rsidRPr="002C5537">
        <w:rPr>
          <w:rFonts w:cs="Times New Roman"/>
        </w:rPr>
        <w:t>f the behaviour is framed as mutual or accidental, harm is less likely to be integrated, victim empathy is less likely to develop, and relapse prevention is less likely to be taken seriousl</w:t>
      </w:r>
      <w:r w:rsidR="00AF09EC" w:rsidRPr="002C5537">
        <w:rPr>
          <w:rFonts w:cs="Times New Roman"/>
        </w:rPr>
        <w:t>y (Tiask et a</w:t>
      </w:r>
      <w:r w:rsidR="002E3C40" w:rsidRPr="002C5537">
        <w:rPr>
          <w:rFonts w:cs="Times New Roman"/>
        </w:rPr>
        <w:t>l.</w:t>
      </w:r>
      <w:r w:rsidR="00AF09EC" w:rsidRPr="002C5537">
        <w:rPr>
          <w:rFonts w:cs="Times New Roman"/>
        </w:rPr>
        <w:t xml:space="preserve"> 2023).</w:t>
      </w:r>
      <w:r w:rsidR="00330F3A" w:rsidRPr="002C5537">
        <w:rPr>
          <w:rFonts w:cs="Times New Roman"/>
        </w:rPr>
        <w:t xml:space="preserve"> This indicates offence-supportive cognition around consent and responsibility as another criminogenic need.</w:t>
      </w:r>
      <w:r w:rsidR="00ED4479" w:rsidRPr="002C5537">
        <w:t xml:space="preserve"> (</w:t>
      </w:r>
      <w:r w:rsidR="00ED4479" w:rsidRPr="002C5537">
        <w:rPr>
          <w:rFonts w:cs="Times New Roman"/>
        </w:rPr>
        <w:t xml:space="preserve">Paquette, 2021). </w:t>
      </w:r>
    </w:p>
    <w:p w14:paraId="1EDE583D" w14:textId="5CE385F4" w:rsidR="00330F3A" w:rsidRPr="002C5537" w:rsidRDefault="00330F3A" w:rsidP="00E90F77">
      <w:pPr>
        <w:spacing w:line="480" w:lineRule="auto"/>
        <w:jc w:val="both"/>
        <w:rPr>
          <w:rFonts w:cs="Times New Roman"/>
        </w:rPr>
      </w:pPr>
      <w:r w:rsidRPr="002C5537">
        <w:rPr>
          <w:rFonts w:cs="Times New Roman"/>
        </w:rPr>
        <w:tab/>
        <w:t>In the unit, Mark is cooperative but defensive when discussing the offence, uncomfortable with emotional material, and prone to rationalisation. This suggests shame-avoidant coping: intellectualising and distancing may reduce distress but can block the emotional processing required for accountability and empathy</w:t>
      </w:r>
      <w:r w:rsidR="00E026E8" w:rsidRPr="002C5537">
        <w:rPr>
          <w:rFonts w:cs="Times New Roman"/>
        </w:rPr>
        <w:t xml:space="preserve"> (Garofalo et al</w:t>
      </w:r>
      <w:r w:rsidR="002E3C40" w:rsidRPr="002C5537">
        <w:rPr>
          <w:rFonts w:cs="Times New Roman"/>
        </w:rPr>
        <w:t>.</w:t>
      </w:r>
      <w:r w:rsidR="00E026E8" w:rsidRPr="002C5537">
        <w:rPr>
          <w:rFonts w:cs="Times New Roman"/>
        </w:rPr>
        <w:t xml:space="preserve"> 2025).</w:t>
      </w:r>
      <w:r w:rsidRPr="002C5537">
        <w:rPr>
          <w:rFonts w:cs="Times New Roman"/>
        </w:rPr>
        <w:t xml:space="preserve"> If Mark cannot tolerate </w:t>
      </w:r>
      <w:r w:rsidR="004F524A" w:rsidRPr="002C5537">
        <w:rPr>
          <w:rFonts w:cs="Times New Roman"/>
        </w:rPr>
        <w:t>offence-related emotions long enough to reflect and mentalise the victim’s experience, treatment may remain superficial and the risk mechanisms (disinhibition, minimisation, impaired stopping) may not shift meaningfully</w:t>
      </w:r>
      <w:r w:rsidR="00B97B20" w:rsidRPr="002C5537">
        <w:rPr>
          <w:rFonts w:cs="Times New Roman"/>
        </w:rPr>
        <w:t xml:space="preserve"> (Jonas et al, 2022). </w:t>
      </w:r>
      <w:r w:rsidR="004F524A" w:rsidRPr="002C5537">
        <w:rPr>
          <w:rFonts w:cs="Times New Roman"/>
        </w:rPr>
        <w:t>His shame alongside resentment about the “sex offender” label indicates ambivalence, meaning engagement may be inconsistent without motivational enhancement</w:t>
      </w:r>
      <w:r w:rsidR="00AC3408" w:rsidRPr="002C5537">
        <w:rPr>
          <w:rFonts w:cs="Times New Roman"/>
        </w:rPr>
        <w:t xml:space="preserve"> (Lindegren</w:t>
      </w:r>
      <w:r w:rsidR="003B5A4C" w:rsidRPr="002C5537">
        <w:rPr>
          <w:rFonts w:cs="Times New Roman"/>
        </w:rPr>
        <w:t xml:space="preserve">, </w:t>
      </w:r>
      <w:r w:rsidR="00AC3408" w:rsidRPr="002C5537">
        <w:rPr>
          <w:rFonts w:cs="Times New Roman"/>
        </w:rPr>
        <w:t>2025).</w:t>
      </w:r>
    </w:p>
    <w:p w14:paraId="051DAD01" w14:textId="49C950AA" w:rsidR="004F524A" w:rsidRPr="002C5537" w:rsidRDefault="004F524A" w:rsidP="00E90F77">
      <w:pPr>
        <w:spacing w:line="480" w:lineRule="auto"/>
        <w:jc w:val="both"/>
        <w:rPr>
          <w:rFonts w:cs="Times New Roman"/>
          <w:b/>
          <w:bCs/>
        </w:rPr>
      </w:pPr>
      <w:r w:rsidRPr="002C5537">
        <w:rPr>
          <w:rFonts w:cs="Times New Roman"/>
          <w:b/>
          <w:bCs/>
        </w:rPr>
        <w:t>Predisposing factors</w:t>
      </w:r>
    </w:p>
    <w:p w14:paraId="44A64117" w14:textId="6685A369" w:rsidR="00636954" w:rsidRPr="002C5537" w:rsidRDefault="00636954" w:rsidP="00E90F77">
      <w:pPr>
        <w:spacing w:line="480" w:lineRule="auto"/>
        <w:jc w:val="both"/>
        <w:rPr>
          <w:rFonts w:cs="Times New Roman"/>
        </w:rPr>
      </w:pPr>
      <w:r w:rsidRPr="002C5537">
        <w:rPr>
          <w:rFonts w:cs="Times New Roman"/>
          <w:b/>
          <w:bCs/>
        </w:rPr>
        <w:tab/>
      </w:r>
      <w:r w:rsidRPr="002C5537">
        <w:rPr>
          <w:rFonts w:cs="Times New Roman"/>
        </w:rPr>
        <w:t>Mark reports a “chaotic and unpredictable” childhood with a heavy-drinking father who was aggressive toward his mother. Attachment theory provides a plausible developmental pathway: inconsistent or frightening caregiving can impair co-regulation, shaping insecure internal working models and increasing reliance on defensive strategies (e.g., emotional suppression, distancing)</w:t>
      </w:r>
      <w:r w:rsidR="00C01550" w:rsidRPr="002C5537">
        <w:rPr>
          <w:rFonts w:cs="Times New Roman"/>
        </w:rPr>
        <w:t xml:space="preserve">, </w:t>
      </w:r>
      <w:r w:rsidRPr="002C5537">
        <w:rPr>
          <w:rFonts w:cs="Times New Roman"/>
        </w:rPr>
        <w:t>rather than reflective coping</w:t>
      </w:r>
      <w:r w:rsidR="00C01550" w:rsidRPr="002C5537">
        <w:rPr>
          <w:rFonts w:cs="Times New Roman"/>
        </w:rPr>
        <w:t xml:space="preserve"> (Grady </w:t>
      </w:r>
      <w:r w:rsidR="003B5A4C" w:rsidRPr="002C5537">
        <w:rPr>
          <w:rFonts w:cs="Times New Roman"/>
        </w:rPr>
        <w:t>&amp; Yoder,</w:t>
      </w:r>
      <w:r w:rsidR="002E3C40" w:rsidRPr="002C5537">
        <w:rPr>
          <w:rFonts w:cs="Times New Roman"/>
        </w:rPr>
        <w:t xml:space="preserve"> </w:t>
      </w:r>
      <w:r w:rsidR="00C01550" w:rsidRPr="002C5537">
        <w:rPr>
          <w:rFonts w:cs="Times New Roman"/>
        </w:rPr>
        <w:t xml:space="preserve">2024). </w:t>
      </w:r>
      <w:r w:rsidRPr="002C5537">
        <w:rPr>
          <w:rFonts w:cs="Times New Roman"/>
        </w:rPr>
        <w:t>Applied cautiously, this may contribute to adult difficulties tolerating vulnerability, managing relational stress, and regulating negative affect – factors relevant to Mark’s emotional volatility and relationship breakdown</w:t>
      </w:r>
      <w:r w:rsidR="00A92E54" w:rsidRPr="002C5537">
        <w:rPr>
          <w:rFonts w:cs="Times New Roman"/>
        </w:rPr>
        <w:t xml:space="preserve"> (Mosannenzadeh et al</w:t>
      </w:r>
      <w:r w:rsidR="002E3C40" w:rsidRPr="002C5537">
        <w:rPr>
          <w:rFonts w:cs="Times New Roman"/>
        </w:rPr>
        <w:t>.</w:t>
      </w:r>
      <w:r w:rsidR="00A92E54" w:rsidRPr="002C5537">
        <w:rPr>
          <w:rFonts w:cs="Times New Roman"/>
        </w:rPr>
        <w:t xml:space="preserve"> 2024).</w:t>
      </w:r>
    </w:p>
    <w:p w14:paraId="4A2181BD" w14:textId="420D4A53" w:rsidR="00636954" w:rsidRPr="002C5537" w:rsidRDefault="00636954" w:rsidP="00E90F77">
      <w:pPr>
        <w:spacing w:line="480" w:lineRule="auto"/>
        <w:jc w:val="both"/>
        <w:rPr>
          <w:rFonts w:cs="Times New Roman"/>
        </w:rPr>
      </w:pPr>
      <w:r w:rsidRPr="002C5537">
        <w:rPr>
          <w:rFonts w:cs="Times New Roman"/>
        </w:rPr>
        <w:tab/>
        <w:t>In adulthood, insecure coping patterns are often activated during conflict, rejection, or loss</w:t>
      </w:r>
      <w:r w:rsidR="00A92E54" w:rsidRPr="002C5537">
        <w:rPr>
          <w:rFonts w:cs="Times New Roman"/>
        </w:rPr>
        <w:t xml:space="preserve"> </w:t>
      </w:r>
      <w:r w:rsidR="00B3658B" w:rsidRPr="002C5537">
        <w:rPr>
          <w:rFonts w:cs="Times New Roman"/>
        </w:rPr>
        <w:t>(</w:t>
      </w:r>
      <w:r w:rsidR="00A92E54" w:rsidRPr="002C5537">
        <w:rPr>
          <w:rFonts w:cs="Times New Roman"/>
        </w:rPr>
        <w:t>Ferraro</w:t>
      </w:r>
      <w:r w:rsidR="00B3658B" w:rsidRPr="002C5537">
        <w:rPr>
          <w:rFonts w:cs="Times New Roman"/>
        </w:rPr>
        <w:t xml:space="preserve"> </w:t>
      </w:r>
      <w:r w:rsidR="003B5A4C" w:rsidRPr="002C5537">
        <w:rPr>
          <w:rFonts w:cs="Times New Roman"/>
        </w:rPr>
        <w:t xml:space="preserve">&amp; Taylor, </w:t>
      </w:r>
      <w:r w:rsidR="00B3658B" w:rsidRPr="002C5537">
        <w:rPr>
          <w:rFonts w:cs="Times New Roman"/>
        </w:rPr>
        <w:t xml:space="preserve"> 2021)</w:t>
      </w:r>
      <w:r w:rsidRPr="002C5537">
        <w:rPr>
          <w:rFonts w:cs="Times New Roman"/>
        </w:rPr>
        <w:t>. Mark’s marriage ended amid increasing alcohol misuse and emotional volatility, and his prior harassment conviction (threatening messages to his ex-partner) indicates difficulties managing relational threat and boundaries under emotional arousal</w:t>
      </w:r>
      <w:r w:rsidR="00B3658B" w:rsidRPr="002C5537">
        <w:rPr>
          <w:rFonts w:cs="Times New Roman"/>
        </w:rPr>
        <w:t xml:space="preserve"> (Gonzale</w:t>
      </w:r>
      <w:r w:rsidR="003B5A4C" w:rsidRPr="002C5537">
        <w:rPr>
          <w:rFonts w:cs="Times New Roman"/>
        </w:rPr>
        <w:t>z-Roz</w:t>
      </w:r>
      <w:r w:rsidR="00B3658B" w:rsidRPr="002C5537">
        <w:rPr>
          <w:rFonts w:cs="Times New Roman"/>
        </w:rPr>
        <w:t xml:space="preserve"> et al</w:t>
      </w:r>
      <w:r w:rsidR="002E3C40" w:rsidRPr="002C5537">
        <w:rPr>
          <w:rFonts w:cs="Times New Roman"/>
        </w:rPr>
        <w:t>.</w:t>
      </w:r>
      <w:r w:rsidR="00B3658B" w:rsidRPr="002C5537">
        <w:rPr>
          <w:rFonts w:cs="Times New Roman"/>
        </w:rPr>
        <w:t xml:space="preserve"> 2024).</w:t>
      </w:r>
      <w:r w:rsidRPr="002C5537">
        <w:rPr>
          <w:rFonts w:cs="Times New Roman"/>
        </w:rPr>
        <w:t xml:space="preserve"> These features suggest broader interpersonal dysregulation: the sexual offence may sit within a wider pattern of dysregulated responding to interpersonal contexts, even if the specific offence type is new</w:t>
      </w:r>
      <w:r w:rsidR="003134E8" w:rsidRPr="002C5537">
        <w:rPr>
          <w:rFonts w:cs="Times New Roman"/>
        </w:rPr>
        <w:t xml:space="preserve"> (Seto et al</w:t>
      </w:r>
      <w:r w:rsidR="002E3C40" w:rsidRPr="002C5537">
        <w:rPr>
          <w:rFonts w:cs="Times New Roman"/>
        </w:rPr>
        <w:t>.</w:t>
      </w:r>
      <w:r w:rsidR="003134E8" w:rsidRPr="002C5537">
        <w:rPr>
          <w:rFonts w:cs="Times New Roman"/>
        </w:rPr>
        <w:t xml:space="preserve"> 2023).</w:t>
      </w:r>
    </w:p>
    <w:p w14:paraId="0E891370" w14:textId="754C9710" w:rsidR="00996C3D" w:rsidRPr="002C5537" w:rsidRDefault="00636954" w:rsidP="00E90F77">
      <w:pPr>
        <w:spacing w:line="480" w:lineRule="auto"/>
        <w:jc w:val="both"/>
        <w:rPr>
          <w:rFonts w:cs="Times New Roman"/>
        </w:rPr>
      </w:pPr>
      <w:r w:rsidRPr="002C5537">
        <w:rPr>
          <w:rFonts w:cs="Times New Roman"/>
        </w:rPr>
        <w:tab/>
        <w:t xml:space="preserve">Bandura’s Social Cognitive Theory (SCT) </w:t>
      </w:r>
      <w:r w:rsidR="003134E8" w:rsidRPr="002C5537">
        <w:rPr>
          <w:rFonts w:cs="Times New Roman"/>
        </w:rPr>
        <w:t xml:space="preserve">(Bandura, 1986), </w:t>
      </w:r>
      <w:r w:rsidRPr="002C5537">
        <w:rPr>
          <w:rFonts w:cs="Times New Roman"/>
        </w:rPr>
        <w:t>further supports a developmental-cognitive account</w:t>
      </w:r>
      <w:r w:rsidR="00996C3D" w:rsidRPr="002C5537">
        <w:rPr>
          <w:rFonts w:cs="Times New Roman"/>
        </w:rPr>
        <w:t>. In environments where alcohol misuse and aggression are prominent, individuals may acquire outcome expectancies (e.g., alcohol reduces discomfort, increases confidence, or legitimises behaviour), reduced self-efficacy for managing distress prosocially, and weaker self-regulatory skills under arousal</w:t>
      </w:r>
      <w:r w:rsidR="00C12F70" w:rsidRPr="002C5537">
        <w:rPr>
          <w:rFonts w:cs="Times New Roman"/>
        </w:rPr>
        <w:t xml:space="preserve"> (Pinkquart </w:t>
      </w:r>
      <w:r w:rsidR="003B5A4C" w:rsidRPr="002C5537">
        <w:rPr>
          <w:rFonts w:cs="Times New Roman"/>
        </w:rPr>
        <w:t xml:space="preserve">&amp; Borgolte, </w:t>
      </w:r>
      <w:r w:rsidR="00C12F70" w:rsidRPr="002C5537">
        <w:rPr>
          <w:rFonts w:cs="Times New Roman"/>
        </w:rPr>
        <w:t xml:space="preserve"> 2025). This</w:t>
      </w:r>
      <w:r w:rsidR="00996C3D" w:rsidRPr="002C5537">
        <w:rPr>
          <w:rFonts w:cs="Times New Roman"/>
        </w:rPr>
        <w:t xml:space="preserve"> learning history aligns with Mark’s later alcohol misuse, emotional volatility, and boundary difficulties. SCT also highlights moral disengagement: cognitive processes that reduce self-sanction (e.g., downplaying harm, redefining behaviour as harmless flirtation). Mark’s “drunken flirting” framing is consistent with this, potentially reducing guilt while weakening accountability and learning. </w:t>
      </w:r>
      <w:r w:rsidR="003620E4" w:rsidRPr="002C5537">
        <w:rPr>
          <w:rFonts w:cs="Times New Roman"/>
        </w:rPr>
        <w:t>(Concha-Salgado et al</w:t>
      </w:r>
      <w:r w:rsidR="002E3C40" w:rsidRPr="002C5537">
        <w:rPr>
          <w:rFonts w:cs="Times New Roman"/>
        </w:rPr>
        <w:t xml:space="preserve">. </w:t>
      </w:r>
      <w:r w:rsidR="003620E4" w:rsidRPr="002C5537">
        <w:rPr>
          <w:rFonts w:cs="Times New Roman"/>
        </w:rPr>
        <w:t xml:space="preserve">2022). </w:t>
      </w:r>
      <w:r w:rsidR="00996C3D" w:rsidRPr="002C5537">
        <w:rPr>
          <w:rFonts w:cs="Times New Roman"/>
        </w:rPr>
        <w:t>Together, these predisposing factors point to vulnerabilities in emotion regulation, alcohol-related coping, interpersonal boundaries, and self-sanction processes – conditions that increase susceptibility to self-regulation breakdown in high-risk situations.</w:t>
      </w:r>
      <w:r w:rsidR="007A301D" w:rsidRPr="002C5537">
        <w:t xml:space="preserve"> (</w:t>
      </w:r>
      <w:r w:rsidR="007A301D" w:rsidRPr="002C5537">
        <w:rPr>
          <w:rFonts w:cs="Times New Roman"/>
        </w:rPr>
        <w:t>Zaorska et al</w:t>
      </w:r>
      <w:r w:rsidR="002E3C40" w:rsidRPr="002C5537">
        <w:rPr>
          <w:rFonts w:cs="Times New Roman"/>
        </w:rPr>
        <w:t>.</w:t>
      </w:r>
      <w:r w:rsidR="007A301D" w:rsidRPr="002C5537">
        <w:rPr>
          <w:rFonts w:cs="Times New Roman"/>
        </w:rPr>
        <w:t xml:space="preserve"> 2023</w:t>
      </w:r>
      <w:r w:rsidR="002E3C40" w:rsidRPr="002C5537">
        <w:rPr>
          <w:rFonts w:cs="Times New Roman"/>
        </w:rPr>
        <w:t xml:space="preserve">; </w:t>
      </w:r>
      <w:r w:rsidR="007A301D" w:rsidRPr="002C5537">
        <w:rPr>
          <w:rFonts w:cs="Times New Roman"/>
        </w:rPr>
        <w:t>Syasyila et al</w:t>
      </w:r>
      <w:r w:rsidR="002E3C40" w:rsidRPr="002C5537">
        <w:rPr>
          <w:rFonts w:cs="Times New Roman"/>
        </w:rPr>
        <w:t>.</w:t>
      </w:r>
      <w:r w:rsidR="007A301D" w:rsidRPr="002C5537">
        <w:rPr>
          <w:rFonts w:cs="Times New Roman"/>
        </w:rPr>
        <w:t xml:space="preserve"> 2024</w:t>
      </w:r>
      <w:r w:rsidR="002E3C40" w:rsidRPr="002C5537">
        <w:rPr>
          <w:rFonts w:cs="Times New Roman"/>
        </w:rPr>
        <w:t>;</w:t>
      </w:r>
      <w:r w:rsidR="007A301D" w:rsidRPr="002C5537">
        <w:rPr>
          <w:rFonts w:cs="Times New Roman"/>
        </w:rPr>
        <w:t xml:space="preserve"> Gonzales et al</w:t>
      </w:r>
      <w:r w:rsidR="002E3C40" w:rsidRPr="002C5537">
        <w:rPr>
          <w:rFonts w:cs="Times New Roman"/>
        </w:rPr>
        <w:t xml:space="preserve">. </w:t>
      </w:r>
      <w:r w:rsidR="007A301D" w:rsidRPr="002C5537">
        <w:rPr>
          <w:rFonts w:cs="Times New Roman"/>
        </w:rPr>
        <w:t>2024).</w:t>
      </w:r>
    </w:p>
    <w:p w14:paraId="53CA304F" w14:textId="19A99E6F" w:rsidR="00996C3D" w:rsidRPr="002C5537" w:rsidRDefault="00996C3D" w:rsidP="00E90F77">
      <w:pPr>
        <w:spacing w:line="480" w:lineRule="auto"/>
        <w:jc w:val="both"/>
        <w:rPr>
          <w:rFonts w:cs="Times New Roman"/>
          <w:b/>
          <w:bCs/>
        </w:rPr>
      </w:pPr>
      <w:r w:rsidRPr="002C5537">
        <w:rPr>
          <w:rFonts w:cs="Times New Roman"/>
          <w:b/>
          <w:bCs/>
        </w:rPr>
        <w:t>Precipitating Factors</w:t>
      </w:r>
    </w:p>
    <w:p w14:paraId="15100D6F" w14:textId="1831EAF5" w:rsidR="00996C3D" w:rsidRPr="002C5537" w:rsidRDefault="00996C3D" w:rsidP="00E90F77">
      <w:pPr>
        <w:spacing w:line="480" w:lineRule="auto"/>
        <w:jc w:val="both"/>
        <w:rPr>
          <w:rFonts w:cs="Times New Roman"/>
        </w:rPr>
      </w:pPr>
      <w:r w:rsidRPr="002C5537">
        <w:rPr>
          <w:rFonts w:cs="Times New Roman"/>
        </w:rPr>
        <w:tab/>
        <w:t xml:space="preserve">The offence occurred at an office party with alcohol and a socially permissive atmosphere. This context likely increased opportunity, ambiguity, and reduced external controls, making internal self-regulation more critical. Mark </w:t>
      </w:r>
      <w:r w:rsidR="00632292" w:rsidRPr="002C5537">
        <w:rPr>
          <w:rFonts w:cs="Times New Roman"/>
        </w:rPr>
        <w:t>may have been motivated by immediate approach goals (sexual gratification, validation, perceived intimacy, agency) and – once arousal/approach was activated – failed to inhibit behaviour when refusal cues emerged.</w:t>
      </w:r>
      <w:r w:rsidR="00B130D6" w:rsidRPr="002C5537">
        <w:rPr>
          <w:rFonts w:cs="Times New Roman"/>
        </w:rPr>
        <w:t xml:space="preserve"> (Seto et al</w:t>
      </w:r>
      <w:r w:rsidR="002E3C40" w:rsidRPr="002C5537">
        <w:rPr>
          <w:rFonts w:cs="Times New Roman"/>
        </w:rPr>
        <w:t>.</w:t>
      </w:r>
      <w:r w:rsidR="00B130D6" w:rsidRPr="002C5537">
        <w:rPr>
          <w:rFonts w:cs="Times New Roman"/>
        </w:rPr>
        <w:t xml:space="preserve"> 2023</w:t>
      </w:r>
      <w:r w:rsidR="002E3C40" w:rsidRPr="002C5537">
        <w:rPr>
          <w:rFonts w:cs="Times New Roman"/>
        </w:rPr>
        <w:t xml:space="preserve">; </w:t>
      </w:r>
      <w:r w:rsidR="009C428D" w:rsidRPr="002C5537">
        <w:rPr>
          <w:rFonts w:cs="Times New Roman"/>
        </w:rPr>
        <w:t>Davis et al. 2021</w:t>
      </w:r>
      <w:r w:rsidR="00B130D6" w:rsidRPr="002C5537">
        <w:rPr>
          <w:rFonts w:cs="Times New Roman"/>
        </w:rPr>
        <w:t>).</w:t>
      </w:r>
    </w:p>
    <w:p w14:paraId="18524F46" w14:textId="6ED5F83A" w:rsidR="00632292" w:rsidRPr="002C5537" w:rsidRDefault="00632292" w:rsidP="00E90F77">
      <w:pPr>
        <w:spacing w:line="480" w:lineRule="auto"/>
        <w:jc w:val="both"/>
        <w:rPr>
          <w:rFonts w:cs="Times New Roman"/>
        </w:rPr>
      </w:pPr>
      <w:r w:rsidRPr="002C5537">
        <w:rPr>
          <w:rFonts w:cs="Times New Roman"/>
        </w:rPr>
        <w:tab/>
        <w:t xml:space="preserve">Alcohol intoxication is the most robust precipitant because it was present and is strongly associated with impaired behavioural control </w:t>
      </w:r>
      <w:r w:rsidR="00B130D6" w:rsidRPr="002C5537">
        <w:rPr>
          <w:rFonts w:cs="Times New Roman"/>
        </w:rPr>
        <w:t>(Meldrum et al</w:t>
      </w:r>
      <w:r w:rsidR="002E3C40" w:rsidRPr="002C5537">
        <w:rPr>
          <w:rFonts w:cs="Times New Roman"/>
        </w:rPr>
        <w:t>.</w:t>
      </w:r>
      <w:r w:rsidR="00B130D6" w:rsidRPr="002C5537">
        <w:rPr>
          <w:rFonts w:cs="Times New Roman"/>
        </w:rPr>
        <w:t xml:space="preserve"> 2024). </w:t>
      </w:r>
      <w:r w:rsidRPr="002C5537">
        <w:rPr>
          <w:rFonts w:cs="Times New Roman"/>
        </w:rPr>
        <w:t>Within SRM terms, intoxication can trigger self-regulation breakdown by weakening monitoring, reducing reflective decision-making, and impairing response inhibition</w:t>
      </w:r>
      <w:r w:rsidR="00C45986" w:rsidRPr="002C5537">
        <w:rPr>
          <w:rFonts w:cs="Times New Roman"/>
        </w:rPr>
        <w:t xml:space="preserve"> (</w:t>
      </w:r>
      <w:r w:rsidR="00265C87" w:rsidRPr="002C5537">
        <w:rPr>
          <w:rFonts w:cs="Times New Roman"/>
        </w:rPr>
        <w:t>Rabaud</w:t>
      </w:r>
      <w:r w:rsidR="003B5A4C" w:rsidRPr="002C5537">
        <w:rPr>
          <w:rFonts w:cs="Times New Roman"/>
        </w:rPr>
        <w:t xml:space="preserve"> et al. </w:t>
      </w:r>
      <w:r w:rsidR="00265C87" w:rsidRPr="002C5537">
        <w:rPr>
          <w:rFonts w:cs="Times New Roman"/>
        </w:rPr>
        <w:t>2025</w:t>
      </w:r>
      <w:r w:rsidR="00C45986" w:rsidRPr="002C5537">
        <w:rPr>
          <w:rFonts w:cs="Times New Roman"/>
        </w:rPr>
        <w:t>).</w:t>
      </w:r>
      <w:r w:rsidRPr="002C5537">
        <w:rPr>
          <w:rFonts w:cs="Times New Roman"/>
        </w:rPr>
        <w:t xml:space="preserve"> In Mark’s case, this plausibly increased reward-driven responding and reduced his capacity to stop once the victim refused</w:t>
      </w:r>
      <w:r w:rsidR="00C45986" w:rsidRPr="002C5537">
        <w:rPr>
          <w:rFonts w:cs="Times New Roman"/>
        </w:rPr>
        <w:t xml:space="preserve"> (McPhee </w:t>
      </w:r>
      <w:r w:rsidR="003B5A4C" w:rsidRPr="002C5537">
        <w:rPr>
          <w:rFonts w:cs="Times New Roman"/>
        </w:rPr>
        <w:t xml:space="preserve">&amp; Hendershot, </w:t>
      </w:r>
      <w:r w:rsidR="00C45986" w:rsidRPr="002C5537">
        <w:rPr>
          <w:rFonts w:cs="Times New Roman"/>
        </w:rPr>
        <w:t>2023).</w:t>
      </w:r>
    </w:p>
    <w:p w14:paraId="14F0870A" w14:textId="79757ABD" w:rsidR="00632292" w:rsidRPr="002C5537" w:rsidRDefault="00632292" w:rsidP="00E90F77">
      <w:pPr>
        <w:spacing w:line="480" w:lineRule="auto"/>
        <w:jc w:val="both"/>
        <w:rPr>
          <w:rFonts w:cs="Times New Roman"/>
        </w:rPr>
      </w:pPr>
      <w:r w:rsidRPr="002C5537">
        <w:rPr>
          <w:rFonts w:cs="Times New Roman"/>
        </w:rPr>
        <w:tab/>
        <w:t>Alcohol Myopia Theory (Steele</w:t>
      </w:r>
      <w:r w:rsidR="00967E10" w:rsidRPr="002C5537">
        <w:rPr>
          <w:rFonts w:cs="Times New Roman"/>
        </w:rPr>
        <w:t xml:space="preserve"> et al</w:t>
      </w:r>
      <w:r w:rsidR="002E3C40" w:rsidRPr="002C5537">
        <w:rPr>
          <w:rFonts w:cs="Times New Roman"/>
        </w:rPr>
        <w:t>.</w:t>
      </w:r>
      <w:r w:rsidR="00967E10" w:rsidRPr="002C5537">
        <w:rPr>
          <w:rFonts w:cs="Times New Roman"/>
        </w:rPr>
        <w:t xml:space="preserve"> 1990</w:t>
      </w:r>
      <w:r w:rsidRPr="002C5537">
        <w:rPr>
          <w:rFonts w:cs="Times New Roman"/>
        </w:rPr>
        <w:t>) provides a mechanism: intoxication narrows attention toward salient immediate cues (arousal, perceived flirtation, social reward) while reducing attention to inhibitory cues (refusal, distress, consequences, moral standards)</w:t>
      </w:r>
      <w:r w:rsidR="005D0B7A" w:rsidRPr="002C5537">
        <w:rPr>
          <w:rFonts w:cs="Times New Roman"/>
        </w:rPr>
        <w:t xml:space="preserve"> (Baltariu et al</w:t>
      </w:r>
      <w:r w:rsidR="002E3C40" w:rsidRPr="002C5537">
        <w:rPr>
          <w:rFonts w:cs="Times New Roman"/>
        </w:rPr>
        <w:t>.</w:t>
      </w:r>
      <w:r w:rsidR="005D0B7A" w:rsidRPr="002C5537">
        <w:rPr>
          <w:rFonts w:cs="Times New Roman"/>
        </w:rPr>
        <w:t xml:space="preserve"> 2023).</w:t>
      </w:r>
      <w:r w:rsidRPr="002C5537">
        <w:rPr>
          <w:rFonts w:cs="Times New Roman"/>
        </w:rPr>
        <w:t xml:space="preserve"> Applied to Mark, this helps explain how refusal may have been downweighted or insufficiently processed, increasing risk of persistence despite clear resistance</w:t>
      </w:r>
      <w:r w:rsidR="005D0B7A" w:rsidRPr="002C5537">
        <w:rPr>
          <w:rFonts w:cs="Times New Roman"/>
        </w:rPr>
        <w:t xml:space="preserve"> (Yang et al</w:t>
      </w:r>
      <w:r w:rsidR="002E3C40" w:rsidRPr="002C5537">
        <w:rPr>
          <w:rFonts w:cs="Times New Roman"/>
        </w:rPr>
        <w:t>.</w:t>
      </w:r>
      <w:r w:rsidR="005D0B7A" w:rsidRPr="002C5537">
        <w:rPr>
          <w:rFonts w:cs="Times New Roman"/>
        </w:rPr>
        <w:t xml:space="preserve"> 2022). </w:t>
      </w:r>
    </w:p>
    <w:p w14:paraId="6A2921DF" w14:textId="33DFAD94" w:rsidR="00632292" w:rsidRPr="002C5537" w:rsidRDefault="00632292" w:rsidP="00E90F77">
      <w:pPr>
        <w:spacing w:line="480" w:lineRule="auto"/>
        <w:jc w:val="both"/>
        <w:rPr>
          <w:rFonts w:cs="Times New Roman"/>
        </w:rPr>
      </w:pPr>
      <w:r w:rsidRPr="002C5537">
        <w:rPr>
          <w:rFonts w:cs="Times New Roman"/>
        </w:rPr>
        <w:tab/>
        <w:t xml:space="preserve">The wider social context may have compounded this: office parties often involve blurred boundaries and social ambiguity. Under intoxication, interpretive bias becomes more likely, and accountability may feel diluted. Mark’s later claim of “misunderstanding” may reflect an </w:t>
      </w:r>
      <w:r w:rsidR="00854154" w:rsidRPr="002C5537">
        <w:rPr>
          <w:rFonts w:cs="Times New Roman"/>
        </w:rPr>
        <w:t>offence-consistent appraisal bias where “go” cues were prioritised and “stop” cues were discounted</w:t>
      </w:r>
      <w:r w:rsidR="005D0B7A" w:rsidRPr="002C5537">
        <w:rPr>
          <w:rFonts w:cs="Times New Roman"/>
        </w:rPr>
        <w:t xml:space="preserve"> (Eastwood et al</w:t>
      </w:r>
      <w:r w:rsidR="002E3C40" w:rsidRPr="002C5537">
        <w:rPr>
          <w:rFonts w:cs="Times New Roman"/>
        </w:rPr>
        <w:t>.</w:t>
      </w:r>
      <w:r w:rsidR="005D0B7A" w:rsidRPr="002C5537">
        <w:rPr>
          <w:rFonts w:cs="Times New Roman"/>
        </w:rPr>
        <w:t xml:space="preserve"> 2020). </w:t>
      </w:r>
      <w:r w:rsidR="00854154" w:rsidRPr="002C5537">
        <w:rPr>
          <w:rFonts w:cs="Times New Roman"/>
        </w:rPr>
        <w:t>Attachment-informed accounts also suggest that socially intimate contexts may be activating for individuals sensitive to rejection or in need of validation; if present, this could amplify approach motivation, increasing risk when combined with alcohol-related disinhibition.</w:t>
      </w:r>
      <w:r w:rsidR="003A4B44" w:rsidRPr="002C5537">
        <w:rPr>
          <w:rFonts w:cs="Times New Roman"/>
        </w:rPr>
        <w:t xml:space="preserve"> (Grady </w:t>
      </w:r>
      <w:r w:rsidR="003B5A4C" w:rsidRPr="002C5537">
        <w:rPr>
          <w:rFonts w:cs="Times New Roman"/>
        </w:rPr>
        <w:t xml:space="preserve">&amp; Yoder, </w:t>
      </w:r>
      <w:r w:rsidR="003A4B44" w:rsidRPr="002C5537">
        <w:rPr>
          <w:rFonts w:cs="Times New Roman"/>
        </w:rPr>
        <w:t xml:space="preserve">2024). </w:t>
      </w:r>
      <w:r w:rsidR="00854154" w:rsidRPr="002C5537">
        <w:rPr>
          <w:rFonts w:cs="Times New Roman"/>
        </w:rPr>
        <w:t>Overall, the precipitating pathway is best conceptualised as an interaction between alcohol-driven impairment of inhibition/attention, situational opportunity and ambiguity, and elevated motivational salience of immediate reward</w:t>
      </w:r>
      <w:r w:rsidR="003A4B44" w:rsidRPr="002C5537">
        <w:rPr>
          <w:rFonts w:cs="Times New Roman"/>
        </w:rPr>
        <w:t xml:space="preserve"> (Meldrum et al</w:t>
      </w:r>
      <w:r w:rsidR="002E3C40" w:rsidRPr="002C5537">
        <w:rPr>
          <w:rFonts w:cs="Times New Roman"/>
        </w:rPr>
        <w:t>.</w:t>
      </w:r>
      <w:r w:rsidR="003A4B44" w:rsidRPr="002C5537">
        <w:rPr>
          <w:rFonts w:cs="Times New Roman"/>
        </w:rPr>
        <w:t xml:space="preserve"> 2024).</w:t>
      </w:r>
    </w:p>
    <w:p w14:paraId="17F1C329" w14:textId="09D5FBA3" w:rsidR="00854154" w:rsidRPr="002C5537" w:rsidRDefault="00854154" w:rsidP="00E90F77">
      <w:pPr>
        <w:spacing w:line="480" w:lineRule="auto"/>
        <w:jc w:val="both"/>
        <w:rPr>
          <w:rFonts w:cs="Times New Roman"/>
          <w:b/>
          <w:bCs/>
        </w:rPr>
      </w:pPr>
      <w:r w:rsidRPr="002C5537">
        <w:rPr>
          <w:rFonts w:cs="Times New Roman"/>
          <w:b/>
          <w:bCs/>
        </w:rPr>
        <w:t>Perpetuating Factors</w:t>
      </w:r>
    </w:p>
    <w:p w14:paraId="735EA357" w14:textId="0B5DBB35" w:rsidR="00854154" w:rsidRPr="002C5537" w:rsidRDefault="00854154" w:rsidP="00E90F77">
      <w:pPr>
        <w:spacing w:line="480" w:lineRule="auto"/>
        <w:jc w:val="both"/>
        <w:rPr>
          <w:rFonts w:cs="Times New Roman"/>
        </w:rPr>
      </w:pPr>
      <w:r w:rsidRPr="002C5537">
        <w:rPr>
          <w:rFonts w:cs="Times New Roman"/>
        </w:rPr>
        <w:tab/>
        <w:t>Several processes may maintain Mark’s risk by preventing reflective learning and consolidation of internal control. Within SRM, sustained risk reduction requires accurate appraisal of behaviour, emotional processing that supports self-sanction, and translation of insight into self-management strategies</w:t>
      </w:r>
      <w:r w:rsidR="00E746B0" w:rsidRPr="002C5537">
        <w:rPr>
          <w:rFonts w:cs="Times New Roman"/>
        </w:rPr>
        <w:t xml:space="preserve"> (Lindegren</w:t>
      </w:r>
      <w:r w:rsidR="003B5A4C" w:rsidRPr="002C5537">
        <w:rPr>
          <w:rFonts w:cs="Times New Roman"/>
        </w:rPr>
        <w:t xml:space="preserve">, </w:t>
      </w:r>
      <w:r w:rsidR="00E746B0" w:rsidRPr="002C5537">
        <w:rPr>
          <w:rFonts w:cs="Times New Roman"/>
        </w:rPr>
        <w:t>2025).</w:t>
      </w:r>
      <w:r w:rsidRPr="002C5537">
        <w:rPr>
          <w:rFonts w:cs="Times New Roman"/>
        </w:rPr>
        <w:t xml:space="preserve"> Mark-s minimisation, emotional avoidance, and ambivalence toward change are clinically significant because they disrupt these mechanisms</w:t>
      </w:r>
      <w:r w:rsidR="00E746B0" w:rsidRPr="002C5537">
        <w:rPr>
          <w:rFonts w:cs="Times New Roman"/>
        </w:rPr>
        <w:t xml:space="preserve"> (Mottershead et al</w:t>
      </w:r>
      <w:r w:rsidR="002E3C40" w:rsidRPr="002C5537">
        <w:rPr>
          <w:rFonts w:cs="Times New Roman"/>
        </w:rPr>
        <w:t>.</w:t>
      </w:r>
      <w:r w:rsidR="00E746B0" w:rsidRPr="002C5537">
        <w:rPr>
          <w:rFonts w:cs="Times New Roman"/>
        </w:rPr>
        <w:t xml:space="preserve"> 2024).</w:t>
      </w:r>
    </w:p>
    <w:p w14:paraId="49435FB6" w14:textId="0DE626A5" w:rsidR="00854154" w:rsidRPr="002C5537" w:rsidRDefault="00854154" w:rsidP="00E90F77">
      <w:pPr>
        <w:spacing w:line="480" w:lineRule="auto"/>
        <w:jc w:val="both"/>
        <w:rPr>
          <w:rFonts w:cs="Times New Roman"/>
        </w:rPr>
      </w:pPr>
      <w:r w:rsidRPr="002C5537">
        <w:rPr>
          <w:rFonts w:cs="Times New Roman"/>
        </w:rPr>
        <w:tab/>
        <w:t>Minimisation and partial externalisation (“misunderstanding”; “didn’t mean harm”) function as cognitive maintenance factors. They may reduce shame in the short term but obstruct responsibility-taking, limit victim empathy, and weaken motivation for structures relapse prevention.</w:t>
      </w:r>
      <w:r w:rsidR="00FD43A1" w:rsidRPr="002C5537">
        <w:rPr>
          <w:rFonts w:cs="Times New Roman"/>
        </w:rPr>
        <w:t xml:space="preserve"> (Dietz</w:t>
      </w:r>
      <w:r w:rsidR="003B5A4C" w:rsidRPr="002C5537">
        <w:rPr>
          <w:rFonts w:cs="Times New Roman"/>
        </w:rPr>
        <w:t xml:space="preserve">, </w:t>
      </w:r>
      <w:r w:rsidR="00FD43A1" w:rsidRPr="002C5537">
        <w:rPr>
          <w:rFonts w:cs="Times New Roman"/>
        </w:rPr>
        <w:t>2020).</w:t>
      </w:r>
      <w:r w:rsidRPr="002C5537">
        <w:rPr>
          <w:rFonts w:cs="Times New Roman"/>
        </w:rPr>
        <w:t xml:space="preserve"> In SCT terms, this reflects moral disengagement, which reduces internal </w:t>
      </w:r>
      <w:r w:rsidR="00AE638A" w:rsidRPr="002C5537">
        <w:rPr>
          <w:rFonts w:cs="Times New Roman"/>
        </w:rPr>
        <w:t>moral self-sanctions that would otherwise help inhibit repetition</w:t>
      </w:r>
      <w:r w:rsidR="00FD43A1" w:rsidRPr="002C5537">
        <w:rPr>
          <w:rFonts w:cs="Times New Roman"/>
        </w:rPr>
        <w:t xml:space="preserve"> (Concho- Salgado et al</w:t>
      </w:r>
      <w:r w:rsidR="002E3C40" w:rsidRPr="002C5537">
        <w:rPr>
          <w:rFonts w:cs="Times New Roman"/>
        </w:rPr>
        <w:t>.</w:t>
      </w:r>
      <w:r w:rsidR="00FD43A1" w:rsidRPr="002C5537">
        <w:rPr>
          <w:rFonts w:cs="Times New Roman"/>
        </w:rPr>
        <w:t xml:space="preserve"> 2022).</w:t>
      </w:r>
      <w:r w:rsidR="00AE638A" w:rsidRPr="002C5537">
        <w:rPr>
          <w:rFonts w:cs="Times New Roman"/>
        </w:rPr>
        <w:t xml:space="preserve"> If Mark continues to conceptualise the offence as ambiguous or mutual, the offence pathway remains psychologically “available” under similar future conditions</w:t>
      </w:r>
      <w:r w:rsidR="00FD43A1" w:rsidRPr="002C5537">
        <w:rPr>
          <w:rFonts w:cs="Times New Roman"/>
        </w:rPr>
        <w:t xml:space="preserve"> (Paquette </w:t>
      </w:r>
      <w:r w:rsidR="003B5A4C" w:rsidRPr="002C5537">
        <w:rPr>
          <w:rFonts w:cs="Times New Roman"/>
        </w:rPr>
        <w:t>&amp; Cortoni,</w:t>
      </w:r>
      <w:r w:rsidR="00FD43A1" w:rsidRPr="002C5537">
        <w:rPr>
          <w:rFonts w:cs="Times New Roman"/>
        </w:rPr>
        <w:t xml:space="preserve"> 2021).</w:t>
      </w:r>
    </w:p>
    <w:p w14:paraId="008E2735" w14:textId="0BB07895" w:rsidR="00AE638A" w:rsidRPr="002C5537" w:rsidRDefault="00AE638A" w:rsidP="00E90F77">
      <w:pPr>
        <w:spacing w:line="480" w:lineRule="auto"/>
        <w:jc w:val="both"/>
        <w:rPr>
          <w:rFonts w:cs="Times New Roman"/>
        </w:rPr>
      </w:pPr>
      <w:r w:rsidRPr="002C5537">
        <w:rPr>
          <w:rFonts w:cs="Times New Roman"/>
        </w:rPr>
        <w:tab/>
        <w:t>Mark’s defensiveness and avoidance of emotional material also maintain risk by acting as responsivity barriers. Shame regulation and cognitive dissonance perspectives suggest defensiveness reduces identity threat but limits deeper self-evaluation</w:t>
      </w:r>
      <w:r w:rsidR="002B3447" w:rsidRPr="002C5537">
        <w:rPr>
          <w:rFonts w:cs="Times New Roman"/>
        </w:rPr>
        <w:t xml:space="preserve"> (Tuschick et al</w:t>
      </w:r>
      <w:r w:rsidR="002E3C40" w:rsidRPr="002C5537">
        <w:rPr>
          <w:rFonts w:cs="Times New Roman"/>
        </w:rPr>
        <w:t>.</w:t>
      </w:r>
      <w:r w:rsidR="002B3447" w:rsidRPr="002C5537">
        <w:rPr>
          <w:rFonts w:cs="Times New Roman"/>
        </w:rPr>
        <w:t xml:space="preserve"> 2025). </w:t>
      </w:r>
      <w:r w:rsidRPr="002C5537">
        <w:rPr>
          <w:rFonts w:cs="Times New Roman"/>
        </w:rPr>
        <w:t>Attachment-informed accounts suggest emotional vulnerability may feel unsafe, encouraging distancing and rationalisation</w:t>
      </w:r>
      <w:r w:rsidR="002B3447" w:rsidRPr="002C5537">
        <w:rPr>
          <w:rFonts w:cs="Times New Roman"/>
        </w:rPr>
        <w:t xml:space="preserve"> (Grady </w:t>
      </w:r>
      <w:r w:rsidR="003B5A4C" w:rsidRPr="002C5537">
        <w:rPr>
          <w:rFonts w:cs="Times New Roman"/>
        </w:rPr>
        <w:t xml:space="preserve">&amp; Yoder, </w:t>
      </w:r>
      <w:r w:rsidR="002B3447" w:rsidRPr="002C5537">
        <w:rPr>
          <w:rFonts w:cs="Times New Roman"/>
        </w:rPr>
        <w:t>2024).</w:t>
      </w:r>
      <w:r w:rsidRPr="002C5537">
        <w:rPr>
          <w:rFonts w:cs="Times New Roman"/>
        </w:rPr>
        <w:t xml:space="preserve"> These patterns matter because offence-focused work requires tolerating uncomfortable affect (shame, guilt) long enough to reflect, mentalise the victim’s experience, and build internalised behavioural controls. If Mark cannot process emotions and build empathy, treatment may remain procedural rather than transformative, leaving risk mechanisms relatively unchanged</w:t>
      </w:r>
      <w:r w:rsidR="002B3447" w:rsidRPr="002C5537">
        <w:rPr>
          <w:rFonts w:cs="Times New Roman"/>
        </w:rPr>
        <w:t xml:space="preserve"> (George et al</w:t>
      </w:r>
      <w:r w:rsidR="002E3C40" w:rsidRPr="002C5537">
        <w:rPr>
          <w:rFonts w:cs="Times New Roman"/>
        </w:rPr>
        <w:t>.</w:t>
      </w:r>
      <w:r w:rsidR="002B3447" w:rsidRPr="002C5537">
        <w:rPr>
          <w:rFonts w:cs="Times New Roman"/>
        </w:rPr>
        <w:t xml:space="preserve"> 2025).</w:t>
      </w:r>
    </w:p>
    <w:p w14:paraId="51198815" w14:textId="4B6009BA" w:rsidR="00AE638A" w:rsidRPr="002C5537" w:rsidRDefault="00AE638A" w:rsidP="00E90F77">
      <w:pPr>
        <w:spacing w:line="480" w:lineRule="auto"/>
        <w:jc w:val="both"/>
        <w:rPr>
          <w:rFonts w:cs="Times New Roman"/>
        </w:rPr>
      </w:pPr>
      <w:r w:rsidRPr="002C5537">
        <w:rPr>
          <w:rFonts w:cs="Times New Roman"/>
        </w:rPr>
        <w:tab/>
        <w:t>Ambivalence (shame plus resentment about the label) may also maintain risk: Mark may comply externally while retaining self-justifying narratives internally, especially if he experiences intervention as punitive.</w:t>
      </w:r>
      <w:r w:rsidR="00A40662" w:rsidRPr="002C5537">
        <w:rPr>
          <w:rFonts w:cs="Times New Roman"/>
        </w:rPr>
        <w:t xml:space="preserve"> (Willis</w:t>
      </w:r>
      <w:r w:rsidR="002E3C40" w:rsidRPr="002C5537">
        <w:rPr>
          <w:rFonts w:cs="Times New Roman"/>
        </w:rPr>
        <w:t xml:space="preserve"> </w:t>
      </w:r>
      <w:r w:rsidR="00A40662" w:rsidRPr="002C5537">
        <w:rPr>
          <w:rFonts w:cs="Times New Roman"/>
        </w:rPr>
        <w:t>et al</w:t>
      </w:r>
      <w:r w:rsidR="002E3C40" w:rsidRPr="002C5537">
        <w:rPr>
          <w:rFonts w:cs="Times New Roman"/>
        </w:rPr>
        <w:t>.</w:t>
      </w:r>
      <w:r w:rsidR="00A40662" w:rsidRPr="002C5537">
        <w:rPr>
          <w:rFonts w:cs="Times New Roman"/>
        </w:rPr>
        <w:t xml:space="preserve"> 2022). </w:t>
      </w:r>
      <w:r w:rsidRPr="002C5537">
        <w:rPr>
          <w:rFonts w:cs="Times New Roman"/>
        </w:rPr>
        <w:t>Without explicit motivational work, this can limit generalisation of treatment gains outside secure settings</w:t>
      </w:r>
      <w:r w:rsidR="00766E3E" w:rsidRPr="002C5537">
        <w:rPr>
          <w:rFonts w:cs="Times New Roman"/>
        </w:rPr>
        <w:t xml:space="preserve"> (Tuschik et al</w:t>
      </w:r>
      <w:r w:rsidR="002E3C40" w:rsidRPr="002C5537">
        <w:rPr>
          <w:rFonts w:cs="Times New Roman"/>
        </w:rPr>
        <w:t>.</w:t>
      </w:r>
      <w:r w:rsidR="00766E3E" w:rsidRPr="002C5537">
        <w:rPr>
          <w:rFonts w:cs="Times New Roman"/>
        </w:rPr>
        <w:t xml:space="preserve"> 2024).</w:t>
      </w:r>
    </w:p>
    <w:p w14:paraId="43795170" w14:textId="2E1F92A5" w:rsidR="00AE638A" w:rsidRPr="002C5537" w:rsidRDefault="00AE638A" w:rsidP="00E90F77">
      <w:pPr>
        <w:spacing w:line="480" w:lineRule="auto"/>
        <w:jc w:val="both"/>
        <w:rPr>
          <w:rFonts w:cs="Times New Roman"/>
        </w:rPr>
      </w:pPr>
      <w:r w:rsidRPr="002C5537">
        <w:rPr>
          <w:rFonts w:cs="Times New Roman"/>
        </w:rPr>
        <w:tab/>
        <w:t>Alcohol misuse remains a major dynamic risk factor. Even with current engagement, relapse would likely reintroduce the same proximal mechanisms implicated in the offence (attentional narrowing, disinhibition, weakened stopping)</w:t>
      </w:r>
      <w:r w:rsidR="001C01B6" w:rsidRPr="002C5537">
        <w:rPr>
          <w:rFonts w:cs="Times New Roman"/>
        </w:rPr>
        <w:t xml:space="preserve"> (Perira et al</w:t>
      </w:r>
      <w:r w:rsidR="002E3C40" w:rsidRPr="002C5537">
        <w:rPr>
          <w:rFonts w:cs="Times New Roman"/>
        </w:rPr>
        <w:t>.</w:t>
      </w:r>
      <w:r w:rsidR="001C01B6" w:rsidRPr="002C5537">
        <w:rPr>
          <w:rFonts w:cs="Times New Roman"/>
        </w:rPr>
        <w:t xml:space="preserve"> 2022)</w:t>
      </w:r>
      <w:r w:rsidRPr="002C5537">
        <w:rPr>
          <w:rFonts w:cs="Times New Roman"/>
        </w:rPr>
        <w:t xml:space="preserve">. If alcohol functions as coping </w:t>
      </w:r>
      <w:r w:rsidR="00294A71" w:rsidRPr="002C5537">
        <w:rPr>
          <w:rFonts w:cs="Times New Roman"/>
        </w:rPr>
        <w:t>for distress or interpersonal discomfort, it remains embedded in the offence pathway rather than being a separate lifestyle issue</w:t>
      </w:r>
      <w:r w:rsidR="002E3C40" w:rsidRPr="002C5537">
        <w:rPr>
          <w:rFonts w:cs="Times New Roman"/>
        </w:rPr>
        <w:t xml:space="preserve"> (M</w:t>
      </w:r>
      <w:r w:rsidR="001C01B6" w:rsidRPr="002C5537">
        <w:rPr>
          <w:rFonts w:cs="Times New Roman"/>
        </w:rPr>
        <w:t>atuchi</w:t>
      </w:r>
      <w:r w:rsidR="002E3C40" w:rsidRPr="002C5537">
        <w:rPr>
          <w:rFonts w:cs="Times New Roman"/>
        </w:rPr>
        <w:t>,</w:t>
      </w:r>
      <w:r w:rsidR="001C01B6" w:rsidRPr="002C5537">
        <w:rPr>
          <w:rFonts w:cs="Times New Roman"/>
        </w:rPr>
        <w:t xml:space="preserve"> 2024</w:t>
      </w:r>
      <w:r w:rsidR="002E3C40" w:rsidRPr="002C5537">
        <w:rPr>
          <w:rFonts w:cs="Times New Roman"/>
        </w:rPr>
        <w:t>)</w:t>
      </w:r>
      <w:r w:rsidR="001C01B6" w:rsidRPr="002C5537">
        <w:rPr>
          <w:rFonts w:cs="Times New Roman"/>
        </w:rPr>
        <w:t xml:space="preserve">. </w:t>
      </w:r>
      <w:r w:rsidR="00294A71" w:rsidRPr="002C5537">
        <w:rPr>
          <w:rFonts w:cs="Times New Roman"/>
        </w:rPr>
        <w:t>The combination of alcohol-related disinhibition and minimisation is particularly risky: intoxication increases impulsivity while minimisation reduces recognition of warning signs and undermines help-seeking or avoidance</w:t>
      </w:r>
      <w:r w:rsidR="002E3C40" w:rsidRPr="002C5537">
        <w:rPr>
          <w:rFonts w:cs="Times New Roman"/>
        </w:rPr>
        <w:t xml:space="preserve"> (</w:t>
      </w:r>
      <w:r w:rsidR="006A7236" w:rsidRPr="002C5537">
        <w:rPr>
          <w:rFonts w:cs="Times New Roman"/>
        </w:rPr>
        <w:t>Seto et al</w:t>
      </w:r>
      <w:r w:rsidR="002E3C40" w:rsidRPr="002C5537">
        <w:rPr>
          <w:rFonts w:cs="Times New Roman"/>
        </w:rPr>
        <w:t>.</w:t>
      </w:r>
      <w:r w:rsidR="006A7236" w:rsidRPr="002C5537">
        <w:rPr>
          <w:rFonts w:cs="Times New Roman"/>
        </w:rPr>
        <w:t xml:space="preserve"> 2023</w:t>
      </w:r>
      <w:r w:rsidR="002E3C40" w:rsidRPr="002C5537">
        <w:rPr>
          <w:rFonts w:cs="Times New Roman"/>
        </w:rPr>
        <w:t>)</w:t>
      </w:r>
    </w:p>
    <w:p w14:paraId="792513A4" w14:textId="34DDD417" w:rsidR="00294A71" w:rsidRPr="002C5537" w:rsidRDefault="00294A71" w:rsidP="00E90F77">
      <w:pPr>
        <w:spacing w:line="480" w:lineRule="auto"/>
        <w:jc w:val="both"/>
        <w:rPr>
          <w:rFonts w:cs="Times New Roman"/>
          <w:b/>
          <w:bCs/>
        </w:rPr>
      </w:pPr>
      <w:r w:rsidRPr="002C5537">
        <w:rPr>
          <w:rFonts w:cs="Times New Roman"/>
          <w:b/>
          <w:bCs/>
        </w:rPr>
        <w:t>Proposed Rehabilitation / Intervention Plan</w:t>
      </w:r>
    </w:p>
    <w:p w14:paraId="4CF7B6DB" w14:textId="31619ABD" w:rsidR="00294A71" w:rsidRPr="002C5537" w:rsidRDefault="00294A71" w:rsidP="00E90F77">
      <w:pPr>
        <w:spacing w:line="480" w:lineRule="auto"/>
        <w:jc w:val="both"/>
        <w:rPr>
          <w:rFonts w:cs="Times New Roman"/>
        </w:rPr>
      </w:pPr>
      <w:r w:rsidRPr="002C5537">
        <w:rPr>
          <w:rFonts w:cs="Times New Roman"/>
        </w:rPr>
        <w:tab/>
        <w:t>Intervention should be formulation-driven and integrate risk reduction with sustainable desistance. The Good Lives Model (GLM) is a suitable overarching framework because it conceptualises offending as an attempt to meet human needs (“primary goods”) through (reducing emotional turmoil), pleasure, agency, and intimacy/connection</w:t>
      </w:r>
      <w:r w:rsidR="002E3C40" w:rsidRPr="002C5537">
        <w:rPr>
          <w:rFonts w:cs="Times New Roman"/>
        </w:rPr>
        <w:t xml:space="preserve"> (</w:t>
      </w:r>
      <w:r w:rsidR="000B515F" w:rsidRPr="002C5537">
        <w:rPr>
          <w:rFonts w:cs="Times New Roman"/>
        </w:rPr>
        <w:t>Serie</w:t>
      </w:r>
      <w:r w:rsidR="003B5A4C" w:rsidRPr="002C5537">
        <w:rPr>
          <w:rFonts w:cs="Times New Roman"/>
        </w:rPr>
        <w:t xml:space="preserve"> et al.</w:t>
      </w:r>
      <w:r w:rsidR="000B515F" w:rsidRPr="002C5537">
        <w:rPr>
          <w:rFonts w:cs="Times New Roman"/>
        </w:rPr>
        <w:t xml:space="preserve"> 2023</w:t>
      </w:r>
      <w:r w:rsidR="002E3C40" w:rsidRPr="002C5537">
        <w:rPr>
          <w:rFonts w:cs="Times New Roman"/>
        </w:rPr>
        <w:t>).</w:t>
      </w:r>
      <w:r w:rsidR="000B515F" w:rsidRPr="002C5537">
        <w:rPr>
          <w:rFonts w:cs="Times New Roman"/>
        </w:rPr>
        <w:t xml:space="preserve"> </w:t>
      </w:r>
      <w:r w:rsidRPr="002C5537">
        <w:rPr>
          <w:rFonts w:cs="Times New Roman"/>
        </w:rPr>
        <w:t xml:space="preserve"> In the offence context, these may have been pursued through alcohol use and impulsive approach behaviour, culminating in boundary violation</w:t>
      </w:r>
      <w:r w:rsidR="00481C23" w:rsidRPr="002C5537">
        <w:rPr>
          <w:rFonts w:cs="Times New Roman"/>
        </w:rPr>
        <w:t xml:space="preserve"> (Rabaud et al</w:t>
      </w:r>
      <w:r w:rsidR="002E3C40" w:rsidRPr="002C5537">
        <w:rPr>
          <w:rFonts w:cs="Times New Roman"/>
        </w:rPr>
        <w:t>.</w:t>
      </w:r>
      <w:r w:rsidR="00481C23" w:rsidRPr="002C5537">
        <w:rPr>
          <w:rFonts w:cs="Times New Roman"/>
        </w:rPr>
        <w:t xml:space="preserve"> 2025). </w:t>
      </w:r>
      <w:r w:rsidRPr="002C5537">
        <w:rPr>
          <w:rFonts w:cs="Times New Roman"/>
        </w:rPr>
        <w:t>Rehabilitation should therefore both reduce criminogenic needs and help Mark meet needs through prosocial, sustainable routes</w:t>
      </w:r>
      <w:r w:rsidR="004378E1" w:rsidRPr="002C5537">
        <w:rPr>
          <w:rFonts w:cs="Times New Roman"/>
        </w:rPr>
        <w:t xml:space="preserve"> (Milhalia et al</w:t>
      </w:r>
      <w:r w:rsidR="002E3C40" w:rsidRPr="002C5537">
        <w:rPr>
          <w:rFonts w:cs="Times New Roman"/>
        </w:rPr>
        <w:t xml:space="preserve">. </w:t>
      </w:r>
      <w:r w:rsidR="004378E1" w:rsidRPr="002C5537">
        <w:rPr>
          <w:rFonts w:cs="Times New Roman"/>
        </w:rPr>
        <w:t xml:space="preserve">2025). </w:t>
      </w:r>
    </w:p>
    <w:p w14:paraId="5EBFE164" w14:textId="18130707" w:rsidR="00294A71" w:rsidRPr="002C5537" w:rsidRDefault="00294A71" w:rsidP="00E90F77">
      <w:pPr>
        <w:spacing w:line="480" w:lineRule="auto"/>
        <w:jc w:val="both"/>
        <w:rPr>
          <w:rFonts w:cs="Times New Roman"/>
        </w:rPr>
      </w:pPr>
      <w:r w:rsidRPr="002C5537">
        <w:rPr>
          <w:rFonts w:cs="Times New Roman"/>
        </w:rPr>
        <w:tab/>
        <w:t xml:space="preserve">Early work should focus on engagement and readiness, as Mark presents with defensiveness and shame-based avoidance. Motivational interviewing is indicated to explore </w:t>
      </w:r>
      <w:r w:rsidR="002E3C40" w:rsidRPr="002C5537">
        <w:rPr>
          <w:rFonts w:cs="Times New Roman"/>
        </w:rPr>
        <w:t>ambivalence, strengthen</w:t>
      </w:r>
      <w:r w:rsidRPr="002C5537">
        <w:rPr>
          <w:rFonts w:cs="Times New Roman"/>
        </w:rPr>
        <w:t xml:space="preserve"> responsibility-taking, and reduce resistance without escalating shame</w:t>
      </w:r>
      <w:r w:rsidR="004378E1" w:rsidRPr="002C5537">
        <w:rPr>
          <w:rFonts w:cs="Times New Roman"/>
        </w:rPr>
        <w:t xml:space="preserve"> (Pinto</w:t>
      </w:r>
      <w:r w:rsidRPr="002C5537">
        <w:rPr>
          <w:rFonts w:cs="Times New Roman"/>
        </w:rPr>
        <w:t xml:space="preserve"> </w:t>
      </w:r>
      <w:r w:rsidR="004378E1" w:rsidRPr="002C5537">
        <w:rPr>
          <w:rFonts w:cs="Times New Roman"/>
        </w:rPr>
        <w:t>et a</w:t>
      </w:r>
      <w:r w:rsidR="002E3C40" w:rsidRPr="002C5537">
        <w:rPr>
          <w:rFonts w:cs="Times New Roman"/>
        </w:rPr>
        <w:t>l.</w:t>
      </w:r>
      <w:r w:rsidR="004378E1" w:rsidRPr="002C5537">
        <w:rPr>
          <w:rFonts w:cs="Times New Roman"/>
        </w:rPr>
        <w:t xml:space="preserve"> 2025). This</w:t>
      </w:r>
      <w:r w:rsidR="00850A48" w:rsidRPr="002C5537">
        <w:rPr>
          <w:rFonts w:cs="Times New Roman"/>
        </w:rPr>
        <w:t xml:space="preserve"> is important because SRM-consistent change depends on internal commitment and self-management rather than compliance driven by external controls</w:t>
      </w:r>
      <w:r w:rsidR="00BD7A1C" w:rsidRPr="002C5537">
        <w:rPr>
          <w:rFonts w:cs="Times New Roman"/>
        </w:rPr>
        <w:t xml:space="preserve"> (Garant </w:t>
      </w:r>
      <w:r w:rsidR="003B5A4C" w:rsidRPr="002C5537">
        <w:rPr>
          <w:rFonts w:cs="Times New Roman"/>
        </w:rPr>
        <w:t xml:space="preserve">&amp; Ouellet, </w:t>
      </w:r>
      <w:r w:rsidR="00BD7A1C" w:rsidRPr="002C5537">
        <w:rPr>
          <w:rFonts w:cs="Times New Roman"/>
        </w:rPr>
        <w:t xml:space="preserve"> 2024). </w:t>
      </w:r>
    </w:p>
    <w:p w14:paraId="1938E396" w14:textId="2F8B3E6B" w:rsidR="00850A48" w:rsidRPr="002C5537" w:rsidRDefault="00850A48" w:rsidP="00E90F77">
      <w:pPr>
        <w:spacing w:line="480" w:lineRule="auto"/>
        <w:jc w:val="both"/>
        <w:rPr>
          <w:rFonts w:cs="Times New Roman"/>
        </w:rPr>
      </w:pPr>
      <w:r w:rsidRPr="002C5537">
        <w:rPr>
          <w:rFonts w:cs="Times New Roman"/>
        </w:rPr>
        <w:tab/>
        <w:t>In line with the Risk-Need-Responsivity (RNR) model</w:t>
      </w:r>
      <w:r w:rsidR="00BD7A1C" w:rsidRPr="002C5537">
        <w:t xml:space="preserve"> </w:t>
      </w:r>
      <w:r w:rsidR="002E3C40" w:rsidRPr="002C5537">
        <w:t>(</w:t>
      </w:r>
      <w:r w:rsidR="00BD7A1C" w:rsidRPr="002C5537">
        <w:rPr>
          <w:rFonts w:cs="Times New Roman"/>
        </w:rPr>
        <w:t>Andrews</w:t>
      </w:r>
      <w:r w:rsidR="00584F87" w:rsidRPr="002C5537">
        <w:rPr>
          <w:rFonts w:cs="Times New Roman"/>
        </w:rPr>
        <w:t xml:space="preserve"> et al. 1990</w:t>
      </w:r>
      <w:r w:rsidR="00BD7A1C" w:rsidRPr="002C5537">
        <w:rPr>
          <w:rFonts w:cs="Times New Roman"/>
        </w:rPr>
        <w:t>),</w:t>
      </w:r>
      <w:r w:rsidRPr="002C5537">
        <w:rPr>
          <w:rFonts w:cs="Times New Roman"/>
        </w:rPr>
        <w:t xml:space="preserve"> priority needs include: (1) alcohol misuse; (2) offence-supportive cognition around consent, harm, and responsibility; (3) emotional dysregulation and shame management; and (4) interpersonal boundaries and conflict management.</w:t>
      </w:r>
      <w:r w:rsidR="00CB3530" w:rsidRPr="002C5537">
        <w:rPr>
          <w:rFonts w:cs="Times New Roman"/>
        </w:rPr>
        <w:t xml:space="preserve"> (Paquette</w:t>
      </w:r>
      <w:r w:rsidR="003B5A4C" w:rsidRPr="002C5537">
        <w:rPr>
          <w:rFonts w:cs="Times New Roman"/>
        </w:rPr>
        <w:t xml:space="preserve"> &amp; Cortoni, </w:t>
      </w:r>
      <w:r w:rsidR="002E3C40" w:rsidRPr="002C5537">
        <w:rPr>
          <w:rFonts w:cs="Times New Roman"/>
        </w:rPr>
        <w:t xml:space="preserve"> </w:t>
      </w:r>
      <w:r w:rsidR="00CB3530" w:rsidRPr="002C5537">
        <w:rPr>
          <w:rFonts w:cs="Times New Roman"/>
        </w:rPr>
        <w:t>2021; Rabaud et al</w:t>
      </w:r>
      <w:r w:rsidR="002E3C40" w:rsidRPr="002C5537">
        <w:rPr>
          <w:rFonts w:cs="Times New Roman"/>
        </w:rPr>
        <w:t xml:space="preserve">. </w:t>
      </w:r>
      <w:r w:rsidR="00CB3530" w:rsidRPr="002C5537">
        <w:rPr>
          <w:rFonts w:cs="Times New Roman"/>
        </w:rPr>
        <w:t>2025; Seto et al</w:t>
      </w:r>
      <w:r w:rsidR="002E3C40" w:rsidRPr="002C5537">
        <w:rPr>
          <w:rFonts w:cs="Times New Roman"/>
        </w:rPr>
        <w:t>.</w:t>
      </w:r>
      <w:r w:rsidR="00CB3530" w:rsidRPr="002C5537">
        <w:rPr>
          <w:rFonts w:cs="Times New Roman"/>
        </w:rPr>
        <w:t xml:space="preserve"> 2023; Syasyila et al</w:t>
      </w:r>
      <w:r w:rsidR="002E3C40" w:rsidRPr="002C5537">
        <w:rPr>
          <w:rFonts w:cs="Times New Roman"/>
        </w:rPr>
        <w:t xml:space="preserve">. </w:t>
      </w:r>
      <w:r w:rsidR="00CB3530" w:rsidRPr="002C5537">
        <w:rPr>
          <w:rFonts w:cs="Times New Roman"/>
        </w:rPr>
        <w:t>2024; Tuschick, et al</w:t>
      </w:r>
      <w:r w:rsidR="002E3C40" w:rsidRPr="002C5537">
        <w:rPr>
          <w:rFonts w:cs="Times New Roman"/>
        </w:rPr>
        <w:t>.</w:t>
      </w:r>
      <w:r w:rsidR="00CB3530" w:rsidRPr="002C5537">
        <w:rPr>
          <w:rFonts w:cs="Times New Roman"/>
        </w:rPr>
        <w:t xml:space="preserve"> 2024). </w:t>
      </w:r>
      <w:r w:rsidRPr="002C5537">
        <w:rPr>
          <w:rFonts w:cs="Times New Roman"/>
        </w:rPr>
        <w:t>Responsivity factors (emotion avoidance, defensiveness, discomfort with affect) require pacing, collaborative formulation, and clear but non-shaming accountability.</w:t>
      </w:r>
      <w:r w:rsidR="00DC4B39" w:rsidRPr="002C5537">
        <w:rPr>
          <w:rFonts w:cs="Times New Roman"/>
        </w:rPr>
        <w:t xml:space="preserve"> (Lindegren et al</w:t>
      </w:r>
      <w:r w:rsidR="002E3C40" w:rsidRPr="002C5537">
        <w:rPr>
          <w:rFonts w:cs="Times New Roman"/>
        </w:rPr>
        <w:t>.</w:t>
      </w:r>
      <w:r w:rsidR="00DC4B39" w:rsidRPr="002C5537">
        <w:rPr>
          <w:rFonts w:cs="Times New Roman"/>
        </w:rPr>
        <w:t xml:space="preserve"> 202</w:t>
      </w:r>
      <w:r w:rsidR="003B5A4C" w:rsidRPr="002C5537">
        <w:rPr>
          <w:rFonts w:cs="Times New Roman"/>
        </w:rPr>
        <w:t>5</w:t>
      </w:r>
      <w:r w:rsidR="00DC4B39" w:rsidRPr="002C5537">
        <w:rPr>
          <w:rFonts w:cs="Times New Roman"/>
        </w:rPr>
        <w:t>).</w:t>
      </w:r>
    </w:p>
    <w:p w14:paraId="66419BDA" w14:textId="0C5A8F86" w:rsidR="000356FC" w:rsidRPr="002C5537" w:rsidRDefault="00850A48" w:rsidP="00E90F77">
      <w:pPr>
        <w:spacing w:line="480" w:lineRule="auto"/>
        <w:jc w:val="both"/>
        <w:rPr>
          <w:rFonts w:cs="Times New Roman"/>
        </w:rPr>
      </w:pPr>
      <w:r w:rsidRPr="002C5537">
        <w:rPr>
          <w:rFonts w:cs="Times New Roman"/>
        </w:rPr>
        <w:tab/>
        <w:t>Offence-focused CBT should target minimisation and consent-related distortions</w:t>
      </w:r>
      <w:r w:rsidR="00EA5558" w:rsidRPr="002C5537">
        <w:rPr>
          <w:rFonts w:cs="Times New Roman"/>
        </w:rPr>
        <w:t xml:space="preserve">. </w:t>
      </w:r>
      <w:r w:rsidRPr="002C5537">
        <w:rPr>
          <w:rFonts w:cs="Times New Roman"/>
        </w:rPr>
        <w:t>Mark’s framing as “drunken flirting” indicates a need for cognitive restructuring around consent, refusal, coercion, and harm</w:t>
      </w:r>
      <w:r w:rsidR="002E3C40" w:rsidRPr="002C5537">
        <w:rPr>
          <w:rFonts w:cs="Times New Roman"/>
        </w:rPr>
        <w:t xml:space="preserve"> (</w:t>
      </w:r>
      <w:r w:rsidR="00EA5558" w:rsidRPr="002C5537">
        <w:rPr>
          <w:rFonts w:cs="Times New Roman"/>
        </w:rPr>
        <w:t>Turhan et al</w:t>
      </w:r>
      <w:r w:rsidR="002E3C40" w:rsidRPr="002C5537">
        <w:rPr>
          <w:rFonts w:cs="Times New Roman"/>
        </w:rPr>
        <w:t>.</w:t>
      </w:r>
      <w:r w:rsidR="00EA5558" w:rsidRPr="002C5537">
        <w:rPr>
          <w:rFonts w:cs="Times New Roman"/>
        </w:rPr>
        <w:t xml:space="preserve"> 2024). </w:t>
      </w:r>
      <w:r w:rsidRPr="002C5537">
        <w:rPr>
          <w:rFonts w:cs="Times New Roman"/>
        </w:rPr>
        <w:t xml:space="preserve"> Work should include identifying offence-supportive thoughts, challenging neutralisations, and developing perspective-taking and victim empathy. This also reduces moral disengagement by strengthening internal self-sanctions. A structured offence chain analysis (antecedents </w:t>
      </w:r>
      <w:r w:rsidR="000356FC" w:rsidRPr="002C5537">
        <w:rPr>
          <w:rFonts w:cs="Times New Roman"/>
        </w:rPr>
        <w:t>→ thought/feelings → behaviours → consequences) should be developed, rehearsed, and used to identify decision points where Mark can implement behavioural stopping</w:t>
      </w:r>
      <w:r w:rsidR="002E3C40" w:rsidRPr="002C5537">
        <w:rPr>
          <w:rFonts w:cs="Times New Roman"/>
        </w:rPr>
        <w:t xml:space="preserve"> (</w:t>
      </w:r>
      <w:r w:rsidR="00EA5558" w:rsidRPr="002C5537">
        <w:rPr>
          <w:rFonts w:cs="Times New Roman"/>
        </w:rPr>
        <w:t>Rocha,</w:t>
      </w:r>
      <w:r w:rsidR="002E3C40" w:rsidRPr="002C5537">
        <w:rPr>
          <w:rFonts w:cs="Times New Roman"/>
        </w:rPr>
        <w:t xml:space="preserve"> </w:t>
      </w:r>
      <w:r w:rsidR="00EA5558" w:rsidRPr="002C5537">
        <w:rPr>
          <w:rFonts w:cs="Times New Roman"/>
        </w:rPr>
        <w:t xml:space="preserve">&amp; Valença, 2023). </w:t>
      </w:r>
      <w:r w:rsidR="000356FC" w:rsidRPr="002C5537">
        <w:rPr>
          <w:rFonts w:cs="Times New Roman"/>
        </w:rPr>
        <w:t>This supports SRM self-monitoring and helps translate insight into practical self-management</w:t>
      </w:r>
      <w:r w:rsidR="00CC7EF2" w:rsidRPr="002C5537">
        <w:rPr>
          <w:rFonts w:cs="Times New Roman"/>
        </w:rPr>
        <w:t xml:space="preserve"> (Seto et al</w:t>
      </w:r>
      <w:r w:rsidR="002E3C40" w:rsidRPr="002C5537">
        <w:rPr>
          <w:rFonts w:cs="Times New Roman"/>
        </w:rPr>
        <w:t>.</w:t>
      </w:r>
      <w:r w:rsidR="00CC7EF2" w:rsidRPr="002C5537">
        <w:rPr>
          <w:rFonts w:cs="Times New Roman"/>
        </w:rPr>
        <w:t xml:space="preserve"> 2023).</w:t>
      </w:r>
    </w:p>
    <w:p w14:paraId="1CA28AF7" w14:textId="2BE48A2C" w:rsidR="000356FC" w:rsidRPr="002C5537" w:rsidRDefault="000356FC" w:rsidP="00E90F77">
      <w:pPr>
        <w:spacing w:line="480" w:lineRule="auto"/>
        <w:jc w:val="both"/>
        <w:rPr>
          <w:rFonts w:cs="Times New Roman"/>
        </w:rPr>
      </w:pPr>
      <w:r w:rsidRPr="002C5537">
        <w:rPr>
          <w:rFonts w:cs="Times New Roman"/>
        </w:rPr>
        <w:tab/>
        <w:t>Alcohol intervention should remain central. Given its role in the offence, Mark should develop a robust relapse prevention plan identifying high-risk contexts (social events with alcohol), strategies for avoidance or harm reduction, coping strategies for craving and distress, and clear exit plans</w:t>
      </w:r>
      <w:r w:rsidR="00CC7EF2" w:rsidRPr="002C5537">
        <w:rPr>
          <w:rFonts w:cs="Times New Roman"/>
        </w:rPr>
        <w:t xml:space="preserve"> (Rabaud et al</w:t>
      </w:r>
      <w:r w:rsidR="002E3C40" w:rsidRPr="002C5537">
        <w:rPr>
          <w:rFonts w:cs="Times New Roman"/>
        </w:rPr>
        <w:t>.</w:t>
      </w:r>
      <w:r w:rsidR="00CC7EF2" w:rsidRPr="002C5537">
        <w:rPr>
          <w:rFonts w:cs="Times New Roman"/>
        </w:rPr>
        <w:t xml:space="preserve"> 2025)</w:t>
      </w:r>
      <w:r w:rsidR="003B5A4C" w:rsidRPr="002C5537">
        <w:rPr>
          <w:rFonts w:cs="Times New Roman"/>
        </w:rPr>
        <w:t>.</w:t>
      </w:r>
      <w:r w:rsidRPr="002C5537">
        <w:rPr>
          <w:rFonts w:cs="Times New Roman"/>
        </w:rPr>
        <w:t xml:space="preserve"> Psychoeducation using Alcohol Myopia Theory can strengthen insight into how intoxication narrows attention to reward cues and reduces sensitivity to refusal and consequences</w:t>
      </w:r>
      <w:r w:rsidR="003B5A4C" w:rsidRPr="002C5537">
        <w:rPr>
          <w:rFonts w:cs="Times New Roman"/>
        </w:rPr>
        <w:t xml:space="preserve"> (Steele &amp; Josephs, 1990; McPhee &amp; Hendershot, 2023)</w:t>
      </w:r>
      <w:r w:rsidRPr="002C5537">
        <w:rPr>
          <w:rFonts w:cs="Times New Roman"/>
        </w:rPr>
        <w:t>. For Mark, this links alcohol management directly to sexual offence risk reduction rather than positioning it as a generic health target</w:t>
      </w:r>
      <w:r w:rsidR="003B5A4C" w:rsidRPr="002C5537">
        <w:rPr>
          <w:rFonts w:cs="Times New Roman"/>
        </w:rPr>
        <w:t xml:space="preserve"> (Rabaud et al., 2025; Davis et al. 2021).</w:t>
      </w:r>
      <w:r w:rsidRPr="002C5537">
        <w:rPr>
          <w:rFonts w:cs="Times New Roman"/>
        </w:rPr>
        <w:t xml:space="preserve"> </w:t>
      </w:r>
    </w:p>
    <w:p w14:paraId="315041E2" w14:textId="6B3DD845" w:rsidR="000356FC" w:rsidRPr="002C5537" w:rsidRDefault="000356FC" w:rsidP="00E90F77">
      <w:pPr>
        <w:spacing w:line="480" w:lineRule="auto"/>
        <w:jc w:val="both"/>
        <w:rPr>
          <w:rFonts w:cs="Times New Roman"/>
        </w:rPr>
      </w:pPr>
      <w:r w:rsidRPr="002C5537">
        <w:rPr>
          <w:rFonts w:cs="Times New Roman"/>
        </w:rPr>
        <w:tab/>
        <w:t>Emotion regulation work should be integrated (CBT skills and/or DBT-informed strategies) to increase emotional literacy, distress tolerance, and impulse control. This is particularly relevant given Mark’s emotional volatility and avoidant coping</w:t>
      </w:r>
      <w:r w:rsidR="003B5A4C" w:rsidRPr="002C5537">
        <w:rPr>
          <w:rFonts w:cs="Times New Roman"/>
        </w:rPr>
        <w:t xml:space="preserve"> (Gonzalez-Roz et al., 2024)</w:t>
      </w:r>
      <w:r w:rsidRPr="002C5537">
        <w:rPr>
          <w:rFonts w:cs="Times New Roman"/>
        </w:rPr>
        <w:t>. Treatment should build capacity to tolerate shame, anger, and rejection without resorting to alcohol use, coercion, or boundary violations</w:t>
      </w:r>
      <w:r w:rsidR="003B5A4C" w:rsidRPr="002C5537">
        <w:rPr>
          <w:rFonts w:cs="Times New Roman"/>
        </w:rPr>
        <w:t xml:space="preserve"> (Garpfalo et al., 2025; Matei-Mitacu et al., 2024)</w:t>
      </w:r>
      <w:r w:rsidRPr="002C5537">
        <w:rPr>
          <w:rFonts w:cs="Times New Roman"/>
        </w:rPr>
        <w:t>. Attachment-informed elements can be included without overstating trauma: the focus is on strength</w:t>
      </w:r>
      <w:r w:rsidR="004640EB" w:rsidRPr="002C5537">
        <w:rPr>
          <w:rFonts w:cs="Times New Roman"/>
        </w:rPr>
        <w:t>ening reflective functioning, improving affect tolerance, and reducing reliance on distancing strategies that keep learning superficial</w:t>
      </w:r>
      <w:r w:rsidR="003B5A4C" w:rsidRPr="002C5537">
        <w:rPr>
          <w:rFonts w:cs="Times New Roman"/>
        </w:rPr>
        <w:t xml:space="preserve"> (Grady &amp; Yoder, 2024; Ferraro &amp; Taylor, 2021).</w:t>
      </w:r>
    </w:p>
    <w:p w14:paraId="6D5042B4" w14:textId="6D3535B3" w:rsidR="004640EB" w:rsidRPr="002C5537" w:rsidRDefault="004640EB" w:rsidP="00E90F77">
      <w:pPr>
        <w:spacing w:line="480" w:lineRule="auto"/>
        <w:jc w:val="both"/>
        <w:rPr>
          <w:rFonts w:cs="Times New Roman"/>
        </w:rPr>
      </w:pPr>
      <w:r w:rsidRPr="002C5537">
        <w:rPr>
          <w:rFonts w:cs="Times New Roman"/>
        </w:rPr>
        <w:tab/>
        <w:t>Interpersonal and relationship-focused work is also indicated, given relationship breakdown and harassment history. Intervention should target respectful communication, boundary recognition, managing rejection, and conflict de-escalation. This supports desistance by providing prosocial routes to meeting needs for intimacy and agency</w:t>
      </w:r>
      <w:r w:rsidR="003B5A4C" w:rsidRPr="002C5537">
        <w:rPr>
          <w:rFonts w:cs="Times New Roman"/>
        </w:rPr>
        <w:t xml:space="preserve"> (Garant &amp; Ouellet, 2024; Serie et al., 2023)</w:t>
      </w:r>
      <w:r w:rsidRPr="002C5537">
        <w:rPr>
          <w:rFonts w:cs="Times New Roman"/>
        </w:rPr>
        <w:t>.</w:t>
      </w:r>
    </w:p>
    <w:p w14:paraId="55767726" w14:textId="67376258" w:rsidR="004640EB" w:rsidRPr="002C5537" w:rsidRDefault="004640EB" w:rsidP="00E90F77">
      <w:pPr>
        <w:spacing w:line="480" w:lineRule="auto"/>
        <w:jc w:val="both"/>
        <w:rPr>
          <w:rFonts w:cs="Times New Roman"/>
        </w:rPr>
      </w:pPr>
      <w:r w:rsidRPr="002C5537">
        <w:rPr>
          <w:rFonts w:cs="Times New Roman"/>
        </w:rPr>
        <w:tab/>
        <w:t>A</w:t>
      </w:r>
      <w:r w:rsidR="003B5A4C" w:rsidRPr="002C5537">
        <w:rPr>
          <w:rFonts w:cs="Times New Roman"/>
        </w:rPr>
        <w:t xml:space="preserve"> </w:t>
      </w:r>
      <w:r w:rsidRPr="002C5537">
        <w:rPr>
          <w:rFonts w:cs="Times New Roman"/>
        </w:rPr>
        <w:t>trauma-informed stance can support engagement by acknowledging that instability and aggression in early environments may increase shame sensitivity and defensive coping</w:t>
      </w:r>
      <w:r w:rsidR="003B5A4C" w:rsidRPr="002C5537">
        <w:rPr>
          <w:rFonts w:cs="Times New Roman"/>
        </w:rPr>
        <w:t xml:space="preserve"> (Basto-Pereira et al., 2022)</w:t>
      </w:r>
      <w:r w:rsidRPr="002C5537">
        <w:rPr>
          <w:rFonts w:cs="Times New Roman"/>
        </w:rPr>
        <w:t>. Practically, this means prioritising emotional safety, collaboration, transparency, and paced offence-focused work – while maintaining clear accountability and boundaries</w:t>
      </w:r>
      <w:r w:rsidR="003B5A4C" w:rsidRPr="002C5537">
        <w:rPr>
          <w:rFonts w:cs="Times New Roman"/>
        </w:rPr>
        <w:t xml:space="preserve"> (Lindegren, 2025).</w:t>
      </w:r>
      <w:r w:rsidRPr="002C5537">
        <w:rPr>
          <w:rFonts w:cs="Times New Roman"/>
        </w:rPr>
        <w:t>.</w:t>
      </w:r>
    </w:p>
    <w:p w14:paraId="0392008B" w14:textId="18F06D4A" w:rsidR="004640EB" w:rsidRPr="002C5537" w:rsidRDefault="004640EB" w:rsidP="00E90F77">
      <w:pPr>
        <w:spacing w:line="480" w:lineRule="auto"/>
        <w:jc w:val="both"/>
        <w:rPr>
          <w:rFonts w:cs="Times New Roman"/>
        </w:rPr>
      </w:pPr>
      <w:r w:rsidRPr="002C5537">
        <w:rPr>
          <w:rFonts w:cs="Times New Roman"/>
        </w:rPr>
        <w:tab/>
        <w:t>Rehabilitation should culminate in a single integrated self-management plan combining SRM relapse prevention (risk states, warning signs, coping responses) with GLM goals (prosocial primary goods attainment). This plan should specify Mark’s personal risk signatures (alcohol use, emotional escalation, permissive social contexts, resentment/shame), early warning signs, and rehearsed coping behaviours</w:t>
      </w:r>
      <w:r w:rsidR="003B5A4C" w:rsidRPr="002C5537">
        <w:rPr>
          <w:rFonts w:cs="Times New Roman"/>
        </w:rPr>
        <w:t xml:space="preserve"> (Seto et al., 2023)</w:t>
      </w:r>
      <w:r w:rsidRPr="002C5537">
        <w:rPr>
          <w:rFonts w:cs="Times New Roman"/>
        </w:rPr>
        <w:t>. Mark’s ongoing relationship with his daughter may serve as a prosocial identity anchor to strengthen motivation (e.g., “being a safe, responsible father”), supporting longer-term desistance</w:t>
      </w:r>
      <w:r w:rsidR="003B5A4C" w:rsidRPr="002C5537">
        <w:rPr>
          <w:rFonts w:cs="Times New Roman"/>
        </w:rPr>
        <w:t xml:space="preserve"> (Garant &amp; Ouellet, 2024)</w:t>
      </w:r>
      <w:r w:rsidRPr="002C5537">
        <w:rPr>
          <w:rFonts w:cs="Times New Roman"/>
        </w:rPr>
        <w:t>.</w:t>
      </w:r>
    </w:p>
    <w:p w14:paraId="5C220E6B" w14:textId="10208E83" w:rsidR="004640EB" w:rsidRPr="002C5537" w:rsidRDefault="004640EB" w:rsidP="00E90F77">
      <w:pPr>
        <w:spacing w:line="480" w:lineRule="auto"/>
        <w:jc w:val="both"/>
        <w:rPr>
          <w:rFonts w:cs="Times New Roman"/>
          <w:b/>
          <w:bCs/>
        </w:rPr>
      </w:pPr>
      <w:r w:rsidRPr="002C5537">
        <w:rPr>
          <w:rFonts w:cs="Times New Roman"/>
          <w:b/>
          <w:bCs/>
        </w:rPr>
        <w:t>Potential Outcome after Six Months</w:t>
      </w:r>
    </w:p>
    <w:p w14:paraId="6630C416" w14:textId="39EDB31B" w:rsidR="004640EB" w:rsidRPr="002C5537" w:rsidRDefault="004640EB" w:rsidP="00E90F77">
      <w:pPr>
        <w:spacing w:line="480" w:lineRule="auto"/>
        <w:jc w:val="both"/>
        <w:rPr>
          <w:rFonts w:cs="Times New Roman"/>
        </w:rPr>
      </w:pPr>
      <w:r w:rsidRPr="002C5537">
        <w:rPr>
          <w:rFonts w:cs="Times New Roman"/>
        </w:rPr>
        <w:tab/>
        <w:t>After six months, realistic progress would likely be partial but meaningful if Mark engages consistently. He may demonstrate improved responsibility-taking and reduced minimisation, as shown by a more behaviorally accurate offence account and a clearer understanding of consent, refusal, and harm</w:t>
      </w:r>
      <w:r w:rsidR="003B5A4C" w:rsidRPr="002C5537">
        <w:rPr>
          <w:rFonts w:cs="Times New Roman"/>
        </w:rPr>
        <w:t xml:space="preserve"> (Dietz, 2020)</w:t>
      </w:r>
      <w:r w:rsidRPr="002C5537">
        <w:rPr>
          <w:rFonts w:cs="Times New Roman"/>
        </w:rPr>
        <w:t>. He may show increased ability to discuss offence-related material with reduced defensiveness, indicating improved affect tolerance and treatment responsivity</w:t>
      </w:r>
      <w:r w:rsidR="002C5537" w:rsidRPr="002C5537">
        <w:rPr>
          <w:rFonts w:cs="Times New Roman"/>
        </w:rPr>
        <w:t xml:space="preserve"> (Mottershead et al, 2024).</w:t>
      </w:r>
      <w:r w:rsidRPr="002C5537">
        <w:rPr>
          <w:rFonts w:cs="Times New Roman"/>
        </w:rPr>
        <w:t>.</w:t>
      </w:r>
    </w:p>
    <w:p w14:paraId="0D5BF152" w14:textId="0FF89FCE" w:rsidR="004640EB" w:rsidRPr="002C5537" w:rsidRDefault="004640EB" w:rsidP="00E90F77">
      <w:pPr>
        <w:spacing w:line="480" w:lineRule="auto"/>
        <w:jc w:val="both"/>
        <w:rPr>
          <w:rFonts w:cs="Times New Roman"/>
        </w:rPr>
      </w:pPr>
      <w:r w:rsidRPr="002C5537">
        <w:rPr>
          <w:rFonts w:cs="Times New Roman"/>
        </w:rPr>
        <w:tab/>
        <w:t>If alcohol intervention is effective, Mark may demonstrate reduced use or abstinence with a structured relapse prevention plan (high-risk contexts identified; refusal/exit strategies; coping skills for cravings and distress)</w:t>
      </w:r>
      <w:r w:rsidR="002C5537" w:rsidRPr="002C5537">
        <w:rPr>
          <w:rFonts w:cs="Times New Roman"/>
        </w:rPr>
        <w:t xml:space="preserve"> (Yang et al., 2022)</w:t>
      </w:r>
      <w:r w:rsidRPr="002C5537">
        <w:rPr>
          <w:rFonts w:cs="Times New Roman"/>
        </w:rPr>
        <w:t xml:space="preserve">. He may show improved emotion regulation skills, evidenced by fewer incidents of escalation, better engagement with between-session tasks, </w:t>
      </w:r>
      <w:r w:rsidR="0096366C" w:rsidRPr="002C5537">
        <w:rPr>
          <w:rFonts w:cs="Times New Roman"/>
        </w:rPr>
        <w:t>and clearer identification of warning signs and coping responses</w:t>
      </w:r>
      <w:r w:rsidR="002C5537" w:rsidRPr="002C5537">
        <w:rPr>
          <w:rFonts w:cs="Times New Roman"/>
        </w:rPr>
        <w:t xml:space="preserve"> (Gonzalez-Roz et al., 2024)</w:t>
      </w:r>
      <w:r w:rsidR="0096366C" w:rsidRPr="002C5537">
        <w:rPr>
          <w:rFonts w:cs="Times New Roman"/>
        </w:rPr>
        <w:t>. However, vulnerability may remain if shame and identity threat continue to trigger avoidance, or if interpersonal stressors increase emotional arousal and relapse risk</w:t>
      </w:r>
      <w:r w:rsidR="002C5537" w:rsidRPr="002C5537">
        <w:rPr>
          <w:rFonts w:cs="Times New Roman"/>
        </w:rPr>
        <w:t xml:space="preserve"> (Garofalo et al., 2025)</w:t>
      </w:r>
      <w:r w:rsidR="0096366C" w:rsidRPr="002C5537">
        <w:rPr>
          <w:rFonts w:cs="Times New Roman"/>
        </w:rPr>
        <w:t>. Continued work would likely be required to consolidate gains and ensure generalisation beyond the secure setting</w:t>
      </w:r>
      <w:r w:rsidR="002C5537" w:rsidRPr="002C5537">
        <w:rPr>
          <w:rFonts w:cs="Times New Roman"/>
        </w:rPr>
        <w:t xml:space="preserve"> (Seto et al., 2023)</w:t>
      </w:r>
      <w:r w:rsidR="0096366C" w:rsidRPr="002C5537">
        <w:rPr>
          <w:rFonts w:cs="Times New Roman"/>
        </w:rPr>
        <w:t>.</w:t>
      </w:r>
    </w:p>
    <w:p w14:paraId="4299F331" w14:textId="4782F0CA" w:rsidR="0096366C" w:rsidRPr="002C5537" w:rsidRDefault="0096366C" w:rsidP="00E90F77">
      <w:pPr>
        <w:spacing w:line="480" w:lineRule="auto"/>
        <w:jc w:val="both"/>
        <w:rPr>
          <w:rFonts w:cs="Times New Roman"/>
          <w:b/>
          <w:bCs/>
        </w:rPr>
      </w:pPr>
      <w:r w:rsidRPr="002C5537">
        <w:rPr>
          <w:rFonts w:cs="Times New Roman"/>
          <w:b/>
          <w:bCs/>
        </w:rPr>
        <w:t>Conclusion</w:t>
      </w:r>
    </w:p>
    <w:p w14:paraId="420D273B" w14:textId="624B81FF" w:rsidR="0096366C" w:rsidRPr="002C5537" w:rsidRDefault="0096366C" w:rsidP="00E90F77">
      <w:pPr>
        <w:spacing w:line="480" w:lineRule="auto"/>
        <w:jc w:val="both"/>
        <w:rPr>
          <w:rFonts w:cs="Times New Roman"/>
        </w:rPr>
      </w:pPr>
      <w:r w:rsidRPr="002C5537">
        <w:rPr>
          <w:rFonts w:cs="Times New Roman"/>
        </w:rPr>
        <w:tab/>
        <w:t xml:space="preserve">Mark’s offending can be understood as arising from the interaction of developmental vulnerabilities and situational risk conditions, culminating in a </w:t>
      </w:r>
      <w:r w:rsidR="00ED1AB9" w:rsidRPr="002C5537">
        <w:rPr>
          <w:rFonts w:cs="Times New Roman"/>
        </w:rPr>
        <w:t>failure of self-regulation</w:t>
      </w:r>
      <w:r w:rsidRPr="002C5537">
        <w:rPr>
          <w:rFonts w:cs="Times New Roman"/>
        </w:rPr>
        <w:t xml:space="preserve"> in a disinhibiting context</w:t>
      </w:r>
      <w:r w:rsidR="002C5537" w:rsidRPr="002C5537">
        <w:rPr>
          <w:rFonts w:cs="Times New Roman"/>
        </w:rPr>
        <w:t xml:space="preserve"> (Seto et al., 2023; Davis et al., 2021)</w:t>
      </w:r>
      <w:r w:rsidRPr="002C5537">
        <w:rPr>
          <w:rFonts w:cs="Times New Roman"/>
        </w:rPr>
        <w:t>. Early instability and exposure to alcohol-related aggression plausibly contributed to insecure coping, emotional avoidance, alcohol-related outcome expectancies, and cognitive strategies that reduce internal self-sanction</w:t>
      </w:r>
      <w:r w:rsidR="002C5537" w:rsidRPr="002C5537">
        <w:rPr>
          <w:rFonts w:cs="Times New Roman"/>
        </w:rPr>
        <w:t xml:space="preserve"> (Basto-Pereira et al., 2022; Bandura, 1986)</w:t>
      </w:r>
      <w:r w:rsidRPr="002C5537">
        <w:rPr>
          <w:rFonts w:cs="Times New Roman"/>
        </w:rPr>
        <w:t>. The offence was precipitated by intoxication and a socially permissive, ambiguous environment, consistent with attentional narrowing and reduced inhibition, leading to persistence despite refusal</w:t>
      </w:r>
      <w:r w:rsidR="002C5537" w:rsidRPr="002C5537">
        <w:rPr>
          <w:rFonts w:cs="Times New Roman"/>
        </w:rPr>
        <w:t xml:space="preserve"> (Steele &amp; Josephs, 1990)</w:t>
      </w:r>
      <w:r w:rsidRPr="002C5537">
        <w:rPr>
          <w:rFonts w:cs="Times New Roman"/>
        </w:rPr>
        <w:t xml:space="preserve">. Risk is perpetuated by minimisation, shame-driven defensiveness, emotional avoidance, ambivalence toward </w:t>
      </w:r>
      <w:r w:rsidR="00ED1AB9" w:rsidRPr="002C5537">
        <w:rPr>
          <w:rFonts w:cs="Times New Roman"/>
        </w:rPr>
        <w:t>change, and ongoing vulnerability to alcohol-related disinhibition</w:t>
      </w:r>
      <w:r w:rsidR="002C5537" w:rsidRPr="002C5537">
        <w:rPr>
          <w:rFonts w:cs="Times New Roman"/>
        </w:rPr>
        <w:t xml:space="preserve"> (Dietz, 2020)</w:t>
      </w:r>
      <w:r w:rsidR="00ED1AB9" w:rsidRPr="002C5537">
        <w:rPr>
          <w:rFonts w:cs="Times New Roman"/>
        </w:rPr>
        <w:t>. Accordingly, an integrated GLM-led, SRM/RNR-informed intervention targets alcohol misuse, offence-supportive cognition, emotion regulation, and interpersonal boundaries while building prosocial routes to meet core needs</w:t>
      </w:r>
      <w:r w:rsidR="002C5537" w:rsidRPr="002C5537">
        <w:rPr>
          <w:rFonts w:cs="Times New Roman"/>
        </w:rPr>
        <w:t xml:space="preserve"> (Andrews et al., 1990; Seto et al., 2023)</w:t>
      </w:r>
      <w:r w:rsidR="00ED1AB9" w:rsidRPr="002C5537">
        <w:rPr>
          <w:rFonts w:cs="Times New Roman"/>
        </w:rPr>
        <w:t>. With consistent engagement, this approach offers a credible pathway to measurable progress over six months and improved longer-term risk management</w:t>
      </w:r>
      <w:r w:rsidR="002C5537" w:rsidRPr="002C5537">
        <w:rPr>
          <w:rFonts w:cs="Times New Roman"/>
        </w:rPr>
        <w:t xml:space="preserve"> (Seto et al., 2023)</w:t>
      </w:r>
      <w:r w:rsidR="00ED1AB9" w:rsidRPr="002C5537">
        <w:rPr>
          <w:rFonts w:cs="Times New Roman"/>
        </w:rPr>
        <w:t>.</w:t>
      </w:r>
    </w:p>
    <w:p w14:paraId="7C27CA03" w14:textId="77777777" w:rsidR="00ED1AB9" w:rsidRPr="002C5537" w:rsidRDefault="00ED1AB9" w:rsidP="00E90F77">
      <w:pPr>
        <w:spacing w:line="480" w:lineRule="auto"/>
        <w:jc w:val="both"/>
      </w:pPr>
    </w:p>
    <w:p w14:paraId="76E16F17" w14:textId="77777777" w:rsidR="000B61B6" w:rsidRPr="002C5537" w:rsidRDefault="000B61B6" w:rsidP="00E90F77">
      <w:pPr>
        <w:spacing w:line="480" w:lineRule="auto"/>
        <w:jc w:val="both"/>
      </w:pPr>
    </w:p>
    <w:p w14:paraId="642E8224" w14:textId="77777777" w:rsidR="00584F87" w:rsidRPr="002C5537" w:rsidRDefault="00584F87" w:rsidP="00E90F77">
      <w:pPr>
        <w:spacing w:line="480" w:lineRule="auto"/>
        <w:jc w:val="both"/>
      </w:pPr>
    </w:p>
    <w:p w14:paraId="251D830B" w14:textId="77777777" w:rsidR="00584F87" w:rsidRPr="002C5537" w:rsidRDefault="00584F87" w:rsidP="00E90F77">
      <w:pPr>
        <w:spacing w:line="480" w:lineRule="auto"/>
        <w:jc w:val="both"/>
      </w:pPr>
    </w:p>
    <w:p w14:paraId="3BCFDF3B" w14:textId="77777777" w:rsidR="00584F87" w:rsidRPr="002C5537" w:rsidRDefault="00584F87" w:rsidP="00E90F77">
      <w:pPr>
        <w:spacing w:line="480" w:lineRule="auto"/>
        <w:jc w:val="both"/>
      </w:pPr>
    </w:p>
    <w:p w14:paraId="7B061CDB" w14:textId="77777777" w:rsidR="00584F87" w:rsidRPr="002C5537" w:rsidRDefault="00584F87" w:rsidP="00E90F77">
      <w:pPr>
        <w:spacing w:line="480" w:lineRule="auto"/>
        <w:jc w:val="both"/>
      </w:pPr>
    </w:p>
    <w:p w14:paraId="437E53EB" w14:textId="77777777" w:rsidR="00584F87" w:rsidRPr="002C5537" w:rsidRDefault="00584F87" w:rsidP="00E90F77">
      <w:pPr>
        <w:spacing w:line="480" w:lineRule="auto"/>
        <w:jc w:val="both"/>
      </w:pPr>
    </w:p>
    <w:p w14:paraId="4CAC9F9B" w14:textId="77777777" w:rsidR="00584F87" w:rsidRPr="002C5537" w:rsidRDefault="00584F87" w:rsidP="00E90F77">
      <w:pPr>
        <w:spacing w:line="480" w:lineRule="auto"/>
        <w:jc w:val="both"/>
      </w:pPr>
    </w:p>
    <w:p w14:paraId="1B78974B" w14:textId="77777777" w:rsidR="00584F87" w:rsidRPr="002C5537" w:rsidRDefault="00584F87" w:rsidP="00E90F77">
      <w:pPr>
        <w:spacing w:line="480" w:lineRule="auto"/>
        <w:jc w:val="both"/>
      </w:pPr>
    </w:p>
    <w:p w14:paraId="452B0CC8" w14:textId="77777777" w:rsidR="00584F87" w:rsidRPr="002C5537" w:rsidRDefault="00584F87" w:rsidP="00E90F77">
      <w:pPr>
        <w:spacing w:line="480" w:lineRule="auto"/>
        <w:jc w:val="both"/>
      </w:pPr>
    </w:p>
    <w:p w14:paraId="5E7A1BB4" w14:textId="77777777" w:rsidR="00584F87" w:rsidRPr="002C5537" w:rsidRDefault="00584F87" w:rsidP="00E90F77">
      <w:pPr>
        <w:spacing w:line="480" w:lineRule="auto"/>
        <w:jc w:val="both"/>
      </w:pPr>
    </w:p>
    <w:p w14:paraId="5FAF896D" w14:textId="77777777" w:rsidR="00584F87" w:rsidRPr="002C5537" w:rsidRDefault="00584F87" w:rsidP="00E90F77">
      <w:pPr>
        <w:spacing w:line="480" w:lineRule="auto"/>
        <w:jc w:val="both"/>
      </w:pPr>
    </w:p>
    <w:p w14:paraId="73F2DF0C" w14:textId="77777777" w:rsidR="000B61B6" w:rsidRPr="002C5537" w:rsidRDefault="000B61B6" w:rsidP="00E90F77">
      <w:pPr>
        <w:spacing w:line="480" w:lineRule="auto"/>
        <w:jc w:val="both"/>
      </w:pPr>
    </w:p>
    <w:p w14:paraId="588C56C0" w14:textId="084228E5" w:rsidR="000B61B6" w:rsidRPr="002C5537" w:rsidRDefault="000B61B6" w:rsidP="00E90F77">
      <w:pPr>
        <w:spacing w:line="480" w:lineRule="auto"/>
        <w:jc w:val="both"/>
      </w:pPr>
      <w:r w:rsidRPr="002C5537">
        <w:t>Reference List</w:t>
      </w:r>
    </w:p>
    <w:p w14:paraId="37E1DCA4" w14:textId="5AC29148" w:rsidR="00BD7A1C" w:rsidRPr="002C5537" w:rsidRDefault="00BD7A1C" w:rsidP="00E90F77">
      <w:pPr>
        <w:spacing w:line="480" w:lineRule="auto"/>
        <w:jc w:val="both"/>
      </w:pPr>
      <w:r w:rsidRPr="002C5537">
        <w:t>Andrews, D. A., &amp; Bonta, J.</w:t>
      </w:r>
      <w:r w:rsidR="001A73A3" w:rsidRPr="002C5537">
        <w:t xml:space="preserve">, &amp; Hoge, R. D. </w:t>
      </w:r>
      <w:r w:rsidRPr="002C5537">
        <w:t>(</w:t>
      </w:r>
      <w:r w:rsidR="001A73A3" w:rsidRPr="002C5537">
        <w:t>1990</w:t>
      </w:r>
      <w:r w:rsidRPr="002C5537">
        <w:t xml:space="preserve">). </w:t>
      </w:r>
      <w:r w:rsidR="001A73A3" w:rsidRPr="002C5537">
        <w:t xml:space="preserve">Classification for effective rehabilitation: Rediscovering psychology. </w:t>
      </w:r>
      <w:r w:rsidR="001A73A3" w:rsidRPr="002C5537">
        <w:rPr>
          <w:i/>
          <w:iCs/>
        </w:rPr>
        <w:t>Criminal Justice and Behavior, 17</w:t>
      </w:r>
      <w:r w:rsidR="001A73A3" w:rsidRPr="002C5537">
        <w:t>(1), 19-52. https://doi.org/10.1177</w:t>
      </w:r>
      <w:r w:rsidR="00584F87" w:rsidRPr="002C5537">
        <w:t>/0093854890017001004</w:t>
      </w:r>
    </w:p>
    <w:p w14:paraId="5B6132A3" w14:textId="5070C6CF" w:rsidR="003134E8" w:rsidRPr="002C5537" w:rsidRDefault="003134E8" w:rsidP="00E90F77">
      <w:pPr>
        <w:spacing w:line="480" w:lineRule="auto"/>
        <w:jc w:val="both"/>
      </w:pPr>
      <w:r w:rsidRPr="002C5537">
        <w:t>Bandura, A., &amp; National Inst of Mental Health. (1986). Social foundations of thought and action: A social cognitive theory. Prentice-Hall, Inc.</w:t>
      </w:r>
    </w:p>
    <w:p w14:paraId="6A8F88C3" w14:textId="7868DE5B" w:rsidR="001025F1" w:rsidRPr="002C5537" w:rsidRDefault="008441E9" w:rsidP="00E90F77">
      <w:pPr>
        <w:spacing w:line="480" w:lineRule="auto"/>
        <w:jc w:val="both"/>
      </w:pPr>
      <w:r w:rsidRPr="002C5537">
        <w:t>Basto-Pereira, M., Gouveia-Pereira, M., Pereira, C. R., Barrett, E. L., Lawler, S., Newton, N., Stapinski, L., Prior, K., Costa, M. S. A., Ximenes, J. M., Rocha, A. S., Michel, G., Garcia, M., Rouchy, E., Al Shawi, A., Sarhan, Y., Fulano, C., Magaia, A. J., El-Astal, S., Alattar, K., … Sakulku, J. (2022). The global impact of adverse childhood experiences on criminal behavior: A cross-continental study. </w:t>
      </w:r>
      <w:r w:rsidRPr="002C5537">
        <w:rPr>
          <w:i/>
          <w:iCs/>
        </w:rPr>
        <w:t>Child abuse &amp; neglect</w:t>
      </w:r>
      <w:r w:rsidRPr="002C5537">
        <w:t>, </w:t>
      </w:r>
      <w:r w:rsidRPr="002C5537">
        <w:rPr>
          <w:i/>
          <w:iCs/>
        </w:rPr>
        <w:t>124</w:t>
      </w:r>
      <w:r w:rsidRPr="002C5537">
        <w:t>, 105459. https://doi.org/10.1016/j.chiabu.2021.105459</w:t>
      </w:r>
    </w:p>
    <w:p w14:paraId="5469A120" w14:textId="57340575" w:rsidR="00996C3D" w:rsidRPr="002C5537" w:rsidRDefault="00912865" w:rsidP="00912865">
      <w:pPr>
        <w:spacing w:line="480" w:lineRule="auto"/>
        <w:jc w:val="both"/>
      </w:pPr>
      <w:r w:rsidRPr="002C5537">
        <w:t xml:space="preserve">Bolton, J.W. (2014). Case Formulation After Engel—The 4P Model: A Philosophical Case Conference. </w:t>
      </w:r>
      <w:r w:rsidRPr="002C5537">
        <w:rPr>
          <w:i/>
          <w:iCs/>
        </w:rPr>
        <w:t>Philosophy, Psychiatry, &amp; Psychology</w:t>
      </w:r>
      <w:r w:rsidR="00E92B50" w:rsidRPr="002C5537">
        <w:rPr>
          <w:i/>
          <w:iCs/>
        </w:rPr>
        <w:t>,</w:t>
      </w:r>
      <w:r w:rsidRPr="002C5537">
        <w:rPr>
          <w:i/>
          <w:iCs/>
        </w:rPr>
        <w:t xml:space="preserve"> 21</w:t>
      </w:r>
      <w:r w:rsidRPr="002C5537">
        <w:t xml:space="preserve">(3), 179-189. </w:t>
      </w:r>
      <w:hyperlink r:id="rId4" w:history="1">
        <w:r w:rsidRPr="002C5537">
          <w:rPr>
            <w:rStyle w:val="Hyperlink"/>
            <w:color w:val="auto"/>
          </w:rPr>
          <w:t>https://dx.doi.org/10.1353/ppp.2014.0027</w:t>
        </w:r>
      </w:hyperlink>
      <w:r w:rsidRPr="002C5537">
        <w:t xml:space="preserve">. </w:t>
      </w:r>
    </w:p>
    <w:p w14:paraId="0EA7EC8F" w14:textId="25B541DC" w:rsidR="00B2782F" w:rsidRPr="002C5537" w:rsidRDefault="00B2782F" w:rsidP="00912865">
      <w:pPr>
        <w:spacing w:line="480" w:lineRule="auto"/>
        <w:jc w:val="both"/>
      </w:pPr>
      <w:r w:rsidRPr="002C5537">
        <w:t xml:space="preserve">Burton, S., Knibb, G., &amp; Jones, A. (2021). A meta-analytic investigation of the role of reward on inhibitory control. </w:t>
      </w:r>
      <w:r w:rsidRPr="002C5537">
        <w:rPr>
          <w:i/>
          <w:iCs/>
        </w:rPr>
        <w:t>Quarterly Journal of Experimental Psychology, 74</w:t>
      </w:r>
      <w:r w:rsidRPr="002C5537">
        <w:t xml:space="preserve">(10), 1818-1828. </w:t>
      </w:r>
      <w:hyperlink r:id="rId5" w:history="1">
        <w:r w:rsidR="00667B23" w:rsidRPr="002C5537">
          <w:rPr>
            <w:rStyle w:val="Hyperlink"/>
            <w:color w:val="auto"/>
          </w:rPr>
          <w:t>https://doi.org/10.1177/17470218211008895</w:t>
        </w:r>
      </w:hyperlink>
    </w:p>
    <w:p w14:paraId="1BC3E3DF" w14:textId="661388A0" w:rsidR="003620E4" w:rsidRPr="002C5537" w:rsidRDefault="003620E4" w:rsidP="00912865">
      <w:pPr>
        <w:spacing w:line="480" w:lineRule="auto"/>
        <w:jc w:val="both"/>
      </w:pPr>
      <w:r w:rsidRPr="002C5537">
        <w:t xml:space="preserve">Concha-Salgado, A., Ramírez, A., Pérez, B., Pérez-Luco, R., &amp; García-Cueto, E. (2022). Moral Disengagement as a Self-Regulatory Cognitive Process of Transgressions: Psychometric Evidence of the Bandura Scale in Chilean Adolescents. </w:t>
      </w:r>
      <w:r w:rsidRPr="002C5537">
        <w:rPr>
          <w:i/>
          <w:iCs/>
        </w:rPr>
        <w:t>International journal of environmental research and public health, 19</w:t>
      </w:r>
      <w:r w:rsidRPr="002C5537">
        <w:t xml:space="preserve">(19), 12249. </w:t>
      </w:r>
      <w:hyperlink r:id="rId6" w:history="1">
        <w:r w:rsidR="00C45986" w:rsidRPr="002C5537">
          <w:rPr>
            <w:rStyle w:val="Hyperlink"/>
            <w:color w:val="auto"/>
          </w:rPr>
          <w:t>https://doi.org/10.3390/ijerph191912249</w:t>
        </w:r>
      </w:hyperlink>
    </w:p>
    <w:p w14:paraId="35C5BEF4" w14:textId="43254162" w:rsidR="009C428D" w:rsidRPr="002C5537" w:rsidRDefault="009C428D" w:rsidP="00912865">
      <w:pPr>
        <w:spacing w:line="480" w:lineRule="auto"/>
        <w:jc w:val="both"/>
      </w:pPr>
      <w:r w:rsidRPr="002C5537">
        <w:t xml:space="preserve">Davis, K. C., Neilson, E. C., Kirwan, M., Eldridge, N., George, W. H., &amp; Stappenbeck, C. A. (2021). Alcohol-involved sexual aggression: Emotion regulation as a mechanism of behavior change. </w:t>
      </w:r>
      <w:r w:rsidRPr="002C5537">
        <w:rPr>
          <w:i/>
          <w:iCs/>
        </w:rPr>
        <w:t>Health psychology: official journal of the Division of Health Psychology, American Psychological Association, 40</w:t>
      </w:r>
      <w:r w:rsidRPr="002C5537">
        <w:t xml:space="preserve">(12), 940-950. </w:t>
      </w:r>
      <w:hyperlink r:id="rId7" w:history="1">
        <w:r w:rsidRPr="002C5537">
          <w:rPr>
            <w:rStyle w:val="Hyperlink"/>
            <w:color w:val="auto"/>
          </w:rPr>
          <w:t>https://doi.org/10.1037/hea0001048</w:t>
        </w:r>
      </w:hyperlink>
      <w:r w:rsidRPr="002C5537">
        <w:t xml:space="preserve">. </w:t>
      </w:r>
    </w:p>
    <w:p w14:paraId="3DBDC03B" w14:textId="0262F429" w:rsidR="00667B23" w:rsidRPr="002C5537" w:rsidRDefault="00667B23" w:rsidP="00912865">
      <w:pPr>
        <w:spacing w:line="480" w:lineRule="auto"/>
        <w:jc w:val="both"/>
      </w:pPr>
      <w:r w:rsidRPr="002C5537">
        <w:t>Dietz</w:t>
      </w:r>
      <w:r w:rsidR="00584F87" w:rsidRPr="002C5537">
        <w:t>,</w:t>
      </w:r>
      <w:r w:rsidRPr="002C5537">
        <w:t xml:space="preserve"> P. </w:t>
      </w:r>
      <w:r w:rsidR="00D6476E" w:rsidRPr="002C5537">
        <w:t xml:space="preserve">(2020). </w:t>
      </w:r>
      <w:r w:rsidRPr="002C5537">
        <w:t xml:space="preserve">Denial and minimization among sex offenders. </w:t>
      </w:r>
      <w:r w:rsidRPr="002C5537">
        <w:rPr>
          <w:i/>
          <w:iCs/>
        </w:rPr>
        <w:t>Behav</w:t>
      </w:r>
      <w:r w:rsidR="00E92B50" w:rsidRPr="002C5537">
        <w:rPr>
          <w:i/>
          <w:iCs/>
        </w:rPr>
        <w:t>ior</w:t>
      </w:r>
      <w:r w:rsidR="00D6476E" w:rsidRPr="002C5537">
        <w:rPr>
          <w:i/>
          <w:iCs/>
        </w:rPr>
        <w:t>al</w:t>
      </w:r>
      <w:r w:rsidRPr="002C5537">
        <w:rPr>
          <w:i/>
          <w:iCs/>
        </w:rPr>
        <w:t xml:space="preserve"> </w:t>
      </w:r>
      <w:r w:rsidR="00D6476E" w:rsidRPr="002C5537">
        <w:rPr>
          <w:i/>
          <w:iCs/>
        </w:rPr>
        <w:t>s</w:t>
      </w:r>
      <w:r w:rsidRPr="002C5537">
        <w:rPr>
          <w:i/>
          <w:iCs/>
        </w:rPr>
        <w:t>ci</w:t>
      </w:r>
      <w:r w:rsidR="00E92B50" w:rsidRPr="002C5537">
        <w:rPr>
          <w:i/>
          <w:iCs/>
        </w:rPr>
        <w:t>enc</w:t>
      </w:r>
      <w:r w:rsidR="00D6476E" w:rsidRPr="002C5537">
        <w:rPr>
          <w:i/>
          <w:iCs/>
        </w:rPr>
        <w:t>es &amp; the</w:t>
      </w:r>
      <w:r w:rsidRPr="002C5537">
        <w:rPr>
          <w:i/>
          <w:iCs/>
        </w:rPr>
        <w:t xml:space="preserve"> </w:t>
      </w:r>
      <w:r w:rsidR="00D6476E" w:rsidRPr="002C5537">
        <w:rPr>
          <w:i/>
          <w:iCs/>
        </w:rPr>
        <w:t>l</w:t>
      </w:r>
      <w:r w:rsidRPr="002C5537">
        <w:rPr>
          <w:i/>
          <w:iCs/>
        </w:rPr>
        <w:t>aw</w:t>
      </w:r>
      <w:r w:rsidR="00E92B50" w:rsidRPr="002C5537">
        <w:rPr>
          <w:i/>
          <w:iCs/>
        </w:rPr>
        <w:t xml:space="preserve">, </w:t>
      </w:r>
      <w:r w:rsidRPr="002C5537">
        <w:rPr>
          <w:i/>
          <w:iCs/>
        </w:rPr>
        <w:t>38</w:t>
      </w:r>
      <w:r w:rsidRPr="002C5537">
        <w:t>(6)</w:t>
      </w:r>
      <w:r w:rsidR="00E92B50" w:rsidRPr="002C5537">
        <w:t xml:space="preserve"> </w:t>
      </w:r>
      <w:r w:rsidRPr="002C5537">
        <w:t xml:space="preserve">571-585. </w:t>
      </w:r>
      <w:r w:rsidR="00D6476E" w:rsidRPr="002C5537">
        <w:t>https://doi.org/10.1002/bsl.2493</w:t>
      </w:r>
    </w:p>
    <w:p w14:paraId="6DB096C6" w14:textId="3F054673" w:rsidR="005D0B7A" w:rsidRPr="002C5537" w:rsidRDefault="005D0B7A" w:rsidP="00912865">
      <w:pPr>
        <w:spacing w:line="480" w:lineRule="auto"/>
        <w:jc w:val="both"/>
      </w:pPr>
      <w:r w:rsidRPr="002C5537">
        <w:t xml:space="preserve">Eastwood, A. P., Penton-Voak, I. S., Munafò, M. R., &amp; Attwood, A. S. (2020). Effects of acute alcohol consumption on emotion recognition in high and low trait aggressive drinkers. </w:t>
      </w:r>
      <w:r w:rsidRPr="002C5537">
        <w:rPr>
          <w:i/>
          <w:iCs/>
        </w:rPr>
        <w:t>Journal of psychopharmacology (Oxford, England), 34</w:t>
      </w:r>
      <w:r w:rsidRPr="002C5537">
        <w:t>(11), 1226–1236. https://doi.org/10.1177/0269881120922951</w:t>
      </w:r>
    </w:p>
    <w:p w14:paraId="2D3F63E6" w14:textId="063277CB" w:rsidR="00A92E54" w:rsidRPr="002C5537" w:rsidRDefault="00A92E54" w:rsidP="00912865">
      <w:pPr>
        <w:spacing w:line="480" w:lineRule="auto"/>
        <w:jc w:val="both"/>
      </w:pPr>
      <w:r w:rsidRPr="002C5537">
        <w:t xml:space="preserve">Ferraro, I. K., &amp; Taylor, A. M. (2021). Adult attachment styles and emotional regulation: The role of interoceptive awareness and alexithymia. </w:t>
      </w:r>
      <w:r w:rsidRPr="002C5537">
        <w:rPr>
          <w:i/>
          <w:iCs/>
        </w:rPr>
        <w:t>Personality and Individual Differences, 173</w:t>
      </w:r>
      <w:r w:rsidRPr="002C5537">
        <w:t>,</w:t>
      </w:r>
      <w:r w:rsidR="00584F87" w:rsidRPr="002C5537">
        <w:t xml:space="preserve"> </w:t>
      </w:r>
      <w:r w:rsidRPr="002C5537">
        <w:t xml:space="preserve">110641. </w:t>
      </w:r>
      <w:hyperlink r:id="rId8" w:history="1">
        <w:r w:rsidR="00BD7A1C" w:rsidRPr="002C5537">
          <w:rPr>
            <w:rStyle w:val="Hyperlink"/>
            <w:color w:val="auto"/>
          </w:rPr>
          <w:t>https://doi.org/10.1016/j.paid.2021.110641</w:t>
        </w:r>
      </w:hyperlink>
    </w:p>
    <w:p w14:paraId="2348A5C8" w14:textId="5B90E266" w:rsidR="00BD7A1C" w:rsidRPr="002C5537" w:rsidRDefault="00BD7A1C" w:rsidP="00912865">
      <w:pPr>
        <w:spacing w:line="480" w:lineRule="auto"/>
        <w:jc w:val="both"/>
      </w:pPr>
      <w:r w:rsidRPr="002C5537">
        <w:t xml:space="preserve">Garant, E., &amp; Ouellet, F. (2024). Protective Factors Related to Desistance in Sexual Offending: A Scoping Review. </w:t>
      </w:r>
      <w:r w:rsidRPr="002C5537">
        <w:rPr>
          <w:i/>
          <w:iCs/>
        </w:rPr>
        <w:t>Sage Open, 14</w:t>
      </w:r>
      <w:r w:rsidRPr="002C5537">
        <w:t xml:space="preserve">(4). https://doi.org/10.1177/21582440241281606 </w:t>
      </w:r>
    </w:p>
    <w:p w14:paraId="2FB9B672" w14:textId="7B62361F" w:rsidR="00E026E8" w:rsidRPr="002C5537" w:rsidRDefault="00E026E8" w:rsidP="00912865">
      <w:pPr>
        <w:spacing w:line="480" w:lineRule="auto"/>
        <w:jc w:val="both"/>
      </w:pPr>
      <w:r w:rsidRPr="002C5537">
        <w:t xml:space="preserve">Garofalo C, Giammarioli L, Aiolfi I, Delvecchio E, Mazzeschi C. </w:t>
      </w:r>
      <w:r w:rsidR="00265C87" w:rsidRPr="002C5537">
        <w:t xml:space="preserve">(2025). </w:t>
      </w:r>
      <w:r w:rsidRPr="002C5537">
        <w:t xml:space="preserve">Conceptualization and Assessment of Shame Experience and Regulation: An Umbrella Review of Synthesis Studies. </w:t>
      </w:r>
      <w:r w:rsidRPr="002C5537">
        <w:rPr>
          <w:i/>
          <w:iCs/>
        </w:rPr>
        <w:t>Clin</w:t>
      </w:r>
      <w:r w:rsidR="00265C87" w:rsidRPr="002C5537">
        <w:rPr>
          <w:i/>
          <w:iCs/>
        </w:rPr>
        <w:t>ical p</w:t>
      </w:r>
      <w:r w:rsidRPr="002C5537">
        <w:rPr>
          <w:i/>
          <w:iCs/>
        </w:rPr>
        <w:t>sychol</w:t>
      </w:r>
      <w:r w:rsidR="00265C87" w:rsidRPr="002C5537">
        <w:rPr>
          <w:i/>
          <w:iCs/>
        </w:rPr>
        <w:t>ogy</w:t>
      </w:r>
      <w:r w:rsidRPr="002C5537">
        <w:rPr>
          <w:i/>
          <w:iCs/>
        </w:rPr>
        <w:t xml:space="preserve"> </w:t>
      </w:r>
      <w:r w:rsidR="00265C87" w:rsidRPr="002C5537">
        <w:rPr>
          <w:i/>
          <w:iCs/>
        </w:rPr>
        <w:t>&amp; psychotherapy, 32</w:t>
      </w:r>
      <w:r w:rsidR="00265C87" w:rsidRPr="002C5537">
        <w:t>(4), e70136. https://doi.org/10.1002/cpp.70136</w:t>
      </w:r>
    </w:p>
    <w:p w14:paraId="12DE9BC6" w14:textId="2E885188" w:rsidR="00B3658B" w:rsidRPr="002C5537" w:rsidRDefault="00B3658B" w:rsidP="00912865">
      <w:pPr>
        <w:spacing w:line="480" w:lineRule="auto"/>
        <w:jc w:val="both"/>
      </w:pPr>
      <w:r w:rsidRPr="002C5537">
        <w:t xml:space="preserve">González-Roz, A., Castaño, Y., Krotter, A., Salazar-Cedillo, A., &amp; Gervilla, E. (2024). Emotional dysregulation in relation to substance use and behavioral addictions: Findings from five separate meta-analyses. </w:t>
      </w:r>
      <w:r w:rsidRPr="002C5537">
        <w:rPr>
          <w:i/>
          <w:iCs/>
        </w:rPr>
        <w:t xml:space="preserve">International journal of clinical and health </w:t>
      </w:r>
      <w:r w:rsidR="00265C87" w:rsidRPr="002C5537">
        <w:rPr>
          <w:i/>
          <w:iCs/>
        </w:rPr>
        <w:t>psychology</w:t>
      </w:r>
      <w:r w:rsidR="00265C87" w:rsidRPr="002C5537">
        <w:t>:</w:t>
      </w:r>
      <w:r w:rsidRPr="002C5537">
        <w:rPr>
          <w:i/>
          <w:iCs/>
        </w:rPr>
        <w:t xml:space="preserve"> 24</w:t>
      </w:r>
      <w:r w:rsidRPr="002C5537">
        <w:t>(3), 100502. https://doi.org/10.1016/j.ijchp.2024.100502</w:t>
      </w:r>
    </w:p>
    <w:p w14:paraId="5ACC20A6" w14:textId="7C392C8E" w:rsidR="00C01550" w:rsidRPr="002C5537" w:rsidRDefault="00C01550" w:rsidP="00912865">
      <w:pPr>
        <w:spacing w:line="480" w:lineRule="auto"/>
        <w:jc w:val="both"/>
      </w:pPr>
      <w:r w:rsidRPr="002C5537">
        <w:t>Grady</w:t>
      </w:r>
      <w:r w:rsidR="00265C87" w:rsidRPr="002C5537">
        <w:t>,</w:t>
      </w:r>
      <w:r w:rsidRPr="002C5537">
        <w:t xml:space="preserve"> M</w:t>
      </w:r>
      <w:r w:rsidR="00265C87" w:rsidRPr="002C5537">
        <w:t xml:space="preserve">. </w:t>
      </w:r>
      <w:r w:rsidRPr="002C5537">
        <w:t>D</w:t>
      </w:r>
      <w:r w:rsidR="00265C87" w:rsidRPr="002C5537">
        <w:t>.</w:t>
      </w:r>
      <w:r w:rsidRPr="002C5537">
        <w:t>, Yoder</w:t>
      </w:r>
      <w:r w:rsidR="00265C87" w:rsidRPr="002C5537">
        <w:t>,</w:t>
      </w:r>
      <w:r w:rsidRPr="002C5537">
        <w:t xml:space="preserve"> J.</w:t>
      </w:r>
      <w:r w:rsidR="00265C87" w:rsidRPr="002C5537">
        <w:t xml:space="preserve"> (2024).</w:t>
      </w:r>
      <w:r w:rsidRPr="002C5537">
        <w:t xml:space="preserve"> Attachment Theory and Sexual Offending: Making the Connection. </w:t>
      </w:r>
      <w:r w:rsidRPr="002C5537">
        <w:rPr>
          <w:i/>
          <w:iCs/>
        </w:rPr>
        <w:t>Curr</w:t>
      </w:r>
      <w:r w:rsidR="00265C87" w:rsidRPr="002C5537">
        <w:rPr>
          <w:i/>
          <w:iCs/>
        </w:rPr>
        <w:t>ent</w:t>
      </w:r>
      <w:r w:rsidRPr="002C5537">
        <w:rPr>
          <w:i/>
          <w:iCs/>
        </w:rPr>
        <w:t xml:space="preserve"> </w:t>
      </w:r>
      <w:r w:rsidR="00265C87" w:rsidRPr="002C5537">
        <w:rPr>
          <w:i/>
          <w:iCs/>
        </w:rPr>
        <w:t>p</w:t>
      </w:r>
      <w:r w:rsidRPr="002C5537">
        <w:rPr>
          <w:i/>
          <w:iCs/>
        </w:rPr>
        <w:t xml:space="preserve">sychiatry </w:t>
      </w:r>
      <w:r w:rsidR="00265C87" w:rsidRPr="002C5537">
        <w:rPr>
          <w:i/>
          <w:iCs/>
        </w:rPr>
        <w:t>r</w:t>
      </w:r>
      <w:r w:rsidRPr="002C5537">
        <w:rPr>
          <w:i/>
          <w:iCs/>
        </w:rPr>
        <w:t>ep</w:t>
      </w:r>
      <w:r w:rsidR="00265C87" w:rsidRPr="002C5537">
        <w:rPr>
          <w:i/>
          <w:iCs/>
        </w:rPr>
        <w:t xml:space="preserve">orts, </w:t>
      </w:r>
      <w:r w:rsidRPr="002C5537">
        <w:rPr>
          <w:i/>
          <w:iCs/>
        </w:rPr>
        <w:t>26</w:t>
      </w:r>
      <w:r w:rsidRPr="002C5537">
        <w:t>(4)</w:t>
      </w:r>
      <w:r w:rsidR="00D6476E" w:rsidRPr="002C5537">
        <w:t xml:space="preserve">, </w:t>
      </w:r>
      <w:r w:rsidRPr="002C5537">
        <w:t xml:space="preserve">134-141. </w:t>
      </w:r>
      <w:r w:rsidR="00D6476E" w:rsidRPr="002C5537">
        <w:t>https://doi.org/10.1007/s11920-024-01488-2</w:t>
      </w:r>
    </w:p>
    <w:p w14:paraId="19AA4A43" w14:textId="4785F9C6" w:rsidR="00B97B20" w:rsidRPr="002C5537" w:rsidRDefault="00B97B20" w:rsidP="00912865">
      <w:pPr>
        <w:spacing w:line="480" w:lineRule="auto"/>
        <w:jc w:val="both"/>
      </w:pPr>
      <w:r w:rsidRPr="002C5537">
        <w:t>Jonas</w:t>
      </w:r>
      <w:r w:rsidR="00D6476E" w:rsidRPr="002C5537">
        <w:t>,</w:t>
      </w:r>
      <w:r w:rsidRPr="002C5537">
        <w:t xml:space="preserve"> J</w:t>
      </w:r>
      <w:r w:rsidR="00D6476E" w:rsidRPr="002C5537">
        <w:t>.</w:t>
      </w:r>
      <w:r w:rsidRPr="002C5537">
        <w:t>, Zebel</w:t>
      </w:r>
      <w:r w:rsidR="00D6476E" w:rsidRPr="002C5537">
        <w:t>,</w:t>
      </w:r>
      <w:r w:rsidRPr="002C5537">
        <w:t xml:space="preserve"> S</w:t>
      </w:r>
      <w:r w:rsidR="00D6476E" w:rsidRPr="002C5537">
        <w:t>.</w:t>
      </w:r>
      <w:r w:rsidRPr="002C5537">
        <w:t>, Claessen</w:t>
      </w:r>
      <w:r w:rsidR="00D6476E" w:rsidRPr="002C5537">
        <w:t>,</w:t>
      </w:r>
      <w:r w:rsidRPr="002C5537">
        <w:t xml:space="preserve"> J</w:t>
      </w:r>
      <w:r w:rsidR="00D6476E" w:rsidRPr="002C5537">
        <w:t>.</w:t>
      </w:r>
      <w:r w:rsidRPr="002C5537">
        <w:t>, Nelen</w:t>
      </w:r>
      <w:r w:rsidR="00D6476E" w:rsidRPr="002C5537">
        <w:t>,</w:t>
      </w:r>
      <w:r w:rsidRPr="002C5537">
        <w:t xml:space="preserve"> H.</w:t>
      </w:r>
      <w:r w:rsidR="00D6476E" w:rsidRPr="002C5537">
        <w:t xml:space="preserve"> (2022)</w:t>
      </w:r>
      <w:r w:rsidRPr="002C5537">
        <w:t xml:space="preserve"> The Psychological Impact of Participation in Victim-Offender Mediation on Offenders: Evidence for Increased Compunction and Victim Empathy. Front</w:t>
      </w:r>
      <w:r w:rsidR="00D6476E" w:rsidRPr="002C5537">
        <w:t>iers in</w:t>
      </w:r>
      <w:r w:rsidRPr="002C5537">
        <w:t xml:space="preserve"> </w:t>
      </w:r>
      <w:r w:rsidR="00D6476E" w:rsidRPr="002C5537">
        <w:t>p</w:t>
      </w:r>
      <w:r w:rsidRPr="002C5537">
        <w:t>sychol</w:t>
      </w:r>
      <w:r w:rsidR="00D6476E" w:rsidRPr="002C5537">
        <w:t>ogy, 12, 812629. https://doi.org/10.3389/fpsyg.2021.812629</w:t>
      </w:r>
    </w:p>
    <w:p w14:paraId="64E08D65" w14:textId="0761C5A9" w:rsidR="00DF1072" w:rsidRPr="002C5537" w:rsidRDefault="00C0684C" w:rsidP="00912865">
      <w:pPr>
        <w:spacing w:line="480" w:lineRule="auto"/>
        <w:jc w:val="both"/>
      </w:pPr>
      <w:r w:rsidRPr="002C5537">
        <w:t xml:space="preserve">Lievesley, R., Swaby, H., Winder, B. et al. “One a Day Keeps the Prison Away”: Understanding the Experiences of Individuals Convicted of Sexual Offences Receiving Anti-Androgens for the Treatment of Problematic Sexual Arousal. </w:t>
      </w:r>
      <w:r w:rsidRPr="002C5537">
        <w:rPr>
          <w:i/>
          <w:iCs/>
        </w:rPr>
        <w:t>Arch</w:t>
      </w:r>
      <w:r w:rsidR="00D6476E" w:rsidRPr="002C5537">
        <w:rPr>
          <w:i/>
          <w:iCs/>
        </w:rPr>
        <w:t>ives of</w:t>
      </w:r>
      <w:r w:rsidRPr="002C5537">
        <w:rPr>
          <w:i/>
          <w:iCs/>
        </w:rPr>
        <w:t xml:space="preserve"> Sex</w:t>
      </w:r>
      <w:r w:rsidR="00D6476E" w:rsidRPr="002C5537">
        <w:rPr>
          <w:i/>
          <w:iCs/>
        </w:rPr>
        <w:t>ual</w:t>
      </w:r>
      <w:r w:rsidRPr="002C5537">
        <w:rPr>
          <w:i/>
          <w:iCs/>
        </w:rPr>
        <w:t xml:space="preserve"> Behav</w:t>
      </w:r>
      <w:r w:rsidR="00D6476E" w:rsidRPr="002C5537">
        <w:rPr>
          <w:i/>
          <w:iCs/>
        </w:rPr>
        <w:t>ior</w:t>
      </w:r>
      <w:r w:rsidRPr="002C5537">
        <w:rPr>
          <w:i/>
          <w:iCs/>
        </w:rPr>
        <w:t xml:space="preserve"> 53,</w:t>
      </w:r>
      <w:r w:rsidRPr="002C5537">
        <w:t xml:space="preserve"> 2141–2158. </w:t>
      </w:r>
      <w:hyperlink r:id="rId9" w:history="1">
        <w:r w:rsidR="00AC3408" w:rsidRPr="002C5537">
          <w:rPr>
            <w:rStyle w:val="Hyperlink"/>
            <w:color w:val="auto"/>
          </w:rPr>
          <w:t>https://doi.org/10.1007/s10508-024-02847-z</w:t>
        </w:r>
      </w:hyperlink>
    </w:p>
    <w:p w14:paraId="07E96524" w14:textId="3E4A1109" w:rsidR="00AC3408" w:rsidRPr="002C5537" w:rsidRDefault="00AC3408" w:rsidP="00912865">
      <w:pPr>
        <w:spacing w:line="480" w:lineRule="auto"/>
        <w:jc w:val="both"/>
      </w:pPr>
      <w:r w:rsidRPr="002C5537">
        <w:t>Lindegren</w:t>
      </w:r>
      <w:r w:rsidR="00D6476E" w:rsidRPr="002C5537">
        <w:t>,</w:t>
      </w:r>
      <w:r w:rsidRPr="002C5537">
        <w:t xml:space="preserve"> S. </w:t>
      </w:r>
      <w:r w:rsidR="00D6476E" w:rsidRPr="002C5537">
        <w:t xml:space="preserve">(2025). </w:t>
      </w:r>
      <w:r w:rsidRPr="002C5537">
        <w:t xml:space="preserve">Looping Disruption: A Relational Mechanism Enhancing Treatment Readiness among Individuals Convicted of Sexual Offending? </w:t>
      </w:r>
      <w:r w:rsidRPr="002C5537">
        <w:rPr>
          <w:i/>
          <w:iCs/>
        </w:rPr>
        <w:t>Sex</w:t>
      </w:r>
      <w:r w:rsidR="00A32A4C" w:rsidRPr="002C5537">
        <w:rPr>
          <w:i/>
          <w:iCs/>
        </w:rPr>
        <w:t>ual</w:t>
      </w:r>
      <w:r w:rsidRPr="002C5537">
        <w:rPr>
          <w:i/>
          <w:iCs/>
        </w:rPr>
        <w:t xml:space="preserve"> </w:t>
      </w:r>
      <w:r w:rsidR="00A32A4C" w:rsidRPr="002C5537">
        <w:rPr>
          <w:i/>
          <w:iCs/>
        </w:rPr>
        <w:t>a</w:t>
      </w:r>
      <w:r w:rsidRPr="002C5537">
        <w:rPr>
          <w:i/>
          <w:iCs/>
        </w:rPr>
        <w:t>buse</w:t>
      </w:r>
      <w:r w:rsidR="00A32A4C" w:rsidRPr="002C5537">
        <w:rPr>
          <w:i/>
          <w:iCs/>
        </w:rPr>
        <w:t>: a journal of research and treatment, 37</w:t>
      </w:r>
      <w:r w:rsidR="00A32A4C" w:rsidRPr="002C5537">
        <w:t>(3), 282-308. https://doi.org/10.1177/10790632231224380</w:t>
      </w:r>
    </w:p>
    <w:p w14:paraId="5718FFCF" w14:textId="3898195E" w:rsidR="00A8666F" w:rsidRPr="002C5537" w:rsidRDefault="00A8666F" w:rsidP="00A8666F">
      <w:pPr>
        <w:spacing w:line="480" w:lineRule="auto"/>
        <w:jc w:val="both"/>
      </w:pPr>
      <w:r w:rsidRPr="002C5537">
        <w:t xml:space="preserve"> Logan</w:t>
      </w:r>
      <w:r w:rsidR="000B61B6" w:rsidRPr="002C5537">
        <w:t>, C.</w:t>
      </w:r>
      <w:r w:rsidRPr="002C5537">
        <w:t xml:space="preserve"> (2014) The HCR-20 Version 3: A Case Study in Risk</w:t>
      </w:r>
      <w:r w:rsidR="000B61B6" w:rsidRPr="002C5537">
        <w:t xml:space="preserve"> </w:t>
      </w:r>
      <w:r w:rsidRPr="002C5537">
        <w:t>Formulation</w:t>
      </w:r>
      <w:r w:rsidR="00A32A4C" w:rsidRPr="002C5537">
        <w:t xml:space="preserve">. The </w:t>
      </w:r>
      <w:r w:rsidRPr="002C5537">
        <w:t xml:space="preserve">International </w:t>
      </w:r>
      <w:r w:rsidRPr="002C5537">
        <w:rPr>
          <w:i/>
          <w:iCs/>
        </w:rPr>
        <w:t>Journal of Forensic Mental Health, 13</w:t>
      </w:r>
      <w:r w:rsidR="001A73A3" w:rsidRPr="002C5537">
        <w:t>(</w:t>
      </w:r>
      <w:r w:rsidRPr="002C5537">
        <w:t>2</w:t>
      </w:r>
      <w:r w:rsidR="001A73A3" w:rsidRPr="002C5537">
        <w:t>)</w:t>
      </w:r>
      <w:r w:rsidRPr="002C5537">
        <w:t xml:space="preserve">, 172-180, </w:t>
      </w:r>
      <w:r w:rsidR="00A32A4C" w:rsidRPr="002C5537">
        <w:t>https://doi.org/10.1080/14999013.2014.906516</w:t>
      </w:r>
    </w:p>
    <w:p w14:paraId="31FD0207" w14:textId="2A5EAF5A" w:rsidR="00C0684C" w:rsidRPr="002C5537" w:rsidRDefault="00FD60BD" w:rsidP="00A8666F">
      <w:pPr>
        <w:spacing w:line="480" w:lineRule="auto"/>
        <w:jc w:val="both"/>
      </w:pPr>
      <w:r w:rsidRPr="002C5537">
        <w:t>Matei-Mitacu, L</w:t>
      </w:r>
      <w:r w:rsidR="00A32A4C" w:rsidRPr="002C5537">
        <w:t xml:space="preserve">. </w:t>
      </w:r>
      <w:r w:rsidRPr="002C5537">
        <w:t>M., Huțul, T</w:t>
      </w:r>
      <w:r w:rsidR="00A32A4C" w:rsidRPr="002C5537">
        <w:t>.-</w:t>
      </w:r>
      <w:r w:rsidRPr="002C5537">
        <w:t>D., Karner-Huțuleac, A.</w:t>
      </w:r>
      <w:r w:rsidR="00A32A4C" w:rsidRPr="002C5537">
        <w:t xml:space="preserve">, Huțul, A., &amp; Dobria, C.-A. (2024). </w:t>
      </w:r>
      <w:r w:rsidRPr="002C5537">
        <w:t xml:space="preserve"> The role of alcohol consumption motives in the relationships between psychological distress, emotional dysregulation, and problematic alcohol consumption. A mediation model. </w:t>
      </w:r>
      <w:r w:rsidR="00A32A4C" w:rsidRPr="002C5537">
        <w:t>Current psychology</w:t>
      </w:r>
      <w:r w:rsidRPr="002C5537">
        <w:t xml:space="preserve"> 43, 36831–36845</w:t>
      </w:r>
      <w:r w:rsidR="00A32A4C" w:rsidRPr="002C5537">
        <w:t xml:space="preserve">. </w:t>
      </w:r>
      <w:hyperlink r:id="rId10" w:history="1">
        <w:r w:rsidR="00A32A4C" w:rsidRPr="002C5537">
          <w:rPr>
            <w:rStyle w:val="Hyperlink"/>
            <w:color w:val="auto"/>
          </w:rPr>
          <w:t>https://doi.org/10.1007/s12144-024-07111-0</w:t>
        </w:r>
      </w:hyperlink>
      <w:r w:rsidR="00C45986" w:rsidRPr="002C5537">
        <w:t xml:space="preserve"> </w:t>
      </w:r>
    </w:p>
    <w:p w14:paraId="0532C4DE" w14:textId="2991E595" w:rsidR="00C45986" w:rsidRPr="002C5537" w:rsidRDefault="00C45986" w:rsidP="00A8666F">
      <w:pPr>
        <w:spacing w:line="480" w:lineRule="auto"/>
        <w:jc w:val="both"/>
      </w:pPr>
      <w:r w:rsidRPr="002C5537">
        <w:t xml:space="preserve">McPhee, M. D., &amp; Hendershot, C. S. (2023). Meta-analysis of acute alcohol effects on response inhibition. </w:t>
      </w:r>
      <w:r w:rsidRPr="002C5537">
        <w:rPr>
          <w:i/>
          <w:iCs/>
        </w:rPr>
        <w:t>Neuroscience and biobehavioral reviews, 152</w:t>
      </w:r>
      <w:r w:rsidRPr="002C5537">
        <w:t>, 105274. https://doi.org/10.1016/j.neubiorev.2023.105274</w:t>
      </w:r>
    </w:p>
    <w:p w14:paraId="0C90D8FC" w14:textId="0DB8F20B" w:rsidR="00E76DCB" w:rsidRPr="002C5537" w:rsidRDefault="00E76DCB" w:rsidP="00A8666F">
      <w:pPr>
        <w:spacing w:line="480" w:lineRule="auto"/>
        <w:jc w:val="both"/>
      </w:pPr>
      <w:r w:rsidRPr="002C5537">
        <w:t>Meldrum, R. C., Mindthoff, A., Evans, J. R., &amp; Piquero, A. R. (2024).</w:t>
      </w:r>
      <w:r w:rsidR="001025F1" w:rsidRPr="002C5537">
        <w:t xml:space="preserve"> Correction to:</w:t>
      </w:r>
      <w:r w:rsidRPr="002C5537">
        <w:t xml:space="preserve"> Experimental evidence that alcohol intoxication diminishes the inhibitory effect of self-control on reactive aggression. </w:t>
      </w:r>
      <w:r w:rsidRPr="002C5537">
        <w:rPr>
          <w:i/>
          <w:iCs/>
        </w:rPr>
        <w:t>Journal of Experimental Criminology, 20</w:t>
      </w:r>
      <w:r w:rsidRPr="002C5537">
        <w:t>(2), 6</w:t>
      </w:r>
      <w:r w:rsidR="001025F1" w:rsidRPr="002C5537">
        <w:t>61</w:t>
      </w:r>
      <w:r w:rsidRPr="002C5537">
        <w:t>–66</w:t>
      </w:r>
      <w:r w:rsidR="001025F1" w:rsidRPr="002C5537">
        <w:t>3</w:t>
      </w:r>
      <w:r w:rsidRPr="002C5537">
        <w:t>. https://doi.org/10.1007/s11292-022-09549-3</w:t>
      </w:r>
      <w:r w:rsidR="001A73A3" w:rsidRPr="002C5537">
        <w:t>.</w:t>
      </w:r>
    </w:p>
    <w:p w14:paraId="18AA8CAC" w14:textId="5499E518" w:rsidR="00C01550" w:rsidRPr="002C5537" w:rsidRDefault="00C01550" w:rsidP="00B2782F">
      <w:pPr>
        <w:spacing w:line="480" w:lineRule="auto"/>
        <w:jc w:val="both"/>
      </w:pPr>
      <w:r w:rsidRPr="002C5537">
        <w:t>Mosannenzadeh</w:t>
      </w:r>
      <w:r w:rsidR="008441E9" w:rsidRPr="002C5537">
        <w:t>,</w:t>
      </w:r>
      <w:r w:rsidRPr="002C5537">
        <w:t xml:space="preserve"> F</w:t>
      </w:r>
      <w:r w:rsidR="008441E9" w:rsidRPr="002C5537">
        <w:t>.</w:t>
      </w:r>
      <w:r w:rsidRPr="002C5537">
        <w:t>, Luijten</w:t>
      </w:r>
      <w:r w:rsidR="008441E9" w:rsidRPr="002C5537">
        <w:t>,</w:t>
      </w:r>
      <w:r w:rsidRPr="002C5537">
        <w:t xml:space="preserve"> M</w:t>
      </w:r>
      <w:r w:rsidR="008441E9" w:rsidRPr="002C5537">
        <w:t>.</w:t>
      </w:r>
      <w:r w:rsidRPr="002C5537">
        <w:t>, MacIejewski</w:t>
      </w:r>
      <w:r w:rsidR="008441E9" w:rsidRPr="002C5537">
        <w:t>,</w:t>
      </w:r>
      <w:r w:rsidRPr="002C5537">
        <w:t xml:space="preserve"> D</w:t>
      </w:r>
      <w:r w:rsidR="008441E9" w:rsidRPr="002C5537">
        <w:t xml:space="preserve">. </w:t>
      </w:r>
      <w:r w:rsidRPr="002C5537">
        <w:t>F</w:t>
      </w:r>
      <w:r w:rsidR="008441E9" w:rsidRPr="002C5537">
        <w:t>.</w:t>
      </w:r>
      <w:r w:rsidRPr="002C5537">
        <w:t>, Wiewel</w:t>
      </w:r>
      <w:r w:rsidR="008441E9" w:rsidRPr="002C5537">
        <w:t>,</w:t>
      </w:r>
      <w:r w:rsidRPr="002C5537">
        <w:t xml:space="preserve"> G</w:t>
      </w:r>
      <w:r w:rsidR="008441E9" w:rsidRPr="002C5537">
        <w:t xml:space="preserve">. </w:t>
      </w:r>
      <w:r w:rsidRPr="002C5537">
        <w:t>V</w:t>
      </w:r>
      <w:r w:rsidR="008441E9" w:rsidRPr="002C5537">
        <w:t>.</w:t>
      </w:r>
      <w:r w:rsidRPr="002C5537">
        <w:t xml:space="preserve">, </w:t>
      </w:r>
      <w:r w:rsidR="008441E9" w:rsidRPr="002C5537">
        <w:t xml:space="preserve">&amp; Karremans, J. </w:t>
      </w:r>
      <w:r w:rsidRPr="002C5537">
        <w:t>C.</w:t>
      </w:r>
      <w:r w:rsidR="008441E9" w:rsidRPr="002C5537">
        <w:t xml:space="preserve"> (2024).</w:t>
      </w:r>
      <w:r w:rsidRPr="002C5537">
        <w:t xml:space="preserve"> Adult Attachment and Emotion Regulation Flexibility in Romantic Relationships. Behav</w:t>
      </w:r>
      <w:r w:rsidR="008441E9" w:rsidRPr="002C5537">
        <w:t>ioral</w:t>
      </w:r>
      <w:r w:rsidRPr="002C5537">
        <w:t xml:space="preserve"> Sci</w:t>
      </w:r>
      <w:r w:rsidR="008441E9" w:rsidRPr="002C5537">
        <w:t>ences</w:t>
      </w:r>
      <w:r w:rsidRPr="002C5537">
        <w:t xml:space="preserve"> (Basel</w:t>
      </w:r>
      <w:r w:rsidR="008441E9" w:rsidRPr="002C5537">
        <w:t xml:space="preserve"> Switzerland</w:t>
      </w:r>
      <w:r w:rsidRPr="002C5537">
        <w:t xml:space="preserve">). </w:t>
      </w:r>
      <w:r w:rsidR="008441E9" w:rsidRPr="002C5537">
        <w:t>14(9), 758. https://doi.org/10.3390/bs14090758</w:t>
      </w:r>
    </w:p>
    <w:p w14:paraId="380F92AD" w14:textId="23A2D925" w:rsidR="00B130D6" w:rsidRPr="002C5537" w:rsidRDefault="00E746B0" w:rsidP="00B2782F">
      <w:pPr>
        <w:spacing w:line="480" w:lineRule="auto"/>
        <w:jc w:val="both"/>
      </w:pPr>
      <w:r w:rsidRPr="002C5537">
        <w:t>Mottershead, T</w:t>
      </w:r>
      <w:r w:rsidR="008441E9" w:rsidRPr="002C5537">
        <w:t>.</w:t>
      </w:r>
      <w:r w:rsidRPr="002C5537">
        <w:t>, Griffiths, A</w:t>
      </w:r>
      <w:r w:rsidR="008441E9" w:rsidRPr="002C5537">
        <w:t>.</w:t>
      </w:r>
      <w:r w:rsidRPr="002C5537">
        <w:t>, Nathan, R</w:t>
      </w:r>
      <w:r w:rsidR="008441E9" w:rsidRPr="002C5537">
        <w:t>., &amp; Cole</w:t>
      </w:r>
      <w:r w:rsidRPr="002C5537">
        <w:t>, J</w:t>
      </w:r>
      <w:r w:rsidR="008441E9" w:rsidRPr="002C5537">
        <w:t>.</w:t>
      </w:r>
      <w:r w:rsidRPr="002C5537">
        <w:t xml:space="preserve">  (2024) A mixed-methods systematic review of offence-related shame and/or guilt in violent offenders</w:t>
      </w:r>
      <w:r w:rsidR="008441E9" w:rsidRPr="002C5537">
        <w:t xml:space="preserve">. </w:t>
      </w:r>
      <w:r w:rsidRPr="002C5537">
        <w:t xml:space="preserve"> </w:t>
      </w:r>
      <w:r w:rsidRPr="002C5537">
        <w:rPr>
          <w:i/>
          <w:iCs/>
        </w:rPr>
        <w:t>Aggression and Violent Behavior, 78</w:t>
      </w:r>
      <w:r w:rsidR="008441E9" w:rsidRPr="002C5537">
        <w:rPr>
          <w:i/>
          <w:iCs/>
        </w:rPr>
        <w:t>, 101989. https://doi.org/10.1016/j.avb.2024.101989</w:t>
      </w:r>
    </w:p>
    <w:p w14:paraId="5F37824D" w14:textId="7D49C835" w:rsidR="00ED4479" w:rsidRPr="002C5537" w:rsidRDefault="00ED4479" w:rsidP="00B2782F">
      <w:pPr>
        <w:spacing w:line="480" w:lineRule="auto"/>
        <w:jc w:val="both"/>
      </w:pPr>
      <w:r w:rsidRPr="002C5537">
        <w:t xml:space="preserve">Paquette, S., Cortoni, F. </w:t>
      </w:r>
      <w:r w:rsidR="00DD4276" w:rsidRPr="002C5537">
        <w:t xml:space="preserve">(2021). </w:t>
      </w:r>
      <w:r w:rsidRPr="002C5537">
        <w:t xml:space="preserve">Offence-Supportive Cognitions, Atypical Sexuality, Problematic Self-Regulation, and Perceived Anonymity Among Online and Contact Sexual Offenders Against Children. </w:t>
      </w:r>
      <w:r w:rsidRPr="002C5537">
        <w:rPr>
          <w:i/>
          <w:iCs/>
        </w:rPr>
        <w:t>Arch</w:t>
      </w:r>
      <w:r w:rsidR="00DD4276" w:rsidRPr="002C5537">
        <w:rPr>
          <w:i/>
          <w:iCs/>
        </w:rPr>
        <w:t>ives of</w:t>
      </w:r>
      <w:r w:rsidRPr="002C5537">
        <w:rPr>
          <w:i/>
          <w:iCs/>
        </w:rPr>
        <w:t xml:space="preserve"> Sex</w:t>
      </w:r>
      <w:r w:rsidR="00DD4276" w:rsidRPr="002C5537">
        <w:rPr>
          <w:i/>
          <w:iCs/>
        </w:rPr>
        <w:t>ual</w:t>
      </w:r>
      <w:r w:rsidRPr="002C5537">
        <w:rPr>
          <w:i/>
          <w:iCs/>
        </w:rPr>
        <w:t xml:space="preserve"> Behav</w:t>
      </w:r>
      <w:r w:rsidR="00DD4276" w:rsidRPr="002C5537">
        <w:rPr>
          <w:i/>
          <w:iCs/>
        </w:rPr>
        <w:t>ior</w:t>
      </w:r>
      <w:r w:rsidRPr="002C5537">
        <w:rPr>
          <w:i/>
          <w:iCs/>
        </w:rPr>
        <w:t xml:space="preserve"> 50</w:t>
      </w:r>
      <w:r w:rsidR="00DD4276" w:rsidRPr="002C5537">
        <w:t>(5), 2173</w:t>
      </w:r>
      <w:r w:rsidRPr="002C5537">
        <w:t xml:space="preserve">–2187. </w:t>
      </w:r>
      <w:hyperlink r:id="rId11" w:history="1">
        <w:r w:rsidRPr="002C5537">
          <w:rPr>
            <w:rStyle w:val="Hyperlink"/>
            <w:color w:val="auto"/>
          </w:rPr>
          <w:t>https://doi.org/10.1007/s10508-020-01863-z</w:t>
        </w:r>
      </w:hyperlink>
    </w:p>
    <w:p w14:paraId="13EC62C1" w14:textId="2C0A4AAF" w:rsidR="00C12F70" w:rsidRPr="002C5537" w:rsidRDefault="00C12F70" w:rsidP="00B2782F">
      <w:pPr>
        <w:spacing w:line="480" w:lineRule="auto"/>
        <w:jc w:val="both"/>
      </w:pPr>
      <w:r w:rsidRPr="002C5537">
        <w:t xml:space="preserve">Pinquart, M., </w:t>
      </w:r>
      <w:r w:rsidR="001A73A3" w:rsidRPr="002C5537">
        <w:t xml:space="preserve">&amp; </w:t>
      </w:r>
      <w:r w:rsidRPr="002C5537">
        <w:t xml:space="preserve">Borgolte, K. </w:t>
      </w:r>
      <w:r w:rsidR="00DD4276" w:rsidRPr="002C5537">
        <w:t xml:space="preserve">(2024). </w:t>
      </w:r>
      <w:r w:rsidRPr="002C5537">
        <w:t xml:space="preserve">Associations of Alcohol Outcome Expectancies with Alcohol Use in Adolescence and Emerging Adulthood: A Meta-Analysis. </w:t>
      </w:r>
      <w:r w:rsidRPr="002C5537">
        <w:rPr>
          <w:i/>
          <w:iCs/>
        </w:rPr>
        <w:t>Int</w:t>
      </w:r>
      <w:r w:rsidR="00DD4276" w:rsidRPr="002C5537">
        <w:rPr>
          <w:i/>
          <w:iCs/>
        </w:rPr>
        <w:t>ernational</w:t>
      </w:r>
      <w:r w:rsidRPr="002C5537">
        <w:rPr>
          <w:i/>
          <w:iCs/>
        </w:rPr>
        <w:t xml:space="preserve"> </w:t>
      </w:r>
      <w:r w:rsidR="00DD4276" w:rsidRPr="002C5537">
        <w:rPr>
          <w:i/>
          <w:iCs/>
        </w:rPr>
        <w:t>journal of</w:t>
      </w:r>
      <w:r w:rsidRPr="002C5537">
        <w:rPr>
          <w:i/>
          <w:iCs/>
        </w:rPr>
        <w:t xml:space="preserve"> </w:t>
      </w:r>
      <w:r w:rsidR="00DD4276" w:rsidRPr="002C5537">
        <w:rPr>
          <w:i/>
          <w:iCs/>
        </w:rPr>
        <w:t>m</w:t>
      </w:r>
      <w:r w:rsidRPr="002C5537">
        <w:rPr>
          <w:i/>
          <w:iCs/>
        </w:rPr>
        <w:t>ent</w:t>
      </w:r>
      <w:r w:rsidR="00DD4276" w:rsidRPr="002C5537">
        <w:rPr>
          <w:i/>
          <w:iCs/>
        </w:rPr>
        <w:t>al</w:t>
      </w:r>
      <w:r w:rsidRPr="002C5537">
        <w:rPr>
          <w:i/>
          <w:iCs/>
        </w:rPr>
        <w:t xml:space="preserve"> </w:t>
      </w:r>
      <w:r w:rsidR="00DD4276" w:rsidRPr="002C5537">
        <w:rPr>
          <w:i/>
          <w:iCs/>
        </w:rPr>
        <w:t>h</w:t>
      </w:r>
      <w:r w:rsidRPr="002C5537">
        <w:rPr>
          <w:i/>
          <w:iCs/>
        </w:rPr>
        <w:t xml:space="preserve">ealth </w:t>
      </w:r>
      <w:r w:rsidR="00DD4276" w:rsidRPr="002C5537">
        <w:rPr>
          <w:i/>
          <w:iCs/>
        </w:rPr>
        <w:t>a</w:t>
      </w:r>
      <w:r w:rsidRPr="002C5537">
        <w:rPr>
          <w:i/>
          <w:iCs/>
        </w:rPr>
        <w:t>ddiction 23</w:t>
      </w:r>
      <w:r w:rsidRPr="002C5537">
        <w:t xml:space="preserve">, 4858–4873. </w:t>
      </w:r>
      <w:hyperlink r:id="rId12" w:history="1">
        <w:r w:rsidR="007A301D" w:rsidRPr="002C5537">
          <w:rPr>
            <w:rStyle w:val="Hyperlink"/>
            <w:color w:val="auto"/>
          </w:rPr>
          <w:t>https://doi.org/10.1007/s11469-024-01383-0</w:t>
        </w:r>
      </w:hyperlink>
    </w:p>
    <w:p w14:paraId="7EA14096" w14:textId="70037B02" w:rsidR="004378E1" w:rsidRPr="002C5537" w:rsidRDefault="004378E1" w:rsidP="00B2782F">
      <w:pPr>
        <w:spacing w:line="480" w:lineRule="auto"/>
        <w:jc w:val="both"/>
      </w:pPr>
      <w:r w:rsidRPr="002C5537">
        <w:t xml:space="preserve">Pinto E Silva, T., Gouveia, C., Santirso, F. A., Cunha, O., &amp; Caridade, S. (2025). Effectiveness of Motivational Interviewing with Justice-involved People: A Systematic Review and Meta-analysis. </w:t>
      </w:r>
      <w:r w:rsidRPr="002C5537">
        <w:rPr>
          <w:i/>
          <w:iCs/>
        </w:rPr>
        <w:t>Psychosocial intervention, 34</w:t>
      </w:r>
      <w:r w:rsidRPr="002C5537">
        <w:t>(2), 89–102. https://doi.org/10.5093/pi2025a8</w:t>
      </w:r>
    </w:p>
    <w:p w14:paraId="53629108" w14:textId="6CB91D6A" w:rsidR="00481C23" w:rsidRPr="002C5537" w:rsidRDefault="00481C23" w:rsidP="00B2782F">
      <w:pPr>
        <w:spacing w:line="480" w:lineRule="auto"/>
        <w:jc w:val="both"/>
      </w:pPr>
      <w:r w:rsidRPr="002C5537">
        <w:t xml:space="preserve">Rabaud, E., Bègue, L., &amp; Bushman, B. J. (2025). Alcohol Consumption and Sexual Aggression Perpetration: A Meta-Analytic Review. </w:t>
      </w:r>
      <w:r w:rsidRPr="002C5537">
        <w:rPr>
          <w:i/>
          <w:iCs/>
        </w:rPr>
        <w:t>Trauma, Violence, &amp; Abuse, 0</w:t>
      </w:r>
      <w:r w:rsidRPr="002C5537">
        <w:t xml:space="preserve">(0). </w:t>
      </w:r>
      <w:hyperlink r:id="rId13" w:history="1">
        <w:r w:rsidR="00EA5558" w:rsidRPr="002C5537">
          <w:rPr>
            <w:rStyle w:val="Hyperlink"/>
            <w:color w:val="auto"/>
          </w:rPr>
          <w:t>https://doi.org/10.1177/15248380251366266</w:t>
        </w:r>
      </w:hyperlink>
    </w:p>
    <w:p w14:paraId="4E5B4D06" w14:textId="5735DC58" w:rsidR="00EA5558" w:rsidRPr="002C5537" w:rsidRDefault="00EA5558" w:rsidP="00B2782F">
      <w:pPr>
        <w:spacing w:line="480" w:lineRule="auto"/>
        <w:jc w:val="both"/>
      </w:pPr>
      <w:r w:rsidRPr="002C5537">
        <w:t xml:space="preserve">Rocha, I. C. O., &amp; Valença, A. M. (2023). The efficacy of CBT based interventions to sexual offenders: A systematic review of the last decade literature. </w:t>
      </w:r>
      <w:r w:rsidRPr="002C5537">
        <w:rPr>
          <w:i/>
          <w:iCs/>
        </w:rPr>
        <w:t>International journal of law and psychiatry, 87,</w:t>
      </w:r>
      <w:r w:rsidRPr="002C5537">
        <w:t xml:space="preserve"> 101856. </w:t>
      </w:r>
      <w:hyperlink r:id="rId14" w:history="1">
        <w:r w:rsidR="009C428D" w:rsidRPr="002C5537">
          <w:rPr>
            <w:rStyle w:val="Hyperlink"/>
            <w:color w:val="auto"/>
          </w:rPr>
          <w:t>https://doi.org/10.1016/j.ijlp.2022.101856</w:t>
        </w:r>
      </w:hyperlink>
    </w:p>
    <w:p w14:paraId="26AD892D" w14:textId="77777777" w:rsidR="009C428D" w:rsidRPr="002C5537" w:rsidRDefault="009C428D" w:rsidP="009C428D">
      <w:pPr>
        <w:spacing w:line="480" w:lineRule="auto"/>
        <w:jc w:val="both"/>
      </w:pPr>
      <w:r w:rsidRPr="002C5537">
        <w:t xml:space="preserve">Seto, M. C., Augustyn, C., Roche, K.M., &amp; Hilkes, G. (2023).  Empirically-based dynamic risk and protective factors for sexual offending. </w:t>
      </w:r>
      <w:r w:rsidRPr="002C5537">
        <w:rPr>
          <w:i/>
          <w:iCs/>
        </w:rPr>
        <w:t>Clinical psychology review,</w:t>
      </w:r>
      <w:r w:rsidRPr="002C5537">
        <w:t xml:space="preserve"> </w:t>
      </w:r>
      <w:r w:rsidRPr="002C5537">
        <w:rPr>
          <w:i/>
          <w:iCs/>
        </w:rPr>
        <w:t>106,</w:t>
      </w:r>
      <w:r w:rsidRPr="002C5537">
        <w:t xml:space="preserve"> 102355,  </w:t>
      </w:r>
      <w:hyperlink r:id="rId15" w:history="1">
        <w:r w:rsidRPr="002C5537">
          <w:rPr>
            <w:rStyle w:val="Hyperlink"/>
            <w:color w:val="auto"/>
          </w:rPr>
          <w:t>https://doi.org/10.1016/j.cpr.2023.102355</w:t>
        </w:r>
      </w:hyperlink>
      <w:r w:rsidRPr="002C5537">
        <w:t xml:space="preserve">. </w:t>
      </w:r>
    </w:p>
    <w:p w14:paraId="202D7D85" w14:textId="77777777" w:rsidR="009C428D" w:rsidRPr="002C5537" w:rsidRDefault="009C428D" w:rsidP="00B2782F">
      <w:pPr>
        <w:spacing w:line="480" w:lineRule="auto"/>
        <w:jc w:val="both"/>
      </w:pPr>
    </w:p>
    <w:p w14:paraId="72CCB98C" w14:textId="0F2163BA" w:rsidR="000B515F" w:rsidRPr="002C5537" w:rsidRDefault="000B515F" w:rsidP="00B2782F">
      <w:pPr>
        <w:spacing w:line="480" w:lineRule="auto"/>
        <w:jc w:val="both"/>
      </w:pPr>
      <w:r w:rsidRPr="002C5537">
        <w:t xml:space="preserve">Serie, C. M. B., De Ruiter, C., Pleysier, S., &amp; Put, J. (2023). Self-perceived views on offender rehabilitation in detained adolescent boys: a qualitative analysis in the context of the good lives model. </w:t>
      </w:r>
      <w:r w:rsidRPr="002C5537">
        <w:rPr>
          <w:i/>
          <w:iCs/>
        </w:rPr>
        <w:t>Frontiers in psychology, 14,</w:t>
      </w:r>
      <w:r w:rsidRPr="002C5537">
        <w:t xml:space="preserve"> 1153093. https://doi.org/10.3389/fpsyg.2023.1153093</w:t>
      </w:r>
    </w:p>
    <w:p w14:paraId="55ED5FB0" w14:textId="62220EF1" w:rsidR="00C45986" w:rsidRPr="002C5537" w:rsidRDefault="00C45986" w:rsidP="00B2782F">
      <w:pPr>
        <w:spacing w:line="480" w:lineRule="auto"/>
        <w:jc w:val="both"/>
      </w:pPr>
      <w:r w:rsidRPr="002C5537">
        <w:t xml:space="preserve">Steele, C. M., &amp; Josephs, R. A. (1990). Alcohol myopia. Its prized and dangerous effects. </w:t>
      </w:r>
      <w:r w:rsidRPr="002C5537">
        <w:rPr>
          <w:i/>
          <w:iCs/>
        </w:rPr>
        <w:t>The American psychologist, 45</w:t>
      </w:r>
      <w:r w:rsidRPr="002C5537">
        <w:t xml:space="preserve">(8), 921–933. </w:t>
      </w:r>
      <w:hyperlink r:id="rId16" w:history="1">
        <w:r w:rsidR="00DC4B39" w:rsidRPr="002C5537">
          <w:rPr>
            <w:rStyle w:val="Hyperlink"/>
            <w:color w:val="auto"/>
          </w:rPr>
          <w:t>https://doi.org/10.1037//0003-066x.45.8.921</w:t>
        </w:r>
      </w:hyperlink>
    </w:p>
    <w:p w14:paraId="619D1F7E" w14:textId="2F8CE401" w:rsidR="00DC4B39" w:rsidRPr="002C5537" w:rsidRDefault="00DC4B39" w:rsidP="00B2782F">
      <w:pPr>
        <w:spacing w:line="480" w:lineRule="auto"/>
        <w:jc w:val="both"/>
      </w:pPr>
      <w:r w:rsidRPr="002C5537">
        <w:t xml:space="preserve">Stück, E., Briken, P., &amp; Brunner, F. (2022). Changes in the Risk of Sexual Reoffending: The Role and Relevance of Perceived Self-Efficacy and Adult Attachment Styles in Correctional Treatment. </w:t>
      </w:r>
      <w:r w:rsidRPr="002C5537">
        <w:rPr>
          <w:i/>
          <w:iCs/>
        </w:rPr>
        <w:t>Sexual abuse: a journal of research and treatment, 34</w:t>
      </w:r>
      <w:r w:rsidRPr="002C5537">
        <w:t>(8), 891–922. https://doi.org/10.1177/10790632211054048</w:t>
      </w:r>
    </w:p>
    <w:p w14:paraId="26F4424F" w14:textId="41DFB2F2" w:rsidR="007A301D" w:rsidRPr="002C5537" w:rsidRDefault="007A301D" w:rsidP="00B2782F">
      <w:pPr>
        <w:spacing w:line="480" w:lineRule="auto"/>
        <w:jc w:val="both"/>
      </w:pPr>
      <w:r w:rsidRPr="002C5537">
        <w:t xml:space="preserve">Syasyila, K., Gin, L. L., Abdullah Mohd Nor, H., &amp; Kamaluddin, M. R. (2024). The role of cognitive distortion in criminal behavior: a systematic literature review. </w:t>
      </w:r>
      <w:r w:rsidRPr="002C5537">
        <w:rPr>
          <w:i/>
          <w:iCs/>
        </w:rPr>
        <w:t>BMC psychology, 12</w:t>
      </w:r>
      <w:r w:rsidRPr="002C5537">
        <w:t xml:space="preserve">(1), 741. </w:t>
      </w:r>
      <w:hyperlink r:id="rId17" w:history="1">
        <w:r w:rsidRPr="002C5537">
          <w:rPr>
            <w:rStyle w:val="Hyperlink"/>
            <w:color w:val="auto"/>
          </w:rPr>
          <w:t>https://doi.org/10.1186/s40359-024-02228-0</w:t>
        </w:r>
      </w:hyperlink>
      <w:r w:rsidRPr="002C5537">
        <w:t xml:space="preserve"> </w:t>
      </w:r>
    </w:p>
    <w:p w14:paraId="455D3ED9" w14:textId="400D709D" w:rsidR="00ED4479" w:rsidRPr="002C5537" w:rsidRDefault="00ED4479" w:rsidP="00B2782F">
      <w:pPr>
        <w:spacing w:line="480" w:lineRule="auto"/>
        <w:jc w:val="both"/>
      </w:pPr>
      <w:r w:rsidRPr="002C5537">
        <w:t>Tisak, M.</w:t>
      </w:r>
      <w:r w:rsidR="00B6597F" w:rsidRPr="002C5537">
        <w:t xml:space="preserve"> </w:t>
      </w:r>
      <w:r w:rsidRPr="002C5537">
        <w:t>S., Goldstein, S.</w:t>
      </w:r>
      <w:r w:rsidR="00B6597F" w:rsidRPr="002C5537">
        <w:t xml:space="preserve"> </w:t>
      </w:r>
      <w:r w:rsidRPr="002C5537">
        <w:t xml:space="preserve">E. </w:t>
      </w:r>
      <w:r w:rsidR="00B6597F" w:rsidRPr="002C5537">
        <w:t xml:space="preserve">(2023). </w:t>
      </w:r>
      <w:r w:rsidRPr="002C5537">
        <w:t>Criminality, cognitive distortions, empathy, and legitimacy of laws: Behaviors and perspectives of youth offenders. Curr</w:t>
      </w:r>
      <w:r w:rsidR="00B6597F" w:rsidRPr="002C5537">
        <w:t>ent</w:t>
      </w:r>
      <w:r w:rsidRPr="002C5537">
        <w:t xml:space="preserve"> Psychol</w:t>
      </w:r>
      <w:r w:rsidR="00B6597F" w:rsidRPr="002C5537">
        <w:t>ogy: Ajournal for diverse perspectives on diverse psychological issues, 42(9)</w:t>
      </w:r>
      <w:r w:rsidRPr="002C5537">
        <w:t xml:space="preserve">, 7049–7059 </w:t>
      </w:r>
      <w:hyperlink r:id="rId18" w:history="1">
        <w:r w:rsidR="00B6597F" w:rsidRPr="002C5537">
          <w:rPr>
            <w:rStyle w:val="Hyperlink"/>
            <w:color w:val="auto"/>
          </w:rPr>
          <w:t>https://doi.org/10.1007/s12144-021-02121-8</w:t>
        </w:r>
      </w:hyperlink>
    </w:p>
    <w:p w14:paraId="2D9258CA" w14:textId="6E194B1C" w:rsidR="00DC4B39" w:rsidRPr="002C5537" w:rsidRDefault="00DC4B39" w:rsidP="00B2782F">
      <w:pPr>
        <w:spacing w:line="480" w:lineRule="auto"/>
        <w:jc w:val="both"/>
      </w:pPr>
      <w:r w:rsidRPr="002C5537">
        <w:t>Turhan, H.</w:t>
      </w:r>
      <w:r w:rsidR="00B6597F" w:rsidRPr="002C5537">
        <w:t xml:space="preserve"> </w:t>
      </w:r>
      <w:r w:rsidRPr="002C5537">
        <w:t>M., Shoaib, K., Tully, J.</w:t>
      </w:r>
      <w:r w:rsidR="00B6597F" w:rsidRPr="002C5537">
        <w:t>, &amp; Nixon, E. (2024).</w:t>
      </w:r>
      <w:r w:rsidRPr="002C5537">
        <w:t xml:space="preserve"> Early Maladaptive Schemas in Sex Offenders and Non-Sexual Violent Offenders: A Systematic Review. J</w:t>
      </w:r>
      <w:r w:rsidR="00B6597F" w:rsidRPr="002C5537">
        <w:t>ournal of</w:t>
      </w:r>
      <w:r w:rsidRPr="002C5537">
        <w:t xml:space="preserve"> Cogn</w:t>
      </w:r>
      <w:r w:rsidR="00B6597F" w:rsidRPr="002C5537">
        <w:t>itive</w:t>
      </w:r>
      <w:r w:rsidRPr="002C5537">
        <w:t xml:space="preserve"> Ther</w:t>
      </w:r>
      <w:r w:rsidR="00B6597F" w:rsidRPr="002C5537">
        <w:t>apy,</w:t>
      </w:r>
      <w:r w:rsidRPr="002C5537">
        <w:t xml:space="preserve"> 17, 486–510</w:t>
      </w:r>
      <w:r w:rsidR="00B6597F" w:rsidRPr="002C5537">
        <w:t>.</w:t>
      </w:r>
      <w:r w:rsidRPr="002C5537">
        <w:t xml:space="preserve"> https://doi.org/10.1007/s41811-024-00208-1</w:t>
      </w:r>
    </w:p>
    <w:p w14:paraId="55A7C4B8" w14:textId="333F691D" w:rsidR="002B3447" w:rsidRPr="002C5537" w:rsidRDefault="002B3447" w:rsidP="00B2782F">
      <w:pPr>
        <w:spacing w:line="480" w:lineRule="auto"/>
        <w:jc w:val="both"/>
      </w:pPr>
      <w:r w:rsidRPr="002C5537">
        <w:t xml:space="preserve">Tuschick, E., Portnoy, S., Carthy, N., Gair, L., Hackett, S., &amp; Wager, N. (2025). A systematic review of public views on the reintegration of men convicted of a sexual offense into the community. </w:t>
      </w:r>
      <w:r w:rsidRPr="002C5537">
        <w:rPr>
          <w:i/>
          <w:iCs/>
        </w:rPr>
        <w:t>Trauma, Violence, &amp; Abuse</w:t>
      </w:r>
      <w:r w:rsidRPr="002C5537">
        <w:t xml:space="preserve">, </w:t>
      </w:r>
      <w:r w:rsidRPr="002C5537">
        <w:rPr>
          <w:i/>
          <w:iCs/>
        </w:rPr>
        <w:t>0</w:t>
      </w:r>
      <w:r w:rsidRPr="002C5537">
        <w:t>(0). https://doi.org/10.1177/15248380251325816</w:t>
      </w:r>
    </w:p>
    <w:p w14:paraId="20D51229" w14:textId="29E62451" w:rsidR="00C0684C" w:rsidRPr="002C5537" w:rsidRDefault="00C0684C" w:rsidP="00B2782F">
      <w:pPr>
        <w:spacing w:line="480" w:lineRule="auto"/>
        <w:jc w:val="both"/>
      </w:pPr>
      <w:r w:rsidRPr="002C5537">
        <w:t xml:space="preserve">Yang, W., Singla, R., Maheshwari, O., Fontaine, C. J., &amp; Gil-Mohapel, J. (2022). Alcohol Use Disorder: Neurobiology and Therapeutics. </w:t>
      </w:r>
      <w:r w:rsidRPr="002C5537">
        <w:rPr>
          <w:i/>
          <w:iCs/>
        </w:rPr>
        <w:t>Biomedicines, 10</w:t>
      </w:r>
      <w:r w:rsidRPr="002C5537">
        <w:t xml:space="preserve">(5), 1192. </w:t>
      </w:r>
      <w:hyperlink r:id="rId19" w:history="1">
        <w:r w:rsidR="007A301D" w:rsidRPr="002C5537">
          <w:rPr>
            <w:rStyle w:val="Hyperlink"/>
            <w:color w:val="auto"/>
          </w:rPr>
          <w:t>https://doi.org/10.3390/biomedicines10051192</w:t>
        </w:r>
      </w:hyperlink>
    </w:p>
    <w:p w14:paraId="55D68AFF" w14:textId="4676BFAE" w:rsidR="007A301D" w:rsidRPr="002C5537" w:rsidRDefault="007A301D" w:rsidP="00B2782F">
      <w:pPr>
        <w:spacing w:line="480" w:lineRule="auto"/>
        <w:jc w:val="both"/>
      </w:pPr>
      <w:r w:rsidRPr="002C5537">
        <w:t xml:space="preserve">Zaorska, J., Rydzewska, M., Kopera, M., Wiśniewski, P., Trucco, E. M., Kobyliński, P., &amp; Jakubczyk, A. (2023). Distress tolerance and emotional regulation in individuals with alcohol use disorder. </w:t>
      </w:r>
      <w:r w:rsidRPr="002C5537">
        <w:rPr>
          <w:i/>
          <w:iCs/>
        </w:rPr>
        <w:t>Frontiers in psychiatry, 14,</w:t>
      </w:r>
      <w:r w:rsidRPr="002C5537">
        <w:t xml:space="preserve"> 1175664. https://doi.org/10.3389/fpsyt.2023.1175664</w:t>
      </w:r>
    </w:p>
    <w:sectPr w:rsidR="007A301D" w:rsidRPr="002C55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0F77"/>
    <w:rsid w:val="000356FC"/>
    <w:rsid w:val="000934E1"/>
    <w:rsid w:val="000B515F"/>
    <w:rsid w:val="000B61B6"/>
    <w:rsid w:val="001025F1"/>
    <w:rsid w:val="001A73A3"/>
    <w:rsid w:val="001C01B6"/>
    <w:rsid w:val="00265C87"/>
    <w:rsid w:val="00294A71"/>
    <w:rsid w:val="002B3447"/>
    <w:rsid w:val="002C5537"/>
    <w:rsid w:val="002E3C40"/>
    <w:rsid w:val="003134E8"/>
    <w:rsid w:val="00330F3A"/>
    <w:rsid w:val="003620E4"/>
    <w:rsid w:val="003A4B44"/>
    <w:rsid w:val="003B5A4C"/>
    <w:rsid w:val="004378E1"/>
    <w:rsid w:val="00444EA1"/>
    <w:rsid w:val="004640EB"/>
    <w:rsid w:val="00481C23"/>
    <w:rsid w:val="004F524A"/>
    <w:rsid w:val="00584F87"/>
    <w:rsid w:val="005958DF"/>
    <w:rsid w:val="005B2C56"/>
    <w:rsid w:val="005D0B7A"/>
    <w:rsid w:val="00632292"/>
    <w:rsid w:val="00636954"/>
    <w:rsid w:val="00667B23"/>
    <w:rsid w:val="006A7236"/>
    <w:rsid w:val="006B25A4"/>
    <w:rsid w:val="006C3AB2"/>
    <w:rsid w:val="00701BFE"/>
    <w:rsid w:val="007341B9"/>
    <w:rsid w:val="00766E3E"/>
    <w:rsid w:val="007A301D"/>
    <w:rsid w:val="008441E9"/>
    <w:rsid w:val="00850A48"/>
    <w:rsid w:val="00854154"/>
    <w:rsid w:val="008A39C3"/>
    <w:rsid w:val="00912865"/>
    <w:rsid w:val="0096366C"/>
    <w:rsid w:val="00967E10"/>
    <w:rsid w:val="00996C3D"/>
    <w:rsid w:val="009C428D"/>
    <w:rsid w:val="00A32A4C"/>
    <w:rsid w:val="00A40662"/>
    <w:rsid w:val="00A8666F"/>
    <w:rsid w:val="00A92E54"/>
    <w:rsid w:val="00AC3408"/>
    <w:rsid w:val="00AD1D2C"/>
    <w:rsid w:val="00AE638A"/>
    <w:rsid w:val="00AF09EC"/>
    <w:rsid w:val="00B130D6"/>
    <w:rsid w:val="00B2782F"/>
    <w:rsid w:val="00B3658B"/>
    <w:rsid w:val="00B47C04"/>
    <w:rsid w:val="00B6597F"/>
    <w:rsid w:val="00B97B20"/>
    <w:rsid w:val="00BD705E"/>
    <w:rsid w:val="00BD7A1C"/>
    <w:rsid w:val="00C01550"/>
    <w:rsid w:val="00C0684C"/>
    <w:rsid w:val="00C12F70"/>
    <w:rsid w:val="00C45986"/>
    <w:rsid w:val="00CB3530"/>
    <w:rsid w:val="00CC7EF2"/>
    <w:rsid w:val="00CE7ADF"/>
    <w:rsid w:val="00D6476E"/>
    <w:rsid w:val="00DC4B39"/>
    <w:rsid w:val="00DD4276"/>
    <w:rsid w:val="00DF1072"/>
    <w:rsid w:val="00E026E8"/>
    <w:rsid w:val="00E746B0"/>
    <w:rsid w:val="00E76DCB"/>
    <w:rsid w:val="00E90F77"/>
    <w:rsid w:val="00E92B50"/>
    <w:rsid w:val="00EA5558"/>
    <w:rsid w:val="00ED1AB9"/>
    <w:rsid w:val="00ED4479"/>
    <w:rsid w:val="00FD43A1"/>
    <w:rsid w:val="00FD6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EB05C"/>
  <w15:chartTrackingRefBased/>
  <w15:docId w15:val="{F5EF40FB-D2D6-4A66-B3AC-6FF6EE400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F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0F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0F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0F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0F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0F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0F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0F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0F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F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0F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0F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0F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0F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0F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0F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0F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0F77"/>
    <w:rPr>
      <w:rFonts w:eastAsiaTheme="majorEastAsia" w:cstheme="majorBidi"/>
      <w:color w:val="272727" w:themeColor="text1" w:themeTint="D8"/>
    </w:rPr>
  </w:style>
  <w:style w:type="paragraph" w:styleId="Title">
    <w:name w:val="Title"/>
    <w:basedOn w:val="Normal"/>
    <w:next w:val="Normal"/>
    <w:link w:val="TitleChar"/>
    <w:uiPriority w:val="10"/>
    <w:qFormat/>
    <w:rsid w:val="00E90F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0F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0F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0F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0F77"/>
    <w:pPr>
      <w:spacing w:before="160"/>
      <w:jc w:val="center"/>
    </w:pPr>
    <w:rPr>
      <w:i/>
      <w:iCs/>
      <w:color w:val="404040" w:themeColor="text1" w:themeTint="BF"/>
    </w:rPr>
  </w:style>
  <w:style w:type="character" w:customStyle="1" w:styleId="QuoteChar">
    <w:name w:val="Quote Char"/>
    <w:basedOn w:val="DefaultParagraphFont"/>
    <w:link w:val="Quote"/>
    <w:uiPriority w:val="29"/>
    <w:rsid w:val="00E90F77"/>
    <w:rPr>
      <w:i/>
      <w:iCs/>
      <w:color w:val="404040" w:themeColor="text1" w:themeTint="BF"/>
    </w:rPr>
  </w:style>
  <w:style w:type="paragraph" w:styleId="ListParagraph">
    <w:name w:val="List Paragraph"/>
    <w:basedOn w:val="Normal"/>
    <w:uiPriority w:val="34"/>
    <w:qFormat/>
    <w:rsid w:val="00E90F77"/>
    <w:pPr>
      <w:ind w:left="720"/>
      <w:contextualSpacing/>
    </w:pPr>
  </w:style>
  <w:style w:type="character" w:styleId="IntenseEmphasis">
    <w:name w:val="Intense Emphasis"/>
    <w:basedOn w:val="DefaultParagraphFont"/>
    <w:uiPriority w:val="21"/>
    <w:qFormat/>
    <w:rsid w:val="00E90F77"/>
    <w:rPr>
      <w:i/>
      <w:iCs/>
      <w:color w:val="0F4761" w:themeColor="accent1" w:themeShade="BF"/>
    </w:rPr>
  </w:style>
  <w:style w:type="paragraph" w:styleId="IntenseQuote">
    <w:name w:val="Intense Quote"/>
    <w:basedOn w:val="Normal"/>
    <w:next w:val="Normal"/>
    <w:link w:val="IntenseQuoteChar"/>
    <w:uiPriority w:val="30"/>
    <w:qFormat/>
    <w:rsid w:val="00E90F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0F77"/>
    <w:rPr>
      <w:i/>
      <w:iCs/>
      <w:color w:val="0F4761" w:themeColor="accent1" w:themeShade="BF"/>
    </w:rPr>
  </w:style>
  <w:style w:type="character" w:styleId="IntenseReference">
    <w:name w:val="Intense Reference"/>
    <w:basedOn w:val="DefaultParagraphFont"/>
    <w:uiPriority w:val="32"/>
    <w:qFormat/>
    <w:rsid w:val="00E90F77"/>
    <w:rPr>
      <w:b/>
      <w:bCs/>
      <w:smallCaps/>
      <w:color w:val="0F4761" w:themeColor="accent1" w:themeShade="BF"/>
      <w:spacing w:val="5"/>
    </w:rPr>
  </w:style>
  <w:style w:type="character" w:styleId="Hyperlink">
    <w:name w:val="Hyperlink"/>
    <w:basedOn w:val="DefaultParagraphFont"/>
    <w:uiPriority w:val="99"/>
    <w:unhideWhenUsed/>
    <w:rsid w:val="00912865"/>
    <w:rPr>
      <w:color w:val="467886" w:themeColor="hyperlink"/>
      <w:u w:val="single"/>
    </w:rPr>
  </w:style>
  <w:style w:type="character" w:styleId="UnresolvedMention">
    <w:name w:val="Unresolved Mention"/>
    <w:basedOn w:val="DefaultParagraphFont"/>
    <w:uiPriority w:val="99"/>
    <w:semiHidden/>
    <w:unhideWhenUsed/>
    <w:rsid w:val="009128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aid.2021.110641" TargetMode="External"/><Relationship Id="rId13" Type="http://schemas.openxmlformats.org/officeDocument/2006/relationships/hyperlink" Target="https://doi.org/10.1177/15248380251366266" TargetMode="External"/><Relationship Id="rId18" Type="http://schemas.openxmlformats.org/officeDocument/2006/relationships/hyperlink" Target="https://doi.org/10.1007/s12144-021-02121-8"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037/hea0001048" TargetMode="External"/><Relationship Id="rId12" Type="http://schemas.openxmlformats.org/officeDocument/2006/relationships/hyperlink" Target="https://doi.org/10.1007/s11469-024-01383-0" TargetMode="External"/><Relationship Id="rId17" Type="http://schemas.openxmlformats.org/officeDocument/2006/relationships/hyperlink" Target="https://doi.org/10.1186/s40359-024-02228-0" TargetMode="External"/><Relationship Id="rId2" Type="http://schemas.openxmlformats.org/officeDocument/2006/relationships/settings" Target="settings.xml"/><Relationship Id="rId16" Type="http://schemas.openxmlformats.org/officeDocument/2006/relationships/hyperlink" Target="https://doi.org/10.1037//0003-066x.45.8.92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3390/ijerph191912249" TargetMode="External"/><Relationship Id="rId11" Type="http://schemas.openxmlformats.org/officeDocument/2006/relationships/hyperlink" Target="https://doi.org/10.1007/s10508-020-01863-z" TargetMode="External"/><Relationship Id="rId5" Type="http://schemas.openxmlformats.org/officeDocument/2006/relationships/hyperlink" Target="https://doi.org/10.1177/17470218211008895" TargetMode="External"/><Relationship Id="rId15" Type="http://schemas.openxmlformats.org/officeDocument/2006/relationships/hyperlink" Target="https://doi.org/10.1016/j.cpr.2023.102355" TargetMode="External"/><Relationship Id="rId10" Type="http://schemas.openxmlformats.org/officeDocument/2006/relationships/hyperlink" Target="https://doi.org/10.1007/s12144-024-07111-0" TargetMode="External"/><Relationship Id="rId19" Type="http://schemas.openxmlformats.org/officeDocument/2006/relationships/hyperlink" Target="https://doi.org/10.3390/biomedicines10051192" TargetMode="External"/><Relationship Id="rId4" Type="http://schemas.openxmlformats.org/officeDocument/2006/relationships/hyperlink" Target="https://dx.doi.org/10.1353/ppp.2014.0027" TargetMode="External"/><Relationship Id="rId9" Type="http://schemas.openxmlformats.org/officeDocument/2006/relationships/hyperlink" Target="https://doi.org/10.1007/s10508-024-02847-z" TargetMode="External"/><Relationship Id="rId14" Type="http://schemas.openxmlformats.org/officeDocument/2006/relationships/hyperlink" Target="https://doi.org/10.1016/j.ijlp.2022.1018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4690</Words>
  <Characters>26738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Jones (2317684)</dc:creator>
  <cp:keywords/>
  <dc:description/>
  <cp:lastModifiedBy>Steffan Jones (2317684)</cp:lastModifiedBy>
  <cp:revision>2</cp:revision>
  <cp:lastPrinted>2026-01-22T23:17:00Z</cp:lastPrinted>
  <dcterms:created xsi:type="dcterms:W3CDTF">2026-01-22T23:59:00Z</dcterms:created>
  <dcterms:modified xsi:type="dcterms:W3CDTF">2026-01-22T23:59:00Z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b0fb6838-bbac-4664-8de3-e56a73ec772c</vt:lpwstr>
  </property>
</Properties>
</file>