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4332" w:rsidRDefault="002C4332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Student Name: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  <w:t>Sana Rani</w:t>
      </w:r>
      <w:bookmarkStart w:id="0" w:name="_GoBack"/>
      <w:bookmarkEnd w:id="0"/>
    </w:p>
    <w:p w:rsidR="002C4332" w:rsidRDefault="002C4332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Student ID: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  <w:t>2406921</w:t>
      </w:r>
    </w:p>
    <w:p w:rsidR="002C4332" w:rsidRDefault="002C4332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Module Name: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 w:rsidRPr="002C4332">
        <w:rPr>
          <w:rFonts w:ascii="Arial" w:hAnsi="Arial" w:cs="Arial"/>
          <w:b/>
          <w:sz w:val="24"/>
          <w:szCs w:val="24"/>
        </w:rPr>
        <w:t>Protecting and Supporting Families in Health &amp; Care</w:t>
      </w:r>
    </w:p>
    <w:p w:rsidR="002C4332" w:rsidRDefault="002C4332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Module Code: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  <w:t>BMHP-5021</w:t>
      </w:r>
    </w:p>
    <w:p w:rsidR="002C4332" w:rsidRDefault="002C4332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Assignment Title: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  <w:t>Component 1 – Reference List</w:t>
      </w:r>
    </w:p>
    <w:p w:rsidR="007E0132" w:rsidRDefault="002C4332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Submission Date: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  <w:t>23 February 2026</w:t>
      </w:r>
      <w:r w:rsidR="007E0132">
        <w:rPr>
          <w:rFonts w:ascii="Arial" w:hAnsi="Arial" w:cs="Arial"/>
          <w:b/>
          <w:sz w:val="24"/>
          <w:szCs w:val="24"/>
        </w:rPr>
        <w:br w:type="page"/>
      </w:r>
    </w:p>
    <w:p w:rsidR="00546036" w:rsidRPr="007E0132" w:rsidRDefault="007E0132">
      <w:pPr>
        <w:rPr>
          <w:rFonts w:ascii="Arial" w:hAnsi="Arial" w:cs="Arial"/>
          <w:b/>
          <w:sz w:val="24"/>
          <w:szCs w:val="24"/>
        </w:rPr>
      </w:pPr>
      <w:r w:rsidRPr="007E0132">
        <w:rPr>
          <w:rFonts w:ascii="Arial" w:hAnsi="Arial" w:cs="Arial"/>
          <w:b/>
          <w:sz w:val="24"/>
          <w:szCs w:val="24"/>
        </w:rPr>
        <w:lastRenderedPageBreak/>
        <w:t>Reference List</w:t>
      </w:r>
    </w:p>
    <w:p w:rsidR="007E0132" w:rsidRPr="007E0132" w:rsidRDefault="007E0132" w:rsidP="007E0132">
      <w:pPr>
        <w:pStyle w:val="NormalWeb"/>
        <w:spacing w:line="360" w:lineRule="auto"/>
        <w:jc w:val="both"/>
        <w:rPr>
          <w:rFonts w:ascii="Arial" w:hAnsi="Arial" w:cs="Arial"/>
        </w:rPr>
      </w:pPr>
      <w:r w:rsidRPr="007E0132">
        <w:rPr>
          <w:rFonts w:ascii="Arial" w:hAnsi="Arial" w:cs="Arial"/>
        </w:rPr>
        <w:t xml:space="preserve">Legislation.gov.uk (2026a). </w:t>
      </w:r>
      <w:r w:rsidRPr="007E0132">
        <w:rPr>
          <w:rFonts w:ascii="Arial" w:hAnsi="Arial" w:cs="Arial"/>
          <w:i/>
        </w:rPr>
        <w:t>Children Act 1989.</w:t>
      </w:r>
      <w:r w:rsidRPr="007E0132">
        <w:rPr>
          <w:rFonts w:ascii="Arial" w:hAnsi="Arial" w:cs="Arial"/>
        </w:rPr>
        <w:t xml:space="preserve"> Available at: </w:t>
      </w:r>
      <w:hyperlink r:id="rId4" w:history="1">
        <w:r w:rsidRPr="007E0132">
          <w:rPr>
            <w:rStyle w:val="Hyperlink"/>
            <w:rFonts w:ascii="Arial" w:hAnsi="Arial" w:cs="Arial"/>
          </w:rPr>
          <w:t>https://www.legislation.gov.uk/ukpga/1989/41/contents</w:t>
        </w:r>
      </w:hyperlink>
      <w:r w:rsidRPr="007E0132">
        <w:rPr>
          <w:rFonts w:ascii="Arial" w:hAnsi="Arial" w:cs="Arial"/>
        </w:rPr>
        <w:t xml:space="preserve"> (Accessed: 14 February 2026).</w:t>
      </w:r>
    </w:p>
    <w:p w:rsidR="007E0132" w:rsidRPr="007E0132" w:rsidRDefault="007E0132" w:rsidP="007E0132">
      <w:pPr>
        <w:pStyle w:val="NormalWeb"/>
        <w:spacing w:line="360" w:lineRule="auto"/>
        <w:jc w:val="both"/>
        <w:rPr>
          <w:rFonts w:ascii="Arial" w:hAnsi="Arial" w:cs="Arial"/>
        </w:rPr>
      </w:pPr>
      <w:r w:rsidRPr="007E0132">
        <w:rPr>
          <w:rFonts w:ascii="Arial" w:hAnsi="Arial" w:cs="Arial"/>
        </w:rPr>
        <w:t xml:space="preserve">Legislation.gov.uk (2026b). </w:t>
      </w:r>
      <w:r w:rsidRPr="007E0132">
        <w:rPr>
          <w:rFonts w:ascii="Arial" w:hAnsi="Arial" w:cs="Arial"/>
          <w:i/>
        </w:rPr>
        <w:t>Children Act 2004.</w:t>
      </w:r>
      <w:r w:rsidRPr="007E0132">
        <w:rPr>
          <w:rFonts w:ascii="Arial" w:hAnsi="Arial" w:cs="Arial"/>
        </w:rPr>
        <w:t xml:space="preserve"> Available at: </w:t>
      </w:r>
      <w:hyperlink r:id="rId5" w:history="1">
        <w:r w:rsidRPr="007E0132">
          <w:rPr>
            <w:rStyle w:val="Hyperlink"/>
            <w:rFonts w:ascii="Arial" w:hAnsi="Arial" w:cs="Arial"/>
          </w:rPr>
          <w:t>https://www.legislation.gov.uk/ukpga/2004/31/contents</w:t>
        </w:r>
      </w:hyperlink>
      <w:r w:rsidRPr="007E0132">
        <w:rPr>
          <w:rFonts w:ascii="Arial" w:hAnsi="Arial" w:cs="Arial"/>
        </w:rPr>
        <w:t xml:space="preserve"> (Accessed: 14 February 2026).</w:t>
      </w:r>
    </w:p>
    <w:p w:rsidR="007E0132" w:rsidRPr="007E0132" w:rsidRDefault="007E0132" w:rsidP="007E0132">
      <w:pPr>
        <w:pStyle w:val="NormalWeb"/>
        <w:spacing w:line="360" w:lineRule="auto"/>
        <w:jc w:val="both"/>
        <w:rPr>
          <w:rFonts w:ascii="Arial" w:hAnsi="Arial" w:cs="Arial"/>
        </w:rPr>
      </w:pPr>
      <w:r w:rsidRPr="007E0132">
        <w:rPr>
          <w:rFonts w:ascii="Arial" w:hAnsi="Arial" w:cs="Arial"/>
        </w:rPr>
        <w:t xml:space="preserve">Legislation.gov.uk (2026c). </w:t>
      </w:r>
      <w:r w:rsidRPr="007E0132">
        <w:rPr>
          <w:rFonts w:ascii="Arial" w:hAnsi="Arial" w:cs="Arial"/>
          <w:i/>
        </w:rPr>
        <w:t>Crime and Disorder Act 1998.</w:t>
      </w:r>
      <w:r w:rsidRPr="007E0132">
        <w:rPr>
          <w:rFonts w:ascii="Arial" w:hAnsi="Arial" w:cs="Arial"/>
        </w:rPr>
        <w:t xml:space="preserve"> Available at: </w:t>
      </w:r>
      <w:hyperlink r:id="rId6" w:history="1">
        <w:r w:rsidRPr="007E0132">
          <w:rPr>
            <w:rStyle w:val="Hyperlink"/>
            <w:rFonts w:ascii="Arial" w:hAnsi="Arial" w:cs="Arial"/>
          </w:rPr>
          <w:t>https://www.legislation.gov.uk/ukpga/1998/37/contents</w:t>
        </w:r>
      </w:hyperlink>
      <w:r w:rsidRPr="007E0132">
        <w:rPr>
          <w:rFonts w:ascii="Arial" w:hAnsi="Arial" w:cs="Arial"/>
        </w:rPr>
        <w:t xml:space="preserve"> (Accessed: 14 February 2026).</w:t>
      </w:r>
    </w:p>
    <w:p w:rsidR="007E0132" w:rsidRPr="007E0132" w:rsidRDefault="007E0132" w:rsidP="007E0132">
      <w:pPr>
        <w:pStyle w:val="NormalWeb"/>
        <w:spacing w:line="360" w:lineRule="auto"/>
        <w:jc w:val="both"/>
        <w:rPr>
          <w:rFonts w:ascii="Arial" w:hAnsi="Arial" w:cs="Arial"/>
        </w:rPr>
      </w:pPr>
      <w:r w:rsidRPr="007E0132">
        <w:rPr>
          <w:rFonts w:ascii="Arial" w:hAnsi="Arial" w:cs="Arial"/>
        </w:rPr>
        <w:t xml:space="preserve">Legislation.gov.uk (2026d). </w:t>
      </w:r>
      <w:r w:rsidRPr="007E0132">
        <w:rPr>
          <w:rFonts w:ascii="Arial" w:hAnsi="Arial" w:cs="Arial"/>
          <w:i/>
        </w:rPr>
        <w:t>Domestic Abuse Act 2021.</w:t>
      </w:r>
      <w:r w:rsidRPr="007E0132">
        <w:rPr>
          <w:rFonts w:ascii="Arial" w:hAnsi="Arial" w:cs="Arial"/>
        </w:rPr>
        <w:t xml:space="preserve"> Available at: </w:t>
      </w:r>
      <w:hyperlink r:id="rId7" w:history="1">
        <w:r w:rsidRPr="007E0132">
          <w:rPr>
            <w:rStyle w:val="Hyperlink"/>
            <w:rFonts w:ascii="Arial" w:hAnsi="Arial" w:cs="Arial"/>
          </w:rPr>
          <w:t>https://www.legislation.gov.uk/ukpga/2021/17/contents</w:t>
        </w:r>
      </w:hyperlink>
      <w:r w:rsidRPr="007E0132">
        <w:rPr>
          <w:rFonts w:ascii="Arial" w:hAnsi="Arial" w:cs="Arial"/>
        </w:rPr>
        <w:t xml:space="preserve"> (Accessed: 14 February 2026).</w:t>
      </w:r>
    </w:p>
    <w:p w:rsidR="007E0132" w:rsidRPr="007E0132" w:rsidRDefault="007E0132" w:rsidP="007E0132">
      <w:pPr>
        <w:pStyle w:val="NormalWeb"/>
        <w:spacing w:line="360" w:lineRule="auto"/>
        <w:jc w:val="both"/>
        <w:rPr>
          <w:rFonts w:ascii="Arial" w:hAnsi="Arial" w:cs="Arial"/>
        </w:rPr>
      </w:pPr>
      <w:r w:rsidRPr="007E0132">
        <w:rPr>
          <w:rFonts w:ascii="Arial" w:hAnsi="Arial" w:cs="Arial"/>
        </w:rPr>
        <w:t xml:space="preserve">Munro, E. (2011) </w:t>
      </w:r>
      <w:r w:rsidRPr="007E0132">
        <w:rPr>
          <w:rStyle w:val="Emphasis"/>
          <w:rFonts w:ascii="Arial" w:hAnsi="Arial" w:cs="Arial"/>
        </w:rPr>
        <w:t>The Munro review of child protection: Final report</w:t>
      </w:r>
      <w:r w:rsidRPr="007E0132">
        <w:rPr>
          <w:rFonts w:ascii="Arial" w:hAnsi="Arial" w:cs="Arial"/>
        </w:rPr>
        <w:t xml:space="preserve">. </w:t>
      </w:r>
      <w:r w:rsidRPr="007E0132">
        <w:rPr>
          <w:rFonts w:ascii="Arial" w:hAnsi="Arial" w:cs="Arial"/>
          <w:i/>
        </w:rPr>
        <w:t xml:space="preserve">A child-centred system. </w:t>
      </w:r>
      <w:r w:rsidRPr="007E0132">
        <w:rPr>
          <w:rFonts w:ascii="Arial" w:hAnsi="Arial" w:cs="Arial"/>
        </w:rPr>
        <w:t>Department for Education.</w:t>
      </w:r>
      <w:r w:rsidRPr="007E0132">
        <w:rPr>
          <w:rFonts w:ascii="Arial" w:hAnsi="Arial" w:cs="Arial"/>
          <w:i/>
        </w:rPr>
        <w:t xml:space="preserve"> </w:t>
      </w:r>
      <w:r w:rsidRPr="007E0132">
        <w:rPr>
          <w:rFonts w:ascii="Arial" w:hAnsi="Arial" w:cs="Arial"/>
        </w:rPr>
        <w:t xml:space="preserve">Available at: </w:t>
      </w:r>
      <w:hyperlink r:id="rId8" w:history="1">
        <w:r w:rsidRPr="007E0132">
          <w:rPr>
            <w:rStyle w:val="Hyperlink"/>
            <w:rFonts w:ascii="Arial" w:hAnsi="Arial" w:cs="Arial"/>
          </w:rPr>
          <w:t>https://assets.publishing.service.gov.uk/media/5a7b455ee5274a34770ea939/Munro-Review.pdf</w:t>
        </w:r>
      </w:hyperlink>
      <w:r w:rsidRPr="007E0132">
        <w:rPr>
          <w:rFonts w:ascii="Arial" w:hAnsi="Arial" w:cs="Arial"/>
        </w:rPr>
        <w:t xml:space="preserve"> (Accessed: 10 February 2026).</w:t>
      </w:r>
    </w:p>
    <w:p w:rsidR="007E0132" w:rsidRPr="007E0132" w:rsidRDefault="007E0132" w:rsidP="007E0132">
      <w:pPr>
        <w:pStyle w:val="NormalWeb"/>
        <w:spacing w:line="360" w:lineRule="auto"/>
        <w:jc w:val="both"/>
        <w:rPr>
          <w:rFonts w:ascii="Arial" w:hAnsi="Arial" w:cs="Arial"/>
        </w:rPr>
      </w:pPr>
      <w:r w:rsidRPr="007E0132">
        <w:rPr>
          <w:rFonts w:ascii="Arial" w:hAnsi="Arial" w:cs="Arial"/>
        </w:rPr>
        <w:t>National Institute for Health and Care Excellence (NICE) (2017)</w:t>
      </w:r>
      <w:r>
        <w:rPr>
          <w:rFonts w:ascii="Arial" w:hAnsi="Arial" w:cs="Arial"/>
        </w:rPr>
        <w:t>.</w:t>
      </w:r>
      <w:r w:rsidRPr="007E0132">
        <w:rPr>
          <w:rFonts w:ascii="Arial" w:hAnsi="Arial" w:cs="Arial"/>
        </w:rPr>
        <w:t xml:space="preserve"> </w:t>
      </w:r>
      <w:r w:rsidRPr="007E0132">
        <w:rPr>
          <w:rStyle w:val="Emphasis"/>
          <w:rFonts w:ascii="Arial" w:hAnsi="Arial" w:cs="Arial"/>
        </w:rPr>
        <w:t>Child abuse and neglect (NG76)</w:t>
      </w:r>
      <w:r w:rsidRPr="007E0132">
        <w:rPr>
          <w:rFonts w:ascii="Arial" w:hAnsi="Arial" w:cs="Arial"/>
        </w:rPr>
        <w:t xml:space="preserve">. Available at: </w:t>
      </w:r>
      <w:hyperlink r:id="rId9" w:history="1">
        <w:r w:rsidRPr="007E0132">
          <w:rPr>
            <w:rStyle w:val="Hyperlink"/>
            <w:rFonts w:ascii="Arial" w:hAnsi="Arial" w:cs="Arial"/>
          </w:rPr>
          <w:t>https://www.nice.org.uk/guidance/ng76</w:t>
        </w:r>
      </w:hyperlink>
      <w:r w:rsidRPr="007E0132">
        <w:rPr>
          <w:rFonts w:ascii="Arial" w:hAnsi="Arial" w:cs="Arial"/>
        </w:rPr>
        <w:t xml:space="preserve"> (Accessed: 12 February 2026).</w:t>
      </w:r>
    </w:p>
    <w:p w:rsidR="007E0132" w:rsidRPr="007E0132" w:rsidRDefault="007E0132" w:rsidP="007E0132">
      <w:pPr>
        <w:pStyle w:val="NormalWeb"/>
        <w:spacing w:line="360" w:lineRule="auto"/>
        <w:jc w:val="both"/>
        <w:rPr>
          <w:rFonts w:ascii="Arial" w:hAnsi="Arial" w:cs="Arial"/>
        </w:rPr>
      </w:pPr>
      <w:r w:rsidRPr="007E0132">
        <w:rPr>
          <w:rFonts w:ascii="Arial" w:hAnsi="Arial" w:cs="Arial"/>
        </w:rPr>
        <w:t xml:space="preserve">Perry, B., and Szalavitz, M. (2007). </w:t>
      </w:r>
      <w:r w:rsidRPr="007E0132">
        <w:rPr>
          <w:rStyle w:val="Emphasis"/>
          <w:rFonts w:ascii="Arial" w:hAnsi="Arial" w:cs="Arial"/>
        </w:rPr>
        <w:t>The boy who was raised as a dog: And other stories from a child psychiatrist’s notebook</w:t>
      </w:r>
      <w:r w:rsidRPr="007E0132">
        <w:rPr>
          <w:rFonts w:ascii="Arial" w:hAnsi="Arial" w:cs="Arial"/>
        </w:rPr>
        <w:t>. New York: Basic Books.</w:t>
      </w:r>
    </w:p>
    <w:p w:rsidR="007E0132" w:rsidRPr="007E0132" w:rsidRDefault="007E0132" w:rsidP="007E0132">
      <w:pPr>
        <w:pStyle w:val="NormalWeb"/>
        <w:spacing w:line="360" w:lineRule="auto"/>
        <w:jc w:val="both"/>
        <w:rPr>
          <w:rFonts w:ascii="Arial" w:hAnsi="Arial" w:cs="Arial"/>
        </w:rPr>
      </w:pPr>
      <w:r w:rsidRPr="007E0132">
        <w:rPr>
          <w:rFonts w:ascii="Arial" w:hAnsi="Arial" w:cs="Arial"/>
        </w:rPr>
        <w:t xml:space="preserve">van der </w:t>
      </w:r>
      <w:proofErr w:type="spellStart"/>
      <w:r w:rsidRPr="007E0132">
        <w:rPr>
          <w:rFonts w:ascii="Arial" w:hAnsi="Arial" w:cs="Arial"/>
        </w:rPr>
        <w:t>Kolk</w:t>
      </w:r>
      <w:proofErr w:type="spellEnd"/>
      <w:r w:rsidRPr="007E0132">
        <w:rPr>
          <w:rFonts w:ascii="Arial" w:hAnsi="Arial" w:cs="Arial"/>
        </w:rPr>
        <w:t xml:space="preserve">, B. (2015). </w:t>
      </w:r>
      <w:r w:rsidRPr="007E0132">
        <w:rPr>
          <w:rStyle w:val="Emphasis"/>
          <w:rFonts w:ascii="Arial" w:hAnsi="Arial" w:cs="Arial"/>
        </w:rPr>
        <w:t>The body keeps the score: Mind, brain and body in the transformation of trauma</w:t>
      </w:r>
      <w:r w:rsidRPr="007E0132">
        <w:rPr>
          <w:rFonts w:ascii="Arial" w:hAnsi="Arial" w:cs="Arial"/>
        </w:rPr>
        <w:t>. London: Penguin.</w:t>
      </w:r>
    </w:p>
    <w:p w:rsidR="007E0132" w:rsidRPr="007E0132" w:rsidRDefault="007E0132" w:rsidP="007E0132">
      <w:pPr>
        <w:spacing w:before="100" w:beforeAutospacing="1" w:after="100" w:afterAutospacing="1" w:line="360" w:lineRule="auto"/>
        <w:jc w:val="both"/>
        <w:outlineLvl w:val="0"/>
        <w:rPr>
          <w:rFonts w:ascii="Arial" w:eastAsia="Times New Roman" w:hAnsi="Arial" w:cs="Arial"/>
          <w:b/>
          <w:bCs/>
          <w:kern w:val="36"/>
          <w:sz w:val="24"/>
          <w:szCs w:val="24"/>
          <w:lang w:eastAsia="en-GB"/>
        </w:rPr>
      </w:pPr>
    </w:p>
    <w:p w:rsidR="007E0132" w:rsidRPr="007E0132" w:rsidRDefault="007E0132">
      <w:pPr>
        <w:rPr>
          <w:rFonts w:ascii="Arial" w:hAnsi="Arial" w:cs="Arial"/>
          <w:sz w:val="24"/>
          <w:szCs w:val="24"/>
        </w:rPr>
      </w:pPr>
    </w:p>
    <w:sectPr w:rsidR="007E0132" w:rsidRPr="007E013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7307"/>
    <w:rsid w:val="001C254C"/>
    <w:rsid w:val="002C4332"/>
    <w:rsid w:val="004F7307"/>
    <w:rsid w:val="00546036"/>
    <w:rsid w:val="007E0132"/>
    <w:rsid w:val="008E1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BFA796"/>
  <w15:chartTrackingRefBased/>
  <w15:docId w15:val="{D51F87FA-700F-4BDC-AB0D-D1006AF99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E01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7E0132"/>
    <w:rPr>
      <w:i/>
      <w:iCs/>
    </w:rPr>
  </w:style>
  <w:style w:type="character" w:styleId="Hyperlink">
    <w:name w:val="Hyperlink"/>
    <w:basedOn w:val="DefaultParagraphFont"/>
    <w:uiPriority w:val="99"/>
    <w:unhideWhenUsed/>
    <w:rsid w:val="007E013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ssets.publishing.service.gov.uk/media/5a7b455ee5274a34770ea939/Munro-Review.pd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legislation.gov.uk/ukpga/2021/17/contents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legislation.gov.uk/ukpga/1998/37/contents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legislation.gov.uk/ukpga/2004/31/contents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w.legislation.gov.uk/ukpga/1989/41/contents" TargetMode="External"/><Relationship Id="rId9" Type="http://schemas.openxmlformats.org/officeDocument/2006/relationships/hyperlink" Target="https://www.nice.org.uk/guidance/ng7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294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Sana Rani</dc:creator>
  <cp:keywords/>
  <dc:description/>
  <cp:lastModifiedBy>hatif</cp:lastModifiedBy>
  <cp:revision>5</cp:revision>
  <dcterms:created xsi:type="dcterms:W3CDTF">2026-02-19T20:05:00Z</dcterms:created>
  <dcterms:modified xsi:type="dcterms:W3CDTF">2026-02-19T20:11:00Z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017c99f0-68bd-4bc7-aadc-e382dc22b546</vt:lpwstr>
  </property>
</Properties>
</file>