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2632E2C9" w14:textId="77777777" w:rsidR="00C71273" w:rsidRPr="001C2E2B" w:rsidRDefault="00C71273" w:rsidP="00C71273">
            <w:pPr>
              <w:overflowPunct/>
              <w:autoSpaceDE/>
              <w:autoSpaceDN/>
              <w:adjustRightInd/>
              <w:ind w:right="-957"/>
              <w:textAlignment w:val="auto"/>
              <w:rPr>
                <w:rFonts w:ascii="Times New Roman" w:hAnsi="Times New Roman" w:cs="Times New Roman"/>
                <w:bCs/>
                <w:color w:val="auto"/>
                <w:sz w:val="48"/>
              </w:rPr>
            </w:pPr>
            <w:r>
              <w:rPr>
                <w:rFonts w:ascii="Times New Roman" w:hAnsi="Times New Roman" w:cs="Times New Roman"/>
                <w:b/>
                <w:color w:val="auto"/>
                <w:sz w:val="48"/>
              </w:rPr>
              <w:t xml:space="preserve">Learner’s name: </w:t>
            </w:r>
            <w:r>
              <w:rPr>
                <w:rFonts w:ascii="Times New Roman" w:hAnsi="Times New Roman" w:cs="Times New Roman"/>
                <w:bCs/>
                <w:color w:val="auto"/>
                <w:sz w:val="48"/>
              </w:rPr>
              <w:t>Lauren McMillan</w:t>
            </w:r>
          </w:p>
          <w:p w14:paraId="0933035A" w14:textId="77777777" w:rsidR="00C71273" w:rsidRDefault="00C71273" w:rsidP="00C71273">
            <w:pPr>
              <w:overflowPunct/>
              <w:autoSpaceDE/>
              <w:autoSpaceDN/>
              <w:adjustRightInd/>
              <w:ind w:right="-957"/>
              <w:textAlignment w:val="auto"/>
              <w:rPr>
                <w:rFonts w:ascii="Times New Roman" w:hAnsi="Times New Roman" w:cs="Times New Roman"/>
                <w:b/>
                <w:color w:val="auto"/>
                <w:sz w:val="48"/>
              </w:rPr>
            </w:pPr>
          </w:p>
          <w:p w14:paraId="05144E5E" w14:textId="77777777" w:rsidR="00C71273" w:rsidRDefault="00C71273" w:rsidP="00C71273">
            <w:pPr>
              <w:ind w:right="-957"/>
              <w:rPr>
                <w:rFonts w:ascii="Times New Roman" w:hAnsi="Times New Roman" w:cs="Times New Roman"/>
                <w:bCs/>
                <w:sz w:val="48"/>
              </w:rPr>
            </w:pPr>
            <w:r>
              <w:rPr>
                <w:rFonts w:ascii="Times New Roman" w:hAnsi="Times New Roman" w:cs="Times New Roman"/>
                <w:b/>
                <w:sz w:val="48"/>
              </w:rPr>
              <w:t xml:space="preserve">Email address: </w:t>
            </w:r>
            <w:hyperlink r:id="rId11" w:history="1">
              <w:r w:rsidRPr="00D90559">
                <w:rPr>
                  <w:rStyle w:val="Hyperlink"/>
                  <w:rFonts w:ascii="Times New Roman" w:hAnsi="Times New Roman" w:cs="Times New Roman"/>
                  <w:bCs/>
                  <w:sz w:val="48"/>
                </w:rPr>
                <w:t>2521024@student.uwtsd.ac.uk</w:t>
              </w:r>
            </w:hyperlink>
          </w:p>
          <w:p w14:paraId="770F283D" w14:textId="77777777" w:rsidR="00C71273" w:rsidRPr="00BD5365" w:rsidRDefault="00C71273" w:rsidP="00C71273">
            <w:pPr>
              <w:ind w:right="-957"/>
              <w:rPr>
                <w:rFonts w:ascii="Times New Roman" w:hAnsi="Times New Roman" w:cs="Times New Roman"/>
                <w:bCs/>
                <w:sz w:val="48"/>
              </w:rPr>
            </w:pPr>
            <w:hyperlink r:id="rId12" w:history="1">
              <w:r w:rsidRPr="00D90559">
                <w:rPr>
                  <w:rStyle w:val="Hyperlink"/>
                  <w:rFonts w:ascii="Times New Roman" w:hAnsi="Times New Roman" w:cs="Times New Roman"/>
                  <w:bCs/>
                  <w:sz w:val="48"/>
                </w:rPr>
                <w:t>Mcmillanlauren2@gmail.com</w:t>
              </w:r>
            </w:hyperlink>
            <w:r>
              <w:rPr>
                <w:rFonts w:ascii="Times New Roman" w:hAnsi="Times New Roman" w:cs="Times New Roman"/>
                <w:bCs/>
                <w:sz w:val="48"/>
              </w:rPr>
              <w:t xml:space="preserve"> </w:t>
            </w:r>
          </w:p>
          <w:p w14:paraId="1B879FED" w14:textId="77777777" w:rsidR="00C71273" w:rsidRDefault="00C71273" w:rsidP="00C71273">
            <w:pPr>
              <w:ind w:right="-957"/>
              <w:rPr>
                <w:rFonts w:ascii="Times New Roman" w:hAnsi="Times New Roman" w:cs="Times New Roman"/>
                <w:b/>
                <w:sz w:val="48"/>
              </w:rPr>
            </w:pPr>
          </w:p>
          <w:p w14:paraId="3D0F1300" w14:textId="77777777" w:rsidR="00C71273" w:rsidRDefault="00C71273" w:rsidP="00C71273">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r>
              <w:rPr>
                <w:rFonts w:ascii="Times New Roman" w:hAnsi="Times New Roman" w:cs="Times New Roman"/>
                <w:b/>
                <w:sz w:val="48"/>
              </w:rPr>
              <w:t xml:space="preserve"> </w:t>
            </w:r>
          </w:p>
          <w:p w14:paraId="0658C0EB" w14:textId="77777777" w:rsidR="00C71273" w:rsidRPr="002514A4" w:rsidRDefault="00C71273" w:rsidP="00C71273">
            <w:pPr>
              <w:ind w:right="-957"/>
              <w:rPr>
                <w:rFonts w:ascii="Times New Roman" w:hAnsi="Times New Roman" w:cs="Times New Roman"/>
                <w:bCs/>
                <w:sz w:val="48"/>
              </w:rPr>
            </w:pPr>
            <w:r>
              <w:rPr>
                <w:rFonts w:ascii="Times New Roman" w:hAnsi="Times New Roman" w:cs="Times New Roman"/>
                <w:bCs/>
                <w:sz w:val="48"/>
              </w:rPr>
              <w:t>2521024</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CFA746"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99207C">
              <w:rPr>
                <w:rFonts w:ascii="Times New Roman" w:hAnsi="Times New Roman" w:cs="Times New Roman"/>
                <w:b/>
                <w:color w:val="auto"/>
                <w:sz w:val="48"/>
              </w:rPr>
              <w:t xml:space="preserve"> </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19E88546" w14:textId="77777777" w:rsidR="00313EBC" w:rsidRDefault="00313EBC" w:rsidP="00313EBC">
      <w:pPr>
        <w:rPr>
          <w:rFonts w:ascii="Times New Roman" w:hAnsi="Times New Roman" w:cs="Times New Roman"/>
          <w:b/>
          <w:color w:val="auto"/>
          <w:sz w:val="48"/>
        </w:rPr>
      </w:pPr>
    </w:p>
    <w:p w14:paraId="0EF984DF" w14:textId="555430FF" w:rsidR="000D0BB6" w:rsidRPr="00313EBC" w:rsidRDefault="00337FEF" w:rsidP="00313EBC">
      <w:pPr>
        <w:ind w:left="3600" w:firstLine="720"/>
        <w:rPr>
          <w:b/>
          <w:sz w:val="24"/>
          <w:szCs w:val="24"/>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60161952" w14:textId="77777777" w:rsidR="00BD3E8E"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w:t>
            </w:r>
          </w:p>
          <w:p w14:paraId="1ACB01AF" w14:textId="77777777" w:rsidR="00BD3E8E" w:rsidRDefault="00BD3E8E" w:rsidP="00FF7EBB">
            <w:pPr>
              <w:jc w:val="both"/>
              <w:rPr>
                <w:sz w:val="24"/>
                <w:szCs w:val="24"/>
              </w:rPr>
            </w:pPr>
          </w:p>
          <w:p w14:paraId="790C580F" w14:textId="77777777" w:rsidR="00BD3E8E" w:rsidRDefault="00BD3E8E" w:rsidP="00BD3E8E">
            <w:pPr>
              <w:jc w:val="both"/>
              <w:rPr>
                <w:sz w:val="24"/>
                <w:szCs w:val="24"/>
              </w:rPr>
            </w:pPr>
            <w:r w:rsidRPr="006108C9">
              <w:rPr>
                <w:i/>
                <w:sz w:val="24"/>
                <w:szCs w:val="24"/>
              </w:rPr>
              <w:t>500 words</w:t>
            </w:r>
            <w:r w:rsidRPr="006108C9">
              <w:rPr>
                <w:sz w:val="24"/>
                <w:szCs w:val="24"/>
              </w:rPr>
              <w:t xml:space="preserve"> (+/- 10%: include your actual word count at the end of each section)</w:t>
            </w:r>
            <w:r>
              <w:rPr>
                <w:sz w:val="24"/>
                <w:szCs w:val="24"/>
              </w:rPr>
              <w:t>.</w:t>
            </w:r>
          </w:p>
          <w:p w14:paraId="17A49383" w14:textId="4AD65015" w:rsidR="008B28E7" w:rsidRDefault="00BB7FD2" w:rsidP="00FF7EBB">
            <w:pPr>
              <w:jc w:val="both"/>
              <w:rPr>
                <w:sz w:val="24"/>
                <w:szCs w:val="24"/>
              </w:rPr>
            </w:pPr>
            <w:r>
              <w:rPr>
                <w:sz w:val="24"/>
                <w:szCs w:val="24"/>
              </w:rPr>
              <w:t xml:space="preserve"> </w:t>
            </w:r>
          </w:p>
          <w:p w14:paraId="1FBBCFA0" w14:textId="77777777" w:rsidR="006108C9" w:rsidRDefault="006108C9" w:rsidP="00FF7EBB">
            <w:pPr>
              <w:jc w:val="both"/>
              <w:rPr>
                <w:sz w:val="24"/>
                <w:szCs w:val="24"/>
              </w:rPr>
            </w:pPr>
          </w:p>
          <w:p w14:paraId="61086C60" w14:textId="77777777" w:rsidR="00BD3E8E" w:rsidRPr="00BD3E8E" w:rsidRDefault="00BD3E8E" w:rsidP="00BD3E8E">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D3E8E">
              <w:rPr>
                <w:rFonts w:ascii="Aptos" w:eastAsia="Aptos" w:hAnsi="Aptos" w:cs="Times New Roman"/>
                <w:color w:val="auto"/>
                <w:kern w:val="2"/>
                <w:sz w:val="24"/>
                <w:szCs w:val="24"/>
                <w:lang w:eastAsia="en-US"/>
                <w14:ligatures w14:val="standardContextual"/>
              </w:rPr>
              <w:t xml:space="preserve">As a Social Worker, understanding adults and childrens safeguarding procedures is essential to meeting professional requirements and promoting effective cross working. As my main area of work is childrens, this essay will focus on adults Safeguarding. </w:t>
            </w:r>
          </w:p>
          <w:p w14:paraId="1B329663" w14:textId="77777777" w:rsidR="00BD3E8E" w:rsidRPr="00BD3E8E" w:rsidRDefault="00BD3E8E" w:rsidP="00BD3E8E">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D3E8E">
              <w:rPr>
                <w:rFonts w:ascii="Aptos" w:eastAsia="Aptos" w:hAnsi="Aptos" w:cs="Times New Roman"/>
                <w:color w:val="auto"/>
                <w:kern w:val="2"/>
                <w:sz w:val="24"/>
                <w:szCs w:val="24"/>
                <w:lang w:eastAsia="en-US"/>
                <w14:ligatures w14:val="standardContextual"/>
              </w:rPr>
              <w:t xml:space="preserve">Adult safeguarding is underpinned by the Social Services and Well-being (Wales) Act 2014, which provides the legal framework for protecting adults at risk of abuse or neglect. Part 7 of the Act defines an adult at risk as an individual who has care and support needs, is experiencing or is at risk of abuse or neglect and is unable to protect themselves because of those needs. The Act places a duty on local authorities to make enquiries where there is reasonable cause to suspect an adult is at risk and determine whether protective action is required. </w:t>
            </w:r>
          </w:p>
          <w:p w14:paraId="7EC022F0" w14:textId="77777777" w:rsidR="00BD3E8E" w:rsidRPr="00BD3E8E" w:rsidRDefault="00BD3E8E" w:rsidP="00BD3E8E">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D3E8E">
              <w:rPr>
                <w:rFonts w:ascii="Aptos" w:eastAsia="Aptos" w:hAnsi="Aptos" w:cs="Times New Roman"/>
                <w:color w:val="auto"/>
                <w:kern w:val="2"/>
                <w:sz w:val="24"/>
                <w:szCs w:val="24"/>
                <w:lang w:eastAsia="en-US"/>
                <w14:ligatures w14:val="standardContextual"/>
              </w:rPr>
              <w:t xml:space="preserve">The Act is underpinned by the principles of wellbeing, voice and control, prevention, and partnership working. These principles place the adult at the centre of decision-making and promote outcomes that reflect their wishes and preferences wherever possible. This person-centred approach represents a key feature of adult safeguarding practice in Wales (Social care Wales,2026). </w:t>
            </w:r>
          </w:p>
          <w:p w14:paraId="2C093C43" w14:textId="77777777" w:rsidR="00BD3E8E" w:rsidRPr="00BD3E8E" w:rsidRDefault="00BD3E8E" w:rsidP="00BD3E8E">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D3E8E">
              <w:rPr>
                <w:rFonts w:ascii="Aptos" w:eastAsia="Aptos" w:hAnsi="Aptos" w:cs="Times New Roman"/>
                <w:color w:val="auto"/>
                <w:kern w:val="2"/>
                <w:sz w:val="24"/>
                <w:szCs w:val="24"/>
                <w:lang w:eastAsia="en-US"/>
                <w14:ligatures w14:val="standardContextual"/>
              </w:rPr>
              <w:t xml:space="preserve">A further key piece of legislation is the Mental Capacity Act 2005, which provides the legal framework for assessing capacity and supporting adults who may be unable to make specific decisions for themselves. The Act requires practitioners to presume capacity unless proven otherwise and to ensure that any intervention is undertaken in the person's best interests and is the least restrictive option available. </w:t>
            </w:r>
          </w:p>
          <w:p w14:paraId="79599F8B" w14:textId="77777777" w:rsidR="00BD3E8E" w:rsidRPr="00BD3E8E" w:rsidRDefault="00BD3E8E" w:rsidP="00BD3E8E">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D3E8E">
              <w:rPr>
                <w:rFonts w:ascii="Aptos" w:eastAsia="Aptos" w:hAnsi="Aptos" w:cs="Times New Roman"/>
                <w:color w:val="auto"/>
                <w:kern w:val="2"/>
                <w:sz w:val="24"/>
                <w:szCs w:val="24"/>
                <w:lang w:eastAsia="en-US"/>
                <w14:ligatures w14:val="standardContextual"/>
              </w:rPr>
              <w:lastRenderedPageBreak/>
              <w:t xml:space="preserve">The Human Rights Act 1998 helps safeguard adults by protecting their fundamental rights, including the right to life (Article 2), freedom from inhuman or degrading treatment (Article 3), and the right to respect for private and family life (Article 8). These rights guide professionals to ensure that adults are protected from harm while promoting dignity, autonomy, and the least restrictive intervention possible (UK Parliament, 1998). </w:t>
            </w:r>
          </w:p>
          <w:p w14:paraId="7E4A8317" w14:textId="77777777" w:rsidR="00BD3E8E" w:rsidRPr="00BD3E8E" w:rsidRDefault="00BD3E8E" w:rsidP="00BD3E8E">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D3E8E">
              <w:rPr>
                <w:rFonts w:ascii="Aptos" w:eastAsia="Aptos" w:hAnsi="Aptos" w:cs="Times New Roman"/>
                <w:color w:val="auto"/>
                <w:kern w:val="2"/>
                <w:sz w:val="24"/>
                <w:szCs w:val="24"/>
                <w:lang w:eastAsia="en-US"/>
                <w14:ligatures w14:val="standardContextual"/>
              </w:rPr>
              <w:t xml:space="preserve">The Domestic Abuse Act 2021 and the Violence against Women, Domestic Abuse and Sexual Violence (Wales) Act 2015 further strengthen safeguarding responsibilities by improving protection and support for adults experiencing abuse. These legislative frameworks recognise the significant impact of domestic abuse on individuals and communities and promote multi-agency responses to safeguarding concerns (Welsh Government,2015). </w:t>
            </w:r>
          </w:p>
          <w:p w14:paraId="0B940344" w14:textId="77777777" w:rsidR="00BD3E8E" w:rsidRPr="00BD3E8E" w:rsidRDefault="00BD3E8E" w:rsidP="00BD3E8E">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D3E8E">
              <w:rPr>
                <w:rFonts w:ascii="Aptos" w:eastAsia="Aptos" w:hAnsi="Aptos" w:cs="Times New Roman"/>
                <w:color w:val="auto"/>
                <w:kern w:val="2"/>
                <w:sz w:val="24"/>
                <w:szCs w:val="24"/>
                <w:lang w:eastAsia="en-US"/>
                <w14:ligatures w14:val="standardContextual"/>
              </w:rPr>
              <w:t xml:space="preserve">At a national level, safeguarding practice is guided by the Welsh Government's statutory guidance Working Together to Safeguard People: Volume 6 – Safeguarding Adults at Risk of Abuse or Neglect. This guidance supports practitioners in applying the requirements of the Social Services and Well-being (Wales) Act 2014 and outlines responsibilities for identifying, reporting, and responding to safeguarding concerns (Welsh Government, 2019). </w:t>
            </w:r>
          </w:p>
          <w:p w14:paraId="484E0F8F" w14:textId="77777777" w:rsidR="00BD3E8E" w:rsidRPr="00BD3E8E" w:rsidRDefault="00BD3E8E" w:rsidP="00BD3E8E">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D3E8E">
              <w:rPr>
                <w:rFonts w:ascii="Aptos" w:eastAsia="Aptos" w:hAnsi="Aptos" w:cs="Times New Roman"/>
                <w:color w:val="auto"/>
                <w:kern w:val="2"/>
                <w:sz w:val="24"/>
                <w:szCs w:val="24"/>
                <w:lang w:eastAsia="en-US"/>
                <w14:ligatures w14:val="standardContextual"/>
              </w:rPr>
              <w:t xml:space="preserve">The Wales Safeguarding Procedures provide detailed guidance for practitioners across social care, health, police, education, and the voluntary sector. They outline the actions required when abuse or neglect is suspected and promote consistency of practice across Wales. The procedures emphasise information sharing, professional accountability, and effective partnership working (Social Care Wales 2026). </w:t>
            </w:r>
          </w:p>
          <w:p w14:paraId="75B7C234" w14:textId="77777777" w:rsidR="00BD3E8E" w:rsidRPr="00BD3E8E" w:rsidRDefault="00BD3E8E" w:rsidP="00BD3E8E">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D3E8E">
              <w:rPr>
                <w:rFonts w:ascii="Aptos" w:eastAsia="Aptos" w:hAnsi="Aptos" w:cs="Times New Roman"/>
                <w:color w:val="auto"/>
                <w:kern w:val="2"/>
                <w:sz w:val="24"/>
                <w:szCs w:val="24"/>
                <w:lang w:eastAsia="en-US"/>
                <w14:ligatures w14:val="standardContextual"/>
              </w:rPr>
              <w:t>At a local and organisational level, safeguarding arrangements are supported by Regional Safeguarding Boards, local authority policies, escalation procedures, whistleblowing policies, and recording requirements. These procedures ensure that safeguarding concerns are managed consistently, effectively, and in accordance with legislative requirements. Together, legislation, policy, and guidance create a robust framework for protecting adults at risk while promoting their rights, independence, and wellbeing.</w:t>
            </w:r>
          </w:p>
          <w:p w14:paraId="0318E819" w14:textId="15C83DAD" w:rsidR="00FC0334" w:rsidRPr="00BD3E8E" w:rsidRDefault="00BD3E8E" w:rsidP="00FF7EBB">
            <w:pPr>
              <w:jc w:val="both"/>
              <w:rPr>
                <w:b/>
                <w:bCs/>
                <w:sz w:val="24"/>
                <w:szCs w:val="24"/>
              </w:rPr>
            </w:pPr>
            <w:r>
              <w:rPr>
                <w:b/>
                <w:bCs/>
                <w:sz w:val="24"/>
                <w:szCs w:val="24"/>
              </w:rPr>
              <w:t>540 words</w:t>
            </w:r>
          </w:p>
          <w:p w14:paraId="03BD6D93" w14:textId="56AD433A" w:rsidR="007A628F" w:rsidRPr="008B28E7" w:rsidRDefault="007A628F" w:rsidP="00BD3E8E">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6DCC2806" w14:textId="77777777" w:rsidR="00DC2F69" w:rsidRDefault="00DC2F69"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5AEC9871" w14:textId="77777777" w:rsidR="00DC2F69" w:rsidRDefault="00DC2F69" w:rsidP="00FC0334">
            <w:pPr>
              <w:jc w:val="both"/>
              <w:rPr>
                <w:i/>
                <w:sz w:val="24"/>
                <w:szCs w:val="24"/>
              </w:rPr>
            </w:pPr>
          </w:p>
          <w:p w14:paraId="5D776547" w14:textId="77777777" w:rsidR="00DC2F69" w:rsidRDefault="00DC2F69" w:rsidP="00FC0334">
            <w:pPr>
              <w:jc w:val="both"/>
              <w:rPr>
                <w:i/>
                <w:sz w:val="24"/>
                <w:szCs w:val="24"/>
              </w:rPr>
            </w:pPr>
          </w:p>
          <w:p w14:paraId="1BD5B4E3" w14:textId="77777777" w:rsidR="00C824BA" w:rsidRPr="00C824BA" w:rsidRDefault="00C824BA" w:rsidP="00C824BA">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C824BA">
              <w:rPr>
                <w:rFonts w:ascii="Aptos" w:eastAsia="Aptos" w:hAnsi="Aptos" w:cs="Times New Roman"/>
                <w:color w:val="auto"/>
                <w:kern w:val="2"/>
                <w:sz w:val="24"/>
                <w:szCs w:val="24"/>
                <w:lang w:eastAsia="en-US"/>
                <w14:ligatures w14:val="standardContextual"/>
              </w:rPr>
              <w:t>Although the principles underpinning adult and child safeguarding are similar, significant differences exist in how safeguarding responsibilities are applied in practice. Both areas seek to protect individuals from abuse, neglect, and harm; however, the rights, legal frameworks, and decision-making processes differ considerably.</w:t>
            </w:r>
          </w:p>
          <w:p w14:paraId="7089302B" w14:textId="77777777" w:rsidR="00C824BA" w:rsidRPr="00C824BA" w:rsidRDefault="00C824BA" w:rsidP="00C824BA">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C824BA">
              <w:rPr>
                <w:rFonts w:ascii="Aptos" w:eastAsia="Aptos" w:hAnsi="Aptos" w:cs="Times New Roman"/>
                <w:color w:val="auto"/>
                <w:kern w:val="2"/>
                <w:sz w:val="24"/>
                <w:szCs w:val="24"/>
                <w:lang w:eastAsia="en-US"/>
                <w14:ligatures w14:val="standardContextual"/>
              </w:rPr>
              <w:t>Within children's services, safeguarding is guided by the principle that the welfare of the child is paramount. Professionals are required to act in the child's best interests and may intervene without parental consent where significant harm is suspected. Children are recognised as vulnerable due to their dependence on adults and their limited capacity to protect themselves. Consequently, safeguarding practice within children's services is often more interventionist and authoritative.</w:t>
            </w:r>
          </w:p>
          <w:p w14:paraId="5A09DB4E" w14:textId="77777777" w:rsidR="00C824BA" w:rsidRPr="00C824BA" w:rsidRDefault="00C824BA" w:rsidP="00C824BA">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C824BA">
              <w:rPr>
                <w:rFonts w:ascii="Aptos" w:eastAsia="Aptos" w:hAnsi="Aptos" w:cs="Times New Roman"/>
                <w:color w:val="auto"/>
                <w:kern w:val="2"/>
                <w:sz w:val="24"/>
                <w:szCs w:val="24"/>
                <w:lang w:eastAsia="en-US"/>
                <w14:ligatures w14:val="standardContextual"/>
              </w:rPr>
              <w:t xml:space="preserve">In contrast, adult safeguarding places greater emphasis on autonomy, choice, and self-determination. The Social Services and Well-being (Wales) Act 2014 promotes voice and control, recognising that adults have the right to make decisions about their own lives, even when others may consider those decisions unwise. Practitioners must therefore balance an individual's right to autonomy against their duty to protect them from abuse and neglect (Welsh Government, 2019). </w:t>
            </w:r>
          </w:p>
          <w:p w14:paraId="472F1893" w14:textId="77777777" w:rsidR="00C824BA" w:rsidRPr="00C824BA" w:rsidRDefault="00C824BA" w:rsidP="00C824BA">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C824BA">
              <w:rPr>
                <w:rFonts w:ascii="Aptos" w:eastAsia="Aptos" w:hAnsi="Aptos" w:cs="Times New Roman"/>
                <w:color w:val="auto"/>
                <w:kern w:val="2"/>
                <w:sz w:val="24"/>
                <w:szCs w:val="24"/>
                <w:lang w:eastAsia="en-US"/>
                <w14:ligatures w14:val="standardContextual"/>
              </w:rPr>
              <w:t>One of the most significant differences is the role of the Mental Capacity Act 2005. Adult safeguarding practice requires careful consideration of whether an individual has the capacity to make a specific decision. Where capacity is present, a person may choose not to engage with services despite ongoing safeguarding concerns. In children's services, professionals generally have greater authority to intervene where risks are identified, regardless of the wishes of parents or carers. This distinction creates additional ethical and professional complexities within adult safeguarding.</w:t>
            </w:r>
          </w:p>
          <w:p w14:paraId="74CEA60D" w14:textId="77777777" w:rsidR="00C824BA" w:rsidRPr="00C824BA" w:rsidRDefault="00C824BA" w:rsidP="00C824BA">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C824BA">
              <w:rPr>
                <w:rFonts w:ascii="Aptos" w:eastAsia="Aptos" w:hAnsi="Aptos" w:cs="Times New Roman"/>
                <w:color w:val="auto"/>
                <w:kern w:val="2"/>
                <w:sz w:val="24"/>
                <w:szCs w:val="24"/>
                <w:lang w:eastAsia="en-US"/>
                <w14:ligatures w14:val="standardContextual"/>
              </w:rPr>
              <w:t>A further difference relates to the nature of risk assessment and intervention. Adult safeguarding often focuses on empowering individuals to manage risk and make informed choices, whereas child safeguarding prioritises protection from harm. This means that in adult services, positive risk-taking and outcome-focused practice may be appropriate, provided the individual understands and accepts the associated risks.</w:t>
            </w:r>
          </w:p>
          <w:p w14:paraId="36C53B15" w14:textId="77777777" w:rsidR="00C824BA" w:rsidRPr="00C824BA" w:rsidRDefault="00C824BA" w:rsidP="00C824BA">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C824BA">
              <w:rPr>
                <w:rFonts w:ascii="Aptos" w:eastAsia="Aptos" w:hAnsi="Aptos" w:cs="Times New Roman"/>
                <w:color w:val="auto"/>
                <w:kern w:val="2"/>
                <w:sz w:val="24"/>
                <w:szCs w:val="24"/>
                <w:lang w:eastAsia="en-US"/>
                <w14:ligatures w14:val="standardContextual"/>
              </w:rPr>
              <w:t xml:space="preserve">Despite these differences, both areas rely heavily on effective multi-agency working, information sharing, and professional curiosity. The Wales Safeguarding Procedures highlight the importance of collaborative working across agencies to ensure that both adults and children are protected from abuse and neglect (Social Care Wales, 2026). </w:t>
            </w:r>
          </w:p>
          <w:p w14:paraId="47785FEF" w14:textId="77777777" w:rsidR="00C824BA" w:rsidRPr="00C824BA" w:rsidRDefault="00C824BA" w:rsidP="00C824BA">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C824BA">
              <w:rPr>
                <w:rFonts w:ascii="Aptos" w:eastAsia="Aptos" w:hAnsi="Aptos" w:cs="Times New Roman"/>
                <w:color w:val="auto"/>
                <w:kern w:val="2"/>
                <w:sz w:val="24"/>
                <w:szCs w:val="24"/>
                <w:lang w:eastAsia="en-US"/>
                <w14:ligatures w14:val="standardContextual"/>
              </w:rPr>
              <w:t xml:space="preserve">Reflecting on these differences highlights the importance of adapting practice to the relevant legislative and ethical framework. Understanding adult safeguarding has strengthened </w:t>
            </w:r>
            <w:r w:rsidRPr="00C824BA">
              <w:rPr>
                <w:rFonts w:ascii="Aptos" w:eastAsia="Aptos" w:hAnsi="Aptos" w:cs="Times New Roman"/>
                <w:color w:val="auto"/>
                <w:kern w:val="2"/>
                <w:sz w:val="24"/>
                <w:szCs w:val="24"/>
                <w:lang w:eastAsia="en-US"/>
                <w14:ligatures w14:val="standardContextual"/>
              </w:rPr>
              <w:lastRenderedPageBreak/>
              <w:t>awareness of the need to balance protection with individual autonomy, while recognising that safeguarding children often requires a more protective and interventionist approach. Developing knowledge across both areas supports holistic practice and enhances the ability to work effectively with individuals and families experiencing vulnerability.</w:t>
            </w:r>
          </w:p>
          <w:p w14:paraId="4A14D254" w14:textId="0202244E" w:rsidR="00C824BA" w:rsidRPr="00C824BA" w:rsidRDefault="00C824BA" w:rsidP="00FC0334">
            <w:pPr>
              <w:jc w:val="both"/>
              <w:rPr>
                <w:b/>
                <w:bCs/>
                <w:iCs/>
                <w:sz w:val="24"/>
                <w:szCs w:val="24"/>
              </w:rPr>
            </w:pPr>
            <w:r>
              <w:rPr>
                <w:b/>
                <w:bCs/>
                <w:iCs/>
                <w:sz w:val="24"/>
                <w:szCs w:val="24"/>
              </w:rPr>
              <w:t>427 words</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3"/>
      <w:footerReference w:type="default" r:id="rId1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2A0AA8" w14:textId="77777777" w:rsidR="00010874" w:rsidRDefault="00010874">
      <w:r>
        <w:separator/>
      </w:r>
    </w:p>
  </w:endnote>
  <w:endnote w:type="continuationSeparator" w:id="0">
    <w:p w14:paraId="56DC6BFF" w14:textId="77777777" w:rsidR="00010874" w:rsidRDefault="000108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03B7DD" w14:textId="77777777" w:rsidR="00010874" w:rsidRDefault="00010874">
      <w:r>
        <w:separator/>
      </w:r>
    </w:p>
  </w:footnote>
  <w:footnote w:type="continuationSeparator" w:id="0">
    <w:p w14:paraId="5357F040" w14:textId="77777777" w:rsidR="00010874" w:rsidRDefault="000108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0874"/>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3EBC"/>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47647"/>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07C"/>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4927"/>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D3E8E"/>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1273"/>
    <w:rsid w:val="00C75883"/>
    <w:rsid w:val="00C77FA5"/>
    <w:rsid w:val="00C8089F"/>
    <w:rsid w:val="00C824BA"/>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01D6"/>
    <w:rsid w:val="00D71201"/>
    <w:rsid w:val="00D720C7"/>
    <w:rsid w:val="00D84841"/>
    <w:rsid w:val="00D876E6"/>
    <w:rsid w:val="00D90958"/>
    <w:rsid w:val="00DA1025"/>
    <w:rsid w:val="00DA22EC"/>
    <w:rsid w:val="00DA5682"/>
    <w:rsid w:val="00DA5860"/>
    <w:rsid w:val="00DA5C0C"/>
    <w:rsid w:val="00DB2767"/>
    <w:rsid w:val="00DC1B10"/>
    <w:rsid w:val="00DC2924"/>
    <w:rsid w:val="00DC2F69"/>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Mcmillanlauren2@gmail.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2521024@student.uwtsd.ac.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1262</Words>
  <Characters>7199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Lauren McMillan</cp:lastModifiedBy>
  <cp:revision>9</cp:revision>
  <cp:lastPrinted>2020-02-11T19:20:00Z</cp:lastPrinted>
  <dcterms:created xsi:type="dcterms:W3CDTF">2026-09-30T10:34:00Z</dcterms:created>
  <dcterms:modified xsi:type="dcterms:W3CDTF">2026-09-30T10:38:00Z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