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1C085" w14:textId="236428F0" w:rsidR="00E424E2" w:rsidRDefault="009034F9" w:rsidP="00084A98">
      <w:pPr>
        <w:pStyle w:val="Title"/>
        <w:contextualSpacing w:val="0"/>
        <w:jc w:val="center"/>
        <w:rPr>
          <w:sz w:val="48"/>
          <w:szCs w:val="48"/>
          <w:u w:val="single"/>
        </w:rPr>
      </w:pPr>
      <w:r>
        <w:rPr>
          <w:sz w:val="48"/>
          <w:szCs w:val="48"/>
          <w:u w:val="single"/>
        </w:rPr>
        <w:t>Report</w:t>
      </w:r>
    </w:p>
    <w:p w14:paraId="54834013" w14:textId="497B1F92" w:rsidR="009034F9" w:rsidRDefault="009034F9" w:rsidP="00084A98">
      <w:pPr>
        <w:jc w:val="center"/>
      </w:pPr>
      <w:r>
        <w:t>To Super Tyres Global</w:t>
      </w:r>
    </w:p>
    <w:p w14:paraId="13770F1D" w14:textId="2C2712D2" w:rsidR="009034F9" w:rsidRDefault="006E1B32" w:rsidP="00084A98">
      <w:pPr>
        <w:jc w:val="center"/>
      </w:pPr>
      <w:r>
        <w:t>From : Account Management</w:t>
      </w:r>
    </w:p>
    <w:p w14:paraId="7209D1A3" w14:textId="341790E7" w:rsidR="006E1B32" w:rsidRDefault="006E1B32" w:rsidP="00084A98">
      <w:pPr>
        <w:jc w:val="center"/>
      </w:pPr>
      <w:r>
        <w:t>Date : 23</w:t>
      </w:r>
      <w:r w:rsidRPr="00084A98">
        <w:rPr>
          <w:vertAlign w:val="superscript"/>
        </w:rPr>
        <w:t>rd</w:t>
      </w:r>
      <w:r>
        <w:t xml:space="preserve"> October 2022</w:t>
      </w:r>
    </w:p>
    <w:p w14:paraId="38DBC7C7" w14:textId="77777777" w:rsidR="001C7C77" w:rsidRDefault="001C7C77" w:rsidP="00084A98">
      <w:pPr>
        <w:jc w:val="center"/>
      </w:pPr>
      <w:r>
        <w:t>Subject : Adviser Report</w:t>
      </w:r>
    </w:p>
    <w:p w14:paraId="332B4062" w14:textId="34DDB7AA" w:rsidR="00E424E2" w:rsidRPr="001C7C77" w:rsidRDefault="00E424E2" w:rsidP="001C7C77">
      <w:r w:rsidRPr="00E424E2">
        <w:rPr>
          <w:sz w:val="48"/>
          <w:szCs w:val="48"/>
          <w:u w:val="single"/>
        </w:rPr>
        <w:br w:type="page"/>
      </w:r>
    </w:p>
    <w:sdt>
      <w:sdtPr>
        <w:rPr>
          <w:rFonts w:ascii="Times New Roman" w:eastAsiaTheme="minorHAnsi" w:hAnsi="Times New Roman" w:cstheme="minorBidi"/>
          <w:color w:val="auto"/>
          <w:sz w:val="24"/>
          <w:szCs w:val="22"/>
          <w:lang w:val="en-IN"/>
        </w:rPr>
        <w:id w:val="-1572733145"/>
        <w:docPartObj>
          <w:docPartGallery w:val="Table of Contents"/>
          <w:docPartUnique/>
        </w:docPartObj>
      </w:sdtPr>
      <w:sdtEndPr>
        <w:rPr>
          <w:b/>
          <w:bCs/>
          <w:noProof/>
        </w:rPr>
      </w:sdtEndPr>
      <w:sdtContent>
        <w:p w14:paraId="55F78E19" w14:textId="5C6606D6" w:rsidR="00E424E2" w:rsidRPr="00E424E2" w:rsidRDefault="00E424E2" w:rsidP="00B82756">
          <w:pPr>
            <w:pStyle w:val="TOCHeading"/>
            <w:spacing w:line="360" w:lineRule="auto"/>
            <w:jc w:val="both"/>
            <w:rPr>
              <w:color w:val="auto"/>
            </w:rPr>
          </w:pPr>
          <w:r w:rsidRPr="00E424E2">
            <w:rPr>
              <w:color w:val="auto"/>
            </w:rPr>
            <w:t>Table of Contents</w:t>
          </w:r>
        </w:p>
        <w:p w14:paraId="4B42B71B" w14:textId="3591FEF9" w:rsidR="00E424E2" w:rsidRPr="00E424E2" w:rsidRDefault="00E424E2" w:rsidP="00B82756">
          <w:pPr>
            <w:pStyle w:val="TOC1"/>
            <w:tabs>
              <w:tab w:val="right" w:leader="dot" w:pos="9016"/>
            </w:tabs>
            <w:jc w:val="both"/>
            <w:rPr>
              <w:noProof/>
            </w:rPr>
          </w:pPr>
          <w:r w:rsidRPr="00E424E2">
            <w:fldChar w:fldCharType="begin"/>
          </w:r>
          <w:r w:rsidRPr="00E424E2">
            <w:instrText xml:space="preserve"> TOC \o "1-3" \h \z \u </w:instrText>
          </w:r>
          <w:r w:rsidRPr="00E424E2">
            <w:fldChar w:fldCharType="separate"/>
          </w:r>
          <w:hyperlink w:anchor="_Toc117354128" w:history="1">
            <w:r w:rsidRPr="00E424E2">
              <w:rPr>
                <w:rStyle w:val="Hyperlink"/>
                <w:noProof/>
                <w:color w:val="auto"/>
              </w:rPr>
              <w:t>Introduction</w:t>
            </w:r>
            <w:r w:rsidRPr="00E424E2">
              <w:rPr>
                <w:noProof/>
                <w:webHidden/>
              </w:rPr>
              <w:tab/>
            </w:r>
            <w:r w:rsidRPr="00E424E2">
              <w:rPr>
                <w:noProof/>
                <w:webHidden/>
              </w:rPr>
              <w:fldChar w:fldCharType="begin"/>
            </w:r>
            <w:r w:rsidRPr="00E424E2">
              <w:rPr>
                <w:noProof/>
                <w:webHidden/>
              </w:rPr>
              <w:instrText xml:space="preserve"> PAGEREF _Toc117354128 \h </w:instrText>
            </w:r>
            <w:r w:rsidRPr="00E424E2">
              <w:rPr>
                <w:noProof/>
                <w:webHidden/>
              </w:rPr>
            </w:r>
            <w:r w:rsidRPr="00E424E2">
              <w:rPr>
                <w:noProof/>
                <w:webHidden/>
              </w:rPr>
              <w:fldChar w:fldCharType="separate"/>
            </w:r>
            <w:r w:rsidRPr="00E424E2">
              <w:rPr>
                <w:noProof/>
                <w:webHidden/>
              </w:rPr>
              <w:t>3</w:t>
            </w:r>
            <w:r w:rsidRPr="00E424E2">
              <w:rPr>
                <w:noProof/>
                <w:webHidden/>
              </w:rPr>
              <w:fldChar w:fldCharType="end"/>
            </w:r>
          </w:hyperlink>
        </w:p>
        <w:p w14:paraId="597753D5" w14:textId="3AD12214" w:rsidR="00E424E2" w:rsidRPr="00E424E2" w:rsidRDefault="00FC68CB" w:rsidP="00B82756">
          <w:pPr>
            <w:pStyle w:val="TOC1"/>
            <w:tabs>
              <w:tab w:val="left" w:pos="660"/>
              <w:tab w:val="right" w:leader="dot" w:pos="9016"/>
            </w:tabs>
            <w:jc w:val="both"/>
            <w:rPr>
              <w:noProof/>
            </w:rPr>
          </w:pPr>
          <w:hyperlink w:anchor="_Toc117354129" w:history="1">
            <w:r w:rsidR="00E424E2" w:rsidRPr="00E424E2">
              <w:rPr>
                <w:rStyle w:val="Hyperlink"/>
                <w:noProof/>
                <w:color w:val="auto"/>
              </w:rPr>
              <w:t>1.1-</w:t>
            </w:r>
            <w:r w:rsidR="00E424E2" w:rsidRPr="00E424E2">
              <w:rPr>
                <w:noProof/>
              </w:rPr>
              <w:tab/>
            </w:r>
            <w:r w:rsidR="00E424E2" w:rsidRPr="00E424E2">
              <w:rPr>
                <w:rStyle w:val="Hyperlink"/>
                <w:noProof/>
                <w:color w:val="auto"/>
              </w:rPr>
              <w:t>Use of management accounting techniques</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_Toc117354129 \h </w:instrText>
            </w:r>
            <w:r w:rsidR="00E424E2" w:rsidRPr="00E424E2">
              <w:rPr>
                <w:noProof/>
                <w:webHidden/>
              </w:rPr>
            </w:r>
            <w:r w:rsidR="00E424E2" w:rsidRPr="00E424E2">
              <w:rPr>
                <w:noProof/>
                <w:webHidden/>
              </w:rPr>
              <w:fldChar w:fldCharType="separate"/>
            </w:r>
            <w:r w:rsidR="00E424E2" w:rsidRPr="00E424E2">
              <w:rPr>
                <w:noProof/>
                <w:webHidden/>
              </w:rPr>
              <w:t>4</w:t>
            </w:r>
            <w:r w:rsidR="00E424E2" w:rsidRPr="00E424E2">
              <w:rPr>
                <w:noProof/>
                <w:webHidden/>
              </w:rPr>
              <w:fldChar w:fldCharType="end"/>
            </w:r>
          </w:hyperlink>
        </w:p>
        <w:p w14:paraId="51D80817" w14:textId="08563244" w:rsidR="00E424E2" w:rsidRPr="00E424E2" w:rsidRDefault="00FC68CB" w:rsidP="00B82756">
          <w:pPr>
            <w:pStyle w:val="TOC1"/>
            <w:tabs>
              <w:tab w:val="left" w:pos="660"/>
              <w:tab w:val="right" w:leader="dot" w:pos="9016"/>
            </w:tabs>
            <w:jc w:val="both"/>
            <w:rPr>
              <w:noProof/>
            </w:rPr>
          </w:pPr>
          <w:hyperlink w:anchor="_Toc117354130" w:history="1">
            <w:r w:rsidR="00E424E2" w:rsidRPr="00E424E2">
              <w:rPr>
                <w:rStyle w:val="Hyperlink"/>
                <w:noProof/>
                <w:color w:val="auto"/>
              </w:rPr>
              <w:t>1.2-</w:t>
            </w:r>
            <w:r w:rsidR="00E424E2" w:rsidRPr="00E424E2">
              <w:rPr>
                <w:noProof/>
              </w:rPr>
              <w:tab/>
            </w:r>
            <w:r w:rsidR="00E424E2" w:rsidRPr="00E424E2">
              <w:rPr>
                <w:rStyle w:val="Hyperlink"/>
                <w:noProof/>
                <w:color w:val="auto"/>
              </w:rPr>
              <w:t>The budgeted manufacturing schedule and marginal cost income statement (Budget contract is honoured)</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_Toc117354130 \h </w:instrText>
            </w:r>
            <w:r w:rsidR="00E424E2" w:rsidRPr="00E424E2">
              <w:rPr>
                <w:noProof/>
                <w:webHidden/>
              </w:rPr>
            </w:r>
            <w:r w:rsidR="00E424E2" w:rsidRPr="00E424E2">
              <w:rPr>
                <w:noProof/>
                <w:webHidden/>
              </w:rPr>
              <w:fldChar w:fldCharType="separate"/>
            </w:r>
            <w:r w:rsidR="00E424E2" w:rsidRPr="00E424E2">
              <w:rPr>
                <w:noProof/>
                <w:webHidden/>
              </w:rPr>
              <w:t>6</w:t>
            </w:r>
            <w:r w:rsidR="00E424E2" w:rsidRPr="00E424E2">
              <w:rPr>
                <w:noProof/>
                <w:webHidden/>
              </w:rPr>
              <w:fldChar w:fldCharType="end"/>
            </w:r>
          </w:hyperlink>
        </w:p>
        <w:p w14:paraId="67BB41E7" w14:textId="6F2FA0C8" w:rsidR="00E424E2" w:rsidRPr="00E424E2" w:rsidRDefault="00FC68CB" w:rsidP="00B82756">
          <w:pPr>
            <w:pStyle w:val="TOC1"/>
            <w:tabs>
              <w:tab w:val="left" w:pos="660"/>
              <w:tab w:val="right" w:leader="dot" w:pos="9016"/>
            </w:tabs>
            <w:jc w:val="both"/>
            <w:rPr>
              <w:noProof/>
            </w:rPr>
          </w:pPr>
          <w:hyperlink w:anchor="_Toc117354131" w:history="1">
            <w:r w:rsidR="00E424E2" w:rsidRPr="00E424E2">
              <w:rPr>
                <w:rStyle w:val="Hyperlink"/>
                <w:noProof/>
                <w:color w:val="auto"/>
              </w:rPr>
              <w:t>1.3-</w:t>
            </w:r>
            <w:r w:rsidR="00E424E2" w:rsidRPr="00E424E2">
              <w:rPr>
                <w:noProof/>
              </w:rPr>
              <w:tab/>
            </w:r>
            <w:r w:rsidR="00E424E2" w:rsidRPr="00E424E2">
              <w:rPr>
                <w:rStyle w:val="Hyperlink"/>
                <w:noProof/>
                <w:color w:val="auto"/>
              </w:rPr>
              <w:t>Budgeted manufacturing schedule and marginal cost income statement (Budget contract is dishonoured)</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_Toc117354131 \h </w:instrText>
            </w:r>
            <w:r w:rsidR="00E424E2" w:rsidRPr="00E424E2">
              <w:rPr>
                <w:noProof/>
                <w:webHidden/>
              </w:rPr>
            </w:r>
            <w:r w:rsidR="00E424E2" w:rsidRPr="00E424E2">
              <w:rPr>
                <w:noProof/>
                <w:webHidden/>
              </w:rPr>
              <w:fldChar w:fldCharType="separate"/>
            </w:r>
            <w:r w:rsidR="00E424E2" w:rsidRPr="00E424E2">
              <w:rPr>
                <w:noProof/>
                <w:webHidden/>
              </w:rPr>
              <w:t>8</w:t>
            </w:r>
            <w:r w:rsidR="00E424E2" w:rsidRPr="00E424E2">
              <w:rPr>
                <w:noProof/>
                <w:webHidden/>
              </w:rPr>
              <w:fldChar w:fldCharType="end"/>
            </w:r>
          </w:hyperlink>
        </w:p>
        <w:p w14:paraId="15DC3C2C" w14:textId="409FE21F" w:rsidR="00E424E2" w:rsidRPr="00E424E2" w:rsidRDefault="00FC68CB" w:rsidP="00B82756">
          <w:pPr>
            <w:pStyle w:val="TOC1"/>
            <w:tabs>
              <w:tab w:val="right" w:leader="dot" w:pos="9016"/>
            </w:tabs>
            <w:jc w:val="both"/>
            <w:rPr>
              <w:noProof/>
            </w:rPr>
          </w:pPr>
          <w:hyperlink w:anchor="_Toc117354132" w:history="1">
            <w:r w:rsidR="00E424E2" w:rsidRPr="00E424E2">
              <w:rPr>
                <w:rStyle w:val="Hyperlink"/>
                <w:noProof/>
                <w:color w:val="auto"/>
              </w:rPr>
              <w:t>1.4 Decision</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_Toc117354132 \h </w:instrText>
            </w:r>
            <w:r w:rsidR="00E424E2" w:rsidRPr="00E424E2">
              <w:rPr>
                <w:noProof/>
                <w:webHidden/>
              </w:rPr>
            </w:r>
            <w:r w:rsidR="00E424E2" w:rsidRPr="00E424E2">
              <w:rPr>
                <w:noProof/>
                <w:webHidden/>
              </w:rPr>
              <w:fldChar w:fldCharType="separate"/>
            </w:r>
            <w:r w:rsidR="00E424E2" w:rsidRPr="00E424E2">
              <w:rPr>
                <w:noProof/>
                <w:webHidden/>
              </w:rPr>
              <w:t>10</w:t>
            </w:r>
            <w:r w:rsidR="00E424E2" w:rsidRPr="00E424E2">
              <w:rPr>
                <w:noProof/>
                <w:webHidden/>
              </w:rPr>
              <w:fldChar w:fldCharType="end"/>
            </w:r>
          </w:hyperlink>
        </w:p>
        <w:p w14:paraId="3CFD2420" w14:textId="2E758A5E" w:rsidR="00E424E2" w:rsidRPr="00E424E2" w:rsidRDefault="00FC68CB" w:rsidP="00B82756">
          <w:pPr>
            <w:pStyle w:val="TOC1"/>
            <w:tabs>
              <w:tab w:val="right" w:leader="dot" w:pos="9016"/>
            </w:tabs>
            <w:jc w:val="both"/>
            <w:rPr>
              <w:noProof/>
            </w:rPr>
          </w:pPr>
          <w:hyperlink w:anchor="_Toc117354133" w:history="1">
            <w:r w:rsidR="00E424E2" w:rsidRPr="00E424E2">
              <w:rPr>
                <w:rStyle w:val="Hyperlink"/>
                <w:noProof/>
                <w:color w:val="auto"/>
              </w:rPr>
              <w:t>1.5 – Limiting factor and CVP, its assumptions and limitations</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_Toc117354133 \h </w:instrText>
            </w:r>
            <w:r w:rsidR="00E424E2" w:rsidRPr="00E424E2">
              <w:rPr>
                <w:noProof/>
                <w:webHidden/>
              </w:rPr>
            </w:r>
            <w:r w:rsidR="00E424E2" w:rsidRPr="00E424E2">
              <w:rPr>
                <w:noProof/>
                <w:webHidden/>
              </w:rPr>
              <w:fldChar w:fldCharType="separate"/>
            </w:r>
            <w:r w:rsidR="00E424E2" w:rsidRPr="00E424E2">
              <w:rPr>
                <w:noProof/>
                <w:webHidden/>
              </w:rPr>
              <w:t>11</w:t>
            </w:r>
            <w:r w:rsidR="00E424E2" w:rsidRPr="00E424E2">
              <w:rPr>
                <w:noProof/>
                <w:webHidden/>
              </w:rPr>
              <w:fldChar w:fldCharType="end"/>
            </w:r>
          </w:hyperlink>
        </w:p>
        <w:p w14:paraId="565FA5AF" w14:textId="7B2C8499" w:rsidR="00E424E2" w:rsidRPr="00E424E2" w:rsidRDefault="00FC68CB" w:rsidP="00B82756">
          <w:pPr>
            <w:pStyle w:val="TOC1"/>
            <w:tabs>
              <w:tab w:val="right" w:leader="dot" w:pos="9016"/>
            </w:tabs>
            <w:jc w:val="both"/>
            <w:rPr>
              <w:noProof/>
            </w:rPr>
          </w:pPr>
          <w:hyperlink w:anchor="_Toc117354134" w:history="1">
            <w:r w:rsidR="00E424E2" w:rsidRPr="00E424E2">
              <w:rPr>
                <w:rStyle w:val="Hyperlink"/>
                <w:noProof/>
                <w:color w:val="auto"/>
              </w:rPr>
              <w:t>Conclusion</w:t>
            </w:r>
            <w:r w:rsidR="00E424E2" w:rsidRPr="00E424E2">
              <w:rPr>
                <w:noProof/>
                <w:webHidden/>
              </w:rPr>
              <w:tab/>
            </w:r>
            <w:r w:rsidR="00E424E2" w:rsidRPr="00E424E2">
              <w:rPr>
                <w:noProof/>
                <w:webHidden/>
              </w:rPr>
              <w:fldChar w:fldCharType="begin"/>
            </w:r>
            <w:r w:rsidR="00E424E2" w:rsidRPr="00E424E2">
              <w:rPr>
                <w:noProof/>
                <w:webHidden/>
              </w:rPr>
              <w:instrText xml:space="preserve"> PAGEREF _Toc117354134 \h </w:instrText>
            </w:r>
            <w:r w:rsidR="00E424E2" w:rsidRPr="00E424E2">
              <w:rPr>
                <w:noProof/>
                <w:webHidden/>
              </w:rPr>
            </w:r>
            <w:r w:rsidR="00E424E2" w:rsidRPr="00E424E2">
              <w:rPr>
                <w:noProof/>
                <w:webHidden/>
              </w:rPr>
              <w:fldChar w:fldCharType="separate"/>
            </w:r>
            <w:r w:rsidR="00E424E2" w:rsidRPr="00E424E2">
              <w:rPr>
                <w:noProof/>
                <w:webHidden/>
              </w:rPr>
              <w:t>14</w:t>
            </w:r>
            <w:r w:rsidR="00E424E2" w:rsidRPr="00E424E2">
              <w:rPr>
                <w:noProof/>
                <w:webHidden/>
              </w:rPr>
              <w:fldChar w:fldCharType="end"/>
            </w:r>
          </w:hyperlink>
        </w:p>
        <w:p w14:paraId="15134926" w14:textId="75E7E5C1" w:rsidR="00E424E2" w:rsidRDefault="00E424E2" w:rsidP="00B82756">
          <w:pPr>
            <w:jc w:val="both"/>
          </w:pPr>
          <w:r w:rsidRPr="00E424E2">
            <w:rPr>
              <w:b/>
              <w:bCs/>
              <w:noProof/>
            </w:rPr>
            <w:fldChar w:fldCharType="end"/>
          </w:r>
        </w:p>
      </w:sdtContent>
    </w:sdt>
    <w:p w14:paraId="6550A9BB" w14:textId="77777777" w:rsidR="00E424E2" w:rsidRDefault="00E424E2" w:rsidP="00B82756">
      <w:pPr>
        <w:jc w:val="both"/>
        <w:rPr>
          <w:rFonts w:eastAsiaTheme="majorEastAsia" w:cstheme="majorBidi"/>
          <w:b/>
          <w:sz w:val="28"/>
          <w:szCs w:val="32"/>
        </w:rPr>
      </w:pPr>
      <w:r>
        <w:br w:type="page"/>
      </w:r>
    </w:p>
    <w:p w14:paraId="398A3F8A" w14:textId="1D51C71F" w:rsidR="00606BF8" w:rsidRDefault="00606BF8" w:rsidP="00B82756">
      <w:pPr>
        <w:pStyle w:val="Heading1"/>
        <w:jc w:val="both"/>
      </w:pPr>
      <w:bookmarkStart w:id="0" w:name="_Toc117354128"/>
      <w:r>
        <w:t>Introduction</w:t>
      </w:r>
      <w:bookmarkEnd w:id="0"/>
    </w:p>
    <w:p w14:paraId="4F8BF6CC" w14:textId="59CD7C57" w:rsidR="00606BF8" w:rsidRDefault="00606BF8" w:rsidP="00B82756">
      <w:pPr>
        <w:jc w:val="both"/>
      </w:pPr>
      <w:r>
        <w:t xml:space="preserve">The following report would take into account the use of various conventions that are of general use in the discipline of management accounting. The use of these conventions in facilitating the decision-making in the organization would be facilitated in this regard. For this purpose, the data relating to the company given in the case study- SGT would be to evaluate the viability of the contract made by management for the production of one </w:t>
      </w:r>
      <w:r w:rsidR="008A3E4D">
        <w:t>product</w:t>
      </w:r>
      <w:r>
        <w:t xml:space="preserve"> with </w:t>
      </w:r>
      <w:r w:rsidR="008A3E4D">
        <w:t xml:space="preserve">a </w:t>
      </w:r>
      <w:r>
        <w:t>low contribu</w:t>
      </w:r>
      <w:r w:rsidR="008A3E4D">
        <w:t xml:space="preserve">tion over another with </w:t>
      </w:r>
      <w:r w:rsidR="00B13334">
        <w:t xml:space="preserve">a </w:t>
      </w:r>
      <w:r w:rsidR="008A3E4D">
        <w:t xml:space="preserve">high contribution where they both involve the same limiting factor in production. In addition, the report would also contain </w:t>
      </w:r>
      <w:r w:rsidR="00B13334">
        <w:t xml:space="preserve">a </w:t>
      </w:r>
      <w:r w:rsidR="008A3E4D">
        <w:t xml:space="preserve">discussion on the </w:t>
      </w:r>
      <w:r w:rsidR="008B06BD">
        <w:t>relevance of</w:t>
      </w:r>
      <w:r w:rsidR="00936D5A">
        <w:t xml:space="preserve"> limiting factor</w:t>
      </w:r>
      <w:r w:rsidR="008B06BD">
        <w:t xml:space="preserve"> for the company and </w:t>
      </w:r>
      <w:r w:rsidR="00B13334">
        <w:t xml:space="preserve">the </w:t>
      </w:r>
      <w:r w:rsidR="008B06BD">
        <w:t>assumptions and limitations of CVP analysis.</w:t>
      </w:r>
      <w:r>
        <w:br w:type="page"/>
      </w:r>
    </w:p>
    <w:p w14:paraId="746EF1D2" w14:textId="5A2B709C" w:rsidR="00D216CE" w:rsidRDefault="00D25ADA" w:rsidP="00B82756">
      <w:pPr>
        <w:pStyle w:val="Heading1"/>
        <w:numPr>
          <w:ilvl w:val="1"/>
          <w:numId w:val="1"/>
        </w:numPr>
        <w:jc w:val="both"/>
      </w:pPr>
      <w:bookmarkStart w:id="1" w:name="_Toc117354129"/>
      <w:r>
        <w:t>Use of management accounting techniques</w:t>
      </w:r>
      <w:bookmarkEnd w:id="1"/>
    </w:p>
    <w:p w14:paraId="5DE06B6A" w14:textId="6165583E" w:rsidR="00D25ADA" w:rsidRDefault="00D25ADA" w:rsidP="00B82756">
      <w:pPr>
        <w:jc w:val="both"/>
        <w:rPr>
          <w:b/>
          <w:bCs/>
        </w:rPr>
      </w:pPr>
      <w:r>
        <w:rPr>
          <w:b/>
          <w:bCs/>
        </w:rPr>
        <w:t>Fixed and Variable Overhead</w:t>
      </w:r>
    </w:p>
    <w:tbl>
      <w:tblPr>
        <w:tblW w:w="5000" w:type="pct"/>
        <w:tblLook w:val="04A0" w:firstRow="1" w:lastRow="0" w:firstColumn="1" w:lastColumn="0" w:noHBand="0" w:noVBand="1"/>
      </w:tblPr>
      <w:tblGrid>
        <w:gridCol w:w="3880"/>
        <w:gridCol w:w="2429"/>
        <w:gridCol w:w="2933"/>
      </w:tblGrid>
      <w:tr w:rsidR="00D25ADA" w:rsidRPr="00D25ADA" w14:paraId="79EA72EB" w14:textId="77777777" w:rsidTr="00D25ADA">
        <w:trPr>
          <w:trHeight w:val="315"/>
        </w:trPr>
        <w:tc>
          <w:tcPr>
            <w:tcW w:w="209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4753F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1314" w:type="pct"/>
            <w:tcBorders>
              <w:top w:val="single" w:sz="4" w:space="0" w:color="auto"/>
              <w:left w:val="nil"/>
              <w:bottom w:val="single" w:sz="4" w:space="0" w:color="auto"/>
              <w:right w:val="single" w:sz="4" w:space="0" w:color="auto"/>
            </w:tcBorders>
            <w:shd w:val="clear" w:color="auto" w:fill="auto"/>
            <w:noWrap/>
            <w:vAlign w:val="bottom"/>
            <w:hideMark/>
          </w:tcPr>
          <w:p w14:paraId="446C1D57"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2022</w:t>
            </w:r>
          </w:p>
        </w:tc>
        <w:tc>
          <w:tcPr>
            <w:tcW w:w="1588" w:type="pct"/>
            <w:tcBorders>
              <w:top w:val="single" w:sz="4" w:space="0" w:color="auto"/>
              <w:left w:val="nil"/>
              <w:bottom w:val="single" w:sz="4" w:space="0" w:color="auto"/>
              <w:right w:val="single" w:sz="4" w:space="0" w:color="auto"/>
            </w:tcBorders>
            <w:shd w:val="clear" w:color="auto" w:fill="auto"/>
            <w:noWrap/>
            <w:vAlign w:val="bottom"/>
            <w:hideMark/>
          </w:tcPr>
          <w:p w14:paraId="02AE75D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2021</w:t>
            </w:r>
          </w:p>
        </w:tc>
      </w:tr>
      <w:tr w:rsidR="00D25ADA" w:rsidRPr="00D25ADA" w14:paraId="1E9C242D"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324790B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314" w:type="pct"/>
            <w:tcBorders>
              <w:top w:val="nil"/>
              <w:left w:val="nil"/>
              <w:bottom w:val="single" w:sz="4" w:space="0" w:color="auto"/>
              <w:right w:val="single" w:sz="4" w:space="0" w:color="auto"/>
            </w:tcBorders>
            <w:shd w:val="clear" w:color="auto" w:fill="auto"/>
            <w:noWrap/>
            <w:vAlign w:val="bottom"/>
            <w:hideMark/>
          </w:tcPr>
          <w:p w14:paraId="7E87AA3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588" w:type="pct"/>
            <w:tcBorders>
              <w:top w:val="nil"/>
              <w:left w:val="nil"/>
              <w:bottom w:val="single" w:sz="4" w:space="0" w:color="auto"/>
              <w:right w:val="single" w:sz="4" w:space="0" w:color="auto"/>
            </w:tcBorders>
            <w:shd w:val="clear" w:color="auto" w:fill="auto"/>
            <w:noWrap/>
            <w:vAlign w:val="bottom"/>
            <w:hideMark/>
          </w:tcPr>
          <w:p w14:paraId="359B371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055CFF58"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6724912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Maximum units sold</w:t>
            </w:r>
          </w:p>
        </w:tc>
        <w:tc>
          <w:tcPr>
            <w:tcW w:w="1314" w:type="pct"/>
            <w:tcBorders>
              <w:top w:val="nil"/>
              <w:left w:val="nil"/>
              <w:bottom w:val="single" w:sz="4" w:space="0" w:color="auto"/>
              <w:right w:val="single" w:sz="4" w:space="0" w:color="auto"/>
            </w:tcBorders>
            <w:shd w:val="clear" w:color="auto" w:fill="auto"/>
            <w:noWrap/>
            <w:vAlign w:val="bottom"/>
            <w:hideMark/>
          </w:tcPr>
          <w:p w14:paraId="00E0CDC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1700</w:t>
            </w:r>
          </w:p>
        </w:tc>
        <w:tc>
          <w:tcPr>
            <w:tcW w:w="1588" w:type="pct"/>
            <w:tcBorders>
              <w:top w:val="nil"/>
              <w:left w:val="nil"/>
              <w:bottom w:val="single" w:sz="4" w:space="0" w:color="auto"/>
              <w:right w:val="single" w:sz="4" w:space="0" w:color="auto"/>
            </w:tcBorders>
            <w:shd w:val="clear" w:color="auto" w:fill="auto"/>
            <w:noWrap/>
            <w:vAlign w:val="bottom"/>
            <w:hideMark/>
          </w:tcPr>
          <w:p w14:paraId="4B43DC0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1460</w:t>
            </w:r>
          </w:p>
        </w:tc>
      </w:tr>
      <w:tr w:rsidR="00D25ADA" w:rsidRPr="00D25ADA" w14:paraId="08963334"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5BBC892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Minimum units sold</w:t>
            </w:r>
          </w:p>
        </w:tc>
        <w:tc>
          <w:tcPr>
            <w:tcW w:w="1314" w:type="pct"/>
            <w:tcBorders>
              <w:top w:val="nil"/>
              <w:left w:val="nil"/>
              <w:bottom w:val="single" w:sz="4" w:space="0" w:color="auto"/>
              <w:right w:val="single" w:sz="4" w:space="0" w:color="auto"/>
            </w:tcBorders>
            <w:shd w:val="clear" w:color="auto" w:fill="auto"/>
            <w:noWrap/>
            <w:vAlign w:val="bottom"/>
            <w:hideMark/>
          </w:tcPr>
          <w:p w14:paraId="6AE6106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760</w:t>
            </w:r>
          </w:p>
        </w:tc>
        <w:tc>
          <w:tcPr>
            <w:tcW w:w="1588" w:type="pct"/>
            <w:tcBorders>
              <w:top w:val="nil"/>
              <w:left w:val="nil"/>
              <w:bottom w:val="single" w:sz="4" w:space="0" w:color="auto"/>
              <w:right w:val="single" w:sz="4" w:space="0" w:color="auto"/>
            </w:tcBorders>
            <w:shd w:val="clear" w:color="auto" w:fill="auto"/>
            <w:noWrap/>
            <w:vAlign w:val="bottom"/>
            <w:hideMark/>
          </w:tcPr>
          <w:p w14:paraId="17112A7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670</w:t>
            </w:r>
          </w:p>
        </w:tc>
      </w:tr>
      <w:tr w:rsidR="00D25ADA" w:rsidRPr="00D25ADA" w14:paraId="1DB98B5C"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053718E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314" w:type="pct"/>
            <w:tcBorders>
              <w:top w:val="nil"/>
              <w:left w:val="nil"/>
              <w:bottom w:val="single" w:sz="4" w:space="0" w:color="auto"/>
              <w:right w:val="single" w:sz="4" w:space="0" w:color="auto"/>
            </w:tcBorders>
            <w:shd w:val="clear" w:color="auto" w:fill="auto"/>
            <w:noWrap/>
            <w:vAlign w:val="bottom"/>
            <w:hideMark/>
          </w:tcPr>
          <w:p w14:paraId="2DC3F71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588" w:type="pct"/>
            <w:tcBorders>
              <w:top w:val="nil"/>
              <w:left w:val="nil"/>
              <w:bottom w:val="single" w:sz="4" w:space="0" w:color="auto"/>
              <w:right w:val="single" w:sz="4" w:space="0" w:color="auto"/>
            </w:tcBorders>
            <w:shd w:val="clear" w:color="auto" w:fill="auto"/>
            <w:noWrap/>
            <w:vAlign w:val="bottom"/>
            <w:hideMark/>
          </w:tcPr>
          <w:p w14:paraId="51EA1F2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0619CCFF"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722415B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Cost at highest level</w:t>
            </w:r>
          </w:p>
        </w:tc>
        <w:tc>
          <w:tcPr>
            <w:tcW w:w="1314" w:type="pct"/>
            <w:tcBorders>
              <w:top w:val="nil"/>
              <w:left w:val="nil"/>
              <w:bottom w:val="single" w:sz="4" w:space="0" w:color="auto"/>
              <w:right w:val="single" w:sz="4" w:space="0" w:color="auto"/>
            </w:tcBorders>
            <w:shd w:val="clear" w:color="auto" w:fill="auto"/>
            <w:noWrap/>
            <w:vAlign w:val="bottom"/>
            <w:hideMark/>
          </w:tcPr>
          <w:p w14:paraId="6D632B9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18200</w:t>
            </w:r>
          </w:p>
        </w:tc>
        <w:tc>
          <w:tcPr>
            <w:tcW w:w="1588" w:type="pct"/>
            <w:tcBorders>
              <w:top w:val="nil"/>
              <w:left w:val="nil"/>
              <w:bottom w:val="single" w:sz="4" w:space="0" w:color="auto"/>
              <w:right w:val="single" w:sz="4" w:space="0" w:color="auto"/>
            </w:tcBorders>
            <w:shd w:val="clear" w:color="auto" w:fill="auto"/>
            <w:noWrap/>
            <w:vAlign w:val="bottom"/>
            <w:hideMark/>
          </w:tcPr>
          <w:p w14:paraId="108CD6D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16545</w:t>
            </w:r>
          </w:p>
        </w:tc>
      </w:tr>
      <w:tr w:rsidR="00D25ADA" w:rsidRPr="00D25ADA" w14:paraId="11C6F606"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26DA078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Cost at lowest level</w:t>
            </w:r>
          </w:p>
        </w:tc>
        <w:tc>
          <w:tcPr>
            <w:tcW w:w="1314" w:type="pct"/>
            <w:tcBorders>
              <w:top w:val="nil"/>
              <w:left w:val="nil"/>
              <w:bottom w:val="single" w:sz="4" w:space="0" w:color="auto"/>
              <w:right w:val="single" w:sz="4" w:space="0" w:color="auto"/>
            </w:tcBorders>
            <w:shd w:val="clear" w:color="auto" w:fill="auto"/>
            <w:noWrap/>
            <w:vAlign w:val="bottom"/>
            <w:hideMark/>
          </w:tcPr>
          <w:p w14:paraId="155FF5C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12600</w:t>
            </w:r>
          </w:p>
        </w:tc>
        <w:tc>
          <w:tcPr>
            <w:tcW w:w="1588" w:type="pct"/>
            <w:tcBorders>
              <w:top w:val="nil"/>
              <w:left w:val="nil"/>
              <w:bottom w:val="single" w:sz="4" w:space="0" w:color="auto"/>
              <w:right w:val="single" w:sz="4" w:space="0" w:color="auto"/>
            </w:tcBorders>
            <w:shd w:val="clear" w:color="auto" w:fill="auto"/>
            <w:noWrap/>
            <w:vAlign w:val="bottom"/>
            <w:hideMark/>
          </w:tcPr>
          <w:p w14:paraId="1D639E9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11455</w:t>
            </w:r>
          </w:p>
        </w:tc>
      </w:tr>
      <w:tr w:rsidR="00D25ADA" w:rsidRPr="00D25ADA" w14:paraId="175F7654"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18D8F36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314" w:type="pct"/>
            <w:tcBorders>
              <w:top w:val="nil"/>
              <w:left w:val="nil"/>
              <w:bottom w:val="single" w:sz="4" w:space="0" w:color="auto"/>
              <w:right w:val="single" w:sz="4" w:space="0" w:color="auto"/>
            </w:tcBorders>
            <w:shd w:val="clear" w:color="auto" w:fill="auto"/>
            <w:noWrap/>
            <w:vAlign w:val="bottom"/>
            <w:hideMark/>
          </w:tcPr>
          <w:p w14:paraId="55FDE11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588" w:type="pct"/>
            <w:tcBorders>
              <w:top w:val="nil"/>
              <w:left w:val="nil"/>
              <w:bottom w:val="single" w:sz="4" w:space="0" w:color="auto"/>
              <w:right w:val="single" w:sz="4" w:space="0" w:color="auto"/>
            </w:tcBorders>
            <w:shd w:val="clear" w:color="auto" w:fill="auto"/>
            <w:noWrap/>
            <w:vAlign w:val="bottom"/>
            <w:hideMark/>
          </w:tcPr>
          <w:p w14:paraId="07B0740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5DABD592"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444B22D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Variable cost per unit</w:t>
            </w:r>
          </w:p>
        </w:tc>
        <w:tc>
          <w:tcPr>
            <w:tcW w:w="1314" w:type="pct"/>
            <w:tcBorders>
              <w:top w:val="nil"/>
              <w:left w:val="nil"/>
              <w:bottom w:val="single" w:sz="4" w:space="0" w:color="auto"/>
              <w:right w:val="single" w:sz="4" w:space="0" w:color="auto"/>
            </w:tcBorders>
            <w:shd w:val="clear" w:color="auto" w:fill="auto"/>
            <w:noWrap/>
            <w:vAlign w:val="bottom"/>
            <w:hideMark/>
          </w:tcPr>
          <w:p w14:paraId="1183B5DF"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5.96</w:t>
            </w:r>
          </w:p>
        </w:tc>
        <w:tc>
          <w:tcPr>
            <w:tcW w:w="1588" w:type="pct"/>
            <w:tcBorders>
              <w:top w:val="nil"/>
              <w:left w:val="nil"/>
              <w:bottom w:val="single" w:sz="4" w:space="0" w:color="auto"/>
              <w:right w:val="single" w:sz="4" w:space="0" w:color="auto"/>
            </w:tcBorders>
            <w:shd w:val="clear" w:color="auto" w:fill="auto"/>
            <w:noWrap/>
            <w:vAlign w:val="bottom"/>
            <w:hideMark/>
          </w:tcPr>
          <w:p w14:paraId="04E4EEDA"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6.44</w:t>
            </w:r>
          </w:p>
        </w:tc>
      </w:tr>
      <w:tr w:rsidR="00D25ADA" w:rsidRPr="00D25ADA" w14:paraId="17383B8D"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242D1A9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 Variable cost</w:t>
            </w:r>
          </w:p>
        </w:tc>
        <w:tc>
          <w:tcPr>
            <w:tcW w:w="1314" w:type="pct"/>
            <w:tcBorders>
              <w:top w:val="nil"/>
              <w:left w:val="nil"/>
              <w:bottom w:val="single" w:sz="4" w:space="0" w:color="auto"/>
              <w:right w:val="single" w:sz="4" w:space="0" w:color="auto"/>
            </w:tcBorders>
            <w:shd w:val="clear" w:color="auto" w:fill="auto"/>
            <w:noWrap/>
            <w:vAlign w:val="bottom"/>
            <w:hideMark/>
          </w:tcPr>
          <w:p w14:paraId="71627A9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10127.66</w:t>
            </w:r>
          </w:p>
        </w:tc>
        <w:tc>
          <w:tcPr>
            <w:tcW w:w="1588" w:type="pct"/>
            <w:tcBorders>
              <w:top w:val="nil"/>
              <w:left w:val="nil"/>
              <w:bottom w:val="single" w:sz="4" w:space="0" w:color="auto"/>
              <w:right w:val="single" w:sz="4" w:space="0" w:color="auto"/>
            </w:tcBorders>
            <w:shd w:val="clear" w:color="auto" w:fill="auto"/>
            <w:noWrap/>
            <w:vAlign w:val="bottom"/>
            <w:hideMark/>
          </w:tcPr>
          <w:p w14:paraId="6A06856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9406.84</w:t>
            </w:r>
          </w:p>
        </w:tc>
      </w:tr>
      <w:tr w:rsidR="00D25ADA" w:rsidRPr="00D25ADA" w14:paraId="3AB36A2C" w14:textId="77777777" w:rsidTr="00D25ADA">
        <w:trPr>
          <w:trHeight w:val="315"/>
        </w:trPr>
        <w:tc>
          <w:tcPr>
            <w:tcW w:w="2099" w:type="pct"/>
            <w:tcBorders>
              <w:top w:val="nil"/>
              <w:left w:val="single" w:sz="4" w:space="0" w:color="auto"/>
              <w:bottom w:val="single" w:sz="4" w:space="0" w:color="auto"/>
              <w:right w:val="single" w:sz="4" w:space="0" w:color="auto"/>
            </w:tcBorders>
            <w:shd w:val="clear" w:color="auto" w:fill="auto"/>
            <w:noWrap/>
            <w:vAlign w:val="bottom"/>
            <w:hideMark/>
          </w:tcPr>
          <w:p w14:paraId="63514B1D"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Fixed Cost</w:t>
            </w:r>
          </w:p>
        </w:tc>
        <w:tc>
          <w:tcPr>
            <w:tcW w:w="1314" w:type="pct"/>
            <w:tcBorders>
              <w:top w:val="nil"/>
              <w:left w:val="nil"/>
              <w:bottom w:val="single" w:sz="4" w:space="0" w:color="auto"/>
              <w:right w:val="single" w:sz="4" w:space="0" w:color="auto"/>
            </w:tcBorders>
            <w:shd w:val="clear" w:color="auto" w:fill="auto"/>
            <w:noWrap/>
            <w:vAlign w:val="bottom"/>
            <w:hideMark/>
          </w:tcPr>
          <w:p w14:paraId="40BB8EE5"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8072.34</w:t>
            </w:r>
          </w:p>
        </w:tc>
        <w:tc>
          <w:tcPr>
            <w:tcW w:w="1588" w:type="pct"/>
            <w:tcBorders>
              <w:top w:val="nil"/>
              <w:left w:val="nil"/>
              <w:bottom w:val="single" w:sz="4" w:space="0" w:color="auto"/>
              <w:right w:val="single" w:sz="4" w:space="0" w:color="auto"/>
            </w:tcBorders>
            <w:shd w:val="clear" w:color="auto" w:fill="auto"/>
            <w:noWrap/>
            <w:vAlign w:val="bottom"/>
            <w:hideMark/>
          </w:tcPr>
          <w:p w14:paraId="7665CE97"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7138.16</w:t>
            </w:r>
          </w:p>
        </w:tc>
      </w:tr>
    </w:tbl>
    <w:p w14:paraId="07F72548" w14:textId="728019DF" w:rsidR="00D25ADA" w:rsidRDefault="00D25ADA" w:rsidP="00B82756">
      <w:pPr>
        <w:jc w:val="both"/>
        <w:rPr>
          <w:b/>
          <w:bCs/>
        </w:rPr>
      </w:pPr>
    </w:p>
    <w:p w14:paraId="376D64F1" w14:textId="4E702479" w:rsidR="00CA5BB5" w:rsidRDefault="00CA5BB5" w:rsidP="00B82756">
      <w:pPr>
        <w:jc w:val="both"/>
        <w:rPr>
          <w:b/>
          <w:bCs/>
        </w:rPr>
      </w:pPr>
      <w:r>
        <w:rPr>
          <w:b/>
          <w:bCs/>
        </w:rPr>
        <w:t xml:space="preserve">The use of the following formulas has been made in this regard- </w:t>
      </w:r>
    </w:p>
    <w:p w14:paraId="3F342334" w14:textId="6D0F14ED" w:rsidR="00CA5BB5" w:rsidRDefault="00CA5BB5" w:rsidP="00B82756">
      <w:pPr>
        <w:jc w:val="both"/>
      </w:pPr>
      <w:r>
        <w:t xml:space="preserve">Variable cost per unit = [ Cost at highest level – Cost at lowest level] / [Units at the highest level – Units at lowest level]. </w:t>
      </w:r>
    </w:p>
    <w:p w14:paraId="6089A3A8" w14:textId="4688594E" w:rsidR="00CA5BB5" w:rsidRDefault="00CA5BB5" w:rsidP="00B82756">
      <w:pPr>
        <w:jc w:val="both"/>
      </w:pPr>
      <w:r>
        <w:t xml:space="preserve">Total Variable cost = Units at highest level * Variable cost per unit. </w:t>
      </w:r>
    </w:p>
    <w:p w14:paraId="77D6DCD9" w14:textId="40570DF2" w:rsidR="00CA5BB5" w:rsidRPr="00CA5BB5" w:rsidRDefault="00CA5BB5" w:rsidP="00B82756">
      <w:pPr>
        <w:jc w:val="both"/>
      </w:pPr>
      <w:r>
        <w:t xml:space="preserve">Total Fixed cost = Total semi-variable overhead – Total variable cost. </w:t>
      </w:r>
    </w:p>
    <w:p w14:paraId="2F49A1E4" w14:textId="77777777" w:rsidR="00CA5BB5" w:rsidRPr="00CA5BB5" w:rsidRDefault="00CA5BB5" w:rsidP="00B82756">
      <w:pPr>
        <w:jc w:val="both"/>
      </w:pPr>
    </w:p>
    <w:p w14:paraId="6DDA6BEC" w14:textId="4987CCFD" w:rsidR="00D25ADA" w:rsidRDefault="00D25ADA" w:rsidP="00B82756">
      <w:pPr>
        <w:jc w:val="both"/>
        <w:rPr>
          <w:b/>
          <w:bCs/>
        </w:rPr>
      </w:pPr>
      <w:r>
        <w:rPr>
          <w:b/>
          <w:bCs/>
        </w:rPr>
        <w:t>Cost Card</w:t>
      </w:r>
    </w:p>
    <w:tbl>
      <w:tblPr>
        <w:tblW w:w="5000" w:type="pct"/>
        <w:tblLook w:val="04A0" w:firstRow="1" w:lastRow="0" w:firstColumn="1" w:lastColumn="0" w:noHBand="0" w:noVBand="1"/>
      </w:tblPr>
      <w:tblGrid>
        <w:gridCol w:w="4181"/>
        <w:gridCol w:w="1131"/>
        <w:gridCol w:w="1331"/>
        <w:gridCol w:w="1362"/>
        <w:gridCol w:w="1237"/>
      </w:tblGrid>
      <w:tr w:rsidR="00D25ADA" w:rsidRPr="00D25ADA" w14:paraId="1BB7697E" w14:textId="77777777" w:rsidTr="00D25ADA">
        <w:trPr>
          <w:trHeight w:val="315"/>
        </w:trPr>
        <w:tc>
          <w:tcPr>
            <w:tcW w:w="226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8532E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2069" w:type="pct"/>
            <w:gridSpan w:val="3"/>
            <w:tcBorders>
              <w:top w:val="single" w:sz="4" w:space="0" w:color="auto"/>
              <w:left w:val="nil"/>
              <w:bottom w:val="single" w:sz="4" w:space="0" w:color="auto"/>
              <w:right w:val="single" w:sz="4" w:space="0" w:color="auto"/>
            </w:tcBorders>
            <w:shd w:val="clear" w:color="auto" w:fill="auto"/>
            <w:noWrap/>
            <w:vAlign w:val="bottom"/>
            <w:hideMark/>
          </w:tcPr>
          <w:p w14:paraId="51FDC85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Amount (£)</w:t>
            </w:r>
          </w:p>
        </w:tc>
        <w:tc>
          <w:tcPr>
            <w:tcW w:w="670" w:type="pct"/>
            <w:tcBorders>
              <w:top w:val="single" w:sz="4" w:space="0" w:color="auto"/>
              <w:left w:val="nil"/>
              <w:bottom w:val="single" w:sz="4" w:space="0" w:color="auto"/>
              <w:right w:val="single" w:sz="4" w:space="0" w:color="auto"/>
            </w:tcBorders>
            <w:shd w:val="clear" w:color="auto" w:fill="auto"/>
            <w:noWrap/>
            <w:vAlign w:val="bottom"/>
            <w:hideMark/>
          </w:tcPr>
          <w:p w14:paraId="0FFA987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65073648"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6656C7F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12" w:type="pct"/>
            <w:tcBorders>
              <w:top w:val="nil"/>
              <w:left w:val="nil"/>
              <w:bottom w:val="single" w:sz="4" w:space="0" w:color="auto"/>
              <w:right w:val="single" w:sz="4" w:space="0" w:color="auto"/>
            </w:tcBorders>
            <w:shd w:val="clear" w:color="auto" w:fill="auto"/>
            <w:noWrap/>
            <w:vAlign w:val="bottom"/>
            <w:hideMark/>
          </w:tcPr>
          <w:p w14:paraId="2A42034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Budget</w:t>
            </w:r>
          </w:p>
        </w:tc>
        <w:tc>
          <w:tcPr>
            <w:tcW w:w="720" w:type="pct"/>
            <w:tcBorders>
              <w:top w:val="nil"/>
              <w:left w:val="nil"/>
              <w:bottom w:val="single" w:sz="4" w:space="0" w:color="auto"/>
              <w:right w:val="single" w:sz="4" w:space="0" w:color="auto"/>
            </w:tcBorders>
            <w:shd w:val="clear" w:color="auto" w:fill="auto"/>
            <w:noWrap/>
            <w:vAlign w:val="bottom"/>
            <w:hideMark/>
          </w:tcPr>
          <w:p w14:paraId="4183BB1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xml:space="preserve">Standard </w:t>
            </w:r>
          </w:p>
        </w:tc>
        <w:tc>
          <w:tcPr>
            <w:tcW w:w="737" w:type="pct"/>
            <w:tcBorders>
              <w:top w:val="nil"/>
              <w:left w:val="nil"/>
              <w:bottom w:val="single" w:sz="4" w:space="0" w:color="auto"/>
              <w:right w:val="single" w:sz="4" w:space="0" w:color="auto"/>
            </w:tcBorders>
            <w:shd w:val="clear" w:color="auto" w:fill="auto"/>
            <w:noWrap/>
            <w:vAlign w:val="bottom"/>
            <w:hideMark/>
          </w:tcPr>
          <w:p w14:paraId="75AE33F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Premium</w:t>
            </w:r>
          </w:p>
        </w:tc>
        <w:tc>
          <w:tcPr>
            <w:tcW w:w="670" w:type="pct"/>
            <w:tcBorders>
              <w:top w:val="nil"/>
              <w:left w:val="nil"/>
              <w:bottom w:val="single" w:sz="4" w:space="0" w:color="auto"/>
              <w:right w:val="single" w:sz="4" w:space="0" w:color="auto"/>
            </w:tcBorders>
            <w:shd w:val="clear" w:color="auto" w:fill="auto"/>
            <w:noWrap/>
            <w:vAlign w:val="bottom"/>
            <w:hideMark/>
          </w:tcPr>
          <w:p w14:paraId="370C117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r>
      <w:tr w:rsidR="00D25ADA" w:rsidRPr="00D25ADA" w14:paraId="273EDFF9"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60BA548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Selling Price</w:t>
            </w:r>
          </w:p>
        </w:tc>
        <w:tc>
          <w:tcPr>
            <w:tcW w:w="612" w:type="pct"/>
            <w:tcBorders>
              <w:top w:val="nil"/>
              <w:left w:val="nil"/>
              <w:bottom w:val="single" w:sz="4" w:space="0" w:color="auto"/>
              <w:right w:val="single" w:sz="4" w:space="0" w:color="auto"/>
            </w:tcBorders>
            <w:shd w:val="clear" w:color="auto" w:fill="auto"/>
            <w:noWrap/>
            <w:vAlign w:val="bottom"/>
            <w:hideMark/>
          </w:tcPr>
          <w:p w14:paraId="6748A55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60.00</w:t>
            </w:r>
          </w:p>
        </w:tc>
        <w:tc>
          <w:tcPr>
            <w:tcW w:w="720" w:type="pct"/>
            <w:tcBorders>
              <w:top w:val="nil"/>
              <w:left w:val="nil"/>
              <w:bottom w:val="single" w:sz="4" w:space="0" w:color="auto"/>
              <w:right w:val="single" w:sz="4" w:space="0" w:color="auto"/>
            </w:tcBorders>
            <w:shd w:val="clear" w:color="auto" w:fill="auto"/>
            <w:noWrap/>
            <w:vAlign w:val="bottom"/>
            <w:hideMark/>
          </w:tcPr>
          <w:p w14:paraId="68FCCC1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90.00</w:t>
            </w:r>
          </w:p>
        </w:tc>
        <w:tc>
          <w:tcPr>
            <w:tcW w:w="737" w:type="pct"/>
            <w:tcBorders>
              <w:top w:val="nil"/>
              <w:left w:val="nil"/>
              <w:bottom w:val="single" w:sz="4" w:space="0" w:color="auto"/>
              <w:right w:val="single" w:sz="4" w:space="0" w:color="auto"/>
            </w:tcBorders>
            <w:shd w:val="clear" w:color="auto" w:fill="auto"/>
            <w:noWrap/>
            <w:vAlign w:val="bottom"/>
            <w:hideMark/>
          </w:tcPr>
          <w:p w14:paraId="452E1FA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120.00</w:t>
            </w:r>
          </w:p>
        </w:tc>
        <w:tc>
          <w:tcPr>
            <w:tcW w:w="670" w:type="pct"/>
            <w:tcBorders>
              <w:top w:val="nil"/>
              <w:left w:val="nil"/>
              <w:bottom w:val="single" w:sz="4" w:space="0" w:color="auto"/>
              <w:right w:val="single" w:sz="4" w:space="0" w:color="auto"/>
            </w:tcBorders>
            <w:shd w:val="clear" w:color="auto" w:fill="auto"/>
            <w:noWrap/>
            <w:vAlign w:val="bottom"/>
            <w:hideMark/>
          </w:tcPr>
          <w:p w14:paraId="1581950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270.00</w:t>
            </w:r>
          </w:p>
        </w:tc>
      </w:tr>
      <w:tr w:rsidR="00D25ADA" w:rsidRPr="00D25ADA" w14:paraId="40418F92"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3223104D"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Variable Cost:</w:t>
            </w:r>
          </w:p>
        </w:tc>
        <w:tc>
          <w:tcPr>
            <w:tcW w:w="612" w:type="pct"/>
            <w:tcBorders>
              <w:top w:val="nil"/>
              <w:left w:val="nil"/>
              <w:bottom w:val="single" w:sz="4" w:space="0" w:color="auto"/>
              <w:right w:val="single" w:sz="4" w:space="0" w:color="auto"/>
            </w:tcBorders>
            <w:shd w:val="clear" w:color="auto" w:fill="auto"/>
            <w:noWrap/>
            <w:vAlign w:val="bottom"/>
            <w:hideMark/>
          </w:tcPr>
          <w:p w14:paraId="0635205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720" w:type="pct"/>
            <w:tcBorders>
              <w:top w:val="nil"/>
              <w:left w:val="nil"/>
              <w:bottom w:val="single" w:sz="4" w:space="0" w:color="auto"/>
              <w:right w:val="single" w:sz="4" w:space="0" w:color="auto"/>
            </w:tcBorders>
            <w:shd w:val="clear" w:color="auto" w:fill="auto"/>
            <w:noWrap/>
            <w:vAlign w:val="bottom"/>
            <w:hideMark/>
          </w:tcPr>
          <w:p w14:paraId="3F2625D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737" w:type="pct"/>
            <w:tcBorders>
              <w:top w:val="nil"/>
              <w:left w:val="nil"/>
              <w:bottom w:val="single" w:sz="4" w:space="0" w:color="auto"/>
              <w:right w:val="single" w:sz="4" w:space="0" w:color="auto"/>
            </w:tcBorders>
            <w:shd w:val="clear" w:color="auto" w:fill="auto"/>
            <w:noWrap/>
            <w:vAlign w:val="bottom"/>
            <w:hideMark/>
          </w:tcPr>
          <w:p w14:paraId="35873F9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70" w:type="pct"/>
            <w:tcBorders>
              <w:top w:val="nil"/>
              <w:left w:val="nil"/>
              <w:bottom w:val="single" w:sz="4" w:space="0" w:color="auto"/>
              <w:right w:val="single" w:sz="4" w:space="0" w:color="auto"/>
            </w:tcBorders>
            <w:shd w:val="clear" w:color="auto" w:fill="auto"/>
            <w:noWrap/>
            <w:vAlign w:val="bottom"/>
            <w:hideMark/>
          </w:tcPr>
          <w:p w14:paraId="20A049F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0BFD958E"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2E2DB8E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xml:space="preserve">Material </w:t>
            </w:r>
          </w:p>
        </w:tc>
        <w:tc>
          <w:tcPr>
            <w:tcW w:w="612" w:type="pct"/>
            <w:tcBorders>
              <w:top w:val="nil"/>
              <w:left w:val="nil"/>
              <w:bottom w:val="single" w:sz="4" w:space="0" w:color="auto"/>
              <w:right w:val="single" w:sz="4" w:space="0" w:color="auto"/>
            </w:tcBorders>
            <w:shd w:val="clear" w:color="auto" w:fill="auto"/>
            <w:noWrap/>
            <w:vAlign w:val="bottom"/>
            <w:hideMark/>
          </w:tcPr>
          <w:p w14:paraId="2B1AEF6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27.53</w:t>
            </w:r>
          </w:p>
        </w:tc>
        <w:tc>
          <w:tcPr>
            <w:tcW w:w="720" w:type="pct"/>
            <w:tcBorders>
              <w:top w:val="nil"/>
              <w:left w:val="nil"/>
              <w:bottom w:val="single" w:sz="4" w:space="0" w:color="auto"/>
              <w:right w:val="single" w:sz="4" w:space="0" w:color="auto"/>
            </w:tcBorders>
            <w:shd w:val="clear" w:color="auto" w:fill="auto"/>
            <w:noWrap/>
            <w:vAlign w:val="bottom"/>
            <w:hideMark/>
          </w:tcPr>
          <w:p w14:paraId="435EFD7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31.13</w:t>
            </w:r>
          </w:p>
        </w:tc>
        <w:tc>
          <w:tcPr>
            <w:tcW w:w="737" w:type="pct"/>
            <w:tcBorders>
              <w:top w:val="nil"/>
              <w:left w:val="nil"/>
              <w:bottom w:val="single" w:sz="4" w:space="0" w:color="auto"/>
              <w:right w:val="single" w:sz="4" w:space="0" w:color="auto"/>
            </w:tcBorders>
            <w:shd w:val="clear" w:color="auto" w:fill="auto"/>
            <w:noWrap/>
            <w:vAlign w:val="bottom"/>
            <w:hideMark/>
          </w:tcPr>
          <w:p w14:paraId="2E2E76C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24.08</w:t>
            </w:r>
          </w:p>
        </w:tc>
        <w:tc>
          <w:tcPr>
            <w:tcW w:w="670" w:type="pct"/>
            <w:tcBorders>
              <w:top w:val="nil"/>
              <w:left w:val="nil"/>
              <w:bottom w:val="single" w:sz="4" w:space="0" w:color="auto"/>
              <w:right w:val="single" w:sz="4" w:space="0" w:color="auto"/>
            </w:tcBorders>
            <w:shd w:val="clear" w:color="auto" w:fill="auto"/>
            <w:noWrap/>
            <w:vAlign w:val="bottom"/>
            <w:hideMark/>
          </w:tcPr>
          <w:p w14:paraId="479075A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82.74</w:t>
            </w:r>
          </w:p>
        </w:tc>
      </w:tr>
      <w:tr w:rsidR="00D25ADA" w:rsidRPr="00D25ADA" w14:paraId="14CB0983"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1A5F29E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Labour</w:t>
            </w:r>
          </w:p>
        </w:tc>
        <w:tc>
          <w:tcPr>
            <w:tcW w:w="612" w:type="pct"/>
            <w:tcBorders>
              <w:top w:val="nil"/>
              <w:left w:val="nil"/>
              <w:bottom w:val="single" w:sz="4" w:space="0" w:color="auto"/>
              <w:right w:val="single" w:sz="4" w:space="0" w:color="auto"/>
            </w:tcBorders>
            <w:shd w:val="clear" w:color="auto" w:fill="auto"/>
            <w:noWrap/>
            <w:vAlign w:val="bottom"/>
            <w:hideMark/>
          </w:tcPr>
          <w:p w14:paraId="4FD82B8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14.35</w:t>
            </w:r>
          </w:p>
        </w:tc>
        <w:tc>
          <w:tcPr>
            <w:tcW w:w="720" w:type="pct"/>
            <w:tcBorders>
              <w:top w:val="nil"/>
              <w:left w:val="nil"/>
              <w:bottom w:val="single" w:sz="4" w:space="0" w:color="auto"/>
              <w:right w:val="single" w:sz="4" w:space="0" w:color="auto"/>
            </w:tcBorders>
            <w:shd w:val="clear" w:color="auto" w:fill="auto"/>
            <w:noWrap/>
            <w:vAlign w:val="bottom"/>
            <w:hideMark/>
          </w:tcPr>
          <w:p w14:paraId="330BEB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23.31</w:t>
            </w:r>
          </w:p>
        </w:tc>
        <w:tc>
          <w:tcPr>
            <w:tcW w:w="737" w:type="pct"/>
            <w:tcBorders>
              <w:top w:val="nil"/>
              <w:left w:val="nil"/>
              <w:bottom w:val="single" w:sz="4" w:space="0" w:color="auto"/>
              <w:right w:val="single" w:sz="4" w:space="0" w:color="auto"/>
            </w:tcBorders>
            <w:shd w:val="clear" w:color="auto" w:fill="auto"/>
            <w:noWrap/>
            <w:vAlign w:val="bottom"/>
            <w:hideMark/>
          </w:tcPr>
          <w:p w14:paraId="6B4B3D6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31.84</w:t>
            </w:r>
          </w:p>
        </w:tc>
        <w:tc>
          <w:tcPr>
            <w:tcW w:w="670" w:type="pct"/>
            <w:tcBorders>
              <w:top w:val="nil"/>
              <w:left w:val="nil"/>
              <w:bottom w:val="single" w:sz="4" w:space="0" w:color="auto"/>
              <w:right w:val="single" w:sz="4" w:space="0" w:color="auto"/>
            </w:tcBorders>
            <w:shd w:val="clear" w:color="auto" w:fill="auto"/>
            <w:noWrap/>
            <w:vAlign w:val="bottom"/>
            <w:hideMark/>
          </w:tcPr>
          <w:p w14:paraId="40804B0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69.50</w:t>
            </w:r>
          </w:p>
        </w:tc>
      </w:tr>
      <w:tr w:rsidR="00D25ADA" w:rsidRPr="00D25ADA" w14:paraId="6BCC155B"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4C38A26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Overhead</w:t>
            </w:r>
          </w:p>
        </w:tc>
        <w:tc>
          <w:tcPr>
            <w:tcW w:w="612" w:type="pct"/>
            <w:tcBorders>
              <w:top w:val="nil"/>
              <w:left w:val="nil"/>
              <w:bottom w:val="single" w:sz="4" w:space="0" w:color="auto"/>
              <w:right w:val="single" w:sz="4" w:space="0" w:color="auto"/>
            </w:tcBorders>
            <w:shd w:val="clear" w:color="auto" w:fill="auto"/>
            <w:noWrap/>
            <w:vAlign w:val="bottom"/>
            <w:hideMark/>
          </w:tcPr>
          <w:p w14:paraId="33BA617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720" w:type="pct"/>
            <w:tcBorders>
              <w:top w:val="nil"/>
              <w:left w:val="nil"/>
              <w:bottom w:val="single" w:sz="4" w:space="0" w:color="auto"/>
              <w:right w:val="single" w:sz="4" w:space="0" w:color="auto"/>
            </w:tcBorders>
            <w:shd w:val="clear" w:color="auto" w:fill="auto"/>
            <w:noWrap/>
            <w:vAlign w:val="bottom"/>
            <w:hideMark/>
          </w:tcPr>
          <w:p w14:paraId="103AFB1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737" w:type="pct"/>
            <w:tcBorders>
              <w:top w:val="nil"/>
              <w:left w:val="nil"/>
              <w:bottom w:val="single" w:sz="4" w:space="0" w:color="auto"/>
              <w:right w:val="single" w:sz="4" w:space="0" w:color="auto"/>
            </w:tcBorders>
            <w:shd w:val="clear" w:color="auto" w:fill="auto"/>
            <w:noWrap/>
            <w:vAlign w:val="bottom"/>
            <w:hideMark/>
          </w:tcPr>
          <w:p w14:paraId="41BF4C7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70" w:type="pct"/>
            <w:tcBorders>
              <w:top w:val="nil"/>
              <w:left w:val="nil"/>
              <w:bottom w:val="single" w:sz="4" w:space="0" w:color="auto"/>
              <w:right w:val="single" w:sz="4" w:space="0" w:color="auto"/>
            </w:tcBorders>
            <w:shd w:val="clear" w:color="auto" w:fill="auto"/>
            <w:noWrap/>
            <w:vAlign w:val="bottom"/>
            <w:hideMark/>
          </w:tcPr>
          <w:p w14:paraId="62E44F89"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17.88</w:t>
            </w:r>
          </w:p>
        </w:tc>
      </w:tr>
      <w:tr w:rsidR="00D25ADA" w:rsidRPr="00D25ADA" w14:paraId="575B4D07"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0F5C350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Contribution per unit (tyre)</w:t>
            </w:r>
          </w:p>
        </w:tc>
        <w:tc>
          <w:tcPr>
            <w:tcW w:w="612" w:type="pct"/>
            <w:tcBorders>
              <w:top w:val="nil"/>
              <w:left w:val="nil"/>
              <w:bottom w:val="single" w:sz="4" w:space="0" w:color="auto"/>
              <w:right w:val="single" w:sz="4" w:space="0" w:color="auto"/>
            </w:tcBorders>
            <w:shd w:val="clear" w:color="auto" w:fill="auto"/>
            <w:noWrap/>
            <w:vAlign w:val="bottom"/>
            <w:hideMark/>
          </w:tcPr>
          <w:p w14:paraId="5F6C0A4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12.16</w:t>
            </w:r>
          </w:p>
        </w:tc>
        <w:tc>
          <w:tcPr>
            <w:tcW w:w="720" w:type="pct"/>
            <w:tcBorders>
              <w:top w:val="nil"/>
              <w:left w:val="nil"/>
              <w:bottom w:val="single" w:sz="4" w:space="0" w:color="auto"/>
              <w:right w:val="single" w:sz="4" w:space="0" w:color="auto"/>
            </w:tcBorders>
            <w:shd w:val="clear" w:color="auto" w:fill="auto"/>
            <w:noWrap/>
            <w:vAlign w:val="bottom"/>
            <w:hideMark/>
          </w:tcPr>
          <w:p w14:paraId="4ED2A4A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29.60</w:t>
            </w:r>
          </w:p>
        </w:tc>
        <w:tc>
          <w:tcPr>
            <w:tcW w:w="737" w:type="pct"/>
            <w:tcBorders>
              <w:top w:val="nil"/>
              <w:left w:val="nil"/>
              <w:bottom w:val="single" w:sz="4" w:space="0" w:color="auto"/>
              <w:right w:val="single" w:sz="4" w:space="0" w:color="auto"/>
            </w:tcBorders>
            <w:shd w:val="clear" w:color="auto" w:fill="auto"/>
            <w:noWrap/>
            <w:vAlign w:val="bottom"/>
            <w:hideMark/>
          </w:tcPr>
          <w:p w14:paraId="02044FC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58.12</w:t>
            </w:r>
          </w:p>
        </w:tc>
        <w:tc>
          <w:tcPr>
            <w:tcW w:w="670" w:type="pct"/>
            <w:tcBorders>
              <w:top w:val="nil"/>
              <w:left w:val="nil"/>
              <w:bottom w:val="single" w:sz="4" w:space="0" w:color="auto"/>
              <w:right w:val="single" w:sz="4" w:space="0" w:color="auto"/>
            </w:tcBorders>
            <w:shd w:val="clear" w:color="auto" w:fill="auto"/>
            <w:noWrap/>
            <w:vAlign w:val="bottom"/>
            <w:hideMark/>
          </w:tcPr>
          <w:p w14:paraId="7A74367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99.88</w:t>
            </w:r>
          </w:p>
        </w:tc>
      </w:tr>
      <w:tr w:rsidR="00D25ADA" w:rsidRPr="00D25ADA" w14:paraId="1269E4CD"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64A6DA6F" w14:textId="798B5FC6"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xml:space="preserve">Special </w:t>
            </w:r>
            <w:r>
              <w:rPr>
                <w:rFonts w:eastAsia="Times New Roman" w:cs="Times New Roman"/>
                <w:color w:val="000000"/>
                <w:szCs w:val="24"/>
                <w:lang w:eastAsia="en-IN"/>
              </w:rPr>
              <w:t>Strengthening</w:t>
            </w:r>
            <w:r w:rsidRPr="00D25ADA">
              <w:rPr>
                <w:rFonts w:eastAsia="Times New Roman" w:cs="Times New Roman"/>
                <w:color w:val="000000"/>
                <w:szCs w:val="24"/>
                <w:lang w:eastAsia="en-IN"/>
              </w:rPr>
              <w:t xml:space="preserve"> Wire per tyre</w:t>
            </w:r>
          </w:p>
        </w:tc>
        <w:tc>
          <w:tcPr>
            <w:tcW w:w="612" w:type="pct"/>
            <w:tcBorders>
              <w:top w:val="nil"/>
              <w:left w:val="nil"/>
              <w:bottom w:val="single" w:sz="4" w:space="0" w:color="auto"/>
              <w:right w:val="single" w:sz="4" w:space="0" w:color="auto"/>
            </w:tcBorders>
            <w:shd w:val="clear" w:color="auto" w:fill="auto"/>
            <w:noWrap/>
            <w:vAlign w:val="bottom"/>
            <w:hideMark/>
          </w:tcPr>
          <w:p w14:paraId="7016CCC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4.00</w:t>
            </w:r>
          </w:p>
        </w:tc>
        <w:tc>
          <w:tcPr>
            <w:tcW w:w="720" w:type="pct"/>
            <w:tcBorders>
              <w:top w:val="nil"/>
              <w:left w:val="nil"/>
              <w:bottom w:val="single" w:sz="4" w:space="0" w:color="auto"/>
              <w:right w:val="single" w:sz="4" w:space="0" w:color="auto"/>
            </w:tcBorders>
            <w:shd w:val="clear" w:color="auto" w:fill="auto"/>
            <w:noWrap/>
            <w:vAlign w:val="bottom"/>
            <w:hideMark/>
          </w:tcPr>
          <w:p w14:paraId="35BBFE09"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6.00</w:t>
            </w:r>
          </w:p>
        </w:tc>
        <w:tc>
          <w:tcPr>
            <w:tcW w:w="737" w:type="pct"/>
            <w:tcBorders>
              <w:top w:val="nil"/>
              <w:left w:val="nil"/>
              <w:bottom w:val="single" w:sz="4" w:space="0" w:color="auto"/>
              <w:right w:val="single" w:sz="4" w:space="0" w:color="auto"/>
            </w:tcBorders>
            <w:shd w:val="clear" w:color="auto" w:fill="auto"/>
            <w:noWrap/>
            <w:vAlign w:val="bottom"/>
            <w:hideMark/>
          </w:tcPr>
          <w:p w14:paraId="080D7B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12.00</w:t>
            </w:r>
          </w:p>
        </w:tc>
        <w:tc>
          <w:tcPr>
            <w:tcW w:w="670" w:type="pct"/>
            <w:tcBorders>
              <w:top w:val="nil"/>
              <w:left w:val="nil"/>
              <w:bottom w:val="single" w:sz="4" w:space="0" w:color="auto"/>
              <w:right w:val="single" w:sz="4" w:space="0" w:color="auto"/>
            </w:tcBorders>
            <w:shd w:val="clear" w:color="auto" w:fill="auto"/>
            <w:noWrap/>
            <w:vAlign w:val="bottom"/>
            <w:hideMark/>
          </w:tcPr>
          <w:p w14:paraId="083C753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22.00</w:t>
            </w:r>
          </w:p>
        </w:tc>
      </w:tr>
      <w:tr w:rsidR="00D25ADA" w:rsidRPr="00D25ADA" w14:paraId="0598B160"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037B3ED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Contribution per wire</w:t>
            </w:r>
          </w:p>
        </w:tc>
        <w:tc>
          <w:tcPr>
            <w:tcW w:w="612" w:type="pct"/>
            <w:tcBorders>
              <w:top w:val="nil"/>
              <w:left w:val="nil"/>
              <w:bottom w:val="single" w:sz="4" w:space="0" w:color="auto"/>
              <w:right w:val="single" w:sz="4" w:space="0" w:color="auto"/>
            </w:tcBorders>
            <w:shd w:val="clear" w:color="auto" w:fill="auto"/>
            <w:noWrap/>
            <w:vAlign w:val="bottom"/>
            <w:hideMark/>
          </w:tcPr>
          <w:p w14:paraId="2A2600E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3.04</w:t>
            </w:r>
          </w:p>
        </w:tc>
        <w:tc>
          <w:tcPr>
            <w:tcW w:w="720" w:type="pct"/>
            <w:tcBorders>
              <w:top w:val="nil"/>
              <w:left w:val="nil"/>
              <w:bottom w:val="single" w:sz="4" w:space="0" w:color="auto"/>
              <w:right w:val="single" w:sz="4" w:space="0" w:color="auto"/>
            </w:tcBorders>
            <w:shd w:val="clear" w:color="auto" w:fill="auto"/>
            <w:noWrap/>
            <w:vAlign w:val="bottom"/>
            <w:hideMark/>
          </w:tcPr>
          <w:p w14:paraId="0EFCF54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4.93</w:t>
            </w:r>
          </w:p>
        </w:tc>
        <w:tc>
          <w:tcPr>
            <w:tcW w:w="737" w:type="pct"/>
            <w:tcBorders>
              <w:top w:val="nil"/>
              <w:left w:val="nil"/>
              <w:bottom w:val="single" w:sz="4" w:space="0" w:color="auto"/>
              <w:right w:val="single" w:sz="4" w:space="0" w:color="auto"/>
            </w:tcBorders>
            <w:shd w:val="clear" w:color="auto" w:fill="auto"/>
            <w:noWrap/>
            <w:vAlign w:val="bottom"/>
            <w:hideMark/>
          </w:tcPr>
          <w:p w14:paraId="195BA04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4.84</w:t>
            </w:r>
          </w:p>
        </w:tc>
        <w:tc>
          <w:tcPr>
            <w:tcW w:w="670" w:type="pct"/>
            <w:tcBorders>
              <w:top w:val="nil"/>
              <w:left w:val="nil"/>
              <w:bottom w:val="single" w:sz="4" w:space="0" w:color="auto"/>
              <w:right w:val="single" w:sz="4" w:space="0" w:color="auto"/>
            </w:tcBorders>
            <w:shd w:val="clear" w:color="auto" w:fill="auto"/>
            <w:noWrap/>
            <w:vAlign w:val="bottom"/>
            <w:hideMark/>
          </w:tcPr>
          <w:p w14:paraId="6B21AA8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12.82</w:t>
            </w:r>
          </w:p>
        </w:tc>
      </w:tr>
      <w:tr w:rsidR="00D25ADA" w:rsidRPr="00D25ADA" w14:paraId="126BA99F"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4DD974B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Fixed Cost</w:t>
            </w:r>
          </w:p>
        </w:tc>
        <w:tc>
          <w:tcPr>
            <w:tcW w:w="612" w:type="pct"/>
            <w:tcBorders>
              <w:top w:val="nil"/>
              <w:left w:val="nil"/>
              <w:bottom w:val="single" w:sz="4" w:space="0" w:color="auto"/>
              <w:right w:val="single" w:sz="4" w:space="0" w:color="auto"/>
            </w:tcBorders>
            <w:shd w:val="clear" w:color="auto" w:fill="auto"/>
            <w:noWrap/>
            <w:vAlign w:val="bottom"/>
            <w:hideMark/>
          </w:tcPr>
          <w:p w14:paraId="2A60275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720" w:type="pct"/>
            <w:tcBorders>
              <w:top w:val="nil"/>
              <w:left w:val="nil"/>
              <w:bottom w:val="single" w:sz="4" w:space="0" w:color="auto"/>
              <w:right w:val="single" w:sz="4" w:space="0" w:color="auto"/>
            </w:tcBorders>
            <w:shd w:val="clear" w:color="auto" w:fill="auto"/>
            <w:noWrap/>
            <w:vAlign w:val="bottom"/>
            <w:hideMark/>
          </w:tcPr>
          <w:p w14:paraId="45D2F72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737" w:type="pct"/>
            <w:tcBorders>
              <w:top w:val="nil"/>
              <w:left w:val="nil"/>
              <w:bottom w:val="single" w:sz="4" w:space="0" w:color="auto"/>
              <w:right w:val="single" w:sz="4" w:space="0" w:color="auto"/>
            </w:tcBorders>
            <w:shd w:val="clear" w:color="auto" w:fill="auto"/>
            <w:noWrap/>
            <w:vAlign w:val="bottom"/>
            <w:hideMark/>
          </w:tcPr>
          <w:p w14:paraId="49612B6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70" w:type="pct"/>
            <w:tcBorders>
              <w:top w:val="nil"/>
              <w:left w:val="nil"/>
              <w:bottom w:val="single" w:sz="4" w:space="0" w:color="auto"/>
              <w:right w:val="single" w:sz="4" w:space="0" w:color="auto"/>
            </w:tcBorders>
            <w:shd w:val="clear" w:color="auto" w:fill="auto"/>
            <w:noWrap/>
            <w:vAlign w:val="bottom"/>
            <w:hideMark/>
          </w:tcPr>
          <w:p w14:paraId="2FCACEC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r>
      <w:tr w:rsidR="00D25ADA" w:rsidRPr="00D25ADA" w14:paraId="53B658DB" w14:textId="77777777" w:rsidTr="00D25ADA">
        <w:trPr>
          <w:trHeight w:val="315"/>
        </w:trPr>
        <w:tc>
          <w:tcPr>
            <w:tcW w:w="2262" w:type="pct"/>
            <w:tcBorders>
              <w:top w:val="nil"/>
              <w:left w:val="single" w:sz="4" w:space="0" w:color="auto"/>
              <w:bottom w:val="single" w:sz="4" w:space="0" w:color="auto"/>
              <w:right w:val="single" w:sz="4" w:space="0" w:color="auto"/>
            </w:tcBorders>
            <w:shd w:val="clear" w:color="auto" w:fill="auto"/>
            <w:noWrap/>
            <w:vAlign w:val="bottom"/>
            <w:hideMark/>
          </w:tcPr>
          <w:p w14:paraId="4756FFD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Rankings</w:t>
            </w:r>
          </w:p>
        </w:tc>
        <w:tc>
          <w:tcPr>
            <w:tcW w:w="612" w:type="pct"/>
            <w:tcBorders>
              <w:top w:val="nil"/>
              <w:left w:val="nil"/>
              <w:bottom w:val="single" w:sz="4" w:space="0" w:color="auto"/>
              <w:right w:val="single" w:sz="4" w:space="0" w:color="auto"/>
            </w:tcBorders>
            <w:shd w:val="clear" w:color="auto" w:fill="auto"/>
            <w:noWrap/>
            <w:vAlign w:val="bottom"/>
            <w:hideMark/>
          </w:tcPr>
          <w:p w14:paraId="6FA2CFF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w:t>
            </w:r>
          </w:p>
        </w:tc>
        <w:tc>
          <w:tcPr>
            <w:tcW w:w="720" w:type="pct"/>
            <w:tcBorders>
              <w:top w:val="nil"/>
              <w:left w:val="nil"/>
              <w:bottom w:val="single" w:sz="4" w:space="0" w:color="auto"/>
              <w:right w:val="single" w:sz="4" w:space="0" w:color="auto"/>
            </w:tcBorders>
            <w:shd w:val="clear" w:color="auto" w:fill="auto"/>
            <w:noWrap/>
            <w:vAlign w:val="bottom"/>
            <w:hideMark/>
          </w:tcPr>
          <w:p w14:paraId="5410711F"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1</w:t>
            </w:r>
          </w:p>
        </w:tc>
        <w:tc>
          <w:tcPr>
            <w:tcW w:w="737" w:type="pct"/>
            <w:tcBorders>
              <w:top w:val="nil"/>
              <w:left w:val="nil"/>
              <w:bottom w:val="single" w:sz="4" w:space="0" w:color="auto"/>
              <w:right w:val="single" w:sz="4" w:space="0" w:color="auto"/>
            </w:tcBorders>
            <w:shd w:val="clear" w:color="auto" w:fill="auto"/>
            <w:noWrap/>
            <w:vAlign w:val="bottom"/>
            <w:hideMark/>
          </w:tcPr>
          <w:p w14:paraId="15D095FF"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2</w:t>
            </w:r>
          </w:p>
        </w:tc>
        <w:tc>
          <w:tcPr>
            <w:tcW w:w="670" w:type="pct"/>
            <w:tcBorders>
              <w:top w:val="nil"/>
              <w:left w:val="nil"/>
              <w:bottom w:val="single" w:sz="4" w:space="0" w:color="auto"/>
              <w:right w:val="single" w:sz="4" w:space="0" w:color="auto"/>
            </w:tcBorders>
            <w:shd w:val="clear" w:color="auto" w:fill="auto"/>
            <w:noWrap/>
            <w:vAlign w:val="bottom"/>
            <w:hideMark/>
          </w:tcPr>
          <w:p w14:paraId="7E17020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bl>
    <w:p w14:paraId="79CFEF1B" w14:textId="17EFE0A4" w:rsidR="00D25ADA" w:rsidRDefault="00D25ADA" w:rsidP="00B82756">
      <w:pPr>
        <w:jc w:val="both"/>
        <w:rPr>
          <w:b/>
          <w:bCs/>
        </w:rPr>
      </w:pPr>
    </w:p>
    <w:p w14:paraId="6889A913" w14:textId="62918373" w:rsidR="00B64DB7" w:rsidRPr="00B64DB7" w:rsidRDefault="00B64DB7" w:rsidP="00B82756">
      <w:pPr>
        <w:jc w:val="both"/>
      </w:pPr>
      <w:r>
        <w:t>The contribution per wire has been computed by dividing the contribution per unit by the wire used for each unit</w:t>
      </w:r>
      <w:r w:rsidR="00B82756">
        <w:t xml:space="preserve"> (Li 2019)</w:t>
      </w:r>
      <w:r>
        <w:t xml:space="preserve">. </w:t>
      </w:r>
      <w:r w:rsidR="004F3F3E">
        <w:t xml:space="preserve">The same has been used to rank the various produced which has been used in the production schedule below. </w:t>
      </w:r>
    </w:p>
    <w:p w14:paraId="2B03DEC7" w14:textId="4E86502F" w:rsidR="00D25ADA" w:rsidRDefault="00D25ADA" w:rsidP="00B82756">
      <w:pPr>
        <w:jc w:val="both"/>
        <w:rPr>
          <w:b/>
          <w:bCs/>
        </w:rPr>
      </w:pPr>
    </w:p>
    <w:p w14:paraId="11BEF764" w14:textId="66256269" w:rsidR="00D25ADA" w:rsidRDefault="00D25ADA" w:rsidP="00B82756">
      <w:pPr>
        <w:jc w:val="both"/>
        <w:rPr>
          <w:b/>
          <w:bCs/>
        </w:rPr>
      </w:pPr>
    </w:p>
    <w:p w14:paraId="79C84D39" w14:textId="77777777" w:rsidR="004F3F3E" w:rsidRDefault="004F3F3E" w:rsidP="00B82756">
      <w:pPr>
        <w:jc w:val="both"/>
        <w:rPr>
          <w:rFonts w:eastAsiaTheme="majorEastAsia" w:cstheme="majorBidi"/>
          <w:b/>
          <w:sz w:val="28"/>
          <w:szCs w:val="32"/>
        </w:rPr>
      </w:pPr>
      <w:r>
        <w:br w:type="page"/>
      </w:r>
    </w:p>
    <w:p w14:paraId="433D40FE" w14:textId="576C88C8" w:rsidR="00D25ADA" w:rsidRDefault="00D25ADA" w:rsidP="00B82756">
      <w:pPr>
        <w:pStyle w:val="Heading1"/>
        <w:numPr>
          <w:ilvl w:val="1"/>
          <w:numId w:val="1"/>
        </w:numPr>
        <w:jc w:val="both"/>
      </w:pPr>
      <w:bookmarkStart w:id="2" w:name="_Toc117354130"/>
      <w:r>
        <w:t>The budgeted manufacturing schedule and marginal cost income statement (Budget contract is honoured)</w:t>
      </w:r>
      <w:bookmarkEnd w:id="2"/>
    </w:p>
    <w:p w14:paraId="4A70EEC6" w14:textId="35C4FF2F" w:rsidR="00D25ADA" w:rsidRDefault="00D25ADA" w:rsidP="00B82756">
      <w:pPr>
        <w:jc w:val="both"/>
        <w:rPr>
          <w:b/>
          <w:bCs/>
        </w:rPr>
      </w:pPr>
      <w:r>
        <w:rPr>
          <w:b/>
          <w:bCs/>
        </w:rPr>
        <w:t>Production Schedule</w:t>
      </w:r>
    </w:p>
    <w:tbl>
      <w:tblPr>
        <w:tblW w:w="5000" w:type="pct"/>
        <w:tblLook w:val="04A0" w:firstRow="1" w:lastRow="0" w:firstColumn="1" w:lastColumn="0" w:noHBand="0" w:noVBand="1"/>
      </w:tblPr>
      <w:tblGrid>
        <w:gridCol w:w="1462"/>
        <w:gridCol w:w="1780"/>
        <w:gridCol w:w="2100"/>
        <w:gridCol w:w="1496"/>
        <w:gridCol w:w="986"/>
        <w:gridCol w:w="1418"/>
      </w:tblGrid>
      <w:tr w:rsidR="00D25ADA" w:rsidRPr="00D25ADA" w14:paraId="300975D8" w14:textId="77777777" w:rsidTr="00D25ADA">
        <w:trPr>
          <w:trHeight w:val="315"/>
        </w:trPr>
        <w:tc>
          <w:tcPr>
            <w:tcW w:w="66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0B61B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854" w:type="pct"/>
            <w:tcBorders>
              <w:top w:val="single" w:sz="4" w:space="0" w:color="auto"/>
              <w:left w:val="nil"/>
              <w:bottom w:val="single" w:sz="4" w:space="0" w:color="auto"/>
              <w:right w:val="single" w:sz="4" w:space="0" w:color="auto"/>
            </w:tcBorders>
            <w:shd w:val="clear" w:color="auto" w:fill="auto"/>
            <w:noWrap/>
            <w:vAlign w:val="bottom"/>
            <w:hideMark/>
          </w:tcPr>
          <w:p w14:paraId="08AFB4D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Demand for the year</w:t>
            </w:r>
          </w:p>
        </w:tc>
        <w:tc>
          <w:tcPr>
            <w:tcW w:w="1250" w:type="pct"/>
            <w:tcBorders>
              <w:top w:val="single" w:sz="4" w:space="0" w:color="auto"/>
              <w:left w:val="nil"/>
              <w:bottom w:val="single" w:sz="4" w:space="0" w:color="auto"/>
              <w:right w:val="single" w:sz="4" w:space="0" w:color="auto"/>
            </w:tcBorders>
            <w:shd w:val="clear" w:color="auto" w:fill="auto"/>
            <w:noWrap/>
            <w:vAlign w:val="bottom"/>
            <w:hideMark/>
          </w:tcPr>
          <w:p w14:paraId="57B896E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Highest possible produce</w:t>
            </w:r>
          </w:p>
        </w:tc>
        <w:tc>
          <w:tcPr>
            <w:tcW w:w="931" w:type="pct"/>
            <w:tcBorders>
              <w:top w:val="single" w:sz="4" w:space="0" w:color="auto"/>
              <w:left w:val="nil"/>
              <w:bottom w:val="single" w:sz="4" w:space="0" w:color="auto"/>
              <w:right w:val="single" w:sz="4" w:space="0" w:color="auto"/>
            </w:tcBorders>
            <w:shd w:val="clear" w:color="auto" w:fill="auto"/>
            <w:noWrap/>
            <w:vAlign w:val="bottom"/>
            <w:hideMark/>
          </w:tcPr>
          <w:p w14:paraId="5F813796"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Per tyre wire use</w:t>
            </w:r>
          </w:p>
        </w:tc>
        <w:tc>
          <w:tcPr>
            <w:tcW w:w="644" w:type="pct"/>
            <w:tcBorders>
              <w:top w:val="single" w:sz="4" w:space="0" w:color="auto"/>
              <w:left w:val="nil"/>
              <w:bottom w:val="single" w:sz="4" w:space="0" w:color="auto"/>
              <w:right w:val="single" w:sz="4" w:space="0" w:color="auto"/>
            </w:tcBorders>
            <w:shd w:val="clear" w:color="auto" w:fill="auto"/>
            <w:noWrap/>
            <w:vAlign w:val="bottom"/>
            <w:hideMark/>
          </w:tcPr>
          <w:p w14:paraId="7B3E6D6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Wire used</w:t>
            </w:r>
          </w:p>
        </w:tc>
        <w:tc>
          <w:tcPr>
            <w:tcW w:w="652" w:type="pct"/>
            <w:tcBorders>
              <w:top w:val="single" w:sz="4" w:space="0" w:color="auto"/>
              <w:left w:val="nil"/>
              <w:bottom w:val="single" w:sz="4" w:space="0" w:color="auto"/>
              <w:right w:val="single" w:sz="4" w:space="0" w:color="auto"/>
            </w:tcBorders>
            <w:shd w:val="clear" w:color="auto" w:fill="auto"/>
            <w:noWrap/>
            <w:vAlign w:val="bottom"/>
            <w:hideMark/>
          </w:tcPr>
          <w:p w14:paraId="24F6EDB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Remaining wire</w:t>
            </w:r>
          </w:p>
        </w:tc>
      </w:tr>
      <w:tr w:rsidR="00D25ADA" w:rsidRPr="00D25ADA" w14:paraId="2D08581D"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75FAB17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854" w:type="pct"/>
            <w:tcBorders>
              <w:top w:val="nil"/>
              <w:left w:val="nil"/>
              <w:bottom w:val="single" w:sz="4" w:space="0" w:color="auto"/>
              <w:right w:val="single" w:sz="4" w:space="0" w:color="auto"/>
            </w:tcBorders>
            <w:shd w:val="clear" w:color="auto" w:fill="auto"/>
            <w:noWrap/>
            <w:vAlign w:val="bottom"/>
            <w:hideMark/>
          </w:tcPr>
          <w:p w14:paraId="2D760AF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250" w:type="pct"/>
            <w:tcBorders>
              <w:top w:val="nil"/>
              <w:left w:val="nil"/>
              <w:bottom w:val="single" w:sz="4" w:space="0" w:color="auto"/>
              <w:right w:val="single" w:sz="4" w:space="0" w:color="auto"/>
            </w:tcBorders>
            <w:shd w:val="clear" w:color="auto" w:fill="auto"/>
            <w:noWrap/>
            <w:vAlign w:val="bottom"/>
            <w:hideMark/>
          </w:tcPr>
          <w:p w14:paraId="248EF07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931" w:type="pct"/>
            <w:tcBorders>
              <w:top w:val="nil"/>
              <w:left w:val="nil"/>
              <w:bottom w:val="single" w:sz="4" w:space="0" w:color="auto"/>
              <w:right w:val="single" w:sz="4" w:space="0" w:color="auto"/>
            </w:tcBorders>
            <w:shd w:val="clear" w:color="auto" w:fill="auto"/>
            <w:noWrap/>
            <w:vAlign w:val="bottom"/>
            <w:hideMark/>
          </w:tcPr>
          <w:p w14:paraId="1AAB8CB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44" w:type="pct"/>
            <w:tcBorders>
              <w:top w:val="nil"/>
              <w:left w:val="nil"/>
              <w:bottom w:val="single" w:sz="4" w:space="0" w:color="auto"/>
              <w:right w:val="single" w:sz="4" w:space="0" w:color="auto"/>
            </w:tcBorders>
            <w:shd w:val="clear" w:color="auto" w:fill="auto"/>
            <w:noWrap/>
            <w:vAlign w:val="bottom"/>
            <w:hideMark/>
          </w:tcPr>
          <w:p w14:paraId="4242755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52" w:type="pct"/>
            <w:tcBorders>
              <w:top w:val="nil"/>
              <w:left w:val="nil"/>
              <w:bottom w:val="single" w:sz="4" w:space="0" w:color="auto"/>
              <w:right w:val="single" w:sz="4" w:space="0" w:color="auto"/>
            </w:tcBorders>
            <w:shd w:val="clear" w:color="auto" w:fill="auto"/>
            <w:noWrap/>
            <w:vAlign w:val="bottom"/>
            <w:hideMark/>
          </w:tcPr>
          <w:p w14:paraId="0A9C662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25140</w:t>
            </w:r>
          </w:p>
        </w:tc>
      </w:tr>
      <w:tr w:rsidR="00D25ADA" w:rsidRPr="00D25ADA" w14:paraId="7920C577"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342917DE"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1: Standard</w:t>
            </w:r>
          </w:p>
        </w:tc>
        <w:tc>
          <w:tcPr>
            <w:tcW w:w="854" w:type="pct"/>
            <w:tcBorders>
              <w:top w:val="nil"/>
              <w:left w:val="nil"/>
              <w:bottom w:val="single" w:sz="4" w:space="0" w:color="auto"/>
              <w:right w:val="single" w:sz="4" w:space="0" w:color="auto"/>
            </w:tcBorders>
            <w:shd w:val="clear" w:color="auto" w:fill="auto"/>
            <w:noWrap/>
            <w:vAlign w:val="bottom"/>
            <w:hideMark/>
          </w:tcPr>
          <w:p w14:paraId="2785767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1600</w:t>
            </w:r>
          </w:p>
        </w:tc>
        <w:tc>
          <w:tcPr>
            <w:tcW w:w="1250" w:type="pct"/>
            <w:tcBorders>
              <w:top w:val="nil"/>
              <w:left w:val="nil"/>
              <w:bottom w:val="single" w:sz="4" w:space="0" w:color="auto"/>
              <w:right w:val="single" w:sz="4" w:space="0" w:color="auto"/>
            </w:tcBorders>
            <w:shd w:val="clear" w:color="auto" w:fill="auto"/>
            <w:noWrap/>
            <w:vAlign w:val="bottom"/>
            <w:hideMark/>
          </w:tcPr>
          <w:p w14:paraId="461F874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1600</w:t>
            </w:r>
          </w:p>
        </w:tc>
        <w:tc>
          <w:tcPr>
            <w:tcW w:w="931" w:type="pct"/>
            <w:tcBorders>
              <w:top w:val="nil"/>
              <w:left w:val="nil"/>
              <w:bottom w:val="single" w:sz="4" w:space="0" w:color="auto"/>
              <w:right w:val="single" w:sz="4" w:space="0" w:color="auto"/>
            </w:tcBorders>
            <w:shd w:val="clear" w:color="auto" w:fill="auto"/>
            <w:noWrap/>
            <w:vAlign w:val="bottom"/>
            <w:hideMark/>
          </w:tcPr>
          <w:p w14:paraId="4294AD6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w:t>
            </w:r>
          </w:p>
        </w:tc>
        <w:tc>
          <w:tcPr>
            <w:tcW w:w="644" w:type="pct"/>
            <w:tcBorders>
              <w:top w:val="nil"/>
              <w:left w:val="nil"/>
              <w:bottom w:val="single" w:sz="4" w:space="0" w:color="auto"/>
              <w:right w:val="single" w:sz="4" w:space="0" w:color="auto"/>
            </w:tcBorders>
            <w:shd w:val="clear" w:color="auto" w:fill="auto"/>
            <w:noWrap/>
            <w:vAlign w:val="bottom"/>
            <w:hideMark/>
          </w:tcPr>
          <w:p w14:paraId="5CCCBAE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9600</w:t>
            </w:r>
          </w:p>
        </w:tc>
        <w:tc>
          <w:tcPr>
            <w:tcW w:w="652" w:type="pct"/>
            <w:tcBorders>
              <w:top w:val="nil"/>
              <w:left w:val="nil"/>
              <w:bottom w:val="single" w:sz="4" w:space="0" w:color="auto"/>
              <w:right w:val="single" w:sz="4" w:space="0" w:color="auto"/>
            </w:tcBorders>
            <w:shd w:val="clear" w:color="auto" w:fill="auto"/>
            <w:noWrap/>
            <w:vAlign w:val="bottom"/>
            <w:hideMark/>
          </w:tcPr>
          <w:p w14:paraId="352C21F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15540</w:t>
            </w:r>
          </w:p>
        </w:tc>
      </w:tr>
      <w:tr w:rsidR="00D25ADA" w:rsidRPr="00D25ADA" w14:paraId="4CFDE596"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79446F45"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2: Budget</w:t>
            </w:r>
          </w:p>
        </w:tc>
        <w:tc>
          <w:tcPr>
            <w:tcW w:w="854" w:type="pct"/>
            <w:tcBorders>
              <w:top w:val="nil"/>
              <w:left w:val="nil"/>
              <w:bottom w:val="single" w:sz="4" w:space="0" w:color="auto"/>
              <w:right w:val="single" w:sz="4" w:space="0" w:color="auto"/>
            </w:tcBorders>
            <w:shd w:val="clear" w:color="auto" w:fill="auto"/>
            <w:noWrap/>
            <w:vAlign w:val="bottom"/>
            <w:hideMark/>
          </w:tcPr>
          <w:p w14:paraId="516DB2C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2200</w:t>
            </w:r>
          </w:p>
        </w:tc>
        <w:tc>
          <w:tcPr>
            <w:tcW w:w="1250" w:type="pct"/>
            <w:tcBorders>
              <w:top w:val="nil"/>
              <w:left w:val="nil"/>
              <w:bottom w:val="single" w:sz="4" w:space="0" w:color="auto"/>
              <w:right w:val="single" w:sz="4" w:space="0" w:color="auto"/>
            </w:tcBorders>
            <w:shd w:val="clear" w:color="auto" w:fill="auto"/>
            <w:noWrap/>
            <w:vAlign w:val="bottom"/>
            <w:hideMark/>
          </w:tcPr>
          <w:p w14:paraId="78719C1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1200</w:t>
            </w:r>
          </w:p>
        </w:tc>
        <w:tc>
          <w:tcPr>
            <w:tcW w:w="931" w:type="pct"/>
            <w:tcBorders>
              <w:top w:val="nil"/>
              <w:left w:val="nil"/>
              <w:bottom w:val="single" w:sz="4" w:space="0" w:color="auto"/>
              <w:right w:val="single" w:sz="4" w:space="0" w:color="auto"/>
            </w:tcBorders>
            <w:shd w:val="clear" w:color="auto" w:fill="auto"/>
            <w:noWrap/>
            <w:vAlign w:val="bottom"/>
            <w:hideMark/>
          </w:tcPr>
          <w:p w14:paraId="397D357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w:t>
            </w:r>
          </w:p>
        </w:tc>
        <w:tc>
          <w:tcPr>
            <w:tcW w:w="644" w:type="pct"/>
            <w:tcBorders>
              <w:top w:val="nil"/>
              <w:left w:val="nil"/>
              <w:bottom w:val="single" w:sz="4" w:space="0" w:color="auto"/>
              <w:right w:val="single" w:sz="4" w:space="0" w:color="auto"/>
            </w:tcBorders>
            <w:shd w:val="clear" w:color="auto" w:fill="auto"/>
            <w:noWrap/>
            <w:vAlign w:val="bottom"/>
            <w:hideMark/>
          </w:tcPr>
          <w:p w14:paraId="137897F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4800</w:t>
            </w:r>
          </w:p>
        </w:tc>
        <w:tc>
          <w:tcPr>
            <w:tcW w:w="652" w:type="pct"/>
            <w:tcBorders>
              <w:top w:val="nil"/>
              <w:left w:val="nil"/>
              <w:bottom w:val="single" w:sz="4" w:space="0" w:color="auto"/>
              <w:right w:val="single" w:sz="4" w:space="0" w:color="auto"/>
            </w:tcBorders>
            <w:shd w:val="clear" w:color="auto" w:fill="auto"/>
            <w:noWrap/>
            <w:vAlign w:val="bottom"/>
            <w:hideMark/>
          </w:tcPr>
          <w:p w14:paraId="146A4C4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10740</w:t>
            </w:r>
          </w:p>
        </w:tc>
      </w:tr>
      <w:tr w:rsidR="00D25ADA" w:rsidRPr="00D25ADA" w14:paraId="2BE74E88"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435D8D80"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3: Premium</w:t>
            </w:r>
          </w:p>
        </w:tc>
        <w:tc>
          <w:tcPr>
            <w:tcW w:w="854" w:type="pct"/>
            <w:tcBorders>
              <w:top w:val="nil"/>
              <w:left w:val="nil"/>
              <w:bottom w:val="single" w:sz="4" w:space="0" w:color="auto"/>
              <w:right w:val="single" w:sz="4" w:space="0" w:color="auto"/>
            </w:tcBorders>
            <w:shd w:val="clear" w:color="auto" w:fill="auto"/>
            <w:noWrap/>
            <w:vAlign w:val="bottom"/>
            <w:hideMark/>
          </w:tcPr>
          <w:p w14:paraId="770A317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w:t>
            </w:r>
          </w:p>
        </w:tc>
        <w:tc>
          <w:tcPr>
            <w:tcW w:w="1250" w:type="pct"/>
            <w:tcBorders>
              <w:top w:val="nil"/>
              <w:left w:val="nil"/>
              <w:bottom w:val="single" w:sz="4" w:space="0" w:color="auto"/>
              <w:right w:val="single" w:sz="4" w:space="0" w:color="auto"/>
            </w:tcBorders>
            <w:shd w:val="clear" w:color="auto" w:fill="auto"/>
            <w:noWrap/>
            <w:vAlign w:val="bottom"/>
            <w:hideMark/>
          </w:tcPr>
          <w:p w14:paraId="5D1813B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895</w:t>
            </w:r>
          </w:p>
        </w:tc>
        <w:tc>
          <w:tcPr>
            <w:tcW w:w="931" w:type="pct"/>
            <w:tcBorders>
              <w:top w:val="nil"/>
              <w:left w:val="nil"/>
              <w:bottom w:val="single" w:sz="4" w:space="0" w:color="auto"/>
              <w:right w:val="single" w:sz="4" w:space="0" w:color="auto"/>
            </w:tcBorders>
            <w:shd w:val="clear" w:color="auto" w:fill="auto"/>
            <w:noWrap/>
            <w:vAlign w:val="bottom"/>
            <w:hideMark/>
          </w:tcPr>
          <w:p w14:paraId="7FB8648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w:t>
            </w:r>
          </w:p>
        </w:tc>
        <w:tc>
          <w:tcPr>
            <w:tcW w:w="644" w:type="pct"/>
            <w:tcBorders>
              <w:top w:val="nil"/>
              <w:left w:val="nil"/>
              <w:bottom w:val="single" w:sz="4" w:space="0" w:color="auto"/>
              <w:right w:val="single" w:sz="4" w:space="0" w:color="auto"/>
            </w:tcBorders>
            <w:shd w:val="clear" w:color="auto" w:fill="auto"/>
            <w:noWrap/>
            <w:vAlign w:val="bottom"/>
            <w:hideMark/>
          </w:tcPr>
          <w:p w14:paraId="5FF4CF0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10740</w:t>
            </w:r>
          </w:p>
        </w:tc>
        <w:tc>
          <w:tcPr>
            <w:tcW w:w="652" w:type="pct"/>
            <w:tcBorders>
              <w:top w:val="nil"/>
              <w:left w:val="nil"/>
              <w:bottom w:val="single" w:sz="4" w:space="0" w:color="auto"/>
              <w:right w:val="single" w:sz="4" w:space="0" w:color="auto"/>
            </w:tcBorders>
            <w:shd w:val="clear" w:color="auto" w:fill="auto"/>
            <w:noWrap/>
            <w:vAlign w:val="bottom"/>
            <w:hideMark/>
          </w:tcPr>
          <w:p w14:paraId="4DB8216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0</w:t>
            </w:r>
          </w:p>
        </w:tc>
      </w:tr>
    </w:tbl>
    <w:p w14:paraId="617E7B06" w14:textId="14478B7B" w:rsidR="00D25ADA" w:rsidRDefault="00D25ADA" w:rsidP="00B82756">
      <w:pPr>
        <w:jc w:val="both"/>
        <w:rPr>
          <w:b/>
          <w:bCs/>
        </w:rPr>
      </w:pPr>
    </w:p>
    <w:p w14:paraId="17BEA642" w14:textId="4D01DAAF" w:rsidR="004F3F3E" w:rsidRPr="004F3F3E" w:rsidRDefault="004F3F3E" w:rsidP="00B82756">
      <w:pPr>
        <w:jc w:val="both"/>
      </w:pPr>
      <w:r>
        <w:t>If BGT decides to produce the three tires in accordance to the contract made for the budget product, the total available quantity of strengthening wire would be first utilized to the satisfaction of the annual demand of the standard product. After that, it would be ensured that the annual demand of budget is fulfilled</w:t>
      </w:r>
      <w:r w:rsidR="00B82756">
        <w:t xml:space="preserve"> (</w:t>
      </w:r>
      <w:proofErr w:type="spellStart"/>
      <w:r w:rsidR="00B82756">
        <w:t>Cokins</w:t>
      </w:r>
      <w:proofErr w:type="spellEnd"/>
      <w:r w:rsidR="00B82756">
        <w:t xml:space="preserve"> 2019)</w:t>
      </w:r>
      <w:r>
        <w:t xml:space="preserve">. The rest wire would be used to produce the premium product. </w:t>
      </w:r>
    </w:p>
    <w:p w14:paraId="67F8A4DF" w14:textId="6D1DB36C" w:rsidR="00D25ADA" w:rsidRDefault="00D25ADA" w:rsidP="00B82756">
      <w:pPr>
        <w:jc w:val="both"/>
        <w:rPr>
          <w:b/>
          <w:bCs/>
        </w:rPr>
      </w:pPr>
      <w:r>
        <w:rPr>
          <w:b/>
          <w:bCs/>
        </w:rPr>
        <w:t>Marginal Cost income Statement</w:t>
      </w:r>
    </w:p>
    <w:tbl>
      <w:tblPr>
        <w:tblW w:w="5000" w:type="pct"/>
        <w:tblLook w:val="04A0" w:firstRow="1" w:lastRow="0" w:firstColumn="1" w:lastColumn="0" w:noHBand="0" w:noVBand="1"/>
      </w:tblPr>
      <w:tblGrid>
        <w:gridCol w:w="2790"/>
        <w:gridCol w:w="935"/>
        <w:gridCol w:w="1104"/>
        <w:gridCol w:w="978"/>
        <w:gridCol w:w="1301"/>
        <w:gridCol w:w="915"/>
        <w:gridCol w:w="1219"/>
      </w:tblGrid>
      <w:tr w:rsidR="00D25ADA" w:rsidRPr="00D25ADA" w14:paraId="0D302E2A" w14:textId="77777777" w:rsidTr="00D25ADA">
        <w:trPr>
          <w:trHeight w:val="315"/>
        </w:trPr>
        <w:tc>
          <w:tcPr>
            <w:tcW w:w="14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75E936"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3579" w:type="pct"/>
            <w:gridSpan w:val="6"/>
            <w:tcBorders>
              <w:top w:val="single" w:sz="4" w:space="0" w:color="auto"/>
              <w:left w:val="nil"/>
              <w:bottom w:val="single" w:sz="4" w:space="0" w:color="auto"/>
              <w:right w:val="single" w:sz="4" w:space="0" w:color="auto"/>
            </w:tcBorders>
            <w:shd w:val="clear" w:color="auto" w:fill="auto"/>
            <w:noWrap/>
            <w:vAlign w:val="bottom"/>
            <w:hideMark/>
          </w:tcPr>
          <w:p w14:paraId="7B8089B7"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Amount (£)</w:t>
            </w:r>
          </w:p>
        </w:tc>
      </w:tr>
      <w:tr w:rsidR="00D25ADA" w:rsidRPr="00D25ADA" w14:paraId="60A2466A"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0C67BE5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141" w:type="pct"/>
            <w:gridSpan w:val="2"/>
            <w:tcBorders>
              <w:top w:val="single" w:sz="4" w:space="0" w:color="auto"/>
              <w:left w:val="nil"/>
              <w:bottom w:val="single" w:sz="4" w:space="0" w:color="auto"/>
              <w:right w:val="single" w:sz="4" w:space="0" w:color="auto"/>
            </w:tcBorders>
            <w:shd w:val="clear" w:color="auto" w:fill="auto"/>
            <w:noWrap/>
            <w:vAlign w:val="bottom"/>
            <w:hideMark/>
          </w:tcPr>
          <w:p w14:paraId="02FD516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Budget (1200 units)</w:t>
            </w:r>
          </w:p>
        </w:tc>
        <w:tc>
          <w:tcPr>
            <w:tcW w:w="1219" w:type="pct"/>
            <w:gridSpan w:val="2"/>
            <w:tcBorders>
              <w:top w:val="single" w:sz="4" w:space="0" w:color="auto"/>
              <w:left w:val="nil"/>
              <w:bottom w:val="single" w:sz="4" w:space="0" w:color="auto"/>
              <w:right w:val="single" w:sz="4" w:space="0" w:color="auto"/>
            </w:tcBorders>
            <w:shd w:val="clear" w:color="auto" w:fill="auto"/>
            <w:noWrap/>
            <w:vAlign w:val="bottom"/>
            <w:hideMark/>
          </w:tcPr>
          <w:p w14:paraId="4B29327D"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Standard (1600 Units)</w:t>
            </w:r>
          </w:p>
        </w:tc>
        <w:tc>
          <w:tcPr>
            <w:tcW w:w="1219" w:type="pct"/>
            <w:gridSpan w:val="2"/>
            <w:tcBorders>
              <w:top w:val="single" w:sz="4" w:space="0" w:color="auto"/>
              <w:left w:val="nil"/>
              <w:bottom w:val="single" w:sz="4" w:space="0" w:color="auto"/>
              <w:right w:val="single" w:sz="4" w:space="0" w:color="auto"/>
            </w:tcBorders>
            <w:shd w:val="clear" w:color="auto" w:fill="auto"/>
            <w:noWrap/>
            <w:vAlign w:val="bottom"/>
            <w:hideMark/>
          </w:tcPr>
          <w:p w14:paraId="0682BD3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Premium (895 units)</w:t>
            </w:r>
          </w:p>
        </w:tc>
      </w:tr>
      <w:tr w:rsidR="00D25ADA" w:rsidRPr="00D25ADA" w14:paraId="42C323EA"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C74435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2" w:type="pct"/>
            <w:tcBorders>
              <w:top w:val="nil"/>
              <w:left w:val="nil"/>
              <w:bottom w:val="single" w:sz="4" w:space="0" w:color="auto"/>
              <w:right w:val="single" w:sz="4" w:space="0" w:color="auto"/>
            </w:tcBorders>
            <w:shd w:val="clear" w:color="auto" w:fill="auto"/>
            <w:noWrap/>
            <w:vAlign w:val="bottom"/>
            <w:hideMark/>
          </w:tcPr>
          <w:p w14:paraId="23497ED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19" w:type="pct"/>
            <w:tcBorders>
              <w:top w:val="nil"/>
              <w:left w:val="nil"/>
              <w:bottom w:val="single" w:sz="4" w:space="0" w:color="auto"/>
              <w:right w:val="single" w:sz="4" w:space="0" w:color="auto"/>
            </w:tcBorders>
            <w:shd w:val="clear" w:color="auto" w:fill="auto"/>
            <w:noWrap/>
            <w:vAlign w:val="bottom"/>
            <w:hideMark/>
          </w:tcPr>
          <w:p w14:paraId="5592A93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c>
          <w:tcPr>
            <w:tcW w:w="521" w:type="pct"/>
            <w:tcBorders>
              <w:top w:val="nil"/>
              <w:left w:val="nil"/>
              <w:bottom w:val="single" w:sz="4" w:space="0" w:color="auto"/>
              <w:right w:val="single" w:sz="4" w:space="0" w:color="auto"/>
            </w:tcBorders>
            <w:shd w:val="clear" w:color="auto" w:fill="auto"/>
            <w:noWrap/>
            <w:vAlign w:val="bottom"/>
            <w:hideMark/>
          </w:tcPr>
          <w:p w14:paraId="76733B0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98" w:type="pct"/>
            <w:tcBorders>
              <w:top w:val="nil"/>
              <w:left w:val="nil"/>
              <w:bottom w:val="single" w:sz="4" w:space="0" w:color="auto"/>
              <w:right w:val="single" w:sz="4" w:space="0" w:color="auto"/>
            </w:tcBorders>
            <w:shd w:val="clear" w:color="auto" w:fill="auto"/>
            <w:noWrap/>
            <w:vAlign w:val="bottom"/>
            <w:hideMark/>
          </w:tcPr>
          <w:p w14:paraId="3DADAD9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c>
          <w:tcPr>
            <w:tcW w:w="521" w:type="pct"/>
            <w:tcBorders>
              <w:top w:val="nil"/>
              <w:left w:val="nil"/>
              <w:bottom w:val="single" w:sz="4" w:space="0" w:color="auto"/>
              <w:right w:val="single" w:sz="4" w:space="0" w:color="auto"/>
            </w:tcBorders>
            <w:shd w:val="clear" w:color="auto" w:fill="auto"/>
            <w:noWrap/>
            <w:vAlign w:val="bottom"/>
            <w:hideMark/>
          </w:tcPr>
          <w:p w14:paraId="4AE9D03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98" w:type="pct"/>
            <w:tcBorders>
              <w:top w:val="nil"/>
              <w:left w:val="nil"/>
              <w:bottom w:val="single" w:sz="4" w:space="0" w:color="auto"/>
              <w:right w:val="single" w:sz="4" w:space="0" w:color="auto"/>
            </w:tcBorders>
            <w:shd w:val="clear" w:color="auto" w:fill="auto"/>
            <w:noWrap/>
            <w:vAlign w:val="bottom"/>
            <w:hideMark/>
          </w:tcPr>
          <w:p w14:paraId="06E60E6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r>
      <w:tr w:rsidR="00D25ADA" w:rsidRPr="00D25ADA" w14:paraId="5C6140D5"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53459F1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Selling Price</w:t>
            </w:r>
          </w:p>
        </w:tc>
        <w:tc>
          <w:tcPr>
            <w:tcW w:w="522" w:type="pct"/>
            <w:tcBorders>
              <w:top w:val="nil"/>
              <w:left w:val="nil"/>
              <w:bottom w:val="single" w:sz="4" w:space="0" w:color="auto"/>
              <w:right w:val="single" w:sz="4" w:space="0" w:color="auto"/>
            </w:tcBorders>
            <w:shd w:val="clear" w:color="auto" w:fill="auto"/>
            <w:noWrap/>
            <w:vAlign w:val="bottom"/>
            <w:hideMark/>
          </w:tcPr>
          <w:p w14:paraId="30F4784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60.00</w:t>
            </w:r>
          </w:p>
        </w:tc>
        <w:tc>
          <w:tcPr>
            <w:tcW w:w="619" w:type="pct"/>
            <w:tcBorders>
              <w:top w:val="nil"/>
              <w:left w:val="nil"/>
              <w:bottom w:val="single" w:sz="4" w:space="0" w:color="auto"/>
              <w:right w:val="single" w:sz="4" w:space="0" w:color="auto"/>
            </w:tcBorders>
            <w:shd w:val="clear" w:color="auto" w:fill="auto"/>
            <w:noWrap/>
            <w:vAlign w:val="bottom"/>
            <w:hideMark/>
          </w:tcPr>
          <w:p w14:paraId="2DB7874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72000.00</w:t>
            </w:r>
          </w:p>
        </w:tc>
        <w:tc>
          <w:tcPr>
            <w:tcW w:w="521" w:type="pct"/>
            <w:tcBorders>
              <w:top w:val="nil"/>
              <w:left w:val="nil"/>
              <w:bottom w:val="single" w:sz="4" w:space="0" w:color="auto"/>
              <w:right w:val="single" w:sz="4" w:space="0" w:color="auto"/>
            </w:tcBorders>
            <w:shd w:val="clear" w:color="auto" w:fill="auto"/>
            <w:noWrap/>
            <w:vAlign w:val="bottom"/>
            <w:hideMark/>
          </w:tcPr>
          <w:p w14:paraId="74CE555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90.00</w:t>
            </w:r>
          </w:p>
        </w:tc>
        <w:tc>
          <w:tcPr>
            <w:tcW w:w="698" w:type="pct"/>
            <w:tcBorders>
              <w:top w:val="nil"/>
              <w:left w:val="nil"/>
              <w:bottom w:val="single" w:sz="4" w:space="0" w:color="auto"/>
              <w:right w:val="single" w:sz="4" w:space="0" w:color="auto"/>
            </w:tcBorders>
            <w:shd w:val="clear" w:color="auto" w:fill="auto"/>
            <w:noWrap/>
            <w:vAlign w:val="bottom"/>
            <w:hideMark/>
          </w:tcPr>
          <w:p w14:paraId="2AAC9F3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144000.00</w:t>
            </w:r>
          </w:p>
        </w:tc>
        <w:tc>
          <w:tcPr>
            <w:tcW w:w="521" w:type="pct"/>
            <w:tcBorders>
              <w:top w:val="nil"/>
              <w:left w:val="nil"/>
              <w:bottom w:val="single" w:sz="4" w:space="0" w:color="auto"/>
              <w:right w:val="single" w:sz="4" w:space="0" w:color="auto"/>
            </w:tcBorders>
            <w:shd w:val="clear" w:color="auto" w:fill="auto"/>
            <w:noWrap/>
            <w:vAlign w:val="bottom"/>
            <w:hideMark/>
          </w:tcPr>
          <w:p w14:paraId="3B647B8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120.00</w:t>
            </w:r>
          </w:p>
        </w:tc>
        <w:tc>
          <w:tcPr>
            <w:tcW w:w="698" w:type="pct"/>
            <w:tcBorders>
              <w:top w:val="nil"/>
              <w:left w:val="nil"/>
              <w:bottom w:val="single" w:sz="4" w:space="0" w:color="auto"/>
              <w:right w:val="single" w:sz="4" w:space="0" w:color="auto"/>
            </w:tcBorders>
            <w:shd w:val="clear" w:color="auto" w:fill="auto"/>
            <w:noWrap/>
            <w:vAlign w:val="bottom"/>
            <w:hideMark/>
          </w:tcPr>
          <w:p w14:paraId="18E3207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107400.00</w:t>
            </w:r>
          </w:p>
        </w:tc>
      </w:tr>
      <w:tr w:rsidR="00D25ADA" w:rsidRPr="00D25ADA" w14:paraId="38470107"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1A010FC9"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Variable Cost:</w:t>
            </w:r>
          </w:p>
        </w:tc>
        <w:tc>
          <w:tcPr>
            <w:tcW w:w="522" w:type="pct"/>
            <w:tcBorders>
              <w:top w:val="nil"/>
              <w:left w:val="nil"/>
              <w:bottom w:val="single" w:sz="4" w:space="0" w:color="auto"/>
              <w:right w:val="single" w:sz="4" w:space="0" w:color="auto"/>
            </w:tcBorders>
            <w:shd w:val="clear" w:color="auto" w:fill="auto"/>
            <w:noWrap/>
            <w:vAlign w:val="bottom"/>
            <w:hideMark/>
          </w:tcPr>
          <w:p w14:paraId="35C754C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3B0C506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1" w:type="pct"/>
            <w:tcBorders>
              <w:top w:val="nil"/>
              <w:left w:val="nil"/>
              <w:bottom w:val="single" w:sz="4" w:space="0" w:color="auto"/>
              <w:right w:val="single" w:sz="4" w:space="0" w:color="auto"/>
            </w:tcBorders>
            <w:shd w:val="clear" w:color="auto" w:fill="auto"/>
            <w:noWrap/>
            <w:vAlign w:val="bottom"/>
            <w:hideMark/>
          </w:tcPr>
          <w:p w14:paraId="6276424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6DD9B87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1" w:type="pct"/>
            <w:tcBorders>
              <w:top w:val="nil"/>
              <w:left w:val="nil"/>
              <w:bottom w:val="single" w:sz="4" w:space="0" w:color="auto"/>
              <w:right w:val="single" w:sz="4" w:space="0" w:color="auto"/>
            </w:tcBorders>
            <w:shd w:val="clear" w:color="auto" w:fill="auto"/>
            <w:noWrap/>
            <w:vAlign w:val="bottom"/>
            <w:hideMark/>
          </w:tcPr>
          <w:p w14:paraId="5485C3A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2AAFE09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1377EAAF"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16FF480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xml:space="preserve">Material </w:t>
            </w:r>
          </w:p>
        </w:tc>
        <w:tc>
          <w:tcPr>
            <w:tcW w:w="522" w:type="pct"/>
            <w:tcBorders>
              <w:top w:val="nil"/>
              <w:left w:val="nil"/>
              <w:bottom w:val="single" w:sz="4" w:space="0" w:color="auto"/>
              <w:right w:val="single" w:sz="4" w:space="0" w:color="auto"/>
            </w:tcBorders>
            <w:shd w:val="clear" w:color="auto" w:fill="auto"/>
            <w:noWrap/>
            <w:vAlign w:val="bottom"/>
            <w:hideMark/>
          </w:tcPr>
          <w:p w14:paraId="5A7B104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27.53</w:t>
            </w:r>
          </w:p>
        </w:tc>
        <w:tc>
          <w:tcPr>
            <w:tcW w:w="619" w:type="pct"/>
            <w:tcBorders>
              <w:top w:val="nil"/>
              <w:left w:val="nil"/>
              <w:bottom w:val="single" w:sz="4" w:space="0" w:color="auto"/>
              <w:right w:val="single" w:sz="4" w:space="0" w:color="auto"/>
            </w:tcBorders>
            <w:shd w:val="clear" w:color="auto" w:fill="auto"/>
            <w:noWrap/>
            <w:vAlign w:val="bottom"/>
            <w:hideMark/>
          </w:tcPr>
          <w:p w14:paraId="3E2B740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33035.29</w:t>
            </w:r>
          </w:p>
        </w:tc>
        <w:tc>
          <w:tcPr>
            <w:tcW w:w="521" w:type="pct"/>
            <w:tcBorders>
              <w:top w:val="nil"/>
              <w:left w:val="nil"/>
              <w:bottom w:val="single" w:sz="4" w:space="0" w:color="auto"/>
              <w:right w:val="single" w:sz="4" w:space="0" w:color="auto"/>
            </w:tcBorders>
            <w:shd w:val="clear" w:color="auto" w:fill="auto"/>
            <w:noWrap/>
            <w:vAlign w:val="bottom"/>
            <w:hideMark/>
          </w:tcPr>
          <w:p w14:paraId="240F891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31.13</w:t>
            </w:r>
          </w:p>
        </w:tc>
        <w:tc>
          <w:tcPr>
            <w:tcW w:w="698" w:type="pct"/>
            <w:tcBorders>
              <w:top w:val="nil"/>
              <w:left w:val="nil"/>
              <w:bottom w:val="single" w:sz="4" w:space="0" w:color="auto"/>
              <w:right w:val="single" w:sz="4" w:space="0" w:color="auto"/>
            </w:tcBorders>
            <w:shd w:val="clear" w:color="auto" w:fill="auto"/>
            <w:noWrap/>
            <w:vAlign w:val="bottom"/>
            <w:hideMark/>
          </w:tcPr>
          <w:p w14:paraId="030AE89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49806.45</w:t>
            </w:r>
          </w:p>
        </w:tc>
        <w:tc>
          <w:tcPr>
            <w:tcW w:w="521" w:type="pct"/>
            <w:tcBorders>
              <w:top w:val="nil"/>
              <w:left w:val="nil"/>
              <w:bottom w:val="single" w:sz="4" w:space="0" w:color="auto"/>
              <w:right w:val="single" w:sz="4" w:space="0" w:color="auto"/>
            </w:tcBorders>
            <w:shd w:val="clear" w:color="auto" w:fill="auto"/>
            <w:noWrap/>
            <w:vAlign w:val="bottom"/>
            <w:hideMark/>
          </w:tcPr>
          <w:p w14:paraId="548982E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24.08</w:t>
            </w:r>
          </w:p>
        </w:tc>
        <w:tc>
          <w:tcPr>
            <w:tcW w:w="698" w:type="pct"/>
            <w:tcBorders>
              <w:top w:val="nil"/>
              <w:left w:val="nil"/>
              <w:bottom w:val="single" w:sz="4" w:space="0" w:color="auto"/>
              <w:right w:val="single" w:sz="4" w:space="0" w:color="auto"/>
            </w:tcBorders>
            <w:shd w:val="clear" w:color="auto" w:fill="auto"/>
            <w:noWrap/>
            <w:vAlign w:val="bottom"/>
            <w:hideMark/>
          </w:tcPr>
          <w:p w14:paraId="3A70C66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21550.66</w:t>
            </w:r>
          </w:p>
        </w:tc>
      </w:tr>
      <w:tr w:rsidR="00D25ADA" w:rsidRPr="00D25ADA" w14:paraId="54C01275"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7A72F4D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Labour</w:t>
            </w:r>
          </w:p>
        </w:tc>
        <w:tc>
          <w:tcPr>
            <w:tcW w:w="522" w:type="pct"/>
            <w:tcBorders>
              <w:top w:val="nil"/>
              <w:left w:val="nil"/>
              <w:bottom w:val="single" w:sz="4" w:space="0" w:color="auto"/>
              <w:right w:val="single" w:sz="4" w:space="0" w:color="auto"/>
            </w:tcBorders>
            <w:shd w:val="clear" w:color="auto" w:fill="auto"/>
            <w:noWrap/>
            <w:vAlign w:val="bottom"/>
            <w:hideMark/>
          </w:tcPr>
          <w:p w14:paraId="2726ED7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14.35</w:t>
            </w:r>
          </w:p>
        </w:tc>
        <w:tc>
          <w:tcPr>
            <w:tcW w:w="619" w:type="pct"/>
            <w:tcBorders>
              <w:top w:val="nil"/>
              <w:left w:val="nil"/>
              <w:bottom w:val="single" w:sz="4" w:space="0" w:color="auto"/>
              <w:right w:val="single" w:sz="4" w:space="0" w:color="auto"/>
            </w:tcBorders>
            <w:shd w:val="clear" w:color="auto" w:fill="auto"/>
            <w:noWrap/>
            <w:vAlign w:val="bottom"/>
            <w:hideMark/>
          </w:tcPr>
          <w:p w14:paraId="1B6FB0B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17223.53</w:t>
            </w:r>
          </w:p>
        </w:tc>
        <w:tc>
          <w:tcPr>
            <w:tcW w:w="521" w:type="pct"/>
            <w:tcBorders>
              <w:top w:val="nil"/>
              <w:left w:val="nil"/>
              <w:bottom w:val="single" w:sz="4" w:space="0" w:color="auto"/>
              <w:right w:val="single" w:sz="4" w:space="0" w:color="auto"/>
            </w:tcBorders>
            <w:shd w:val="clear" w:color="auto" w:fill="auto"/>
            <w:noWrap/>
            <w:vAlign w:val="bottom"/>
            <w:hideMark/>
          </w:tcPr>
          <w:p w14:paraId="26DC0E5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23.31</w:t>
            </w:r>
          </w:p>
        </w:tc>
        <w:tc>
          <w:tcPr>
            <w:tcW w:w="698" w:type="pct"/>
            <w:tcBorders>
              <w:top w:val="nil"/>
              <w:left w:val="nil"/>
              <w:bottom w:val="single" w:sz="4" w:space="0" w:color="auto"/>
              <w:right w:val="single" w:sz="4" w:space="0" w:color="auto"/>
            </w:tcBorders>
            <w:shd w:val="clear" w:color="auto" w:fill="auto"/>
            <w:noWrap/>
            <w:vAlign w:val="bottom"/>
            <w:hideMark/>
          </w:tcPr>
          <w:p w14:paraId="631EE49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37290.32</w:t>
            </w:r>
          </w:p>
        </w:tc>
        <w:tc>
          <w:tcPr>
            <w:tcW w:w="521" w:type="pct"/>
            <w:tcBorders>
              <w:top w:val="nil"/>
              <w:left w:val="nil"/>
              <w:bottom w:val="single" w:sz="4" w:space="0" w:color="auto"/>
              <w:right w:val="single" w:sz="4" w:space="0" w:color="auto"/>
            </w:tcBorders>
            <w:shd w:val="clear" w:color="auto" w:fill="auto"/>
            <w:noWrap/>
            <w:vAlign w:val="bottom"/>
            <w:hideMark/>
          </w:tcPr>
          <w:p w14:paraId="3335400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31.84</w:t>
            </w:r>
          </w:p>
        </w:tc>
        <w:tc>
          <w:tcPr>
            <w:tcW w:w="698" w:type="pct"/>
            <w:tcBorders>
              <w:top w:val="nil"/>
              <w:left w:val="nil"/>
              <w:bottom w:val="single" w:sz="4" w:space="0" w:color="auto"/>
              <w:right w:val="single" w:sz="4" w:space="0" w:color="auto"/>
            </w:tcBorders>
            <w:shd w:val="clear" w:color="auto" w:fill="auto"/>
            <w:noWrap/>
            <w:vAlign w:val="bottom"/>
            <w:hideMark/>
          </w:tcPr>
          <w:p w14:paraId="1CE693C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28498.68</w:t>
            </w:r>
          </w:p>
        </w:tc>
      </w:tr>
      <w:tr w:rsidR="00D25ADA" w:rsidRPr="00D25ADA" w14:paraId="37FEC0CC"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6790F22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Overhead</w:t>
            </w:r>
          </w:p>
        </w:tc>
        <w:tc>
          <w:tcPr>
            <w:tcW w:w="522" w:type="pct"/>
            <w:tcBorders>
              <w:top w:val="nil"/>
              <w:left w:val="nil"/>
              <w:bottom w:val="single" w:sz="4" w:space="0" w:color="auto"/>
              <w:right w:val="single" w:sz="4" w:space="0" w:color="auto"/>
            </w:tcBorders>
            <w:shd w:val="clear" w:color="auto" w:fill="auto"/>
            <w:noWrap/>
            <w:vAlign w:val="bottom"/>
            <w:hideMark/>
          </w:tcPr>
          <w:p w14:paraId="3EA7F38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19" w:type="pct"/>
            <w:tcBorders>
              <w:top w:val="nil"/>
              <w:left w:val="nil"/>
              <w:bottom w:val="single" w:sz="4" w:space="0" w:color="auto"/>
              <w:right w:val="single" w:sz="4" w:space="0" w:color="auto"/>
            </w:tcBorders>
            <w:shd w:val="clear" w:color="auto" w:fill="auto"/>
            <w:noWrap/>
            <w:vAlign w:val="bottom"/>
            <w:hideMark/>
          </w:tcPr>
          <w:p w14:paraId="4C37597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7152.00</w:t>
            </w:r>
          </w:p>
        </w:tc>
        <w:tc>
          <w:tcPr>
            <w:tcW w:w="521" w:type="pct"/>
            <w:tcBorders>
              <w:top w:val="nil"/>
              <w:left w:val="nil"/>
              <w:bottom w:val="single" w:sz="4" w:space="0" w:color="auto"/>
              <w:right w:val="single" w:sz="4" w:space="0" w:color="auto"/>
            </w:tcBorders>
            <w:shd w:val="clear" w:color="auto" w:fill="auto"/>
            <w:noWrap/>
            <w:vAlign w:val="bottom"/>
            <w:hideMark/>
          </w:tcPr>
          <w:p w14:paraId="026F092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98" w:type="pct"/>
            <w:tcBorders>
              <w:top w:val="nil"/>
              <w:left w:val="nil"/>
              <w:bottom w:val="single" w:sz="4" w:space="0" w:color="auto"/>
              <w:right w:val="single" w:sz="4" w:space="0" w:color="auto"/>
            </w:tcBorders>
            <w:shd w:val="clear" w:color="auto" w:fill="auto"/>
            <w:noWrap/>
            <w:vAlign w:val="bottom"/>
            <w:hideMark/>
          </w:tcPr>
          <w:p w14:paraId="78BE495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9536.00</w:t>
            </w:r>
          </w:p>
        </w:tc>
        <w:tc>
          <w:tcPr>
            <w:tcW w:w="521" w:type="pct"/>
            <w:tcBorders>
              <w:top w:val="nil"/>
              <w:left w:val="nil"/>
              <w:bottom w:val="single" w:sz="4" w:space="0" w:color="auto"/>
              <w:right w:val="single" w:sz="4" w:space="0" w:color="auto"/>
            </w:tcBorders>
            <w:shd w:val="clear" w:color="auto" w:fill="auto"/>
            <w:noWrap/>
            <w:vAlign w:val="bottom"/>
            <w:hideMark/>
          </w:tcPr>
          <w:p w14:paraId="370FC52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98" w:type="pct"/>
            <w:tcBorders>
              <w:top w:val="nil"/>
              <w:left w:val="nil"/>
              <w:bottom w:val="single" w:sz="4" w:space="0" w:color="auto"/>
              <w:right w:val="single" w:sz="4" w:space="0" w:color="auto"/>
            </w:tcBorders>
            <w:shd w:val="clear" w:color="auto" w:fill="auto"/>
            <w:noWrap/>
            <w:vAlign w:val="bottom"/>
            <w:hideMark/>
          </w:tcPr>
          <w:p w14:paraId="730C3FF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5334.20</w:t>
            </w:r>
          </w:p>
        </w:tc>
      </w:tr>
      <w:tr w:rsidR="00D25ADA" w:rsidRPr="00D25ADA" w14:paraId="05FB8561"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3371279"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Contribution per unit (tyre)</w:t>
            </w:r>
          </w:p>
        </w:tc>
        <w:tc>
          <w:tcPr>
            <w:tcW w:w="522" w:type="pct"/>
            <w:tcBorders>
              <w:top w:val="nil"/>
              <w:left w:val="nil"/>
              <w:bottom w:val="single" w:sz="4" w:space="0" w:color="auto"/>
              <w:right w:val="single" w:sz="4" w:space="0" w:color="auto"/>
            </w:tcBorders>
            <w:shd w:val="clear" w:color="auto" w:fill="auto"/>
            <w:noWrap/>
            <w:vAlign w:val="bottom"/>
            <w:hideMark/>
          </w:tcPr>
          <w:p w14:paraId="32CC86EC"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11.68</w:t>
            </w:r>
          </w:p>
        </w:tc>
        <w:tc>
          <w:tcPr>
            <w:tcW w:w="619" w:type="pct"/>
            <w:tcBorders>
              <w:top w:val="nil"/>
              <w:left w:val="nil"/>
              <w:bottom w:val="single" w:sz="4" w:space="0" w:color="auto"/>
              <w:right w:val="single" w:sz="4" w:space="0" w:color="auto"/>
            </w:tcBorders>
            <w:shd w:val="clear" w:color="auto" w:fill="auto"/>
            <w:noWrap/>
            <w:vAlign w:val="bottom"/>
            <w:hideMark/>
          </w:tcPr>
          <w:p w14:paraId="6B60D2D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14013.18</w:t>
            </w:r>
          </w:p>
        </w:tc>
        <w:tc>
          <w:tcPr>
            <w:tcW w:w="521" w:type="pct"/>
            <w:tcBorders>
              <w:top w:val="nil"/>
              <w:left w:val="nil"/>
              <w:bottom w:val="single" w:sz="4" w:space="0" w:color="auto"/>
              <w:right w:val="single" w:sz="4" w:space="0" w:color="auto"/>
            </w:tcBorders>
            <w:shd w:val="clear" w:color="auto" w:fill="auto"/>
            <w:noWrap/>
            <w:vAlign w:val="bottom"/>
            <w:hideMark/>
          </w:tcPr>
          <w:p w14:paraId="7C856A67"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23.95</w:t>
            </w:r>
          </w:p>
        </w:tc>
        <w:tc>
          <w:tcPr>
            <w:tcW w:w="698" w:type="pct"/>
            <w:tcBorders>
              <w:top w:val="nil"/>
              <w:left w:val="nil"/>
              <w:bottom w:val="single" w:sz="4" w:space="0" w:color="auto"/>
              <w:right w:val="single" w:sz="4" w:space="0" w:color="auto"/>
            </w:tcBorders>
            <w:shd w:val="clear" w:color="auto" w:fill="auto"/>
            <w:noWrap/>
            <w:vAlign w:val="bottom"/>
            <w:hideMark/>
          </w:tcPr>
          <w:p w14:paraId="254FEBA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38322.58</w:t>
            </w:r>
          </w:p>
        </w:tc>
        <w:tc>
          <w:tcPr>
            <w:tcW w:w="521" w:type="pct"/>
            <w:tcBorders>
              <w:top w:val="nil"/>
              <w:left w:val="nil"/>
              <w:bottom w:val="single" w:sz="4" w:space="0" w:color="auto"/>
              <w:right w:val="single" w:sz="4" w:space="0" w:color="auto"/>
            </w:tcBorders>
            <w:shd w:val="clear" w:color="auto" w:fill="auto"/>
            <w:noWrap/>
            <w:vAlign w:val="bottom"/>
            <w:hideMark/>
          </w:tcPr>
          <w:p w14:paraId="060F3CDC"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47.50</w:t>
            </w:r>
          </w:p>
        </w:tc>
        <w:tc>
          <w:tcPr>
            <w:tcW w:w="698" w:type="pct"/>
            <w:tcBorders>
              <w:top w:val="nil"/>
              <w:left w:val="nil"/>
              <w:bottom w:val="single" w:sz="4" w:space="0" w:color="auto"/>
              <w:right w:val="single" w:sz="4" w:space="0" w:color="auto"/>
            </w:tcBorders>
            <w:shd w:val="clear" w:color="auto" w:fill="auto"/>
            <w:noWrap/>
            <w:vAlign w:val="bottom"/>
            <w:hideMark/>
          </w:tcPr>
          <w:p w14:paraId="119E6E5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42512.50</w:t>
            </w:r>
          </w:p>
        </w:tc>
      </w:tr>
      <w:tr w:rsidR="00D25ADA" w:rsidRPr="00D25ADA" w14:paraId="50618BF5"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1D388D3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Less: Fixed Cost</w:t>
            </w:r>
          </w:p>
        </w:tc>
        <w:tc>
          <w:tcPr>
            <w:tcW w:w="522" w:type="pct"/>
            <w:tcBorders>
              <w:top w:val="nil"/>
              <w:left w:val="nil"/>
              <w:bottom w:val="single" w:sz="4" w:space="0" w:color="auto"/>
              <w:right w:val="single" w:sz="4" w:space="0" w:color="auto"/>
            </w:tcBorders>
            <w:shd w:val="clear" w:color="auto" w:fill="auto"/>
            <w:noWrap/>
            <w:vAlign w:val="bottom"/>
            <w:hideMark/>
          </w:tcPr>
          <w:p w14:paraId="1D8D580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5278075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c>
          <w:tcPr>
            <w:tcW w:w="521" w:type="pct"/>
            <w:tcBorders>
              <w:top w:val="nil"/>
              <w:left w:val="nil"/>
              <w:bottom w:val="single" w:sz="4" w:space="0" w:color="auto"/>
              <w:right w:val="single" w:sz="4" w:space="0" w:color="auto"/>
            </w:tcBorders>
            <w:shd w:val="clear" w:color="auto" w:fill="auto"/>
            <w:noWrap/>
            <w:vAlign w:val="bottom"/>
            <w:hideMark/>
          </w:tcPr>
          <w:p w14:paraId="61BDC6C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487EBE8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c>
          <w:tcPr>
            <w:tcW w:w="521" w:type="pct"/>
            <w:tcBorders>
              <w:top w:val="nil"/>
              <w:left w:val="nil"/>
              <w:bottom w:val="single" w:sz="4" w:space="0" w:color="auto"/>
              <w:right w:val="single" w:sz="4" w:space="0" w:color="auto"/>
            </w:tcBorders>
            <w:shd w:val="clear" w:color="auto" w:fill="auto"/>
            <w:noWrap/>
            <w:vAlign w:val="bottom"/>
            <w:hideMark/>
          </w:tcPr>
          <w:p w14:paraId="415FB71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0FFF4E0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r>
      <w:tr w:rsidR="00D25ADA" w:rsidRPr="00D25ADA" w14:paraId="739A9B38"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94303E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Profit</w:t>
            </w:r>
          </w:p>
        </w:tc>
        <w:tc>
          <w:tcPr>
            <w:tcW w:w="522" w:type="pct"/>
            <w:tcBorders>
              <w:top w:val="nil"/>
              <w:left w:val="nil"/>
              <w:bottom w:val="single" w:sz="4" w:space="0" w:color="auto"/>
              <w:right w:val="single" w:sz="4" w:space="0" w:color="auto"/>
            </w:tcBorders>
            <w:shd w:val="clear" w:color="auto" w:fill="auto"/>
            <w:noWrap/>
            <w:vAlign w:val="bottom"/>
            <w:hideMark/>
          </w:tcPr>
          <w:p w14:paraId="2AFA97B4"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6A9AB0DA"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5940.84</w:t>
            </w:r>
          </w:p>
        </w:tc>
        <w:tc>
          <w:tcPr>
            <w:tcW w:w="521" w:type="pct"/>
            <w:tcBorders>
              <w:top w:val="nil"/>
              <w:left w:val="nil"/>
              <w:bottom w:val="single" w:sz="4" w:space="0" w:color="auto"/>
              <w:right w:val="single" w:sz="4" w:space="0" w:color="auto"/>
            </w:tcBorders>
            <w:shd w:val="clear" w:color="auto" w:fill="auto"/>
            <w:noWrap/>
            <w:vAlign w:val="bottom"/>
            <w:hideMark/>
          </w:tcPr>
          <w:p w14:paraId="4B7F7A94"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748E625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30250.24</w:t>
            </w:r>
          </w:p>
        </w:tc>
        <w:tc>
          <w:tcPr>
            <w:tcW w:w="521" w:type="pct"/>
            <w:tcBorders>
              <w:top w:val="nil"/>
              <w:left w:val="nil"/>
              <w:bottom w:val="single" w:sz="4" w:space="0" w:color="auto"/>
              <w:right w:val="single" w:sz="4" w:space="0" w:color="auto"/>
            </w:tcBorders>
            <w:shd w:val="clear" w:color="auto" w:fill="auto"/>
            <w:noWrap/>
            <w:vAlign w:val="bottom"/>
            <w:hideMark/>
          </w:tcPr>
          <w:p w14:paraId="1560B1DA"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3993BBD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34440.16</w:t>
            </w:r>
          </w:p>
        </w:tc>
      </w:tr>
    </w:tbl>
    <w:p w14:paraId="7FA16248" w14:textId="6D445F09" w:rsidR="00D25ADA" w:rsidRDefault="00D25ADA" w:rsidP="00B82756">
      <w:pPr>
        <w:jc w:val="both"/>
        <w:rPr>
          <w:b/>
          <w:bCs/>
        </w:rPr>
      </w:pPr>
      <w:r>
        <w:rPr>
          <w:b/>
          <w:bCs/>
        </w:rPr>
        <w:br w:type="page"/>
      </w:r>
    </w:p>
    <w:p w14:paraId="72FED846" w14:textId="6C42390A" w:rsidR="00D25ADA" w:rsidRDefault="00D25ADA" w:rsidP="00B82756">
      <w:pPr>
        <w:pStyle w:val="Heading1"/>
        <w:numPr>
          <w:ilvl w:val="1"/>
          <w:numId w:val="1"/>
        </w:numPr>
        <w:jc w:val="both"/>
      </w:pPr>
      <w:bookmarkStart w:id="3" w:name="_Toc117354131"/>
      <w:r>
        <w:t>Budgeted manufacturing schedule and marginal cost income statement (Budget contract is dishonoured)</w:t>
      </w:r>
      <w:bookmarkEnd w:id="3"/>
    </w:p>
    <w:p w14:paraId="0B684A3C" w14:textId="7EB049DA" w:rsidR="00D25ADA" w:rsidRDefault="00D25ADA" w:rsidP="00B82756">
      <w:pPr>
        <w:jc w:val="both"/>
        <w:rPr>
          <w:b/>
          <w:bCs/>
        </w:rPr>
      </w:pPr>
      <w:r>
        <w:rPr>
          <w:b/>
          <w:bCs/>
        </w:rPr>
        <w:t>Schedule</w:t>
      </w:r>
    </w:p>
    <w:tbl>
      <w:tblPr>
        <w:tblW w:w="5000" w:type="pct"/>
        <w:tblLook w:val="04A0" w:firstRow="1" w:lastRow="0" w:firstColumn="1" w:lastColumn="0" w:noHBand="0" w:noVBand="1"/>
      </w:tblPr>
      <w:tblGrid>
        <w:gridCol w:w="1462"/>
        <w:gridCol w:w="1780"/>
        <w:gridCol w:w="2100"/>
        <w:gridCol w:w="1496"/>
        <w:gridCol w:w="986"/>
        <w:gridCol w:w="1418"/>
      </w:tblGrid>
      <w:tr w:rsidR="00D25ADA" w:rsidRPr="00D25ADA" w14:paraId="70C02AC1" w14:textId="77777777" w:rsidTr="00D25ADA">
        <w:trPr>
          <w:trHeight w:val="315"/>
        </w:trPr>
        <w:tc>
          <w:tcPr>
            <w:tcW w:w="66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570C9"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854" w:type="pct"/>
            <w:tcBorders>
              <w:top w:val="single" w:sz="4" w:space="0" w:color="auto"/>
              <w:left w:val="nil"/>
              <w:bottom w:val="single" w:sz="4" w:space="0" w:color="auto"/>
              <w:right w:val="single" w:sz="4" w:space="0" w:color="auto"/>
            </w:tcBorders>
            <w:shd w:val="clear" w:color="auto" w:fill="auto"/>
            <w:noWrap/>
            <w:vAlign w:val="bottom"/>
            <w:hideMark/>
          </w:tcPr>
          <w:p w14:paraId="1514972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Demand for the year</w:t>
            </w:r>
          </w:p>
        </w:tc>
        <w:tc>
          <w:tcPr>
            <w:tcW w:w="1250" w:type="pct"/>
            <w:tcBorders>
              <w:top w:val="single" w:sz="4" w:space="0" w:color="auto"/>
              <w:left w:val="nil"/>
              <w:bottom w:val="single" w:sz="4" w:space="0" w:color="auto"/>
              <w:right w:val="single" w:sz="4" w:space="0" w:color="auto"/>
            </w:tcBorders>
            <w:shd w:val="clear" w:color="auto" w:fill="auto"/>
            <w:noWrap/>
            <w:vAlign w:val="bottom"/>
            <w:hideMark/>
          </w:tcPr>
          <w:p w14:paraId="51F8701D"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Highest possible produce</w:t>
            </w:r>
          </w:p>
        </w:tc>
        <w:tc>
          <w:tcPr>
            <w:tcW w:w="931" w:type="pct"/>
            <w:tcBorders>
              <w:top w:val="single" w:sz="4" w:space="0" w:color="auto"/>
              <w:left w:val="nil"/>
              <w:bottom w:val="single" w:sz="4" w:space="0" w:color="auto"/>
              <w:right w:val="single" w:sz="4" w:space="0" w:color="auto"/>
            </w:tcBorders>
            <w:shd w:val="clear" w:color="auto" w:fill="auto"/>
            <w:noWrap/>
            <w:vAlign w:val="bottom"/>
            <w:hideMark/>
          </w:tcPr>
          <w:p w14:paraId="42F1EF69"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Per tyre wire use</w:t>
            </w:r>
          </w:p>
        </w:tc>
        <w:tc>
          <w:tcPr>
            <w:tcW w:w="644" w:type="pct"/>
            <w:tcBorders>
              <w:top w:val="single" w:sz="4" w:space="0" w:color="auto"/>
              <w:left w:val="nil"/>
              <w:bottom w:val="single" w:sz="4" w:space="0" w:color="auto"/>
              <w:right w:val="single" w:sz="4" w:space="0" w:color="auto"/>
            </w:tcBorders>
            <w:shd w:val="clear" w:color="auto" w:fill="auto"/>
            <w:noWrap/>
            <w:vAlign w:val="bottom"/>
            <w:hideMark/>
          </w:tcPr>
          <w:p w14:paraId="567A780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Wire used</w:t>
            </w:r>
          </w:p>
        </w:tc>
        <w:tc>
          <w:tcPr>
            <w:tcW w:w="652" w:type="pct"/>
            <w:tcBorders>
              <w:top w:val="single" w:sz="4" w:space="0" w:color="auto"/>
              <w:left w:val="nil"/>
              <w:bottom w:val="single" w:sz="4" w:space="0" w:color="auto"/>
              <w:right w:val="single" w:sz="4" w:space="0" w:color="auto"/>
            </w:tcBorders>
            <w:shd w:val="clear" w:color="auto" w:fill="auto"/>
            <w:noWrap/>
            <w:vAlign w:val="bottom"/>
            <w:hideMark/>
          </w:tcPr>
          <w:p w14:paraId="335C233A"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Remaining wire</w:t>
            </w:r>
          </w:p>
        </w:tc>
      </w:tr>
      <w:tr w:rsidR="00D25ADA" w:rsidRPr="00D25ADA" w14:paraId="63C1B245"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1735214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854" w:type="pct"/>
            <w:tcBorders>
              <w:top w:val="nil"/>
              <w:left w:val="nil"/>
              <w:bottom w:val="single" w:sz="4" w:space="0" w:color="auto"/>
              <w:right w:val="single" w:sz="4" w:space="0" w:color="auto"/>
            </w:tcBorders>
            <w:shd w:val="clear" w:color="auto" w:fill="auto"/>
            <w:noWrap/>
            <w:vAlign w:val="bottom"/>
            <w:hideMark/>
          </w:tcPr>
          <w:p w14:paraId="6C4A81A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250" w:type="pct"/>
            <w:tcBorders>
              <w:top w:val="nil"/>
              <w:left w:val="nil"/>
              <w:bottom w:val="single" w:sz="4" w:space="0" w:color="auto"/>
              <w:right w:val="single" w:sz="4" w:space="0" w:color="auto"/>
            </w:tcBorders>
            <w:shd w:val="clear" w:color="auto" w:fill="auto"/>
            <w:noWrap/>
            <w:vAlign w:val="bottom"/>
            <w:hideMark/>
          </w:tcPr>
          <w:p w14:paraId="015D9E5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931" w:type="pct"/>
            <w:tcBorders>
              <w:top w:val="nil"/>
              <w:left w:val="nil"/>
              <w:bottom w:val="single" w:sz="4" w:space="0" w:color="auto"/>
              <w:right w:val="single" w:sz="4" w:space="0" w:color="auto"/>
            </w:tcBorders>
            <w:shd w:val="clear" w:color="auto" w:fill="auto"/>
            <w:noWrap/>
            <w:vAlign w:val="bottom"/>
            <w:hideMark/>
          </w:tcPr>
          <w:p w14:paraId="7F9151C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44" w:type="pct"/>
            <w:tcBorders>
              <w:top w:val="nil"/>
              <w:left w:val="nil"/>
              <w:bottom w:val="single" w:sz="4" w:space="0" w:color="auto"/>
              <w:right w:val="single" w:sz="4" w:space="0" w:color="auto"/>
            </w:tcBorders>
            <w:shd w:val="clear" w:color="auto" w:fill="auto"/>
            <w:noWrap/>
            <w:vAlign w:val="bottom"/>
            <w:hideMark/>
          </w:tcPr>
          <w:p w14:paraId="04FBA3D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52" w:type="pct"/>
            <w:tcBorders>
              <w:top w:val="nil"/>
              <w:left w:val="nil"/>
              <w:bottom w:val="single" w:sz="4" w:space="0" w:color="auto"/>
              <w:right w:val="single" w:sz="4" w:space="0" w:color="auto"/>
            </w:tcBorders>
            <w:shd w:val="clear" w:color="auto" w:fill="auto"/>
            <w:noWrap/>
            <w:vAlign w:val="bottom"/>
            <w:hideMark/>
          </w:tcPr>
          <w:p w14:paraId="44C8BB2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25140</w:t>
            </w:r>
          </w:p>
        </w:tc>
      </w:tr>
      <w:tr w:rsidR="00D25ADA" w:rsidRPr="00D25ADA" w14:paraId="21BD7B21"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18E0E3C0"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1: Standard</w:t>
            </w:r>
          </w:p>
        </w:tc>
        <w:tc>
          <w:tcPr>
            <w:tcW w:w="854" w:type="pct"/>
            <w:tcBorders>
              <w:top w:val="nil"/>
              <w:left w:val="nil"/>
              <w:bottom w:val="single" w:sz="4" w:space="0" w:color="auto"/>
              <w:right w:val="single" w:sz="4" w:space="0" w:color="auto"/>
            </w:tcBorders>
            <w:shd w:val="clear" w:color="auto" w:fill="auto"/>
            <w:noWrap/>
            <w:vAlign w:val="bottom"/>
            <w:hideMark/>
          </w:tcPr>
          <w:p w14:paraId="068DF8B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1600</w:t>
            </w:r>
          </w:p>
        </w:tc>
        <w:tc>
          <w:tcPr>
            <w:tcW w:w="1250" w:type="pct"/>
            <w:tcBorders>
              <w:top w:val="nil"/>
              <w:left w:val="nil"/>
              <w:bottom w:val="single" w:sz="4" w:space="0" w:color="auto"/>
              <w:right w:val="single" w:sz="4" w:space="0" w:color="auto"/>
            </w:tcBorders>
            <w:shd w:val="clear" w:color="auto" w:fill="auto"/>
            <w:noWrap/>
            <w:vAlign w:val="bottom"/>
            <w:hideMark/>
          </w:tcPr>
          <w:p w14:paraId="0F8A842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1600</w:t>
            </w:r>
          </w:p>
        </w:tc>
        <w:tc>
          <w:tcPr>
            <w:tcW w:w="931" w:type="pct"/>
            <w:tcBorders>
              <w:top w:val="nil"/>
              <w:left w:val="nil"/>
              <w:bottom w:val="single" w:sz="4" w:space="0" w:color="auto"/>
              <w:right w:val="single" w:sz="4" w:space="0" w:color="auto"/>
            </w:tcBorders>
            <w:shd w:val="clear" w:color="auto" w:fill="auto"/>
            <w:noWrap/>
            <w:vAlign w:val="bottom"/>
            <w:hideMark/>
          </w:tcPr>
          <w:p w14:paraId="4FFBBA0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w:t>
            </w:r>
          </w:p>
        </w:tc>
        <w:tc>
          <w:tcPr>
            <w:tcW w:w="644" w:type="pct"/>
            <w:tcBorders>
              <w:top w:val="nil"/>
              <w:left w:val="nil"/>
              <w:bottom w:val="single" w:sz="4" w:space="0" w:color="auto"/>
              <w:right w:val="single" w:sz="4" w:space="0" w:color="auto"/>
            </w:tcBorders>
            <w:shd w:val="clear" w:color="auto" w:fill="auto"/>
            <w:noWrap/>
            <w:vAlign w:val="bottom"/>
            <w:hideMark/>
          </w:tcPr>
          <w:p w14:paraId="071DA3A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9600</w:t>
            </w:r>
          </w:p>
        </w:tc>
        <w:tc>
          <w:tcPr>
            <w:tcW w:w="652" w:type="pct"/>
            <w:tcBorders>
              <w:top w:val="nil"/>
              <w:left w:val="nil"/>
              <w:bottom w:val="single" w:sz="4" w:space="0" w:color="auto"/>
              <w:right w:val="single" w:sz="4" w:space="0" w:color="auto"/>
            </w:tcBorders>
            <w:shd w:val="clear" w:color="auto" w:fill="auto"/>
            <w:noWrap/>
            <w:vAlign w:val="bottom"/>
            <w:hideMark/>
          </w:tcPr>
          <w:p w14:paraId="171BD4C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15540</w:t>
            </w:r>
          </w:p>
        </w:tc>
      </w:tr>
      <w:tr w:rsidR="00D25ADA" w:rsidRPr="00D25ADA" w14:paraId="500A46AF"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7D296F5C"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2: Premium</w:t>
            </w:r>
          </w:p>
        </w:tc>
        <w:tc>
          <w:tcPr>
            <w:tcW w:w="854" w:type="pct"/>
            <w:tcBorders>
              <w:top w:val="nil"/>
              <w:left w:val="nil"/>
              <w:bottom w:val="single" w:sz="4" w:space="0" w:color="auto"/>
              <w:right w:val="single" w:sz="4" w:space="0" w:color="auto"/>
            </w:tcBorders>
            <w:shd w:val="clear" w:color="auto" w:fill="auto"/>
            <w:noWrap/>
            <w:vAlign w:val="bottom"/>
            <w:hideMark/>
          </w:tcPr>
          <w:p w14:paraId="39A21C7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w:t>
            </w:r>
          </w:p>
        </w:tc>
        <w:tc>
          <w:tcPr>
            <w:tcW w:w="1250" w:type="pct"/>
            <w:tcBorders>
              <w:top w:val="nil"/>
              <w:left w:val="nil"/>
              <w:bottom w:val="single" w:sz="4" w:space="0" w:color="auto"/>
              <w:right w:val="single" w:sz="4" w:space="0" w:color="auto"/>
            </w:tcBorders>
            <w:shd w:val="clear" w:color="auto" w:fill="auto"/>
            <w:noWrap/>
            <w:vAlign w:val="bottom"/>
            <w:hideMark/>
          </w:tcPr>
          <w:p w14:paraId="1B2B382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w:t>
            </w:r>
          </w:p>
        </w:tc>
        <w:tc>
          <w:tcPr>
            <w:tcW w:w="931" w:type="pct"/>
            <w:tcBorders>
              <w:top w:val="nil"/>
              <w:left w:val="nil"/>
              <w:bottom w:val="single" w:sz="4" w:space="0" w:color="auto"/>
              <w:right w:val="single" w:sz="4" w:space="0" w:color="auto"/>
            </w:tcBorders>
            <w:shd w:val="clear" w:color="auto" w:fill="auto"/>
            <w:noWrap/>
            <w:vAlign w:val="bottom"/>
            <w:hideMark/>
          </w:tcPr>
          <w:p w14:paraId="6415329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w:t>
            </w:r>
          </w:p>
        </w:tc>
        <w:tc>
          <w:tcPr>
            <w:tcW w:w="644" w:type="pct"/>
            <w:tcBorders>
              <w:top w:val="nil"/>
              <w:left w:val="nil"/>
              <w:bottom w:val="single" w:sz="4" w:space="0" w:color="auto"/>
              <w:right w:val="single" w:sz="4" w:space="0" w:color="auto"/>
            </w:tcBorders>
            <w:shd w:val="clear" w:color="auto" w:fill="auto"/>
            <w:noWrap/>
            <w:vAlign w:val="bottom"/>
            <w:hideMark/>
          </w:tcPr>
          <w:p w14:paraId="1C4294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10800</w:t>
            </w:r>
          </w:p>
        </w:tc>
        <w:tc>
          <w:tcPr>
            <w:tcW w:w="652" w:type="pct"/>
            <w:tcBorders>
              <w:top w:val="nil"/>
              <w:left w:val="nil"/>
              <w:bottom w:val="single" w:sz="4" w:space="0" w:color="auto"/>
              <w:right w:val="single" w:sz="4" w:space="0" w:color="auto"/>
            </w:tcBorders>
            <w:shd w:val="clear" w:color="auto" w:fill="auto"/>
            <w:noWrap/>
            <w:vAlign w:val="bottom"/>
            <w:hideMark/>
          </w:tcPr>
          <w:p w14:paraId="413CAEC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4740</w:t>
            </w:r>
          </w:p>
        </w:tc>
      </w:tr>
      <w:tr w:rsidR="00D25ADA" w:rsidRPr="00D25ADA" w14:paraId="7D4D5767" w14:textId="77777777" w:rsidTr="00D25ADA">
        <w:trPr>
          <w:trHeight w:val="315"/>
        </w:trPr>
        <w:tc>
          <w:tcPr>
            <w:tcW w:w="669" w:type="pct"/>
            <w:tcBorders>
              <w:top w:val="nil"/>
              <w:left w:val="single" w:sz="4" w:space="0" w:color="auto"/>
              <w:bottom w:val="single" w:sz="4" w:space="0" w:color="auto"/>
              <w:right w:val="single" w:sz="4" w:space="0" w:color="auto"/>
            </w:tcBorders>
            <w:shd w:val="clear" w:color="auto" w:fill="auto"/>
            <w:noWrap/>
            <w:vAlign w:val="bottom"/>
            <w:hideMark/>
          </w:tcPr>
          <w:p w14:paraId="35469678"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Rank 3: Budget</w:t>
            </w:r>
          </w:p>
        </w:tc>
        <w:tc>
          <w:tcPr>
            <w:tcW w:w="854" w:type="pct"/>
            <w:tcBorders>
              <w:top w:val="nil"/>
              <w:left w:val="nil"/>
              <w:bottom w:val="single" w:sz="4" w:space="0" w:color="auto"/>
              <w:right w:val="single" w:sz="4" w:space="0" w:color="auto"/>
            </w:tcBorders>
            <w:shd w:val="clear" w:color="auto" w:fill="auto"/>
            <w:noWrap/>
            <w:vAlign w:val="bottom"/>
            <w:hideMark/>
          </w:tcPr>
          <w:p w14:paraId="70074CD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2200</w:t>
            </w:r>
          </w:p>
        </w:tc>
        <w:tc>
          <w:tcPr>
            <w:tcW w:w="1250" w:type="pct"/>
            <w:tcBorders>
              <w:top w:val="nil"/>
              <w:left w:val="nil"/>
              <w:bottom w:val="single" w:sz="4" w:space="0" w:color="auto"/>
              <w:right w:val="single" w:sz="4" w:space="0" w:color="auto"/>
            </w:tcBorders>
            <w:shd w:val="clear" w:color="auto" w:fill="auto"/>
            <w:noWrap/>
            <w:vAlign w:val="bottom"/>
            <w:hideMark/>
          </w:tcPr>
          <w:p w14:paraId="631BA66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1185</w:t>
            </w:r>
          </w:p>
        </w:tc>
        <w:tc>
          <w:tcPr>
            <w:tcW w:w="931" w:type="pct"/>
            <w:tcBorders>
              <w:top w:val="nil"/>
              <w:left w:val="nil"/>
              <w:bottom w:val="single" w:sz="4" w:space="0" w:color="auto"/>
              <w:right w:val="single" w:sz="4" w:space="0" w:color="auto"/>
            </w:tcBorders>
            <w:shd w:val="clear" w:color="auto" w:fill="auto"/>
            <w:noWrap/>
            <w:vAlign w:val="bottom"/>
            <w:hideMark/>
          </w:tcPr>
          <w:p w14:paraId="36CA9BC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w:t>
            </w:r>
          </w:p>
        </w:tc>
        <w:tc>
          <w:tcPr>
            <w:tcW w:w="644" w:type="pct"/>
            <w:tcBorders>
              <w:top w:val="nil"/>
              <w:left w:val="nil"/>
              <w:bottom w:val="single" w:sz="4" w:space="0" w:color="auto"/>
              <w:right w:val="single" w:sz="4" w:space="0" w:color="auto"/>
            </w:tcBorders>
            <w:shd w:val="clear" w:color="auto" w:fill="auto"/>
            <w:noWrap/>
            <w:vAlign w:val="bottom"/>
            <w:hideMark/>
          </w:tcPr>
          <w:p w14:paraId="15C7C2A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4740</w:t>
            </w:r>
          </w:p>
        </w:tc>
        <w:tc>
          <w:tcPr>
            <w:tcW w:w="652" w:type="pct"/>
            <w:tcBorders>
              <w:top w:val="nil"/>
              <w:left w:val="nil"/>
              <w:bottom w:val="single" w:sz="4" w:space="0" w:color="auto"/>
              <w:right w:val="single" w:sz="4" w:space="0" w:color="auto"/>
            </w:tcBorders>
            <w:shd w:val="clear" w:color="auto" w:fill="auto"/>
            <w:noWrap/>
            <w:vAlign w:val="bottom"/>
            <w:hideMark/>
          </w:tcPr>
          <w:p w14:paraId="2B83E0A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0</w:t>
            </w:r>
          </w:p>
        </w:tc>
      </w:tr>
    </w:tbl>
    <w:p w14:paraId="4C0E3EC9" w14:textId="79522E6D" w:rsidR="00D25ADA" w:rsidRDefault="00D25ADA" w:rsidP="00B82756">
      <w:pPr>
        <w:jc w:val="both"/>
        <w:rPr>
          <w:b/>
          <w:bCs/>
        </w:rPr>
      </w:pPr>
    </w:p>
    <w:p w14:paraId="60CC1012" w14:textId="2603EC2E" w:rsidR="004F3F3E" w:rsidRPr="004F3F3E" w:rsidRDefault="004F3F3E" w:rsidP="00B82756">
      <w:pPr>
        <w:jc w:val="both"/>
      </w:pPr>
      <w:r>
        <w:t>In this case, the demand for standard would be fulfilled as per the ranking of the products</w:t>
      </w:r>
      <w:r w:rsidR="00B82756">
        <w:t xml:space="preserve"> (Zhang, 2018)</w:t>
      </w:r>
      <w:r>
        <w:t xml:space="preserve">. </w:t>
      </w:r>
    </w:p>
    <w:p w14:paraId="5809314A" w14:textId="55CE8C3C" w:rsidR="00D25ADA" w:rsidRDefault="00D25ADA" w:rsidP="00B82756">
      <w:pPr>
        <w:jc w:val="both"/>
        <w:rPr>
          <w:b/>
          <w:bCs/>
        </w:rPr>
      </w:pPr>
      <w:r>
        <w:rPr>
          <w:b/>
          <w:bCs/>
        </w:rPr>
        <w:t>Marginal cost income statement</w:t>
      </w:r>
    </w:p>
    <w:tbl>
      <w:tblPr>
        <w:tblW w:w="5000" w:type="pct"/>
        <w:tblLook w:val="04A0" w:firstRow="1" w:lastRow="0" w:firstColumn="1" w:lastColumn="0" w:noHBand="0" w:noVBand="1"/>
      </w:tblPr>
      <w:tblGrid>
        <w:gridCol w:w="2790"/>
        <w:gridCol w:w="935"/>
        <w:gridCol w:w="1104"/>
        <w:gridCol w:w="978"/>
        <w:gridCol w:w="1301"/>
        <w:gridCol w:w="915"/>
        <w:gridCol w:w="1219"/>
      </w:tblGrid>
      <w:tr w:rsidR="00D25ADA" w:rsidRPr="00D25ADA" w14:paraId="6FF96DA5" w14:textId="77777777" w:rsidTr="00D25ADA">
        <w:trPr>
          <w:trHeight w:val="315"/>
        </w:trPr>
        <w:tc>
          <w:tcPr>
            <w:tcW w:w="14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67916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Particulars</w:t>
            </w:r>
          </w:p>
        </w:tc>
        <w:tc>
          <w:tcPr>
            <w:tcW w:w="3579" w:type="pct"/>
            <w:gridSpan w:val="6"/>
            <w:tcBorders>
              <w:top w:val="single" w:sz="4" w:space="0" w:color="auto"/>
              <w:left w:val="nil"/>
              <w:bottom w:val="single" w:sz="4" w:space="0" w:color="auto"/>
              <w:right w:val="single" w:sz="4" w:space="0" w:color="auto"/>
            </w:tcBorders>
            <w:shd w:val="clear" w:color="auto" w:fill="auto"/>
            <w:noWrap/>
            <w:vAlign w:val="bottom"/>
            <w:hideMark/>
          </w:tcPr>
          <w:p w14:paraId="6240EE0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Amount (£)</w:t>
            </w:r>
          </w:p>
        </w:tc>
      </w:tr>
      <w:tr w:rsidR="00D25ADA" w:rsidRPr="00D25ADA" w14:paraId="02DCEBBA"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EF0359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1141" w:type="pct"/>
            <w:gridSpan w:val="2"/>
            <w:tcBorders>
              <w:top w:val="single" w:sz="4" w:space="0" w:color="auto"/>
              <w:left w:val="nil"/>
              <w:bottom w:val="single" w:sz="4" w:space="0" w:color="auto"/>
              <w:right w:val="single" w:sz="4" w:space="0" w:color="auto"/>
            </w:tcBorders>
            <w:shd w:val="clear" w:color="auto" w:fill="auto"/>
            <w:noWrap/>
            <w:vAlign w:val="bottom"/>
            <w:hideMark/>
          </w:tcPr>
          <w:p w14:paraId="7045F724"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Budget (1185 units)</w:t>
            </w:r>
          </w:p>
        </w:tc>
        <w:tc>
          <w:tcPr>
            <w:tcW w:w="1219" w:type="pct"/>
            <w:gridSpan w:val="2"/>
            <w:tcBorders>
              <w:top w:val="single" w:sz="4" w:space="0" w:color="auto"/>
              <w:left w:val="nil"/>
              <w:bottom w:val="single" w:sz="4" w:space="0" w:color="auto"/>
              <w:right w:val="single" w:sz="4" w:space="0" w:color="auto"/>
            </w:tcBorders>
            <w:shd w:val="clear" w:color="auto" w:fill="auto"/>
            <w:noWrap/>
            <w:vAlign w:val="bottom"/>
            <w:hideMark/>
          </w:tcPr>
          <w:p w14:paraId="47270CE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Standard (1600 Units)</w:t>
            </w:r>
          </w:p>
        </w:tc>
        <w:tc>
          <w:tcPr>
            <w:tcW w:w="1219" w:type="pct"/>
            <w:gridSpan w:val="2"/>
            <w:tcBorders>
              <w:top w:val="single" w:sz="4" w:space="0" w:color="auto"/>
              <w:left w:val="nil"/>
              <w:bottom w:val="single" w:sz="4" w:space="0" w:color="auto"/>
              <w:right w:val="single" w:sz="4" w:space="0" w:color="auto"/>
            </w:tcBorders>
            <w:shd w:val="clear" w:color="auto" w:fill="auto"/>
            <w:noWrap/>
            <w:vAlign w:val="bottom"/>
            <w:hideMark/>
          </w:tcPr>
          <w:p w14:paraId="4025BD53"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Premium (900 units)</w:t>
            </w:r>
          </w:p>
        </w:tc>
      </w:tr>
      <w:tr w:rsidR="00D25ADA" w:rsidRPr="00D25ADA" w14:paraId="4AC1F371"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704BF87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2" w:type="pct"/>
            <w:tcBorders>
              <w:top w:val="nil"/>
              <w:left w:val="nil"/>
              <w:bottom w:val="single" w:sz="4" w:space="0" w:color="auto"/>
              <w:right w:val="single" w:sz="4" w:space="0" w:color="auto"/>
            </w:tcBorders>
            <w:shd w:val="clear" w:color="auto" w:fill="auto"/>
            <w:noWrap/>
            <w:vAlign w:val="bottom"/>
            <w:hideMark/>
          </w:tcPr>
          <w:p w14:paraId="2D88BCE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19" w:type="pct"/>
            <w:tcBorders>
              <w:top w:val="nil"/>
              <w:left w:val="nil"/>
              <w:bottom w:val="single" w:sz="4" w:space="0" w:color="auto"/>
              <w:right w:val="single" w:sz="4" w:space="0" w:color="auto"/>
            </w:tcBorders>
            <w:shd w:val="clear" w:color="auto" w:fill="auto"/>
            <w:noWrap/>
            <w:vAlign w:val="bottom"/>
            <w:hideMark/>
          </w:tcPr>
          <w:p w14:paraId="71C41DF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c>
          <w:tcPr>
            <w:tcW w:w="521" w:type="pct"/>
            <w:tcBorders>
              <w:top w:val="nil"/>
              <w:left w:val="nil"/>
              <w:bottom w:val="single" w:sz="4" w:space="0" w:color="auto"/>
              <w:right w:val="single" w:sz="4" w:space="0" w:color="auto"/>
            </w:tcBorders>
            <w:shd w:val="clear" w:color="auto" w:fill="auto"/>
            <w:noWrap/>
            <w:vAlign w:val="bottom"/>
            <w:hideMark/>
          </w:tcPr>
          <w:p w14:paraId="0BBE9F7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98" w:type="pct"/>
            <w:tcBorders>
              <w:top w:val="nil"/>
              <w:left w:val="nil"/>
              <w:bottom w:val="single" w:sz="4" w:space="0" w:color="auto"/>
              <w:right w:val="single" w:sz="4" w:space="0" w:color="auto"/>
            </w:tcBorders>
            <w:shd w:val="clear" w:color="auto" w:fill="auto"/>
            <w:noWrap/>
            <w:vAlign w:val="bottom"/>
            <w:hideMark/>
          </w:tcPr>
          <w:p w14:paraId="2AF77EB4"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c>
          <w:tcPr>
            <w:tcW w:w="521" w:type="pct"/>
            <w:tcBorders>
              <w:top w:val="nil"/>
              <w:left w:val="nil"/>
              <w:bottom w:val="single" w:sz="4" w:space="0" w:color="auto"/>
              <w:right w:val="single" w:sz="4" w:space="0" w:color="auto"/>
            </w:tcBorders>
            <w:shd w:val="clear" w:color="auto" w:fill="auto"/>
            <w:noWrap/>
            <w:vAlign w:val="bottom"/>
            <w:hideMark/>
          </w:tcPr>
          <w:p w14:paraId="73C4924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Per unit</w:t>
            </w:r>
          </w:p>
        </w:tc>
        <w:tc>
          <w:tcPr>
            <w:tcW w:w="698" w:type="pct"/>
            <w:tcBorders>
              <w:top w:val="nil"/>
              <w:left w:val="nil"/>
              <w:bottom w:val="single" w:sz="4" w:space="0" w:color="auto"/>
              <w:right w:val="single" w:sz="4" w:space="0" w:color="auto"/>
            </w:tcBorders>
            <w:shd w:val="clear" w:color="auto" w:fill="auto"/>
            <w:noWrap/>
            <w:vAlign w:val="bottom"/>
            <w:hideMark/>
          </w:tcPr>
          <w:p w14:paraId="572BEA22"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Total</w:t>
            </w:r>
          </w:p>
        </w:tc>
      </w:tr>
      <w:tr w:rsidR="00D25ADA" w:rsidRPr="00D25ADA" w14:paraId="7876B542"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0DA50EC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Selling Price</w:t>
            </w:r>
          </w:p>
        </w:tc>
        <w:tc>
          <w:tcPr>
            <w:tcW w:w="522" w:type="pct"/>
            <w:tcBorders>
              <w:top w:val="nil"/>
              <w:left w:val="nil"/>
              <w:bottom w:val="single" w:sz="4" w:space="0" w:color="auto"/>
              <w:right w:val="single" w:sz="4" w:space="0" w:color="auto"/>
            </w:tcBorders>
            <w:shd w:val="clear" w:color="auto" w:fill="auto"/>
            <w:noWrap/>
            <w:vAlign w:val="bottom"/>
            <w:hideMark/>
          </w:tcPr>
          <w:p w14:paraId="1034517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60.00</w:t>
            </w:r>
          </w:p>
        </w:tc>
        <w:tc>
          <w:tcPr>
            <w:tcW w:w="619" w:type="pct"/>
            <w:tcBorders>
              <w:top w:val="nil"/>
              <w:left w:val="nil"/>
              <w:bottom w:val="single" w:sz="4" w:space="0" w:color="auto"/>
              <w:right w:val="single" w:sz="4" w:space="0" w:color="auto"/>
            </w:tcBorders>
            <w:shd w:val="clear" w:color="auto" w:fill="auto"/>
            <w:noWrap/>
            <w:vAlign w:val="bottom"/>
            <w:hideMark/>
          </w:tcPr>
          <w:p w14:paraId="4225268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71100.00</w:t>
            </w:r>
          </w:p>
        </w:tc>
        <w:tc>
          <w:tcPr>
            <w:tcW w:w="521" w:type="pct"/>
            <w:tcBorders>
              <w:top w:val="nil"/>
              <w:left w:val="nil"/>
              <w:bottom w:val="single" w:sz="4" w:space="0" w:color="auto"/>
              <w:right w:val="single" w:sz="4" w:space="0" w:color="auto"/>
            </w:tcBorders>
            <w:shd w:val="clear" w:color="auto" w:fill="auto"/>
            <w:noWrap/>
            <w:vAlign w:val="bottom"/>
            <w:hideMark/>
          </w:tcPr>
          <w:p w14:paraId="2643F80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90.00</w:t>
            </w:r>
          </w:p>
        </w:tc>
        <w:tc>
          <w:tcPr>
            <w:tcW w:w="698" w:type="pct"/>
            <w:tcBorders>
              <w:top w:val="nil"/>
              <w:left w:val="nil"/>
              <w:bottom w:val="single" w:sz="4" w:space="0" w:color="auto"/>
              <w:right w:val="single" w:sz="4" w:space="0" w:color="auto"/>
            </w:tcBorders>
            <w:shd w:val="clear" w:color="auto" w:fill="auto"/>
            <w:noWrap/>
            <w:vAlign w:val="bottom"/>
            <w:hideMark/>
          </w:tcPr>
          <w:p w14:paraId="188E654E"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144000.00</w:t>
            </w:r>
          </w:p>
        </w:tc>
        <w:tc>
          <w:tcPr>
            <w:tcW w:w="521" w:type="pct"/>
            <w:tcBorders>
              <w:top w:val="nil"/>
              <w:left w:val="nil"/>
              <w:bottom w:val="single" w:sz="4" w:space="0" w:color="auto"/>
              <w:right w:val="single" w:sz="4" w:space="0" w:color="auto"/>
            </w:tcBorders>
            <w:shd w:val="clear" w:color="auto" w:fill="auto"/>
            <w:noWrap/>
            <w:vAlign w:val="bottom"/>
            <w:hideMark/>
          </w:tcPr>
          <w:p w14:paraId="29D12F7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120.00</w:t>
            </w:r>
          </w:p>
        </w:tc>
        <w:tc>
          <w:tcPr>
            <w:tcW w:w="698" w:type="pct"/>
            <w:tcBorders>
              <w:top w:val="nil"/>
              <w:left w:val="nil"/>
              <w:bottom w:val="single" w:sz="4" w:space="0" w:color="auto"/>
              <w:right w:val="single" w:sz="4" w:space="0" w:color="auto"/>
            </w:tcBorders>
            <w:shd w:val="clear" w:color="auto" w:fill="auto"/>
            <w:noWrap/>
            <w:vAlign w:val="bottom"/>
            <w:hideMark/>
          </w:tcPr>
          <w:p w14:paraId="5917933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108000.00</w:t>
            </w:r>
          </w:p>
        </w:tc>
      </w:tr>
      <w:tr w:rsidR="00D25ADA" w:rsidRPr="00D25ADA" w14:paraId="51744D51"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7D14ABD8" w14:textId="77777777" w:rsidR="00D25ADA" w:rsidRPr="00D25ADA" w:rsidRDefault="00D25ADA" w:rsidP="00B82756">
            <w:pPr>
              <w:spacing w:after="0"/>
              <w:jc w:val="both"/>
              <w:rPr>
                <w:rFonts w:eastAsia="Times New Roman" w:cs="Times New Roman"/>
                <w:color w:val="000000"/>
                <w:szCs w:val="24"/>
                <w:u w:val="single"/>
                <w:lang w:eastAsia="en-IN"/>
              </w:rPr>
            </w:pPr>
            <w:r w:rsidRPr="00D25ADA">
              <w:rPr>
                <w:rFonts w:eastAsia="Times New Roman" w:cs="Times New Roman"/>
                <w:color w:val="000000"/>
                <w:szCs w:val="24"/>
                <w:u w:val="single"/>
                <w:lang w:eastAsia="en-IN"/>
              </w:rPr>
              <w:t>Variable Cost:</w:t>
            </w:r>
          </w:p>
        </w:tc>
        <w:tc>
          <w:tcPr>
            <w:tcW w:w="522" w:type="pct"/>
            <w:tcBorders>
              <w:top w:val="nil"/>
              <w:left w:val="nil"/>
              <w:bottom w:val="single" w:sz="4" w:space="0" w:color="auto"/>
              <w:right w:val="single" w:sz="4" w:space="0" w:color="auto"/>
            </w:tcBorders>
            <w:shd w:val="clear" w:color="auto" w:fill="auto"/>
            <w:noWrap/>
            <w:vAlign w:val="bottom"/>
            <w:hideMark/>
          </w:tcPr>
          <w:p w14:paraId="1D117BE0"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42CA045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1" w:type="pct"/>
            <w:tcBorders>
              <w:top w:val="nil"/>
              <w:left w:val="nil"/>
              <w:bottom w:val="single" w:sz="4" w:space="0" w:color="auto"/>
              <w:right w:val="single" w:sz="4" w:space="0" w:color="auto"/>
            </w:tcBorders>
            <w:shd w:val="clear" w:color="auto" w:fill="auto"/>
            <w:noWrap/>
            <w:vAlign w:val="bottom"/>
            <w:hideMark/>
          </w:tcPr>
          <w:p w14:paraId="5B15276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5595F4F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521" w:type="pct"/>
            <w:tcBorders>
              <w:top w:val="nil"/>
              <w:left w:val="nil"/>
              <w:bottom w:val="single" w:sz="4" w:space="0" w:color="auto"/>
              <w:right w:val="single" w:sz="4" w:space="0" w:color="auto"/>
            </w:tcBorders>
            <w:shd w:val="clear" w:color="auto" w:fill="auto"/>
            <w:noWrap/>
            <w:vAlign w:val="bottom"/>
            <w:hideMark/>
          </w:tcPr>
          <w:p w14:paraId="74E43B7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72CA2ED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r>
      <w:tr w:rsidR="00D25ADA" w:rsidRPr="00D25ADA" w14:paraId="4EAC4196"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75C6FA7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xml:space="preserve">Material </w:t>
            </w:r>
          </w:p>
        </w:tc>
        <w:tc>
          <w:tcPr>
            <w:tcW w:w="522" w:type="pct"/>
            <w:tcBorders>
              <w:top w:val="nil"/>
              <w:left w:val="nil"/>
              <w:bottom w:val="single" w:sz="4" w:space="0" w:color="auto"/>
              <w:right w:val="single" w:sz="4" w:space="0" w:color="auto"/>
            </w:tcBorders>
            <w:shd w:val="clear" w:color="auto" w:fill="auto"/>
            <w:noWrap/>
            <w:vAlign w:val="bottom"/>
            <w:hideMark/>
          </w:tcPr>
          <w:p w14:paraId="6D83592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27.53</w:t>
            </w:r>
          </w:p>
        </w:tc>
        <w:tc>
          <w:tcPr>
            <w:tcW w:w="619" w:type="pct"/>
            <w:tcBorders>
              <w:top w:val="nil"/>
              <w:left w:val="nil"/>
              <w:bottom w:val="single" w:sz="4" w:space="0" w:color="auto"/>
              <w:right w:val="single" w:sz="4" w:space="0" w:color="auto"/>
            </w:tcBorders>
            <w:shd w:val="clear" w:color="auto" w:fill="auto"/>
            <w:noWrap/>
            <w:vAlign w:val="bottom"/>
            <w:hideMark/>
          </w:tcPr>
          <w:p w14:paraId="62FF464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32622.35</w:t>
            </w:r>
          </w:p>
        </w:tc>
        <w:tc>
          <w:tcPr>
            <w:tcW w:w="521" w:type="pct"/>
            <w:tcBorders>
              <w:top w:val="nil"/>
              <w:left w:val="nil"/>
              <w:bottom w:val="single" w:sz="4" w:space="0" w:color="auto"/>
              <w:right w:val="single" w:sz="4" w:space="0" w:color="auto"/>
            </w:tcBorders>
            <w:shd w:val="clear" w:color="auto" w:fill="auto"/>
            <w:noWrap/>
            <w:vAlign w:val="bottom"/>
            <w:hideMark/>
          </w:tcPr>
          <w:p w14:paraId="76387619"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31.13</w:t>
            </w:r>
          </w:p>
        </w:tc>
        <w:tc>
          <w:tcPr>
            <w:tcW w:w="698" w:type="pct"/>
            <w:tcBorders>
              <w:top w:val="nil"/>
              <w:left w:val="nil"/>
              <w:bottom w:val="single" w:sz="4" w:space="0" w:color="auto"/>
              <w:right w:val="single" w:sz="4" w:space="0" w:color="auto"/>
            </w:tcBorders>
            <w:shd w:val="clear" w:color="auto" w:fill="auto"/>
            <w:noWrap/>
            <w:vAlign w:val="bottom"/>
            <w:hideMark/>
          </w:tcPr>
          <w:p w14:paraId="6F17888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49806.45</w:t>
            </w:r>
          </w:p>
        </w:tc>
        <w:tc>
          <w:tcPr>
            <w:tcW w:w="521" w:type="pct"/>
            <w:tcBorders>
              <w:top w:val="nil"/>
              <w:left w:val="nil"/>
              <w:bottom w:val="single" w:sz="4" w:space="0" w:color="auto"/>
              <w:right w:val="single" w:sz="4" w:space="0" w:color="auto"/>
            </w:tcBorders>
            <w:shd w:val="clear" w:color="auto" w:fill="auto"/>
            <w:noWrap/>
            <w:vAlign w:val="bottom"/>
            <w:hideMark/>
          </w:tcPr>
          <w:p w14:paraId="74DD8F29"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24.08</w:t>
            </w:r>
          </w:p>
        </w:tc>
        <w:tc>
          <w:tcPr>
            <w:tcW w:w="698" w:type="pct"/>
            <w:tcBorders>
              <w:top w:val="nil"/>
              <w:left w:val="nil"/>
              <w:bottom w:val="single" w:sz="4" w:space="0" w:color="auto"/>
              <w:right w:val="single" w:sz="4" w:space="0" w:color="auto"/>
            </w:tcBorders>
            <w:shd w:val="clear" w:color="auto" w:fill="auto"/>
            <w:noWrap/>
            <w:vAlign w:val="bottom"/>
            <w:hideMark/>
          </w:tcPr>
          <w:p w14:paraId="72CA1C4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21671.05</w:t>
            </w:r>
          </w:p>
        </w:tc>
      </w:tr>
      <w:tr w:rsidR="00D25ADA" w:rsidRPr="00D25ADA" w14:paraId="216F3E3B"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15CF753"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Labour</w:t>
            </w:r>
          </w:p>
        </w:tc>
        <w:tc>
          <w:tcPr>
            <w:tcW w:w="522" w:type="pct"/>
            <w:tcBorders>
              <w:top w:val="nil"/>
              <w:left w:val="nil"/>
              <w:bottom w:val="single" w:sz="4" w:space="0" w:color="auto"/>
              <w:right w:val="single" w:sz="4" w:space="0" w:color="auto"/>
            </w:tcBorders>
            <w:shd w:val="clear" w:color="auto" w:fill="auto"/>
            <w:noWrap/>
            <w:vAlign w:val="bottom"/>
            <w:hideMark/>
          </w:tcPr>
          <w:p w14:paraId="2689113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14.35</w:t>
            </w:r>
          </w:p>
        </w:tc>
        <w:tc>
          <w:tcPr>
            <w:tcW w:w="619" w:type="pct"/>
            <w:tcBorders>
              <w:top w:val="nil"/>
              <w:left w:val="nil"/>
              <w:bottom w:val="single" w:sz="4" w:space="0" w:color="auto"/>
              <w:right w:val="single" w:sz="4" w:space="0" w:color="auto"/>
            </w:tcBorders>
            <w:shd w:val="clear" w:color="auto" w:fill="auto"/>
            <w:noWrap/>
            <w:vAlign w:val="bottom"/>
            <w:hideMark/>
          </w:tcPr>
          <w:p w14:paraId="7365E0D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17008.24</w:t>
            </w:r>
          </w:p>
        </w:tc>
        <w:tc>
          <w:tcPr>
            <w:tcW w:w="521" w:type="pct"/>
            <w:tcBorders>
              <w:top w:val="nil"/>
              <w:left w:val="nil"/>
              <w:bottom w:val="single" w:sz="4" w:space="0" w:color="auto"/>
              <w:right w:val="single" w:sz="4" w:space="0" w:color="auto"/>
            </w:tcBorders>
            <w:shd w:val="clear" w:color="auto" w:fill="auto"/>
            <w:noWrap/>
            <w:vAlign w:val="bottom"/>
            <w:hideMark/>
          </w:tcPr>
          <w:p w14:paraId="26706A7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23.31</w:t>
            </w:r>
          </w:p>
        </w:tc>
        <w:tc>
          <w:tcPr>
            <w:tcW w:w="698" w:type="pct"/>
            <w:tcBorders>
              <w:top w:val="nil"/>
              <w:left w:val="nil"/>
              <w:bottom w:val="single" w:sz="4" w:space="0" w:color="auto"/>
              <w:right w:val="single" w:sz="4" w:space="0" w:color="auto"/>
            </w:tcBorders>
            <w:shd w:val="clear" w:color="auto" w:fill="auto"/>
            <w:noWrap/>
            <w:vAlign w:val="bottom"/>
            <w:hideMark/>
          </w:tcPr>
          <w:p w14:paraId="41B1D59D"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37290.32</w:t>
            </w:r>
          </w:p>
        </w:tc>
        <w:tc>
          <w:tcPr>
            <w:tcW w:w="521" w:type="pct"/>
            <w:tcBorders>
              <w:top w:val="nil"/>
              <w:left w:val="nil"/>
              <w:bottom w:val="single" w:sz="4" w:space="0" w:color="auto"/>
              <w:right w:val="single" w:sz="4" w:space="0" w:color="auto"/>
            </w:tcBorders>
            <w:shd w:val="clear" w:color="auto" w:fill="auto"/>
            <w:noWrap/>
            <w:vAlign w:val="bottom"/>
            <w:hideMark/>
          </w:tcPr>
          <w:p w14:paraId="5E5CB5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31.84</w:t>
            </w:r>
          </w:p>
        </w:tc>
        <w:tc>
          <w:tcPr>
            <w:tcW w:w="698" w:type="pct"/>
            <w:tcBorders>
              <w:top w:val="nil"/>
              <w:left w:val="nil"/>
              <w:bottom w:val="single" w:sz="4" w:space="0" w:color="auto"/>
              <w:right w:val="single" w:sz="4" w:space="0" w:color="auto"/>
            </w:tcBorders>
            <w:shd w:val="clear" w:color="auto" w:fill="auto"/>
            <w:noWrap/>
            <w:vAlign w:val="bottom"/>
            <w:hideMark/>
          </w:tcPr>
          <w:p w14:paraId="25A0B5E8"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28657.89</w:t>
            </w:r>
          </w:p>
        </w:tc>
      </w:tr>
      <w:tr w:rsidR="00D25ADA" w:rsidRPr="00D25ADA" w14:paraId="78D66D7D"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43B312B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Overhead</w:t>
            </w:r>
          </w:p>
        </w:tc>
        <w:tc>
          <w:tcPr>
            <w:tcW w:w="522" w:type="pct"/>
            <w:tcBorders>
              <w:top w:val="nil"/>
              <w:left w:val="nil"/>
              <w:bottom w:val="single" w:sz="4" w:space="0" w:color="auto"/>
              <w:right w:val="single" w:sz="4" w:space="0" w:color="auto"/>
            </w:tcBorders>
            <w:shd w:val="clear" w:color="auto" w:fill="auto"/>
            <w:noWrap/>
            <w:vAlign w:val="bottom"/>
            <w:hideMark/>
          </w:tcPr>
          <w:p w14:paraId="47E189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19" w:type="pct"/>
            <w:tcBorders>
              <w:top w:val="nil"/>
              <w:left w:val="nil"/>
              <w:bottom w:val="single" w:sz="4" w:space="0" w:color="auto"/>
              <w:right w:val="single" w:sz="4" w:space="0" w:color="auto"/>
            </w:tcBorders>
            <w:shd w:val="clear" w:color="auto" w:fill="auto"/>
            <w:noWrap/>
            <w:vAlign w:val="bottom"/>
            <w:hideMark/>
          </w:tcPr>
          <w:p w14:paraId="3259C631"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7062.60</w:t>
            </w:r>
          </w:p>
        </w:tc>
        <w:tc>
          <w:tcPr>
            <w:tcW w:w="521" w:type="pct"/>
            <w:tcBorders>
              <w:top w:val="nil"/>
              <w:left w:val="nil"/>
              <w:bottom w:val="single" w:sz="4" w:space="0" w:color="auto"/>
              <w:right w:val="single" w:sz="4" w:space="0" w:color="auto"/>
            </w:tcBorders>
            <w:shd w:val="clear" w:color="auto" w:fill="auto"/>
            <w:noWrap/>
            <w:vAlign w:val="bottom"/>
            <w:hideMark/>
          </w:tcPr>
          <w:p w14:paraId="39151D0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98" w:type="pct"/>
            <w:tcBorders>
              <w:top w:val="nil"/>
              <w:left w:val="nil"/>
              <w:bottom w:val="single" w:sz="4" w:space="0" w:color="auto"/>
              <w:right w:val="single" w:sz="4" w:space="0" w:color="auto"/>
            </w:tcBorders>
            <w:shd w:val="clear" w:color="auto" w:fill="auto"/>
            <w:noWrap/>
            <w:vAlign w:val="bottom"/>
            <w:hideMark/>
          </w:tcPr>
          <w:p w14:paraId="7A070CC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9536.00</w:t>
            </w:r>
          </w:p>
        </w:tc>
        <w:tc>
          <w:tcPr>
            <w:tcW w:w="521" w:type="pct"/>
            <w:tcBorders>
              <w:top w:val="nil"/>
              <w:left w:val="nil"/>
              <w:bottom w:val="single" w:sz="4" w:space="0" w:color="auto"/>
              <w:right w:val="single" w:sz="4" w:space="0" w:color="auto"/>
            </w:tcBorders>
            <w:shd w:val="clear" w:color="auto" w:fill="auto"/>
            <w:noWrap/>
            <w:vAlign w:val="bottom"/>
            <w:hideMark/>
          </w:tcPr>
          <w:p w14:paraId="7B81FE7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5.96</w:t>
            </w:r>
          </w:p>
        </w:tc>
        <w:tc>
          <w:tcPr>
            <w:tcW w:w="698" w:type="pct"/>
            <w:tcBorders>
              <w:top w:val="nil"/>
              <w:left w:val="nil"/>
              <w:bottom w:val="single" w:sz="4" w:space="0" w:color="auto"/>
              <w:right w:val="single" w:sz="4" w:space="0" w:color="auto"/>
            </w:tcBorders>
            <w:shd w:val="clear" w:color="auto" w:fill="auto"/>
            <w:noWrap/>
            <w:vAlign w:val="bottom"/>
            <w:hideMark/>
          </w:tcPr>
          <w:p w14:paraId="450C02DB"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5364.00</w:t>
            </w:r>
          </w:p>
        </w:tc>
      </w:tr>
      <w:tr w:rsidR="00D25ADA" w:rsidRPr="00D25ADA" w14:paraId="2D8B5C40"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55333DC2"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Contribution per unit (tyre)</w:t>
            </w:r>
          </w:p>
        </w:tc>
        <w:tc>
          <w:tcPr>
            <w:tcW w:w="522" w:type="pct"/>
            <w:tcBorders>
              <w:top w:val="nil"/>
              <w:left w:val="nil"/>
              <w:bottom w:val="single" w:sz="4" w:space="0" w:color="auto"/>
              <w:right w:val="single" w:sz="4" w:space="0" w:color="auto"/>
            </w:tcBorders>
            <w:shd w:val="clear" w:color="auto" w:fill="auto"/>
            <w:noWrap/>
            <w:vAlign w:val="bottom"/>
            <w:hideMark/>
          </w:tcPr>
          <w:p w14:paraId="29D5244E"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11.68</w:t>
            </w:r>
          </w:p>
        </w:tc>
        <w:tc>
          <w:tcPr>
            <w:tcW w:w="619" w:type="pct"/>
            <w:tcBorders>
              <w:top w:val="nil"/>
              <w:left w:val="nil"/>
              <w:bottom w:val="single" w:sz="4" w:space="0" w:color="auto"/>
              <w:right w:val="single" w:sz="4" w:space="0" w:color="auto"/>
            </w:tcBorders>
            <w:shd w:val="clear" w:color="auto" w:fill="auto"/>
            <w:noWrap/>
            <w:vAlign w:val="bottom"/>
            <w:hideMark/>
          </w:tcPr>
          <w:p w14:paraId="70DE7C3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13838.01</w:t>
            </w:r>
          </w:p>
        </w:tc>
        <w:tc>
          <w:tcPr>
            <w:tcW w:w="521" w:type="pct"/>
            <w:tcBorders>
              <w:top w:val="nil"/>
              <w:left w:val="nil"/>
              <w:bottom w:val="single" w:sz="4" w:space="0" w:color="auto"/>
              <w:right w:val="single" w:sz="4" w:space="0" w:color="auto"/>
            </w:tcBorders>
            <w:shd w:val="clear" w:color="auto" w:fill="auto"/>
            <w:noWrap/>
            <w:vAlign w:val="bottom"/>
            <w:hideMark/>
          </w:tcPr>
          <w:p w14:paraId="2250D09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23.95</w:t>
            </w:r>
          </w:p>
        </w:tc>
        <w:tc>
          <w:tcPr>
            <w:tcW w:w="698" w:type="pct"/>
            <w:tcBorders>
              <w:top w:val="nil"/>
              <w:left w:val="nil"/>
              <w:bottom w:val="single" w:sz="4" w:space="0" w:color="auto"/>
              <w:right w:val="single" w:sz="4" w:space="0" w:color="auto"/>
            </w:tcBorders>
            <w:shd w:val="clear" w:color="auto" w:fill="auto"/>
            <w:noWrap/>
            <w:vAlign w:val="bottom"/>
            <w:hideMark/>
          </w:tcPr>
          <w:p w14:paraId="115F96D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38322.58</w:t>
            </w:r>
          </w:p>
        </w:tc>
        <w:tc>
          <w:tcPr>
            <w:tcW w:w="521" w:type="pct"/>
            <w:tcBorders>
              <w:top w:val="nil"/>
              <w:left w:val="nil"/>
              <w:bottom w:val="single" w:sz="4" w:space="0" w:color="auto"/>
              <w:right w:val="single" w:sz="4" w:space="0" w:color="auto"/>
            </w:tcBorders>
            <w:shd w:val="clear" w:color="auto" w:fill="auto"/>
            <w:noWrap/>
            <w:vAlign w:val="bottom"/>
            <w:hideMark/>
          </w:tcPr>
          <w:p w14:paraId="1B296E8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47.50</w:t>
            </w:r>
          </w:p>
        </w:tc>
        <w:tc>
          <w:tcPr>
            <w:tcW w:w="698" w:type="pct"/>
            <w:tcBorders>
              <w:top w:val="nil"/>
              <w:left w:val="nil"/>
              <w:bottom w:val="single" w:sz="4" w:space="0" w:color="auto"/>
              <w:right w:val="single" w:sz="4" w:space="0" w:color="auto"/>
            </w:tcBorders>
            <w:shd w:val="clear" w:color="auto" w:fill="auto"/>
            <w:noWrap/>
            <w:vAlign w:val="bottom"/>
            <w:hideMark/>
          </w:tcPr>
          <w:p w14:paraId="1F80DC2D"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42750.00</w:t>
            </w:r>
          </w:p>
        </w:tc>
      </w:tr>
      <w:tr w:rsidR="00D25ADA" w:rsidRPr="00D25ADA" w14:paraId="5596F45E"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565EDC0A"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Less: Fixed Cost</w:t>
            </w:r>
          </w:p>
        </w:tc>
        <w:tc>
          <w:tcPr>
            <w:tcW w:w="522" w:type="pct"/>
            <w:tcBorders>
              <w:top w:val="nil"/>
              <w:left w:val="nil"/>
              <w:bottom w:val="single" w:sz="4" w:space="0" w:color="auto"/>
              <w:right w:val="single" w:sz="4" w:space="0" w:color="auto"/>
            </w:tcBorders>
            <w:shd w:val="clear" w:color="auto" w:fill="auto"/>
            <w:noWrap/>
            <w:vAlign w:val="bottom"/>
            <w:hideMark/>
          </w:tcPr>
          <w:p w14:paraId="102C4ED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0ED95477"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c>
          <w:tcPr>
            <w:tcW w:w="521" w:type="pct"/>
            <w:tcBorders>
              <w:top w:val="nil"/>
              <w:left w:val="nil"/>
              <w:bottom w:val="single" w:sz="4" w:space="0" w:color="auto"/>
              <w:right w:val="single" w:sz="4" w:space="0" w:color="auto"/>
            </w:tcBorders>
            <w:shd w:val="clear" w:color="auto" w:fill="auto"/>
            <w:noWrap/>
            <w:vAlign w:val="bottom"/>
            <w:hideMark/>
          </w:tcPr>
          <w:p w14:paraId="428A2236"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484F484F"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c>
          <w:tcPr>
            <w:tcW w:w="521" w:type="pct"/>
            <w:tcBorders>
              <w:top w:val="nil"/>
              <w:left w:val="nil"/>
              <w:bottom w:val="single" w:sz="4" w:space="0" w:color="auto"/>
              <w:right w:val="single" w:sz="4" w:space="0" w:color="auto"/>
            </w:tcBorders>
            <w:shd w:val="clear" w:color="auto" w:fill="auto"/>
            <w:noWrap/>
            <w:vAlign w:val="bottom"/>
            <w:hideMark/>
          </w:tcPr>
          <w:p w14:paraId="2495DE9C"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2489CD55" w14:textId="77777777" w:rsidR="00D25ADA" w:rsidRPr="00D25ADA" w:rsidRDefault="00D25ADA" w:rsidP="00B82756">
            <w:pPr>
              <w:spacing w:after="0"/>
              <w:jc w:val="both"/>
              <w:rPr>
                <w:rFonts w:eastAsia="Times New Roman" w:cs="Times New Roman"/>
                <w:color w:val="000000"/>
                <w:szCs w:val="24"/>
                <w:lang w:eastAsia="en-IN"/>
              </w:rPr>
            </w:pPr>
            <w:r w:rsidRPr="00D25ADA">
              <w:rPr>
                <w:rFonts w:eastAsia="Times New Roman" w:cs="Times New Roman"/>
                <w:color w:val="000000"/>
                <w:szCs w:val="24"/>
                <w:lang w:eastAsia="en-IN"/>
              </w:rPr>
              <w:t>8072.34</w:t>
            </w:r>
          </w:p>
        </w:tc>
      </w:tr>
      <w:tr w:rsidR="00D25ADA" w:rsidRPr="00D25ADA" w14:paraId="39D342F0" w14:textId="77777777" w:rsidTr="00D25ADA">
        <w:trPr>
          <w:trHeight w:val="315"/>
        </w:trPr>
        <w:tc>
          <w:tcPr>
            <w:tcW w:w="1421" w:type="pct"/>
            <w:tcBorders>
              <w:top w:val="nil"/>
              <w:left w:val="single" w:sz="4" w:space="0" w:color="auto"/>
              <w:bottom w:val="single" w:sz="4" w:space="0" w:color="auto"/>
              <w:right w:val="single" w:sz="4" w:space="0" w:color="auto"/>
            </w:tcBorders>
            <w:shd w:val="clear" w:color="auto" w:fill="auto"/>
            <w:noWrap/>
            <w:vAlign w:val="bottom"/>
            <w:hideMark/>
          </w:tcPr>
          <w:p w14:paraId="1B29A6B9"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Profit</w:t>
            </w:r>
          </w:p>
        </w:tc>
        <w:tc>
          <w:tcPr>
            <w:tcW w:w="522" w:type="pct"/>
            <w:tcBorders>
              <w:top w:val="nil"/>
              <w:left w:val="nil"/>
              <w:bottom w:val="single" w:sz="4" w:space="0" w:color="auto"/>
              <w:right w:val="single" w:sz="4" w:space="0" w:color="auto"/>
            </w:tcBorders>
            <w:shd w:val="clear" w:color="auto" w:fill="auto"/>
            <w:noWrap/>
            <w:vAlign w:val="bottom"/>
            <w:hideMark/>
          </w:tcPr>
          <w:p w14:paraId="27EDC24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19" w:type="pct"/>
            <w:tcBorders>
              <w:top w:val="nil"/>
              <w:left w:val="nil"/>
              <w:bottom w:val="single" w:sz="4" w:space="0" w:color="auto"/>
              <w:right w:val="single" w:sz="4" w:space="0" w:color="auto"/>
            </w:tcBorders>
            <w:shd w:val="clear" w:color="auto" w:fill="auto"/>
            <w:noWrap/>
            <w:vAlign w:val="bottom"/>
            <w:hideMark/>
          </w:tcPr>
          <w:p w14:paraId="6741F02F"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5765.67</w:t>
            </w:r>
          </w:p>
        </w:tc>
        <w:tc>
          <w:tcPr>
            <w:tcW w:w="521" w:type="pct"/>
            <w:tcBorders>
              <w:top w:val="nil"/>
              <w:left w:val="nil"/>
              <w:bottom w:val="single" w:sz="4" w:space="0" w:color="auto"/>
              <w:right w:val="single" w:sz="4" w:space="0" w:color="auto"/>
            </w:tcBorders>
            <w:shd w:val="clear" w:color="auto" w:fill="auto"/>
            <w:noWrap/>
            <w:vAlign w:val="bottom"/>
            <w:hideMark/>
          </w:tcPr>
          <w:p w14:paraId="67A81A3B"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37033D80"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30250.24</w:t>
            </w:r>
          </w:p>
        </w:tc>
        <w:tc>
          <w:tcPr>
            <w:tcW w:w="521" w:type="pct"/>
            <w:tcBorders>
              <w:top w:val="nil"/>
              <w:left w:val="nil"/>
              <w:bottom w:val="single" w:sz="4" w:space="0" w:color="auto"/>
              <w:right w:val="single" w:sz="4" w:space="0" w:color="auto"/>
            </w:tcBorders>
            <w:shd w:val="clear" w:color="auto" w:fill="auto"/>
            <w:noWrap/>
            <w:vAlign w:val="bottom"/>
            <w:hideMark/>
          </w:tcPr>
          <w:p w14:paraId="125B18D7"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 </w:t>
            </w:r>
          </w:p>
        </w:tc>
        <w:tc>
          <w:tcPr>
            <w:tcW w:w="698" w:type="pct"/>
            <w:tcBorders>
              <w:top w:val="nil"/>
              <w:left w:val="nil"/>
              <w:bottom w:val="single" w:sz="4" w:space="0" w:color="auto"/>
              <w:right w:val="single" w:sz="4" w:space="0" w:color="auto"/>
            </w:tcBorders>
            <w:shd w:val="clear" w:color="auto" w:fill="auto"/>
            <w:noWrap/>
            <w:vAlign w:val="bottom"/>
            <w:hideMark/>
          </w:tcPr>
          <w:p w14:paraId="4BD4B291" w14:textId="77777777" w:rsidR="00D25ADA" w:rsidRPr="00D25ADA" w:rsidRDefault="00D25ADA" w:rsidP="00B82756">
            <w:pPr>
              <w:spacing w:after="0"/>
              <w:jc w:val="both"/>
              <w:rPr>
                <w:rFonts w:eastAsia="Times New Roman" w:cs="Times New Roman"/>
                <w:b/>
                <w:bCs/>
                <w:color w:val="000000"/>
                <w:szCs w:val="24"/>
                <w:lang w:eastAsia="en-IN"/>
              </w:rPr>
            </w:pPr>
            <w:r w:rsidRPr="00D25ADA">
              <w:rPr>
                <w:rFonts w:eastAsia="Times New Roman" w:cs="Times New Roman"/>
                <w:b/>
                <w:bCs/>
                <w:color w:val="000000"/>
                <w:szCs w:val="24"/>
                <w:lang w:eastAsia="en-IN"/>
              </w:rPr>
              <w:t>34677.66</w:t>
            </w:r>
          </w:p>
        </w:tc>
      </w:tr>
    </w:tbl>
    <w:p w14:paraId="6FE6BAD4" w14:textId="7BCDCB46" w:rsidR="00D25ADA" w:rsidRDefault="00D25ADA" w:rsidP="00B82756">
      <w:pPr>
        <w:jc w:val="both"/>
        <w:rPr>
          <w:b/>
          <w:bCs/>
        </w:rPr>
      </w:pPr>
    </w:p>
    <w:p w14:paraId="20FC32D2" w14:textId="5BB0572E" w:rsidR="004F3F3E" w:rsidRDefault="004F3F3E" w:rsidP="00B82756">
      <w:pPr>
        <w:jc w:val="both"/>
        <w:rPr>
          <w:b/>
          <w:bCs/>
        </w:rPr>
      </w:pPr>
      <w:r>
        <w:rPr>
          <w:b/>
          <w:bCs/>
        </w:rPr>
        <w:br w:type="page"/>
      </w:r>
    </w:p>
    <w:p w14:paraId="170D5761" w14:textId="6F66CBA8" w:rsidR="004F3F3E" w:rsidRDefault="004F3F3E" w:rsidP="00B82756">
      <w:pPr>
        <w:pStyle w:val="Heading1"/>
        <w:jc w:val="both"/>
      </w:pPr>
      <w:bookmarkStart w:id="4" w:name="_Toc117354132"/>
      <w:r>
        <w:t>1.4 Decision</w:t>
      </w:r>
      <w:bookmarkEnd w:id="4"/>
    </w:p>
    <w:p w14:paraId="559FD681" w14:textId="5226B050" w:rsidR="004F3F3E" w:rsidRDefault="004F3F3E" w:rsidP="00B82756">
      <w:pPr>
        <w:jc w:val="both"/>
      </w:pPr>
      <w:r>
        <w:t>In case contract is honoured –</w:t>
      </w:r>
    </w:p>
    <w:p w14:paraId="5C885D0C" w14:textId="710FA741" w:rsidR="004F3F3E" w:rsidRDefault="004F3F3E" w:rsidP="00B82756">
      <w:pPr>
        <w:jc w:val="both"/>
      </w:pPr>
      <w:r>
        <w:t>Additional production of budget = 15 units.</w:t>
      </w:r>
    </w:p>
    <w:p w14:paraId="00904C59" w14:textId="48FA9680" w:rsidR="004F3F3E" w:rsidRDefault="004F3F3E" w:rsidP="00B82756">
      <w:pPr>
        <w:jc w:val="both"/>
      </w:pPr>
      <w:r>
        <w:t xml:space="preserve">Contribution per unit = </w:t>
      </w:r>
      <w:r>
        <w:rPr>
          <w:rFonts w:cs="Times New Roman"/>
        </w:rPr>
        <w:t>£</w:t>
      </w:r>
      <w:r>
        <w:t xml:space="preserve"> </w:t>
      </w:r>
      <w:r w:rsidR="00872D6B">
        <w:t xml:space="preserve">11.68 </w:t>
      </w:r>
    </w:p>
    <w:p w14:paraId="506C7B19" w14:textId="727A8A79" w:rsidR="00872D6B" w:rsidRDefault="00872D6B" w:rsidP="00B82756">
      <w:pPr>
        <w:jc w:val="both"/>
      </w:pPr>
      <w:r>
        <w:t xml:space="preserve">Gain = </w:t>
      </w:r>
      <w:r>
        <w:rPr>
          <w:rFonts w:cs="Times New Roman"/>
        </w:rPr>
        <w:t>£</w:t>
      </w:r>
      <w:r>
        <w:t xml:space="preserve"> 11.68 </w:t>
      </w:r>
      <w:r>
        <w:rPr>
          <w:rFonts w:cs="Times New Roman"/>
        </w:rPr>
        <w:t>×</w:t>
      </w:r>
      <w:r>
        <w:t xml:space="preserve"> 15 = </w:t>
      </w:r>
      <w:r>
        <w:rPr>
          <w:rFonts w:cs="Times New Roman"/>
        </w:rPr>
        <w:t>£</w:t>
      </w:r>
      <w:r>
        <w:t xml:space="preserve"> 175.2. </w:t>
      </w:r>
    </w:p>
    <w:p w14:paraId="36AB1FD3" w14:textId="322A0F76" w:rsidR="004F3F3E" w:rsidRDefault="004F3F3E" w:rsidP="00B82756">
      <w:pPr>
        <w:jc w:val="both"/>
      </w:pPr>
      <w:r>
        <w:t xml:space="preserve">Less production of Premium product = 5 units. </w:t>
      </w:r>
    </w:p>
    <w:p w14:paraId="1E180579" w14:textId="6599A8DE" w:rsidR="00872D6B" w:rsidRDefault="00872D6B" w:rsidP="00B82756">
      <w:pPr>
        <w:jc w:val="both"/>
      </w:pPr>
      <w:r>
        <w:t xml:space="preserve">Contribution per unit = </w:t>
      </w:r>
      <w:r>
        <w:rPr>
          <w:rFonts w:cs="Times New Roman"/>
        </w:rPr>
        <w:t>£</w:t>
      </w:r>
      <w:r>
        <w:t xml:space="preserve"> 47.50 </w:t>
      </w:r>
    </w:p>
    <w:p w14:paraId="52F04415" w14:textId="5691974F" w:rsidR="00872D6B" w:rsidRDefault="00872D6B" w:rsidP="00B82756">
      <w:pPr>
        <w:jc w:val="both"/>
      </w:pPr>
      <w:r>
        <w:t xml:space="preserve">Loss = </w:t>
      </w:r>
      <w:r>
        <w:rPr>
          <w:rFonts w:cs="Times New Roman"/>
        </w:rPr>
        <w:t>£</w:t>
      </w:r>
      <w:r>
        <w:t xml:space="preserve"> 47.50 </w:t>
      </w:r>
      <w:r>
        <w:rPr>
          <w:rFonts w:cs="Times New Roman"/>
        </w:rPr>
        <w:t>×</w:t>
      </w:r>
      <w:r>
        <w:t xml:space="preserve"> 5 = </w:t>
      </w:r>
      <w:r>
        <w:rPr>
          <w:rFonts w:cs="Times New Roman"/>
        </w:rPr>
        <w:t>£</w:t>
      </w:r>
      <w:r>
        <w:t xml:space="preserve"> 237.50.</w:t>
      </w:r>
    </w:p>
    <w:p w14:paraId="2A669C53" w14:textId="4C154845" w:rsidR="00872D6B" w:rsidRDefault="00872D6B" w:rsidP="00B82756">
      <w:pPr>
        <w:jc w:val="both"/>
      </w:pPr>
      <w:r>
        <w:t xml:space="preserve">Net benefit/ (loss) = </w:t>
      </w:r>
      <w:r>
        <w:rPr>
          <w:rFonts w:cs="Times New Roman"/>
        </w:rPr>
        <w:t>£</w:t>
      </w:r>
      <w:r>
        <w:t xml:space="preserve"> 62.3. </w:t>
      </w:r>
    </w:p>
    <w:p w14:paraId="67824FC3" w14:textId="3737B00E" w:rsidR="00872D6B" w:rsidRDefault="00872D6B" w:rsidP="00B82756">
      <w:pPr>
        <w:jc w:val="both"/>
      </w:pPr>
      <w:r>
        <w:t xml:space="preserve">Thus, the project must be rejected. </w:t>
      </w:r>
    </w:p>
    <w:p w14:paraId="129FF8C9" w14:textId="77777777" w:rsidR="00872D6B" w:rsidRDefault="00872D6B" w:rsidP="00B82756">
      <w:pPr>
        <w:jc w:val="both"/>
      </w:pPr>
    </w:p>
    <w:p w14:paraId="63251A79" w14:textId="77777777" w:rsidR="00872D6B" w:rsidRPr="004F3F3E" w:rsidRDefault="00872D6B" w:rsidP="00B82756">
      <w:pPr>
        <w:jc w:val="both"/>
      </w:pPr>
    </w:p>
    <w:p w14:paraId="26EA0BA7" w14:textId="77777777" w:rsidR="004F3F3E" w:rsidRDefault="004F3F3E" w:rsidP="00B82756">
      <w:pPr>
        <w:jc w:val="both"/>
        <w:rPr>
          <w:rFonts w:eastAsiaTheme="majorEastAsia" w:cstheme="majorBidi"/>
          <w:b/>
          <w:sz w:val="28"/>
          <w:szCs w:val="32"/>
        </w:rPr>
      </w:pPr>
      <w:r>
        <w:br w:type="page"/>
      </w:r>
    </w:p>
    <w:p w14:paraId="349C484C" w14:textId="6920B5C4" w:rsidR="00B04D48" w:rsidRDefault="00B04D48" w:rsidP="00B82756">
      <w:pPr>
        <w:pStyle w:val="Heading1"/>
        <w:jc w:val="both"/>
      </w:pPr>
      <w:bookmarkStart w:id="5" w:name="_Toc117354133"/>
      <w:r>
        <w:t>1.5 – Limiting factor and CVP, its assumptions and limitations</w:t>
      </w:r>
      <w:bookmarkEnd w:id="5"/>
    </w:p>
    <w:p w14:paraId="760C84D1" w14:textId="77777777" w:rsidR="00B04D48" w:rsidRDefault="00B04D48" w:rsidP="00B82756">
      <w:pPr>
        <w:jc w:val="both"/>
        <w:rPr>
          <w:b/>
          <w:bCs/>
        </w:rPr>
      </w:pPr>
      <w:r>
        <w:rPr>
          <w:b/>
          <w:bCs/>
        </w:rPr>
        <w:t>1.5.1</w:t>
      </w:r>
    </w:p>
    <w:p w14:paraId="490B3F18" w14:textId="77777777" w:rsidR="00B04D48" w:rsidRDefault="00B04D48" w:rsidP="00B82756">
      <w:pPr>
        <w:jc w:val="both"/>
        <w:rPr>
          <w:b/>
          <w:bCs/>
        </w:rPr>
      </w:pPr>
      <w:r w:rsidRPr="00B04D48">
        <w:rPr>
          <w:b/>
          <w:bCs/>
        </w:rPr>
        <w:t>Significance of limiting factor to STG</w:t>
      </w:r>
    </w:p>
    <w:p w14:paraId="7923E13D" w14:textId="546A2F84" w:rsidR="00B04D48" w:rsidRDefault="00B04D48" w:rsidP="00B82756">
      <w:pPr>
        <w:jc w:val="both"/>
      </w:pPr>
      <w:r>
        <w:t>The manufacturing process of the entity involves the use of various factors. A limiting factor is one that is not available in abundance to the organization and is short in supply. However, such a factor is highly crucial for the production process of the entity</w:t>
      </w:r>
      <w:r w:rsidR="00B82756">
        <w:t xml:space="preserve"> (Huang et al. 2019)</w:t>
      </w:r>
      <w:r>
        <w:t xml:space="preserve">. The said constraints on its supply limit the entity’s capability to produce all the products that use the limiting factor in production in accordance with the annual demand of the company. The various types of limiting </w:t>
      </w:r>
      <w:r w:rsidR="009E67C9">
        <w:t>factors</w:t>
      </w:r>
      <w:r>
        <w:t xml:space="preserve"> for the company include the following. </w:t>
      </w:r>
    </w:p>
    <w:p w14:paraId="1CDD79E9" w14:textId="3FBB53C2" w:rsidR="00B04D48" w:rsidRPr="00B04D48" w:rsidRDefault="00B04D48" w:rsidP="00B82756">
      <w:pPr>
        <w:pStyle w:val="ListParagraph"/>
        <w:numPr>
          <w:ilvl w:val="0"/>
          <w:numId w:val="3"/>
        </w:numPr>
        <w:contextualSpacing w:val="0"/>
        <w:jc w:val="both"/>
      </w:pPr>
      <w:r>
        <w:rPr>
          <w:b/>
          <w:bCs/>
        </w:rPr>
        <w:t xml:space="preserve">Material: </w:t>
      </w:r>
      <w:r>
        <w:t xml:space="preserve">It is associated with the shortage of supply of key </w:t>
      </w:r>
      <w:r w:rsidR="009E67C9">
        <w:t>materials</w:t>
      </w:r>
      <w:r>
        <w:t xml:space="preserve"> for the production of numerous products of the company. </w:t>
      </w:r>
    </w:p>
    <w:p w14:paraId="73B1E5DF" w14:textId="51D72D2D" w:rsidR="00B04D48" w:rsidRDefault="00B04D48" w:rsidP="00B82756">
      <w:pPr>
        <w:pStyle w:val="ListParagraph"/>
        <w:numPr>
          <w:ilvl w:val="0"/>
          <w:numId w:val="3"/>
        </w:numPr>
        <w:contextualSpacing w:val="0"/>
        <w:jc w:val="both"/>
      </w:pPr>
      <w:r w:rsidRPr="009E67C9">
        <w:rPr>
          <w:b/>
          <w:bCs/>
        </w:rPr>
        <w:t>Labour hours:</w:t>
      </w:r>
      <w:r>
        <w:t xml:space="preserve"> Due to </w:t>
      </w:r>
      <w:r w:rsidR="009E67C9">
        <w:t xml:space="preserve">the </w:t>
      </w:r>
      <w:r>
        <w:t xml:space="preserve">availability of </w:t>
      </w:r>
      <w:r w:rsidR="009E67C9">
        <w:t>fewer</w:t>
      </w:r>
      <w:r>
        <w:t xml:space="preserve"> workers, it is possible that the total available working hours of labour may be the limiting factor. </w:t>
      </w:r>
    </w:p>
    <w:p w14:paraId="2C398624" w14:textId="47B18575" w:rsidR="00B04D48" w:rsidRDefault="00B04D48" w:rsidP="00B82756">
      <w:pPr>
        <w:pStyle w:val="ListParagraph"/>
        <w:numPr>
          <w:ilvl w:val="0"/>
          <w:numId w:val="3"/>
        </w:numPr>
        <w:contextualSpacing w:val="0"/>
        <w:jc w:val="both"/>
      </w:pPr>
      <w:r w:rsidRPr="009E67C9">
        <w:rPr>
          <w:b/>
          <w:bCs/>
        </w:rPr>
        <w:t>Machine capacity (Hours)</w:t>
      </w:r>
      <w:r>
        <w:t xml:space="preserve">: </w:t>
      </w:r>
      <w:r w:rsidR="009E67C9">
        <w:t xml:space="preserve">The total production capacity of the machine may be defined and its use for the production of a number of units may make it a limiting factor for the company. </w:t>
      </w:r>
    </w:p>
    <w:p w14:paraId="0059B871" w14:textId="3856E5CF" w:rsidR="0074419C" w:rsidRDefault="0074419C" w:rsidP="00B82756">
      <w:pPr>
        <w:jc w:val="both"/>
      </w:pPr>
      <w:r>
        <w:t>The concept of limiting factor is highly relevant to the company in consideration- SGT. It is because the production of all types of tyres in the product mix of the company involves the use of a common factor which is the special strengthening wire</w:t>
      </w:r>
      <w:r w:rsidR="00B82756">
        <w:t xml:space="preserve"> (</w:t>
      </w:r>
      <w:proofErr w:type="spellStart"/>
      <w:r w:rsidR="00B82756">
        <w:t>Lutilsky</w:t>
      </w:r>
      <w:proofErr w:type="spellEnd"/>
      <w:r w:rsidR="00B82756">
        <w:t xml:space="preserve"> et al. 2018)</w:t>
      </w:r>
      <w:r>
        <w:t>. This is the reason why the company</w:t>
      </w:r>
      <w:r w:rsidR="00676C54">
        <w:t xml:space="preserve"> is not in a position to produce the maximum annual demand </w:t>
      </w:r>
      <w:r w:rsidR="00065E0A">
        <w:t>for</w:t>
      </w:r>
      <w:r w:rsidR="00676C54">
        <w:t xml:space="preserve"> all tyres. This forced the company to consider different scenarios associated with the </w:t>
      </w:r>
      <w:r w:rsidR="00065E0A">
        <w:t>decision-making</w:t>
      </w:r>
      <w:r w:rsidR="00676C54">
        <w:t xml:space="preserve"> so as to identify the most profitable product mix. </w:t>
      </w:r>
    </w:p>
    <w:p w14:paraId="3E1C0D3B" w14:textId="580E5447" w:rsidR="00065E0A" w:rsidRDefault="00065E0A" w:rsidP="00B82756">
      <w:pPr>
        <w:jc w:val="both"/>
        <w:rPr>
          <w:b/>
          <w:bCs/>
        </w:rPr>
      </w:pPr>
      <w:r>
        <w:rPr>
          <w:b/>
          <w:bCs/>
        </w:rPr>
        <w:t xml:space="preserve">1.5.2 – </w:t>
      </w:r>
    </w:p>
    <w:p w14:paraId="3CFB0189" w14:textId="6CDE2066" w:rsidR="00065E0A" w:rsidRDefault="00065E0A" w:rsidP="00B82756">
      <w:pPr>
        <w:jc w:val="both"/>
        <w:rPr>
          <w:b/>
          <w:bCs/>
          <w:i/>
          <w:iCs/>
        </w:rPr>
      </w:pPr>
      <w:r>
        <w:rPr>
          <w:b/>
          <w:bCs/>
          <w:i/>
          <w:iCs/>
        </w:rPr>
        <w:t>Assumptions</w:t>
      </w:r>
    </w:p>
    <w:p w14:paraId="208DCBD0" w14:textId="16E24188" w:rsidR="00065E0A" w:rsidRDefault="00065E0A" w:rsidP="00B82756">
      <w:pPr>
        <w:jc w:val="both"/>
      </w:pPr>
      <w:r>
        <w:t>The CVP analysis is one of the tools of cost and management accounting that is used to draw the relationship between the cost incurred in the production process, the total units of output produced, and the total amount of estimated profit that can be attained through the disposal of the produced units of production</w:t>
      </w:r>
      <w:r w:rsidR="00B82756">
        <w:t xml:space="preserve"> (Murphy et al.2020)</w:t>
      </w:r>
      <w:r>
        <w:t xml:space="preserve">. The said model makes use of numerous assumptions that makes use of </w:t>
      </w:r>
      <w:r w:rsidR="006B3E06">
        <w:t xml:space="preserve">a number of assumptions that have been listed below- </w:t>
      </w:r>
    </w:p>
    <w:p w14:paraId="1F1D5621" w14:textId="1EF7D05D" w:rsidR="006B3E06" w:rsidRDefault="006B3E06" w:rsidP="00B82756">
      <w:pPr>
        <w:pStyle w:val="ListParagraph"/>
        <w:numPr>
          <w:ilvl w:val="0"/>
          <w:numId w:val="4"/>
        </w:numPr>
        <w:contextualSpacing w:val="0"/>
        <w:jc w:val="both"/>
      </w:pPr>
      <w:r>
        <w:t>For each given level of production, the costs must remain stable</w:t>
      </w:r>
      <w:r w:rsidR="00B82756">
        <w:t xml:space="preserve"> (</w:t>
      </w:r>
      <w:proofErr w:type="spellStart"/>
      <w:r w:rsidR="00B82756">
        <w:t>Zhnag</w:t>
      </w:r>
      <w:proofErr w:type="spellEnd"/>
      <w:r w:rsidR="00B82756">
        <w:t xml:space="preserve"> 2018)</w:t>
      </w:r>
      <w:r>
        <w:t>. When the said production level changes, the fixed cost at each level should stay the same.</w:t>
      </w:r>
    </w:p>
    <w:p w14:paraId="0600327C" w14:textId="783F5F3E" w:rsidR="006B3E06" w:rsidRDefault="006B3E06" w:rsidP="00B82756">
      <w:pPr>
        <w:pStyle w:val="ListParagraph"/>
        <w:numPr>
          <w:ilvl w:val="0"/>
          <w:numId w:val="4"/>
        </w:numPr>
        <w:contextualSpacing w:val="0"/>
        <w:jc w:val="both"/>
      </w:pPr>
      <w:r>
        <w:t>At each of the given levels of output, the variable cost per unit must not change.</w:t>
      </w:r>
    </w:p>
    <w:p w14:paraId="50B7383B" w14:textId="11FF0898" w:rsidR="006B3E06" w:rsidRDefault="006B3E06" w:rsidP="00B82756">
      <w:pPr>
        <w:pStyle w:val="ListParagraph"/>
        <w:numPr>
          <w:ilvl w:val="0"/>
          <w:numId w:val="4"/>
        </w:numPr>
        <w:contextualSpacing w:val="0"/>
        <w:jc w:val="both"/>
      </w:pPr>
      <w:r>
        <w:t xml:space="preserve">All the costs in the business must be segregated into two types- fixed and variable </w:t>
      </w:r>
      <w:r w:rsidR="00BA0C66">
        <w:t>costs</w:t>
      </w:r>
      <w:r>
        <w:t>.</w:t>
      </w:r>
    </w:p>
    <w:p w14:paraId="2782FC4B" w14:textId="55967A39" w:rsidR="006B3E06" w:rsidRDefault="006B3E06" w:rsidP="00B82756">
      <w:pPr>
        <w:pStyle w:val="ListParagraph"/>
        <w:numPr>
          <w:ilvl w:val="0"/>
          <w:numId w:val="4"/>
        </w:numPr>
        <w:contextualSpacing w:val="0"/>
        <w:jc w:val="both"/>
      </w:pPr>
      <w:r>
        <w:t xml:space="preserve">Each time the activity or production level would change, the total cost would also </w:t>
      </w:r>
      <w:r w:rsidR="00BA0C66">
        <w:t>change</w:t>
      </w:r>
      <w:r>
        <w:t>.</w:t>
      </w:r>
    </w:p>
    <w:p w14:paraId="0B3FF3A2" w14:textId="1EE0468C" w:rsidR="006B3E06" w:rsidRDefault="006B3E06" w:rsidP="00B82756">
      <w:pPr>
        <w:pStyle w:val="ListParagraph"/>
        <w:numPr>
          <w:ilvl w:val="0"/>
          <w:numId w:val="4"/>
        </w:numPr>
        <w:contextualSpacing w:val="0"/>
        <w:jc w:val="both"/>
      </w:pPr>
      <w:r>
        <w:t xml:space="preserve">If any cost of semi-variable nature exists, the same needs to be differentiated between fixed and variable cost. </w:t>
      </w:r>
    </w:p>
    <w:p w14:paraId="1CFF3D9B" w14:textId="13A208C1" w:rsidR="00BA0C66" w:rsidRDefault="00BA0C66" w:rsidP="00B82756">
      <w:pPr>
        <w:jc w:val="both"/>
        <w:rPr>
          <w:b/>
          <w:bCs/>
          <w:i/>
          <w:iCs/>
        </w:rPr>
      </w:pPr>
      <w:r>
        <w:rPr>
          <w:b/>
          <w:bCs/>
          <w:i/>
          <w:iCs/>
        </w:rPr>
        <w:t>Limitations</w:t>
      </w:r>
    </w:p>
    <w:p w14:paraId="4A36892A" w14:textId="590C6371" w:rsidR="00BA0C66" w:rsidRDefault="00BA0C66" w:rsidP="00B82756">
      <w:pPr>
        <w:jc w:val="both"/>
      </w:pPr>
      <w:r>
        <w:t xml:space="preserve">The use of the CVP model imparts a number of advantages to the business enterprise for the various types and guides the decision-maker to identify the product mix providing a maximum return to the company and the various other types of the advantages such as the just and equitable use of the resources. However, the key disadvantages that the model possesses have been listed below- </w:t>
      </w:r>
    </w:p>
    <w:p w14:paraId="72D094F2" w14:textId="31B1F2B7" w:rsidR="00BA0C66" w:rsidRDefault="00BA0C66" w:rsidP="00B82756">
      <w:pPr>
        <w:pStyle w:val="ListParagraph"/>
        <w:numPr>
          <w:ilvl w:val="0"/>
          <w:numId w:val="6"/>
        </w:numPr>
        <w:contextualSpacing w:val="0"/>
        <w:jc w:val="both"/>
      </w:pPr>
      <w:r>
        <w:t xml:space="preserve">The viability of this model does not hold true for the long run. The assumptions that the model is based upon are not suitable for </w:t>
      </w:r>
      <w:r w:rsidR="00E10E4B">
        <w:t>the</w:t>
      </w:r>
      <w:r>
        <w:t xml:space="preserve"> long run. </w:t>
      </w:r>
    </w:p>
    <w:p w14:paraId="198DC9B5" w14:textId="2DCAB1E5" w:rsidR="00BA0C66" w:rsidRDefault="00BA0C66" w:rsidP="00B82756">
      <w:pPr>
        <w:pStyle w:val="ListParagraph"/>
        <w:numPr>
          <w:ilvl w:val="0"/>
          <w:numId w:val="6"/>
        </w:numPr>
        <w:contextualSpacing w:val="0"/>
        <w:jc w:val="both"/>
      </w:pPr>
      <w:r>
        <w:t>It is assumed that the fixed costs of the business do not vary as the level of activity changes. However, the same is not true as these costs do fluctuate with changing levels of production.</w:t>
      </w:r>
    </w:p>
    <w:p w14:paraId="5BA1E974" w14:textId="4EC1B17F" w:rsidR="00BA0C66" w:rsidRDefault="00BA0C66" w:rsidP="00B82756">
      <w:pPr>
        <w:pStyle w:val="ListParagraph"/>
        <w:numPr>
          <w:ilvl w:val="0"/>
          <w:numId w:val="6"/>
        </w:numPr>
        <w:contextualSpacing w:val="0"/>
        <w:jc w:val="both"/>
      </w:pPr>
      <w:r>
        <w:t xml:space="preserve">The driving force behind the change in the selling price of the business is not the existence of perfect competition in the industry but the various pricing strategies of the </w:t>
      </w:r>
      <w:r w:rsidR="00E10E4B">
        <w:t xml:space="preserve">rival firms that force businesses to adjust their prices. </w:t>
      </w:r>
    </w:p>
    <w:p w14:paraId="77C34394" w14:textId="677AAC04" w:rsidR="006D265E" w:rsidRDefault="006D265E" w:rsidP="00B82756">
      <w:pPr>
        <w:pStyle w:val="ListParagraph"/>
        <w:numPr>
          <w:ilvl w:val="0"/>
          <w:numId w:val="6"/>
        </w:numPr>
        <w:contextualSpacing w:val="0"/>
        <w:jc w:val="both"/>
      </w:pPr>
      <w:r>
        <w:t xml:space="preserve">In the given case of STG, the product portfolio of the company is large and thus the applicability of this product might not be just if the said fixed costs need to be distributed over all the products. </w:t>
      </w:r>
    </w:p>
    <w:p w14:paraId="32B461CF" w14:textId="77777777" w:rsidR="006D265E" w:rsidRPr="00BA0C66" w:rsidRDefault="006D265E" w:rsidP="00B82756">
      <w:pPr>
        <w:jc w:val="both"/>
      </w:pPr>
    </w:p>
    <w:p w14:paraId="6F7B5017" w14:textId="77777777" w:rsidR="00BA0C66" w:rsidRDefault="00BA0C66" w:rsidP="00B82756">
      <w:pPr>
        <w:jc w:val="both"/>
      </w:pPr>
    </w:p>
    <w:p w14:paraId="743B6310" w14:textId="77777777" w:rsidR="00065E0A" w:rsidRDefault="00065E0A" w:rsidP="00B82756">
      <w:pPr>
        <w:jc w:val="both"/>
      </w:pPr>
    </w:p>
    <w:p w14:paraId="5F61E9AB" w14:textId="0C31FB58" w:rsidR="00A73D06" w:rsidRDefault="00A73D06" w:rsidP="00B82756">
      <w:pPr>
        <w:pStyle w:val="Heading1"/>
        <w:jc w:val="both"/>
      </w:pPr>
      <w:bookmarkStart w:id="6" w:name="_Toc117354134"/>
      <w:r>
        <w:t>Conclusion</w:t>
      </w:r>
      <w:bookmarkEnd w:id="6"/>
    </w:p>
    <w:p w14:paraId="6FC66D5B" w14:textId="71B75068" w:rsidR="00A73D06" w:rsidRDefault="00167A4F" w:rsidP="00B82756">
      <w:pPr>
        <w:jc w:val="both"/>
      </w:pPr>
      <w:r>
        <w:t>The report highlighted the significance of the various aspects and concepts of cost accounting and presented the manner in which they guide the formulation of various decisions for the business enterprise. It was found, on the basis of the application of the concept of limiting factor, CVP analysis, and marginal costing, that the decision of SGT to contract for provision of 1200 units of standard product would result in high loss of contribution for the company and thus, its use was rejected. Moreover, it was discussed that the use of CVP analysis is highly</w:t>
      </w:r>
      <w:r w:rsidR="00616536">
        <w:t xml:space="preserve"> </w:t>
      </w:r>
      <w:r>
        <w:t>useful</w:t>
      </w:r>
      <w:r w:rsidR="00616536">
        <w:t xml:space="preserve"> and relevant</w:t>
      </w:r>
      <w:r>
        <w:t xml:space="preserve"> for the company. </w:t>
      </w:r>
    </w:p>
    <w:p w14:paraId="2094919B" w14:textId="26A68C69" w:rsidR="00B82756" w:rsidRDefault="00B82756" w:rsidP="00B82756">
      <w:pPr>
        <w:jc w:val="both"/>
      </w:pPr>
      <w:r>
        <w:br w:type="page"/>
      </w:r>
    </w:p>
    <w:p w14:paraId="74AD43E6" w14:textId="77777777" w:rsidR="00B82756" w:rsidRDefault="00B82756" w:rsidP="00B82756">
      <w:pPr>
        <w:pStyle w:val="Heading1"/>
        <w:jc w:val="both"/>
      </w:pPr>
      <w:r w:rsidRPr="00136955">
        <w:t>References</w:t>
      </w:r>
    </w:p>
    <w:p w14:paraId="2DE4A35C" w14:textId="77777777" w:rsidR="00572B3F" w:rsidRDefault="00572B3F" w:rsidP="00B82756">
      <w:pPr>
        <w:pStyle w:val="ListParagraph"/>
        <w:numPr>
          <w:ilvl w:val="0"/>
          <w:numId w:val="9"/>
        </w:numPr>
        <w:contextualSpacing w:val="0"/>
        <w:jc w:val="both"/>
      </w:pPr>
      <w:bookmarkStart w:id="7" w:name="_Hlk117354683"/>
      <w:proofErr w:type="spellStart"/>
      <w:r w:rsidRPr="00136955">
        <w:t>Cokins</w:t>
      </w:r>
      <w:proofErr w:type="spellEnd"/>
      <w:r w:rsidRPr="00136955">
        <w:t>, G., 2019. Lean Accounting and Activity Based Costing: A Choice or a Blend. </w:t>
      </w:r>
      <w:r w:rsidRPr="00136955">
        <w:rPr>
          <w:i/>
          <w:iCs/>
        </w:rPr>
        <w:t>Journal of Cost Management</w:t>
      </w:r>
      <w:r w:rsidRPr="00136955">
        <w:t>, </w:t>
      </w:r>
      <w:r w:rsidRPr="00136955">
        <w:rPr>
          <w:i/>
          <w:iCs/>
        </w:rPr>
        <w:t>33</w:t>
      </w:r>
      <w:r w:rsidRPr="00136955">
        <w:t>(1), pp.5-15.</w:t>
      </w:r>
    </w:p>
    <w:p w14:paraId="375BBD6A" w14:textId="77777777" w:rsidR="00572B3F" w:rsidRDefault="00572B3F" w:rsidP="00B82756">
      <w:pPr>
        <w:pStyle w:val="ListParagraph"/>
        <w:numPr>
          <w:ilvl w:val="0"/>
          <w:numId w:val="9"/>
        </w:numPr>
        <w:contextualSpacing w:val="0"/>
        <w:jc w:val="both"/>
      </w:pPr>
      <w:r w:rsidRPr="00136955">
        <w:t>Huang, S.Y., Chiu, A.A., Chao, P.C. and Wang, N., 2019. The application of Material Flow Cost Accounting in waste reduction. </w:t>
      </w:r>
      <w:r w:rsidRPr="00136955">
        <w:rPr>
          <w:i/>
          <w:iCs/>
        </w:rPr>
        <w:t>Sustainability</w:t>
      </w:r>
      <w:r w:rsidRPr="00136955">
        <w:t>, </w:t>
      </w:r>
      <w:r w:rsidRPr="00136955">
        <w:rPr>
          <w:i/>
          <w:iCs/>
        </w:rPr>
        <w:t>11</w:t>
      </w:r>
      <w:r w:rsidRPr="00136955">
        <w:t>(5), p.1270.</w:t>
      </w:r>
    </w:p>
    <w:p w14:paraId="557E5FCD" w14:textId="77777777" w:rsidR="00572B3F" w:rsidRDefault="00572B3F" w:rsidP="00B82756">
      <w:pPr>
        <w:pStyle w:val="ListParagraph"/>
        <w:numPr>
          <w:ilvl w:val="0"/>
          <w:numId w:val="9"/>
        </w:numPr>
        <w:contextualSpacing w:val="0"/>
        <w:jc w:val="both"/>
      </w:pPr>
      <w:r w:rsidRPr="00136955">
        <w:t>Li, H., 2019. Application of Comparative Analysis in Cost Accounting Teaching.</w:t>
      </w:r>
    </w:p>
    <w:p w14:paraId="6C2E2292" w14:textId="77777777" w:rsidR="00572B3F" w:rsidRDefault="00572B3F" w:rsidP="00B82756">
      <w:pPr>
        <w:pStyle w:val="ListParagraph"/>
        <w:numPr>
          <w:ilvl w:val="0"/>
          <w:numId w:val="9"/>
        </w:numPr>
        <w:contextualSpacing w:val="0"/>
        <w:jc w:val="both"/>
      </w:pPr>
      <w:proofErr w:type="spellStart"/>
      <w:r w:rsidRPr="00136955">
        <w:t>Lutilsky</w:t>
      </w:r>
      <w:proofErr w:type="spellEnd"/>
      <w:r w:rsidRPr="00136955">
        <w:t xml:space="preserve">, I.D., </w:t>
      </w:r>
      <w:proofErr w:type="spellStart"/>
      <w:r w:rsidRPr="00136955">
        <w:t>Liović</w:t>
      </w:r>
      <w:proofErr w:type="spellEnd"/>
      <w:r w:rsidRPr="00136955">
        <w:t xml:space="preserve">, D. and </w:t>
      </w:r>
      <w:proofErr w:type="spellStart"/>
      <w:r w:rsidRPr="00136955">
        <w:t>Marković</w:t>
      </w:r>
      <w:proofErr w:type="spellEnd"/>
      <w:r w:rsidRPr="00136955">
        <w:t>, M., 2018. Throughput accounting: Profit-focused cost accounting method. </w:t>
      </w:r>
      <w:r w:rsidRPr="00136955">
        <w:rPr>
          <w:i/>
          <w:iCs/>
        </w:rPr>
        <w:t>Interdisciplinary Management Research Xiv (</w:t>
      </w:r>
      <w:proofErr w:type="spellStart"/>
      <w:r w:rsidRPr="00136955">
        <w:rPr>
          <w:i/>
          <w:iCs/>
        </w:rPr>
        <w:t>Imr</w:t>
      </w:r>
      <w:proofErr w:type="spellEnd"/>
      <w:r w:rsidRPr="00136955">
        <w:rPr>
          <w:i/>
          <w:iCs/>
        </w:rPr>
        <w:t xml:space="preserve"> 2018)</w:t>
      </w:r>
      <w:r w:rsidRPr="00136955">
        <w:t>, </w:t>
      </w:r>
      <w:r w:rsidRPr="00136955">
        <w:rPr>
          <w:i/>
          <w:iCs/>
        </w:rPr>
        <w:t>14</w:t>
      </w:r>
      <w:r w:rsidRPr="00136955">
        <w:t>, pp.1382-1395.</w:t>
      </w:r>
    </w:p>
    <w:p w14:paraId="40F138D8" w14:textId="77777777" w:rsidR="00572B3F" w:rsidRPr="00136955" w:rsidRDefault="00572B3F" w:rsidP="00B82756">
      <w:pPr>
        <w:pStyle w:val="ListParagraph"/>
        <w:numPr>
          <w:ilvl w:val="0"/>
          <w:numId w:val="9"/>
        </w:numPr>
        <w:contextualSpacing w:val="0"/>
        <w:jc w:val="both"/>
      </w:pPr>
      <w:r w:rsidRPr="00B82756">
        <w:t xml:space="preserve">Murphy, A.M., </w:t>
      </w:r>
      <w:proofErr w:type="spellStart"/>
      <w:r w:rsidRPr="00B82756">
        <w:t>Ryzhkov</w:t>
      </w:r>
      <w:proofErr w:type="spellEnd"/>
      <w:r w:rsidRPr="00B82756">
        <w:t>, A. and Zhang, P., 2020. Columnar vertical profile (CVP) methodology for validating polarimetric radar retrievals in ice using in situ aircraft measurements. </w:t>
      </w:r>
      <w:r w:rsidRPr="00B82756">
        <w:rPr>
          <w:i/>
          <w:iCs/>
        </w:rPr>
        <w:t>Journal of Atmospheric and Oceanic Technology</w:t>
      </w:r>
      <w:r w:rsidRPr="00B82756">
        <w:t>, </w:t>
      </w:r>
      <w:r w:rsidRPr="00B82756">
        <w:rPr>
          <w:i/>
          <w:iCs/>
        </w:rPr>
        <w:t>37</w:t>
      </w:r>
      <w:r w:rsidRPr="00B82756">
        <w:t>(9), pp.1623-1642.</w:t>
      </w:r>
    </w:p>
    <w:p w14:paraId="011E8F6A" w14:textId="77777777" w:rsidR="00572B3F" w:rsidRDefault="00572B3F" w:rsidP="00B82756">
      <w:pPr>
        <w:pStyle w:val="ListParagraph"/>
        <w:numPr>
          <w:ilvl w:val="0"/>
          <w:numId w:val="9"/>
        </w:numPr>
        <w:contextualSpacing w:val="0"/>
        <w:jc w:val="both"/>
      </w:pPr>
      <w:r w:rsidRPr="00136955">
        <w:t>Zhang, Z., 2018. Construction of the Multimedia Teaching Platform of Cost Accounting Course Based on EXCEL VBA Program. </w:t>
      </w:r>
      <w:r w:rsidRPr="00136955">
        <w:rPr>
          <w:i/>
          <w:iCs/>
        </w:rPr>
        <w:t>International Journal of Emerging Technologies in Learning</w:t>
      </w:r>
      <w:r w:rsidRPr="00136955">
        <w:t>, </w:t>
      </w:r>
      <w:r w:rsidRPr="00136955">
        <w:rPr>
          <w:i/>
          <w:iCs/>
        </w:rPr>
        <w:t>13</w:t>
      </w:r>
      <w:r w:rsidRPr="00136955">
        <w:t>(5).</w:t>
      </w:r>
    </w:p>
    <w:p w14:paraId="648A0BFE" w14:textId="2A3BEE33" w:rsidR="00D25ADA" w:rsidRPr="0049019A" w:rsidRDefault="00B82756" w:rsidP="00B82756">
      <w:pPr>
        <w:jc w:val="both"/>
      </w:pPr>
      <w:r w:rsidRPr="00B04D48">
        <w:br w:type="page"/>
      </w:r>
      <w:bookmarkEnd w:id="7"/>
    </w:p>
    <w:p w14:paraId="405783BB" w14:textId="77777777" w:rsidR="00D25ADA" w:rsidRPr="00D25ADA" w:rsidRDefault="00D25ADA" w:rsidP="00B82756">
      <w:pPr>
        <w:jc w:val="both"/>
      </w:pPr>
    </w:p>
    <w:p w14:paraId="0060C312" w14:textId="77777777" w:rsidR="00D25ADA" w:rsidRPr="00D25ADA" w:rsidRDefault="00D25ADA" w:rsidP="00B82756">
      <w:pPr>
        <w:jc w:val="both"/>
        <w:rPr>
          <w:b/>
          <w:bCs/>
        </w:rPr>
      </w:pPr>
    </w:p>
    <w:sectPr w:rsidR="00D25ADA" w:rsidRPr="00D25ADA" w:rsidSect="00CA5BB5">
      <w:footerReference w:type="default" r:id="rId8"/>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58F3B" w14:textId="77777777" w:rsidR="008E2AA0" w:rsidRDefault="008E2AA0" w:rsidP="00136955">
      <w:pPr>
        <w:spacing w:after="0" w:line="240" w:lineRule="auto"/>
      </w:pPr>
      <w:r>
        <w:separator/>
      </w:r>
    </w:p>
  </w:endnote>
  <w:endnote w:type="continuationSeparator" w:id="0">
    <w:p w14:paraId="330E7D6E" w14:textId="77777777" w:rsidR="008E2AA0" w:rsidRDefault="008E2AA0" w:rsidP="00136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402934"/>
      <w:docPartObj>
        <w:docPartGallery w:val="Page Numbers (Bottom of Page)"/>
        <w:docPartUnique/>
      </w:docPartObj>
    </w:sdtPr>
    <w:sdtEndPr>
      <w:rPr>
        <w:noProof/>
      </w:rPr>
    </w:sdtEndPr>
    <w:sdtContent>
      <w:p w14:paraId="46543A08" w14:textId="4DD81612" w:rsidR="00136955" w:rsidRDefault="00136955">
        <w:pPr>
          <w:pStyle w:val="Footer"/>
          <w:jc w:val="center"/>
        </w:pPr>
        <w:r>
          <w:fldChar w:fldCharType="begin"/>
        </w:r>
        <w:r>
          <w:instrText xml:space="preserve"> PAGE   \* MERGEFORMAT </w:instrText>
        </w:r>
        <w:r>
          <w:fldChar w:fldCharType="separate"/>
        </w:r>
        <w:r w:rsidR="0049019A">
          <w:rPr>
            <w:noProof/>
          </w:rPr>
          <w:t>1</w:t>
        </w:r>
        <w:r>
          <w:rPr>
            <w:noProof/>
          </w:rPr>
          <w:fldChar w:fldCharType="end"/>
        </w:r>
      </w:p>
    </w:sdtContent>
  </w:sdt>
  <w:p w14:paraId="7FC3E515" w14:textId="77777777" w:rsidR="00136955" w:rsidRDefault="00136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FB7EA" w14:textId="77777777" w:rsidR="008E2AA0" w:rsidRDefault="008E2AA0" w:rsidP="00136955">
      <w:pPr>
        <w:spacing w:after="0" w:line="240" w:lineRule="auto"/>
      </w:pPr>
      <w:r>
        <w:separator/>
      </w:r>
    </w:p>
  </w:footnote>
  <w:footnote w:type="continuationSeparator" w:id="0">
    <w:p w14:paraId="3168704D" w14:textId="77777777" w:rsidR="008E2AA0" w:rsidRDefault="008E2AA0" w:rsidP="00136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4292"/>
    <w:multiLevelType w:val="multilevel"/>
    <w:tmpl w:val="220460EC"/>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9250D1"/>
    <w:multiLevelType w:val="hybridMultilevel"/>
    <w:tmpl w:val="5C60223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D62ADC"/>
    <w:multiLevelType w:val="hybridMultilevel"/>
    <w:tmpl w:val="E274FC36"/>
    <w:lvl w:ilvl="0" w:tplc="40090003">
      <w:start w:val="1"/>
      <w:numFmt w:val="bullet"/>
      <w:lvlText w:val="o"/>
      <w:lvlJc w:val="left"/>
      <w:pPr>
        <w:ind w:left="3720" w:hanging="360"/>
      </w:pPr>
      <w:rPr>
        <w:rFonts w:ascii="Courier New" w:hAnsi="Courier New" w:cs="Courier New" w:hint="default"/>
      </w:rPr>
    </w:lvl>
    <w:lvl w:ilvl="1" w:tplc="40090003" w:tentative="1">
      <w:start w:val="1"/>
      <w:numFmt w:val="bullet"/>
      <w:lvlText w:val="o"/>
      <w:lvlJc w:val="left"/>
      <w:pPr>
        <w:ind w:left="4440" w:hanging="360"/>
      </w:pPr>
      <w:rPr>
        <w:rFonts w:ascii="Courier New" w:hAnsi="Courier New" w:cs="Courier New" w:hint="default"/>
      </w:rPr>
    </w:lvl>
    <w:lvl w:ilvl="2" w:tplc="40090005" w:tentative="1">
      <w:start w:val="1"/>
      <w:numFmt w:val="bullet"/>
      <w:lvlText w:val=""/>
      <w:lvlJc w:val="left"/>
      <w:pPr>
        <w:ind w:left="5160" w:hanging="360"/>
      </w:pPr>
      <w:rPr>
        <w:rFonts w:ascii="Wingdings" w:hAnsi="Wingdings" w:hint="default"/>
      </w:rPr>
    </w:lvl>
    <w:lvl w:ilvl="3" w:tplc="40090001" w:tentative="1">
      <w:start w:val="1"/>
      <w:numFmt w:val="bullet"/>
      <w:lvlText w:val=""/>
      <w:lvlJc w:val="left"/>
      <w:pPr>
        <w:ind w:left="5880" w:hanging="360"/>
      </w:pPr>
      <w:rPr>
        <w:rFonts w:ascii="Symbol" w:hAnsi="Symbol" w:hint="default"/>
      </w:rPr>
    </w:lvl>
    <w:lvl w:ilvl="4" w:tplc="40090003" w:tentative="1">
      <w:start w:val="1"/>
      <w:numFmt w:val="bullet"/>
      <w:lvlText w:val="o"/>
      <w:lvlJc w:val="left"/>
      <w:pPr>
        <w:ind w:left="6600" w:hanging="360"/>
      </w:pPr>
      <w:rPr>
        <w:rFonts w:ascii="Courier New" w:hAnsi="Courier New" w:cs="Courier New" w:hint="default"/>
      </w:rPr>
    </w:lvl>
    <w:lvl w:ilvl="5" w:tplc="40090005" w:tentative="1">
      <w:start w:val="1"/>
      <w:numFmt w:val="bullet"/>
      <w:lvlText w:val=""/>
      <w:lvlJc w:val="left"/>
      <w:pPr>
        <w:ind w:left="7320" w:hanging="360"/>
      </w:pPr>
      <w:rPr>
        <w:rFonts w:ascii="Wingdings" w:hAnsi="Wingdings" w:hint="default"/>
      </w:rPr>
    </w:lvl>
    <w:lvl w:ilvl="6" w:tplc="40090001" w:tentative="1">
      <w:start w:val="1"/>
      <w:numFmt w:val="bullet"/>
      <w:lvlText w:val=""/>
      <w:lvlJc w:val="left"/>
      <w:pPr>
        <w:ind w:left="8040" w:hanging="360"/>
      </w:pPr>
      <w:rPr>
        <w:rFonts w:ascii="Symbol" w:hAnsi="Symbol" w:hint="default"/>
      </w:rPr>
    </w:lvl>
    <w:lvl w:ilvl="7" w:tplc="40090003" w:tentative="1">
      <w:start w:val="1"/>
      <w:numFmt w:val="bullet"/>
      <w:lvlText w:val="o"/>
      <w:lvlJc w:val="left"/>
      <w:pPr>
        <w:ind w:left="8760" w:hanging="360"/>
      </w:pPr>
      <w:rPr>
        <w:rFonts w:ascii="Courier New" w:hAnsi="Courier New" w:cs="Courier New" w:hint="default"/>
      </w:rPr>
    </w:lvl>
    <w:lvl w:ilvl="8" w:tplc="40090005" w:tentative="1">
      <w:start w:val="1"/>
      <w:numFmt w:val="bullet"/>
      <w:lvlText w:val=""/>
      <w:lvlJc w:val="left"/>
      <w:pPr>
        <w:ind w:left="9480" w:hanging="360"/>
      </w:pPr>
      <w:rPr>
        <w:rFonts w:ascii="Wingdings" w:hAnsi="Wingdings" w:hint="default"/>
      </w:rPr>
    </w:lvl>
  </w:abstractNum>
  <w:abstractNum w:abstractNumId="3" w15:restartNumberingAfterBreak="0">
    <w:nsid w:val="2B772C85"/>
    <w:multiLevelType w:val="hybridMultilevel"/>
    <w:tmpl w:val="57607268"/>
    <w:lvl w:ilvl="0" w:tplc="40090003">
      <w:start w:val="1"/>
      <w:numFmt w:val="bullet"/>
      <w:lvlText w:val="o"/>
      <w:lvlJc w:val="left"/>
      <w:pPr>
        <w:ind w:left="3600" w:hanging="360"/>
      </w:pPr>
      <w:rPr>
        <w:rFonts w:ascii="Courier New" w:hAnsi="Courier New" w:cs="Courier New"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4" w15:restartNumberingAfterBreak="0">
    <w:nsid w:val="2D4621B3"/>
    <w:multiLevelType w:val="hybridMultilevel"/>
    <w:tmpl w:val="0048250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555AB3"/>
    <w:multiLevelType w:val="hybridMultilevel"/>
    <w:tmpl w:val="AF468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392206"/>
    <w:multiLevelType w:val="hybridMultilevel"/>
    <w:tmpl w:val="1580472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0E8328D"/>
    <w:multiLevelType w:val="hybridMultilevel"/>
    <w:tmpl w:val="0E18068A"/>
    <w:lvl w:ilvl="0" w:tplc="40090003">
      <w:start w:val="1"/>
      <w:numFmt w:val="bullet"/>
      <w:lvlText w:val="o"/>
      <w:lvlJc w:val="left"/>
      <w:pPr>
        <w:ind w:left="3600" w:hanging="360"/>
      </w:pPr>
      <w:rPr>
        <w:rFonts w:ascii="Courier New" w:hAnsi="Courier New" w:cs="Courier New"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8" w15:restartNumberingAfterBreak="0">
    <w:nsid w:val="7BEE27F8"/>
    <w:multiLevelType w:val="hybridMultilevel"/>
    <w:tmpl w:val="F936370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D6E37F6"/>
    <w:multiLevelType w:val="hybridMultilevel"/>
    <w:tmpl w:val="3C80742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550415">
    <w:abstractNumId w:val="0"/>
  </w:num>
  <w:num w:numId="2" w16cid:durableId="2093623265">
    <w:abstractNumId w:val="2"/>
  </w:num>
  <w:num w:numId="3" w16cid:durableId="720328721">
    <w:abstractNumId w:val="6"/>
  </w:num>
  <w:num w:numId="4" w16cid:durableId="758405462">
    <w:abstractNumId w:val="1"/>
  </w:num>
  <w:num w:numId="5" w16cid:durableId="1898973131">
    <w:abstractNumId w:val="4"/>
  </w:num>
  <w:num w:numId="6" w16cid:durableId="1862160502">
    <w:abstractNumId w:val="8"/>
  </w:num>
  <w:num w:numId="7" w16cid:durableId="1805154596">
    <w:abstractNumId w:val="7"/>
  </w:num>
  <w:num w:numId="8" w16cid:durableId="1095907213">
    <w:abstractNumId w:val="3"/>
  </w:num>
  <w:num w:numId="9" w16cid:durableId="978605570">
    <w:abstractNumId w:val="9"/>
  </w:num>
  <w:num w:numId="10" w16cid:durableId="13760070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E680F"/>
    <w:rsid w:val="00065E0A"/>
    <w:rsid w:val="00084A98"/>
    <w:rsid w:val="00136955"/>
    <w:rsid w:val="00167A4F"/>
    <w:rsid w:val="001C7C77"/>
    <w:rsid w:val="00223643"/>
    <w:rsid w:val="002E680F"/>
    <w:rsid w:val="0049019A"/>
    <w:rsid w:val="004F3F3E"/>
    <w:rsid w:val="00572B3F"/>
    <w:rsid w:val="00606BF8"/>
    <w:rsid w:val="00616536"/>
    <w:rsid w:val="00676C54"/>
    <w:rsid w:val="006B3E06"/>
    <w:rsid w:val="006C5405"/>
    <w:rsid w:val="006D265E"/>
    <w:rsid w:val="006E1B32"/>
    <w:rsid w:val="0074419C"/>
    <w:rsid w:val="00872D6B"/>
    <w:rsid w:val="008A3E4D"/>
    <w:rsid w:val="008B06BD"/>
    <w:rsid w:val="008E2AA0"/>
    <w:rsid w:val="009034F9"/>
    <w:rsid w:val="00936D5A"/>
    <w:rsid w:val="009E67C9"/>
    <w:rsid w:val="00A73D06"/>
    <w:rsid w:val="00B04D48"/>
    <w:rsid w:val="00B13334"/>
    <w:rsid w:val="00B64DB7"/>
    <w:rsid w:val="00B82756"/>
    <w:rsid w:val="00BA0C66"/>
    <w:rsid w:val="00C353EF"/>
    <w:rsid w:val="00CA5BB5"/>
    <w:rsid w:val="00CC44A5"/>
    <w:rsid w:val="00CF547C"/>
    <w:rsid w:val="00D216CE"/>
    <w:rsid w:val="00D25ADA"/>
    <w:rsid w:val="00D9526D"/>
    <w:rsid w:val="00E10E4B"/>
    <w:rsid w:val="00E424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32D63"/>
  <w15:docId w15:val="{EE84D0A1-EDDB-DB4A-B551-5C472D2CC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40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C540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C540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40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6C540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6C540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C5405"/>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B04D48"/>
    <w:pPr>
      <w:ind w:left="720"/>
      <w:contextualSpacing/>
    </w:pPr>
  </w:style>
  <w:style w:type="paragraph" w:styleId="TOCHeading">
    <w:name w:val="TOC Heading"/>
    <w:basedOn w:val="Heading1"/>
    <w:next w:val="Normal"/>
    <w:uiPriority w:val="39"/>
    <w:unhideWhenUsed/>
    <w:qFormat/>
    <w:rsid w:val="00E424E2"/>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24E2"/>
    <w:pPr>
      <w:spacing w:after="100"/>
    </w:pPr>
  </w:style>
  <w:style w:type="character" w:styleId="Hyperlink">
    <w:name w:val="Hyperlink"/>
    <w:basedOn w:val="DefaultParagraphFont"/>
    <w:uiPriority w:val="99"/>
    <w:unhideWhenUsed/>
    <w:rsid w:val="00E424E2"/>
    <w:rPr>
      <w:color w:val="0563C1" w:themeColor="hyperlink"/>
      <w:u w:val="single"/>
    </w:rPr>
  </w:style>
  <w:style w:type="paragraph" w:styleId="Header">
    <w:name w:val="header"/>
    <w:basedOn w:val="Normal"/>
    <w:link w:val="HeaderChar"/>
    <w:uiPriority w:val="99"/>
    <w:unhideWhenUsed/>
    <w:rsid w:val="00136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955"/>
    <w:rPr>
      <w:rFonts w:ascii="Times New Roman" w:hAnsi="Times New Roman"/>
      <w:sz w:val="24"/>
    </w:rPr>
  </w:style>
  <w:style w:type="paragraph" w:styleId="Footer">
    <w:name w:val="footer"/>
    <w:basedOn w:val="Normal"/>
    <w:link w:val="FooterChar"/>
    <w:uiPriority w:val="99"/>
    <w:unhideWhenUsed/>
    <w:rsid w:val="00136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955"/>
    <w:rPr>
      <w:rFonts w:ascii="Times New Roman" w:hAnsi="Times New Roman"/>
      <w:sz w:val="24"/>
    </w:rPr>
  </w:style>
  <w:style w:type="paragraph" w:styleId="BalloonText">
    <w:name w:val="Balloon Text"/>
    <w:basedOn w:val="Normal"/>
    <w:link w:val="BalloonTextChar"/>
    <w:uiPriority w:val="99"/>
    <w:semiHidden/>
    <w:unhideWhenUsed/>
    <w:rsid w:val="00572B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B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096849">
      <w:bodyDiv w:val="1"/>
      <w:marLeft w:val="0"/>
      <w:marRight w:val="0"/>
      <w:marTop w:val="0"/>
      <w:marBottom w:val="0"/>
      <w:divBdr>
        <w:top w:val="none" w:sz="0" w:space="0" w:color="auto"/>
        <w:left w:val="none" w:sz="0" w:space="0" w:color="auto"/>
        <w:bottom w:val="none" w:sz="0" w:space="0" w:color="auto"/>
        <w:right w:val="none" w:sz="0" w:space="0" w:color="auto"/>
      </w:divBdr>
    </w:div>
    <w:div w:id="960115322">
      <w:bodyDiv w:val="1"/>
      <w:marLeft w:val="0"/>
      <w:marRight w:val="0"/>
      <w:marTop w:val="0"/>
      <w:marBottom w:val="0"/>
      <w:divBdr>
        <w:top w:val="none" w:sz="0" w:space="0" w:color="auto"/>
        <w:left w:val="none" w:sz="0" w:space="0" w:color="auto"/>
        <w:bottom w:val="none" w:sz="0" w:space="0" w:color="auto"/>
        <w:right w:val="none" w:sz="0" w:space="0" w:color="auto"/>
      </w:divBdr>
    </w:div>
    <w:div w:id="1202090374">
      <w:bodyDiv w:val="1"/>
      <w:marLeft w:val="0"/>
      <w:marRight w:val="0"/>
      <w:marTop w:val="0"/>
      <w:marBottom w:val="0"/>
      <w:divBdr>
        <w:top w:val="none" w:sz="0" w:space="0" w:color="auto"/>
        <w:left w:val="none" w:sz="0" w:space="0" w:color="auto"/>
        <w:bottom w:val="none" w:sz="0" w:space="0" w:color="auto"/>
        <w:right w:val="none" w:sz="0" w:space="0" w:color="auto"/>
      </w:divBdr>
    </w:div>
    <w:div w:id="1231305506">
      <w:bodyDiv w:val="1"/>
      <w:marLeft w:val="0"/>
      <w:marRight w:val="0"/>
      <w:marTop w:val="0"/>
      <w:marBottom w:val="0"/>
      <w:divBdr>
        <w:top w:val="none" w:sz="0" w:space="0" w:color="auto"/>
        <w:left w:val="none" w:sz="0" w:space="0" w:color="auto"/>
        <w:bottom w:val="none" w:sz="0" w:space="0" w:color="auto"/>
        <w:right w:val="none" w:sz="0" w:space="0" w:color="auto"/>
      </w:divBdr>
    </w:div>
    <w:div w:id="2046710241">
      <w:bodyDiv w:val="1"/>
      <w:marLeft w:val="0"/>
      <w:marRight w:val="0"/>
      <w:marTop w:val="0"/>
      <w:marBottom w:val="0"/>
      <w:divBdr>
        <w:top w:val="none" w:sz="0" w:space="0" w:color="auto"/>
        <w:left w:val="none" w:sz="0" w:space="0" w:color="auto"/>
        <w:bottom w:val="none" w:sz="0" w:space="0" w:color="auto"/>
        <w:right w:val="none" w:sz="0" w:space="0" w:color="auto"/>
      </w:divBdr>
    </w:div>
    <w:div w:id="209816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83A7C-6BBB-4BBB-A3B2-2655B55E8BD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1676</Words>
  <Characters>9556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Baleanu</cp:lastModifiedBy>
  <cp:revision>2</cp:revision>
  <dcterms:created xsi:type="dcterms:W3CDTF">2022-10-23T13:04:00Z</dcterms:created>
  <dcterms:modified xsi:type="dcterms:W3CDTF">2022-10-23T13:04:00Z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22ed2194-5733-476c-b2cd-8b72083dfbf7</vt:lpwstr>
  </property>
</Properties>
</file>