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D46367B" w14:textId="77777777" w:rsidR="007E265A" w:rsidRPr="007E265A" w:rsidRDefault="007E265A" w:rsidP="007E265A">
      <w:pPr>
        <w:spacing w:line="240" w:lineRule="auto"/>
        <w:jc w:val="center"/>
        <w:rPr>
          <w:rFonts w:asciiTheme="minorHAnsi" w:eastAsiaTheme="minorHAnsi" w:hAnsiTheme="minorHAnsi" w:cstheme="minorBidi"/>
          <w:kern w:val="2"/>
          <w:sz w:val="24"/>
          <w:szCs w:val="24"/>
          <w:lang w:val="en-GB" w:eastAsia="en-US"/>
          <w14:ligatures w14:val="standardContextual"/>
        </w:rPr>
      </w:pPr>
      <w:r w:rsidRPr="007E265A">
        <w:rPr>
          <w:rFonts w:asciiTheme="minorHAnsi" w:eastAsiaTheme="minorHAnsi" w:hAnsiTheme="minorHAnsi" w:cstheme="minorBidi"/>
          <w:noProof/>
          <w:kern w:val="2"/>
          <w:sz w:val="24"/>
          <w:szCs w:val="24"/>
          <w:lang w:val="en-GB" w:eastAsia="en-US"/>
          <w14:ligatures w14:val="standardContextual"/>
        </w:rPr>
        <w:drawing>
          <wp:inline distT="0" distB="0" distL="0" distR="0" wp14:anchorId="3450BAF3" wp14:editId="1820C99B">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49A4CF38" w14:textId="77777777" w:rsidR="007E265A" w:rsidRPr="007E265A" w:rsidRDefault="007E265A" w:rsidP="007E265A">
      <w:pPr>
        <w:spacing w:line="240" w:lineRule="auto"/>
        <w:jc w:val="center"/>
        <w:rPr>
          <w:rFonts w:asciiTheme="minorHAnsi" w:eastAsiaTheme="minorHAnsi" w:hAnsiTheme="minorHAnsi" w:cstheme="minorBidi"/>
          <w:kern w:val="2"/>
          <w:sz w:val="24"/>
          <w:szCs w:val="24"/>
          <w:lang w:val="en-GB" w:eastAsia="en-US"/>
          <w14:ligatures w14:val="standardContextual"/>
        </w:rPr>
      </w:pPr>
    </w:p>
    <w:p w14:paraId="52AE7C92" w14:textId="77777777" w:rsidR="007E265A" w:rsidRPr="007E265A" w:rsidRDefault="007E265A" w:rsidP="007E265A">
      <w:pPr>
        <w:spacing w:line="240" w:lineRule="auto"/>
        <w:jc w:val="center"/>
        <w:rPr>
          <w:rFonts w:asciiTheme="minorHAnsi" w:eastAsiaTheme="minorHAnsi" w:hAnsiTheme="minorHAnsi" w:cstheme="minorBidi"/>
          <w:kern w:val="2"/>
          <w:sz w:val="24"/>
          <w:szCs w:val="24"/>
          <w:lang w:val="en-GB" w:eastAsia="en-US"/>
          <w14:ligatures w14:val="standardContextual"/>
        </w:rPr>
      </w:pPr>
    </w:p>
    <w:p w14:paraId="0AEDD618" w14:textId="77777777" w:rsidR="007E265A" w:rsidRPr="007E265A" w:rsidRDefault="007E265A" w:rsidP="007E265A">
      <w:pPr>
        <w:spacing w:line="240" w:lineRule="auto"/>
        <w:jc w:val="center"/>
        <w:rPr>
          <w:rFonts w:asciiTheme="minorHAnsi" w:eastAsiaTheme="minorHAnsi" w:hAnsiTheme="minorHAnsi" w:cstheme="minorBidi"/>
          <w:kern w:val="2"/>
          <w:sz w:val="24"/>
          <w:szCs w:val="24"/>
          <w:lang w:val="en-GB" w:eastAsia="en-US"/>
          <w14:ligatures w14:val="standardContextual"/>
        </w:rPr>
      </w:pPr>
    </w:p>
    <w:p w14:paraId="613AFD28" w14:textId="77777777" w:rsidR="007E265A" w:rsidRPr="007E265A" w:rsidRDefault="007E265A" w:rsidP="007E265A">
      <w:pPr>
        <w:spacing w:line="240" w:lineRule="auto"/>
        <w:jc w:val="center"/>
        <w:rPr>
          <w:rFonts w:asciiTheme="minorHAnsi" w:eastAsiaTheme="minorHAnsi" w:hAnsiTheme="minorHAnsi" w:cstheme="minorBidi"/>
          <w:kern w:val="2"/>
          <w:sz w:val="24"/>
          <w:szCs w:val="24"/>
          <w:lang w:val="en-GB" w:eastAsia="en-US"/>
          <w14:ligatures w14:val="standardContextual"/>
        </w:rPr>
      </w:pPr>
    </w:p>
    <w:p w14:paraId="2F0EC857" w14:textId="77777777" w:rsidR="007E265A" w:rsidRPr="007E265A" w:rsidRDefault="007E265A" w:rsidP="007E265A">
      <w:pPr>
        <w:spacing w:line="240" w:lineRule="auto"/>
        <w:jc w:val="center"/>
        <w:rPr>
          <w:rFonts w:asciiTheme="minorHAnsi" w:eastAsiaTheme="minorHAnsi" w:hAnsiTheme="minorHAnsi" w:cstheme="minorBidi"/>
          <w:kern w:val="2"/>
          <w:sz w:val="24"/>
          <w:szCs w:val="24"/>
          <w:lang w:val="en-GB" w:eastAsia="en-US"/>
          <w14:ligatures w14:val="standardContextual"/>
        </w:rPr>
      </w:pPr>
    </w:p>
    <w:p w14:paraId="65287F28" w14:textId="77777777" w:rsidR="007E265A" w:rsidRPr="007E265A" w:rsidRDefault="007E265A" w:rsidP="007E265A">
      <w:pPr>
        <w:spacing w:line="240" w:lineRule="auto"/>
        <w:jc w:val="center"/>
        <w:rPr>
          <w:rFonts w:eastAsiaTheme="minorHAnsi"/>
          <w:b/>
          <w:bCs/>
          <w:kern w:val="2"/>
          <w:sz w:val="24"/>
          <w:szCs w:val="24"/>
          <w:lang w:val="en-GB" w:eastAsia="en-US"/>
          <w14:ligatures w14:val="standardContextual"/>
        </w:rPr>
      </w:pPr>
      <w:r w:rsidRPr="007E265A">
        <w:rPr>
          <w:rFonts w:eastAsiaTheme="minorHAnsi"/>
          <w:b/>
          <w:bCs/>
          <w:kern w:val="2"/>
          <w:sz w:val="24"/>
          <w:szCs w:val="24"/>
          <w:lang w:val="en-GB" w:eastAsia="en-US"/>
          <w14:ligatures w14:val="standardContextual"/>
        </w:rPr>
        <w:t xml:space="preserve">Student Name:MD </w:t>
      </w:r>
      <w:proofErr w:type="spellStart"/>
      <w:r w:rsidRPr="007E265A">
        <w:rPr>
          <w:rFonts w:eastAsiaTheme="minorHAnsi"/>
          <w:b/>
          <w:bCs/>
          <w:kern w:val="2"/>
          <w:sz w:val="24"/>
          <w:szCs w:val="24"/>
          <w:lang w:val="en-GB" w:eastAsia="en-US"/>
          <w14:ligatures w14:val="standardContextual"/>
        </w:rPr>
        <w:t>Natikul</w:t>
      </w:r>
      <w:proofErr w:type="spellEnd"/>
      <w:r w:rsidRPr="007E265A">
        <w:rPr>
          <w:rFonts w:eastAsiaTheme="minorHAnsi"/>
          <w:b/>
          <w:bCs/>
          <w:kern w:val="2"/>
          <w:sz w:val="24"/>
          <w:szCs w:val="24"/>
          <w:lang w:val="en-GB" w:eastAsia="en-US"/>
          <w14:ligatures w14:val="standardContextual"/>
        </w:rPr>
        <w:t xml:space="preserve"> Islam</w:t>
      </w:r>
    </w:p>
    <w:p w14:paraId="5DA2FB4B" w14:textId="77777777" w:rsidR="007E265A" w:rsidRPr="007E265A" w:rsidRDefault="007E265A" w:rsidP="007E265A">
      <w:pPr>
        <w:spacing w:line="240" w:lineRule="auto"/>
        <w:jc w:val="center"/>
        <w:rPr>
          <w:rFonts w:eastAsiaTheme="minorHAnsi"/>
          <w:b/>
          <w:bCs/>
          <w:kern w:val="2"/>
          <w:sz w:val="24"/>
          <w:szCs w:val="24"/>
          <w:lang w:val="en-GB" w:eastAsia="en-US"/>
          <w14:ligatures w14:val="standardContextual"/>
        </w:rPr>
      </w:pPr>
    </w:p>
    <w:p w14:paraId="508F5D50" w14:textId="77777777" w:rsidR="007E265A" w:rsidRPr="007E265A" w:rsidRDefault="007E265A" w:rsidP="007E265A">
      <w:pPr>
        <w:spacing w:line="240" w:lineRule="auto"/>
        <w:jc w:val="center"/>
        <w:rPr>
          <w:rFonts w:eastAsiaTheme="minorHAnsi"/>
          <w:b/>
          <w:bCs/>
          <w:kern w:val="2"/>
          <w:sz w:val="24"/>
          <w:szCs w:val="24"/>
          <w:lang w:val="en-GB" w:eastAsia="en-US"/>
          <w14:ligatures w14:val="standardContextual"/>
        </w:rPr>
      </w:pPr>
      <w:r w:rsidRPr="007E265A">
        <w:rPr>
          <w:rFonts w:eastAsiaTheme="minorHAnsi"/>
          <w:b/>
          <w:bCs/>
          <w:kern w:val="2"/>
          <w:sz w:val="24"/>
          <w:szCs w:val="24"/>
          <w:lang w:val="en-GB" w:eastAsia="en-US"/>
          <w14:ligatures w14:val="standardContextual"/>
        </w:rPr>
        <w:t>Student ID: 2437633</w:t>
      </w:r>
    </w:p>
    <w:p w14:paraId="26FBA393" w14:textId="77777777" w:rsidR="007E265A" w:rsidRPr="007E265A" w:rsidRDefault="007E265A" w:rsidP="007E265A">
      <w:pPr>
        <w:spacing w:line="240" w:lineRule="auto"/>
        <w:jc w:val="center"/>
        <w:rPr>
          <w:rFonts w:eastAsiaTheme="minorHAnsi"/>
          <w:kern w:val="2"/>
          <w:sz w:val="24"/>
          <w:szCs w:val="24"/>
          <w:lang w:val="en-GB" w:eastAsia="en-US"/>
          <w14:ligatures w14:val="standardContextual"/>
        </w:rPr>
      </w:pPr>
    </w:p>
    <w:p w14:paraId="1EBF0C41" w14:textId="77777777" w:rsidR="007E265A" w:rsidRPr="007E265A" w:rsidRDefault="007E265A" w:rsidP="007E265A">
      <w:pPr>
        <w:spacing w:line="240" w:lineRule="auto"/>
        <w:jc w:val="center"/>
        <w:rPr>
          <w:rFonts w:eastAsiaTheme="minorHAnsi"/>
          <w:kern w:val="2"/>
          <w:sz w:val="24"/>
          <w:szCs w:val="24"/>
          <w:lang w:val="en-GB" w:eastAsia="en-US"/>
          <w14:ligatures w14:val="standardContextual"/>
        </w:rPr>
      </w:pPr>
    </w:p>
    <w:p w14:paraId="2245E8E4" w14:textId="7218D09E" w:rsidR="007E265A" w:rsidRPr="007A4C30" w:rsidRDefault="007E265A" w:rsidP="007E265A">
      <w:pPr>
        <w:spacing w:line="240" w:lineRule="auto"/>
        <w:jc w:val="center"/>
        <w:rPr>
          <w:rFonts w:ascii="Times New Roman" w:eastAsiaTheme="minorHAnsi" w:hAnsi="Times New Roman" w:cs="Times New Roman"/>
          <w:b/>
          <w:bCs/>
          <w:kern w:val="2"/>
          <w:sz w:val="24"/>
          <w:szCs w:val="24"/>
          <w:lang w:val="en-GB" w:eastAsia="en-US"/>
          <w14:ligatures w14:val="standardContextual"/>
        </w:rPr>
      </w:pPr>
      <w:r w:rsidRPr="007E265A">
        <w:rPr>
          <w:rFonts w:eastAsiaTheme="minorHAnsi"/>
          <w:b/>
          <w:bCs/>
          <w:kern w:val="2"/>
          <w:sz w:val="24"/>
          <w:szCs w:val="24"/>
          <w:lang w:val="en-GB" w:eastAsia="en-US"/>
          <w14:ligatures w14:val="standardContextual"/>
        </w:rPr>
        <w:t xml:space="preserve">Module Name: </w:t>
      </w:r>
      <w:r w:rsidR="002F1B2F" w:rsidRPr="007A4C30">
        <w:rPr>
          <w:rFonts w:ascii="Times New Roman" w:eastAsiaTheme="minorHAnsi" w:hAnsi="Times New Roman" w:cs="Times New Roman"/>
          <w:b/>
          <w:bCs/>
          <w:kern w:val="2"/>
          <w:sz w:val="24"/>
          <w:szCs w:val="24"/>
          <w:lang w:val="en-GB" w:eastAsia="en-US" w:bidi="bn-IN"/>
          <w14:ligatures w14:val="standardContextual"/>
        </w:rPr>
        <w:t xml:space="preserve">Financial management </w:t>
      </w:r>
    </w:p>
    <w:p w14:paraId="6F042D0B" w14:textId="77777777" w:rsidR="007E265A" w:rsidRPr="007A4C30" w:rsidRDefault="007E265A" w:rsidP="007E265A">
      <w:pPr>
        <w:spacing w:line="240" w:lineRule="auto"/>
        <w:jc w:val="center"/>
        <w:rPr>
          <w:rFonts w:ascii="Times New Roman" w:eastAsiaTheme="minorHAnsi" w:hAnsi="Times New Roman" w:cs="Times New Roman"/>
          <w:b/>
          <w:bCs/>
          <w:kern w:val="2"/>
          <w:sz w:val="24"/>
          <w:szCs w:val="24"/>
          <w:lang w:val="en-GB" w:eastAsia="en-US"/>
          <w14:ligatures w14:val="standardContextual"/>
        </w:rPr>
      </w:pPr>
    </w:p>
    <w:p w14:paraId="0E41045F" w14:textId="388CEBF9" w:rsidR="007E265A" w:rsidRPr="007A4C30" w:rsidRDefault="007E265A" w:rsidP="007E265A">
      <w:pPr>
        <w:spacing w:line="240" w:lineRule="auto"/>
        <w:jc w:val="center"/>
        <w:rPr>
          <w:rFonts w:ascii="Times New Roman" w:eastAsiaTheme="minorHAnsi" w:hAnsi="Times New Roman" w:cs="Times New Roman"/>
          <w:b/>
          <w:bCs/>
          <w:kern w:val="2"/>
          <w:sz w:val="24"/>
          <w:szCs w:val="24"/>
          <w:lang w:val="en-GB" w:eastAsia="en-US" w:bidi="bn-IN"/>
          <w14:ligatures w14:val="standardContextual"/>
        </w:rPr>
      </w:pPr>
      <w:r w:rsidRPr="007A4C30">
        <w:rPr>
          <w:rFonts w:ascii="Times New Roman" w:eastAsiaTheme="minorHAnsi" w:hAnsi="Times New Roman" w:cs="Times New Roman"/>
          <w:b/>
          <w:bCs/>
          <w:kern w:val="2"/>
          <w:sz w:val="24"/>
          <w:szCs w:val="24"/>
          <w:lang w:val="en-GB" w:eastAsia="en-US"/>
          <w14:ligatures w14:val="standardContextual"/>
        </w:rPr>
        <w:t>Module Code: LCMB</w:t>
      </w:r>
      <w:r w:rsidR="00466F91" w:rsidRPr="007A4C30">
        <w:rPr>
          <w:rFonts w:ascii="Times New Roman" w:eastAsiaTheme="minorHAnsi" w:hAnsi="Times New Roman" w:cs="Times New Roman"/>
          <w:b/>
          <w:bCs/>
          <w:kern w:val="2"/>
          <w:sz w:val="24"/>
          <w:szCs w:val="24"/>
          <w:cs/>
          <w:lang w:val="en-GB" w:eastAsia="en-US" w:bidi="bn-IN"/>
          <w14:ligatures w14:val="standardContextual"/>
        </w:rPr>
        <w:t>7002</w:t>
      </w:r>
    </w:p>
    <w:p w14:paraId="6F517046" w14:textId="77777777" w:rsidR="007E265A" w:rsidRPr="007A4C30" w:rsidRDefault="007E265A" w:rsidP="007E265A">
      <w:pPr>
        <w:spacing w:line="240" w:lineRule="auto"/>
        <w:jc w:val="center"/>
        <w:rPr>
          <w:rFonts w:ascii="Times New Roman" w:eastAsiaTheme="minorHAnsi" w:hAnsi="Times New Roman" w:cs="Times New Roman"/>
          <w:b/>
          <w:bCs/>
          <w:kern w:val="2"/>
          <w:sz w:val="24"/>
          <w:szCs w:val="24"/>
          <w:lang w:val="en-GB" w:eastAsia="en-US"/>
          <w14:ligatures w14:val="standardContextual"/>
        </w:rPr>
      </w:pPr>
    </w:p>
    <w:p w14:paraId="224D1D60" w14:textId="77777777" w:rsidR="007E265A" w:rsidRPr="007A4C30" w:rsidRDefault="007E265A" w:rsidP="007E265A">
      <w:pPr>
        <w:spacing w:line="240" w:lineRule="auto"/>
        <w:jc w:val="center"/>
        <w:rPr>
          <w:rFonts w:ascii="Times New Roman" w:eastAsiaTheme="minorHAnsi" w:hAnsi="Times New Roman" w:cs="Times New Roman"/>
          <w:b/>
          <w:bCs/>
          <w:kern w:val="2"/>
          <w:sz w:val="24"/>
          <w:szCs w:val="24"/>
          <w:lang w:val="en-GB" w:eastAsia="en-US"/>
          <w14:ligatures w14:val="standardContextual"/>
        </w:rPr>
      </w:pPr>
    </w:p>
    <w:p w14:paraId="036CAD97" w14:textId="77777777" w:rsidR="007E265A" w:rsidRPr="007A4C30" w:rsidRDefault="007E265A" w:rsidP="007E265A">
      <w:pPr>
        <w:spacing w:line="240" w:lineRule="auto"/>
        <w:jc w:val="center"/>
        <w:rPr>
          <w:rFonts w:ascii="Times New Roman" w:eastAsiaTheme="minorHAnsi" w:hAnsi="Times New Roman" w:cs="Times New Roman"/>
          <w:b/>
          <w:bCs/>
          <w:kern w:val="2"/>
          <w:sz w:val="24"/>
          <w:szCs w:val="24"/>
          <w:lang w:val="en-GB" w:eastAsia="en-US"/>
          <w14:ligatures w14:val="standardContextual"/>
        </w:rPr>
      </w:pPr>
    </w:p>
    <w:p w14:paraId="7B4C38CB" w14:textId="77777777" w:rsidR="007E265A" w:rsidRPr="007A4C30" w:rsidRDefault="007E265A" w:rsidP="007E265A">
      <w:pPr>
        <w:spacing w:line="240" w:lineRule="auto"/>
        <w:jc w:val="center"/>
        <w:rPr>
          <w:rFonts w:ascii="Times New Roman" w:eastAsiaTheme="minorHAnsi" w:hAnsi="Times New Roman" w:cs="Times New Roman"/>
          <w:b/>
          <w:bCs/>
          <w:kern w:val="2"/>
          <w:sz w:val="24"/>
          <w:szCs w:val="24"/>
          <w:lang w:val="en-GB" w:eastAsia="en-US"/>
          <w14:ligatures w14:val="standardContextual"/>
        </w:rPr>
      </w:pPr>
    </w:p>
    <w:p w14:paraId="362BB3C4" w14:textId="48C82C7A" w:rsidR="007E265A" w:rsidRPr="007A4C30" w:rsidRDefault="007E265A" w:rsidP="007E265A">
      <w:pPr>
        <w:spacing w:line="240" w:lineRule="auto"/>
        <w:jc w:val="center"/>
        <w:rPr>
          <w:rFonts w:ascii="Times New Roman" w:eastAsia="Batang" w:hAnsi="Times New Roman" w:cs="Times New Roman"/>
          <w:b/>
          <w:bCs/>
          <w:kern w:val="2"/>
          <w:sz w:val="24"/>
          <w:szCs w:val="24"/>
          <w:lang w:val="en-GB" w:eastAsia="en-US" w:bidi="bn-IN"/>
          <w14:ligatures w14:val="standardContextual"/>
        </w:rPr>
      </w:pPr>
      <w:r w:rsidRPr="007A4C30">
        <w:rPr>
          <w:rFonts w:ascii="Times New Roman" w:eastAsiaTheme="minorHAnsi" w:hAnsi="Times New Roman" w:cs="Times New Roman"/>
          <w:b/>
          <w:bCs/>
          <w:kern w:val="2"/>
          <w:sz w:val="24"/>
          <w:szCs w:val="24"/>
          <w:lang w:val="en-GB" w:eastAsia="en-US"/>
          <w14:ligatures w14:val="standardContextual"/>
        </w:rPr>
        <w:t>Lecturer’s Name:</w:t>
      </w:r>
      <w:r w:rsidRPr="007A4C30">
        <w:rPr>
          <w:rFonts w:ascii="Times New Roman" w:eastAsia="Batang" w:hAnsi="Times New Roman" w:cs="Times New Roman"/>
          <w:b/>
          <w:bCs/>
          <w:kern w:val="2"/>
          <w:sz w:val="24"/>
          <w:szCs w:val="24"/>
          <w:lang w:val="en-GB" w:eastAsia="en-US"/>
          <w14:ligatures w14:val="standardContextual"/>
        </w:rPr>
        <w:t xml:space="preserve"> </w:t>
      </w:r>
      <w:r w:rsidR="009A6796" w:rsidRPr="007A4C30">
        <w:rPr>
          <w:rFonts w:ascii="Times New Roman" w:eastAsia="Batang" w:hAnsi="Times New Roman" w:cs="Times New Roman"/>
          <w:b/>
          <w:bCs/>
          <w:kern w:val="2"/>
          <w:sz w:val="24"/>
          <w:szCs w:val="24"/>
          <w:cs/>
          <w:lang w:val="en-GB" w:eastAsia="en-US" w:bidi="bn-IN"/>
          <w14:ligatures w14:val="standardContextual"/>
        </w:rPr>
        <w:t>Dr.</w:t>
      </w:r>
      <w:r w:rsidR="009E249B" w:rsidRPr="007A4C30">
        <w:rPr>
          <w:rFonts w:ascii="Times New Roman" w:eastAsia="Batang" w:hAnsi="Times New Roman" w:cs="Times New Roman"/>
          <w:b/>
          <w:bCs/>
          <w:kern w:val="2"/>
          <w:sz w:val="24"/>
          <w:szCs w:val="24"/>
          <w:cs/>
          <w:lang w:val="en-GB" w:eastAsia="en-US" w:bidi="bn-IN"/>
          <w14:ligatures w14:val="standardContextual"/>
        </w:rPr>
        <w:t>MD Kalam</w:t>
      </w:r>
    </w:p>
    <w:p w14:paraId="459C2EF5" w14:textId="77777777" w:rsidR="007E265A" w:rsidRPr="007E265A" w:rsidRDefault="007E265A" w:rsidP="007E265A">
      <w:pPr>
        <w:spacing w:line="240" w:lineRule="auto"/>
        <w:jc w:val="center"/>
        <w:rPr>
          <w:rFonts w:eastAsiaTheme="minorHAnsi"/>
          <w:b/>
          <w:bCs/>
          <w:kern w:val="2"/>
          <w:sz w:val="24"/>
          <w:szCs w:val="24"/>
          <w:lang w:val="en-GB" w:eastAsia="en-US"/>
          <w14:ligatures w14:val="standardContextual"/>
        </w:rPr>
      </w:pPr>
    </w:p>
    <w:p w14:paraId="13C25528" w14:textId="77777777" w:rsidR="007E265A" w:rsidRPr="007E265A" w:rsidRDefault="007E265A" w:rsidP="007E265A">
      <w:pPr>
        <w:spacing w:line="240" w:lineRule="auto"/>
        <w:jc w:val="center"/>
        <w:rPr>
          <w:rFonts w:eastAsiaTheme="minorHAnsi"/>
          <w:b/>
          <w:bCs/>
          <w:kern w:val="2"/>
          <w:sz w:val="24"/>
          <w:szCs w:val="24"/>
          <w:lang w:val="en-GB" w:eastAsia="en-US"/>
          <w14:ligatures w14:val="standardContextual"/>
        </w:rPr>
      </w:pPr>
    </w:p>
    <w:p w14:paraId="2149A571" w14:textId="77777777" w:rsidR="007E265A" w:rsidRPr="007E265A" w:rsidRDefault="007E265A" w:rsidP="007E265A">
      <w:pPr>
        <w:spacing w:line="240" w:lineRule="auto"/>
        <w:jc w:val="center"/>
        <w:rPr>
          <w:rFonts w:eastAsiaTheme="minorHAnsi"/>
          <w:b/>
          <w:bCs/>
          <w:kern w:val="2"/>
          <w:sz w:val="24"/>
          <w:szCs w:val="24"/>
          <w:lang w:val="en-GB" w:eastAsia="en-US"/>
          <w14:ligatures w14:val="standardContextual"/>
        </w:rPr>
      </w:pPr>
    </w:p>
    <w:p w14:paraId="215CA596" w14:textId="77777777" w:rsidR="007E265A" w:rsidRPr="007E265A" w:rsidRDefault="007E265A" w:rsidP="007E265A">
      <w:pPr>
        <w:spacing w:line="240" w:lineRule="auto"/>
        <w:rPr>
          <w:rFonts w:eastAsiaTheme="minorHAnsi"/>
          <w:b/>
          <w:bCs/>
          <w:kern w:val="2"/>
          <w:sz w:val="24"/>
          <w:szCs w:val="24"/>
          <w:lang w:val="en-GB" w:eastAsia="en-US"/>
          <w14:ligatures w14:val="standardContextual"/>
        </w:rPr>
      </w:pPr>
    </w:p>
    <w:p w14:paraId="7A49348B" w14:textId="70545DB0" w:rsidR="007E265A" w:rsidRPr="00CA19AD" w:rsidRDefault="007E265A" w:rsidP="007E265A">
      <w:pPr>
        <w:spacing w:line="240" w:lineRule="auto"/>
        <w:jc w:val="center"/>
        <w:rPr>
          <w:rFonts w:ascii="Times New Roman" w:eastAsiaTheme="minorHAnsi" w:hAnsi="Times New Roman" w:cs="Vrinda" w:hint="cs"/>
          <w:b/>
          <w:bCs/>
          <w:kern w:val="2"/>
          <w:sz w:val="24"/>
          <w:szCs w:val="30"/>
          <w:lang w:val="en-GB" w:eastAsia="en-US" w:bidi="bn-IN"/>
          <w14:ligatures w14:val="standardContextual"/>
        </w:rPr>
      </w:pPr>
      <w:r w:rsidRPr="007A4C30">
        <w:rPr>
          <w:rFonts w:ascii="Times New Roman" w:eastAsiaTheme="minorHAnsi" w:hAnsi="Times New Roman" w:cs="Times New Roman"/>
          <w:b/>
          <w:bCs/>
          <w:kern w:val="2"/>
          <w:sz w:val="24"/>
          <w:szCs w:val="24"/>
          <w:lang w:val="en-GB" w:eastAsia="en-US"/>
          <w14:ligatures w14:val="standardContextual"/>
        </w:rPr>
        <w:t xml:space="preserve">  </w:t>
      </w:r>
      <w:r w:rsidR="0070294E" w:rsidRPr="007A4C30">
        <w:rPr>
          <w:rFonts w:ascii="Times New Roman" w:eastAsia="Times New Roman" w:hAnsi="Times New Roman" w:cs="Times New Roman"/>
          <w:b/>
          <w:bCs/>
          <w:color w:val="000000"/>
          <w:sz w:val="24"/>
          <w:szCs w:val="24"/>
        </w:rPr>
        <w:t>A Comprehensive Financial Health Assessment and Turnaround Strategy</w:t>
      </w:r>
    </w:p>
    <w:p w14:paraId="6571BC85" w14:textId="77777777" w:rsidR="007E265A" w:rsidRPr="007E265A" w:rsidRDefault="007E265A" w:rsidP="007E265A">
      <w:pPr>
        <w:spacing w:line="240" w:lineRule="auto"/>
        <w:jc w:val="center"/>
        <w:rPr>
          <w:rFonts w:eastAsiaTheme="minorHAnsi"/>
          <w:b/>
          <w:bCs/>
          <w:kern w:val="2"/>
          <w:sz w:val="24"/>
          <w:szCs w:val="24"/>
          <w:lang w:val="en-GB" w:eastAsia="en-US"/>
          <w14:ligatures w14:val="standardContextual"/>
        </w:rPr>
      </w:pPr>
    </w:p>
    <w:p w14:paraId="575A161A" w14:textId="77777777" w:rsidR="007E265A" w:rsidRPr="007E265A" w:rsidRDefault="007E265A" w:rsidP="007E265A">
      <w:pPr>
        <w:spacing w:line="240" w:lineRule="auto"/>
        <w:jc w:val="center"/>
        <w:rPr>
          <w:rFonts w:eastAsiaTheme="minorHAnsi"/>
          <w:b/>
          <w:bCs/>
          <w:kern w:val="2"/>
          <w:sz w:val="24"/>
          <w:szCs w:val="24"/>
          <w:lang w:val="en-GB" w:eastAsia="en-US"/>
          <w14:ligatures w14:val="standardContextual"/>
        </w:rPr>
      </w:pPr>
    </w:p>
    <w:p w14:paraId="360ED0D7" w14:textId="77777777" w:rsidR="007E265A" w:rsidRPr="007E265A" w:rsidRDefault="007E265A" w:rsidP="007E265A">
      <w:pPr>
        <w:spacing w:line="240" w:lineRule="auto"/>
        <w:jc w:val="center"/>
        <w:rPr>
          <w:rFonts w:eastAsiaTheme="minorHAnsi"/>
          <w:b/>
          <w:bCs/>
          <w:kern w:val="2"/>
          <w:sz w:val="24"/>
          <w:szCs w:val="24"/>
          <w:lang w:val="en-GB" w:eastAsia="en-US"/>
          <w14:ligatures w14:val="standardContextual"/>
        </w:rPr>
      </w:pPr>
    </w:p>
    <w:p w14:paraId="716EA96F" w14:textId="77777777" w:rsidR="007E265A" w:rsidRPr="007E265A" w:rsidRDefault="007E265A" w:rsidP="007E265A">
      <w:pPr>
        <w:spacing w:line="240" w:lineRule="auto"/>
        <w:jc w:val="center"/>
        <w:rPr>
          <w:rFonts w:eastAsiaTheme="minorHAnsi"/>
          <w:b/>
          <w:bCs/>
          <w:kern w:val="2"/>
          <w:sz w:val="24"/>
          <w:szCs w:val="24"/>
          <w:lang w:val="en-GB" w:eastAsia="en-US"/>
          <w14:ligatures w14:val="standardContextual"/>
        </w:rPr>
      </w:pPr>
    </w:p>
    <w:p w14:paraId="3D6705A7" w14:textId="77777777" w:rsidR="007E265A" w:rsidRPr="007E265A" w:rsidRDefault="007E265A" w:rsidP="007E265A">
      <w:pPr>
        <w:spacing w:line="240" w:lineRule="auto"/>
        <w:jc w:val="center"/>
        <w:rPr>
          <w:rFonts w:eastAsiaTheme="minorHAnsi"/>
          <w:b/>
          <w:bCs/>
          <w:kern w:val="2"/>
          <w:sz w:val="24"/>
          <w:szCs w:val="24"/>
          <w:lang w:val="en-GB" w:eastAsia="en-US"/>
          <w14:ligatures w14:val="standardContextual"/>
        </w:rPr>
      </w:pPr>
      <w:r w:rsidRPr="007E265A">
        <w:rPr>
          <w:rFonts w:eastAsiaTheme="minorHAnsi"/>
          <w:b/>
          <w:bCs/>
          <w:kern w:val="2"/>
          <w:sz w:val="24"/>
          <w:szCs w:val="24"/>
          <w:lang w:val="en-GB" w:eastAsia="en-US"/>
          <w14:ligatures w14:val="standardContextual"/>
        </w:rPr>
        <w:t>Term 1</w:t>
      </w:r>
    </w:p>
    <w:p w14:paraId="03B67F28" w14:textId="77777777" w:rsidR="00803B40" w:rsidRPr="004A714F" w:rsidRDefault="00803B40">
      <w:pPr>
        <w:spacing w:before="240" w:after="240"/>
        <w:rPr>
          <w:rFonts w:ascii="Times New Roman" w:eastAsia="Times New Roman" w:hAnsi="Times New Roman" w:cs="Vrinda"/>
          <w:b/>
          <w:bCs/>
          <w:sz w:val="24"/>
          <w:szCs w:val="30"/>
          <w:cs/>
          <w:lang w:bidi="bn-IN"/>
        </w:rPr>
      </w:pPr>
    </w:p>
    <w:p w14:paraId="0B38C952" w14:textId="77777777" w:rsidR="00803B40" w:rsidRDefault="00803B40">
      <w:pPr>
        <w:spacing w:before="240" w:after="240"/>
        <w:rPr>
          <w:rFonts w:ascii="Times New Roman" w:eastAsia="Times New Roman" w:hAnsi="Times New Roman" w:cs="Times New Roman"/>
          <w:b/>
          <w:bCs/>
          <w:sz w:val="24"/>
          <w:szCs w:val="24"/>
        </w:rPr>
      </w:pPr>
    </w:p>
    <w:p w14:paraId="1C901393" w14:textId="77777777" w:rsidR="00803B40" w:rsidRDefault="00803B40">
      <w:pPr>
        <w:spacing w:before="240" w:after="240"/>
        <w:rPr>
          <w:rFonts w:ascii="Times New Roman" w:eastAsia="Times New Roman" w:hAnsi="Times New Roman" w:cs="Times New Roman"/>
          <w:b/>
          <w:bCs/>
          <w:sz w:val="24"/>
          <w:szCs w:val="24"/>
        </w:rPr>
      </w:pPr>
    </w:p>
    <w:p w14:paraId="77EAE515" w14:textId="77777777" w:rsidR="00803B40" w:rsidRDefault="00803B40">
      <w:pPr>
        <w:rPr>
          <w:rFonts w:ascii="Times New Roman" w:eastAsia="Times New Roman" w:hAnsi="Times New Roman" w:cs="Vrinda"/>
          <w:b/>
          <w:bCs/>
          <w:sz w:val="24"/>
          <w:szCs w:val="30"/>
          <w:lang w:bidi="bn-IN"/>
        </w:rPr>
      </w:pPr>
    </w:p>
    <w:p w14:paraId="53974D2E" w14:textId="77777777" w:rsidR="007E265A" w:rsidRDefault="007E265A">
      <w:pPr>
        <w:rPr>
          <w:rFonts w:ascii="Times New Roman" w:eastAsia="Times New Roman" w:hAnsi="Times New Roman" w:cs="Vrinda"/>
          <w:b/>
          <w:bCs/>
          <w:sz w:val="24"/>
          <w:szCs w:val="30"/>
          <w:lang w:bidi="bn-IN"/>
        </w:rPr>
      </w:pPr>
    </w:p>
    <w:p w14:paraId="28B6276E" w14:textId="77777777" w:rsidR="007E265A" w:rsidRPr="007E265A" w:rsidRDefault="007E265A">
      <w:pPr>
        <w:rPr>
          <w:rFonts w:ascii="Times New Roman" w:eastAsia="Times New Roman" w:hAnsi="Times New Roman" w:cs="Vrinda"/>
          <w:b/>
          <w:bCs/>
          <w:sz w:val="24"/>
          <w:szCs w:val="30"/>
          <w:lang w:bidi="bn-IN"/>
        </w:rPr>
      </w:pPr>
    </w:p>
    <w:p w14:paraId="09635F9A"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TABLE OF CONTENTS</w:t>
      </w:r>
    </w:p>
    <w:sdt>
      <w:sdtPr>
        <w:id w:val="709883679"/>
        <w:docPartObj>
          <w:docPartGallery w:val="Table of Contents"/>
          <w:docPartUnique/>
        </w:docPartObj>
      </w:sdtPr>
      <w:sdtContent>
        <w:p w14:paraId="44574BEB" w14:textId="77777777" w:rsidR="00803B40" w:rsidRDefault="00075786">
          <w:pPr>
            <w:widowControl w:val="0"/>
            <w:tabs>
              <w:tab w:val="right" w:leader="dot" w:pos="12000"/>
            </w:tabs>
            <w:spacing w:before="60" w:line="240" w:lineRule="auto"/>
            <w:rPr>
              <w:b/>
              <w:bCs/>
              <w:color w:val="000000"/>
            </w:rPr>
          </w:pPr>
          <w:r>
            <w:fldChar w:fldCharType="begin"/>
          </w:r>
          <w:r>
            <w:instrText xml:space="preserve"> TOC \h \u \z \t "Heading 1,1,Heading 2,2,Heading 3,3,Heading 4,4,Heading 5,5,Heading 6,6,"</w:instrText>
          </w:r>
          <w:r>
            <w:fldChar w:fldCharType="separate"/>
          </w:r>
          <w:hyperlink w:anchor="_1y1ucfhpyj5y">
            <w:r>
              <w:rPr>
                <w:rFonts w:ascii="Times New Roman" w:eastAsia="Times New Roman" w:hAnsi="Times New Roman" w:cs="Times New Roman"/>
                <w:b/>
                <w:bCs/>
                <w:color w:val="000000"/>
                <w:sz w:val="24"/>
                <w:szCs w:val="24"/>
              </w:rPr>
              <w:t>1. Financial Health Check</w:t>
            </w:r>
            <w:r>
              <w:rPr>
                <w:rFonts w:ascii="Times New Roman" w:eastAsia="Times New Roman" w:hAnsi="Times New Roman" w:cs="Times New Roman"/>
                <w:b/>
                <w:bCs/>
                <w:color w:val="000000"/>
                <w:sz w:val="24"/>
                <w:szCs w:val="24"/>
              </w:rPr>
              <w:tab/>
              <w:t>4</w:t>
            </w:r>
          </w:hyperlink>
        </w:p>
        <w:p w14:paraId="64086051" w14:textId="77777777" w:rsidR="00803B40" w:rsidRDefault="00075786">
          <w:pPr>
            <w:widowControl w:val="0"/>
            <w:tabs>
              <w:tab w:val="right" w:leader="dot" w:pos="12000"/>
            </w:tabs>
            <w:spacing w:before="60" w:line="240" w:lineRule="auto"/>
            <w:ind w:left="360"/>
            <w:rPr>
              <w:color w:val="000000"/>
            </w:rPr>
          </w:pPr>
          <w:hyperlink w:anchor="_rfwfxvljntal">
            <w:r>
              <w:rPr>
                <w:rFonts w:ascii="Times New Roman" w:eastAsia="Times New Roman" w:hAnsi="Times New Roman" w:cs="Times New Roman"/>
                <w:color w:val="000000"/>
                <w:sz w:val="24"/>
                <w:szCs w:val="24"/>
              </w:rPr>
              <w:t>1.1 Overview of Financial Performance (2020–2024)</w:t>
            </w:r>
            <w:r>
              <w:rPr>
                <w:rFonts w:ascii="Times New Roman" w:eastAsia="Times New Roman" w:hAnsi="Times New Roman" w:cs="Times New Roman"/>
                <w:color w:val="000000"/>
                <w:sz w:val="24"/>
                <w:szCs w:val="24"/>
              </w:rPr>
              <w:tab/>
              <w:t>4</w:t>
            </w:r>
          </w:hyperlink>
        </w:p>
        <w:p w14:paraId="3063FD7C" w14:textId="77777777" w:rsidR="00803B40" w:rsidRDefault="00075786">
          <w:pPr>
            <w:widowControl w:val="0"/>
            <w:tabs>
              <w:tab w:val="right" w:leader="dot" w:pos="12000"/>
            </w:tabs>
            <w:spacing w:before="60" w:line="240" w:lineRule="auto"/>
            <w:ind w:left="360"/>
            <w:rPr>
              <w:color w:val="000000"/>
            </w:rPr>
          </w:pPr>
          <w:hyperlink w:anchor="_claqyrv7hg5h">
            <w:r>
              <w:rPr>
                <w:rFonts w:ascii="Times New Roman" w:eastAsia="Times New Roman" w:hAnsi="Times New Roman" w:cs="Times New Roman"/>
                <w:color w:val="000000"/>
                <w:sz w:val="24"/>
                <w:szCs w:val="24"/>
              </w:rPr>
              <w:t>1.2 Profitability Ratios</w:t>
            </w:r>
            <w:r>
              <w:rPr>
                <w:rFonts w:ascii="Times New Roman" w:eastAsia="Times New Roman" w:hAnsi="Times New Roman" w:cs="Times New Roman"/>
                <w:color w:val="000000"/>
                <w:sz w:val="24"/>
                <w:szCs w:val="24"/>
              </w:rPr>
              <w:tab/>
              <w:t>4</w:t>
            </w:r>
          </w:hyperlink>
        </w:p>
        <w:p w14:paraId="070053C5" w14:textId="77777777" w:rsidR="00803B40" w:rsidRDefault="00075786">
          <w:pPr>
            <w:widowControl w:val="0"/>
            <w:tabs>
              <w:tab w:val="right" w:leader="dot" w:pos="12000"/>
            </w:tabs>
            <w:spacing w:before="60" w:line="240" w:lineRule="auto"/>
            <w:ind w:left="360"/>
            <w:rPr>
              <w:color w:val="000000"/>
            </w:rPr>
          </w:pPr>
          <w:hyperlink w:anchor="_1x5ynkh0eweu">
            <w:r>
              <w:rPr>
                <w:rFonts w:ascii="Times New Roman" w:eastAsia="Times New Roman" w:hAnsi="Times New Roman" w:cs="Times New Roman"/>
                <w:color w:val="000000"/>
                <w:sz w:val="24"/>
                <w:szCs w:val="24"/>
              </w:rPr>
              <w:t>1.3 Liquidity Ratios</w:t>
            </w:r>
            <w:r>
              <w:rPr>
                <w:rFonts w:ascii="Times New Roman" w:eastAsia="Times New Roman" w:hAnsi="Times New Roman" w:cs="Times New Roman"/>
                <w:color w:val="000000"/>
                <w:sz w:val="24"/>
                <w:szCs w:val="24"/>
              </w:rPr>
              <w:tab/>
              <w:t>5</w:t>
            </w:r>
          </w:hyperlink>
        </w:p>
        <w:p w14:paraId="329A5840" w14:textId="77777777" w:rsidR="00803B40" w:rsidRDefault="00075786">
          <w:pPr>
            <w:widowControl w:val="0"/>
            <w:tabs>
              <w:tab w:val="right" w:leader="dot" w:pos="12000"/>
            </w:tabs>
            <w:spacing w:before="60" w:line="240" w:lineRule="auto"/>
            <w:ind w:left="360"/>
            <w:rPr>
              <w:color w:val="000000"/>
            </w:rPr>
          </w:pPr>
          <w:hyperlink w:anchor="_7wexvj1dcrs7">
            <w:r>
              <w:rPr>
                <w:rFonts w:ascii="Times New Roman" w:eastAsia="Times New Roman" w:hAnsi="Times New Roman" w:cs="Times New Roman"/>
                <w:b/>
                <w:bCs/>
                <w:color w:val="000000"/>
                <w:sz w:val="24"/>
                <w:szCs w:val="24"/>
              </w:rPr>
              <w:t>1.4 Efficiency / Activity Ratios</w:t>
            </w:r>
            <w:r>
              <w:rPr>
                <w:rFonts w:ascii="Times New Roman" w:eastAsia="Times New Roman" w:hAnsi="Times New Roman" w:cs="Times New Roman"/>
                <w:b/>
                <w:bCs/>
                <w:color w:val="000000"/>
                <w:sz w:val="24"/>
                <w:szCs w:val="24"/>
              </w:rPr>
              <w:tab/>
              <w:t>5</w:t>
            </w:r>
          </w:hyperlink>
        </w:p>
        <w:p w14:paraId="6638651E" w14:textId="77777777" w:rsidR="00803B40" w:rsidRDefault="00075786">
          <w:pPr>
            <w:widowControl w:val="0"/>
            <w:tabs>
              <w:tab w:val="right" w:leader="dot" w:pos="12000"/>
            </w:tabs>
            <w:spacing w:before="60" w:line="240" w:lineRule="auto"/>
            <w:ind w:left="360"/>
            <w:rPr>
              <w:color w:val="000000"/>
            </w:rPr>
          </w:pPr>
          <w:hyperlink w:anchor="_nlynhsxjohfk">
            <w:r>
              <w:rPr>
                <w:rFonts w:ascii="Times New Roman" w:eastAsia="Times New Roman" w:hAnsi="Times New Roman" w:cs="Times New Roman"/>
                <w:b/>
                <w:bCs/>
                <w:color w:val="000000"/>
                <w:sz w:val="24"/>
                <w:szCs w:val="24"/>
              </w:rPr>
              <w:t>1.5 Gearing / Leverage Ratios</w:t>
            </w:r>
            <w:r>
              <w:rPr>
                <w:rFonts w:ascii="Times New Roman" w:eastAsia="Times New Roman" w:hAnsi="Times New Roman" w:cs="Times New Roman"/>
                <w:b/>
                <w:bCs/>
                <w:color w:val="000000"/>
                <w:sz w:val="24"/>
                <w:szCs w:val="24"/>
              </w:rPr>
              <w:tab/>
              <w:t>6</w:t>
            </w:r>
          </w:hyperlink>
        </w:p>
        <w:p w14:paraId="1C8C0FE2" w14:textId="77777777" w:rsidR="00803B40" w:rsidRDefault="00075786">
          <w:pPr>
            <w:widowControl w:val="0"/>
            <w:tabs>
              <w:tab w:val="right" w:leader="dot" w:pos="12000"/>
            </w:tabs>
            <w:spacing w:before="60" w:line="240" w:lineRule="auto"/>
            <w:ind w:left="360"/>
            <w:rPr>
              <w:color w:val="000000"/>
            </w:rPr>
          </w:pPr>
          <w:hyperlink w:anchor="_3lc4sbd1qvxa">
            <w:r>
              <w:rPr>
                <w:rFonts w:ascii="Times New Roman" w:eastAsia="Times New Roman" w:hAnsi="Times New Roman" w:cs="Times New Roman"/>
                <w:b/>
                <w:bCs/>
                <w:color w:val="000000"/>
                <w:sz w:val="24"/>
                <w:szCs w:val="24"/>
              </w:rPr>
              <w:t>1.6 Investment Ratios</w:t>
            </w:r>
            <w:r>
              <w:rPr>
                <w:rFonts w:ascii="Times New Roman" w:eastAsia="Times New Roman" w:hAnsi="Times New Roman" w:cs="Times New Roman"/>
                <w:b/>
                <w:bCs/>
                <w:color w:val="000000"/>
                <w:sz w:val="24"/>
                <w:szCs w:val="24"/>
              </w:rPr>
              <w:tab/>
              <w:t>6</w:t>
            </w:r>
          </w:hyperlink>
        </w:p>
        <w:p w14:paraId="444A1EBA" w14:textId="77777777" w:rsidR="00803B40" w:rsidRDefault="00075786">
          <w:pPr>
            <w:widowControl w:val="0"/>
            <w:tabs>
              <w:tab w:val="right" w:leader="dot" w:pos="12000"/>
            </w:tabs>
            <w:spacing w:before="60" w:line="240" w:lineRule="auto"/>
            <w:ind w:left="360"/>
            <w:rPr>
              <w:color w:val="000000"/>
            </w:rPr>
          </w:pPr>
          <w:hyperlink w:anchor="_dcrvgercjrqx">
            <w:r>
              <w:rPr>
                <w:rFonts w:ascii="Times New Roman" w:eastAsia="Times New Roman" w:hAnsi="Times New Roman" w:cs="Times New Roman"/>
                <w:b/>
                <w:bCs/>
                <w:color w:val="000000"/>
                <w:sz w:val="24"/>
                <w:szCs w:val="24"/>
              </w:rPr>
              <w:t>1.7 Cash Flow Analysis</w:t>
            </w:r>
            <w:r>
              <w:rPr>
                <w:rFonts w:ascii="Times New Roman" w:eastAsia="Times New Roman" w:hAnsi="Times New Roman" w:cs="Times New Roman"/>
                <w:b/>
                <w:bCs/>
                <w:color w:val="000000"/>
                <w:sz w:val="24"/>
                <w:szCs w:val="24"/>
              </w:rPr>
              <w:tab/>
              <w:t>7</w:t>
            </w:r>
          </w:hyperlink>
        </w:p>
        <w:p w14:paraId="6A89A64D" w14:textId="77777777" w:rsidR="00803B40" w:rsidRDefault="00075786">
          <w:pPr>
            <w:widowControl w:val="0"/>
            <w:tabs>
              <w:tab w:val="right" w:leader="dot" w:pos="12000"/>
            </w:tabs>
            <w:spacing w:before="60" w:line="240" w:lineRule="auto"/>
            <w:ind w:left="360"/>
            <w:rPr>
              <w:color w:val="000000"/>
            </w:rPr>
          </w:pPr>
          <w:hyperlink w:anchor="_xe5kcy8yrd2i">
            <w:r>
              <w:rPr>
                <w:rFonts w:ascii="Times New Roman" w:eastAsia="Times New Roman" w:hAnsi="Times New Roman" w:cs="Times New Roman"/>
                <w:b/>
                <w:bCs/>
                <w:color w:val="000000"/>
                <w:sz w:val="24"/>
                <w:szCs w:val="24"/>
              </w:rPr>
              <w:t>1.8 Trend Evaluation</w:t>
            </w:r>
            <w:r>
              <w:rPr>
                <w:rFonts w:ascii="Times New Roman" w:eastAsia="Times New Roman" w:hAnsi="Times New Roman" w:cs="Times New Roman"/>
                <w:b/>
                <w:bCs/>
                <w:color w:val="000000"/>
                <w:sz w:val="24"/>
                <w:szCs w:val="24"/>
              </w:rPr>
              <w:tab/>
              <w:t>7</w:t>
            </w:r>
          </w:hyperlink>
        </w:p>
        <w:p w14:paraId="3DBDC4EB" w14:textId="77777777" w:rsidR="00803B40" w:rsidRDefault="00075786">
          <w:pPr>
            <w:widowControl w:val="0"/>
            <w:tabs>
              <w:tab w:val="right" w:leader="dot" w:pos="12000"/>
            </w:tabs>
            <w:spacing w:before="60" w:line="240" w:lineRule="auto"/>
            <w:ind w:left="360"/>
            <w:rPr>
              <w:color w:val="000000"/>
            </w:rPr>
          </w:pPr>
          <w:hyperlink w:anchor="_5658yaw7wc2f">
            <w:r>
              <w:rPr>
                <w:rFonts w:ascii="Times New Roman" w:eastAsia="Times New Roman" w:hAnsi="Times New Roman" w:cs="Times New Roman"/>
                <w:b/>
                <w:bCs/>
                <w:color w:val="000000"/>
                <w:sz w:val="24"/>
                <w:szCs w:val="24"/>
              </w:rPr>
              <w:t>1.9 Corporate Failure Prediction (Altman Z-Score)</w:t>
            </w:r>
            <w:r>
              <w:rPr>
                <w:rFonts w:ascii="Times New Roman" w:eastAsia="Times New Roman" w:hAnsi="Times New Roman" w:cs="Times New Roman"/>
                <w:b/>
                <w:bCs/>
                <w:color w:val="000000"/>
                <w:sz w:val="24"/>
                <w:szCs w:val="24"/>
              </w:rPr>
              <w:tab/>
              <w:t>8</w:t>
            </w:r>
          </w:hyperlink>
        </w:p>
        <w:p w14:paraId="34384942" w14:textId="77777777" w:rsidR="00803B40" w:rsidRDefault="00075786">
          <w:pPr>
            <w:widowControl w:val="0"/>
            <w:tabs>
              <w:tab w:val="right" w:leader="dot" w:pos="12000"/>
            </w:tabs>
            <w:spacing w:before="60" w:line="240" w:lineRule="auto"/>
            <w:ind w:left="360"/>
            <w:rPr>
              <w:color w:val="000000"/>
            </w:rPr>
          </w:pPr>
          <w:hyperlink w:anchor="_2p0ef21pe5ln">
            <w:r>
              <w:rPr>
                <w:rFonts w:ascii="Times New Roman" w:eastAsia="Times New Roman" w:hAnsi="Times New Roman" w:cs="Times New Roman"/>
                <w:b/>
                <w:bCs/>
                <w:color w:val="000000"/>
                <w:sz w:val="24"/>
                <w:szCs w:val="24"/>
              </w:rPr>
              <w:t>1.10 Summary of Strengths, Weaknesses &amp; Risks</w:t>
            </w:r>
            <w:r>
              <w:rPr>
                <w:rFonts w:ascii="Times New Roman" w:eastAsia="Times New Roman" w:hAnsi="Times New Roman" w:cs="Times New Roman"/>
                <w:b/>
                <w:bCs/>
                <w:color w:val="000000"/>
                <w:sz w:val="24"/>
                <w:szCs w:val="24"/>
              </w:rPr>
              <w:tab/>
              <w:t>8</w:t>
            </w:r>
          </w:hyperlink>
        </w:p>
        <w:p w14:paraId="6E5F334E" w14:textId="77777777" w:rsidR="00803B40" w:rsidRDefault="00075786">
          <w:pPr>
            <w:widowControl w:val="0"/>
            <w:tabs>
              <w:tab w:val="right" w:leader="dot" w:pos="12000"/>
            </w:tabs>
            <w:spacing w:before="60" w:line="240" w:lineRule="auto"/>
            <w:rPr>
              <w:b/>
              <w:bCs/>
              <w:color w:val="000000"/>
            </w:rPr>
          </w:pPr>
          <w:hyperlink w:anchor="_5pghrgixc0u3">
            <w:r>
              <w:rPr>
                <w:rFonts w:ascii="Times New Roman" w:eastAsia="Times New Roman" w:hAnsi="Times New Roman" w:cs="Times New Roman"/>
                <w:b/>
                <w:bCs/>
                <w:color w:val="000000"/>
                <w:sz w:val="24"/>
                <w:szCs w:val="24"/>
              </w:rPr>
              <w:t>2. Working Capital Management Analysis</w:t>
            </w:r>
            <w:r>
              <w:rPr>
                <w:rFonts w:ascii="Times New Roman" w:eastAsia="Times New Roman" w:hAnsi="Times New Roman" w:cs="Times New Roman"/>
                <w:b/>
                <w:bCs/>
                <w:color w:val="000000"/>
                <w:sz w:val="24"/>
                <w:szCs w:val="24"/>
              </w:rPr>
              <w:tab/>
              <w:t>9</w:t>
            </w:r>
          </w:hyperlink>
        </w:p>
        <w:p w14:paraId="5540185E" w14:textId="77777777" w:rsidR="00803B40" w:rsidRDefault="00075786">
          <w:pPr>
            <w:widowControl w:val="0"/>
            <w:tabs>
              <w:tab w:val="right" w:leader="dot" w:pos="12000"/>
            </w:tabs>
            <w:spacing w:before="60" w:line="240" w:lineRule="auto"/>
            <w:ind w:left="360"/>
            <w:rPr>
              <w:color w:val="000000"/>
            </w:rPr>
          </w:pPr>
          <w:hyperlink w:anchor="_jdmer1kd8gyh">
            <w:r>
              <w:rPr>
                <w:rFonts w:ascii="Times New Roman" w:eastAsia="Times New Roman" w:hAnsi="Times New Roman" w:cs="Times New Roman"/>
                <w:color w:val="000000"/>
                <w:sz w:val="24"/>
                <w:szCs w:val="24"/>
              </w:rPr>
              <w:t>2.1 Working Capital Position</w:t>
            </w:r>
            <w:r>
              <w:rPr>
                <w:rFonts w:ascii="Times New Roman" w:eastAsia="Times New Roman" w:hAnsi="Times New Roman" w:cs="Times New Roman"/>
                <w:color w:val="000000"/>
                <w:sz w:val="24"/>
                <w:szCs w:val="24"/>
              </w:rPr>
              <w:tab/>
              <w:t>9</w:t>
            </w:r>
          </w:hyperlink>
        </w:p>
        <w:p w14:paraId="16F3B0AF" w14:textId="77777777" w:rsidR="00803B40" w:rsidRDefault="00075786">
          <w:pPr>
            <w:widowControl w:val="0"/>
            <w:tabs>
              <w:tab w:val="right" w:leader="dot" w:pos="12000"/>
            </w:tabs>
            <w:spacing w:before="60" w:line="240" w:lineRule="auto"/>
            <w:ind w:left="360"/>
            <w:rPr>
              <w:color w:val="000000"/>
            </w:rPr>
          </w:pPr>
          <w:hyperlink w:anchor="_65d44ye05ig0">
            <w:r>
              <w:rPr>
                <w:rFonts w:ascii="Times New Roman" w:eastAsia="Times New Roman" w:hAnsi="Times New Roman" w:cs="Times New Roman"/>
                <w:color w:val="000000"/>
                <w:sz w:val="24"/>
                <w:szCs w:val="24"/>
              </w:rPr>
              <w:t>2.2 Cash Conversion Cycle (CCC)</w:t>
            </w:r>
            <w:r>
              <w:rPr>
                <w:rFonts w:ascii="Times New Roman" w:eastAsia="Times New Roman" w:hAnsi="Times New Roman" w:cs="Times New Roman"/>
                <w:color w:val="000000"/>
                <w:sz w:val="24"/>
                <w:szCs w:val="24"/>
              </w:rPr>
              <w:tab/>
              <w:t>9</w:t>
            </w:r>
          </w:hyperlink>
        </w:p>
        <w:p w14:paraId="1DCDD795" w14:textId="77777777" w:rsidR="00803B40" w:rsidRDefault="00075786">
          <w:pPr>
            <w:widowControl w:val="0"/>
            <w:tabs>
              <w:tab w:val="right" w:leader="dot" w:pos="12000"/>
            </w:tabs>
            <w:spacing w:before="60" w:line="240" w:lineRule="auto"/>
            <w:ind w:left="720"/>
            <w:rPr>
              <w:color w:val="000000"/>
            </w:rPr>
          </w:pPr>
          <w:hyperlink w:anchor="_srtbwgaw6sgx">
            <w:r>
              <w:rPr>
                <w:rFonts w:ascii="Times New Roman" w:eastAsia="Times New Roman" w:hAnsi="Times New Roman" w:cs="Times New Roman"/>
                <w:color w:val="000000"/>
                <w:sz w:val="24"/>
                <w:szCs w:val="24"/>
              </w:rPr>
              <w:t>2.2.1 Inventory Days</w:t>
            </w:r>
            <w:r>
              <w:rPr>
                <w:rFonts w:ascii="Times New Roman" w:eastAsia="Times New Roman" w:hAnsi="Times New Roman" w:cs="Times New Roman"/>
                <w:color w:val="000000"/>
                <w:sz w:val="24"/>
                <w:szCs w:val="24"/>
              </w:rPr>
              <w:tab/>
              <w:t>9</w:t>
            </w:r>
          </w:hyperlink>
        </w:p>
        <w:p w14:paraId="7CD436D5" w14:textId="77777777" w:rsidR="00803B40" w:rsidRDefault="00075786">
          <w:pPr>
            <w:widowControl w:val="0"/>
            <w:tabs>
              <w:tab w:val="right" w:leader="dot" w:pos="12000"/>
            </w:tabs>
            <w:spacing w:before="60" w:line="240" w:lineRule="auto"/>
            <w:ind w:left="720"/>
            <w:rPr>
              <w:color w:val="000000"/>
            </w:rPr>
          </w:pPr>
          <w:hyperlink w:anchor="_u9yhr06cmzuh">
            <w:r>
              <w:rPr>
                <w:rFonts w:ascii="Times New Roman" w:eastAsia="Times New Roman" w:hAnsi="Times New Roman" w:cs="Times New Roman"/>
                <w:color w:val="000000"/>
                <w:sz w:val="24"/>
                <w:szCs w:val="24"/>
              </w:rPr>
              <w:t>2.2.2 Receivables Days</w:t>
            </w:r>
            <w:r>
              <w:rPr>
                <w:rFonts w:ascii="Times New Roman" w:eastAsia="Times New Roman" w:hAnsi="Times New Roman" w:cs="Times New Roman"/>
                <w:color w:val="000000"/>
                <w:sz w:val="24"/>
                <w:szCs w:val="24"/>
              </w:rPr>
              <w:tab/>
              <w:t>10</w:t>
            </w:r>
          </w:hyperlink>
        </w:p>
        <w:p w14:paraId="7448830F" w14:textId="77777777" w:rsidR="00803B40" w:rsidRDefault="00075786">
          <w:pPr>
            <w:widowControl w:val="0"/>
            <w:tabs>
              <w:tab w:val="right" w:leader="dot" w:pos="12000"/>
            </w:tabs>
            <w:spacing w:before="60" w:line="240" w:lineRule="auto"/>
            <w:ind w:left="720"/>
            <w:rPr>
              <w:color w:val="000000"/>
            </w:rPr>
          </w:pPr>
          <w:hyperlink w:anchor="_q7na6k38dsqh">
            <w:r>
              <w:rPr>
                <w:rFonts w:ascii="Times New Roman" w:eastAsia="Times New Roman" w:hAnsi="Times New Roman" w:cs="Times New Roman"/>
                <w:color w:val="000000"/>
                <w:sz w:val="24"/>
                <w:szCs w:val="24"/>
              </w:rPr>
              <w:t>2.2.3 Payables Days</w:t>
            </w:r>
            <w:r>
              <w:rPr>
                <w:rFonts w:ascii="Times New Roman" w:eastAsia="Times New Roman" w:hAnsi="Times New Roman" w:cs="Times New Roman"/>
                <w:color w:val="000000"/>
                <w:sz w:val="24"/>
                <w:szCs w:val="24"/>
              </w:rPr>
              <w:tab/>
              <w:t>10</w:t>
            </w:r>
          </w:hyperlink>
        </w:p>
        <w:p w14:paraId="1CD8D60E" w14:textId="77777777" w:rsidR="00803B40" w:rsidRDefault="00075786">
          <w:pPr>
            <w:widowControl w:val="0"/>
            <w:tabs>
              <w:tab w:val="right" w:leader="dot" w:pos="12000"/>
            </w:tabs>
            <w:spacing w:before="60" w:line="240" w:lineRule="auto"/>
            <w:ind w:left="360"/>
            <w:rPr>
              <w:color w:val="000000"/>
            </w:rPr>
          </w:pPr>
          <w:hyperlink w:anchor="_e1u96qwdtk1m">
            <w:r>
              <w:rPr>
                <w:rFonts w:ascii="Times New Roman" w:eastAsia="Times New Roman" w:hAnsi="Times New Roman" w:cs="Times New Roman"/>
                <w:b/>
                <w:bCs/>
                <w:color w:val="000000"/>
                <w:sz w:val="24"/>
                <w:szCs w:val="24"/>
              </w:rPr>
              <w:t>2.3 Working Capital Efficiency Issues</w:t>
            </w:r>
            <w:r>
              <w:rPr>
                <w:rFonts w:ascii="Times New Roman" w:eastAsia="Times New Roman" w:hAnsi="Times New Roman" w:cs="Times New Roman"/>
                <w:b/>
                <w:bCs/>
                <w:color w:val="000000"/>
                <w:sz w:val="24"/>
                <w:szCs w:val="24"/>
              </w:rPr>
              <w:tab/>
              <w:t>11</w:t>
            </w:r>
          </w:hyperlink>
        </w:p>
        <w:p w14:paraId="45989773" w14:textId="77777777" w:rsidR="00803B40" w:rsidRDefault="00075786">
          <w:pPr>
            <w:widowControl w:val="0"/>
            <w:tabs>
              <w:tab w:val="right" w:leader="dot" w:pos="12000"/>
            </w:tabs>
            <w:spacing w:before="60" w:line="240" w:lineRule="auto"/>
            <w:ind w:left="360"/>
            <w:rPr>
              <w:color w:val="000000"/>
            </w:rPr>
          </w:pPr>
          <w:hyperlink w:anchor="_a8wsleu510r1">
            <w:r>
              <w:rPr>
                <w:rFonts w:ascii="Times New Roman" w:eastAsia="Times New Roman" w:hAnsi="Times New Roman" w:cs="Times New Roman"/>
                <w:b/>
                <w:bCs/>
                <w:color w:val="000000"/>
                <w:sz w:val="24"/>
                <w:szCs w:val="24"/>
              </w:rPr>
              <w:t>2.4 Liquidity Improvement Strategies</w:t>
            </w:r>
            <w:r>
              <w:rPr>
                <w:rFonts w:ascii="Times New Roman" w:eastAsia="Times New Roman" w:hAnsi="Times New Roman" w:cs="Times New Roman"/>
                <w:b/>
                <w:bCs/>
                <w:color w:val="000000"/>
                <w:sz w:val="24"/>
                <w:szCs w:val="24"/>
              </w:rPr>
              <w:tab/>
              <w:t>11</w:t>
            </w:r>
          </w:hyperlink>
        </w:p>
        <w:p w14:paraId="09F6F1BE" w14:textId="77777777" w:rsidR="00803B40" w:rsidRDefault="00075786">
          <w:pPr>
            <w:widowControl w:val="0"/>
            <w:tabs>
              <w:tab w:val="right" w:leader="dot" w:pos="12000"/>
            </w:tabs>
            <w:spacing w:before="60" w:line="240" w:lineRule="auto"/>
            <w:ind w:left="360"/>
            <w:rPr>
              <w:color w:val="000000"/>
            </w:rPr>
          </w:pPr>
          <w:hyperlink w:anchor="_v3g0rhxp02ie">
            <w:r>
              <w:rPr>
                <w:rFonts w:ascii="Times New Roman" w:eastAsia="Times New Roman" w:hAnsi="Times New Roman" w:cs="Times New Roman"/>
                <w:b/>
                <w:bCs/>
                <w:color w:val="000000"/>
                <w:sz w:val="24"/>
                <w:szCs w:val="24"/>
              </w:rPr>
              <w:t>2.5 Short-Term vs Long-Term Financing Options</w:t>
            </w:r>
            <w:r>
              <w:rPr>
                <w:rFonts w:ascii="Times New Roman" w:eastAsia="Times New Roman" w:hAnsi="Times New Roman" w:cs="Times New Roman"/>
                <w:b/>
                <w:bCs/>
                <w:color w:val="000000"/>
                <w:sz w:val="24"/>
                <w:szCs w:val="24"/>
              </w:rPr>
              <w:tab/>
              <w:t>12</w:t>
            </w:r>
          </w:hyperlink>
        </w:p>
        <w:p w14:paraId="61A4CD21" w14:textId="77777777" w:rsidR="00803B40" w:rsidRDefault="00075786">
          <w:pPr>
            <w:widowControl w:val="0"/>
            <w:tabs>
              <w:tab w:val="right" w:leader="dot" w:pos="12000"/>
            </w:tabs>
            <w:spacing w:before="60" w:line="240" w:lineRule="auto"/>
            <w:rPr>
              <w:b/>
              <w:bCs/>
              <w:color w:val="000000"/>
            </w:rPr>
          </w:pPr>
          <w:hyperlink w:anchor="_mzvk0p88w8ct">
            <w:r>
              <w:rPr>
                <w:rFonts w:ascii="Times New Roman" w:eastAsia="Times New Roman" w:hAnsi="Times New Roman" w:cs="Times New Roman"/>
                <w:b/>
                <w:bCs/>
                <w:color w:val="000000"/>
                <w:sz w:val="24"/>
                <w:szCs w:val="24"/>
              </w:rPr>
              <w:t>3. Strategic Financial Restructuring Plan</w:t>
            </w:r>
            <w:r>
              <w:rPr>
                <w:rFonts w:ascii="Times New Roman" w:eastAsia="Times New Roman" w:hAnsi="Times New Roman" w:cs="Times New Roman"/>
                <w:b/>
                <w:bCs/>
                <w:color w:val="000000"/>
                <w:sz w:val="24"/>
                <w:szCs w:val="24"/>
              </w:rPr>
              <w:tab/>
              <w:t>13</w:t>
            </w:r>
          </w:hyperlink>
        </w:p>
        <w:p w14:paraId="0A5E534B" w14:textId="77777777" w:rsidR="00803B40" w:rsidRDefault="00075786">
          <w:pPr>
            <w:widowControl w:val="0"/>
            <w:tabs>
              <w:tab w:val="right" w:leader="dot" w:pos="12000"/>
            </w:tabs>
            <w:spacing w:before="60" w:line="240" w:lineRule="auto"/>
            <w:ind w:left="360"/>
            <w:rPr>
              <w:color w:val="000000"/>
            </w:rPr>
          </w:pPr>
          <w:hyperlink w:anchor="_c6e0766909n3">
            <w:r>
              <w:rPr>
                <w:rFonts w:ascii="Times New Roman" w:eastAsia="Times New Roman" w:hAnsi="Times New Roman" w:cs="Times New Roman"/>
                <w:b/>
                <w:bCs/>
                <w:color w:val="000000"/>
                <w:sz w:val="24"/>
                <w:szCs w:val="24"/>
              </w:rPr>
              <w:t>3.1 Current Financial Distress Overview</w:t>
            </w:r>
            <w:r>
              <w:rPr>
                <w:rFonts w:ascii="Times New Roman" w:eastAsia="Times New Roman" w:hAnsi="Times New Roman" w:cs="Times New Roman"/>
                <w:b/>
                <w:bCs/>
                <w:color w:val="000000"/>
                <w:sz w:val="24"/>
                <w:szCs w:val="24"/>
              </w:rPr>
              <w:tab/>
              <w:t>13</w:t>
            </w:r>
          </w:hyperlink>
        </w:p>
        <w:p w14:paraId="5FAE11BA" w14:textId="77777777" w:rsidR="00803B40" w:rsidRDefault="00075786">
          <w:pPr>
            <w:widowControl w:val="0"/>
            <w:tabs>
              <w:tab w:val="right" w:leader="dot" w:pos="12000"/>
            </w:tabs>
            <w:spacing w:before="60" w:line="240" w:lineRule="auto"/>
            <w:ind w:left="360"/>
            <w:rPr>
              <w:color w:val="000000"/>
            </w:rPr>
          </w:pPr>
          <w:hyperlink w:anchor="_nziea9nu27xe">
            <w:r>
              <w:rPr>
                <w:rFonts w:ascii="Times New Roman" w:eastAsia="Times New Roman" w:hAnsi="Times New Roman" w:cs="Times New Roman"/>
                <w:b/>
                <w:bCs/>
                <w:color w:val="000000"/>
                <w:sz w:val="24"/>
                <w:szCs w:val="24"/>
              </w:rPr>
              <w:t>3.2 Financial Restructuring Options</w:t>
            </w:r>
            <w:r>
              <w:rPr>
                <w:rFonts w:ascii="Times New Roman" w:eastAsia="Times New Roman" w:hAnsi="Times New Roman" w:cs="Times New Roman"/>
                <w:b/>
                <w:bCs/>
                <w:color w:val="000000"/>
                <w:sz w:val="24"/>
                <w:szCs w:val="24"/>
              </w:rPr>
              <w:tab/>
              <w:t>13</w:t>
            </w:r>
          </w:hyperlink>
        </w:p>
        <w:p w14:paraId="33EAF03A" w14:textId="77777777" w:rsidR="00803B40" w:rsidRDefault="00075786">
          <w:pPr>
            <w:widowControl w:val="0"/>
            <w:tabs>
              <w:tab w:val="right" w:leader="dot" w:pos="12000"/>
            </w:tabs>
            <w:spacing w:before="60" w:line="240" w:lineRule="auto"/>
            <w:ind w:left="720"/>
            <w:rPr>
              <w:color w:val="000000"/>
            </w:rPr>
          </w:pPr>
          <w:hyperlink w:anchor="_bdqdzmw5qfti">
            <w:r>
              <w:rPr>
                <w:rFonts w:ascii="Times New Roman" w:eastAsia="Times New Roman" w:hAnsi="Times New Roman" w:cs="Times New Roman"/>
                <w:color w:val="000000"/>
                <w:sz w:val="24"/>
                <w:szCs w:val="24"/>
              </w:rPr>
              <w:t>3.2.1 Divestiture</w:t>
            </w:r>
            <w:r>
              <w:rPr>
                <w:rFonts w:ascii="Times New Roman" w:eastAsia="Times New Roman" w:hAnsi="Times New Roman" w:cs="Times New Roman"/>
                <w:color w:val="000000"/>
                <w:sz w:val="24"/>
                <w:szCs w:val="24"/>
              </w:rPr>
              <w:tab/>
              <w:t>13</w:t>
            </w:r>
          </w:hyperlink>
        </w:p>
        <w:p w14:paraId="570EAAE0" w14:textId="77777777" w:rsidR="00803B40" w:rsidRDefault="00075786">
          <w:pPr>
            <w:widowControl w:val="0"/>
            <w:tabs>
              <w:tab w:val="right" w:leader="dot" w:pos="12000"/>
            </w:tabs>
            <w:spacing w:before="60" w:line="240" w:lineRule="auto"/>
            <w:ind w:left="720"/>
            <w:rPr>
              <w:color w:val="000000"/>
            </w:rPr>
          </w:pPr>
          <w:hyperlink w:anchor="_ie62pi2r1gcb">
            <w:r>
              <w:rPr>
                <w:rFonts w:ascii="Times New Roman" w:eastAsia="Times New Roman" w:hAnsi="Times New Roman" w:cs="Times New Roman"/>
                <w:color w:val="000000"/>
                <w:sz w:val="24"/>
                <w:szCs w:val="24"/>
              </w:rPr>
              <w:t>3.2.2 Merger or Acquisition</w:t>
            </w:r>
            <w:r>
              <w:rPr>
                <w:rFonts w:ascii="Times New Roman" w:eastAsia="Times New Roman" w:hAnsi="Times New Roman" w:cs="Times New Roman"/>
                <w:color w:val="000000"/>
                <w:sz w:val="24"/>
                <w:szCs w:val="24"/>
              </w:rPr>
              <w:tab/>
              <w:t>13</w:t>
            </w:r>
          </w:hyperlink>
        </w:p>
        <w:p w14:paraId="68BE29FD" w14:textId="77777777" w:rsidR="00803B40" w:rsidRDefault="00075786">
          <w:pPr>
            <w:widowControl w:val="0"/>
            <w:tabs>
              <w:tab w:val="right" w:leader="dot" w:pos="12000"/>
            </w:tabs>
            <w:spacing w:before="60" w:line="240" w:lineRule="auto"/>
            <w:ind w:left="720"/>
            <w:rPr>
              <w:color w:val="000000"/>
            </w:rPr>
          </w:pPr>
          <w:hyperlink w:anchor="_6z95lue6230v">
            <w:r>
              <w:rPr>
                <w:rFonts w:ascii="Times New Roman" w:eastAsia="Times New Roman" w:hAnsi="Times New Roman" w:cs="Times New Roman"/>
                <w:color w:val="000000"/>
                <w:sz w:val="24"/>
                <w:szCs w:val="24"/>
              </w:rPr>
              <w:t>3.2.3 Equity Injection</w:t>
            </w:r>
            <w:r>
              <w:rPr>
                <w:rFonts w:ascii="Times New Roman" w:eastAsia="Times New Roman" w:hAnsi="Times New Roman" w:cs="Times New Roman"/>
                <w:color w:val="000000"/>
                <w:sz w:val="24"/>
                <w:szCs w:val="24"/>
              </w:rPr>
              <w:tab/>
              <w:t>14</w:t>
            </w:r>
          </w:hyperlink>
        </w:p>
        <w:p w14:paraId="625DCE36" w14:textId="77777777" w:rsidR="00803B40" w:rsidRDefault="00075786">
          <w:pPr>
            <w:widowControl w:val="0"/>
            <w:tabs>
              <w:tab w:val="right" w:leader="dot" w:pos="12000"/>
            </w:tabs>
            <w:spacing w:before="60" w:line="240" w:lineRule="auto"/>
            <w:ind w:left="720"/>
            <w:rPr>
              <w:color w:val="000000"/>
            </w:rPr>
          </w:pPr>
          <w:hyperlink w:anchor="_3eaq8b41mm7g">
            <w:r>
              <w:rPr>
                <w:rFonts w:ascii="Times New Roman" w:eastAsia="Times New Roman" w:hAnsi="Times New Roman" w:cs="Times New Roman"/>
                <w:color w:val="000000"/>
                <w:sz w:val="24"/>
                <w:szCs w:val="24"/>
              </w:rPr>
              <w:t>3.2.4 Debt Restructuring</w:t>
            </w:r>
            <w:r>
              <w:rPr>
                <w:rFonts w:ascii="Times New Roman" w:eastAsia="Times New Roman" w:hAnsi="Times New Roman" w:cs="Times New Roman"/>
                <w:color w:val="000000"/>
                <w:sz w:val="24"/>
                <w:szCs w:val="24"/>
              </w:rPr>
              <w:tab/>
              <w:t>14</w:t>
            </w:r>
          </w:hyperlink>
        </w:p>
        <w:p w14:paraId="43BCDEC2" w14:textId="77777777" w:rsidR="00803B40" w:rsidRDefault="00075786">
          <w:pPr>
            <w:widowControl w:val="0"/>
            <w:tabs>
              <w:tab w:val="right" w:leader="dot" w:pos="12000"/>
            </w:tabs>
            <w:spacing w:before="60" w:line="240" w:lineRule="auto"/>
            <w:ind w:left="360"/>
            <w:rPr>
              <w:color w:val="000000"/>
            </w:rPr>
          </w:pPr>
          <w:hyperlink w:anchor="_fs254sbvybqt">
            <w:r>
              <w:rPr>
                <w:rFonts w:ascii="Times New Roman" w:eastAsia="Times New Roman" w:hAnsi="Times New Roman" w:cs="Times New Roman"/>
                <w:b/>
                <w:bCs/>
                <w:color w:val="000000"/>
                <w:sz w:val="24"/>
                <w:szCs w:val="24"/>
              </w:rPr>
              <w:t>3.3 Impact on Shareholder Value</w:t>
            </w:r>
            <w:r>
              <w:rPr>
                <w:rFonts w:ascii="Times New Roman" w:eastAsia="Times New Roman" w:hAnsi="Times New Roman" w:cs="Times New Roman"/>
                <w:b/>
                <w:bCs/>
                <w:color w:val="000000"/>
                <w:sz w:val="24"/>
                <w:szCs w:val="24"/>
              </w:rPr>
              <w:tab/>
              <w:t>14</w:t>
            </w:r>
          </w:hyperlink>
        </w:p>
        <w:p w14:paraId="3FBA9CF5" w14:textId="77777777" w:rsidR="00803B40" w:rsidRDefault="00075786">
          <w:pPr>
            <w:widowControl w:val="0"/>
            <w:tabs>
              <w:tab w:val="right" w:leader="dot" w:pos="12000"/>
            </w:tabs>
            <w:spacing w:before="60" w:line="240" w:lineRule="auto"/>
            <w:ind w:left="360"/>
            <w:rPr>
              <w:color w:val="000000"/>
            </w:rPr>
          </w:pPr>
          <w:hyperlink w:anchor="_5ne3nv1vb4">
            <w:r>
              <w:rPr>
                <w:rFonts w:ascii="Times New Roman" w:eastAsia="Times New Roman" w:hAnsi="Times New Roman" w:cs="Times New Roman"/>
                <w:b/>
                <w:bCs/>
                <w:color w:val="000000"/>
                <w:sz w:val="24"/>
                <w:szCs w:val="24"/>
              </w:rPr>
              <w:t>3.4 Impact on Debt Structure &amp; Capital Structure</w:t>
            </w:r>
            <w:r>
              <w:rPr>
                <w:rFonts w:ascii="Times New Roman" w:eastAsia="Times New Roman" w:hAnsi="Times New Roman" w:cs="Times New Roman"/>
                <w:b/>
                <w:bCs/>
                <w:color w:val="000000"/>
                <w:sz w:val="24"/>
                <w:szCs w:val="24"/>
              </w:rPr>
              <w:tab/>
              <w:t>15</w:t>
            </w:r>
          </w:hyperlink>
        </w:p>
        <w:p w14:paraId="75242CBB" w14:textId="77777777" w:rsidR="00803B40" w:rsidRDefault="00075786">
          <w:pPr>
            <w:widowControl w:val="0"/>
            <w:tabs>
              <w:tab w:val="right" w:leader="dot" w:pos="12000"/>
            </w:tabs>
            <w:spacing w:before="60" w:line="240" w:lineRule="auto"/>
            <w:ind w:left="360"/>
            <w:rPr>
              <w:color w:val="000000"/>
            </w:rPr>
          </w:pPr>
          <w:hyperlink w:anchor="_xsh5gcd33gj1">
            <w:r>
              <w:rPr>
                <w:rFonts w:ascii="Times New Roman" w:eastAsia="Times New Roman" w:hAnsi="Times New Roman" w:cs="Times New Roman"/>
                <w:b/>
                <w:bCs/>
                <w:color w:val="000000"/>
                <w:sz w:val="24"/>
                <w:szCs w:val="24"/>
              </w:rPr>
              <w:t>3.5 Impact on Operational Flexibility</w:t>
            </w:r>
            <w:r>
              <w:rPr>
                <w:rFonts w:ascii="Times New Roman" w:eastAsia="Times New Roman" w:hAnsi="Times New Roman" w:cs="Times New Roman"/>
                <w:b/>
                <w:bCs/>
                <w:color w:val="000000"/>
                <w:sz w:val="24"/>
                <w:szCs w:val="24"/>
              </w:rPr>
              <w:tab/>
              <w:t>15</w:t>
            </w:r>
          </w:hyperlink>
        </w:p>
        <w:p w14:paraId="07D4F7F3" w14:textId="77777777" w:rsidR="00803B40" w:rsidRDefault="00075786">
          <w:pPr>
            <w:widowControl w:val="0"/>
            <w:tabs>
              <w:tab w:val="right" w:leader="dot" w:pos="12000"/>
            </w:tabs>
            <w:spacing w:before="60" w:line="240" w:lineRule="auto"/>
            <w:ind w:left="360"/>
            <w:rPr>
              <w:color w:val="000000"/>
            </w:rPr>
          </w:pPr>
          <w:hyperlink w:anchor="_yx8k778239lv">
            <w:r>
              <w:rPr>
                <w:rFonts w:ascii="Times New Roman" w:eastAsia="Times New Roman" w:hAnsi="Times New Roman" w:cs="Times New Roman"/>
                <w:b/>
                <w:bCs/>
                <w:color w:val="000000"/>
                <w:sz w:val="24"/>
                <w:szCs w:val="24"/>
              </w:rPr>
              <w:t>3.6 International Considerations</w:t>
            </w:r>
            <w:r>
              <w:rPr>
                <w:rFonts w:ascii="Times New Roman" w:eastAsia="Times New Roman" w:hAnsi="Times New Roman" w:cs="Times New Roman"/>
                <w:b/>
                <w:bCs/>
                <w:color w:val="000000"/>
                <w:sz w:val="24"/>
                <w:szCs w:val="24"/>
              </w:rPr>
              <w:tab/>
              <w:t>16</w:t>
            </w:r>
          </w:hyperlink>
        </w:p>
        <w:p w14:paraId="1038DC0E" w14:textId="77777777" w:rsidR="00803B40" w:rsidRDefault="00075786">
          <w:pPr>
            <w:widowControl w:val="0"/>
            <w:tabs>
              <w:tab w:val="right" w:leader="dot" w:pos="12000"/>
            </w:tabs>
            <w:spacing w:before="60" w:line="240" w:lineRule="auto"/>
            <w:ind w:left="720"/>
            <w:rPr>
              <w:color w:val="000000"/>
            </w:rPr>
          </w:pPr>
          <w:hyperlink w:anchor="_97841wcb89xu">
            <w:r>
              <w:rPr>
                <w:rFonts w:ascii="Times New Roman" w:eastAsia="Times New Roman" w:hAnsi="Times New Roman" w:cs="Times New Roman"/>
                <w:color w:val="000000"/>
                <w:sz w:val="24"/>
                <w:szCs w:val="24"/>
              </w:rPr>
              <w:t>3.6.1 Taxation</w:t>
            </w:r>
            <w:r>
              <w:rPr>
                <w:rFonts w:ascii="Times New Roman" w:eastAsia="Times New Roman" w:hAnsi="Times New Roman" w:cs="Times New Roman"/>
                <w:color w:val="000000"/>
                <w:sz w:val="24"/>
                <w:szCs w:val="24"/>
              </w:rPr>
              <w:tab/>
              <w:t>16</w:t>
            </w:r>
          </w:hyperlink>
        </w:p>
        <w:p w14:paraId="705EB018" w14:textId="77777777" w:rsidR="00803B40" w:rsidRDefault="00075786">
          <w:pPr>
            <w:widowControl w:val="0"/>
            <w:tabs>
              <w:tab w:val="right" w:leader="dot" w:pos="12000"/>
            </w:tabs>
            <w:spacing w:before="60" w:line="240" w:lineRule="auto"/>
            <w:ind w:left="720"/>
            <w:rPr>
              <w:color w:val="000000"/>
            </w:rPr>
          </w:pPr>
          <w:hyperlink w:anchor="_5oxmpg3pmejg">
            <w:r>
              <w:rPr>
                <w:rFonts w:ascii="Times New Roman" w:eastAsia="Times New Roman" w:hAnsi="Times New Roman" w:cs="Times New Roman"/>
                <w:color w:val="000000"/>
                <w:sz w:val="24"/>
                <w:szCs w:val="24"/>
              </w:rPr>
              <w:t>3.6.2 Currency Risk</w:t>
            </w:r>
            <w:r>
              <w:rPr>
                <w:rFonts w:ascii="Times New Roman" w:eastAsia="Times New Roman" w:hAnsi="Times New Roman" w:cs="Times New Roman"/>
                <w:color w:val="000000"/>
                <w:sz w:val="24"/>
                <w:szCs w:val="24"/>
              </w:rPr>
              <w:tab/>
              <w:t>16</w:t>
            </w:r>
          </w:hyperlink>
        </w:p>
        <w:p w14:paraId="7B966C98" w14:textId="77777777" w:rsidR="00803B40" w:rsidRDefault="00075786">
          <w:pPr>
            <w:widowControl w:val="0"/>
            <w:tabs>
              <w:tab w:val="right" w:leader="dot" w:pos="12000"/>
            </w:tabs>
            <w:spacing w:before="60" w:line="240" w:lineRule="auto"/>
            <w:ind w:left="720"/>
            <w:rPr>
              <w:color w:val="000000"/>
            </w:rPr>
          </w:pPr>
          <w:hyperlink w:anchor="_v74z4kr7lff3">
            <w:r>
              <w:rPr>
                <w:rFonts w:ascii="Times New Roman" w:eastAsia="Times New Roman" w:hAnsi="Times New Roman" w:cs="Times New Roman"/>
                <w:color w:val="000000"/>
                <w:sz w:val="24"/>
                <w:szCs w:val="24"/>
              </w:rPr>
              <w:t>3.6.3 Inflation Risk</w:t>
            </w:r>
            <w:r>
              <w:rPr>
                <w:rFonts w:ascii="Times New Roman" w:eastAsia="Times New Roman" w:hAnsi="Times New Roman" w:cs="Times New Roman"/>
                <w:color w:val="000000"/>
                <w:sz w:val="24"/>
                <w:szCs w:val="24"/>
              </w:rPr>
              <w:tab/>
              <w:t>16</w:t>
            </w:r>
          </w:hyperlink>
        </w:p>
        <w:p w14:paraId="54D1085E" w14:textId="77777777" w:rsidR="00803B40" w:rsidRDefault="00075786">
          <w:pPr>
            <w:widowControl w:val="0"/>
            <w:tabs>
              <w:tab w:val="right" w:leader="dot" w:pos="12000"/>
            </w:tabs>
            <w:spacing w:before="60" w:line="240" w:lineRule="auto"/>
            <w:ind w:left="360"/>
            <w:rPr>
              <w:color w:val="000000"/>
            </w:rPr>
          </w:pPr>
          <w:hyperlink w:anchor="_dqixxc1l0ipw">
            <w:r>
              <w:rPr>
                <w:rFonts w:ascii="Times New Roman" w:eastAsia="Times New Roman" w:hAnsi="Times New Roman" w:cs="Times New Roman"/>
                <w:b/>
                <w:bCs/>
                <w:color w:val="000000"/>
                <w:sz w:val="24"/>
                <w:szCs w:val="24"/>
              </w:rPr>
              <w:t>3.7 Ethical &amp; CSR Considerations</w:t>
            </w:r>
            <w:r>
              <w:rPr>
                <w:rFonts w:ascii="Times New Roman" w:eastAsia="Times New Roman" w:hAnsi="Times New Roman" w:cs="Times New Roman"/>
                <w:b/>
                <w:bCs/>
                <w:color w:val="000000"/>
                <w:sz w:val="24"/>
                <w:szCs w:val="24"/>
              </w:rPr>
              <w:tab/>
              <w:t>17</w:t>
            </w:r>
          </w:hyperlink>
        </w:p>
        <w:p w14:paraId="723ACF71" w14:textId="77777777" w:rsidR="00803B40" w:rsidRDefault="00075786">
          <w:pPr>
            <w:widowControl w:val="0"/>
            <w:tabs>
              <w:tab w:val="right" w:leader="dot" w:pos="12000"/>
            </w:tabs>
            <w:spacing w:before="60" w:line="240" w:lineRule="auto"/>
            <w:ind w:left="360"/>
            <w:rPr>
              <w:color w:val="000000"/>
            </w:rPr>
          </w:pPr>
          <w:hyperlink w:anchor="_ir2bjcuybbjy">
            <w:r>
              <w:rPr>
                <w:rFonts w:ascii="Times New Roman" w:eastAsia="Times New Roman" w:hAnsi="Times New Roman" w:cs="Times New Roman"/>
                <w:b/>
                <w:bCs/>
                <w:color w:val="000000"/>
                <w:sz w:val="24"/>
                <w:szCs w:val="24"/>
              </w:rPr>
              <w:t>3.8 Recommended Turnaround Strategy</w:t>
            </w:r>
            <w:r>
              <w:rPr>
                <w:rFonts w:ascii="Times New Roman" w:eastAsia="Times New Roman" w:hAnsi="Times New Roman" w:cs="Times New Roman"/>
                <w:b/>
                <w:bCs/>
                <w:color w:val="000000"/>
                <w:sz w:val="24"/>
                <w:szCs w:val="24"/>
              </w:rPr>
              <w:tab/>
              <w:t>17</w:t>
            </w:r>
          </w:hyperlink>
        </w:p>
        <w:p w14:paraId="55352553" w14:textId="77777777" w:rsidR="00803B40" w:rsidRDefault="00075786">
          <w:pPr>
            <w:widowControl w:val="0"/>
            <w:tabs>
              <w:tab w:val="right" w:leader="dot" w:pos="12000"/>
            </w:tabs>
            <w:spacing w:before="60" w:line="240" w:lineRule="auto"/>
            <w:rPr>
              <w:b/>
              <w:bCs/>
              <w:color w:val="000000"/>
            </w:rPr>
          </w:pPr>
          <w:hyperlink w:anchor="_cvg57dcyq1d">
            <w:r>
              <w:rPr>
                <w:rFonts w:ascii="Times New Roman" w:eastAsia="Times New Roman" w:hAnsi="Times New Roman" w:cs="Times New Roman"/>
                <w:b/>
                <w:bCs/>
                <w:color w:val="000000"/>
                <w:sz w:val="24"/>
                <w:szCs w:val="24"/>
              </w:rPr>
              <w:t>4. Investment Appraisal &amp; Capital Budgeting</w:t>
            </w:r>
            <w:r>
              <w:rPr>
                <w:rFonts w:ascii="Times New Roman" w:eastAsia="Times New Roman" w:hAnsi="Times New Roman" w:cs="Times New Roman"/>
                <w:b/>
                <w:bCs/>
                <w:color w:val="000000"/>
                <w:sz w:val="24"/>
                <w:szCs w:val="24"/>
              </w:rPr>
              <w:tab/>
              <w:t>18</w:t>
            </w:r>
          </w:hyperlink>
        </w:p>
        <w:p w14:paraId="72E5C3FB" w14:textId="77777777" w:rsidR="00803B40" w:rsidRDefault="00075786">
          <w:pPr>
            <w:widowControl w:val="0"/>
            <w:tabs>
              <w:tab w:val="right" w:leader="dot" w:pos="12000"/>
            </w:tabs>
            <w:spacing w:before="60" w:line="240" w:lineRule="auto"/>
            <w:ind w:left="360"/>
            <w:rPr>
              <w:color w:val="000000"/>
            </w:rPr>
          </w:pPr>
          <w:hyperlink w:anchor="_3xpk5h32jmuf">
            <w:r>
              <w:rPr>
                <w:rFonts w:ascii="Times New Roman" w:eastAsia="Times New Roman" w:hAnsi="Times New Roman" w:cs="Times New Roman"/>
                <w:color w:val="000000"/>
                <w:sz w:val="24"/>
                <w:szCs w:val="24"/>
              </w:rPr>
              <w:t>4.1 Overview of Projects A, B and C</w:t>
            </w:r>
            <w:r>
              <w:rPr>
                <w:rFonts w:ascii="Times New Roman" w:eastAsia="Times New Roman" w:hAnsi="Times New Roman" w:cs="Times New Roman"/>
                <w:color w:val="000000"/>
                <w:sz w:val="24"/>
                <w:szCs w:val="24"/>
              </w:rPr>
              <w:tab/>
              <w:t>18</w:t>
            </w:r>
          </w:hyperlink>
        </w:p>
        <w:p w14:paraId="739C646C" w14:textId="77777777" w:rsidR="00803B40" w:rsidRDefault="00075786">
          <w:pPr>
            <w:widowControl w:val="0"/>
            <w:tabs>
              <w:tab w:val="right" w:leader="dot" w:pos="12000"/>
            </w:tabs>
            <w:spacing w:before="60" w:line="240" w:lineRule="auto"/>
            <w:ind w:left="360"/>
            <w:rPr>
              <w:color w:val="000000"/>
            </w:rPr>
          </w:pPr>
          <w:hyperlink w:anchor="_78cq496qv4ok">
            <w:r>
              <w:rPr>
                <w:rFonts w:ascii="Times New Roman" w:eastAsia="Times New Roman" w:hAnsi="Times New Roman" w:cs="Times New Roman"/>
                <w:color w:val="000000"/>
                <w:sz w:val="24"/>
                <w:szCs w:val="24"/>
              </w:rPr>
              <w:t>4.2 Assumptions &amp; Depreciation</w:t>
            </w:r>
            <w:r>
              <w:rPr>
                <w:rFonts w:ascii="Times New Roman" w:eastAsia="Times New Roman" w:hAnsi="Times New Roman" w:cs="Times New Roman"/>
                <w:color w:val="000000"/>
                <w:sz w:val="24"/>
                <w:szCs w:val="24"/>
              </w:rPr>
              <w:tab/>
              <w:t>18</w:t>
            </w:r>
          </w:hyperlink>
        </w:p>
        <w:p w14:paraId="51C5872F" w14:textId="77777777" w:rsidR="00803B40" w:rsidRDefault="00075786">
          <w:pPr>
            <w:widowControl w:val="0"/>
            <w:tabs>
              <w:tab w:val="right" w:leader="dot" w:pos="12000"/>
            </w:tabs>
            <w:spacing w:before="60" w:line="240" w:lineRule="auto"/>
            <w:ind w:left="360"/>
            <w:rPr>
              <w:color w:val="000000"/>
            </w:rPr>
          </w:pPr>
          <w:hyperlink w:anchor="_5hdj2nl4l74n">
            <w:r>
              <w:rPr>
                <w:rFonts w:ascii="Times New Roman" w:eastAsia="Times New Roman" w:hAnsi="Times New Roman" w:cs="Times New Roman"/>
                <w:color w:val="000000"/>
                <w:sz w:val="24"/>
                <w:szCs w:val="24"/>
              </w:rPr>
              <w:t>4.3 Payback Period (PBP)</w:t>
            </w:r>
            <w:r>
              <w:rPr>
                <w:rFonts w:ascii="Times New Roman" w:eastAsia="Times New Roman" w:hAnsi="Times New Roman" w:cs="Times New Roman"/>
                <w:color w:val="000000"/>
                <w:sz w:val="24"/>
                <w:szCs w:val="24"/>
              </w:rPr>
              <w:tab/>
              <w:t>19</w:t>
            </w:r>
          </w:hyperlink>
        </w:p>
        <w:p w14:paraId="21DFEAF8" w14:textId="77777777" w:rsidR="00803B40" w:rsidRDefault="00075786">
          <w:pPr>
            <w:widowControl w:val="0"/>
            <w:tabs>
              <w:tab w:val="right" w:leader="dot" w:pos="12000"/>
            </w:tabs>
            <w:spacing w:before="60" w:line="240" w:lineRule="auto"/>
            <w:ind w:left="360"/>
            <w:rPr>
              <w:color w:val="000000"/>
            </w:rPr>
          </w:pPr>
          <w:hyperlink w:anchor="_9q0kqfl8x9zh">
            <w:r>
              <w:rPr>
                <w:rFonts w:ascii="Times New Roman" w:eastAsia="Times New Roman" w:hAnsi="Times New Roman" w:cs="Times New Roman"/>
                <w:color w:val="000000"/>
                <w:sz w:val="24"/>
                <w:szCs w:val="24"/>
              </w:rPr>
              <w:t>4.4 Accounting Rate of Return (ARR)</w:t>
            </w:r>
            <w:r>
              <w:rPr>
                <w:rFonts w:ascii="Times New Roman" w:eastAsia="Times New Roman" w:hAnsi="Times New Roman" w:cs="Times New Roman"/>
                <w:color w:val="000000"/>
                <w:sz w:val="24"/>
                <w:szCs w:val="24"/>
              </w:rPr>
              <w:tab/>
              <w:t>19</w:t>
            </w:r>
          </w:hyperlink>
        </w:p>
        <w:p w14:paraId="2645FE38" w14:textId="77777777" w:rsidR="00803B40" w:rsidRDefault="00075786">
          <w:pPr>
            <w:widowControl w:val="0"/>
            <w:tabs>
              <w:tab w:val="right" w:leader="dot" w:pos="12000"/>
            </w:tabs>
            <w:spacing w:before="60" w:line="240" w:lineRule="auto"/>
            <w:ind w:left="360"/>
            <w:rPr>
              <w:color w:val="000000"/>
            </w:rPr>
          </w:pPr>
          <w:hyperlink w:anchor="_3p1cefwjgg81">
            <w:r>
              <w:rPr>
                <w:rFonts w:ascii="Times New Roman" w:eastAsia="Times New Roman" w:hAnsi="Times New Roman" w:cs="Times New Roman"/>
                <w:b/>
                <w:bCs/>
                <w:color w:val="000000"/>
                <w:sz w:val="24"/>
                <w:szCs w:val="24"/>
              </w:rPr>
              <w:t>4.5 Net Present Value (NPV)</w:t>
            </w:r>
            <w:r>
              <w:rPr>
                <w:rFonts w:ascii="Times New Roman" w:eastAsia="Times New Roman" w:hAnsi="Times New Roman" w:cs="Times New Roman"/>
                <w:b/>
                <w:bCs/>
                <w:color w:val="000000"/>
                <w:sz w:val="24"/>
                <w:szCs w:val="24"/>
              </w:rPr>
              <w:tab/>
              <w:t>20</w:t>
            </w:r>
          </w:hyperlink>
        </w:p>
        <w:p w14:paraId="663660D1" w14:textId="77777777" w:rsidR="00803B40" w:rsidRDefault="00075786">
          <w:pPr>
            <w:widowControl w:val="0"/>
            <w:tabs>
              <w:tab w:val="right" w:leader="dot" w:pos="12000"/>
            </w:tabs>
            <w:spacing w:before="60" w:line="240" w:lineRule="auto"/>
            <w:ind w:left="360"/>
            <w:rPr>
              <w:color w:val="000000"/>
            </w:rPr>
          </w:pPr>
          <w:hyperlink w:anchor="_yrvtmpmgqlnu">
            <w:r>
              <w:rPr>
                <w:rFonts w:ascii="Times New Roman" w:eastAsia="Times New Roman" w:hAnsi="Times New Roman" w:cs="Times New Roman"/>
                <w:b/>
                <w:bCs/>
                <w:color w:val="000000"/>
                <w:sz w:val="24"/>
                <w:szCs w:val="24"/>
              </w:rPr>
              <w:t>4.6 Profitability Index (PI)</w:t>
            </w:r>
            <w:r>
              <w:rPr>
                <w:rFonts w:ascii="Times New Roman" w:eastAsia="Times New Roman" w:hAnsi="Times New Roman" w:cs="Times New Roman"/>
                <w:b/>
                <w:bCs/>
                <w:color w:val="000000"/>
                <w:sz w:val="24"/>
                <w:szCs w:val="24"/>
              </w:rPr>
              <w:tab/>
              <w:t>21</w:t>
            </w:r>
          </w:hyperlink>
        </w:p>
        <w:p w14:paraId="4F2D0DCA" w14:textId="77777777" w:rsidR="00803B40" w:rsidRDefault="00075786">
          <w:pPr>
            <w:widowControl w:val="0"/>
            <w:tabs>
              <w:tab w:val="right" w:leader="dot" w:pos="12000"/>
            </w:tabs>
            <w:spacing w:before="60" w:line="240" w:lineRule="auto"/>
            <w:ind w:left="360"/>
            <w:rPr>
              <w:color w:val="000000"/>
            </w:rPr>
          </w:pPr>
          <w:hyperlink w:anchor="_jxdnjo6c7u9i">
            <w:r>
              <w:rPr>
                <w:rFonts w:ascii="Times New Roman" w:eastAsia="Times New Roman" w:hAnsi="Times New Roman" w:cs="Times New Roman"/>
                <w:b/>
                <w:bCs/>
                <w:color w:val="000000"/>
                <w:sz w:val="24"/>
                <w:szCs w:val="24"/>
              </w:rPr>
              <w:t>4.7 Internal Rate of Return (IRR)</w:t>
            </w:r>
            <w:r>
              <w:rPr>
                <w:rFonts w:ascii="Times New Roman" w:eastAsia="Times New Roman" w:hAnsi="Times New Roman" w:cs="Times New Roman"/>
                <w:b/>
                <w:bCs/>
                <w:color w:val="000000"/>
                <w:sz w:val="24"/>
                <w:szCs w:val="24"/>
              </w:rPr>
              <w:tab/>
              <w:t>22</w:t>
            </w:r>
          </w:hyperlink>
        </w:p>
        <w:p w14:paraId="0E76CC63" w14:textId="77777777" w:rsidR="00803B40" w:rsidRDefault="00075786">
          <w:pPr>
            <w:widowControl w:val="0"/>
            <w:tabs>
              <w:tab w:val="right" w:leader="dot" w:pos="12000"/>
            </w:tabs>
            <w:spacing w:before="60" w:line="240" w:lineRule="auto"/>
            <w:ind w:left="360"/>
            <w:rPr>
              <w:color w:val="000000"/>
            </w:rPr>
          </w:pPr>
          <w:hyperlink w:anchor="_lg65vlgqg31">
            <w:r>
              <w:rPr>
                <w:rFonts w:ascii="Times New Roman" w:eastAsia="Times New Roman" w:hAnsi="Times New Roman" w:cs="Times New Roman"/>
                <w:color w:val="000000"/>
                <w:sz w:val="24"/>
                <w:szCs w:val="24"/>
              </w:rPr>
              <w:t>4.8 Risk Assessment &amp; Cash Flow Volatility</w:t>
            </w:r>
            <w:r>
              <w:rPr>
                <w:rFonts w:ascii="Times New Roman" w:eastAsia="Times New Roman" w:hAnsi="Times New Roman" w:cs="Times New Roman"/>
                <w:color w:val="000000"/>
                <w:sz w:val="24"/>
                <w:szCs w:val="24"/>
              </w:rPr>
              <w:tab/>
              <w:t>22</w:t>
            </w:r>
          </w:hyperlink>
        </w:p>
        <w:p w14:paraId="7E8BA8CF" w14:textId="77777777" w:rsidR="00803B40" w:rsidRDefault="00075786">
          <w:pPr>
            <w:widowControl w:val="0"/>
            <w:tabs>
              <w:tab w:val="right" w:leader="dot" w:pos="12000"/>
            </w:tabs>
            <w:spacing w:before="60" w:line="240" w:lineRule="auto"/>
            <w:ind w:left="360"/>
            <w:rPr>
              <w:color w:val="000000"/>
            </w:rPr>
          </w:pPr>
          <w:hyperlink w:anchor="_t44i3rxymzu0">
            <w:r>
              <w:rPr>
                <w:rFonts w:ascii="Times New Roman" w:eastAsia="Times New Roman" w:hAnsi="Times New Roman" w:cs="Times New Roman"/>
                <w:b/>
                <w:bCs/>
                <w:color w:val="000000"/>
                <w:sz w:val="24"/>
                <w:szCs w:val="24"/>
              </w:rPr>
              <w:t>4.9 Capital Rationing Decision (Max £60m)</w:t>
            </w:r>
            <w:r>
              <w:rPr>
                <w:rFonts w:ascii="Times New Roman" w:eastAsia="Times New Roman" w:hAnsi="Times New Roman" w:cs="Times New Roman"/>
                <w:b/>
                <w:bCs/>
                <w:color w:val="000000"/>
                <w:sz w:val="24"/>
                <w:szCs w:val="24"/>
              </w:rPr>
              <w:tab/>
              <w:t>23</w:t>
            </w:r>
          </w:hyperlink>
        </w:p>
        <w:p w14:paraId="4ED80BE7" w14:textId="77777777" w:rsidR="00803B40" w:rsidRDefault="00075786">
          <w:pPr>
            <w:widowControl w:val="0"/>
            <w:tabs>
              <w:tab w:val="right" w:leader="dot" w:pos="12000"/>
            </w:tabs>
            <w:spacing w:before="60" w:line="240" w:lineRule="auto"/>
            <w:ind w:left="360"/>
            <w:rPr>
              <w:color w:val="000000"/>
            </w:rPr>
          </w:pPr>
          <w:hyperlink w:anchor="_30gnnr9vrn3t">
            <w:r>
              <w:rPr>
                <w:rFonts w:ascii="Times New Roman" w:eastAsia="Times New Roman" w:hAnsi="Times New Roman" w:cs="Times New Roman"/>
                <w:b/>
                <w:bCs/>
                <w:color w:val="000000"/>
                <w:sz w:val="24"/>
                <w:szCs w:val="24"/>
              </w:rPr>
              <w:t>4.10 Final Investment Recommendation</w:t>
            </w:r>
            <w:r>
              <w:rPr>
                <w:rFonts w:ascii="Times New Roman" w:eastAsia="Times New Roman" w:hAnsi="Times New Roman" w:cs="Times New Roman"/>
                <w:b/>
                <w:bCs/>
                <w:color w:val="000000"/>
                <w:sz w:val="24"/>
                <w:szCs w:val="24"/>
              </w:rPr>
              <w:tab/>
              <w:t>24</w:t>
            </w:r>
          </w:hyperlink>
        </w:p>
        <w:p w14:paraId="514D7CC0" w14:textId="77777777" w:rsidR="00803B40" w:rsidRDefault="00075786">
          <w:pPr>
            <w:widowControl w:val="0"/>
            <w:tabs>
              <w:tab w:val="right" w:leader="dot" w:pos="12000"/>
            </w:tabs>
            <w:spacing w:before="60" w:line="240" w:lineRule="auto"/>
            <w:rPr>
              <w:b/>
              <w:bCs/>
              <w:color w:val="000000"/>
            </w:rPr>
          </w:pPr>
          <w:hyperlink w:anchor="_po5430kmpl1u">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24</w:t>
            </w:r>
          </w:hyperlink>
          <w:r>
            <w:fldChar w:fldCharType="end"/>
          </w:r>
        </w:p>
      </w:sdtContent>
    </w:sdt>
    <w:p w14:paraId="3D688884" w14:textId="367F8DCC" w:rsidR="001440E1" w:rsidRPr="004C2C73" w:rsidRDefault="001440E1">
      <w:pPr>
        <w:pStyle w:val="p1"/>
        <w:rPr>
          <w:rFonts w:cs="Vrinda" w:hint="cs"/>
          <w:szCs w:val="21"/>
          <w:lang w:bidi="bn-IN"/>
        </w:rPr>
      </w:pPr>
      <w:r w:rsidRPr="004C2C73">
        <w:rPr>
          <w:rStyle w:val="s1"/>
          <w:rFonts w:asciiTheme="majorBidi" w:hAnsiTheme="majorBidi" w:cstheme="majorBidi"/>
          <w:b w:val="0"/>
          <w:bCs w:val="0"/>
          <w:sz w:val="24"/>
          <w:szCs w:val="24"/>
        </w:rPr>
        <w:t>Appendices</w:t>
      </w:r>
      <w:r>
        <w:rPr>
          <w:rStyle w:val="s1"/>
        </w:rPr>
        <w:t>:</w:t>
      </w:r>
      <w:r w:rsidR="004C2C73">
        <w:rPr>
          <w:rStyle w:val="s1"/>
          <w:rFonts w:cs="Vrinda" w:hint="cs"/>
          <w:szCs w:val="21"/>
          <w:cs/>
          <w:lang w:bidi="bn-IN"/>
        </w:rPr>
        <w:t>..........................................................................................................................................</w:t>
      </w:r>
      <w:r w:rsidR="00F278CC">
        <w:rPr>
          <w:rStyle w:val="s1"/>
          <w:rFonts w:cs="Vrinda" w:hint="cs"/>
          <w:szCs w:val="21"/>
          <w:cs/>
          <w:lang w:bidi="bn-IN"/>
        </w:rPr>
        <w:t>.</w:t>
      </w:r>
      <w:r w:rsidR="00F17463" w:rsidRPr="00F17463">
        <w:rPr>
          <w:rStyle w:val="s1"/>
          <w:rFonts w:asciiTheme="majorBidi" w:hAnsiTheme="majorBidi" w:cstheme="majorBidi"/>
          <w:b w:val="0"/>
          <w:bCs w:val="0"/>
          <w:sz w:val="24"/>
          <w:szCs w:val="24"/>
          <w:cs/>
          <w:lang w:bidi="bn-IN"/>
        </w:rPr>
        <w:t>2</w:t>
      </w:r>
      <w:r w:rsidR="00F278CC">
        <w:rPr>
          <w:rStyle w:val="s1"/>
          <w:rFonts w:asciiTheme="majorBidi" w:hAnsiTheme="majorBidi" w:cstheme="majorBidi" w:hint="cs"/>
          <w:b w:val="0"/>
          <w:bCs w:val="0"/>
          <w:sz w:val="24"/>
          <w:szCs w:val="24"/>
          <w:cs/>
          <w:lang w:bidi="bn-IN"/>
        </w:rPr>
        <w:t>6</w:t>
      </w:r>
    </w:p>
    <w:p w14:paraId="37131C73" w14:textId="77777777" w:rsidR="00803B40" w:rsidRPr="009D45EA" w:rsidRDefault="00803B40">
      <w:pPr>
        <w:rPr>
          <w:rFonts w:ascii="Times New Roman" w:eastAsia="Times New Roman" w:hAnsi="Times New Roman" w:cs="Vrinda" w:hint="cs"/>
          <w:sz w:val="24"/>
          <w:szCs w:val="30"/>
          <w:lang w:bidi="bn-IN"/>
        </w:rPr>
      </w:pPr>
    </w:p>
    <w:p w14:paraId="73372D9C" w14:textId="77777777" w:rsidR="00803B40" w:rsidRDefault="00803B40">
      <w:pPr>
        <w:rPr>
          <w:rFonts w:ascii="Times New Roman" w:eastAsia="Times New Roman" w:hAnsi="Times New Roman" w:cs="Times New Roman"/>
          <w:sz w:val="24"/>
          <w:szCs w:val="24"/>
        </w:rPr>
      </w:pPr>
    </w:p>
    <w:p w14:paraId="26DD9E9A" w14:textId="77777777" w:rsidR="00803B40" w:rsidRDefault="00803B40">
      <w:pPr>
        <w:rPr>
          <w:rFonts w:ascii="Times New Roman" w:eastAsia="Times New Roman" w:hAnsi="Times New Roman" w:cs="Times New Roman"/>
          <w:sz w:val="24"/>
          <w:szCs w:val="24"/>
        </w:rPr>
      </w:pPr>
    </w:p>
    <w:p w14:paraId="1F1A4733" w14:textId="77777777" w:rsidR="00803B40" w:rsidRDefault="00803B40">
      <w:pPr>
        <w:rPr>
          <w:rFonts w:ascii="Times New Roman" w:eastAsia="Times New Roman" w:hAnsi="Times New Roman" w:cs="Times New Roman"/>
          <w:sz w:val="24"/>
          <w:szCs w:val="24"/>
        </w:rPr>
      </w:pPr>
    </w:p>
    <w:p w14:paraId="4E2A2D6B" w14:textId="77777777" w:rsidR="00803B40" w:rsidRDefault="00803B40">
      <w:pPr>
        <w:rPr>
          <w:rFonts w:ascii="Times New Roman" w:eastAsia="Times New Roman" w:hAnsi="Times New Roman" w:cs="Times New Roman"/>
          <w:sz w:val="24"/>
          <w:szCs w:val="24"/>
        </w:rPr>
      </w:pPr>
    </w:p>
    <w:p w14:paraId="431D3D0F" w14:textId="77777777" w:rsidR="00803B40" w:rsidRDefault="00803B40">
      <w:pPr>
        <w:rPr>
          <w:rFonts w:ascii="Times New Roman" w:eastAsia="Times New Roman" w:hAnsi="Times New Roman" w:cs="Times New Roman"/>
          <w:sz w:val="24"/>
          <w:szCs w:val="24"/>
        </w:rPr>
      </w:pPr>
    </w:p>
    <w:p w14:paraId="53BC4476" w14:textId="77777777" w:rsidR="00803B40" w:rsidRDefault="00803B40">
      <w:pPr>
        <w:rPr>
          <w:rFonts w:ascii="Times New Roman" w:eastAsia="Times New Roman" w:hAnsi="Times New Roman" w:cs="Times New Roman"/>
          <w:sz w:val="24"/>
          <w:szCs w:val="24"/>
        </w:rPr>
      </w:pPr>
    </w:p>
    <w:p w14:paraId="789B3ECD" w14:textId="77777777" w:rsidR="00803B40" w:rsidRDefault="00803B40">
      <w:pPr>
        <w:rPr>
          <w:rFonts w:ascii="Times New Roman" w:eastAsia="Times New Roman" w:hAnsi="Times New Roman" w:cs="Times New Roman"/>
          <w:sz w:val="24"/>
          <w:szCs w:val="24"/>
        </w:rPr>
      </w:pPr>
    </w:p>
    <w:p w14:paraId="76C539CD" w14:textId="77777777" w:rsidR="00803B40" w:rsidRDefault="00803B40">
      <w:pPr>
        <w:rPr>
          <w:rFonts w:ascii="Times New Roman" w:eastAsia="Times New Roman" w:hAnsi="Times New Roman" w:cs="Times New Roman"/>
          <w:sz w:val="24"/>
          <w:szCs w:val="24"/>
        </w:rPr>
      </w:pPr>
    </w:p>
    <w:p w14:paraId="07476CEE" w14:textId="77777777" w:rsidR="00803B40" w:rsidRDefault="00803B40">
      <w:pPr>
        <w:rPr>
          <w:rFonts w:ascii="Times New Roman" w:eastAsia="Times New Roman" w:hAnsi="Times New Roman" w:cs="Times New Roman"/>
          <w:sz w:val="24"/>
          <w:szCs w:val="24"/>
        </w:rPr>
      </w:pPr>
    </w:p>
    <w:p w14:paraId="5A2A98E3" w14:textId="77777777" w:rsidR="00803B40" w:rsidRDefault="00803B40">
      <w:pPr>
        <w:rPr>
          <w:rFonts w:ascii="Times New Roman" w:eastAsia="Times New Roman" w:hAnsi="Times New Roman" w:cs="Times New Roman"/>
          <w:sz w:val="24"/>
          <w:szCs w:val="24"/>
        </w:rPr>
      </w:pPr>
    </w:p>
    <w:p w14:paraId="2F381FAC" w14:textId="77777777" w:rsidR="00803B40" w:rsidRDefault="00803B40">
      <w:pPr>
        <w:rPr>
          <w:rFonts w:ascii="Times New Roman" w:eastAsia="Times New Roman" w:hAnsi="Times New Roman" w:cs="Times New Roman"/>
          <w:sz w:val="24"/>
          <w:szCs w:val="24"/>
        </w:rPr>
      </w:pPr>
    </w:p>
    <w:p w14:paraId="1723CFD8" w14:textId="77777777" w:rsidR="00803B40" w:rsidRDefault="00803B40">
      <w:pPr>
        <w:rPr>
          <w:rFonts w:ascii="Times New Roman" w:eastAsia="Times New Roman" w:hAnsi="Times New Roman" w:cs="Times New Roman"/>
          <w:sz w:val="24"/>
          <w:szCs w:val="24"/>
        </w:rPr>
      </w:pPr>
    </w:p>
    <w:p w14:paraId="53E95A73" w14:textId="77777777" w:rsidR="00803B40" w:rsidRDefault="00803B40">
      <w:pPr>
        <w:rPr>
          <w:rFonts w:ascii="Times New Roman" w:eastAsia="Times New Roman" w:hAnsi="Times New Roman" w:cs="Times New Roman"/>
          <w:sz w:val="24"/>
          <w:szCs w:val="24"/>
        </w:rPr>
      </w:pPr>
    </w:p>
    <w:p w14:paraId="3A3FC478" w14:textId="77777777" w:rsidR="00803B40" w:rsidRDefault="00803B40">
      <w:pPr>
        <w:rPr>
          <w:rFonts w:ascii="Times New Roman" w:eastAsia="Times New Roman" w:hAnsi="Times New Roman" w:cs="Times New Roman"/>
          <w:sz w:val="24"/>
          <w:szCs w:val="24"/>
        </w:rPr>
      </w:pPr>
    </w:p>
    <w:p w14:paraId="3B610F81" w14:textId="77777777" w:rsidR="00803B40" w:rsidRDefault="00803B40">
      <w:pPr>
        <w:rPr>
          <w:rFonts w:ascii="Times New Roman" w:eastAsia="Times New Roman" w:hAnsi="Times New Roman" w:cs="Times New Roman"/>
          <w:sz w:val="24"/>
          <w:szCs w:val="24"/>
        </w:rPr>
      </w:pPr>
    </w:p>
    <w:p w14:paraId="159C8E86" w14:textId="77777777" w:rsidR="00803B40" w:rsidRDefault="00803B40">
      <w:pPr>
        <w:rPr>
          <w:rFonts w:ascii="Times New Roman" w:eastAsia="Times New Roman" w:hAnsi="Times New Roman" w:cs="Times New Roman"/>
          <w:sz w:val="24"/>
          <w:szCs w:val="24"/>
        </w:rPr>
      </w:pPr>
    </w:p>
    <w:p w14:paraId="3214692C" w14:textId="77777777" w:rsidR="00803B40" w:rsidRDefault="00803B40">
      <w:pPr>
        <w:rPr>
          <w:rFonts w:ascii="Times New Roman" w:eastAsia="Times New Roman" w:hAnsi="Times New Roman" w:cs="Times New Roman"/>
          <w:sz w:val="24"/>
          <w:szCs w:val="24"/>
        </w:rPr>
      </w:pPr>
    </w:p>
    <w:p w14:paraId="54138331" w14:textId="77777777" w:rsidR="00803B40" w:rsidRDefault="00803B40">
      <w:pPr>
        <w:rPr>
          <w:rFonts w:ascii="Times New Roman" w:eastAsia="Times New Roman" w:hAnsi="Times New Roman" w:cs="Times New Roman"/>
          <w:sz w:val="24"/>
          <w:szCs w:val="24"/>
        </w:rPr>
      </w:pPr>
    </w:p>
    <w:p w14:paraId="0B9CD036" w14:textId="77777777" w:rsidR="00803B40" w:rsidRDefault="00803B40">
      <w:pPr>
        <w:rPr>
          <w:rFonts w:ascii="Times New Roman" w:eastAsia="Times New Roman" w:hAnsi="Times New Roman" w:cs="Times New Roman"/>
          <w:sz w:val="24"/>
          <w:szCs w:val="24"/>
        </w:rPr>
      </w:pPr>
    </w:p>
    <w:p w14:paraId="19EC6031" w14:textId="77777777" w:rsidR="00803B40" w:rsidRDefault="00803B40">
      <w:pPr>
        <w:rPr>
          <w:rFonts w:ascii="Times New Roman" w:eastAsia="Times New Roman" w:hAnsi="Times New Roman" w:cs="Times New Roman"/>
          <w:sz w:val="24"/>
          <w:szCs w:val="24"/>
        </w:rPr>
      </w:pPr>
    </w:p>
    <w:p w14:paraId="1C32F099" w14:textId="77777777" w:rsidR="00803B40" w:rsidRDefault="00803B40">
      <w:pPr>
        <w:rPr>
          <w:rFonts w:ascii="Times New Roman" w:eastAsia="Times New Roman" w:hAnsi="Times New Roman" w:cs="Times New Roman"/>
          <w:sz w:val="24"/>
          <w:szCs w:val="24"/>
        </w:rPr>
      </w:pPr>
    </w:p>
    <w:p w14:paraId="6944EB48" w14:textId="77777777" w:rsidR="00803B40" w:rsidRDefault="00803B40">
      <w:pPr>
        <w:rPr>
          <w:rFonts w:ascii="Times New Roman" w:eastAsia="Times New Roman" w:hAnsi="Times New Roman" w:cs="Times New Roman"/>
          <w:sz w:val="24"/>
          <w:szCs w:val="24"/>
        </w:rPr>
      </w:pPr>
    </w:p>
    <w:p w14:paraId="140310DC" w14:textId="77777777" w:rsidR="00803B40" w:rsidRDefault="00803B40">
      <w:pPr>
        <w:rPr>
          <w:rFonts w:ascii="Times New Roman" w:eastAsia="Times New Roman" w:hAnsi="Times New Roman" w:cs="Times New Roman"/>
          <w:sz w:val="24"/>
          <w:szCs w:val="24"/>
        </w:rPr>
      </w:pPr>
    </w:p>
    <w:p w14:paraId="54AA8A62" w14:textId="77777777" w:rsidR="00803B40" w:rsidRDefault="00803B40">
      <w:pPr>
        <w:rPr>
          <w:rFonts w:ascii="Times New Roman" w:eastAsia="Times New Roman" w:hAnsi="Times New Roman" w:cs="Times New Roman"/>
          <w:sz w:val="24"/>
          <w:szCs w:val="24"/>
        </w:rPr>
      </w:pPr>
    </w:p>
    <w:p w14:paraId="2D8BAFDD" w14:textId="77777777" w:rsidR="00803B40" w:rsidRDefault="00803B40">
      <w:pPr>
        <w:rPr>
          <w:rFonts w:ascii="Times New Roman" w:eastAsia="Times New Roman" w:hAnsi="Times New Roman" w:cs="Times New Roman"/>
          <w:sz w:val="24"/>
          <w:szCs w:val="24"/>
        </w:rPr>
      </w:pPr>
    </w:p>
    <w:p w14:paraId="62E67817" w14:textId="77777777" w:rsidR="00803B40" w:rsidRDefault="00803B40">
      <w:pPr>
        <w:rPr>
          <w:rFonts w:ascii="Times New Roman" w:eastAsia="Times New Roman" w:hAnsi="Times New Roman" w:cs="Times New Roman"/>
          <w:sz w:val="24"/>
          <w:szCs w:val="24"/>
        </w:rPr>
      </w:pPr>
    </w:p>
    <w:p w14:paraId="3E99FD25" w14:textId="77777777" w:rsidR="00803B40" w:rsidRDefault="00075786">
      <w:pPr>
        <w:pStyle w:val="Heading2"/>
        <w:keepNext w:val="0"/>
        <w:keepLines w:val="0"/>
        <w:spacing w:before="480"/>
        <w:rPr>
          <w:rFonts w:ascii="Times New Roman" w:eastAsia="Times New Roman" w:hAnsi="Times New Roman" w:cs="Times New Roman"/>
          <w:b/>
          <w:bCs/>
          <w:sz w:val="24"/>
          <w:szCs w:val="24"/>
        </w:rPr>
      </w:pPr>
      <w:bookmarkStart w:id="0" w:name="_1y1ucfhpyj5y" w:colFirst="0" w:colLast="0"/>
      <w:bookmarkEnd w:id="0"/>
      <w:r>
        <w:rPr>
          <w:rFonts w:ascii="Times New Roman" w:eastAsia="Times New Roman" w:hAnsi="Times New Roman" w:cs="Times New Roman"/>
          <w:b/>
          <w:bCs/>
          <w:sz w:val="24"/>
          <w:szCs w:val="24"/>
        </w:rPr>
        <w:lastRenderedPageBreak/>
        <w:t>1. Financial Health Check</w:t>
      </w:r>
    </w:p>
    <w:p w14:paraId="349158C5" w14:textId="77777777" w:rsidR="00803B40" w:rsidRDefault="00075786">
      <w:pPr>
        <w:pStyle w:val="Heading3"/>
        <w:keepNext w:val="0"/>
        <w:keepLines w:val="0"/>
        <w:rPr>
          <w:rFonts w:ascii="Times New Roman" w:eastAsia="Times New Roman" w:hAnsi="Times New Roman" w:cs="Times New Roman"/>
          <w:b/>
          <w:bCs/>
          <w:color w:val="000000"/>
          <w:sz w:val="24"/>
          <w:szCs w:val="24"/>
        </w:rPr>
      </w:pPr>
      <w:bookmarkStart w:id="1" w:name="_rfwfxvljntal" w:colFirst="0" w:colLast="0"/>
      <w:bookmarkEnd w:id="1"/>
      <w:r>
        <w:rPr>
          <w:rFonts w:ascii="Times New Roman" w:eastAsia="Times New Roman" w:hAnsi="Times New Roman" w:cs="Times New Roman"/>
          <w:b/>
          <w:bCs/>
          <w:color w:val="000000"/>
          <w:sz w:val="24"/>
          <w:szCs w:val="24"/>
        </w:rPr>
        <w:t>1.1 Overview of Financial Performance (2020–2024)</w:t>
      </w:r>
    </w:p>
    <w:p w14:paraId="47075FB9"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 Electronics Inc has had consistent financial deterioration since 2020. General Electronics Inc has had a steady decline in revenue of 614,680m in 2020 to 394,879m in 2024, a difference of 36%. A contraction in business this significant reflects global demand, industry competition, and possible issues with GE's product portfolio. Their financial position has also worsened, moving from a net income of £38,572m in 2020 to a net loss of £24,029m in 2024 with such loss in 2023 as well, with Great losses of this amount in recent years suggests the business has suffered operational inefficiencies and a more problematic business model.  Restructuring operational  characteristics of the business.  </w:t>
      </w:r>
    </w:p>
    <w:p w14:paraId="00F0141A"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General Electronics Inc also had consistent drops and as of 2024 has a loss of £15,297m in 2024. The 2023 operating loss of £85,301m reflects abnormal impairment charges. GE seems to have a significant problem with being unable to align costs with revenue. Research points to the fact that negative operating income is a sign of financial collapse in the future (Altman 2020)</w:t>
      </w:r>
    </w:p>
    <w:p w14:paraId="153FDF66" w14:textId="77777777" w:rsidR="00803B40" w:rsidRPr="008F2DC3" w:rsidRDefault="00075786">
      <w:pPr>
        <w:spacing w:before="240" w:after="240"/>
        <w:rPr>
          <w:rFonts w:asciiTheme="majorBidi" w:eastAsia="Times New Roman" w:hAnsiTheme="majorBidi" w:cstheme="majorBidi"/>
          <w:sz w:val="24"/>
          <w:szCs w:val="24"/>
        </w:rPr>
      </w:pPr>
      <w:r>
        <w:rPr>
          <w:rFonts w:ascii="Times New Roman" w:eastAsia="Times New Roman" w:hAnsi="Times New Roman" w:cs="Times New Roman"/>
          <w:sz w:val="24"/>
          <w:szCs w:val="24"/>
        </w:rPr>
        <w:t xml:space="preserve">The balance sheet reflects the total asset value falling from £510,290m (2020) to £323,354m (2024) because of diminished cash, inventories, and PPE. Shareholder equity showing a decrease from £313,301m to £153,105m suggests erosion of firm value, evident in the firm's financial distress and </w:t>
      </w:r>
      <w:r w:rsidRPr="008F2DC3">
        <w:rPr>
          <w:rFonts w:asciiTheme="majorBidi" w:eastAsia="Times New Roman" w:hAnsiTheme="majorBidi" w:cstheme="majorBidi"/>
          <w:sz w:val="24"/>
          <w:szCs w:val="24"/>
        </w:rPr>
        <w:t>declining resource capacity. Such features are usually associated with firms in the turnaround stage (</w:t>
      </w:r>
      <w:proofErr w:type="spellStart"/>
      <w:r w:rsidRPr="008F2DC3">
        <w:rPr>
          <w:rFonts w:asciiTheme="majorBidi" w:eastAsia="Times New Roman" w:hAnsiTheme="majorBidi" w:cstheme="majorBidi"/>
          <w:sz w:val="24"/>
          <w:szCs w:val="24"/>
        </w:rPr>
        <w:t>Brealey</w:t>
      </w:r>
      <w:proofErr w:type="spellEnd"/>
      <w:r w:rsidRPr="008F2DC3">
        <w:rPr>
          <w:rFonts w:asciiTheme="majorBidi" w:eastAsia="Times New Roman" w:hAnsiTheme="majorBidi" w:cstheme="majorBidi"/>
          <w:sz w:val="24"/>
          <w:szCs w:val="24"/>
        </w:rPr>
        <w:t xml:space="preserve"> et al., 2022).</w:t>
      </w:r>
    </w:p>
    <w:p w14:paraId="4E69F724" w14:textId="77777777" w:rsidR="00803B40" w:rsidRPr="008F2DC3" w:rsidRDefault="00075786">
      <w:pPr>
        <w:pStyle w:val="Heading3"/>
        <w:keepNext w:val="0"/>
        <w:keepLines w:val="0"/>
        <w:rPr>
          <w:rFonts w:asciiTheme="majorBidi" w:eastAsia="Times New Roman" w:hAnsiTheme="majorBidi" w:cstheme="majorBidi"/>
          <w:color w:val="000000"/>
          <w:sz w:val="24"/>
          <w:szCs w:val="24"/>
        </w:rPr>
      </w:pPr>
      <w:bookmarkStart w:id="2" w:name="_claqyrv7hg5h" w:colFirst="0" w:colLast="0"/>
      <w:bookmarkEnd w:id="2"/>
      <w:r w:rsidRPr="008F2DC3">
        <w:rPr>
          <w:rFonts w:asciiTheme="majorBidi" w:eastAsia="Times New Roman" w:hAnsiTheme="majorBidi" w:cstheme="majorBidi"/>
          <w:color w:val="000000"/>
          <w:sz w:val="24"/>
          <w:szCs w:val="24"/>
        </w:rPr>
        <w:t>1.2 Profitability Ratios</w:t>
      </w:r>
    </w:p>
    <w:tbl>
      <w:tblPr>
        <w:tblStyle w:val="a"/>
        <w:tblW w:w="942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75"/>
        <w:gridCol w:w="3217"/>
        <w:gridCol w:w="3628"/>
      </w:tblGrid>
      <w:tr w:rsidR="00803B40" w:rsidRPr="008F2DC3" w14:paraId="4AB4B779" w14:textId="77777777" w:rsidTr="00AD38B1">
        <w:trPr>
          <w:trHeight w:val="384"/>
        </w:trPr>
        <w:tc>
          <w:tcPr>
            <w:tcW w:w="2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3AF010"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Ratio</w:t>
            </w:r>
          </w:p>
        </w:tc>
        <w:tc>
          <w:tcPr>
            <w:tcW w:w="32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87F16"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Formula</w:t>
            </w:r>
          </w:p>
        </w:tc>
        <w:tc>
          <w:tcPr>
            <w:tcW w:w="3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D050B3"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2024</w:t>
            </w:r>
          </w:p>
        </w:tc>
      </w:tr>
      <w:tr w:rsidR="00803B40" w:rsidRPr="008F2DC3" w14:paraId="53633F5F" w14:textId="77777777" w:rsidTr="00AD38B1">
        <w:trPr>
          <w:trHeight w:val="384"/>
        </w:trPr>
        <w:tc>
          <w:tcPr>
            <w:tcW w:w="2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EF6BA3"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Gross Profit Margin</w:t>
            </w:r>
          </w:p>
        </w:tc>
        <w:tc>
          <w:tcPr>
            <w:tcW w:w="32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00F50D"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Gross Profit / Sales</w:t>
            </w:r>
          </w:p>
        </w:tc>
        <w:tc>
          <w:tcPr>
            <w:tcW w:w="3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C5CD57"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113,994 / 394,879 = 28.9%</w:t>
            </w:r>
          </w:p>
        </w:tc>
      </w:tr>
      <w:tr w:rsidR="00803B40" w:rsidRPr="008F2DC3" w14:paraId="1A1E3A9A" w14:textId="77777777" w:rsidTr="00AD38B1">
        <w:trPr>
          <w:trHeight w:val="384"/>
        </w:trPr>
        <w:tc>
          <w:tcPr>
            <w:tcW w:w="2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30544"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Operating Margin</w:t>
            </w:r>
          </w:p>
        </w:tc>
        <w:tc>
          <w:tcPr>
            <w:tcW w:w="32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6DCECE"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Operating Income / Sales</w:t>
            </w:r>
          </w:p>
        </w:tc>
        <w:tc>
          <w:tcPr>
            <w:tcW w:w="3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A38B28"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Gungsuh" w:hAnsiTheme="majorBidi" w:cstheme="majorBidi"/>
                <w:sz w:val="24"/>
                <w:szCs w:val="24"/>
              </w:rPr>
              <w:t>−15,297 / 394,879 = −3.9%</w:t>
            </w:r>
          </w:p>
        </w:tc>
      </w:tr>
      <w:tr w:rsidR="00803B40" w:rsidRPr="008F2DC3" w14:paraId="3A5DCE90" w14:textId="77777777" w:rsidTr="00AD38B1">
        <w:trPr>
          <w:trHeight w:val="384"/>
        </w:trPr>
        <w:tc>
          <w:tcPr>
            <w:tcW w:w="2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BADAD9"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Net Profit Margin</w:t>
            </w:r>
          </w:p>
        </w:tc>
        <w:tc>
          <w:tcPr>
            <w:tcW w:w="32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6A7373"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Net Income / Sales</w:t>
            </w:r>
          </w:p>
        </w:tc>
        <w:tc>
          <w:tcPr>
            <w:tcW w:w="3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DBDA99"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Gungsuh" w:hAnsiTheme="majorBidi" w:cstheme="majorBidi"/>
                <w:sz w:val="24"/>
                <w:szCs w:val="24"/>
              </w:rPr>
              <w:t>−24,029 / 394,879 = −6.1%</w:t>
            </w:r>
          </w:p>
        </w:tc>
      </w:tr>
      <w:tr w:rsidR="00803B40" w:rsidRPr="008F2DC3" w14:paraId="4A862CCE" w14:textId="77777777" w:rsidTr="00AD38B1">
        <w:trPr>
          <w:trHeight w:val="384"/>
        </w:trPr>
        <w:tc>
          <w:tcPr>
            <w:tcW w:w="2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CA3FE2"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ROA</w:t>
            </w:r>
          </w:p>
        </w:tc>
        <w:tc>
          <w:tcPr>
            <w:tcW w:w="32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018536"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Net Income / Total Assets</w:t>
            </w:r>
          </w:p>
        </w:tc>
        <w:tc>
          <w:tcPr>
            <w:tcW w:w="3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6046BB"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Gungsuh" w:hAnsiTheme="majorBidi" w:cstheme="majorBidi"/>
                <w:sz w:val="24"/>
                <w:szCs w:val="24"/>
              </w:rPr>
              <w:t>−24,029 / 323,354 = −7.4%</w:t>
            </w:r>
          </w:p>
        </w:tc>
      </w:tr>
      <w:tr w:rsidR="00803B40" w:rsidRPr="008F2DC3" w14:paraId="48924CFD" w14:textId="77777777" w:rsidTr="00AD38B1">
        <w:trPr>
          <w:trHeight w:val="384"/>
        </w:trPr>
        <w:tc>
          <w:tcPr>
            <w:tcW w:w="2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71AF82"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ROE</w:t>
            </w:r>
          </w:p>
        </w:tc>
        <w:tc>
          <w:tcPr>
            <w:tcW w:w="32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66CB71"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Net Income / Equity</w:t>
            </w:r>
          </w:p>
        </w:tc>
        <w:tc>
          <w:tcPr>
            <w:tcW w:w="3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97973F"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Gungsuh" w:hAnsiTheme="majorBidi" w:cstheme="majorBidi"/>
                <w:sz w:val="24"/>
                <w:szCs w:val="24"/>
              </w:rPr>
              <w:t>−24,029 / 153,105 = −15.7%</w:t>
            </w:r>
          </w:p>
        </w:tc>
      </w:tr>
    </w:tbl>
    <w:p w14:paraId="2FA05E8D" w14:textId="77777777" w:rsidR="00803B40" w:rsidRPr="008F2DC3" w:rsidRDefault="00075786">
      <w:pPr>
        <w:spacing w:before="240" w:after="240"/>
        <w:rPr>
          <w:rFonts w:asciiTheme="majorBidi" w:eastAsia="Times New Roman" w:hAnsiTheme="majorBidi" w:cstheme="majorBidi"/>
          <w:sz w:val="24"/>
          <w:szCs w:val="24"/>
        </w:rPr>
      </w:pPr>
      <w:r w:rsidRPr="008F2DC3">
        <w:rPr>
          <w:rFonts w:asciiTheme="majorBidi" w:eastAsia="Gungsuh" w:hAnsiTheme="majorBidi" w:cstheme="majorBidi"/>
          <w:sz w:val="24"/>
          <w:szCs w:val="24"/>
        </w:rPr>
        <w:t xml:space="preserve">The gross margin is fairly constant (≈29%) which is good, however, the operating and net margins are highly negative, which means that the firm has increased its overhead cost and there is inefficient operation of the business. It is also evident with the deep negative ROA and ROE that the productivity of the firm’s assets is declining as well as the value of the shares. Such a </w:t>
      </w:r>
      <w:r w:rsidRPr="008F2DC3">
        <w:rPr>
          <w:rFonts w:asciiTheme="majorBidi" w:eastAsia="Gungsuh" w:hAnsiTheme="majorBidi" w:cstheme="majorBidi"/>
          <w:sz w:val="24"/>
          <w:szCs w:val="24"/>
        </w:rPr>
        <w:lastRenderedPageBreak/>
        <w:t>persistent negative margin reflects that the firm is in a financially distressed situation as there is an increased likelihood of bankruptcy.</w:t>
      </w:r>
    </w:p>
    <w:p w14:paraId="36581C7E" w14:textId="77777777" w:rsidR="00803B40" w:rsidRPr="008F2DC3" w:rsidRDefault="00075786">
      <w:pPr>
        <w:pStyle w:val="Heading3"/>
        <w:keepNext w:val="0"/>
        <w:keepLines w:val="0"/>
        <w:rPr>
          <w:rFonts w:asciiTheme="majorBidi" w:eastAsia="Times New Roman" w:hAnsiTheme="majorBidi" w:cstheme="majorBidi"/>
          <w:color w:val="000000"/>
          <w:sz w:val="24"/>
          <w:szCs w:val="24"/>
        </w:rPr>
      </w:pPr>
      <w:bookmarkStart w:id="3" w:name="_1x5ynkh0eweu" w:colFirst="0" w:colLast="0"/>
      <w:bookmarkEnd w:id="3"/>
      <w:r w:rsidRPr="008F2DC3">
        <w:rPr>
          <w:rFonts w:asciiTheme="majorBidi" w:eastAsia="Times New Roman" w:hAnsiTheme="majorBidi" w:cstheme="majorBidi"/>
          <w:color w:val="000000"/>
          <w:sz w:val="24"/>
          <w:szCs w:val="24"/>
        </w:rPr>
        <w:t>1.3 Liquidity Ratios</w:t>
      </w:r>
    </w:p>
    <w:tbl>
      <w:tblPr>
        <w:tblStyle w:val="a0"/>
        <w:tblW w:w="100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5"/>
        <w:gridCol w:w="4066"/>
        <w:gridCol w:w="4219"/>
      </w:tblGrid>
      <w:tr w:rsidR="00803B40" w:rsidRPr="008F2DC3" w14:paraId="09416B41" w14:textId="77777777" w:rsidTr="00484EE7">
        <w:trPr>
          <w:trHeight w:val="363"/>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9DC5F"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Ratio</w:t>
            </w:r>
          </w:p>
        </w:tc>
        <w:tc>
          <w:tcPr>
            <w:tcW w:w="40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98171B"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Formula</w:t>
            </w:r>
          </w:p>
        </w:tc>
        <w:tc>
          <w:tcPr>
            <w:tcW w:w="4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BB448A"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2024</w:t>
            </w:r>
          </w:p>
        </w:tc>
      </w:tr>
      <w:tr w:rsidR="00803B40" w:rsidRPr="008F2DC3" w14:paraId="17CA4DD2" w14:textId="77777777" w:rsidTr="00484EE7">
        <w:trPr>
          <w:trHeight w:val="363"/>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BC5F87"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Current Ratio</w:t>
            </w:r>
          </w:p>
        </w:tc>
        <w:tc>
          <w:tcPr>
            <w:tcW w:w="40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A97963"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Current Assets / Current Liabilities</w:t>
            </w:r>
          </w:p>
        </w:tc>
        <w:tc>
          <w:tcPr>
            <w:tcW w:w="4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29F69"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242,494 / 158,291 = 1.53</w:t>
            </w:r>
          </w:p>
        </w:tc>
      </w:tr>
      <w:tr w:rsidR="00803B40" w:rsidRPr="008F2DC3" w14:paraId="5836FE73" w14:textId="77777777" w:rsidTr="00484EE7">
        <w:trPr>
          <w:trHeight w:val="363"/>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18407D"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Quick Ratio</w:t>
            </w:r>
          </w:p>
        </w:tc>
        <w:tc>
          <w:tcPr>
            <w:tcW w:w="40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6ED507"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(CA – Inventories) / CL</w:t>
            </w:r>
          </w:p>
        </w:tc>
        <w:tc>
          <w:tcPr>
            <w:tcW w:w="4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F2A50"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Gungsuh" w:hAnsiTheme="majorBidi" w:cstheme="majorBidi"/>
                <w:sz w:val="24"/>
                <w:szCs w:val="24"/>
              </w:rPr>
              <w:t>(242,494 − 79,355) / 158,291 = 1.03</w:t>
            </w:r>
          </w:p>
        </w:tc>
      </w:tr>
    </w:tbl>
    <w:p w14:paraId="50CC753E" w14:textId="77777777" w:rsidR="00803B40" w:rsidRDefault="00075786">
      <w:pPr>
        <w:spacing w:before="240" w:after="240"/>
        <w:rPr>
          <w:rFonts w:ascii="Times New Roman" w:eastAsia="Times New Roman" w:hAnsi="Times New Roman" w:cs="Times New Roman"/>
          <w:sz w:val="24"/>
          <w:szCs w:val="24"/>
        </w:rPr>
      </w:pPr>
      <w:r w:rsidRPr="008F2DC3">
        <w:rPr>
          <w:rFonts w:asciiTheme="majorBidi" w:eastAsia="Times New Roman" w:hAnsiTheme="majorBidi" w:cstheme="majorBidi"/>
          <w:sz w:val="24"/>
          <w:szCs w:val="24"/>
        </w:rPr>
        <w:t>Starting with the liquidity situation which is also adequate, a current ratio of above 1.5 and a quick ratio of approximately 1.0 is good. However</w:t>
      </w:r>
      <w:r>
        <w:rPr>
          <w:rFonts w:ascii="Times New Roman" w:eastAsia="Times New Roman" w:hAnsi="Times New Roman" w:cs="Times New Roman"/>
          <w:sz w:val="24"/>
          <w:szCs w:val="24"/>
        </w:rPr>
        <w:t xml:space="preserve">, there has also been a decline in liquidity which is evidenced by the 2022 cash reserves which were above average (e.g. £66,740m in 2022 vs. £26,783m in 2024). The decline in cash also reflects a decline in operating performance and perhaps there is an </w:t>
      </w:r>
      <w:proofErr w:type="spellStart"/>
      <w:r>
        <w:rPr>
          <w:rFonts w:ascii="Times New Roman" w:eastAsia="Times New Roman" w:hAnsi="Times New Roman" w:cs="Times New Roman"/>
          <w:sz w:val="24"/>
          <w:szCs w:val="24"/>
        </w:rPr>
        <w:t>overreliance</w:t>
      </w:r>
      <w:proofErr w:type="spellEnd"/>
      <w:r>
        <w:rPr>
          <w:rFonts w:ascii="Times New Roman" w:eastAsia="Times New Roman" w:hAnsi="Times New Roman" w:cs="Times New Roman"/>
          <w:sz w:val="24"/>
          <w:szCs w:val="24"/>
        </w:rPr>
        <w:t xml:space="preserve"> on short term financing. Research indicates that distressed firms tend to show declining liquidity which is also suggestive of impending solvency problems (Ross et al. 2021).</w:t>
      </w:r>
    </w:p>
    <w:p w14:paraId="4EBAA1D7"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GE is showing signs of decreased profitability, poor liquidity, and increased financial distress, which supports the need for rearrangement of strategy for the company.</w:t>
      </w:r>
    </w:p>
    <w:p w14:paraId="68DF9888" w14:textId="77777777" w:rsidR="00803B40" w:rsidRDefault="00075786">
      <w:pPr>
        <w:pStyle w:val="Heading3"/>
        <w:keepNext w:val="0"/>
        <w:keepLines w:val="0"/>
        <w:spacing w:before="480"/>
        <w:rPr>
          <w:rFonts w:ascii="Times New Roman" w:eastAsia="Times New Roman" w:hAnsi="Times New Roman" w:cs="Times New Roman"/>
          <w:color w:val="000000"/>
          <w:sz w:val="24"/>
          <w:szCs w:val="24"/>
        </w:rPr>
      </w:pPr>
      <w:bookmarkStart w:id="4" w:name="_7wexvj1dcrs7" w:colFirst="0" w:colLast="0"/>
      <w:bookmarkEnd w:id="4"/>
      <w:r>
        <w:rPr>
          <w:rFonts w:ascii="Times New Roman" w:eastAsia="Times New Roman" w:hAnsi="Times New Roman" w:cs="Times New Roman"/>
          <w:b/>
          <w:bCs/>
          <w:color w:val="000000"/>
          <w:sz w:val="24"/>
          <w:szCs w:val="24"/>
        </w:rPr>
        <w:t>1.4 Efficiency / Activity Ratios</w:t>
      </w:r>
    </w:p>
    <w:p w14:paraId="64EB9B08"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Efficiency ratios measure the effectiveness in which General Electronics (GE) utilizes their assets in generating profit. New records of the company degrading operational efficiency.</w:t>
      </w:r>
    </w:p>
    <w:p w14:paraId="3DA764E3"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Key Efficiency Ratios (2024)</w:t>
      </w:r>
    </w:p>
    <w:tbl>
      <w:tblPr>
        <w:tblStyle w:val="a1"/>
        <w:tblW w:w="889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40"/>
        <w:gridCol w:w="3230"/>
        <w:gridCol w:w="3725"/>
      </w:tblGrid>
      <w:tr w:rsidR="00803B40" w14:paraId="33E6B1A6" w14:textId="77777777">
        <w:trPr>
          <w:trHeight w:val="50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D63048"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Ratio</w:t>
            </w:r>
          </w:p>
        </w:tc>
        <w:tc>
          <w:tcPr>
            <w:tcW w:w="3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070F81"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Formula</w:t>
            </w:r>
          </w:p>
        </w:tc>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EA7711"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2024</w:t>
            </w:r>
          </w:p>
        </w:tc>
      </w:tr>
      <w:tr w:rsidR="00803B40" w14:paraId="0FAD7316" w14:textId="77777777">
        <w:trPr>
          <w:trHeight w:val="50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3A0B7E"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Inventory Days</w:t>
            </w:r>
          </w:p>
        </w:tc>
        <w:tc>
          <w:tcPr>
            <w:tcW w:w="3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D7A09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Inventory / Cost of Sales × 365</w:t>
            </w:r>
          </w:p>
        </w:tc>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397795"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79,355 / 280,885 × 365 = 103 days</w:t>
            </w:r>
          </w:p>
        </w:tc>
      </w:tr>
      <w:tr w:rsidR="00803B40" w14:paraId="0BF45C0F" w14:textId="77777777">
        <w:trPr>
          <w:trHeight w:val="50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24D24F"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Receivables Days</w:t>
            </w:r>
          </w:p>
        </w:tc>
        <w:tc>
          <w:tcPr>
            <w:tcW w:w="3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A4E6D4"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Receivables / Sales × 365</w:t>
            </w:r>
          </w:p>
        </w:tc>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3853D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114,182 / 394,879 × 365 = 105 days</w:t>
            </w:r>
          </w:p>
        </w:tc>
      </w:tr>
      <w:tr w:rsidR="00803B40" w14:paraId="2786984A" w14:textId="77777777">
        <w:trPr>
          <w:trHeight w:val="50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7C6AD7"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Payables Days</w:t>
            </w:r>
          </w:p>
        </w:tc>
        <w:tc>
          <w:tcPr>
            <w:tcW w:w="3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B9596"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Payables / Cost of Sales × 365</w:t>
            </w:r>
          </w:p>
        </w:tc>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465DBA"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72,031 / 280,885 × 365 = 94 days</w:t>
            </w:r>
          </w:p>
        </w:tc>
      </w:tr>
      <w:tr w:rsidR="00803B40" w14:paraId="6FFEFD5E" w14:textId="77777777">
        <w:trPr>
          <w:trHeight w:val="50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8D2220"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Asset Turnover</w:t>
            </w:r>
          </w:p>
        </w:tc>
        <w:tc>
          <w:tcPr>
            <w:tcW w:w="3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631E4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Sales / Total Assets</w:t>
            </w:r>
          </w:p>
        </w:tc>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8CB4C0"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394,879 / 323,354 = 1.22x</w:t>
            </w:r>
          </w:p>
        </w:tc>
      </w:tr>
    </w:tbl>
    <w:p w14:paraId="244AF443"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Inventory turnover ratios fell when compared to previous years, </w:t>
      </w:r>
      <w:proofErr w:type="spellStart"/>
      <w:r>
        <w:rPr>
          <w:rFonts w:ascii="Times New Roman" w:eastAsia="Times New Roman" w:hAnsi="Times New Roman" w:cs="Times New Roman"/>
          <w:sz w:val="24"/>
          <w:szCs w:val="24"/>
        </w:rPr>
        <w:t>indicitive</w:t>
      </w:r>
      <w:proofErr w:type="spellEnd"/>
      <w:r>
        <w:rPr>
          <w:rFonts w:ascii="Times New Roman" w:eastAsia="Times New Roman" w:hAnsi="Times New Roman" w:cs="Times New Roman"/>
          <w:sz w:val="24"/>
          <w:szCs w:val="24"/>
        </w:rPr>
        <w:t xml:space="preserve"> of Slower stock movement in the operational system and possible overproduction. High credit sales (105) is indicative of poor credit control, which is unideal for company dealing with liquidity problems. Payable days (94) shows the company is delaying payments to suppliers to save cash, which is typical of distressed companies (Ross et al., 2021). Asset turnover is sitting low at 1.22x and has decreased since 2020 due to lower sales and a reducing asset base. Operational misalignment and inflexible supply chains have a negative impact on efficiency and so does this company (</w:t>
      </w:r>
      <w:proofErr w:type="spellStart"/>
      <w:r>
        <w:rPr>
          <w:rFonts w:ascii="Times New Roman" w:eastAsia="Times New Roman" w:hAnsi="Times New Roman" w:cs="Times New Roman"/>
          <w:sz w:val="24"/>
          <w:szCs w:val="24"/>
        </w:rPr>
        <w:t>Brealey</w:t>
      </w:r>
      <w:proofErr w:type="spellEnd"/>
      <w:r>
        <w:rPr>
          <w:rFonts w:ascii="Times New Roman" w:eastAsia="Times New Roman" w:hAnsi="Times New Roman" w:cs="Times New Roman"/>
          <w:sz w:val="24"/>
          <w:szCs w:val="24"/>
        </w:rPr>
        <w:t xml:space="preserve"> et al., 2022).</w:t>
      </w:r>
    </w:p>
    <w:p w14:paraId="6A898494"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5" w:name="_nlynhsxjohfk" w:colFirst="0" w:colLast="0"/>
      <w:bookmarkEnd w:id="5"/>
      <w:r>
        <w:rPr>
          <w:rFonts w:ascii="Times New Roman" w:eastAsia="Times New Roman" w:hAnsi="Times New Roman" w:cs="Times New Roman"/>
          <w:b/>
          <w:bCs/>
          <w:color w:val="000000"/>
          <w:sz w:val="24"/>
          <w:szCs w:val="24"/>
        </w:rPr>
        <w:t>1.5 Gearing / Leverage Ratios</w:t>
      </w:r>
    </w:p>
    <w:p w14:paraId="38B02497"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Factoring in GE's reliance on debt to equity ratios, they show low financial risk however the company in the given timeframe with lowered assets, has put more of the company at risk.</w:t>
      </w:r>
    </w:p>
    <w:p w14:paraId="5878943D"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Key Gearing Ratios (2024)</w:t>
      </w:r>
    </w:p>
    <w:tbl>
      <w:tblPr>
        <w:tblStyle w:val="a2"/>
        <w:tblW w:w="856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5"/>
        <w:gridCol w:w="3755"/>
        <w:gridCol w:w="2885"/>
      </w:tblGrid>
      <w:tr w:rsidR="00803B40" w14:paraId="25E8AD53" w14:textId="77777777">
        <w:trPr>
          <w:trHeight w:val="500"/>
        </w:trPr>
        <w:tc>
          <w:tcPr>
            <w:tcW w:w="1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DBCAC5"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Ratio</w:t>
            </w:r>
          </w:p>
        </w:tc>
        <w:tc>
          <w:tcPr>
            <w:tcW w:w="3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FE9C8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Formula</w:t>
            </w:r>
          </w:p>
        </w:tc>
        <w:tc>
          <w:tcPr>
            <w:tcW w:w="2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C84415"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2024</w:t>
            </w:r>
          </w:p>
        </w:tc>
      </w:tr>
      <w:tr w:rsidR="00803B40" w14:paraId="7EFF1F68" w14:textId="77777777">
        <w:trPr>
          <w:trHeight w:val="500"/>
        </w:trPr>
        <w:tc>
          <w:tcPr>
            <w:tcW w:w="1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4E1EDE"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Debt-to-Equity</w:t>
            </w:r>
          </w:p>
        </w:tc>
        <w:tc>
          <w:tcPr>
            <w:tcW w:w="3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03230F"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Liabilities / Equity</w:t>
            </w:r>
          </w:p>
        </w:tc>
        <w:tc>
          <w:tcPr>
            <w:tcW w:w="2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64CC51"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170,249 / 153,105 = 1.11</w:t>
            </w:r>
          </w:p>
        </w:tc>
      </w:tr>
      <w:tr w:rsidR="00803B40" w14:paraId="3BC74779" w14:textId="77777777">
        <w:trPr>
          <w:trHeight w:val="500"/>
        </w:trPr>
        <w:tc>
          <w:tcPr>
            <w:tcW w:w="1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64CCC6"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Debt Ratio</w:t>
            </w:r>
          </w:p>
        </w:tc>
        <w:tc>
          <w:tcPr>
            <w:tcW w:w="3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0824C"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Liabilities / Total Assets</w:t>
            </w:r>
          </w:p>
        </w:tc>
        <w:tc>
          <w:tcPr>
            <w:tcW w:w="2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638A8E"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170,249 / 323,354 = 52.6%</w:t>
            </w:r>
          </w:p>
        </w:tc>
      </w:tr>
      <w:tr w:rsidR="00803B40" w:rsidRPr="008F2DC3" w14:paraId="5C30A39C" w14:textId="77777777">
        <w:trPr>
          <w:trHeight w:val="500"/>
        </w:trPr>
        <w:tc>
          <w:tcPr>
            <w:tcW w:w="1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0DB749"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Interest Coverage</w:t>
            </w:r>
          </w:p>
        </w:tc>
        <w:tc>
          <w:tcPr>
            <w:tcW w:w="3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D4C8E"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Times New Roman" w:hAnsiTheme="majorBidi" w:cstheme="majorBidi"/>
                <w:sz w:val="24"/>
                <w:szCs w:val="24"/>
              </w:rPr>
              <w:t>Operating Income / Interest Expense</w:t>
            </w:r>
          </w:p>
        </w:tc>
        <w:tc>
          <w:tcPr>
            <w:tcW w:w="2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AE9FAF" w14:textId="77777777" w:rsidR="00803B40" w:rsidRPr="008F2DC3" w:rsidRDefault="00075786">
            <w:pPr>
              <w:spacing w:line="240" w:lineRule="auto"/>
              <w:rPr>
                <w:rFonts w:asciiTheme="majorBidi" w:eastAsia="Times New Roman" w:hAnsiTheme="majorBidi" w:cstheme="majorBidi"/>
                <w:sz w:val="24"/>
                <w:szCs w:val="24"/>
              </w:rPr>
            </w:pPr>
            <w:r w:rsidRPr="008F2DC3">
              <w:rPr>
                <w:rFonts w:asciiTheme="majorBidi" w:eastAsia="Gungsuh" w:hAnsiTheme="majorBidi" w:cstheme="majorBidi"/>
                <w:sz w:val="24"/>
                <w:szCs w:val="24"/>
              </w:rPr>
              <w:t>−15,297 / 3,361 = −4.6×</w:t>
            </w:r>
          </w:p>
        </w:tc>
      </w:tr>
    </w:tbl>
    <w:p w14:paraId="510189DD" w14:textId="77777777" w:rsidR="00803B40" w:rsidRDefault="00075786">
      <w:pPr>
        <w:spacing w:before="240" w:after="240"/>
        <w:rPr>
          <w:rFonts w:ascii="Times New Roman" w:eastAsia="Times New Roman" w:hAnsi="Times New Roman" w:cs="Times New Roman"/>
          <w:sz w:val="24"/>
          <w:szCs w:val="24"/>
        </w:rPr>
      </w:pPr>
      <w:r w:rsidRPr="008F2DC3">
        <w:rPr>
          <w:rFonts w:asciiTheme="majorBidi" w:eastAsia="Times New Roman" w:hAnsiTheme="majorBidi" w:cstheme="majorBidi"/>
          <w:sz w:val="24"/>
          <w:szCs w:val="24"/>
        </w:rPr>
        <w:t>Having a debt-to-equity ratio above 1.0 means that the company is operating with a considerable amount of financial leverage. This is because the company is funding its operations with debt which is a risk. Operationally, the company is going through what Altman (2020</w:t>
      </w:r>
      <w:r>
        <w:rPr>
          <w:rFonts w:ascii="Times New Roman" w:eastAsia="Times New Roman" w:hAnsi="Times New Roman" w:cs="Times New Roman"/>
          <w:sz w:val="24"/>
          <w:szCs w:val="24"/>
        </w:rPr>
        <w:t xml:space="preserve">) refers to as a negative interest. This means that the company cannot cover the interest costs of its operations. This is economically distressing. It should be noted that while the amount of debt the company holds has gone down from 2022, the amount of equity the company has gone down even more. This makes the debt-to-equity ratio worsen, and therefore, the leverage of the company is going up. There is research that indicates a correlation to losing earnings and having a debt ratio as predictive of a Moore's Law kind of blowup (Brigham and </w:t>
      </w:r>
      <w:proofErr w:type="spellStart"/>
      <w:r>
        <w:rPr>
          <w:rFonts w:ascii="Times New Roman" w:eastAsia="Times New Roman" w:hAnsi="Times New Roman" w:cs="Times New Roman"/>
          <w:sz w:val="24"/>
          <w:szCs w:val="24"/>
        </w:rPr>
        <w:t>Ehrhardt</w:t>
      </w:r>
      <w:proofErr w:type="spellEnd"/>
      <w:r>
        <w:rPr>
          <w:rFonts w:ascii="Times New Roman" w:eastAsia="Times New Roman" w:hAnsi="Times New Roman" w:cs="Times New Roman"/>
          <w:sz w:val="24"/>
          <w:szCs w:val="24"/>
        </w:rPr>
        <w:t xml:space="preserve"> 2022).</w:t>
      </w:r>
    </w:p>
    <w:p w14:paraId="4312B63B"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6" w:name="_3lc4sbd1qvxa" w:colFirst="0" w:colLast="0"/>
      <w:bookmarkEnd w:id="6"/>
      <w:r>
        <w:rPr>
          <w:rFonts w:ascii="Times New Roman" w:eastAsia="Times New Roman" w:hAnsi="Times New Roman" w:cs="Times New Roman"/>
          <w:b/>
          <w:bCs/>
          <w:color w:val="000000"/>
          <w:sz w:val="24"/>
          <w:szCs w:val="24"/>
        </w:rPr>
        <w:t>1.6 Investment Ratios</w:t>
      </w:r>
    </w:p>
    <w:p w14:paraId="3FE5D232" w14:textId="77777777" w:rsidR="00803B40" w:rsidRPr="004C76CA" w:rsidRDefault="00075786">
      <w:pPr>
        <w:spacing w:before="240" w:after="240"/>
        <w:rPr>
          <w:rFonts w:asciiTheme="majorBidi" w:eastAsia="Times New Roman" w:hAnsiTheme="majorBidi" w:cstheme="majorBidi"/>
          <w:sz w:val="24"/>
          <w:szCs w:val="24"/>
        </w:rPr>
      </w:pPr>
      <w:r>
        <w:rPr>
          <w:rFonts w:ascii="Times New Roman" w:eastAsia="Times New Roman" w:hAnsi="Times New Roman" w:cs="Times New Roman"/>
          <w:sz w:val="24"/>
          <w:szCs w:val="24"/>
        </w:rPr>
        <w:t xml:space="preserve">Investment </w:t>
      </w:r>
      <w:r w:rsidRPr="004C76CA">
        <w:rPr>
          <w:rFonts w:asciiTheme="majorBidi" w:eastAsia="Times New Roman" w:hAnsiTheme="majorBidi" w:cstheme="majorBidi"/>
          <w:sz w:val="24"/>
          <w:szCs w:val="24"/>
        </w:rPr>
        <w:t>ratios evaluate shareholder performance and market attractiveness.</w:t>
      </w:r>
    </w:p>
    <w:p w14:paraId="6EBD9D0E" w14:textId="77777777" w:rsidR="00803B40" w:rsidRPr="004C76CA" w:rsidRDefault="00075786">
      <w:pPr>
        <w:spacing w:before="280"/>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Table: Investment Ratios (2024)</w:t>
      </w:r>
    </w:p>
    <w:tbl>
      <w:tblPr>
        <w:tblStyle w:val="a3"/>
        <w:tblW w:w="1058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06"/>
        <w:gridCol w:w="3004"/>
        <w:gridCol w:w="3871"/>
      </w:tblGrid>
      <w:tr w:rsidR="00803B40" w:rsidRPr="004C76CA" w14:paraId="787F5207" w14:textId="77777777" w:rsidTr="00824BED">
        <w:trPr>
          <w:trHeight w:val="391"/>
        </w:trPr>
        <w:tc>
          <w:tcPr>
            <w:tcW w:w="37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3F1A91" w14:textId="77777777" w:rsidR="00803B40" w:rsidRPr="004C76CA" w:rsidRDefault="00075786">
            <w:pPr>
              <w:spacing w:line="240" w:lineRule="auto"/>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lastRenderedPageBreak/>
              <w:t>Ratio</w:t>
            </w:r>
          </w:p>
        </w:tc>
        <w:tc>
          <w:tcPr>
            <w:tcW w:w="30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EB2FE0" w14:textId="77777777" w:rsidR="00803B40" w:rsidRPr="004C76CA" w:rsidRDefault="00075786">
            <w:pPr>
              <w:spacing w:line="240" w:lineRule="auto"/>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Formula</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98804F" w14:textId="77777777" w:rsidR="00803B40" w:rsidRPr="004C76CA" w:rsidRDefault="00075786">
            <w:pPr>
              <w:spacing w:line="240" w:lineRule="auto"/>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2024</w:t>
            </w:r>
          </w:p>
        </w:tc>
      </w:tr>
      <w:tr w:rsidR="00803B40" w:rsidRPr="004C76CA" w14:paraId="7410ED31" w14:textId="77777777" w:rsidTr="00824BED">
        <w:trPr>
          <w:trHeight w:val="391"/>
        </w:trPr>
        <w:tc>
          <w:tcPr>
            <w:tcW w:w="37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7AD5FF" w14:textId="77777777" w:rsidR="00803B40" w:rsidRPr="004C76CA" w:rsidRDefault="00075786">
            <w:pPr>
              <w:spacing w:line="240" w:lineRule="auto"/>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Earnings per Share (EPS)</w:t>
            </w:r>
          </w:p>
        </w:tc>
        <w:tc>
          <w:tcPr>
            <w:tcW w:w="30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0706D" w14:textId="77777777" w:rsidR="00803B40" w:rsidRPr="004C76CA" w:rsidRDefault="00075786">
            <w:pPr>
              <w:spacing w:line="240" w:lineRule="auto"/>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Net Income / Shares</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5E8CD" w14:textId="77777777" w:rsidR="00803B40" w:rsidRPr="004C76CA" w:rsidRDefault="00075786">
            <w:pPr>
              <w:spacing w:line="240" w:lineRule="auto"/>
              <w:rPr>
                <w:rFonts w:asciiTheme="majorBidi" w:eastAsia="Times New Roman" w:hAnsiTheme="majorBidi" w:cstheme="majorBidi"/>
                <w:sz w:val="24"/>
                <w:szCs w:val="24"/>
              </w:rPr>
            </w:pPr>
            <w:r w:rsidRPr="004C76CA">
              <w:rPr>
                <w:rFonts w:asciiTheme="majorBidi" w:eastAsia="Gungsuh" w:hAnsiTheme="majorBidi" w:cstheme="majorBidi"/>
                <w:sz w:val="24"/>
                <w:szCs w:val="24"/>
              </w:rPr>
              <w:t>−24,029 / 12,959 = −£1.85</w:t>
            </w:r>
          </w:p>
        </w:tc>
      </w:tr>
      <w:tr w:rsidR="00803B40" w:rsidRPr="004C76CA" w14:paraId="2240BB00" w14:textId="77777777" w:rsidTr="00824BED">
        <w:trPr>
          <w:trHeight w:val="391"/>
        </w:trPr>
        <w:tc>
          <w:tcPr>
            <w:tcW w:w="37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686025" w14:textId="77777777" w:rsidR="00803B40" w:rsidRPr="004C76CA" w:rsidRDefault="00075786">
            <w:pPr>
              <w:spacing w:line="240" w:lineRule="auto"/>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Return on Equity (ROE)</w:t>
            </w:r>
          </w:p>
        </w:tc>
        <w:tc>
          <w:tcPr>
            <w:tcW w:w="30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3D4222" w14:textId="77777777" w:rsidR="00803B40" w:rsidRPr="004C76CA" w:rsidRDefault="00075786">
            <w:pPr>
              <w:spacing w:line="240" w:lineRule="auto"/>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NI / Equity</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1EF243" w14:textId="77777777" w:rsidR="00803B40" w:rsidRPr="004C76CA" w:rsidRDefault="00075786">
            <w:pPr>
              <w:spacing w:line="240" w:lineRule="auto"/>
              <w:rPr>
                <w:rFonts w:asciiTheme="majorBidi" w:eastAsia="Times New Roman" w:hAnsiTheme="majorBidi" w:cstheme="majorBidi"/>
                <w:sz w:val="24"/>
                <w:szCs w:val="24"/>
              </w:rPr>
            </w:pPr>
            <w:r w:rsidRPr="004C76CA">
              <w:rPr>
                <w:rFonts w:asciiTheme="majorBidi" w:eastAsia="Gungsuh" w:hAnsiTheme="majorBidi" w:cstheme="majorBidi"/>
                <w:sz w:val="24"/>
                <w:szCs w:val="24"/>
              </w:rPr>
              <w:t>−15.7%</w:t>
            </w:r>
          </w:p>
        </w:tc>
      </w:tr>
      <w:tr w:rsidR="00803B40" w:rsidRPr="004C76CA" w14:paraId="3619C5CA" w14:textId="77777777" w:rsidTr="00824BED">
        <w:trPr>
          <w:trHeight w:val="391"/>
        </w:trPr>
        <w:tc>
          <w:tcPr>
            <w:tcW w:w="37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52AD7E" w14:textId="77777777" w:rsidR="00803B40" w:rsidRPr="004C76CA" w:rsidRDefault="00075786">
            <w:pPr>
              <w:spacing w:line="240" w:lineRule="auto"/>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Dividend per Share</w:t>
            </w:r>
          </w:p>
        </w:tc>
        <w:tc>
          <w:tcPr>
            <w:tcW w:w="30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D680FC" w14:textId="77777777" w:rsidR="00803B40" w:rsidRPr="004C76CA" w:rsidRDefault="00075786">
            <w:pPr>
              <w:spacing w:line="240" w:lineRule="auto"/>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Not reported</w:t>
            </w:r>
          </w:p>
        </w:tc>
        <w:tc>
          <w:tcPr>
            <w:tcW w:w="3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1EFE96" w14:textId="77777777" w:rsidR="00803B40" w:rsidRPr="004C76CA" w:rsidRDefault="00075786">
            <w:pPr>
              <w:spacing w:line="240" w:lineRule="auto"/>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N/A</w:t>
            </w:r>
          </w:p>
        </w:tc>
      </w:tr>
    </w:tbl>
    <w:p w14:paraId="15C5B59F" w14:textId="77777777" w:rsidR="00803B40" w:rsidRPr="004C76CA" w:rsidRDefault="00075786">
      <w:pPr>
        <w:spacing w:before="240" w:after="240"/>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The EPS loss as noted was from positive 2.78 and going to a negative 1.85. This also relates to the loss of value of the company from shareholders. There is a large amount of negative EPS and negative ROE. This does make the stock unattractive to investors. This is consistent and documented in the literature of value loss when a company has operational losses (</w:t>
      </w:r>
      <w:proofErr w:type="spellStart"/>
      <w:r w:rsidRPr="004C76CA">
        <w:rPr>
          <w:rFonts w:asciiTheme="majorBidi" w:eastAsia="Times New Roman" w:hAnsiTheme="majorBidi" w:cstheme="majorBidi"/>
          <w:sz w:val="24"/>
          <w:szCs w:val="24"/>
        </w:rPr>
        <w:t>Damodaran</w:t>
      </w:r>
      <w:proofErr w:type="spellEnd"/>
      <w:r w:rsidRPr="004C76CA">
        <w:rPr>
          <w:rFonts w:asciiTheme="majorBidi" w:eastAsia="Times New Roman" w:hAnsiTheme="majorBidi" w:cstheme="majorBidi"/>
          <w:sz w:val="24"/>
          <w:szCs w:val="24"/>
        </w:rPr>
        <w:t xml:space="preserve"> 2023).</w:t>
      </w:r>
    </w:p>
    <w:p w14:paraId="5CD54311" w14:textId="77777777" w:rsidR="00803B40" w:rsidRPr="004C76CA" w:rsidRDefault="00075786">
      <w:pPr>
        <w:spacing w:before="240" w:after="240"/>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Clearly, the feedback from GE is a show of systemic lack and operational losses. It indicates a lack of operational systemic cohesion and suggests debt to equity restructuring is needed fundamentally.</w:t>
      </w:r>
    </w:p>
    <w:p w14:paraId="7C7AC6C1" w14:textId="77777777" w:rsidR="00803B40" w:rsidRPr="004C76CA" w:rsidRDefault="00075786">
      <w:pPr>
        <w:pStyle w:val="Heading3"/>
        <w:keepNext w:val="0"/>
        <w:keepLines w:val="0"/>
        <w:spacing w:before="480"/>
        <w:rPr>
          <w:rFonts w:asciiTheme="majorBidi" w:eastAsia="Times New Roman" w:hAnsiTheme="majorBidi" w:cstheme="majorBidi"/>
          <w:color w:val="000000"/>
          <w:sz w:val="24"/>
          <w:szCs w:val="24"/>
        </w:rPr>
      </w:pPr>
      <w:bookmarkStart w:id="7" w:name="_dcrvgercjrqx" w:colFirst="0" w:colLast="0"/>
      <w:bookmarkEnd w:id="7"/>
      <w:r w:rsidRPr="004C76CA">
        <w:rPr>
          <w:rFonts w:asciiTheme="majorBidi" w:eastAsia="Times New Roman" w:hAnsiTheme="majorBidi" w:cstheme="majorBidi"/>
          <w:color w:val="000000"/>
          <w:sz w:val="24"/>
          <w:szCs w:val="24"/>
        </w:rPr>
        <w:t>1.7 Cash Flow Analysis</w:t>
      </w:r>
    </w:p>
    <w:p w14:paraId="0D27C351" w14:textId="77777777" w:rsidR="00803B40" w:rsidRPr="004C76CA" w:rsidRDefault="00075786">
      <w:pPr>
        <w:spacing w:before="240" w:after="240"/>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 xml:space="preserve">From the years 2020 to 2024, General Electronics had some degree of cash-flow problems, causing operational strength deterioration and increased liquidity pressure. Operating activity net cash in 2020 was £73,392 m. By 2024, that number had decreased to £14,822 m, representing an 80% decline in cash-flow. While the cash over the operating activities was still positive, the dip in cash-flow was large and similar to the loss reported in profitability. Goodwill had also been impaired in 2023, amounting to £49, 075m; while an operational profitability loss of this amount indicates structural problems that affect long-term asset value (especially positive value </w:t>
      </w:r>
      <w:proofErr w:type="spellStart"/>
      <w:r w:rsidRPr="004C76CA">
        <w:rPr>
          <w:rFonts w:asciiTheme="majorBidi" w:eastAsia="Times New Roman" w:hAnsiTheme="majorBidi" w:cstheme="majorBidi"/>
          <w:sz w:val="24"/>
          <w:szCs w:val="24"/>
        </w:rPr>
        <w:t>distortations</w:t>
      </w:r>
      <w:proofErr w:type="spellEnd"/>
      <w:r w:rsidRPr="004C76CA">
        <w:rPr>
          <w:rFonts w:asciiTheme="majorBidi" w:eastAsia="Times New Roman" w:hAnsiTheme="majorBidi" w:cstheme="majorBidi"/>
          <w:sz w:val="24"/>
          <w:szCs w:val="24"/>
        </w:rPr>
        <w:t>).</w:t>
      </w:r>
    </w:p>
    <w:p w14:paraId="497CAECD" w14:textId="77777777" w:rsidR="00803B40" w:rsidRPr="004C76CA" w:rsidRDefault="00075786">
      <w:pPr>
        <w:spacing w:before="240" w:after="240"/>
        <w:rPr>
          <w:rFonts w:asciiTheme="majorBidi" w:eastAsia="Times New Roman" w:hAnsiTheme="majorBidi" w:cstheme="majorBidi"/>
          <w:sz w:val="24"/>
          <w:szCs w:val="24"/>
        </w:rPr>
      </w:pPr>
      <w:r w:rsidRPr="004C76CA">
        <w:rPr>
          <w:rFonts w:asciiTheme="majorBidi" w:eastAsia="Gungsuh" w:hAnsiTheme="majorBidi" w:cstheme="majorBidi"/>
          <w:sz w:val="24"/>
          <w:szCs w:val="24"/>
        </w:rPr>
        <w:t xml:space="preserve">Over the five years, cash flow from </w:t>
      </w:r>
      <w:proofErr w:type="spellStart"/>
      <w:r w:rsidRPr="004C76CA">
        <w:rPr>
          <w:rFonts w:asciiTheme="majorBidi" w:eastAsia="Gungsuh" w:hAnsiTheme="majorBidi" w:cstheme="majorBidi"/>
          <w:sz w:val="24"/>
          <w:szCs w:val="24"/>
        </w:rPr>
        <w:t>activites</w:t>
      </w:r>
      <w:proofErr w:type="spellEnd"/>
      <w:r w:rsidRPr="004C76CA">
        <w:rPr>
          <w:rFonts w:asciiTheme="majorBidi" w:eastAsia="Gungsuh" w:hAnsiTheme="majorBidi" w:cstheme="majorBidi"/>
          <w:sz w:val="24"/>
          <w:szCs w:val="24"/>
        </w:rPr>
        <w:t xml:space="preserve"> involving investing remained negative; the flowing activities went from plurals of −£8,428m to −£23,734m in the 5-year period. Because of continuous capital expenditures and acquisitions of distortion intangible assets, negative cash from activities investing isn't an unusual phenomenon, however, for GE and </w:t>
      </w:r>
      <w:proofErr w:type="spellStart"/>
      <w:r w:rsidRPr="004C76CA">
        <w:rPr>
          <w:rFonts w:asciiTheme="majorBidi" w:eastAsia="Gungsuh" w:hAnsiTheme="majorBidi" w:cstheme="majorBidi"/>
          <w:sz w:val="24"/>
          <w:szCs w:val="24"/>
        </w:rPr>
        <w:t>therir</w:t>
      </w:r>
      <w:proofErr w:type="spellEnd"/>
      <w:r w:rsidRPr="004C76CA">
        <w:rPr>
          <w:rFonts w:asciiTheme="majorBidi" w:eastAsia="Gungsuh" w:hAnsiTheme="majorBidi" w:cstheme="majorBidi"/>
          <w:sz w:val="24"/>
          <w:szCs w:val="24"/>
        </w:rPr>
        <w:t xml:space="preserve"> occupation investing cash is a requirement; liquidity decline over time is a cash-flow building problem (</w:t>
      </w:r>
      <w:proofErr w:type="spellStart"/>
      <w:r w:rsidRPr="004C76CA">
        <w:rPr>
          <w:rFonts w:asciiTheme="majorBidi" w:eastAsia="Gungsuh" w:hAnsiTheme="majorBidi" w:cstheme="majorBidi"/>
          <w:sz w:val="24"/>
          <w:szCs w:val="24"/>
        </w:rPr>
        <w:t>Brealey</w:t>
      </w:r>
      <w:proofErr w:type="spellEnd"/>
      <w:r w:rsidRPr="004C76CA">
        <w:rPr>
          <w:rFonts w:asciiTheme="majorBidi" w:eastAsia="Gungsuh" w:hAnsiTheme="majorBidi" w:cstheme="majorBidi"/>
          <w:sz w:val="24"/>
          <w:szCs w:val="24"/>
        </w:rPr>
        <w:t xml:space="preserve"> et al., 2022).</w:t>
      </w:r>
    </w:p>
    <w:p w14:paraId="4F4AC70A" w14:textId="77777777" w:rsidR="00803B40" w:rsidRPr="004C76CA" w:rsidRDefault="00075786">
      <w:pPr>
        <w:spacing w:before="240" w:after="240"/>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 xml:space="preserve">The borrowing of money is walking the line of a cash-flow problem for the company in 2024. Specifically it has to do with some credit lines that result in declining cash flow from finances. £102,193 m was what GE had to borrow; however they had to pay back £120,000 and the net remaining in their account was -£19, 764m. The cash and cash-equivalents, that were declining from £66,740m in 2022 to £26,783m in 2024, is an indication of GE losing operational </w:t>
      </w:r>
      <w:r w:rsidRPr="004C76CA">
        <w:rPr>
          <w:rFonts w:asciiTheme="majorBidi" w:eastAsia="Times New Roman" w:hAnsiTheme="majorBidi" w:cstheme="majorBidi"/>
          <w:sz w:val="24"/>
          <w:szCs w:val="24"/>
        </w:rPr>
        <w:lastRenderedPageBreak/>
        <w:t xml:space="preserve">performance. It's been proposed they are growing reliant on the debt markets. (Brigham &amp; </w:t>
      </w:r>
      <w:proofErr w:type="spellStart"/>
      <w:r w:rsidRPr="004C76CA">
        <w:rPr>
          <w:rFonts w:asciiTheme="majorBidi" w:eastAsia="Times New Roman" w:hAnsiTheme="majorBidi" w:cstheme="majorBidi"/>
          <w:sz w:val="24"/>
          <w:szCs w:val="24"/>
        </w:rPr>
        <w:t>Ehrhardt</w:t>
      </w:r>
      <w:proofErr w:type="spellEnd"/>
      <w:r w:rsidRPr="004C76CA">
        <w:rPr>
          <w:rFonts w:asciiTheme="majorBidi" w:eastAsia="Times New Roman" w:hAnsiTheme="majorBidi" w:cstheme="majorBidi"/>
          <w:sz w:val="24"/>
          <w:szCs w:val="24"/>
        </w:rPr>
        <w:t xml:space="preserve">, 2022). All things considered, the weakening cash position elevates liquidity and solvency risk. </w:t>
      </w:r>
    </w:p>
    <w:p w14:paraId="02C298F0" w14:textId="77777777" w:rsidR="00803B40" w:rsidRPr="004C76CA" w:rsidRDefault="00075786">
      <w:pPr>
        <w:pStyle w:val="Heading3"/>
        <w:keepNext w:val="0"/>
        <w:keepLines w:val="0"/>
        <w:spacing w:before="480"/>
        <w:rPr>
          <w:rFonts w:asciiTheme="majorBidi" w:eastAsia="Times New Roman" w:hAnsiTheme="majorBidi" w:cstheme="majorBidi"/>
          <w:color w:val="000000"/>
          <w:sz w:val="24"/>
          <w:szCs w:val="24"/>
        </w:rPr>
      </w:pPr>
      <w:bookmarkStart w:id="8" w:name="_xe5kcy8yrd2i" w:colFirst="0" w:colLast="0"/>
      <w:bookmarkEnd w:id="8"/>
      <w:r w:rsidRPr="004C76CA">
        <w:rPr>
          <w:rFonts w:asciiTheme="majorBidi" w:eastAsia="Times New Roman" w:hAnsiTheme="majorBidi" w:cstheme="majorBidi"/>
          <w:color w:val="000000"/>
          <w:sz w:val="24"/>
          <w:szCs w:val="24"/>
        </w:rPr>
        <w:t>1.8 Trend Evaluation</w:t>
      </w:r>
    </w:p>
    <w:p w14:paraId="7E71DB8B" w14:textId="77777777" w:rsidR="00803B40" w:rsidRPr="004C76CA" w:rsidRDefault="00075786">
      <w:pPr>
        <w:spacing w:before="240" w:after="240"/>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For the years 2020 to 2024, GE is poised to continue with its downtrending performance finances in the pillars of revenues, profitability, liquidity, and asset base. Revenue underwent a major collapse by 36%, and the net income shifted, in 2023-2024, from a vigorous profit to two heavy loss years in a row. 2023 also saw a disproportionate increase in operational expenditures that exceeded the gross profit and resulted in an operational loss that reached £85,301 million. Cost structure rigidity, something that is consistent with companies suffering from structural inefficiencies (</w:t>
      </w:r>
      <w:proofErr w:type="spellStart"/>
      <w:r w:rsidRPr="004C76CA">
        <w:rPr>
          <w:rFonts w:asciiTheme="majorBidi" w:eastAsia="Times New Roman" w:hAnsiTheme="majorBidi" w:cstheme="majorBidi"/>
          <w:sz w:val="24"/>
          <w:szCs w:val="24"/>
        </w:rPr>
        <w:t>Damodaran</w:t>
      </w:r>
      <w:proofErr w:type="spellEnd"/>
      <w:r w:rsidRPr="004C76CA">
        <w:rPr>
          <w:rFonts w:asciiTheme="majorBidi" w:eastAsia="Times New Roman" w:hAnsiTheme="majorBidi" w:cstheme="majorBidi"/>
          <w:sz w:val="24"/>
          <w:szCs w:val="24"/>
        </w:rPr>
        <w:t xml:space="preserve">, 2023), explains this result. </w:t>
      </w:r>
    </w:p>
    <w:p w14:paraId="710051B7" w14:textId="77777777" w:rsidR="00803B40" w:rsidRPr="004C76CA" w:rsidRDefault="00075786">
      <w:pPr>
        <w:spacing w:before="240" w:after="240"/>
        <w:rPr>
          <w:rFonts w:asciiTheme="majorBidi" w:eastAsia="Times New Roman" w:hAnsiTheme="majorBidi" w:cstheme="majorBidi"/>
          <w:sz w:val="24"/>
          <w:szCs w:val="24"/>
        </w:rPr>
      </w:pPr>
      <w:r w:rsidRPr="004C76CA">
        <w:rPr>
          <w:rFonts w:asciiTheme="majorBidi" w:eastAsia="Times New Roman" w:hAnsiTheme="majorBidi" w:cstheme="majorBidi"/>
          <w:sz w:val="24"/>
          <w:szCs w:val="24"/>
        </w:rPr>
        <w:t xml:space="preserve">In the balance sheet, total assets experienced a steady decline from £510,290 million in 2020 to £323,354 million in 2024. This is primarily attributed to the reduction of cash, inventories, and PPE. The decline in equity, which represents more than a 50% reduction and corresponds to the accumulated losses, is notable.  Although liquidity ratios still register above 1.0, the rapid depletion of cash has resulted in the ratios weakening. The operational slow down and less efficient cash conversion that working capital indicators point to has also resulted in an increase in the days of receivables and inventories respectively.  </w:t>
      </w:r>
    </w:p>
    <w:p w14:paraId="344BD1BE"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dropping order, the trends point to the increasing likelihood of GE financial distress, a phenomenon that is characteristic to companies that are on the verge of a major financial restructuring (Altman, 2020 ). </w:t>
      </w:r>
    </w:p>
    <w:p w14:paraId="5BBA2E07"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9" w:name="_5658yaw7wc2f" w:colFirst="0" w:colLast="0"/>
      <w:bookmarkEnd w:id="9"/>
      <w:r>
        <w:rPr>
          <w:rFonts w:ascii="Times New Roman" w:eastAsia="Times New Roman" w:hAnsi="Times New Roman" w:cs="Times New Roman"/>
          <w:b/>
          <w:bCs/>
          <w:color w:val="000000"/>
          <w:sz w:val="24"/>
          <w:szCs w:val="24"/>
        </w:rPr>
        <w:t>1.9 Corporate Failure Prediction (Altman Z-Score)</w:t>
      </w:r>
    </w:p>
    <w:p w14:paraId="1084B1BD"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calculate this, using the Altman Z-Score for the public manufacturing model:</w:t>
      </w:r>
    </w:p>
    <w:p w14:paraId="4DA3686A"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Z = 1.2X₁ + 1.4X₂ + 3.3X₃ + 0.6X₄ + 1.0X₅</w:t>
      </w:r>
    </w:p>
    <w:p w14:paraId="10E992A9"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p w14:paraId="6BAC234D" w14:textId="77777777" w:rsidR="00803B40" w:rsidRPr="00C21703" w:rsidRDefault="00075786">
      <w:pPr>
        <w:numPr>
          <w:ilvl w:val="0"/>
          <w:numId w:val="11"/>
        </w:numPr>
        <w:spacing w:before="240"/>
        <w:rPr>
          <w:rFonts w:asciiTheme="majorBidi" w:eastAsia="Times New Roman" w:hAnsiTheme="majorBidi" w:cstheme="majorBidi"/>
          <w:sz w:val="24"/>
          <w:szCs w:val="24"/>
        </w:rPr>
      </w:pPr>
      <w:r w:rsidRPr="00C21703">
        <w:rPr>
          <w:rFonts w:asciiTheme="majorBidi" w:eastAsia="Caudex" w:hAnsiTheme="majorBidi" w:cstheme="majorBidi"/>
          <w:sz w:val="24"/>
          <w:szCs w:val="24"/>
        </w:rPr>
        <w:t>X₁ = Working Capital / Total Assets = (242,494 − 158,291) / 323,354 = 0.26</w:t>
      </w:r>
    </w:p>
    <w:p w14:paraId="45D32CDF" w14:textId="77777777" w:rsidR="00803B40" w:rsidRPr="00C21703" w:rsidRDefault="00075786">
      <w:pPr>
        <w:numPr>
          <w:ilvl w:val="0"/>
          <w:numId w:val="11"/>
        </w:numPr>
        <w:rPr>
          <w:rFonts w:asciiTheme="majorBidi" w:eastAsia="Times New Roman" w:hAnsiTheme="majorBidi" w:cstheme="majorBidi"/>
          <w:sz w:val="24"/>
          <w:szCs w:val="24"/>
        </w:rPr>
      </w:pPr>
      <w:r w:rsidRPr="00C21703">
        <w:rPr>
          <w:rFonts w:asciiTheme="majorBidi" w:eastAsia="Times New Roman" w:hAnsiTheme="majorBidi" w:cstheme="majorBidi"/>
          <w:sz w:val="24"/>
          <w:szCs w:val="24"/>
        </w:rPr>
        <w:t>X₂ = Retained Earnings / Total Assets = 208,431 / 323,354 = 0.64</w:t>
      </w:r>
    </w:p>
    <w:p w14:paraId="516D3011" w14:textId="77777777" w:rsidR="00803B40" w:rsidRPr="00C21703" w:rsidRDefault="00075786">
      <w:pPr>
        <w:numPr>
          <w:ilvl w:val="0"/>
          <w:numId w:val="11"/>
        </w:numPr>
        <w:rPr>
          <w:rFonts w:asciiTheme="majorBidi" w:eastAsia="Times New Roman" w:hAnsiTheme="majorBidi" w:cstheme="majorBidi"/>
          <w:sz w:val="24"/>
          <w:szCs w:val="24"/>
        </w:rPr>
      </w:pPr>
      <w:r w:rsidRPr="00C21703">
        <w:rPr>
          <w:rFonts w:asciiTheme="majorBidi" w:eastAsia="Caudex" w:hAnsiTheme="majorBidi" w:cstheme="majorBidi"/>
          <w:sz w:val="24"/>
          <w:szCs w:val="24"/>
        </w:rPr>
        <w:t>X₃ = EBIT / Total Assets = −15,297 / 323,354 = −0.047</w:t>
      </w:r>
    </w:p>
    <w:p w14:paraId="64D9D9D6" w14:textId="77777777" w:rsidR="00803B40" w:rsidRPr="00C21703" w:rsidRDefault="00075786">
      <w:pPr>
        <w:numPr>
          <w:ilvl w:val="0"/>
          <w:numId w:val="11"/>
        </w:numPr>
        <w:rPr>
          <w:rFonts w:asciiTheme="majorBidi" w:eastAsia="Times New Roman" w:hAnsiTheme="majorBidi" w:cstheme="majorBidi"/>
          <w:sz w:val="24"/>
          <w:szCs w:val="24"/>
        </w:rPr>
      </w:pPr>
      <w:r w:rsidRPr="00C21703">
        <w:rPr>
          <w:rFonts w:asciiTheme="majorBidi" w:eastAsia="Times New Roman" w:hAnsiTheme="majorBidi" w:cstheme="majorBidi"/>
          <w:sz w:val="24"/>
          <w:szCs w:val="24"/>
        </w:rPr>
        <w:t>X₄ = Market Value Equity / Total Liabilities (equity used as proxy) = 153,105 / 170,249 = 0.90</w:t>
      </w:r>
    </w:p>
    <w:p w14:paraId="1486C288" w14:textId="77777777" w:rsidR="00803B40" w:rsidRPr="00C21703" w:rsidRDefault="00075786">
      <w:pPr>
        <w:numPr>
          <w:ilvl w:val="0"/>
          <w:numId w:val="11"/>
        </w:numPr>
        <w:spacing w:after="240"/>
        <w:rPr>
          <w:rFonts w:asciiTheme="majorBidi" w:eastAsia="Times New Roman" w:hAnsiTheme="majorBidi" w:cstheme="majorBidi"/>
          <w:sz w:val="24"/>
          <w:szCs w:val="24"/>
        </w:rPr>
      </w:pPr>
      <w:r w:rsidRPr="00C21703">
        <w:rPr>
          <w:rFonts w:asciiTheme="majorBidi" w:eastAsia="Times New Roman" w:hAnsiTheme="majorBidi" w:cstheme="majorBidi"/>
          <w:sz w:val="24"/>
          <w:szCs w:val="24"/>
        </w:rPr>
        <w:t>X₅ = Sales / Total Assets = 394,879 / 323,354 = 1.22</w:t>
      </w:r>
    </w:p>
    <w:p w14:paraId="10E1A271" w14:textId="77777777" w:rsidR="00803B40" w:rsidRPr="00C21703" w:rsidRDefault="00075786">
      <w:pPr>
        <w:spacing w:before="280"/>
        <w:rPr>
          <w:rFonts w:asciiTheme="majorBidi" w:eastAsia="Times New Roman" w:hAnsiTheme="majorBidi" w:cstheme="majorBidi"/>
          <w:sz w:val="24"/>
          <w:szCs w:val="24"/>
        </w:rPr>
      </w:pPr>
      <w:r w:rsidRPr="00C21703">
        <w:rPr>
          <w:rFonts w:asciiTheme="majorBidi" w:eastAsia="Times New Roman" w:hAnsiTheme="majorBidi" w:cstheme="majorBidi"/>
          <w:sz w:val="24"/>
          <w:szCs w:val="24"/>
        </w:rPr>
        <w:lastRenderedPageBreak/>
        <w:t>Z-Score 2024 Calculation:</w:t>
      </w:r>
    </w:p>
    <w:p w14:paraId="3B218405" w14:textId="77777777" w:rsidR="00803B40" w:rsidRPr="00C21703" w:rsidRDefault="00075786">
      <w:pPr>
        <w:spacing w:before="240" w:after="240"/>
        <w:rPr>
          <w:rFonts w:asciiTheme="majorBidi" w:eastAsia="Times New Roman" w:hAnsiTheme="majorBidi" w:cstheme="majorBidi"/>
          <w:sz w:val="24"/>
          <w:szCs w:val="24"/>
        </w:rPr>
      </w:pPr>
      <w:r w:rsidRPr="00C21703">
        <w:rPr>
          <w:rFonts w:asciiTheme="majorBidi" w:eastAsia="Gungsuh" w:hAnsiTheme="majorBidi" w:cstheme="majorBidi"/>
          <w:sz w:val="24"/>
          <w:szCs w:val="24"/>
        </w:rPr>
        <w:t>Z = 1.2(0.26) + 1.4(0.64) + 3.3(−0.047) + 0.6(0.90) + 1.0(1.22)</w:t>
      </w:r>
      <w:r w:rsidRPr="00C21703">
        <w:rPr>
          <w:rFonts w:asciiTheme="majorBidi" w:eastAsia="Gungsuh" w:hAnsiTheme="majorBidi" w:cstheme="majorBidi"/>
          <w:sz w:val="24"/>
          <w:szCs w:val="24"/>
        </w:rPr>
        <w:br/>
        <w:t xml:space="preserve"> Z ≈ 2.19</w:t>
      </w:r>
    </w:p>
    <w:p w14:paraId="0FD28BC9" w14:textId="77777777" w:rsidR="00803B40" w:rsidRDefault="00075786">
      <w:pPr>
        <w:spacing w:before="240" w:after="240"/>
        <w:rPr>
          <w:rFonts w:ascii="Times New Roman" w:eastAsia="Times New Roman" w:hAnsi="Times New Roman" w:cs="Times New Roman"/>
          <w:sz w:val="24"/>
          <w:szCs w:val="24"/>
        </w:rPr>
      </w:pPr>
      <w:r w:rsidRPr="00C21703">
        <w:rPr>
          <w:rFonts w:asciiTheme="majorBidi" w:eastAsia="Times New Roman" w:hAnsiTheme="majorBidi" w:cstheme="majorBidi"/>
          <w:sz w:val="24"/>
          <w:szCs w:val="24"/>
        </w:rPr>
        <w:t>A Z-Score lo</w:t>
      </w:r>
      <w:r>
        <w:rPr>
          <w:rFonts w:ascii="Times New Roman" w:eastAsia="Times New Roman" w:hAnsi="Times New Roman" w:cs="Times New Roman"/>
          <w:sz w:val="24"/>
          <w:szCs w:val="24"/>
        </w:rPr>
        <w:t>wer than 2.99 is in the “distress zone”, indicating a high likelihood of failure (Altman, 2020). Z score under 3 is bankruptcy risky, GE 2.19.</w:t>
      </w:r>
    </w:p>
    <w:p w14:paraId="1B495AF0"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10" w:name="_2p0ef21pe5ln" w:colFirst="0" w:colLast="0"/>
      <w:bookmarkEnd w:id="10"/>
      <w:r>
        <w:rPr>
          <w:rFonts w:ascii="Times New Roman" w:eastAsia="Times New Roman" w:hAnsi="Times New Roman" w:cs="Times New Roman"/>
          <w:b/>
          <w:bCs/>
          <w:color w:val="000000"/>
          <w:sz w:val="24"/>
          <w:szCs w:val="24"/>
        </w:rPr>
        <w:t>1.10 Summary of Strengths, Weaknesses &amp; Risks</w:t>
      </w:r>
    </w:p>
    <w:p w14:paraId="68327683" w14:textId="77777777" w:rsidR="00803B40" w:rsidRDefault="00075786">
      <w:pPr>
        <w:spacing w:before="240" w:after="24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Strengths:</w:t>
      </w:r>
    </w:p>
    <w:p w14:paraId="72F96ACF" w14:textId="77777777" w:rsidR="00803B40" w:rsidRDefault="00075786">
      <w:pPr>
        <w:numPr>
          <w:ilvl w:val="0"/>
          <w:numId w:val="12"/>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Liquidity average (Current ratio 1.53).</w:t>
      </w:r>
    </w:p>
    <w:p w14:paraId="658384A1" w14:textId="77777777" w:rsidR="00803B40" w:rsidRDefault="00075786">
      <w:pPr>
        <w:numPr>
          <w:ilvl w:val="0"/>
          <w:numId w:val="12"/>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Operating cash flow is positive, despite losses.</w:t>
      </w:r>
    </w:p>
    <w:p w14:paraId="0183F0E1" w14:textId="77777777" w:rsidR="00803B40" w:rsidRDefault="00075786">
      <w:pPr>
        <w:spacing w:before="240" w:after="24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Weaknesses:</w:t>
      </w:r>
    </w:p>
    <w:p w14:paraId="3DBC99CA" w14:textId="77777777" w:rsidR="00803B40" w:rsidRDefault="00075786">
      <w:pPr>
        <w:numPr>
          <w:ilvl w:val="0"/>
          <w:numId w:val="2"/>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Deterioration in substantial revenue and profit.</w:t>
      </w:r>
    </w:p>
    <w:p w14:paraId="0764C11D" w14:textId="77777777" w:rsidR="00803B40" w:rsidRDefault="0007578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Negative net income in 2023–2024.</w:t>
      </w:r>
    </w:p>
    <w:p w14:paraId="3F513599" w14:textId="77777777" w:rsidR="00803B40" w:rsidRDefault="00075786">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High days inventory and receivable, cash conversion is slow.</w:t>
      </w:r>
    </w:p>
    <w:p w14:paraId="29821409" w14:textId="77777777" w:rsidR="00803B40" w:rsidRDefault="00075786">
      <w:pPr>
        <w:numPr>
          <w:ilvl w:val="0"/>
          <w:numId w:val="2"/>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Eroded asset and negative base, declining with equity.</w:t>
      </w:r>
    </w:p>
    <w:p w14:paraId="7E4774DB" w14:textId="77777777" w:rsidR="00803B40" w:rsidRDefault="00075786">
      <w:pPr>
        <w:spacing w:before="240" w:after="24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Risks:</w:t>
      </w:r>
    </w:p>
    <w:p w14:paraId="165B02BA" w14:textId="77777777" w:rsidR="00803B40" w:rsidRDefault="00075786">
      <w:pPr>
        <w:numPr>
          <w:ilvl w:val="0"/>
          <w:numId w:val="6"/>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A high probability of bankruptcy exist (Z = 2.19).</w:t>
      </w:r>
    </w:p>
    <w:p w14:paraId="3C845524" w14:textId="77777777" w:rsidR="00803B40" w:rsidRDefault="00075786">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Reliance on debt financing.</w:t>
      </w:r>
    </w:p>
    <w:p w14:paraId="3BC30911" w14:textId="77777777" w:rsidR="00803B40" w:rsidRDefault="00075786">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Weak negative EPS, less attractive for investors.</w:t>
      </w:r>
    </w:p>
    <w:p w14:paraId="443F937D" w14:textId="77777777" w:rsidR="00803B40" w:rsidRDefault="00075786">
      <w:pPr>
        <w:numPr>
          <w:ilvl w:val="0"/>
          <w:numId w:val="6"/>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the losses continue, liquidity will deteriorate.</w:t>
      </w:r>
    </w:p>
    <w:p w14:paraId="5609F2BB" w14:textId="77777777" w:rsidR="00803B40" w:rsidRDefault="00075786">
      <w:pPr>
        <w:pStyle w:val="Heading2"/>
        <w:keepNext w:val="0"/>
        <w:keepLines w:val="0"/>
        <w:spacing w:before="480"/>
        <w:rPr>
          <w:rFonts w:ascii="Times New Roman" w:eastAsia="Times New Roman" w:hAnsi="Times New Roman" w:cs="Times New Roman"/>
          <w:b/>
          <w:bCs/>
          <w:sz w:val="24"/>
          <w:szCs w:val="24"/>
        </w:rPr>
      </w:pPr>
      <w:bookmarkStart w:id="11" w:name="_5pghrgixc0u3" w:colFirst="0" w:colLast="0"/>
      <w:bookmarkEnd w:id="11"/>
      <w:r>
        <w:rPr>
          <w:rFonts w:ascii="Times New Roman" w:eastAsia="Times New Roman" w:hAnsi="Times New Roman" w:cs="Times New Roman"/>
          <w:b/>
          <w:bCs/>
          <w:sz w:val="24"/>
          <w:szCs w:val="24"/>
        </w:rPr>
        <w:t>2. Working Capital Management Analysis</w:t>
      </w:r>
    </w:p>
    <w:p w14:paraId="56B1E558" w14:textId="77777777" w:rsidR="00803B40" w:rsidRDefault="00075786">
      <w:pPr>
        <w:pStyle w:val="Heading3"/>
        <w:keepNext w:val="0"/>
        <w:keepLines w:val="0"/>
        <w:rPr>
          <w:rFonts w:ascii="Times New Roman" w:eastAsia="Times New Roman" w:hAnsi="Times New Roman" w:cs="Times New Roman"/>
          <w:b/>
          <w:bCs/>
          <w:color w:val="000000"/>
          <w:sz w:val="24"/>
          <w:szCs w:val="24"/>
        </w:rPr>
      </w:pPr>
      <w:bookmarkStart w:id="12" w:name="_jdmer1kd8gyh" w:colFirst="0" w:colLast="0"/>
      <w:bookmarkEnd w:id="12"/>
      <w:r>
        <w:rPr>
          <w:rFonts w:ascii="Times New Roman" w:eastAsia="Times New Roman" w:hAnsi="Times New Roman" w:cs="Times New Roman"/>
          <w:b/>
          <w:bCs/>
          <w:color w:val="000000"/>
          <w:sz w:val="24"/>
          <w:szCs w:val="24"/>
        </w:rPr>
        <w:t>2.1 Working Capital Position</w:t>
      </w:r>
    </w:p>
    <w:p w14:paraId="01B85304"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Working capital measures General Electronics’ (GE) solvency. In 2024, GE had total current assets of £242,494m and total current liabilities of £158,291m, giving a positive working capital of £84,203m. While GE maintains a positive working capital indicating sufficient liquidity, this is a weakness relative to previous years’ positive working capital due to declining cash reserves. Declining cash and equivalents from £66,740m in 2022 to £26,783m in 2024, represents a 60% fall, indicating increasing liquidity pressure.</w:t>
      </w:r>
    </w:p>
    <w:p w14:paraId="17555F1A"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Working capital structure is also a concern. It consists of a lot of inventories (£79,355m) and receivables (£114,182m), and still, there are high payable obligations (£72,031m). This indicates </w:t>
      </w:r>
      <w:r>
        <w:rPr>
          <w:rFonts w:ascii="Times New Roman" w:eastAsia="Times New Roman" w:hAnsi="Times New Roman" w:cs="Times New Roman"/>
          <w:sz w:val="24"/>
          <w:szCs w:val="24"/>
        </w:rPr>
        <w:lastRenderedPageBreak/>
        <w:t>that liquidity is tied up in slow moving assets rather than in cash. Studies show that there are distress patterns that firms exhibit, such as having high and rising inventories and receivables related to a downturn in demand and/or poor management of credit (</w:t>
      </w:r>
      <w:proofErr w:type="spellStart"/>
      <w:r>
        <w:rPr>
          <w:rFonts w:ascii="Times New Roman" w:eastAsia="Times New Roman" w:hAnsi="Times New Roman" w:cs="Times New Roman"/>
          <w:sz w:val="24"/>
          <w:szCs w:val="24"/>
        </w:rPr>
        <w:t>Brealey</w:t>
      </w:r>
      <w:proofErr w:type="spellEnd"/>
      <w:r>
        <w:rPr>
          <w:rFonts w:ascii="Times New Roman" w:eastAsia="Times New Roman" w:hAnsi="Times New Roman" w:cs="Times New Roman"/>
          <w:sz w:val="24"/>
          <w:szCs w:val="24"/>
        </w:rPr>
        <w:t xml:space="preserve"> et al, 2022). Yes there is a current ratio of 1.53 which implies there is some short term solvency, but also a quickly declining quick ratio of 1.03 in 2024 which is concerning in that it indicates a high reliance on inventory turnover to provide liquidity.  </w:t>
      </w:r>
    </w:p>
    <w:p w14:paraId="412E2717" w14:textId="77777777" w:rsidR="00803B40" w:rsidRDefault="00075786">
      <w:pPr>
        <w:pStyle w:val="Heading3"/>
        <w:keepNext w:val="0"/>
        <w:keepLines w:val="0"/>
        <w:rPr>
          <w:rFonts w:ascii="Times New Roman" w:eastAsia="Times New Roman" w:hAnsi="Times New Roman" w:cs="Times New Roman"/>
          <w:b/>
          <w:bCs/>
          <w:color w:val="000000"/>
          <w:sz w:val="24"/>
          <w:szCs w:val="24"/>
        </w:rPr>
      </w:pPr>
      <w:bookmarkStart w:id="13" w:name="_65d44ye05ig0" w:colFirst="0" w:colLast="0"/>
      <w:bookmarkEnd w:id="13"/>
      <w:r>
        <w:rPr>
          <w:rFonts w:ascii="Times New Roman" w:eastAsia="Times New Roman" w:hAnsi="Times New Roman" w:cs="Times New Roman"/>
          <w:b/>
          <w:bCs/>
          <w:color w:val="000000"/>
          <w:sz w:val="24"/>
          <w:szCs w:val="24"/>
        </w:rPr>
        <w:t>2.2 Cash Conversion Cycle (CCC)</w:t>
      </w:r>
    </w:p>
    <w:p w14:paraId="229E6224"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cash conversion cycle measures how efficiently (or inefficiently, as the case is becoming) GE is in turning its working capital into cash. A rising CCC means that cash from operations is being generated at a slower rate, if at all, and that more money is needed to be put into the operations.</w:t>
      </w:r>
    </w:p>
    <w:p w14:paraId="3127CF2D" w14:textId="77777777" w:rsidR="00803B40" w:rsidRDefault="00075786">
      <w:pPr>
        <w:pStyle w:val="Heading4"/>
        <w:keepNext w:val="0"/>
        <w:keepLines w:val="0"/>
        <w:rPr>
          <w:rFonts w:ascii="Times New Roman" w:eastAsia="Times New Roman" w:hAnsi="Times New Roman" w:cs="Times New Roman"/>
          <w:b/>
          <w:bCs/>
          <w:color w:val="000000"/>
        </w:rPr>
      </w:pPr>
      <w:bookmarkStart w:id="14" w:name="_srtbwgaw6sgx" w:colFirst="0" w:colLast="0"/>
      <w:bookmarkEnd w:id="14"/>
      <w:r>
        <w:rPr>
          <w:rFonts w:ascii="Times New Roman" w:eastAsia="Times New Roman" w:hAnsi="Times New Roman" w:cs="Times New Roman"/>
          <w:b/>
          <w:bCs/>
          <w:color w:val="000000"/>
        </w:rPr>
        <w:t>2.2.1 Inventory Days</w:t>
      </w:r>
    </w:p>
    <w:tbl>
      <w:tblPr>
        <w:tblStyle w:val="a4"/>
        <w:tblW w:w="63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0"/>
        <w:gridCol w:w="1790"/>
        <w:gridCol w:w="2075"/>
        <w:gridCol w:w="1805"/>
      </w:tblGrid>
      <w:tr w:rsidR="00803B40" w14:paraId="795860B9" w14:textId="77777777">
        <w:trPr>
          <w:trHeight w:val="500"/>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43D1D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Year</w:t>
            </w:r>
          </w:p>
        </w:tc>
        <w:tc>
          <w:tcPr>
            <w:tcW w:w="1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D6969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Inventory (£m)</w:t>
            </w:r>
          </w:p>
        </w:tc>
        <w:tc>
          <w:tcPr>
            <w:tcW w:w="2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C55D5"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Cost of Sales (£m)</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559596"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Inventory Days</w:t>
            </w:r>
          </w:p>
        </w:tc>
      </w:tr>
      <w:tr w:rsidR="00803B40" w14:paraId="3CA371B4" w14:textId="77777777">
        <w:trPr>
          <w:trHeight w:val="500"/>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3931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2024</w:t>
            </w:r>
          </w:p>
        </w:tc>
        <w:tc>
          <w:tcPr>
            <w:tcW w:w="1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FADC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79,355</w:t>
            </w:r>
          </w:p>
        </w:tc>
        <w:tc>
          <w:tcPr>
            <w:tcW w:w="2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A9A65E"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280,885</w:t>
            </w:r>
          </w:p>
        </w:tc>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605B8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103 days</w:t>
            </w:r>
          </w:p>
        </w:tc>
      </w:tr>
    </w:tbl>
    <w:p w14:paraId="654DDA4F"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Compared to the previous year, there has been a significantly greater increase in the number of inventory days indicating slower stock turnover. This excessive inventory is using up cash and also increasing holding costs, thus reducing liquidity. This, </w:t>
      </w:r>
      <w:proofErr w:type="spellStart"/>
      <w:r>
        <w:rPr>
          <w:rFonts w:ascii="Times New Roman" w:eastAsia="Times New Roman" w:hAnsi="Times New Roman" w:cs="Times New Roman"/>
          <w:sz w:val="24"/>
          <w:szCs w:val="24"/>
        </w:rPr>
        <w:t>Damodaran</w:t>
      </w:r>
      <w:proofErr w:type="spellEnd"/>
      <w:r>
        <w:rPr>
          <w:rFonts w:ascii="Times New Roman" w:eastAsia="Times New Roman" w:hAnsi="Times New Roman" w:cs="Times New Roman"/>
          <w:sz w:val="24"/>
          <w:szCs w:val="24"/>
        </w:rPr>
        <w:t xml:space="preserve"> (2023) posits, is characteristic of firms in the electronic sector where there is high demand uncertainty. An increase in the number of inventory days makes it harder for the firm to adjust to changes in the market, and also causes increased working capital in the business.</w:t>
      </w:r>
    </w:p>
    <w:p w14:paraId="76BCF352" w14:textId="77777777" w:rsidR="00803B40" w:rsidRDefault="00075786">
      <w:pPr>
        <w:pStyle w:val="Heading4"/>
        <w:keepNext w:val="0"/>
        <w:keepLines w:val="0"/>
        <w:rPr>
          <w:rFonts w:ascii="Times New Roman" w:eastAsia="Times New Roman" w:hAnsi="Times New Roman" w:cs="Times New Roman"/>
          <w:b/>
          <w:bCs/>
          <w:color w:val="000000"/>
        </w:rPr>
      </w:pPr>
      <w:bookmarkStart w:id="15" w:name="_u9yhr06cmzuh" w:colFirst="0" w:colLast="0"/>
      <w:bookmarkEnd w:id="15"/>
      <w:r>
        <w:rPr>
          <w:rFonts w:ascii="Times New Roman" w:eastAsia="Times New Roman" w:hAnsi="Times New Roman" w:cs="Times New Roman"/>
          <w:b/>
          <w:bCs/>
          <w:color w:val="000000"/>
        </w:rPr>
        <w:t>2.2.2 Receivables Days</w:t>
      </w:r>
    </w:p>
    <w:tbl>
      <w:tblPr>
        <w:tblStyle w:val="a5"/>
        <w:tblW w:w="597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0"/>
        <w:gridCol w:w="1970"/>
        <w:gridCol w:w="1295"/>
        <w:gridCol w:w="2000"/>
      </w:tblGrid>
      <w:tr w:rsidR="00803B40" w14:paraId="5DDD91CE" w14:textId="77777777">
        <w:trPr>
          <w:trHeight w:val="500"/>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CF7CD6"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Year</w:t>
            </w:r>
          </w:p>
        </w:tc>
        <w:tc>
          <w:tcPr>
            <w:tcW w:w="1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F4F4BC"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Receivables (£m)</w:t>
            </w:r>
          </w:p>
        </w:tc>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5DA5B7"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Sales (£m)</w:t>
            </w:r>
          </w:p>
        </w:tc>
        <w:tc>
          <w:tcPr>
            <w:tcW w:w="2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AB3A04"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Receivables Days</w:t>
            </w:r>
          </w:p>
        </w:tc>
      </w:tr>
      <w:tr w:rsidR="00803B40" w14:paraId="5005F4AF" w14:textId="77777777">
        <w:trPr>
          <w:trHeight w:val="500"/>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2F6A53"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2024</w:t>
            </w:r>
          </w:p>
        </w:tc>
        <w:tc>
          <w:tcPr>
            <w:tcW w:w="1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0EA780"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114,182</w:t>
            </w:r>
          </w:p>
        </w:tc>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3CBFE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394,879</w:t>
            </w:r>
          </w:p>
        </w:tc>
        <w:tc>
          <w:tcPr>
            <w:tcW w:w="2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9BCCA1"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105 days</w:t>
            </w:r>
          </w:p>
        </w:tc>
      </w:tr>
    </w:tbl>
    <w:p w14:paraId="0F88C042"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days have passed for accounts receivable. This may suggest less stringent credit control and slow customer payments. With accounts receivable accounting for almost 30% of current assets, delays in collection worsen the liquidity situation. Brigham and </w:t>
      </w:r>
      <w:proofErr w:type="spellStart"/>
      <w:r>
        <w:rPr>
          <w:rFonts w:ascii="Times New Roman" w:eastAsia="Times New Roman" w:hAnsi="Times New Roman" w:cs="Times New Roman"/>
          <w:sz w:val="24"/>
          <w:szCs w:val="24"/>
        </w:rPr>
        <w:t>Ehrhardt</w:t>
      </w:r>
      <w:proofErr w:type="spellEnd"/>
      <w:r>
        <w:rPr>
          <w:rFonts w:ascii="Times New Roman" w:eastAsia="Times New Roman" w:hAnsi="Times New Roman" w:cs="Times New Roman"/>
          <w:sz w:val="24"/>
          <w:szCs w:val="24"/>
        </w:rPr>
        <w:t xml:space="preserve"> (2022) argue that longer the receivable collection period, the higher the credit risk, and the less the liquidity for operational spending, the more detrimental it becomes for financially distressed companies.</w:t>
      </w:r>
    </w:p>
    <w:p w14:paraId="0C445FEC" w14:textId="77777777" w:rsidR="00803B40" w:rsidRDefault="00075786">
      <w:pPr>
        <w:pStyle w:val="Heading4"/>
        <w:keepNext w:val="0"/>
        <w:keepLines w:val="0"/>
        <w:rPr>
          <w:rFonts w:ascii="Times New Roman" w:eastAsia="Times New Roman" w:hAnsi="Times New Roman" w:cs="Times New Roman"/>
          <w:b/>
          <w:bCs/>
          <w:color w:val="000000"/>
        </w:rPr>
      </w:pPr>
      <w:bookmarkStart w:id="16" w:name="_q7na6k38dsqh" w:colFirst="0" w:colLast="0"/>
      <w:bookmarkEnd w:id="16"/>
      <w:r>
        <w:rPr>
          <w:rFonts w:ascii="Times New Roman" w:eastAsia="Times New Roman" w:hAnsi="Times New Roman" w:cs="Times New Roman"/>
          <w:b/>
          <w:bCs/>
          <w:color w:val="000000"/>
        </w:rPr>
        <w:t>2.2.3 Payables Days</w:t>
      </w:r>
    </w:p>
    <w:tbl>
      <w:tblPr>
        <w:tblStyle w:val="a6"/>
        <w:tblW w:w="615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0"/>
        <w:gridCol w:w="1670"/>
        <w:gridCol w:w="2075"/>
        <w:gridCol w:w="1700"/>
      </w:tblGrid>
      <w:tr w:rsidR="00803B40" w14:paraId="42D5A3D3" w14:textId="77777777">
        <w:trPr>
          <w:trHeight w:val="500"/>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20A033"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Year</w:t>
            </w:r>
          </w:p>
        </w:tc>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AE989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Payables (£m)</w:t>
            </w:r>
          </w:p>
        </w:tc>
        <w:tc>
          <w:tcPr>
            <w:tcW w:w="2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20F7C7"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Cost of Sales (£m)</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E711A"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Payables Days</w:t>
            </w:r>
          </w:p>
        </w:tc>
      </w:tr>
      <w:tr w:rsidR="00803B40" w14:paraId="6A388F1C" w14:textId="77777777">
        <w:trPr>
          <w:trHeight w:val="500"/>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AA408"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2024</w:t>
            </w:r>
          </w:p>
        </w:tc>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737A3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72,031</w:t>
            </w:r>
          </w:p>
        </w:tc>
        <w:tc>
          <w:tcPr>
            <w:tcW w:w="2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25138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280,885</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B2A0A"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94 days</w:t>
            </w:r>
          </w:p>
        </w:tc>
      </w:tr>
    </w:tbl>
    <w:p w14:paraId="16D70EF9" w14:textId="77777777" w:rsidR="00803B40" w:rsidRDefault="00075786" w:rsidP="00B739D3">
      <w:pPr>
        <w:spacing w:before="240" w:after="24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 has high payable days, meaning it takes them a while to pay their suppliers. This is beneficial for them in the short run as it provides liquidity. However, there is a risk of upsetting the suppliers and disrupting the supply chain if this is done too often. The literature highlights that this kind of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is a red flag for working capital difficulties (Ross et al, 2021); this is especially the case with a complete set of accounts.</w:t>
      </w:r>
    </w:p>
    <w:p w14:paraId="53662C37"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CCC Interpretation</w:t>
      </w:r>
    </w:p>
    <w:p w14:paraId="11BB17F2"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CCC = Inventory Days + Receivable Days – Payable Days</w:t>
      </w:r>
      <w:r>
        <w:rPr>
          <w:rFonts w:ascii="Times New Roman" w:eastAsia="Times New Roman" w:hAnsi="Times New Roman" w:cs="Times New Roman"/>
          <w:sz w:val="24"/>
          <w:szCs w:val="24"/>
        </w:rPr>
        <w:br/>
        <w:t xml:space="preserve"> CCC = 103 + 105 – 94 = 114 days</w:t>
      </w:r>
    </w:p>
    <w:p w14:paraId="519249D9"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114-day cycle means GE takes close to four months to turn investments in working capital to cash. This lag cycle heightens the risk of finance.</w:t>
      </w:r>
    </w:p>
    <w:p w14:paraId="7427E6BE"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17" w:name="_e1u96qwdtk1m" w:colFirst="0" w:colLast="0"/>
      <w:bookmarkEnd w:id="17"/>
      <w:r>
        <w:rPr>
          <w:rFonts w:ascii="Times New Roman" w:eastAsia="Times New Roman" w:hAnsi="Times New Roman" w:cs="Times New Roman"/>
          <w:b/>
          <w:bCs/>
          <w:color w:val="000000"/>
          <w:sz w:val="24"/>
          <w:szCs w:val="24"/>
        </w:rPr>
        <w:t>2.3 Working Capital Efficiency Issues</w:t>
      </w:r>
    </w:p>
    <w:p w14:paraId="39CBE9DB"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 Electronics (GE) has a set of working capital efficiency issues, which arise from the chronic operational inefficiencies and the declining performance of the cash conversion cycle. The 2024 Cash Conversion Cycle (CCC) is 114 days, with a significant portion of that attributed to excessive inventory days (103) and receivable days (105), which severely restricts the pace at which resources are converted into cash. This indicates that a significant portion of capital resource at GE is </w:t>
      </w:r>
      <w:proofErr w:type="spellStart"/>
      <w:r>
        <w:rPr>
          <w:rFonts w:ascii="Times New Roman" w:eastAsia="Times New Roman" w:hAnsi="Times New Roman" w:cs="Times New Roman"/>
          <w:sz w:val="24"/>
          <w:szCs w:val="24"/>
        </w:rPr>
        <w:t>selffl</w:t>
      </w:r>
      <w:proofErr w:type="spellEnd"/>
      <w:r>
        <w:rPr>
          <w:rFonts w:ascii="Times New Roman" w:eastAsia="Times New Roman" w:hAnsi="Times New Roman" w:cs="Times New Roman"/>
          <w:sz w:val="24"/>
          <w:szCs w:val="24"/>
        </w:rPr>
        <w:t xml:space="preserve"> 23#</w:t>
      </w:r>
      <w:proofErr w:type="spellStart"/>
      <w:r>
        <w:rPr>
          <w:rFonts w:ascii="Times New Roman" w:eastAsia="Times New Roman" w:hAnsi="Times New Roman" w:cs="Times New Roman"/>
          <w:sz w:val="24"/>
          <w:szCs w:val="24"/>
        </w:rPr>
        <w:t>22bmric5</w:t>
      </w:r>
      <w:proofErr w:type="spellEnd"/>
      <w:r>
        <w:rPr>
          <w:rFonts w:ascii="Times New Roman" w:eastAsia="Times New Roman" w:hAnsi="Times New Roman" w:cs="Times New Roman"/>
          <w:sz w:val="24"/>
          <w:szCs w:val="24"/>
        </w:rPr>
        <w:t xml:space="preserve"> v1 s%  short-term  financed.</w:t>
      </w:r>
    </w:p>
    <w:p w14:paraId="5ED74083"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concern of carrying stock inefficiencies in the inventory system has resulted in unsold stock piling that correlates with a decrease in sales. Assessing the level of stock held suggests there may be a lack of understanding in forecasting sales demand as there may have been an overproduction. This problem is further highlighted as, in the electronics sector of the company, stock holding costs relate to the quick cycle of turnover in inventory </w:t>
      </w:r>
      <w:proofErr w:type="spellStart"/>
      <w:r>
        <w:rPr>
          <w:rFonts w:ascii="Times New Roman" w:eastAsia="Times New Roman" w:hAnsi="Times New Roman" w:cs="Times New Roman"/>
          <w:sz w:val="24"/>
          <w:szCs w:val="24"/>
        </w:rPr>
        <w:t>Damodaran</w:t>
      </w:r>
      <w:proofErr w:type="spellEnd"/>
      <w:r>
        <w:rPr>
          <w:rFonts w:ascii="Times New Roman" w:eastAsia="Times New Roman" w:hAnsi="Times New Roman" w:cs="Times New Roman"/>
          <w:sz w:val="24"/>
          <w:szCs w:val="24"/>
        </w:rPr>
        <w:t xml:space="preserve">, (2023).  </w:t>
      </w:r>
    </w:p>
    <w:p w14:paraId="02D2C626"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problem area is the level of unsold stock. Receivables amounting to £114,818 currently stand at approximately 30 % of the current asset base compared to the 105-day average collection period. This is indicative of a soft collection policy. To help keep sales flow stabilized, distressed firms tend to provide end customers with soft collection policies (Brigham and </w:t>
      </w:r>
      <w:proofErr w:type="spellStart"/>
      <w:r>
        <w:rPr>
          <w:rFonts w:ascii="Times New Roman" w:eastAsia="Times New Roman" w:hAnsi="Times New Roman" w:cs="Times New Roman"/>
          <w:sz w:val="24"/>
          <w:szCs w:val="24"/>
        </w:rPr>
        <w:t>Ehrhardt</w:t>
      </w:r>
      <w:proofErr w:type="spellEnd"/>
      <w:r>
        <w:rPr>
          <w:rFonts w:ascii="Times New Roman" w:eastAsia="Times New Roman" w:hAnsi="Times New Roman" w:cs="Times New Roman"/>
          <w:sz w:val="24"/>
          <w:szCs w:val="24"/>
        </w:rPr>
        <w:t xml:space="preserve">, 2022). This only increases liquidity disequilibrium.  </w:t>
      </w:r>
    </w:p>
    <w:p w14:paraId="3811129C" w14:textId="021C261D"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94-day average period spend on payables is an indicator that the company is needing to slow supplier payments to counterbalance the cash flow inflow deficit that is highlighted in the cash flow cycle which is inherent in operational distress. Excessive payables delay, as cash flow distress symptoms, is not an ideal scenario as it can damage supplier relationships continuity (Ross et al., 2021).there is a large amount of working capital tied in stock and receivables, alongside an increasing reliance on extended supplier payments. This has a collective effect of increasing operational risk, due to the underlying loss of working capital, and hence, cash liquidity imbalance in GE.</w:t>
      </w:r>
    </w:p>
    <w:p w14:paraId="0203B8AD"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18" w:name="_a8wsleu510r1" w:colFirst="0" w:colLast="0"/>
      <w:bookmarkEnd w:id="18"/>
      <w:r>
        <w:rPr>
          <w:rFonts w:ascii="Times New Roman" w:eastAsia="Times New Roman" w:hAnsi="Times New Roman" w:cs="Times New Roman"/>
          <w:b/>
          <w:bCs/>
          <w:color w:val="000000"/>
          <w:sz w:val="24"/>
          <w:szCs w:val="24"/>
        </w:rPr>
        <w:t>2.4 Liquidity Improvement Strategies</w:t>
      </w:r>
    </w:p>
    <w:p w14:paraId="63D07BB1"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improve liquidity, GE must look to the inefficiencies within working capital:</w:t>
      </w:r>
    </w:p>
    <w:p w14:paraId="50263402"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 Reduce Inventory Levels</w:t>
      </w:r>
    </w:p>
    <w:p w14:paraId="64A6011F"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Implementing JIT, improving forecasting, and product </w:t>
      </w:r>
      <w:proofErr w:type="spellStart"/>
      <w:r>
        <w:rPr>
          <w:rFonts w:ascii="Times New Roman" w:eastAsia="Times New Roman" w:hAnsi="Times New Roman" w:cs="Times New Roman"/>
          <w:sz w:val="24"/>
          <w:szCs w:val="24"/>
        </w:rPr>
        <w:t>rationalisation</w:t>
      </w:r>
      <w:proofErr w:type="spellEnd"/>
      <w:r>
        <w:rPr>
          <w:rFonts w:ascii="Times New Roman" w:eastAsia="Times New Roman" w:hAnsi="Times New Roman" w:cs="Times New Roman"/>
          <w:sz w:val="24"/>
          <w:szCs w:val="24"/>
        </w:rPr>
        <w:t xml:space="preserve"> decrease inventory turn. Lean systems improve liquidity position by reducing carrying costs (</w:t>
      </w:r>
      <w:proofErr w:type="spellStart"/>
      <w:r>
        <w:rPr>
          <w:rFonts w:ascii="Times New Roman" w:eastAsia="Times New Roman" w:hAnsi="Times New Roman" w:cs="Times New Roman"/>
          <w:sz w:val="24"/>
          <w:szCs w:val="24"/>
        </w:rPr>
        <w:t>Brealey</w:t>
      </w:r>
      <w:proofErr w:type="spellEnd"/>
      <w:r>
        <w:rPr>
          <w:rFonts w:ascii="Times New Roman" w:eastAsia="Times New Roman" w:hAnsi="Times New Roman" w:cs="Times New Roman"/>
          <w:sz w:val="24"/>
          <w:szCs w:val="24"/>
        </w:rPr>
        <w:t xml:space="preserve"> et al., 2022).</w:t>
      </w:r>
    </w:p>
    <w:p w14:paraId="4F85FEA4"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 Strengthen Receivables Collection</w:t>
      </w:r>
    </w:p>
    <w:p w14:paraId="6286C77F"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reduction of 10–15 days in receivable days has the potential to improve cash position greatly. GE can achieve this by tightening credit policies, early payment discounts, and invoice automation.</w:t>
      </w:r>
    </w:p>
    <w:p w14:paraId="67A03EE2" w14:textId="77777777" w:rsidR="00803B40" w:rsidRDefault="00075786">
      <w:pPr>
        <w:spacing w:before="28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3. </w:t>
      </w:r>
      <w:proofErr w:type="spellStart"/>
      <w:r>
        <w:rPr>
          <w:rFonts w:ascii="Times New Roman" w:eastAsia="Times New Roman" w:hAnsi="Times New Roman" w:cs="Times New Roman"/>
          <w:b/>
          <w:bCs/>
          <w:sz w:val="24"/>
          <w:szCs w:val="24"/>
        </w:rPr>
        <w:t>Optimise</w:t>
      </w:r>
      <w:proofErr w:type="spellEnd"/>
      <w:r>
        <w:rPr>
          <w:rFonts w:ascii="Times New Roman" w:eastAsia="Times New Roman" w:hAnsi="Times New Roman" w:cs="Times New Roman"/>
          <w:b/>
          <w:bCs/>
          <w:sz w:val="24"/>
          <w:szCs w:val="24"/>
        </w:rPr>
        <w:t xml:space="preserve"> Payables Strategy</w:t>
      </w:r>
    </w:p>
    <w:p w14:paraId="09994596"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Liquidity is of greater importance, so while GE should not rely on extended payment terms, the use of payables as a means of liquidity is an acceptable tool. There can be risk-appropriate partnerships with strategically important suppliers to ensure availability of the supply.</w:t>
      </w:r>
    </w:p>
    <w:p w14:paraId="580F4B08"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 Improve Cash Forecasting</w:t>
      </w:r>
    </w:p>
    <w:p w14:paraId="5DBE4CF1"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Emergency financing reliance can be reduced by having a rolling cash flow forecast on hand to predict deficits rather than being reactive to them.</w:t>
      </w:r>
    </w:p>
    <w:p w14:paraId="689AADFD" w14:textId="77777777" w:rsidR="00803B40" w:rsidRDefault="00075786">
      <w:pPr>
        <w:spacing w:before="28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 Divest Non-core Working Capital Assets</w:t>
      </w:r>
    </w:p>
    <w:p w14:paraId="1111A718"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Immediate cash flows can be generated by divesting of obsolete inventory and/or surplus operational assets.</w:t>
      </w:r>
    </w:p>
    <w:p w14:paraId="6D43F193"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These all contribute towards reducing the CCC and will ultimately slow.</w:t>
      </w:r>
    </w:p>
    <w:p w14:paraId="62977489"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19" w:name="_v3g0rhxp02ie" w:colFirst="0" w:colLast="0"/>
      <w:bookmarkEnd w:id="19"/>
      <w:r>
        <w:rPr>
          <w:rFonts w:ascii="Times New Roman" w:eastAsia="Times New Roman" w:hAnsi="Times New Roman" w:cs="Times New Roman"/>
          <w:b/>
          <w:bCs/>
          <w:color w:val="000000"/>
          <w:sz w:val="24"/>
          <w:szCs w:val="24"/>
        </w:rPr>
        <w:lastRenderedPageBreak/>
        <w:t>2.5 Short-Term vs Long-Term Financing Options</w:t>
      </w:r>
    </w:p>
    <w:p w14:paraId="675E8768"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Given GE's current situation to underscores the need to exercise prudence in choosing their financing options.</w:t>
      </w:r>
    </w:p>
    <w:p w14:paraId="307D803E"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Short-Term Options</w:t>
      </w:r>
    </w:p>
    <w:p w14:paraId="59AD8DBC"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Short-term funding like trade credit and bank overdrafts is quick and easy to set up and provides a liquidity boost. GE heavily depends on credit line (e.g. £102,193m in 2024) which increases rollover risk and interest obligations. Even though there is a working capital financing gap, they just can't keep borrowing short-term as a long-term strategy (Brigham and </w:t>
      </w:r>
      <w:proofErr w:type="spellStart"/>
      <w:r>
        <w:rPr>
          <w:rFonts w:ascii="Times New Roman" w:eastAsia="Times New Roman" w:hAnsi="Times New Roman" w:cs="Times New Roman"/>
          <w:sz w:val="24"/>
          <w:szCs w:val="24"/>
        </w:rPr>
        <w:t>Ehrhardt</w:t>
      </w:r>
      <w:proofErr w:type="spellEnd"/>
      <w:r>
        <w:rPr>
          <w:rFonts w:ascii="Times New Roman" w:eastAsia="Times New Roman" w:hAnsi="Times New Roman" w:cs="Times New Roman"/>
          <w:sz w:val="24"/>
          <w:szCs w:val="24"/>
        </w:rPr>
        <w:t>, 2022).</w:t>
      </w:r>
    </w:p>
    <w:p w14:paraId="72233C83"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Long-Term Options</w:t>
      </w:r>
    </w:p>
    <w:p w14:paraId="4CD557EA"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the financing options for the long term such as bond issues, loans for the long term, or infusing equity is logically a better option. With equity financing, there is no immediate pressure to repay debt, but ownership is thinner. Long-term debt diffuses the pressure on repayment, but debt can be difficult to come by because GE's financial state is weak and they are in negative earnings territory. Literature says that distressed firms need to be restructured to focus on the long term. The short term needs to no longer be a focus. The strategy that supports that is refinancing (</w:t>
      </w:r>
      <w:proofErr w:type="spellStart"/>
      <w:r>
        <w:rPr>
          <w:rFonts w:ascii="Times New Roman" w:eastAsia="Times New Roman" w:hAnsi="Times New Roman" w:cs="Times New Roman"/>
          <w:sz w:val="24"/>
          <w:szCs w:val="24"/>
        </w:rPr>
        <w:t>Damodaran</w:t>
      </w:r>
      <w:proofErr w:type="spellEnd"/>
      <w:r>
        <w:rPr>
          <w:rFonts w:ascii="Times New Roman" w:eastAsia="Times New Roman" w:hAnsi="Times New Roman" w:cs="Times New Roman"/>
          <w:sz w:val="24"/>
          <w:szCs w:val="24"/>
        </w:rPr>
        <w:t>, 2023).</w:t>
      </w:r>
    </w:p>
    <w:p w14:paraId="2F9A7C42"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Recommendation</w:t>
      </w:r>
    </w:p>
    <w:p w14:paraId="549DB80F"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 is a blend of the two. There is a need to eliminate short-term borrowing by improving working capital to pursue selective long-term financing (e.g. strategic equity investment).</w:t>
      </w:r>
    </w:p>
    <w:p w14:paraId="41AAE740" w14:textId="77777777" w:rsidR="00803B40" w:rsidRDefault="00075786">
      <w:pPr>
        <w:pStyle w:val="Heading2"/>
        <w:spacing w:before="240" w:after="240"/>
        <w:rPr>
          <w:rFonts w:ascii="Times New Roman" w:eastAsia="Times New Roman" w:hAnsi="Times New Roman" w:cs="Times New Roman"/>
          <w:b/>
          <w:bCs/>
          <w:sz w:val="24"/>
          <w:szCs w:val="24"/>
        </w:rPr>
      </w:pPr>
      <w:bookmarkStart w:id="20" w:name="_mzvk0p88w8ct" w:colFirst="0" w:colLast="0"/>
      <w:bookmarkEnd w:id="20"/>
      <w:r>
        <w:rPr>
          <w:rFonts w:ascii="Times New Roman" w:eastAsia="Times New Roman" w:hAnsi="Times New Roman" w:cs="Times New Roman"/>
          <w:b/>
          <w:bCs/>
          <w:sz w:val="24"/>
          <w:szCs w:val="24"/>
        </w:rPr>
        <w:t>3. Strategic Financial Restructuring Plan</w:t>
      </w:r>
    </w:p>
    <w:p w14:paraId="547646E2"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21" w:name="_c6e0766909n3" w:colFirst="0" w:colLast="0"/>
      <w:bookmarkEnd w:id="21"/>
      <w:r>
        <w:rPr>
          <w:rFonts w:ascii="Times New Roman" w:eastAsia="Times New Roman" w:hAnsi="Times New Roman" w:cs="Times New Roman"/>
          <w:b/>
          <w:bCs/>
          <w:color w:val="000000"/>
          <w:sz w:val="24"/>
          <w:szCs w:val="24"/>
        </w:rPr>
        <w:t>3.1 Current Financial Distress Overview</w:t>
      </w:r>
    </w:p>
    <w:p w14:paraId="588A34A0"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General Electronics (GE) is seeing serious issues with the financial loss of funds, a weakening of the liquidity, and the loss of overall company value. Between the years of 2020-2024 the overall income of the company saw a loss over the years of 614,680 to 394,879, and the profits of the company shifted to a loss of 24,029. Losses were </w:t>
      </w:r>
      <w:proofErr w:type="spellStart"/>
      <w:r>
        <w:rPr>
          <w:rFonts w:ascii="Times New Roman" w:eastAsia="Times New Roman" w:hAnsi="Times New Roman" w:cs="Times New Roman"/>
          <w:sz w:val="24"/>
          <w:szCs w:val="24"/>
        </w:rPr>
        <w:t>cuased</w:t>
      </w:r>
      <w:proofErr w:type="spellEnd"/>
      <w:r>
        <w:rPr>
          <w:rFonts w:ascii="Times New Roman" w:eastAsia="Times New Roman" w:hAnsi="Times New Roman" w:cs="Times New Roman"/>
          <w:sz w:val="24"/>
          <w:szCs w:val="24"/>
        </w:rPr>
        <w:t xml:space="preserve"> over the years of 2023-2024. </w:t>
      </w:r>
    </w:p>
    <w:p w14:paraId="4911C6E0"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value of the company having its balance is also going down with a loss of total  \ assets of 510,290, total value of the loss of equity is 63,105, total cash loss is 66,740. Overall loss value of each year is lowering and the company is starting to lose funds to be able to lose more laws. The overall Z score of the company is  2.19, loss to the value of the company which is the </w:t>
      </w:r>
      <w:r>
        <w:rPr>
          <w:rFonts w:ascii="Times New Roman" w:eastAsia="Times New Roman" w:hAnsi="Times New Roman" w:cs="Times New Roman"/>
          <w:sz w:val="24"/>
          <w:szCs w:val="24"/>
        </w:rPr>
        <w:lastRenderedPageBreak/>
        <w:t>total loss of funds by the company, is a sign of more total loss to the company and is a sign of the loss of the value of the company.</w:t>
      </w:r>
    </w:p>
    <w:p w14:paraId="4A0756AB"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risk of this company losses to the debt over equity company. This overall company seeing the loss and debt with the overall operational damages to the value of the overall company and to the working debt. Overall this company is seeing a lot of operational losses and funds.</w:t>
      </w:r>
    </w:p>
    <w:p w14:paraId="1694A90D"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22" w:name="_nziea9nu27xe" w:colFirst="0" w:colLast="0"/>
      <w:bookmarkEnd w:id="22"/>
      <w:r>
        <w:rPr>
          <w:rFonts w:ascii="Times New Roman" w:eastAsia="Times New Roman" w:hAnsi="Times New Roman" w:cs="Times New Roman"/>
          <w:b/>
          <w:bCs/>
          <w:color w:val="000000"/>
          <w:sz w:val="24"/>
          <w:szCs w:val="24"/>
        </w:rPr>
        <w:t>3.2 Financial Restructuring Options</w:t>
      </w:r>
    </w:p>
    <w:p w14:paraId="602623C6" w14:textId="77777777" w:rsidR="00803B40" w:rsidRDefault="00075786">
      <w:pPr>
        <w:pStyle w:val="Heading4"/>
        <w:keepNext w:val="0"/>
        <w:keepLines w:val="0"/>
        <w:rPr>
          <w:rFonts w:ascii="Times New Roman" w:eastAsia="Times New Roman" w:hAnsi="Times New Roman" w:cs="Times New Roman"/>
          <w:b/>
          <w:bCs/>
          <w:color w:val="000000"/>
        </w:rPr>
      </w:pPr>
      <w:bookmarkStart w:id="23" w:name="_bdqdzmw5qfti" w:colFirst="0" w:colLast="0"/>
      <w:bookmarkEnd w:id="23"/>
      <w:r>
        <w:rPr>
          <w:rFonts w:ascii="Times New Roman" w:eastAsia="Times New Roman" w:hAnsi="Times New Roman" w:cs="Times New Roman"/>
          <w:b/>
          <w:bCs/>
          <w:color w:val="000000"/>
        </w:rPr>
        <w:t>3.2.1 Divestiture</w:t>
      </w:r>
    </w:p>
    <w:p w14:paraId="32374AC8"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Liquidity may also be raised by divest</w:t>
      </w:r>
      <w:r>
        <w:rPr>
          <w:rFonts w:ascii="Times New Roman" w:eastAsia="Times New Roman" w:hAnsi="Times New Roman" w:cs="Times New Roman"/>
          <w:sz w:val="24"/>
          <w:szCs w:val="24"/>
          <w:rtl/>
        </w:rPr>
        <w:t>יט</w:t>
      </w:r>
      <w:proofErr w:type="spellStart"/>
      <w:r>
        <w:rPr>
          <w:rFonts w:ascii="Times New Roman" w:eastAsia="Times New Roman" w:hAnsi="Times New Roman" w:cs="Times New Roman"/>
          <w:sz w:val="24"/>
          <w:szCs w:val="24"/>
        </w:rPr>
        <w:t>ure</w:t>
      </w:r>
      <w:proofErr w:type="spellEnd"/>
      <w:r>
        <w:rPr>
          <w:rFonts w:ascii="Times New Roman" w:eastAsia="Times New Roman" w:hAnsi="Times New Roman" w:cs="Times New Roman"/>
          <w:sz w:val="24"/>
          <w:szCs w:val="24"/>
        </w:rPr>
        <w:t xml:space="preserve"> which is the sale of non-strategic or underperforming business units. For example, in the case of GE, divestiture of unprofitable product lines, or of excess manufacturing assets, can be used to relieve capital to bolster cash reserves. As </w:t>
      </w:r>
      <w:proofErr w:type="spellStart"/>
      <w:r>
        <w:rPr>
          <w:rFonts w:ascii="Times New Roman" w:eastAsia="Times New Roman" w:hAnsi="Times New Roman" w:cs="Times New Roman"/>
          <w:sz w:val="24"/>
          <w:szCs w:val="24"/>
        </w:rPr>
        <w:t>Brealey</w:t>
      </w:r>
      <w:proofErr w:type="spellEnd"/>
      <w:r>
        <w:rPr>
          <w:rFonts w:ascii="Times New Roman" w:eastAsia="Times New Roman" w:hAnsi="Times New Roman" w:cs="Times New Roman"/>
          <w:sz w:val="24"/>
          <w:szCs w:val="24"/>
        </w:rPr>
        <w:t xml:space="preserve"> et al (2022) explain, the effect of divestitures is to improve focus and, consequently, operational efficiency of the distressed firm. The proceeds may also be used to finance the repayment of some short-term debt and, thereby, </w:t>
      </w:r>
      <w:proofErr w:type="spellStart"/>
      <w:r>
        <w:rPr>
          <w:rFonts w:ascii="Times New Roman" w:eastAsia="Times New Roman" w:hAnsi="Times New Roman" w:cs="Times New Roman"/>
          <w:sz w:val="24"/>
          <w:szCs w:val="24"/>
        </w:rPr>
        <w:t>stabilise</w:t>
      </w:r>
      <w:proofErr w:type="spellEnd"/>
      <w:r>
        <w:rPr>
          <w:rFonts w:ascii="Times New Roman" w:eastAsia="Times New Roman" w:hAnsi="Times New Roman" w:cs="Times New Roman"/>
          <w:sz w:val="24"/>
          <w:szCs w:val="24"/>
        </w:rPr>
        <w:t xml:space="preserve"> liquidity.</w:t>
      </w:r>
    </w:p>
    <w:p w14:paraId="0E3CAB0F" w14:textId="77777777" w:rsidR="00803B40" w:rsidRDefault="00075786">
      <w:pPr>
        <w:pStyle w:val="Heading4"/>
        <w:keepNext w:val="0"/>
        <w:keepLines w:val="0"/>
        <w:rPr>
          <w:rFonts w:ascii="Times New Roman" w:eastAsia="Times New Roman" w:hAnsi="Times New Roman" w:cs="Times New Roman"/>
          <w:b/>
          <w:bCs/>
          <w:color w:val="000000"/>
        </w:rPr>
      </w:pPr>
      <w:bookmarkStart w:id="24" w:name="_ie62pi2r1gcb" w:colFirst="0" w:colLast="0"/>
      <w:bookmarkEnd w:id="24"/>
      <w:r>
        <w:rPr>
          <w:rFonts w:ascii="Times New Roman" w:eastAsia="Times New Roman" w:hAnsi="Times New Roman" w:cs="Times New Roman"/>
          <w:b/>
          <w:bCs/>
          <w:color w:val="000000"/>
        </w:rPr>
        <w:t>3.2.2 Merger or Acquisition</w:t>
      </w:r>
    </w:p>
    <w:p w14:paraId="487B0E1A"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Merger or Acquisitions (M&amp;A) give GE the potential for a broadened market base, improved economies of scale, and synergy creation. Strengthening partnerships can also provide necessary capital and technological resources. According to </w:t>
      </w:r>
      <w:proofErr w:type="spellStart"/>
      <w:r>
        <w:rPr>
          <w:rFonts w:ascii="Times New Roman" w:eastAsia="Times New Roman" w:hAnsi="Times New Roman" w:cs="Times New Roman"/>
          <w:sz w:val="24"/>
          <w:szCs w:val="24"/>
        </w:rPr>
        <w:t>Damodaran</w:t>
      </w:r>
      <w:proofErr w:type="spellEnd"/>
      <w:r>
        <w:rPr>
          <w:rFonts w:ascii="Times New Roman" w:eastAsia="Times New Roman" w:hAnsi="Times New Roman" w:cs="Times New Roman"/>
          <w:sz w:val="24"/>
          <w:szCs w:val="24"/>
        </w:rPr>
        <w:t xml:space="preserve"> (2023), M&amp;A is a turnaround tool, especially in consolidating industries. M&amp;As, however, unlike his peers, GE has weak financials which may entail less transactional bargaining power, in which case, M&amp;A is a turnaround tool for GE. This may, however, mean excessive complexity in negotiating to mitigate loss of shareholder value.</w:t>
      </w:r>
    </w:p>
    <w:p w14:paraId="33D8E95E" w14:textId="77777777" w:rsidR="00803B40" w:rsidRDefault="00075786">
      <w:pPr>
        <w:pStyle w:val="Heading4"/>
        <w:keepNext w:val="0"/>
        <w:keepLines w:val="0"/>
        <w:rPr>
          <w:rFonts w:ascii="Times New Roman" w:eastAsia="Times New Roman" w:hAnsi="Times New Roman" w:cs="Times New Roman"/>
          <w:color w:val="000000"/>
        </w:rPr>
      </w:pPr>
      <w:bookmarkStart w:id="25" w:name="_6z95lue6230v" w:colFirst="0" w:colLast="0"/>
      <w:bookmarkEnd w:id="25"/>
      <w:r>
        <w:rPr>
          <w:rFonts w:ascii="Times New Roman" w:eastAsia="Times New Roman" w:hAnsi="Times New Roman" w:cs="Times New Roman"/>
          <w:b/>
          <w:bCs/>
          <w:color w:val="000000"/>
        </w:rPr>
        <w:t>3.2.3 Equity Injection</w:t>
      </w:r>
    </w:p>
    <w:p w14:paraId="237D8089"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Equity injection, be it through a rights issue, private equity funding, or partnerships with strategic investors, can provide the means to rebuild a capital structure that suffers from over reliance on debt. Increasing equity improves solvency ratios and provides stable funding through debt. (Brigham &amp; </w:t>
      </w:r>
      <w:proofErr w:type="spellStart"/>
      <w:r>
        <w:rPr>
          <w:rFonts w:ascii="Times New Roman" w:eastAsia="Times New Roman" w:hAnsi="Times New Roman" w:cs="Times New Roman"/>
          <w:sz w:val="24"/>
          <w:szCs w:val="24"/>
        </w:rPr>
        <w:t>Ehrhardt</w:t>
      </w:r>
      <w:proofErr w:type="spellEnd"/>
      <w:r>
        <w:rPr>
          <w:rFonts w:ascii="Times New Roman" w:eastAsia="Times New Roman" w:hAnsi="Times New Roman" w:cs="Times New Roman"/>
          <w:sz w:val="24"/>
          <w:szCs w:val="24"/>
        </w:rPr>
        <w:t xml:space="preserve"> 2022) Equity dilution is a necessary evil for the greater good of restoring financial health of the entity. Bringing in adjacent technology sectors strategic investors can help GE gain operational know-how.</w:t>
      </w:r>
    </w:p>
    <w:p w14:paraId="20B8C2E4" w14:textId="77777777" w:rsidR="00803B40" w:rsidRDefault="00075786">
      <w:pPr>
        <w:pStyle w:val="Heading4"/>
        <w:keepNext w:val="0"/>
        <w:keepLines w:val="0"/>
        <w:rPr>
          <w:rFonts w:ascii="Times New Roman" w:eastAsia="Times New Roman" w:hAnsi="Times New Roman" w:cs="Times New Roman"/>
          <w:b/>
          <w:bCs/>
          <w:color w:val="000000"/>
        </w:rPr>
      </w:pPr>
      <w:bookmarkStart w:id="26" w:name="_3eaq8b41mm7g" w:colFirst="0" w:colLast="0"/>
      <w:bookmarkEnd w:id="26"/>
      <w:r>
        <w:rPr>
          <w:rFonts w:ascii="Times New Roman" w:eastAsia="Times New Roman" w:hAnsi="Times New Roman" w:cs="Times New Roman"/>
          <w:b/>
          <w:bCs/>
          <w:color w:val="000000"/>
        </w:rPr>
        <w:t>3.2.4 Debt Restructuring</w:t>
      </w:r>
    </w:p>
    <w:p w14:paraId="6B19645D"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GE’s negative interest coverage along with growing leverage makes debt restructuring necessary. Options such as extending maturities, negotiating interest rate reductions, or debt conversions to equity are available. Future cash-flow optimization is achieved along with risk mitigation for </w:t>
      </w:r>
      <w:r>
        <w:rPr>
          <w:rFonts w:ascii="Times New Roman" w:eastAsia="Times New Roman" w:hAnsi="Times New Roman" w:cs="Times New Roman"/>
          <w:sz w:val="24"/>
          <w:szCs w:val="24"/>
        </w:rPr>
        <w:lastRenderedPageBreak/>
        <w:t>refinancing, in this case. As indicated by Ross et al. (2021), internally generated cash flow for distressed companies improves with restructuring that takes debt obligations streams into consideration. GE would improve short-term financial commitments by restructuring renegotiation of short-term credit lines along with debt consolidation in long-term facilities.</w:t>
      </w:r>
    </w:p>
    <w:p w14:paraId="482C4530"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27" w:name="_fs254sbvybqt" w:colFirst="0" w:colLast="0"/>
      <w:bookmarkEnd w:id="27"/>
      <w:r>
        <w:rPr>
          <w:rFonts w:ascii="Times New Roman" w:eastAsia="Times New Roman" w:hAnsi="Times New Roman" w:cs="Times New Roman"/>
          <w:b/>
          <w:bCs/>
          <w:color w:val="000000"/>
          <w:sz w:val="24"/>
          <w:szCs w:val="24"/>
        </w:rPr>
        <w:t>3.3 Impact on Shareholder Value</w:t>
      </w:r>
    </w:p>
    <w:p w14:paraId="65671096"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restructuring will impact shareholders' value on both a short-term and long-term basis. GE equity will continue to decline over the next few years (-£1.85 in 2024) which means shareholders have value erosion. GE needs to improve profits, liquidity, and overall financial risk in order to make restructuring effective. Some form of restructuring needs to be put in place.</w:t>
      </w:r>
    </w:p>
    <w:p w14:paraId="3DF435A4"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Divestitures may improve shareholder value through the closure of a unit and the more effective allocation of its capital. Studies show divestitures have positive market impact due to increased strategic focus (</w:t>
      </w:r>
      <w:proofErr w:type="spellStart"/>
      <w:r>
        <w:rPr>
          <w:rFonts w:ascii="Times New Roman" w:eastAsia="Times New Roman" w:hAnsi="Times New Roman" w:cs="Times New Roman"/>
          <w:sz w:val="24"/>
          <w:szCs w:val="24"/>
        </w:rPr>
        <w:t>Brealey</w:t>
      </w:r>
      <w:proofErr w:type="spellEnd"/>
      <w:r>
        <w:rPr>
          <w:rFonts w:ascii="Times New Roman" w:eastAsia="Times New Roman" w:hAnsi="Times New Roman" w:cs="Times New Roman"/>
          <w:sz w:val="24"/>
          <w:szCs w:val="24"/>
        </w:rPr>
        <w:t xml:space="preserve"> et. Al., 2022). There will need to be a lot of analysis so to improve value through capital divestitures and not selling off profitable or core assets.</w:t>
      </w:r>
    </w:p>
    <w:p w14:paraId="5CBAA4AD"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Within mergers and acquisitions (M&amp;A) shareholders wealth can be increased through. the positive synergies gained and increased market share. There will be some risk, however of dilution if GE goes in M&amp;A mergers in equity financed mergers (</w:t>
      </w:r>
      <w:proofErr w:type="spellStart"/>
      <w:r>
        <w:rPr>
          <w:rFonts w:ascii="Times New Roman" w:eastAsia="Times New Roman" w:hAnsi="Times New Roman" w:cs="Times New Roman"/>
          <w:sz w:val="24"/>
          <w:szCs w:val="24"/>
        </w:rPr>
        <w:t>Damodoran</w:t>
      </w:r>
      <w:proofErr w:type="spellEnd"/>
      <w:r>
        <w:rPr>
          <w:rFonts w:ascii="Times New Roman" w:eastAsia="Times New Roman" w:hAnsi="Times New Roman" w:cs="Times New Roman"/>
          <w:sz w:val="24"/>
          <w:szCs w:val="24"/>
        </w:rPr>
        <w:t>, 2023).</w:t>
      </w:r>
    </w:p>
    <w:p w14:paraId="7F4C615A"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Positive equity changes should be viewed as an increase of company capital, but it can in turn be viewed as a loss of ownership and lowering the per share value in the short term. Long term value should improve through equity injections increasing the solvency and allowing investment in profitable projects (Brigham &amp; </w:t>
      </w:r>
      <w:proofErr w:type="spellStart"/>
      <w:r>
        <w:rPr>
          <w:rFonts w:ascii="Times New Roman" w:eastAsia="Times New Roman" w:hAnsi="Times New Roman" w:cs="Times New Roman"/>
          <w:sz w:val="24"/>
          <w:szCs w:val="24"/>
        </w:rPr>
        <w:t>Ehrhardt</w:t>
      </w:r>
      <w:proofErr w:type="spellEnd"/>
      <w:r>
        <w:rPr>
          <w:rFonts w:ascii="Times New Roman" w:eastAsia="Times New Roman" w:hAnsi="Times New Roman" w:cs="Times New Roman"/>
          <w:sz w:val="24"/>
          <w:szCs w:val="24"/>
        </w:rPr>
        <w:t>, 2022). There exist improvements in leverage metrics, interest expense, and equity value growth for the long term, due to equity swap debt restructuring for GE.</w:t>
      </w:r>
    </w:p>
    <w:p w14:paraId="303FB81A"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28" w:name="_5ne3nv1vb4" w:colFirst="0" w:colLast="0"/>
      <w:bookmarkEnd w:id="28"/>
      <w:r>
        <w:rPr>
          <w:rFonts w:ascii="Times New Roman" w:eastAsia="Times New Roman" w:hAnsi="Times New Roman" w:cs="Times New Roman"/>
          <w:b/>
          <w:bCs/>
          <w:color w:val="000000"/>
          <w:sz w:val="24"/>
          <w:szCs w:val="24"/>
        </w:rPr>
        <w:t>3.4 Impact on Debt Structure &amp; Capital Structure</w:t>
      </w:r>
    </w:p>
    <w:p w14:paraId="17868168"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GE’s capital structure, which is weak as seen in the metrics of debt to equity ratio of 1.11 and negative interest coverage of 2024, means that restructuring of the these metrics with result in direct improvements in the firm’s solvency, along with the firm’s financial flexibility.</w:t>
      </w:r>
    </w:p>
    <w:p w14:paraId="4C1EBCD1" w14:textId="0328F16E"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Divestitures allow for the generation of cash to retire short term liabilities which improves the debt ratio and reduces refinancing risk. Equity injections increase the equity base and therefore reduces the gearing which enhances creditworthiness. As per the report of Ross et al. (2021), firms with improved capital structures have lower costs associated with borrowing and have more capacity to secure additional financing.Restructuring of debt involves changes to the terms of debt such as extension of maturity, relaxation of covenants, or reduction of interest. Such changes relieve immediate pressure on cash flow and </w:t>
      </w:r>
      <w:proofErr w:type="spellStart"/>
      <w:r>
        <w:rPr>
          <w:rFonts w:ascii="Times New Roman" w:eastAsia="Times New Roman" w:hAnsi="Times New Roman" w:cs="Times New Roman"/>
          <w:sz w:val="24"/>
          <w:szCs w:val="24"/>
        </w:rPr>
        <w:t>stabilise</w:t>
      </w:r>
      <w:proofErr w:type="spellEnd"/>
      <w:r>
        <w:rPr>
          <w:rFonts w:ascii="Times New Roman" w:eastAsia="Times New Roman" w:hAnsi="Times New Roman" w:cs="Times New Roman"/>
          <w:sz w:val="24"/>
          <w:szCs w:val="24"/>
        </w:rPr>
        <w:t xml:space="preserve"> the structure of the capital. The addition of long term debt to the structure of capital rolls over debt and substantively </w:t>
      </w:r>
      <w:proofErr w:type="spellStart"/>
      <w:r>
        <w:rPr>
          <w:rFonts w:ascii="Times New Roman" w:eastAsia="Times New Roman" w:hAnsi="Times New Roman" w:cs="Times New Roman"/>
          <w:sz w:val="24"/>
          <w:szCs w:val="24"/>
        </w:rPr>
        <w:t>stabilises</w:t>
      </w:r>
      <w:proofErr w:type="spellEnd"/>
      <w:r>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lastRenderedPageBreak/>
        <w:t>structure.Depending on the financing method, M&amp;A can alter GE's capital structure - with cash acquisitions, debt leverage increases; with share-swap mergers, debt levels decrease, but shareholder dilution occurs. Therefore, with M&amp;A, the choice of financing is strategic to ensure the capital structure is optimal.</w:t>
      </w:r>
    </w:p>
    <w:p w14:paraId="523E888C"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29" w:name="_xsh5gcd33gj1" w:colFirst="0" w:colLast="0"/>
      <w:bookmarkEnd w:id="29"/>
      <w:r>
        <w:rPr>
          <w:rFonts w:ascii="Times New Roman" w:eastAsia="Times New Roman" w:hAnsi="Times New Roman" w:cs="Times New Roman"/>
          <w:b/>
          <w:bCs/>
          <w:color w:val="000000"/>
          <w:sz w:val="24"/>
          <w:szCs w:val="24"/>
        </w:rPr>
        <w:t>3.5 Impact on Operational Flexibility</w:t>
      </w:r>
    </w:p>
    <w:p w14:paraId="44094EE8"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Operational flexibility—how quick and good a company can make any necessary changes to how much they pay for goods and services, how they allocate their resources, and how much they produce is very necessary for distressed firms like GE. GE’s high levels of inventory, increasing receivable accounts, and a tightening cash position reflects the company’s low levels of flexibility. </w:t>
      </w:r>
    </w:p>
    <w:p w14:paraId="6EC0645E" w14:textId="3B4F72D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Operational flexibility improves with divestiture as it reduces overhead and permits management to concentrate on the more profitable portions of their portfolios. If management has a stagnant cash position, equity injections provide the necessary liquidity to improve technological updating and/or optimizing the supply chain, as well as advancing the firm’s products in the marketplace. Research shows that financially flexible firms respond better to market shocks (</w:t>
      </w:r>
      <w:proofErr w:type="spellStart"/>
      <w:r>
        <w:rPr>
          <w:rFonts w:ascii="Times New Roman" w:eastAsia="Times New Roman" w:hAnsi="Times New Roman" w:cs="Times New Roman"/>
          <w:sz w:val="24"/>
          <w:szCs w:val="24"/>
        </w:rPr>
        <w:t>Brealey</w:t>
      </w:r>
      <w:proofErr w:type="spellEnd"/>
      <w:r>
        <w:rPr>
          <w:rFonts w:ascii="Times New Roman" w:eastAsia="Times New Roman" w:hAnsi="Times New Roman" w:cs="Times New Roman"/>
          <w:sz w:val="24"/>
          <w:szCs w:val="24"/>
        </w:rPr>
        <w:t xml:space="preserve"> et al, 2022).  firm has to reduce its fixed costs, improve its restructuring responsiveness, and improve the competitive position for the long term. </w:t>
      </w:r>
    </w:p>
    <w:p w14:paraId="65D75080" w14:textId="77777777" w:rsidR="00803B40" w:rsidRDefault="00075786">
      <w:pPr>
        <w:pStyle w:val="Heading3"/>
        <w:keepNext w:val="0"/>
        <w:keepLines w:val="0"/>
        <w:spacing w:before="480"/>
        <w:rPr>
          <w:rFonts w:ascii="Times New Roman" w:eastAsia="Times New Roman" w:hAnsi="Times New Roman" w:cs="Times New Roman"/>
          <w:color w:val="000000"/>
          <w:sz w:val="24"/>
          <w:szCs w:val="24"/>
        </w:rPr>
      </w:pPr>
      <w:bookmarkStart w:id="30" w:name="_yx8k778239lv" w:colFirst="0" w:colLast="0"/>
      <w:bookmarkEnd w:id="30"/>
      <w:r>
        <w:rPr>
          <w:rFonts w:ascii="Times New Roman" w:eastAsia="Times New Roman" w:hAnsi="Times New Roman" w:cs="Times New Roman"/>
          <w:b/>
          <w:bCs/>
          <w:color w:val="000000"/>
          <w:sz w:val="24"/>
          <w:szCs w:val="24"/>
        </w:rPr>
        <w:t>3.6 International Considerations</w:t>
      </w:r>
    </w:p>
    <w:p w14:paraId="10381CFD"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GE’s presence in multiple markets means that the financial condition, globally, is also a significant influence on GE’s restructuring.</w:t>
      </w:r>
    </w:p>
    <w:p w14:paraId="53BCCB42" w14:textId="77777777" w:rsidR="00803B40" w:rsidRDefault="00075786">
      <w:pPr>
        <w:pStyle w:val="Heading4"/>
        <w:keepNext w:val="0"/>
        <w:keepLines w:val="0"/>
        <w:rPr>
          <w:rFonts w:ascii="Times New Roman" w:eastAsia="Times New Roman" w:hAnsi="Times New Roman" w:cs="Times New Roman"/>
          <w:b/>
          <w:bCs/>
          <w:color w:val="000000"/>
        </w:rPr>
      </w:pPr>
      <w:bookmarkStart w:id="31" w:name="_97841wcb89xu" w:colFirst="0" w:colLast="0"/>
      <w:bookmarkEnd w:id="31"/>
      <w:r>
        <w:rPr>
          <w:rFonts w:ascii="Times New Roman" w:eastAsia="Times New Roman" w:hAnsi="Times New Roman" w:cs="Times New Roman"/>
          <w:b/>
          <w:bCs/>
          <w:color w:val="000000"/>
        </w:rPr>
        <w:t>3.6.1 Taxation</w:t>
      </w:r>
    </w:p>
    <w:p w14:paraId="0CCE8968"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tax exposure will affect GE’s after-tax profits and restructuring activities. GE restructures/divests and sells assets/crosses borders. These restructures cause capital gains taxes and, tax exit charges, due to divestments. Also, GE loss profited (-£24,029m) 2019, which fully offsets tax shields from tax liabilities in the short term. </w:t>
      </w:r>
      <w:proofErr w:type="spellStart"/>
      <w:r>
        <w:rPr>
          <w:rFonts w:ascii="Times New Roman" w:eastAsia="Times New Roman" w:hAnsi="Times New Roman" w:cs="Times New Roman"/>
          <w:sz w:val="24"/>
          <w:szCs w:val="24"/>
        </w:rPr>
        <w:t>Brealey</w:t>
      </w:r>
      <w:proofErr w:type="spellEnd"/>
      <w:r>
        <w:rPr>
          <w:rFonts w:ascii="Times New Roman" w:eastAsia="Times New Roman" w:hAnsi="Times New Roman" w:cs="Times New Roman"/>
          <w:sz w:val="24"/>
          <w:szCs w:val="24"/>
        </w:rPr>
        <w:t xml:space="preserve"> et al (2022) state loss firms (GE) should employ strategic tax loss </w:t>
      </w:r>
      <w:proofErr w:type="spellStart"/>
      <w:r>
        <w:rPr>
          <w:rFonts w:ascii="Times New Roman" w:eastAsia="Times New Roman" w:hAnsi="Times New Roman" w:cs="Times New Roman"/>
          <w:sz w:val="24"/>
          <w:szCs w:val="24"/>
        </w:rPr>
        <w:t>carryforwards</w:t>
      </w:r>
      <w:proofErr w:type="spellEnd"/>
      <w:r>
        <w:rPr>
          <w:rFonts w:ascii="Times New Roman" w:eastAsia="Times New Roman" w:hAnsi="Times New Roman" w:cs="Times New Roman"/>
          <w:sz w:val="24"/>
          <w:szCs w:val="24"/>
        </w:rPr>
        <w:t xml:space="preserve"> from the loss years to alleviate future tax burdens. Therefore, tax restructuring in these restructures will, minimize international deal-related tax leakages.</w:t>
      </w:r>
    </w:p>
    <w:p w14:paraId="6A7A19DE" w14:textId="77777777" w:rsidR="00803B40" w:rsidRDefault="00075786">
      <w:pPr>
        <w:pStyle w:val="Heading4"/>
        <w:keepNext w:val="0"/>
        <w:keepLines w:val="0"/>
        <w:rPr>
          <w:rFonts w:ascii="Times New Roman" w:eastAsia="Times New Roman" w:hAnsi="Times New Roman" w:cs="Times New Roman"/>
          <w:b/>
          <w:bCs/>
          <w:color w:val="000000"/>
        </w:rPr>
      </w:pPr>
      <w:bookmarkStart w:id="32" w:name="_5oxmpg3pmejg" w:colFirst="0" w:colLast="0"/>
      <w:bookmarkEnd w:id="32"/>
      <w:r>
        <w:rPr>
          <w:rFonts w:ascii="Times New Roman" w:eastAsia="Times New Roman" w:hAnsi="Times New Roman" w:cs="Times New Roman"/>
          <w:b/>
          <w:bCs/>
          <w:color w:val="000000"/>
        </w:rPr>
        <w:t>3.6.2 Currency Risk</w:t>
      </w:r>
    </w:p>
    <w:p w14:paraId="693F579A"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GE’s worldwide income results in concerns about exchange rates. Key market currencies losing value and; translating profits into pounds reduces consolidated revenue and skews the financial performance. GE’s liquidity is already limited due to falling cash reserves (£66,740m 2022; </w:t>
      </w:r>
      <w:r>
        <w:rPr>
          <w:rFonts w:ascii="Times New Roman" w:eastAsia="Times New Roman" w:hAnsi="Times New Roman" w:cs="Times New Roman"/>
          <w:sz w:val="24"/>
          <w:szCs w:val="24"/>
        </w:rPr>
        <w:lastRenderedPageBreak/>
        <w:t xml:space="preserve">£26,783m 2024) which; increases GE’s vulnerability to plummeting foreign cash. Studies show distressed firms lacking credit, face higher costs of hedging (Brigham &amp; </w:t>
      </w:r>
      <w:proofErr w:type="spellStart"/>
      <w:r>
        <w:rPr>
          <w:rFonts w:ascii="Times New Roman" w:eastAsia="Times New Roman" w:hAnsi="Times New Roman" w:cs="Times New Roman"/>
          <w:sz w:val="24"/>
          <w:szCs w:val="24"/>
        </w:rPr>
        <w:t>Ehrhardt</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stabilise</w:t>
      </w:r>
      <w:proofErr w:type="spellEnd"/>
      <w:r>
        <w:rPr>
          <w:rFonts w:ascii="Times New Roman" w:eastAsia="Times New Roman" w:hAnsi="Times New Roman" w:cs="Times New Roman"/>
          <w:sz w:val="24"/>
          <w:szCs w:val="24"/>
        </w:rPr>
        <w:t xml:space="preserve"> cash flows, GE must adopt stronger cash flow hedging, geographically diversify the supply chains, and relocate production to areas with more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currencies.</w:t>
      </w:r>
    </w:p>
    <w:p w14:paraId="3E1095BF" w14:textId="77777777" w:rsidR="00803B40" w:rsidRDefault="00075786">
      <w:pPr>
        <w:pStyle w:val="Heading4"/>
        <w:keepNext w:val="0"/>
        <w:keepLines w:val="0"/>
        <w:rPr>
          <w:rFonts w:ascii="Times New Roman" w:eastAsia="Times New Roman" w:hAnsi="Times New Roman" w:cs="Times New Roman"/>
          <w:b/>
          <w:bCs/>
          <w:color w:val="000000"/>
        </w:rPr>
      </w:pPr>
      <w:bookmarkStart w:id="33" w:name="_v74z4kr7lff3" w:colFirst="0" w:colLast="0"/>
      <w:bookmarkEnd w:id="33"/>
      <w:r>
        <w:rPr>
          <w:rFonts w:ascii="Times New Roman" w:eastAsia="Times New Roman" w:hAnsi="Times New Roman" w:cs="Times New Roman"/>
          <w:b/>
          <w:bCs/>
          <w:color w:val="000000"/>
        </w:rPr>
        <w:t>3.6.3 Inflation Risk</w:t>
      </w:r>
    </w:p>
    <w:p w14:paraId="1D4DA252"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Inflation affecting the globe America inflation in particular—makes it more expensive to build goods, shrinks profit margins, and means more money needs to be available which are all working capital requirements. As costs to produce go up, there are already signs pressure is building on GE's profits. If inflation rises and with it the costs of inputs, companies with the cash flow and debt to equity ratio paralysis (which GE's is 1.11) have increased financial vulnerability (Ross et al., 2021). Thus, changes are needed to the pricing strategy, operational efficiencies, and renegotiation with suppliers.</w:t>
      </w:r>
    </w:p>
    <w:p w14:paraId="4658E6C6" w14:textId="77777777" w:rsidR="00803B40" w:rsidRDefault="00075786">
      <w:pPr>
        <w:pStyle w:val="Heading3"/>
        <w:keepNext w:val="0"/>
        <w:keepLines w:val="0"/>
        <w:spacing w:before="480"/>
        <w:rPr>
          <w:rFonts w:ascii="Times New Roman" w:eastAsia="Times New Roman" w:hAnsi="Times New Roman" w:cs="Times New Roman"/>
          <w:color w:val="000000"/>
          <w:sz w:val="24"/>
          <w:szCs w:val="24"/>
        </w:rPr>
      </w:pPr>
      <w:bookmarkStart w:id="34" w:name="_dqixxc1l0ipw" w:colFirst="0" w:colLast="0"/>
      <w:bookmarkEnd w:id="34"/>
      <w:r>
        <w:rPr>
          <w:rFonts w:ascii="Times New Roman" w:eastAsia="Times New Roman" w:hAnsi="Times New Roman" w:cs="Times New Roman"/>
          <w:b/>
          <w:bCs/>
          <w:color w:val="000000"/>
          <w:sz w:val="24"/>
          <w:szCs w:val="24"/>
        </w:rPr>
        <w:t>3.7 Ethical &amp; CSR Considerations</w:t>
      </w:r>
    </w:p>
    <w:p w14:paraId="5B9A229A"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Changes to business processes must have in mind the business's ongoing ethical position and corporate social responsibilities (CSR), in particular as GE's social footprint of declining workforce and CSR stakeholder trust rest is GE is significant. The closing of a location, divesting of an asset must be done with all the available environmental regulations in mind and environmental regulations must be jumped to meet other business needs. If GE's position and reputation in CSR is to be used to predict the position GE will take to protect the trust of investors, and goodwill from regulators.</w:t>
      </w:r>
    </w:p>
    <w:p w14:paraId="432E64A2"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35" w:name="_ir2bjcuybbjy" w:colFirst="0" w:colLast="0"/>
      <w:bookmarkEnd w:id="35"/>
      <w:r>
        <w:rPr>
          <w:rFonts w:ascii="Times New Roman" w:eastAsia="Times New Roman" w:hAnsi="Times New Roman" w:cs="Times New Roman"/>
          <w:b/>
          <w:bCs/>
          <w:color w:val="000000"/>
          <w:sz w:val="24"/>
          <w:szCs w:val="24"/>
        </w:rPr>
        <w:t>3.8 Recommended Turnaround Strategy</w:t>
      </w:r>
    </w:p>
    <w:p w14:paraId="65D769E6"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operational, and strategic reforms must be addressed as part of GE’s turnaround vision:</w:t>
      </w:r>
    </w:p>
    <w:p w14:paraId="14068E99"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 Balance Sheet Strengthening</w:t>
      </w:r>
    </w:p>
    <w:p w14:paraId="5A994897" w14:textId="77777777" w:rsidR="00803B40" w:rsidRDefault="00075786">
      <w:pPr>
        <w:numPr>
          <w:ilvl w:val="0"/>
          <w:numId w:val="4"/>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targeted non-core asset divestitures to create liquidity.</w:t>
      </w:r>
    </w:p>
    <w:p w14:paraId="4582ADDC" w14:textId="77777777" w:rsidR="00803B40" w:rsidRDefault="00075786">
      <w:pPr>
        <w:numPr>
          <w:ilvl w:val="0"/>
          <w:numId w:val="4"/>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Reinstate equity to the capital structure to reduce leverage and obtain equity.</w:t>
      </w:r>
    </w:p>
    <w:p w14:paraId="4154A511"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 Operational Restructuring</w:t>
      </w:r>
    </w:p>
    <w:p w14:paraId="674D5657" w14:textId="77777777" w:rsidR="00803B40" w:rsidRDefault="00075786">
      <w:pPr>
        <w:numPr>
          <w:ilvl w:val="0"/>
          <w:numId w:val="3"/>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Shift to lean inventory practices to decrease the 103 days of inventory.</w:t>
      </w:r>
    </w:p>
    <w:p w14:paraId="1CF6274B" w14:textId="77777777" w:rsidR="00803B40" w:rsidRDefault="00075786">
      <w:pPr>
        <w:numPr>
          <w:ilvl w:val="0"/>
          <w:numId w:val="3"/>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receivables to lessen the 105 days of collections.</w:t>
      </w:r>
    </w:p>
    <w:p w14:paraId="2A4E1A00"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 Risk Management Enhancements</w:t>
      </w:r>
    </w:p>
    <w:p w14:paraId="11483CDB" w14:textId="77777777" w:rsidR="00803B40" w:rsidRDefault="00075786">
      <w:pPr>
        <w:numPr>
          <w:ilvl w:val="0"/>
          <w:numId w:val="5"/>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Use cash flow hedging.</w:t>
      </w:r>
    </w:p>
    <w:p w14:paraId="1B5362A5" w14:textId="77777777" w:rsidR="00803B40" w:rsidRDefault="00075786">
      <w:pPr>
        <w:numPr>
          <w:ilvl w:val="0"/>
          <w:numId w:val="5"/>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Create supply contracts that can withstand inflation.</w:t>
      </w:r>
    </w:p>
    <w:p w14:paraId="68FC198C"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 Strategic Partnerships</w:t>
      </w:r>
    </w:p>
    <w:p w14:paraId="2A6D063F" w14:textId="77777777" w:rsidR="00803B40" w:rsidRDefault="00075786">
      <w:pPr>
        <w:numPr>
          <w:ilvl w:val="0"/>
          <w:numId w:val="1"/>
        </w:num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Pursue technology and market enhancement through acquisition or partnership.</w:t>
      </w:r>
    </w:p>
    <w:p w14:paraId="3395786D"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These actions together will restore GE’s profitability and liquidity and add to their long-term sustainability and competitive advantage.</w:t>
      </w:r>
    </w:p>
    <w:p w14:paraId="0839C9C3" w14:textId="77777777" w:rsidR="00803B40" w:rsidRDefault="00075786">
      <w:pPr>
        <w:pStyle w:val="Heading2"/>
        <w:keepNext w:val="0"/>
        <w:keepLines w:val="0"/>
        <w:spacing w:before="480"/>
        <w:rPr>
          <w:rFonts w:ascii="Times New Roman" w:eastAsia="Times New Roman" w:hAnsi="Times New Roman" w:cs="Times New Roman"/>
          <w:b/>
          <w:bCs/>
          <w:sz w:val="24"/>
          <w:szCs w:val="24"/>
        </w:rPr>
      </w:pPr>
      <w:bookmarkStart w:id="36" w:name="_cvg57dcyq1d" w:colFirst="0" w:colLast="0"/>
      <w:bookmarkEnd w:id="36"/>
      <w:r>
        <w:rPr>
          <w:rFonts w:ascii="Times New Roman" w:eastAsia="Times New Roman" w:hAnsi="Times New Roman" w:cs="Times New Roman"/>
          <w:b/>
          <w:bCs/>
          <w:sz w:val="24"/>
          <w:szCs w:val="24"/>
        </w:rPr>
        <w:t>4. Investment Appraisal &amp; Capital Budgeting</w:t>
      </w:r>
    </w:p>
    <w:p w14:paraId="2BFE015A" w14:textId="77777777" w:rsidR="00803B40" w:rsidRDefault="00075786">
      <w:pPr>
        <w:pStyle w:val="Heading3"/>
        <w:keepNext w:val="0"/>
        <w:keepLines w:val="0"/>
        <w:rPr>
          <w:rFonts w:ascii="Times New Roman" w:eastAsia="Times New Roman" w:hAnsi="Times New Roman" w:cs="Times New Roman"/>
          <w:b/>
          <w:bCs/>
          <w:color w:val="000000"/>
          <w:sz w:val="24"/>
          <w:szCs w:val="24"/>
        </w:rPr>
      </w:pPr>
      <w:bookmarkStart w:id="37" w:name="_3xpk5h32jmuf" w:colFirst="0" w:colLast="0"/>
      <w:bookmarkEnd w:id="37"/>
      <w:r>
        <w:rPr>
          <w:rFonts w:ascii="Times New Roman" w:eastAsia="Times New Roman" w:hAnsi="Times New Roman" w:cs="Times New Roman"/>
          <w:b/>
          <w:bCs/>
          <w:color w:val="000000"/>
          <w:sz w:val="24"/>
          <w:szCs w:val="24"/>
        </w:rPr>
        <w:t>4.1 Overview of Projects A, B and C</w:t>
      </w:r>
    </w:p>
    <w:p w14:paraId="4A86A66C"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 Electronics (GE) is currently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three investments with a large capital outlay that is also mutually exclusive. GE is also faced with a capital rationing of £60 million which limits the number of projects that can be simultaneously undertaken. The different projects have varied levels of risk as well as different cash flow patterns and strategic fits.</w:t>
      </w:r>
    </w:p>
    <w:p w14:paraId="2AAB5713"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A has £40 million in initial cash outflow. The cash inflows increase in each of the first three years before falling in years four and five. This pattern is typical of demand for technology products in their early life cycles (Brigham &amp; </w:t>
      </w:r>
      <w:proofErr w:type="spellStart"/>
      <w:r>
        <w:rPr>
          <w:rFonts w:ascii="Times New Roman" w:eastAsia="Times New Roman" w:hAnsi="Times New Roman" w:cs="Times New Roman"/>
          <w:sz w:val="24"/>
          <w:szCs w:val="24"/>
        </w:rPr>
        <w:t>Ehardt</w:t>
      </w:r>
      <w:proofErr w:type="spellEnd"/>
      <w:r>
        <w:rPr>
          <w:rFonts w:ascii="Times New Roman" w:eastAsia="Times New Roman" w:hAnsi="Times New Roman" w:cs="Times New Roman"/>
          <w:sz w:val="24"/>
          <w:szCs w:val="24"/>
        </w:rPr>
        <w:t>, 2022).</w:t>
      </w:r>
    </w:p>
    <w:p w14:paraId="0A384594"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Project B has an initial cash outflow of £30 million, but in contrast, has uniform and stable cash inflows of £6 million each year for five years. This pattern is less risky and predictive of returns which is ideal for distressed firms.</w:t>
      </w:r>
    </w:p>
    <w:p w14:paraId="2BD1F1CB"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Project C has an initial cash outflow of £50 million which is the most out of the three options before looking at cash inflows. The cash inflows pattern increases sharply and is typical for investments with highly opportunistic growth. These projects are especially risky as their inflows have a lot of variability but projects like these are able to provide large returns in the long run (</w:t>
      </w:r>
      <w:proofErr w:type="spellStart"/>
      <w:r>
        <w:rPr>
          <w:rFonts w:ascii="Times New Roman" w:eastAsia="Times New Roman" w:hAnsi="Times New Roman" w:cs="Times New Roman"/>
          <w:sz w:val="24"/>
          <w:szCs w:val="24"/>
        </w:rPr>
        <w:t>Damodaran</w:t>
      </w:r>
      <w:proofErr w:type="spellEnd"/>
      <w:r>
        <w:rPr>
          <w:rFonts w:ascii="Times New Roman" w:eastAsia="Times New Roman" w:hAnsi="Times New Roman" w:cs="Times New Roman"/>
          <w:sz w:val="24"/>
          <w:szCs w:val="24"/>
        </w:rPr>
        <w:t xml:space="preserve">, 2023).  </w:t>
      </w:r>
    </w:p>
    <w:p w14:paraId="3035C6F9"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clarify, the cash flows outlined in the brief are listed once again: </w:t>
      </w:r>
    </w:p>
    <w:tbl>
      <w:tblPr>
        <w:tblStyle w:val="a7"/>
        <w:tblW w:w="705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5"/>
        <w:gridCol w:w="2600"/>
        <w:gridCol w:w="3485"/>
      </w:tblGrid>
      <w:tr w:rsidR="00803B40" w14:paraId="4E5D2EF7" w14:textId="77777777">
        <w:trPr>
          <w:trHeight w:val="500"/>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1F0A36"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Project</w:t>
            </w:r>
          </w:p>
        </w:tc>
        <w:tc>
          <w:tcPr>
            <w:tcW w:w="2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D78598"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Initial Investment (£m)</w:t>
            </w:r>
          </w:p>
        </w:tc>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2CF91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Year 1–5 Net Cash Inflows (£m)</w:t>
            </w:r>
          </w:p>
        </w:tc>
      </w:tr>
      <w:tr w:rsidR="00803B40" w14:paraId="4979A219" w14:textId="77777777">
        <w:trPr>
          <w:trHeight w:val="500"/>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DF8F5F"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8C20F5"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D90AA1"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10, 12, 14, 10, 8</w:t>
            </w:r>
          </w:p>
        </w:tc>
      </w:tr>
      <w:tr w:rsidR="00803B40" w14:paraId="1D6382B1" w14:textId="77777777">
        <w:trPr>
          <w:trHeight w:val="500"/>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4C6A3A"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w:t>
            </w:r>
          </w:p>
        </w:tc>
        <w:tc>
          <w:tcPr>
            <w:tcW w:w="2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94286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DF08D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6, 6, 6, 6, 6</w:t>
            </w:r>
          </w:p>
        </w:tc>
      </w:tr>
      <w:tr w:rsidR="00803B40" w14:paraId="189213B0" w14:textId="77777777">
        <w:trPr>
          <w:trHeight w:val="500"/>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997E9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p>
        </w:tc>
        <w:tc>
          <w:tcPr>
            <w:tcW w:w="2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995857"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DEEF61"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5, 10, 20, 25, 15</w:t>
            </w:r>
          </w:p>
        </w:tc>
      </w:tr>
    </w:tbl>
    <w:p w14:paraId="370A0A4D" w14:textId="77777777" w:rsidR="00803B40" w:rsidRDefault="00075786">
      <w:pPr>
        <w:pStyle w:val="Heading3"/>
        <w:keepNext w:val="0"/>
        <w:keepLines w:val="0"/>
        <w:rPr>
          <w:rFonts w:ascii="Times New Roman" w:eastAsia="Times New Roman" w:hAnsi="Times New Roman" w:cs="Times New Roman"/>
          <w:b/>
          <w:bCs/>
          <w:color w:val="000000"/>
          <w:sz w:val="24"/>
          <w:szCs w:val="24"/>
        </w:rPr>
      </w:pPr>
      <w:bookmarkStart w:id="38" w:name="_78cq496qv4ok" w:colFirst="0" w:colLast="0"/>
      <w:bookmarkEnd w:id="38"/>
      <w:r>
        <w:rPr>
          <w:rFonts w:ascii="Times New Roman" w:eastAsia="Times New Roman" w:hAnsi="Times New Roman" w:cs="Times New Roman"/>
          <w:b/>
          <w:bCs/>
          <w:color w:val="000000"/>
          <w:sz w:val="24"/>
          <w:szCs w:val="24"/>
        </w:rPr>
        <w:t>4.2 Assumptions &amp; Depreciation</w:t>
      </w:r>
    </w:p>
    <w:p w14:paraId="1739EAC4"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appraisal has a 10% discount factor which refers to the weighted average of GE's cost of capital and the risky environment of decreasing profitability. A straight line depreciation is assumed to be a 5 year period to zero out the value. </w:t>
      </w:r>
    </w:p>
    <w:p w14:paraId="23F01CEC"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Annual Depreciation</w:t>
      </w:r>
    </w:p>
    <w:p w14:paraId="4D925AA8" w14:textId="77777777" w:rsidR="00803B40" w:rsidRDefault="00075786">
      <w:pPr>
        <w:numPr>
          <w:ilvl w:val="0"/>
          <w:numId w:val="9"/>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Project A: £40m ÷ 5 = £8m/year</w:t>
      </w:r>
    </w:p>
    <w:p w14:paraId="02ACBF78" w14:textId="77777777" w:rsidR="00803B40" w:rsidRDefault="00075786">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Project B: £30m ÷ 5 = £6m/year</w:t>
      </w:r>
    </w:p>
    <w:p w14:paraId="383A094E" w14:textId="77777777" w:rsidR="00803B40" w:rsidRDefault="00075786">
      <w:pPr>
        <w:numPr>
          <w:ilvl w:val="0"/>
          <w:numId w:val="9"/>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Project C: £50m ÷ 5 = £10m/year</w:t>
      </w:r>
    </w:p>
    <w:p w14:paraId="2583BD59"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these calculations, depreciation is added to the accounting rate return (ARR) thus it is included, but it does not affect cash inflows for the payback period (PBP) or the net present value (NPV). No salvage value is assumed in the calculations and stable inflation is assumed which is best practice in academia for capital budgeting given the environment of uncertainty (</w:t>
      </w:r>
      <w:proofErr w:type="spellStart"/>
      <w:r>
        <w:rPr>
          <w:rFonts w:ascii="Times New Roman" w:eastAsia="Times New Roman" w:hAnsi="Times New Roman" w:cs="Times New Roman"/>
          <w:sz w:val="24"/>
          <w:szCs w:val="24"/>
        </w:rPr>
        <w:t>Brealey</w:t>
      </w:r>
      <w:proofErr w:type="spellEnd"/>
      <w:r>
        <w:rPr>
          <w:rFonts w:ascii="Times New Roman" w:eastAsia="Times New Roman" w:hAnsi="Times New Roman" w:cs="Times New Roman"/>
          <w:sz w:val="24"/>
          <w:szCs w:val="24"/>
        </w:rPr>
        <w:t xml:space="preserve"> et al., 2022).</w:t>
      </w:r>
    </w:p>
    <w:p w14:paraId="4A03B8CD" w14:textId="77777777" w:rsidR="00803B40" w:rsidRDefault="00075786">
      <w:pPr>
        <w:pStyle w:val="Heading3"/>
        <w:keepNext w:val="0"/>
        <w:keepLines w:val="0"/>
        <w:rPr>
          <w:rFonts w:ascii="Times New Roman" w:eastAsia="Times New Roman" w:hAnsi="Times New Roman" w:cs="Times New Roman"/>
          <w:b/>
          <w:bCs/>
          <w:color w:val="000000"/>
          <w:sz w:val="24"/>
          <w:szCs w:val="24"/>
        </w:rPr>
      </w:pPr>
      <w:bookmarkStart w:id="39" w:name="_5hdj2nl4l74n" w:colFirst="0" w:colLast="0"/>
      <w:bookmarkEnd w:id="39"/>
      <w:r>
        <w:rPr>
          <w:rFonts w:ascii="Times New Roman" w:eastAsia="Times New Roman" w:hAnsi="Times New Roman" w:cs="Times New Roman"/>
          <w:b/>
          <w:bCs/>
          <w:color w:val="000000"/>
          <w:sz w:val="24"/>
          <w:szCs w:val="24"/>
        </w:rPr>
        <w:t>4.3 Payback Period (PBP)</w:t>
      </w:r>
    </w:p>
    <w:p w14:paraId="0BD57687"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Payback Period assesses how long it takes to recoup lost investments in the project.</w:t>
      </w:r>
    </w:p>
    <w:p w14:paraId="1730DBA8"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PBP Calculations</w:t>
      </w:r>
    </w:p>
    <w:p w14:paraId="486781DD" w14:textId="77777777" w:rsidR="00803B40" w:rsidRDefault="00075786">
      <w:pPr>
        <w:spacing w:before="240" w:after="24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A:</w:t>
      </w:r>
    </w:p>
    <w:p w14:paraId="45EDE037"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Cumulative cash flows:</w:t>
      </w:r>
      <w:r>
        <w:rPr>
          <w:rFonts w:ascii="Times New Roman" w:eastAsia="Times New Roman" w:hAnsi="Times New Roman" w:cs="Times New Roman"/>
          <w:sz w:val="24"/>
          <w:szCs w:val="24"/>
        </w:rPr>
        <w:br/>
        <w:t xml:space="preserve">Year </w:t>
      </w:r>
      <w:r>
        <w:rPr>
          <w:rFonts w:ascii="Cardo" w:eastAsia="Cardo" w:hAnsi="Cardo" w:cs="Cardo"/>
          <w:sz w:val="24"/>
          <w:szCs w:val="24"/>
        </w:rPr>
        <w:t>1 = 10 → Year 2 = 22 → Year 3 = 36 → Year 4 = 46</w:t>
      </w:r>
      <w:r>
        <w:rPr>
          <w:rFonts w:ascii="Cardo" w:eastAsia="Cardo" w:hAnsi="Cardo" w:cs="Cardo"/>
          <w:sz w:val="24"/>
          <w:szCs w:val="24"/>
        </w:rPr>
        <w:br/>
        <w:t>Payback occurs in Year 4.</w:t>
      </w:r>
      <w:r>
        <w:rPr>
          <w:rFonts w:ascii="Cardo" w:eastAsia="Cardo" w:hAnsi="Cardo" w:cs="Cardo"/>
          <w:sz w:val="24"/>
          <w:szCs w:val="24"/>
        </w:rPr>
        <w:br/>
        <w:t>Remaining recovery: £40m – £36m = £4m</w:t>
      </w:r>
      <w:r>
        <w:rPr>
          <w:rFonts w:ascii="Cardo" w:eastAsia="Cardo" w:hAnsi="Cardo" w:cs="Cardo"/>
          <w:sz w:val="24"/>
          <w:szCs w:val="24"/>
        </w:rPr>
        <w:br/>
        <w:t>Fraction: 4 ÷ 10 = 0.4 years</w:t>
      </w:r>
      <w:r>
        <w:rPr>
          <w:rFonts w:ascii="Cardo" w:eastAsia="Cardo" w:hAnsi="Cardo" w:cs="Cardo"/>
          <w:sz w:val="24"/>
          <w:szCs w:val="24"/>
        </w:rPr>
        <w:br/>
        <w:t>PBP ≈ 3.4 years</w:t>
      </w:r>
    </w:p>
    <w:p w14:paraId="51BF6B28"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Project B:</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Annual inflow = 6m</w:t>
      </w:r>
      <w:r>
        <w:rPr>
          <w:rFonts w:ascii="Times New Roman" w:eastAsia="Times New Roman" w:hAnsi="Times New Roman" w:cs="Times New Roman"/>
          <w:sz w:val="24"/>
          <w:szCs w:val="24"/>
        </w:rPr>
        <w:br/>
        <w:t>£30m ÷ £6m = 5 years</w:t>
      </w:r>
    </w:p>
    <w:p w14:paraId="377EBAD1"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Project C:</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Cumulative ca</w:t>
      </w:r>
      <w:r>
        <w:rPr>
          <w:rFonts w:ascii="Cardo" w:eastAsia="Cardo" w:hAnsi="Cardo" w:cs="Cardo"/>
          <w:sz w:val="24"/>
          <w:szCs w:val="24"/>
        </w:rPr>
        <w:t>sh flows:</w:t>
      </w:r>
      <w:r>
        <w:rPr>
          <w:rFonts w:ascii="Cardo" w:eastAsia="Cardo" w:hAnsi="Cardo" w:cs="Cardo"/>
          <w:sz w:val="24"/>
          <w:szCs w:val="24"/>
        </w:rPr>
        <w:br/>
        <w:t>Year 1 = 5 → Year 2 = 15 → Year 3 = 35 → Year 4 = 60</w:t>
      </w:r>
      <w:r>
        <w:rPr>
          <w:rFonts w:ascii="Cardo" w:eastAsia="Cardo" w:hAnsi="Cardo" w:cs="Cardo"/>
          <w:sz w:val="24"/>
          <w:szCs w:val="24"/>
        </w:rPr>
        <w:br/>
        <w:t>Payback occurs in Year 4.</w:t>
      </w:r>
      <w:r>
        <w:rPr>
          <w:rFonts w:ascii="Cardo" w:eastAsia="Cardo" w:hAnsi="Cardo" w:cs="Cardo"/>
          <w:sz w:val="24"/>
          <w:szCs w:val="24"/>
        </w:rPr>
        <w:br/>
        <w:t>Remaining recovery after Year 3: 50 – 35 = £15m</w:t>
      </w:r>
      <w:r>
        <w:rPr>
          <w:rFonts w:ascii="Cardo" w:eastAsia="Cardo" w:hAnsi="Cardo" w:cs="Cardo"/>
          <w:sz w:val="24"/>
          <w:szCs w:val="24"/>
        </w:rPr>
        <w:br/>
      </w:r>
      <w:r>
        <w:rPr>
          <w:rFonts w:ascii="Cardo" w:eastAsia="Cardo" w:hAnsi="Cardo" w:cs="Cardo"/>
          <w:sz w:val="24"/>
          <w:szCs w:val="24"/>
        </w:rPr>
        <w:lastRenderedPageBreak/>
        <w:t>Fraction: 15 ÷ 25 = 0.6 years</w:t>
      </w:r>
      <w:r>
        <w:rPr>
          <w:rFonts w:ascii="Cardo" w:eastAsia="Cardo" w:hAnsi="Cardo" w:cs="Cardo"/>
          <w:sz w:val="24"/>
          <w:szCs w:val="24"/>
        </w:rPr>
        <w:br/>
        <w:t>PBP ≈ 3.6 years</w:t>
      </w:r>
    </w:p>
    <w:p w14:paraId="13D1C33D"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Interpretation</w:t>
      </w:r>
    </w:p>
    <w:p w14:paraId="713BB06E"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C is the second project to recoup the investment, Project B takes the longest. In financially distressed firms, a shorter Payback Period is a desirable trait because of the liquidity problems that occur with them (Ross et al., 2021).</w:t>
      </w:r>
    </w:p>
    <w:p w14:paraId="19EC71C9" w14:textId="77777777" w:rsidR="00803B40" w:rsidRDefault="00075786">
      <w:pPr>
        <w:pStyle w:val="Heading3"/>
        <w:keepNext w:val="0"/>
        <w:keepLines w:val="0"/>
        <w:rPr>
          <w:rFonts w:ascii="Times New Roman" w:eastAsia="Times New Roman" w:hAnsi="Times New Roman" w:cs="Times New Roman"/>
          <w:b/>
          <w:bCs/>
          <w:color w:val="000000"/>
          <w:sz w:val="24"/>
          <w:szCs w:val="24"/>
        </w:rPr>
      </w:pPr>
      <w:bookmarkStart w:id="40" w:name="_9q0kqfl8x9zh" w:colFirst="0" w:colLast="0"/>
      <w:bookmarkEnd w:id="40"/>
      <w:r>
        <w:rPr>
          <w:rFonts w:ascii="Times New Roman" w:eastAsia="Times New Roman" w:hAnsi="Times New Roman" w:cs="Times New Roman"/>
          <w:b/>
          <w:bCs/>
          <w:color w:val="000000"/>
          <w:sz w:val="24"/>
          <w:szCs w:val="24"/>
        </w:rPr>
        <w:t>4.4 Accounting Rate of Return (ARR)</w:t>
      </w:r>
    </w:p>
    <w:p w14:paraId="1ED5EF3C"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profitability is assessed under the accounting rate of return (ARR) which considers profit on the accounting statement that incorporates depreciation.</w:t>
      </w:r>
    </w:p>
    <w:p w14:paraId="104781A7"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Formula:</w:t>
      </w:r>
    </w:p>
    <w:p w14:paraId="2245A7A1"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ARR = (Average Annual Profit ÷ Initial Investment) × 100</w:t>
      </w:r>
    </w:p>
    <w:p w14:paraId="653C9BA9"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A</w:t>
      </w:r>
    </w:p>
    <w:p w14:paraId="612C89DE" w14:textId="77777777" w:rsidR="00803B40" w:rsidRDefault="00075786">
      <w:pPr>
        <w:spacing w:before="240" w:after="24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Average annual profit = (Total cash inflow – Total depreciation) ÷ 5</w:t>
      </w:r>
      <w:r>
        <w:rPr>
          <w:rFonts w:ascii="Times New Roman" w:eastAsia="Times New Roman" w:hAnsi="Times New Roman" w:cs="Times New Roman"/>
          <w:sz w:val="24"/>
          <w:szCs w:val="24"/>
        </w:rPr>
        <w:br/>
        <w:t>Total cash inflow = £54m</w:t>
      </w:r>
      <w:r>
        <w:rPr>
          <w:rFonts w:ascii="Times New Roman" w:eastAsia="Times New Roman" w:hAnsi="Times New Roman" w:cs="Times New Roman"/>
          <w:sz w:val="24"/>
          <w:szCs w:val="24"/>
        </w:rPr>
        <w:br/>
        <w:t>Total depreciation = £40m</w:t>
      </w:r>
      <w:r>
        <w:rPr>
          <w:rFonts w:ascii="Times New Roman" w:eastAsia="Times New Roman" w:hAnsi="Times New Roman" w:cs="Times New Roman"/>
          <w:sz w:val="24"/>
          <w:szCs w:val="24"/>
        </w:rPr>
        <w:br/>
        <w:t>Average profit = (54 – 40) ÷ 5 = £2.8m</w:t>
      </w:r>
      <w:r>
        <w:rPr>
          <w:rFonts w:ascii="Times New Roman" w:eastAsia="Times New Roman" w:hAnsi="Times New Roman" w:cs="Times New Roman"/>
          <w:sz w:val="24"/>
          <w:szCs w:val="24"/>
        </w:rPr>
        <w:br/>
        <w:t xml:space="preserve">ARR = (2.8 ÷ 40) × 100 = </w:t>
      </w:r>
      <w:r>
        <w:rPr>
          <w:rFonts w:ascii="Times New Roman" w:eastAsia="Times New Roman" w:hAnsi="Times New Roman" w:cs="Times New Roman"/>
          <w:b/>
          <w:bCs/>
          <w:sz w:val="24"/>
          <w:szCs w:val="24"/>
        </w:rPr>
        <w:t>7%</w:t>
      </w:r>
    </w:p>
    <w:p w14:paraId="04B203EF"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B</w:t>
      </w:r>
    </w:p>
    <w:p w14:paraId="3C4DAC16"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Total inflow = £30m</w:t>
      </w:r>
      <w:r>
        <w:rPr>
          <w:rFonts w:ascii="Times New Roman" w:eastAsia="Times New Roman" w:hAnsi="Times New Roman" w:cs="Times New Roman"/>
          <w:sz w:val="24"/>
          <w:szCs w:val="24"/>
        </w:rPr>
        <w:br/>
        <w:t>Depreciation = £30m</w:t>
      </w:r>
      <w:r>
        <w:rPr>
          <w:rFonts w:ascii="Times New Roman" w:eastAsia="Times New Roman" w:hAnsi="Times New Roman" w:cs="Times New Roman"/>
          <w:sz w:val="24"/>
          <w:szCs w:val="24"/>
        </w:rPr>
        <w:br/>
        <w:t>Average profit = (30 – 30) ÷ 5 = £0</w:t>
      </w:r>
      <w:r>
        <w:rPr>
          <w:rFonts w:ascii="Times New Roman" w:eastAsia="Times New Roman" w:hAnsi="Times New Roman" w:cs="Times New Roman"/>
          <w:sz w:val="24"/>
          <w:szCs w:val="24"/>
        </w:rPr>
        <w:br/>
        <w:t>ARR = 0%</w:t>
      </w:r>
    </w:p>
    <w:p w14:paraId="0ACF8DAE"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C</w:t>
      </w:r>
    </w:p>
    <w:p w14:paraId="577AFCD7"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Total inflow = £75m</w:t>
      </w:r>
      <w:r>
        <w:rPr>
          <w:rFonts w:ascii="Times New Roman" w:eastAsia="Times New Roman" w:hAnsi="Times New Roman" w:cs="Times New Roman"/>
          <w:sz w:val="24"/>
          <w:szCs w:val="24"/>
        </w:rPr>
        <w:br/>
        <w:t>Depreciation = £50m</w:t>
      </w:r>
      <w:r>
        <w:rPr>
          <w:rFonts w:ascii="Times New Roman" w:eastAsia="Times New Roman" w:hAnsi="Times New Roman" w:cs="Times New Roman"/>
          <w:sz w:val="24"/>
          <w:szCs w:val="24"/>
        </w:rPr>
        <w:br/>
        <w:t>Average profit = (75 – 50) ÷ 5 = £5m</w:t>
      </w:r>
      <w:r>
        <w:rPr>
          <w:rFonts w:ascii="Times New Roman" w:eastAsia="Times New Roman" w:hAnsi="Times New Roman" w:cs="Times New Roman"/>
          <w:sz w:val="24"/>
          <w:szCs w:val="24"/>
        </w:rPr>
        <w:br/>
        <w:t>ARR = (5 ÷ 50) × 100 = 10%</w:t>
      </w:r>
    </w:p>
    <w:p w14:paraId="24429987"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Interpretation</w:t>
      </w:r>
    </w:p>
    <w:p w14:paraId="2A088638"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Project C has the highest ARR, therefore most appealing because it would profitable in the long-run. Project A has low profitability, while Project B is the least appealing of all projects within the ARR.</w:t>
      </w:r>
    </w:p>
    <w:p w14:paraId="2411D256"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41" w:name="_3p1cefwjgg81" w:colFirst="0" w:colLast="0"/>
      <w:bookmarkEnd w:id="41"/>
      <w:r>
        <w:rPr>
          <w:rFonts w:ascii="Times New Roman" w:eastAsia="Times New Roman" w:hAnsi="Times New Roman" w:cs="Times New Roman"/>
          <w:b/>
          <w:bCs/>
          <w:color w:val="000000"/>
          <w:sz w:val="24"/>
          <w:szCs w:val="24"/>
        </w:rPr>
        <w:lastRenderedPageBreak/>
        <w:t>4.5 Net Present Value (NPV)</w:t>
      </w:r>
    </w:p>
    <w:p w14:paraId="5ABEE55D"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Net Present Value (NPV) method assesses the future cash inflows and lumps them into a single amount calculated with a discount rate which is the return rate that GE would expect (10%). A positive cash flow is regarded as good it indicates a net inflow, and a net cash flow it regarded as bad because it is an indicator of a net cash outflow (</w:t>
      </w:r>
      <w:proofErr w:type="spellStart"/>
      <w:r>
        <w:rPr>
          <w:rFonts w:ascii="Times New Roman" w:eastAsia="Times New Roman" w:hAnsi="Times New Roman" w:cs="Times New Roman"/>
          <w:sz w:val="24"/>
          <w:szCs w:val="24"/>
        </w:rPr>
        <w:t>Brealey</w:t>
      </w:r>
      <w:proofErr w:type="spellEnd"/>
      <w:r>
        <w:rPr>
          <w:rFonts w:ascii="Times New Roman" w:eastAsia="Times New Roman" w:hAnsi="Times New Roman" w:cs="Times New Roman"/>
          <w:sz w:val="24"/>
          <w:szCs w:val="24"/>
        </w:rPr>
        <w:t xml:space="preserve"> et al, 2022).</w:t>
      </w:r>
    </w:p>
    <w:p w14:paraId="6871FC7F"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NPV Calculations (10% discount rate)</w:t>
      </w:r>
    </w:p>
    <w:tbl>
      <w:tblPr>
        <w:tblStyle w:val="a8"/>
        <w:tblW w:w="1024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1"/>
        <w:gridCol w:w="2581"/>
        <w:gridCol w:w="1299"/>
        <w:gridCol w:w="786"/>
        <w:gridCol w:w="1299"/>
        <w:gridCol w:w="786"/>
        <w:gridCol w:w="1313"/>
        <w:gridCol w:w="786"/>
      </w:tblGrid>
      <w:tr w:rsidR="00803B40" w14:paraId="37EBACB0" w14:textId="77777777" w:rsidTr="004A69DB">
        <w:trPr>
          <w:trHeight w:val="284"/>
        </w:trPr>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F07A90"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Year</w:t>
            </w:r>
          </w:p>
        </w:tc>
        <w:tc>
          <w:tcPr>
            <w:tcW w:w="2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9ACBC4"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Discount Factor (10%)</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87F5C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(CF £m)</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ED538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PV A</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AB03CA"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 (CF £m)</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BD45BC"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PV B</w:t>
            </w:r>
          </w:p>
        </w:tc>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8FF9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(CF £m)</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E2D3FF"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PV C</w:t>
            </w:r>
          </w:p>
        </w:tc>
      </w:tr>
      <w:tr w:rsidR="00803B40" w14:paraId="14F6E806" w14:textId="77777777" w:rsidTr="004A69DB">
        <w:trPr>
          <w:trHeight w:val="284"/>
        </w:trPr>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CA79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C71D6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0.909</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C003C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5E0A2C"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9.09</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8DD6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137537"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5.45</w:t>
            </w:r>
          </w:p>
        </w:tc>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84A64E"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ECEAC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4.54</w:t>
            </w:r>
          </w:p>
        </w:tc>
      </w:tr>
      <w:tr w:rsidR="00803B40" w14:paraId="474CB24B" w14:textId="77777777" w:rsidTr="004A69DB">
        <w:trPr>
          <w:trHeight w:val="284"/>
        </w:trPr>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2FF5F6"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FBB8A8"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0.826</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7DA26"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A8CAD4"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9.91</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7A1DDA"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D8112E"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4.96</w:t>
            </w:r>
          </w:p>
        </w:tc>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17FB8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18965A"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8.26</w:t>
            </w:r>
          </w:p>
        </w:tc>
      </w:tr>
      <w:tr w:rsidR="00803B40" w14:paraId="721D8895" w14:textId="77777777" w:rsidTr="004A69DB">
        <w:trPr>
          <w:trHeight w:val="284"/>
        </w:trPr>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0B88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948968"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0.751</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683D9C"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079FE"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10.51</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24C38A"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6E5CCC"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4.51</w:t>
            </w:r>
          </w:p>
        </w:tc>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EAEBE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7F48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15.02</w:t>
            </w:r>
          </w:p>
        </w:tc>
      </w:tr>
      <w:tr w:rsidR="00803B40" w14:paraId="2437A106" w14:textId="77777777" w:rsidTr="004A69DB">
        <w:trPr>
          <w:trHeight w:val="284"/>
        </w:trPr>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0DA148"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1293E"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0.683</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C7DA2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0917EE"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6.83</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E7F8C8"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3FB2A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4.10</w:t>
            </w:r>
          </w:p>
        </w:tc>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B65C2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FA450C"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17.08</w:t>
            </w:r>
          </w:p>
        </w:tc>
      </w:tr>
      <w:tr w:rsidR="00803B40" w14:paraId="53CD37CA" w14:textId="77777777" w:rsidTr="004A69DB">
        <w:trPr>
          <w:trHeight w:val="284"/>
        </w:trPr>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292E7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E91395"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0.621</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0E80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18D5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4.97</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C8ED33"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406AC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3.73</w:t>
            </w:r>
          </w:p>
        </w:tc>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4D6FC6"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C5AEB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9.32</w:t>
            </w:r>
          </w:p>
        </w:tc>
      </w:tr>
      <w:tr w:rsidR="00803B40" w14:paraId="3AFD4845" w14:textId="77777777" w:rsidTr="004A69DB">
        <w:trPr>
          <w:trHeight w:val="284"/>
        </w:trPr>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E223F7"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PV</w:t>
            </w:r>
          </w:p>
        </w:tc>
        <w:tc>
          <w:tcPr>
            <w:tcW w:w="2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8A7D91" w14:textId="77777777" w:rsidR="00803B40" w:rsidRDefault="00803B40">
            <w:pPr>
              <w:spacing w:line="240" w:lineRule="auto"/>
              <w:rPr>
                <w:rFonts w:ascii="Times New Roman" w:eastAsia="Times New Roman" w:hAnsi="Times New Roman" w:cs="Times New Roman"/>
                <w:sz w:val="24"/>
                <w:szCs w:val="24"/>
              </w:rPr>
            </w:pP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FFFE6B" w14:textId="77777777" w:rsidR="00803B40" w:rsidRDefault="00803B40">
            <w:pPr>
              <w:spacing w:line="240" w:lineRule="auto"/>
              <w:rPr>
                <w:rFonts w:ascii="Times New Roman" w:eastAsia="Times New Roman" w:hAnsi="Times New Roman" w:cs="Times New Roman"/>
                <w:sz w:val="24"/>
                <w:szCs w:val="24"/>
              </w:rPr>
            </w:pP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01813"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41.31</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387C81" w14:textId="77777777" w:rsidR="00803B40" w:rsidRDefault="00803B40">
            <w:pPr>
              <w:spacing w:line="240" w:lineRule="auto"/>
              <w:rPr>
                <w:rFonts w:ascii="Times New Roman" w:eastAsia="Times New Roman" w:hAnsi="Times New Roman" w:cs="Times New Roman"/>
                <w:sz w:val="24"/>
                <w:szCs w:val="24"/>
              </w:rPr>
            </w:pP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0D0E0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22.75</w:t>
            </w:r>
          </w:p>
        </w:tc>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E0AA24" w14:textId="77777777" w:rsidR="00803B40" w:rsidRDefault="00803B40">
            <w:pPr>
              <w:spacing w:line="240" w:lineRule="auto"/>
              <w:rPr>
                <w:rFonts w:ascii="Times New Roman" w:eastAsia="Times New Roman" w:hAnsi="Times New Roman" w:cs="Times New Roman"/>
                <w:sz w:val="24"/>
                <w:szCs w:val="24"/>
              </w:rPr>
            </w:pP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EC015E"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54.22</w:t>
            </w:r>
          </w:p>
        </w:tc>
      </w:tr>
      <w:tr w:rsidR="00803B40" w14:paraId="700AD242" w14:textId="77777777" w:rsidTr="004A69DB">
        <w:trPr>
          <w:trHeight w:val="284"/>
        </w:trPr>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CA3FB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Initial Cost</w:t>
            </w:r>
          </w:p>
        </w:tc>
        <w:tc>
          <w:tcPr>
            <w:tcW w:w="2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FBB968" w14:textId="77777777" w:rsidR="00803B40" w:rsidRDefault="00803B40">
            <w:pPr>
              <w:spacing w:line="240" w:lineRule="auto"/>
              <w:rPr>
                <w:rFonts w:ascii="Times New Roman" w:eastAsia="Times New Roman" w:hAnsi="Times New Roman" w:cs="Times New Roman"/>
                <w:sz w:val="24"/>
                <w:szCs w:val="24"/>
              </w:rPr>
            </w:pP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04A7C4"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A4F400" w14:textId="77777777" w:rsidR="00803B40" w:rsidRDefault="00803B40">
            <w:pPr>
              <w:spacing w:line="240" w:lineRule="auto"/>
              <w:rPr>
                <w:rFonts w:ascii="Times New Roman" w:eastAsia="Times New Roman" w:hAnsi="Times New Roman" w:cs="Times New Roman"/>
                <w:sz w:val="24"/>
                <w:szCs w:val="24"/>
              </w:rPr>
            </w:pP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31901F"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72D33A" w14:textId="77777777" w:rsidR="00803B40" w:rsidRDefault="00803B40">
            <w:pPr>
              <w:spacing w:line="240" w:lineRule="auto"/>
              <w:rPr>
                <w:rFonts w:ascii="Times New Roman" w:eastAsia="Times New Roman" w:hAnsi="Times New Roman" w:cs="Times New Roman"/>
                <w:sz w:val="24"/>
                <w:szCs w:val="24"/>
              </w:rPr>
            </w:pPr>
          </w:p>
        </w:tc>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1E0301"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661A47" w14:textId="77777777" w:rsidR="00803B40" w:rsidRDefault="00803B40">
            <w:pPr>
              <w:spacing w:line="240" w:lineRule="auto"/>
              <w:rPr>
                <w:rFonts w:ascii="Times New Roman" w:eastAsia="Times New Roman" w:hAnsi="Times New Roman" w:cs="Times New Roman"/>
                <w:sz w:val="24"/>
                <w:szCs w:val="24"/>
              </w:rPr>
            </w:pPr>
          </w:p>
        </w:tc>
      </w:tr>
      <w:tr w:rsidR="00803B40" w14:paraId="10A26C6B" w14:textId="77777777" w:rsidTr="004A69DB">
        <w:trPr>
          <w:trHeight w:val="284"/>
        </w:trPr>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311E38"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NPV (£m)</w:t>
            </w:r>
          </w:p>
        </w:tc>
        <w:tc>
          <w:tcPr>
            <w:tcW w:w="2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127ED" w14:textId="77777777" w:rsidR="00803B40" w:rsidRDefault="00803B40">
            <w:pPr>
              <w:spacing w:line="240" w:lineRule="auto"/>
              <w:rPr>
                <w:rFonts w:ascii="Times New Roman" w:eastAsia="Times New Roman" w:hAnsi="Times New Roman" w:cs="Times New Roman"/>
                <w:sz w:val="24"/>
                <w:szCs w:val="24"/>
              </w:rPr>
            </w:pP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45AA48" w14:textId="77777777" w:rsidR="00803B40" w:rsidRDefault="00803B40">
            <w:pPr>
              <w:spacing w:line="240" w:lineRule="auto"/>
              <w:rPr>
                <w:rFonts w:ascii="Times New Roman" w:eastAsia="Times New Roman" w:hAnsi="Times New Roman" w:cs="Times New Roman"/>
                <w:sz w:val="24"/>
                <w:szCs w:val="24"/>
              </w:rPr>
            </w:pP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A2574F"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+1.31</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FC52A8" w14:textId="77777777" w:rsidR="00803B40" w:rsidRDefault="00803B40">
            <w:pPr>
              <w:spacing w:line="240" w:lineRule="auto"/>
              <w:rPr>
                <w:rFonts w:ascii="Times New Roman" w:eastAsia="Times New Roman" w:hAnsi="Times New Roman" w:cs="Times New Roman"/>
                <w:sz w:val="24"/>
                <w:szCs w:val="24"/>
              </w:rPr>
            </w:pP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FBD285" w14:textId="77777777" w:rsidR="00803B40" w:rsidRDefault="00075786">
            <w:pPr>
              <w:spacing w:line="240" w:lineRule="auto"/>
              <w:rPr>
                <w:rFonts w:ascii="Times New Roman" w:eastAsia="Times New Roman" w:hAnsi="Times New Roman" w:cs="Times New Roman"/>
                <w:sz w:val="24"/>
                <w:szCs w:val="24"/>
              </w:rPr>
            </w:pPr>
            <w:r>
              <w:rPr>
                <w:rFonts w:ascii="Gungsuh" w:eastAsia="Gungsuh" w:hAnsi="Gungsuh" w:cs="Gungsuh"/>
                <w:sz w:val="24"/>
                <w:szCs w:val="24"/>
              </w:rPr>
              <w:t>−7.25</w:t>
            </w:r>
          </w:p>
        </w:tc>
        <w:tc>
          <w:tcPr>
            <w:tcW w:w="13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C809D7" w14:textId="77777777" w:rsidR="00803B40" w:rsidRDefault="00803B40">
            <w:pPr>
              <w:spacing w:line="240" w:lineRule="auto"/>
              <w:rPr>
                <w:rFonts w:ascii="Times New Roman" w:eastAsia="Times New Roman" w:hAnsi="Times New Roman" w:cs="Times New Roman"/>
                <w:sz w:val="24"/>
                <w:szCs w:val="24"/>
              </w:rPr>
            </w:pPr>
          </w:p>
        </w:tc>
        <w:tc>
          <w:tcPr>
            <w:tcW w:w="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2E488F"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p>
        </w:tc>
      </w:tr>
    </w:tbl>
    <w:p w14:paraId="42260FE0" w14:textId="4FAF4F82" w:rsidR="00803B40" w:rsidRPr="002E2BB4" w:rsidRDefault="00075786">
      <w:pPr>
        <w:spacing w:before="280"/>
        <w:rPr>
          <w:rFonts w:asciiTheme="majorBidi" w:eastAsia="Times New Roman" w:hAnsiTheme="majorBidi" w:cstheme="majorBidi"/>
          <w:sz w:val="24"/>
          <w:szCs w:val="24"/>
        </w:rPr>
      </w:pPr>
      <w:r w:rsidRPr="002E2BB4">
        <w:rPr>
          <w:rFonts w:asciiTheme="majorBidi" w:eastAsia="Times New Roman" w:hAnsiTheme="majorBidi" w:cstheme="majorBidi"/>
          <w:sz w:val="24"/>
          <w:szCs w:val="24"/>
        </w:rPr>
        <w:t>Interpretation</w:t>
      </w:r>
    </w:p>
    <w:p w14:paraId="493BD765" w14:textId="5599A70A" w:rsidR="00803B40" w:rsidRPr="002E2BB4" w:rsidRDefault="00075786">
      <w:pPr>
        <w:numPr>
          <w:ilvl w:val="0"/>
          <w:numId w:val="8"/>
        </w:numPr>
        <w:rPr>
          <w:rFonts w:asciiTheme="majorBidi" w:eastAsia="Times New Roman" w:hAnsiTheme="majorBidi" w:cstheme="majorBidi"/>
          <w:sz w:val="24"/>
          <w:szCs w:val="24"/>
        </w:rPr>
      </w:pPr>
      <w:r w:rsidRPr="002E2BB4">
        <w:rPr>
          <w:rFonts w:asciiTheme="majorBidi" w:eastAsia="Times New Roman" w:hAnsiTheme="majorBidi" w:cstheme="majorBidi"/>
          <w:sz w:val="24"/>
          <w:szCs w:val="24"/>
        </w:rPr>
        <w:t>Project A is considered acceptable as it creates some value (NPV +£1.31m).</w:t>
      </w:r>
    </w:p>
    <w:p w14:paraId="17C3216C" w14:textId="77777777" w:rsidR="00803B40" w:rsidRPr="002E2BB4" w:rsidRDefault="00075786">
      <w:pPr>
        <w:numPr>
          <w:ilvl w:val="0"/>
          <w:numId w:val="8"/>
        </w:numPr>
        <w:rPr>
          <w:rFonts w:asciiTheme="majorBidi" w:eastAsia="Times New Roman" w:hAnsiTheme="majorBidi" w:cstheme="majorBidi"/>
          <w:sz w:val="24"/>
          <w:szCs w:val="24"/>
        </w:rPr>
      </w:pPr>
      <w:r w:rsidRPr="002E2BB4">
        <w:rPr>
          <w:rFonts w:asciiTheme="majorBidi" w:eastAsia="Gungsuh" w:hAnsiTheme="majorBidi" w:cstheme="majorBidi"/>
          <w:sz w:val="24"/>
          <w:szCs w:val="24"/>
        </w:rPr>
        <w:t>Project B is value destructive (NPV −£7.25m) although the inflows considered are stable.</w:t>
      </w:r>
    </w:p>
    <w:p w14:paraId="33E5FD02" w14:textId="77777777" w:rsidR="00803B40" w:rsidRPr="002E2BB4" w:rsidRDefault="00075786">
      <w:pPr>
        <w:numPr>
          <w:ilvl w:val="0"/>
          <w:numId w:val="8"/>
        </w:numPr>
        <w:rPr>
          <w:rFonts w:asciiTheme="majorBidi" w:eastAsia="Times New Roman" w:hAnsiTheme="majorBidi" w:cstheme="majorBidi"/>
          <w:sz w:val="24"/>
          <w:szCs w:val="24"/>
        </w:rPr>
      </w:pPr>
      <w:r w:rsidRPr="002E2BB4">
        <w:rPr>
          <w:rFonts w:asciiTheme="majorBidi" w:eastAsia="Times New Roman" w:hAnsiTheme="majorBidi" w:cstheme="majorBidi"/>
          <w:sz w:val="24"/>
          <w:szCs w:val="24"/>
        </w:rPr>
        <w:t>In Project C the most value is created (NPV +£4.22m) which is in line with the expected value from the high growth cashflow to be received.</w:t>
      </w:r>
    </w:p>
    <w:p w14:paraId="1928083A" w14:textId="77777777" w:rsidR="00803B40" w:rsidRPr="002E2BB4" w:rsidRDefault="00075786">
      <w:pPr>
        <w:rPr>
          <w:rFonts w:asciiTheme="majorBidi" w:eastAsia="Times New Roman" w:hAnsiTheme="majorBidi" w:cstheme="majorBidi"/>
          <w:sz w:val="24"/>
          <w:szCs w:val="24"/>
        </w:rPr>
      </w:pPr>
      <w:r w:rsidRPr="002E2BB4">
        <w:rPr>
          <w:rFonts w:asciiTheme="majorBidi" w:eastAsia="Times New Roman" w:hAnsiTheme="majorBidi" w:cstheme="majorBidi"/>
          <w:sz w:val="24"/>
          <w:szCs w:val="24"/>
        </w:rPr>
        <w:t>The core of Academic theory espouses the NPV as the most dependable of all the appraisal tools available because it is in alignment with the fundamental goal of the theory which is to maximize the wealth of shareholders (</w:t>
      </w:r>
      <w:proofErr w:type="spellStart"/>
      <w:r w:rsidRPr="002E2BB4">
        <w:rPr>
          <w:rFonts w:asciiTheme="majorBidi" w:eastAsia="Times New Roman" w:hAnsiTheme="majorBidi" w:cstheme="majorBidi"/>
          <w:sz w:val="24"/>
          <w:szCs w:val="24"/>
        </w:rPr>
        <w:t>Damodaran</w:t>
      </w:r>
      <w:proofErr w:type="spellEnd"/>
      <w:r w:rsidRPr="002E2BB4">
        <w:rPr>
          <w:rFonts w:asciiTheme="majorBidi" w:eastAsia="Times New Roman" w:hAnsiTheme="majorBidi" w:cstheme="majorBidi"/>
          <w:sz w:val="24"/>
          <w:szCs w:val="24"/>
        </w:rPr>
        <w:t xml:space="preserve"> 2023).</w:t>
      </w:r>
    </w:p>
    <w:p w14:paraId="2FD04C06" w14:textId="77777777" w:rsidR="00803B40" w:rsidRPr="002E2BB4" w:rsidRDefault="00075786">
      <w:pPr>
        <w:pStyle w:val="Heading3"/>
        <w:keepNext w:val="0"/>
        <w:keepLines w:val="0"/>
        <w:spacing w:before="480"/>
        <w:rPr>
          <w:rFonts w:asciiTheme="majorBidi" w:eastAsia="Times New Roman" w:hAnsiTheme="majorBidi" w:cstheme="majorBidi"/>
          <w:color w:val="000000"/>
          <w:sz w:val="24"/>
          <w:szCs w:val="24"/>
        </w:rPr>
      </w:pPr>
      <w:bookmarkStart w:id="42" w:name="_yrvtmpmgqlnu" w:colFirst="0" w:colLast="0"/>
      <w:bookmarkEnd w:id="42"/>
      <w:r w:rsidRPr="002E2BB4">
        <w:rPr>
          <w:rFonts w:asciiTheme="majorBidi" w:eastAsia="Times New Roman" w:hAnsiTheme="majorBidi" w:cstheme="majorBidi"/>
          <w:color w:val="000000"/>
          <w:sz w:val="24"/>
          <w:szCs w:val="24"/>
        </w:rPr>
        <w:t>4.6 Profitability Index (PI)</w:t>
      </w:r>
    </w:p>
    <w:p w14:paraId="6501496F"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Profitability Index demonstrates how much value is realized for every pound spent:</w:t>
      </w:r>
    </w:p>
    <w:p w14:paraId="7D6B1D8F"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Formula:</w:t>
      </w:r>
    </w:p>
    <w:p w14:paraId="1159E8EB"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PI = Present Value of Inflows ÷ Initial Investment</w:t>
      </w:r>
    </w:p>
    <w:p w14:paraId="41493D7D" w14:textId="135C204F" w:rsidR="00803B40" w:rsidRDefault="007F26F8">
      <w:pPr>
        <w:spacing w:before="280"/>
        <w:rPr>
          <w:rFonts w:ascii="Times New Roman" w:eastAsia="Times New Roman" w:hAnsi="Times New Roman" w:cs="Times New Roman"/>
          <w:b/>
          <w:bCs/>
          <w:sz w:val="24"/>
          <w:szCs w:val="24"/>
        </w:rPr>
      </w:pPr>
      <w:r>
        <w:rPr>
          <w:noProof/>
        </w:rPr>
        <w:lastRenderedPageBreak/>
        <w:drawing>
          <wp:anchor distT="0" distB="0" distL="114300" distR="114300" simplePos="0" relativeHeight="251659264" behindDoc="0" locked="0" layoutInCell="1" allowOverlap="1" wp14:anchorId="4AAFA226" wp14:editId="2EF02C34">
            <wp:simplePos x="0" y="0"/>
            <wp:positionH relativeFrom="column">
              <wp:posOffset>-36830</wp:posOffset>
            </wp:positionH>
            <wp:positionV relativeFrom="paragraph">
              <wp:posOffset>1975485</wp:posOffset>
            </wp:positionV>
            <wp:extent cx="4992370" cy="1554480"/>
            <wp:effectExtent l="0" t="0" r="11430" b="7620"/>
            <wp:wrapTopAndBottom/>
            <wp:docPr id="878842307" name="Chart 1">
              <a:extLst xmlns:a="http://schemas.openxmlformats.org/drawingml/2006/main">
                <a:ext uri="{FF2B5EF4-FFF2-40B4-BE49-F238E27FC236}">
                  <a16:creationId xmlns:a16="http://schemas.microsoft.com/office/drawing/2014/main" id="{93294C1B-C9EE-F977-CBA6-A56FB5E05B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075786">
        <w:rPr>
          <w:rFonts w:ascii="Times New Roman" w:eastAsia="Times New Roman" w:hAnsi="Times New Roman" w:cs="Times New Roman"/>
          <w:b/>
          <w:bCs/>
          <w:sz w:val="24"/>
          <w:szCs w:val="24"/>
        </w:rPr>
        <w:t>PI Results</w:t>
      </w:r>
    </w:p>
    <w:tbl>
      <w:tblPr>
        <w:tblStyle w:val="a9"/>
        <w:tblW w:w="796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84"/>
        <w:gridCol w:w="3329"/>
        <w:gridCol w:w="2152"/>
        <w:gridCol w:w="998"/>
      </w:tblGrid>
      <w:tr w:rsidR="00803B40" w14:paraId="60AE809D" w14:textId="77777777" w:rsidTr="007F26F8">
        <w:trPr>
          <w:trHeight w:val="331"/>
        </w:trPr>
        <w:tc>
          <w:tcPr>
            <w:tcW w:w="14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C8AE24"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Project</w:t>
            </w:r>
          </w:p>
        </w:tc>
        <w:tc>
          <w:tcPr>
            <w:tcW w:w="3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CD6AB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PV of Inflows (£m)</w:t>
            </w:r>
          </w:p>
        </w:tc>
        <w:tc>
          <w:tcPr>
            <w:tcW w:w="2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843EA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Initial (£m)</w:t>
            </w:r>
          </w:p>
        </w:tc>
        <w:tc>
          <w:tcPr>
            <w:tcW w:w="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63974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PI</w:t>
            </w:r>
          </w:p>
        </w:tc>
      </w:tr>
      <w:tr w:rsidR="00803B40" w14:paraId="2D407FB7" w14:textId="77777777" w:rsidTr="007F26F8">
        <w:trPr>
          <w:trHeight w:val="331"/>
        </w:trPr>
        <w:tc>
          <w:tcPr>
            <w:tcW w:w="14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8E55F"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3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D43B4A"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41.31</w:t>
            </w:r>
          </w:p>
        </w:tc>
        <w:tc>
          <w:tcPr>
            <w:tcW w:w="2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F34E30"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B6C25"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1.03</w:t>
            </w:r>
          </w:p>
        </w:tc>
      </w:tr>
      <w:tr w:rsidR="00803B40" w14:paraId="6C9D0E93" w14:textId="77777777" w:rsidTr="007F26F8">
        <w:trPr>
          <w:trHeight w:val="331"/>
        </w:trPr>
        <w:tc>
          <w:tcPr>
            <w:tcW w:w="14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7052C5"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w:t>
            </w:r>
          </w:p>
        </w:tc>
        <w:tc>
          <w:tcPr>
            <w:tcW w:w="3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240763" w14:textId="77777777" w:rsidR="00803B40" w:rsidRDefault="00075786" w:rsidP="00C4455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22.75</w:t>
            </w:r>
          </w:p>
        </w:tc>
        <w:tc>
          <w:tcPr>
            <w:tcW w:w="2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3C472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830D2C"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0.76</w:t>
            </w:r>
          </w:p>
        </w:tc>
      </w:tr>
      <w:tr w:rsidR="00803B40" w14:paraId="696D56D1" w14:textId="77777777" w:rsidTr="007F26F8">
        <w:trPr>
          <w:trHeight w:val="331"/>
        </w:trPr>
        <w:tc>
          <w:tcPr>
            <w:tcW w:w="14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450314"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p>
        </w:tc>
        <w:tc>
          <w:tcPr>
            <w:tcW w:w="3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9402D6"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54.22</w:t>
            </w:r>
          </w:p>
        </w:tc>
        <w:tc>
          <w:tcPr>
            <w:tcW w:w="2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3DAD27"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2869B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p>
        </w:tc>
      </w:tr>
    </w:tbl>
    <w:p w14:paraId="18C6AABC" w14:textId="3E851AA6" w:rsidR="00725787" w:rsidRDefault="00725787">
      <w:pPr>
        <w:spacing w:before="280"/>
        <w:rPr>
          <w:rFonts w:ascii="Times New Roman" w:eastAsia="Times New Roman" w:hAnsi="Times New Roman" w:cs="Vrinda"/>
          <w:b/>
          <w:bCs/>
          <w:sz w:val="24"/>
          <w:szCs w:val="30"/>
          <w:lang w:bidi="bn-IN"/>
        </w:rPr>
      </w:pPr>
    </w:p>
    <w:p w14:paraId="22A883FE" w14:textId="2F7AE62B"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Interpretation</w:t>
      </w:r>
    </w:p>
    <w:p w14:paraId="35DC689D" w14:textId="77777777" w:rsidR="00803B40" w:rsidRDefault="00075786">
      <w:pPr>
        <w:numPr>
          <w:ilvl w:val="0"/>
          <w:numId w:val="10"/>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Investment in Project C (PI 1.08) leads to the greatest profit of all units.   </w:t>
      </w:r>
    </w:p>
    <w:p w14:paraId="63A6117F" w14:textId="77777777" w:rsidR="00803B40" w:rsidRDefault="00075786">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C is more efficient than A (PI 1.03) which is acceptable but less efficient.   </w:t>
      </w:r>
    </w:p>
    <w:p w14:paraId="74FA1365" w14:textId="77777777" w:rsidR="00803B40" w:rsidRDefault="00075786">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B (PI 0.76) is  rejected because PI &lt; 1.   </w:t>
      </w:r>
    </w:p>
    <w:p w14:paraId="38C6F6DD"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under capital rationing, PI is especially significant as it ranks projects in order of value efficiency (Ross et al., 2021).  </w:t>
      </w:r>
    </w:p>
    <w:p w14:paraId="43F948C9"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43" w:name="_jxdnjo6c7u9i" w:colFirst="0" w:colLast="0"/>
      <w:bookmarkEnd w:id="43"/>
      <w:r>
        <w:rPr>
          <w:rFonts w:ascii="Times New Roman" w:eastAsia="Times New Roman" w:hAnsi="Times New Roman" w:cs="Times New Roman"/>
          <w:b/>
          <w:bCs/>
          <w:color w:val="000000"/>
          <w:sz w:val="24"/>
          <w:szCs w:val="24"/>
        </w:rPr>
        <w:t>4.7 Internal Rate of Return (IRR)</w:t>
      </w:r>
    </w:p>
    <w:p w14:paraId="4D6A3251"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Algebraically, IRR is the rate of discount at which NPV = 0. The greater the IRR, the better the performance of the project, but it must be less than the cost of capital for GE (10%).  </w:t>
      </w:r>
    </w:p>
    <w:p w14:paraId="7E192B75" w14:textId="77777777" w:rsidR="00803B40" w:rsidRPr="00B437F7" w:rsidRDefault="00075786">
      <w:pPr>
        <w:spacing w:before="280"/>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t>Approximate IRR Calculations</w:t>
      </w:r>
    </w:p>
    <w:p w14:paraId="26A52622" w14:textId="77777777" w:rsidR="00803B40" w:rsidRPr="00B437F7" w:rsidRDefault="00075786">
      <w:pPr>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t>By using interpolation:</w:t>
      </w:r>
    </w:p>
    <w:tbl>
      <w:tblPr>
        <w:tblStyle w:val="aa"/>
        <w:tblW w:w="717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5"/>
        <w:gridCol w:w="2075"/>
        <w:gridCol w:w="2075"/>
        <w:gridCol w:w="2060"/>
      </w:tblGrid>
      <w:tr w:rsidR="00803B40" w:rsidRPr="00B437F7" w14:paraId="6F0D2689" w14:textId="77777777">
        <w:trPr>
          <w:trHeight w:val="500"/>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B4BF25"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t>Project</w:t>
            </w:r>
          </w:p>
        </w:tc>
        <w:tc>
          <w:tcPr>
            <w:tcW w:w="2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15AB49"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t>NPV @ 10% (£m)</w:t>
            </w:r>
          </w:p>
        </w:tc>
        <w:tc>
          <w:tcPr>
            <w:tcW w:w="2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58D5E1"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t>NPV @ 20% (£m)</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11E1B8"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t>Approx. IRR</w:t>
            </w:r>
          </w:p>
        </w:tc>
      </w:tr>
      <w:tr w:rsidR="00803B40" w:rsidRPr="00B437F7" w14:paraId="3A5315F2" w14:textId="77777777">
        <w:trPr>
          <w:trHeight w:val="500"/>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C35AD"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t>A</w:t>
            </w:r>
          </w:p>
        </w:tc>
        <w:tc>
          <w:tcPr>
            <w:tcW w:w="2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F41ADF"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t>+1.31</w:t>
            </w:r>
          </w:p>
        </w:tc>
        <w:tc>
          <w:tcPr>
            <w:tcW w:w="2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B79B80"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Gungsuh" w:hAnsiTheme="majorBidi" w:cstheme="majorBidi"/>
                <w:sz w:val="24"/>
                <w:szCs w:val="24"/>
              </w:rPr>
              <w:t>−5.20</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D56A11"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Gungsuh" w:hAnsiTheme="majorBidi" w:cstheme="majorBidi"/>
                <w:sz w:val="24"/>
                <w:szCs w:val="24"/>
              </w:rPr>
              <w:t>≈ 12–13%</w:t>
            </w:r>
          </w:p>
        </w:tc>
      </w:tr>
      <w:tr w:rsidR="00803B40" w:rsidRPr="00B437F7" w14:paraId="5215E65B" w14:textId="77777777">
        <w:trPr>
          <w:trHeight w:val="500"/>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7DC3DA"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t>B</w:t>
            </w:r>
          </w:p>
        </w:tc>
        <w:tc>
          <w:tcPr>
            <w:tcW w:w="2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CF3AFE"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Gungsuh" w:hAnsiTheme="majorBidi" w:cstheme="majorBidi"/>
                <w:sz w:val="24"/>
                <w:szCs w:val="24"/>
              </w:rPr>
              <w:t>−7.25</w:t>
            </w:r>
          </w:p>
        </w:tc>
        <w:tc>
          <w:tcPr>
            <w:tcW w:w="2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16EFFA"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Gungsuh" w:hAnsiTheme="majorBidi" w:cstheme="majorBidi"/>
                <w:sz w:val="24"/>
                <w:szCs w:val="24"/>
              </w:rPr>
              <w:t>−12.07</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010B28"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t>&lt; 5% (Not viable)</w:t>
            </w:r>
          </w:p>
        </w:tc>
      </w:tr>
      <w:tr w:rsidR="00803B40" w:rsidRPr="00B437F7" w14:paraId="7734613D" w14:textId="77777777">
        <w:trPr>
          <w:trHeight w:val="500"/>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330F52"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lastRenderedPageBreak/>
              <w:t>C</w:t>
            </w:r>
          </w:p>
        </w:tc>
        <w:tc>
          <w:tcPr>
            <w:tcW w:w="2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F8399"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t>+4.22</w:t>
            </w:r>
          </w:p>
        </w:tc>
        <w:tc>
          <w:tcPr>
            <w:tcW w:w="2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C85103"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Gungsuh" w:hAnsiTheme="majorBidi" w:cstheme="majorBidi"/>
                <w:sz w:val="24"/>
                <w:szCs w:val="24"/>
              </w:rPr>
              <w:t>−8.43</w:t>
            </w:r>
          </w:p>
        </w:tc>
        <w:tc>
          <w:tcPr>
            <w:tcW w:w="20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D89E0F" w14:textId="77777777" w:rsidR="00803B40" w:rsidRPr="00B437F7" w:rsidRDefault="00075786">
            <w:pPr>
              <w:spacing w:line="240" w:lineRule="auto"/>
              <w:rPr>
                <w:rFonts w:asciiTheme="majorBidi" w:eastAsia="Times New Roman" w:hAnsiTheme="majorBidi" w:cstheme="majorBidi"/>
                <w:sz w:val="24"/>
                <w:szCs w:val="24"/>
              </w:rPr>
            </w:pPr>
            <w:r w:rsidRPr="00B437F7">
              <w:rPr>
                <w:rFonts w:asciiTheme="majorBidi" w:eastAsia="Gungsuh" w:hAnsiTheme="majorBidi" w:cstheme="majorBidi"/>
                <w:sz w:val="24"/>
                <w:szCs w:val="24"/>
              </w:rPr>
              <w:t>≈ 13–14%</w:t>
            </w:r>
          </w:p>
        </w:tc>
      </w:tr>
    </w:tbl>
    <w:p w14:paraId="2F835F6A" w14:textId="77777777" w:rsidR="00803B40" w:rsidRPr="00B437F7" w:rsidRDefault="00075786">
      <w:pPr>
        <w:spacing w:before="280"/>
        <w:rPr>
          <w:rFonts w:asciiTheme="majorBidi" w:eastAsia="Times New Roman" w:hAnsiTheme="majorBidi" w:cstheme="majorBidi"/>
          <w:sz w:val="24"/>
          <w:szCs w:val="24"/>
        </w:rPr>
      </w:pPr>
      <w:r w:rsidRPr="00B437F7">
        <w:rPr>
          <w:rFonts w:asciiTheme="majorBidi" w:eastAsia="Times New Roman" w:hAnsiTheme="majorBidi" w:cstheme="majorBidi"/>
          <w:sz w:val="24"/>
          <w:szCs w:val="24"/>
        </w:rPr>
        <w:t>Interpretation</w:t>
      </w:r>
    </w:p>
    <w:p w14:paraId="5DF041E5" w14:textId="77777777" w:rsidR="00803B40" w:rsidRDefault="00075786">
      <w:pPr>
        <w:numPr>
          <w:ilvl w:val="0"/>
          <w:numId w:val="7"/>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C has an IRR of &gt; 13% which is well above the 10% threshold, meaning it has the highest IRR.   </w:t>
      </w:r>
    </w:p>
    <w:p w14:paraId="651CC69B" w14:textId="77777777" w:rsidR="00803B40" w:rsidRDefault="0007578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A also exceeds the threshold rate (hurdle) at ~12- 13%  making it acceptable.   </w:t>
      </w:r>
    </w:p>
    <w:p w14:paraId="1BFC0F0A" w14:textId="77777777" w:rsidR="00803B40" w:rsidRDefault="00075786">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B should be rejected as it fails the IRR criterion.   </w:t>
      </w:r>
    </w:p>
    <w:p w14:paraId="2FD9A73C"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Brigham &amp; </w:t>
      </w:r>
      <w:proofErr w:type="spellStart"/>
      <w:r>
        <w:rPr>
          <w:rFonts w:ascii="Times New Roman" w:eastAsia="Times New Roman" w:hAnsi="Times New Roman" w:cs="Times New Roman"/>
          <w:sz w:val="24"/>
          <w:szCs w:val="24"/>
        </w:rPr>
        <w:t>Ehrhardt</w:t>
      </w:r>
      <w:proofErr w:type="spellEnd"/>
      <w:r>
        <w:rPr>
          <w:rFonts w:ascii="Times New Roman" w:eastAsia="Times New Roman" w:hAnsi="Times New Roman" w:cs="Times New Roman"/>
          <w:sz w:val="24"/>
          <w:szCs w:val="24"/>
        </w:rPr>
        <w:t xml:space="preserve"> (2022) asserts that IRR, despite assuming a particular rate of reinvestment, is not to be used solely in isolation as it is a useful metric when combined with NPV and PI.</w:t>
      </w:r>
    </w:p>
    <w:p w14:paraId="4BF16FE7" w14:textId="77777777" w:rsidR="00803B40" w:rsidRDefault="00075786">
      <w:pPr>
        <w:pStyle w:val="Heading3"/>
        <w:spacing w:before="480"/>
        <w:rPr>
          <w:rFonts w:ascii="Times New Roman" w:eastAsia="Times New Roman" w:hAnsi="Times New Roman" w:cs="Times New Roman"/>
          <w:b/>
          <w:bCs/>
          <w:color w:val="000000"/>
          <w:sz w:val="24"/>
          <w:szCs w:val="24"/>
        </w:rPr>
      </w:pPr>
      <w:bookmarkStart w:id="44" w:name="_lg65vlgqg31" w:colFirst="0" w:colLast="0"/>
      <w:bookmarkEnd w:id="44"/>
      <w:r>
        <w:rPr>
          <w:rFonts w:ascii="Times New Roman" w:eastAsia="Times New Roman" w:hAnsi="Times New Roman" w:cs="Times New Roman"/>
          <w:b/>
          <w:bCs/>
          <w:color w:val="000000"/>
          <w:sz w:val="24"/>
          <w:szCs w:val="24"/>
        </w:rPr>
        <w:t>4.8 Risk Assessment &amp; Cash Flow Volatility</w:t>
      </w:r>
    </w:p>
    <w:p w14:paraId="085ED939"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GE's troubled financial situation as well as the different cash flow patterns of all three projects, a detailed risk assessment is a necessity. Among all, Project C has the most volatile cash flow with a steep incline of cash inflows starting at £5m in Year 1 and ending at £25m in Year 4, only to then steeply decline to £15m in Year 5. Such steep fluctuations increase the risk of forecasting and increase volatility risk of the project as a whole (</w:t>
      </w:r>
      <w:proofErr w:type="spellStart"/>
      <w:r>
        <w:rPr>
          <w:rFonts w:ascii="Times New Roman" w:eastAsia="Times New Roman" w:hAnsi="Times New Roman" w:cs="Times New Roman"/>
          <w:sz w:val="24"/>
          <w:szCs w:val="24"/>
        </w:rPr>
        <w:t>Damodaran</w:t>
      </w:r>
      <w:proofErr w:type="spellEnd"/>
      <w:r>
        <w:rPr>
          <w:rFonts w:ascii="Times New Roman" w:eastAsia="Times New Roman" w:hAnsi="Times New Roman" w:cs="Times New Roman"/>
          <w:sz w:val="24"/>
          <w:szCs w:val="24"/>
        </w:rPr>
        <w:t xml:space="preserve">, 2023). Projects with uneven cash flow patterns are risky, especially to firms with liquidity problems, as those projects are highly sensitive to changes in discount rates and underlying economic conditions.   </w:t>
      </w:r>
    </w:p>
    <w:p w14:paraId="39C00D30"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Project A has a bit of volatility as well with a cash flow pattern cycle consisting of stable cash flow growth for the first three years, then declining during the following years. While this cash flow cycle has a lower level of volatility id=rather than Project C, risk is still present especially if cash flow potential is not achieved during the earlier cycles of the pattern. Project B however, has a completely fixed cash set flow with £6m every year for 5 years. Such level of stability is highly desired in firms that are financially stressed (Ross et al 2021). Unfortunately, the fixed flow cash inflows of Project B are not only low in comparison to the other projects, but will also rather yield a negative NPV, meaning the project is financially unattractive, even if the risks are low.</w:t>
      </w:r>
    </w:p>
    <w:p w14:paraId="17C6CE18"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Negative equity and excess leverage financially extend GE’s engagement only in highly risky projects, whether long life and low inflows, or (lacking) any financing (cost) volatility. Thus, Project C’s NPV is highest, but volatility requires some more worrying support and (sensitivity?) adjustments, or stage (a) risk control in after only limited initial investments.</w:t>
      </w:r>
    </w:p>
    <w:p w14:paraId="40DD3886" w14:textId="77777777" w:rsidR="00803B40" w:rsidRDefault="00075786">
      <w:pPr>
        <w:pStyle w:val="Heading3"/>
        <w:keepNext w:val="0"/>
        <w:keepLines w:val="0"/>
        <w:spacing w:before="480"/>
        <w:rPr>
          <w:rFonts w:ascii="Times New Roman" w:eastAsia="Times New Roman" w:hAnsi="Times New Roman" w:cs="Times New Roman"/>
          <w:b/>
          <w:bCs/>
          <w:color w:val="000000"/>
          <w:sz w:val="24"/>
          <w:szCs w:val="24"/>
        </w:rPr>
      </w:pPr>
      <w:bookmarkStart w:id="45" w:name="_t44i3rxymzu0" w:colFirst="0" w:colLast="0"/>
      <w:bookmarkEnd w:id="45"/>
      <w:r>
        <w:rPr>
          <w:rFonts w:ascii="Times New Roman" w:eastAsia="Times New Roman" w:hAnsi="Times New Roman" w:cs="Times New Roman"/>
          <w:b/>
          <w:bCs/>
          <w:color w:val="000000"/>
          <w:sz w:val="24"/>
          <w:szCs w:val="24"/>
        </w:rPr>
        <w:t>4.9 Capital Rationing Decision (Max £60m)</w:t>
      </w:r>
    </w:p>
    <w:p w14:paraId="01CE434D" w14:textId="77777777" w:rsidR="00803B40" w:rsidRDefault="000757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GE’s capital rationing constraint of £60m means the firm cannot (and must decide not to) invest in all three projects. GE additionally is (likely) to value and optimize the remaining/ available </w:t>
      </w:r>
      <w:r>
        <w:rPr>
          <w:rFonts w:ascii="Times New Roman" w:eastAsia="Times New Roman" w:hAnsi="Times New Roman" w:cs="Times New Roman"/>
          <w:sz w:val="24"/>
          <w:szCs w:val="24"/>
        </w:rPr>
        <w:lastRenderedPageBreak/>
        <w:t>excess value in budget constraint (</w:t>
      </w:r>
      <w:proofErr w:type="spellStart"/>
      <w:r>
        <w:rPr>
          <w:rFonts w:ascii="Times New Roman" w:eastAsia="Times New Roman" w:hAnsi="Times New Roman" w:cs="Times New Roman"/>
          <w:sz w:val="24"/>
          <w:szCs w:val="24"/>
        </w:rPr>
        <w:t>Brealey</w:t>
      </w:r>
      <w:proofErr w:type="spellEnd"/>
      <w:r>
        <w:rPr>
          <w:rFonts w:ascii="Times New Roman" w:eastAsia="Times New Roman" w:hAnsi="Times New Roman" w:cs="Times New Roman"/>
          <w:sz w:val="24"/>
          <w:szCs w:val="24"/>
        </w:rPr>
        <w:t xml:space="preserve"> and al., 2022). The key parameters and/ or indications of (or/ to) excess are summarized in the following:</w:t>
      </w:r>
    </w:p>
    <w:tbl>
      <w:tblPr>
        <w:tblStyle w:val="ab"/>
        <w:tblW w:w="53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5"/>
        <w:gridCol w:w="1400"/>
        <w:gridCol w:w="1265"/>
        <w:gridCol w:w="650"/>
        <w:gridCol w:w="1025"/>
      </w:tblGrid>
      <w:tr w:rsidR="00803B40" w14:paraId="5964E2D7" w14:textId="77777777">
        <w:trPr>
          <w:trHeight w:val="500"/>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8938C"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Project</w:t>
            </w:r>
          </w:p>
        </w:tc>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415301"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Initial (£m)</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A227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NPV (£m)</w:t>
            </w:r>
          </w:p>
        </w:tc>
        <w:tc>
          <w:tcPr>
            <w:tcW w:w="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A9AFB7"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PI</w:t>
            </w:r>
          </w:p>
        </w:tc>
        <w:tc>
          <w:tcPr>
            <w:tcW w:w="1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C6A997"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IRR</w:t>
            </w:r>
          </w:p>
        </w:tc>
      </w:tr>
      <w:tr w:rsidR="00803B40" w14:paraId="1D4F071E" w14:textId="77777777">
        <w:trPr>
          <w:trHeight w:val="500"/>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F3BE8"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89F90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23D298"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+1.31</w:t>
            </w:r>
          </w:p>
        </w:tc>
        <w:tc>
          <w:tcPr>
            <w:tcW w:w="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52E284"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1.03</w:t>
            </w:r>
          </w:p>
        </w:tc>
        <w:tc>
          <w:tcPr>
            <w:tcW w:w="1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C8BED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12–13%</w:t>
            </w:r>
          </w:p>
        </w:tc>
      </w:tr>
      <w:tr w:rsidR="00803B40" w14:paraId="72AA3C1B" w14:textId="77777777">
        <w:trPr>
          <w:trHeight w:val="500"/>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D0D3C6"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w:t>
            </w:r>
          </w:p>
        </w:tc>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5956E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6CAA2"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–7.25</w:t>
            </w:r>
          </w:p>
        </w:tc>
        <w:tc>
          <w:tcPr>
            <w:tcW w:w="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787AF9"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0.76</w:t>
            </w:r>
          </w:p>
        </w:tc>
        <w:tc>
          <w:tcPr>
            <w:tcW w:w="1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27F4B"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&lt;5%</w:t>
            </w:r>
          </w:p>
        </w:tc>
      </w:tr>
      <w:tr w:rsidR="00803B40" w14:paraId="64E3AFEE" w14:textId="77777777">
        <w:trPr>
          <w:trHeight w:val="500"/>
        </w:trPr>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D0CC2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p>
        </w:tc>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359144"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12E360"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p>
        </w:tc>
        <w:tc>
          <w:tcPr>
            <w:tcW w:w="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A9B583"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p>
        </w:tc>
        <w:tc>
          <w:tcPr>
            <w:tcW w:w="1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A5420D" w14:textId="77777777" w:rsidR="00803B40" w:rsidRDefault="0007578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13–14%</w:t>
            </w:r>
          </w:p>
        </w:tc>
      </w:tr>
    </w:tbl>
    <w:p w14:paraId="0DE13B0B" w14:textId="77777777" w:rsidR="00803B40" w:rsidRDefault="00075786">
      <w:pPr>
        <w:spacing w:before="2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Feasible combinations under £60m limit</w:t>
      </w:r>
    </w:p>
    <w:p w14:paraId="14A2D8F6" w14:textId="77777777" w:rsidR="00803B40" w:rsidRDefault="00075786">
      <w:pPr>
        <w:numPr>
          <w:ilvl w:val="0"/>
          <w:numId w:val="13"/>
        </w:numPr>
        <w:spacing w:before="240"/>
        <w:rPr>
          <w:rFonts w:ascii="Times New Roman" w:eastAsia="Times New Roman" w:hAnsi="Times New Roman" w:cs="Times New Roman"/>
          <w:sz w:val="24"/>
          <w:szCs w:val="24"/>
        </w:rPr>
      </w:pPr>
      <w:r>
        <w:rPr>
          <w:rFonts w:ascii="Cardo" w:eastAsia="Cardo" w:hAnsi="Cardo" w:cs="Cardo"/>
          <w:sz w:val="24"/>
          <w:szCs w:val="24"/>
        </w:rPr>
        <w:t>A + B = £70m → Not feasible</w:t>
      </w:r>
    </w:p>
    <w:p w14:paraId="4669FF2D" w14:textId="77777777" w:rsidR="00803B40" w:rsidRDefault="00075786">
      <w:pPr>
        <w:numPr>
          <w:ilvl w:val="0"/>
          <w:numId w:val="13"/>
        </w:numPr>
        <w:rPr>
          <w:rFonts w:ascii="Times New Roman" w:eastAsia="Times New Roman" w:hAnsi="Times New Roman" w:cs="Times New Roman"/>
          <w:sz w:val="24"/>
          <w:szCs w:val="24"/>
        </w:rPr>
      </w:pPr>
      <w:r>
        <w:rPr>
          <w:rFonts w:ascii="Cardo" w:eastAsia="Cardo" w:hAnsi="Cardo" w:cs="Cardo"/>
          <w:sz w:val="24"/>
          <w:szCs w:val="24"/>
        </w:rPr>
        <w:t>B + C = £80m → Not feasible</w:t>
      </w:r>
    </w:p>
    <w:p w14:paraId="6B6F48D2" w14:textId="77777777" w:rsidR="00803B40" w:rsidRDefault="00075786">
      <w:pPr>
        <w:numPr>
          <w:ilvl w:val="0"/>
          <w:numId w:val="13"/>
        </w:numPr>
        <w:rPr>
          <w:rFonts w:ascii="Times New Roman" w:eastAsia="Times New Roman" w:hAnsi="Times New Roman" w:cs="Times New Roman"/>
          <w:sz w:val="24"/>
          <w:szCs w:val="24"/>
        </w:rPr>
      </w:pPr>
      <w:r>
        <w:rPr>
          <w:rFonts w:ascii="Cardo" w:eastAsia="Cardo" w:hAnsi="Cardo" w:cs="Cardo"/>
          <w:sz w:val="24"/>
          <w:szCs w:val="24"/>
        </w:rPr>
        <w:t>A + C = £90m → Not feasible</w:t>
      </w:r>
    </w:p>
    <w:p w14:paraId="27499A93" w14:textId="77777777" w:rsidR="00803B40" w:rsidRDefault="00075786">
      <w:pPr>
        <w:numPr>
          <w:ilvl w:val="0"/>
          <w:numId w:val="13"/>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Only A or only C can be selected</w:t>
      </w:r>
    </w:p>
    <w:p w14:paraId="4DBBBDA9" w14:textId="77777777" w:rsidR="00803B40"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rationing is tight, the project with the highest profit index should be chosen. C has the most significant profit index of 1.08 and the most significant net present value, beating A. Thus, in a situation of capital rationing, investing in only one project, C, is the most valuable.</w:t>
      </w:r>
    </w:p>
    <w:p w14:paraId="3667E871" w14:textId="77777777" w:rsidR="00803B40" w:rsidRDefault="00075786">
      <w:pPr>
        <w:pStyle w:val="Heading3"/>
        <w:keepNext w:val="0"/>
        <w:keepLines w:val="0"/>
        <w:spacing w:before="480"/>
        <w:rPr>
          <w:rFonts w:ascii="Times New Roman" w:eastAsia="Times New Roman" w:hAnsi="Times New Roman" w:cs="Times New Roman"/>
          <w:color w:val="000000"/>
          <w:sz w:val="24"/>
          <w:szCs w:val="24"/>
        </w:rPr>
      </w:pPr>
      <w:bookmarkStart w:id="46" w:name="_30gnnr9vrn3t" w:colFirst="0" w:colLast="0"/>
      <w:bookmarkEnd w:id="46"/>
      <w:r>
        <w:rPr>
          <w:rFonts w:ascii="Times New Roman" w:eastAsia="Times New Roman" w:hAnsi="Times New Roman" w:cs="Times New Roman"/>
          <w:b/>
          <w:bCs/>
          <w:color w:val="000000"/>
          <w:sz w:val="24"/>
          <w:szCs w:val="24"/>
        </w:rPr>
        <w:t>4.10 Final Investment Recommendation</w:t>
      </w:r>
    </w:p>
    <w:p w14:paraId="72F5C761" w14:textId="7B52F9B8" w:rsidR="00803B40" w:rsidRPr="008813EB" w:rsidRDefault="00075786">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Taking into account the net present value, the internal rate of return, the profit index, the payback period, and risk, the best choice is C. It has the most significant net present value of 4.22 million, the best return (internal rate of return is around 13 to 14 percent), and the best profit index of 1.08. The risk that GE would have to take is justified since, even though the project would have the most considerable cash flow volatility, the returns would be worth it. The information GE would need to mitigate risk would be the phased execution of the project, monitoring, and stress tests.A is also an option, but it is still much worse than C in all the metrics that would value it the most. B is an obvious no, with negative net present value, low internal rate of return, and cash flow volatility.Given capital rationing, the need to create value in the short term, and maximizing shareholder wealth in the long term (strategic recovery), C is the only option that makes sense, (Brigham &amp; </w:t>
      </w:r>
      <w:proofErr w:type="spellStart"/>
      <w:r>
        <w:rPr>
          <w:rFonts w:ascii="Times New Roman" w:eastAsia="Times New Roman" w:hAnsi="Times New Roman" w:cs="Times New Roman"/>
          <w:sz w:val="24"/>
          <w:szCs w:val="24"/>
        </w:rPr>
        <w:t>Ehrhardt</w:t>
      </w:r>
      <w:proofErr w:type="spellEnd"/>
      <w:r>
        <w:rPr>
          <w:rFonts w:ascii="Times New Roman" w:eastAsia="Times New Roman" w:hAnsi="Times New Roman" w:cs="Times New Roman"/>
          <w:sz w:val="24"/>
          <w:szCs w:val="24"/>
        </w:rPr>
        <w:t>, 2022).</w:t>
      </w:r>
    </w:p>
    <w:p w14:paraId="59EEBF9C" w14:textId="77777777" w:rsidR="00803B40" w:rsidRDefault="00075786">
      <w:pPr>
        <w:pStyle w:val="Heading2"/>
        <w:keepNext w:val="0"/>
        <w:keepLines w:val="0"/>
        <w:spacing w:before="480"/>
        <w:rPr>
          <w:rFonts w:ascii="Times New Roman" w:eastAsia="Times New Roman" w:hAnsi="Times New Roman" w:cs="Times New Roman"/>
          <w:b/>
          <w:bCs/>
          <w:sz w:val="24"/>
          <w:szCs w:val="24"/>
        </w:rPr>
      </w:pPr>
      <w:bookmarkStart w:id="47" w:name="_po5430kmpl1u" w:colFirst="0" w:colLast="0"/>
      <w:bookmarkEnd w:id="47"/>
      <w:r>
        <w:rPr>
          <w:rFonts w:ascii="Times New Roman" w:eastAsia="Times New Roman" w:hAnsi="Times New Roman" w:cs="Times New Roman"/>
          <w:b/>
          <w:bCs/>
          <w:sz w:val="24"/>
          <w:szCs w:val="24"/>
        </w:rPr>
        <w:t>References:</w:t>
      </w:r>
    </w:p>
    <w:p w14:paraId="3739A8C0" w14:textId="77777777" w:rsidR="00803B40" w:rsidRDefault="00075786">
      <w:pPr>
        <w:numPr>
          <w:ilvl w:val="0"/>
          <w:numId w:val="14"/>
        </w:numPr>
        <w:spacing w:before="2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Bibeault</w:t>
      </w:r>
      <w:proofErr w:type="spellEnd"/>
      <w:r>
        <w:rPr>
          <w:rFonts w:ascii="Times New Roman" w:eastAsia="Times New Roman" w:hAnsi="Times New Roman" w:cs="Times New Roman"/>
          <w:sz w:val="24"/>
          <w:szCs w:val="24"/>
        </w:rPr>
        <w:t xml:space="preserve">, D. (2020) </w:t>
      </w:r>
      <w:r>
        <w:rPr>
          <w:rFonts w:ascii="Times New Roman" w:eastAsia="Times New Roman" w:hAnsi="Times New Roman" w:cs="Times New Roman"/>
          <w:i/>
          <w:iCs/>
          <w:sz w:val="24"/>
          <w:szCs w:val="24"/>
        </w:rPr>
        <w:t>Corporate Turnaround: How Managers Turn Losers into Winners</w:t>
      </w:r>
      <w:r>
        <w:rPr>
          <w:rFonts w:ascii="Times New Roman" w:eastAsia="Times New Roman" w:hAnsi="Times New Roman" w:cs="Times New Roman"/>
          <w:sz w:val="24"/>
          <w:szCs w:val="24"/>
        </w:rPr>
        <w:t>. 2nd ed. Beard Books.</w:t>
      </w:r>
    </w:p>
    <w:p w14:paraId="3A0BA8DD" w14:textId="77777777" w:rsidR="00803B40" w:rsidRDefault="00075786">
      <w:pPr>
        <w:numPr>
          <w:ilvl w:val="0"/>
          <w:numId w:val="14"/>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Hofer</w:t>
      </w:r>
      <w:proofErr w:type="spellEnd"/>
      <w:r>
        <w:rPr>
          <w:rFonts w:ascii="Times New Roman" w:eastAsia="Times New Roman" w:hAnsi="Times New Roman" w:cs="Times New Roman"/>
          <w:sz w:val="24"/>
          <w:szCs w:val="24"/>
        </w:rPr>
        <w:t xml:space="preserve">, C.W. (1980) “Turnaround Strategies”, </w:t>
      </w:r>
      <w:r>
        <w:rPr>
          <w:rFonts w:ascii="Times New Roman" w:eastAsia="Times New Roman" w:hAnsi="Times New Roman" w:cs="Times New Roman"/>
          <w:i/>
          <w:iCs/>
          <w:sz w:val="24"/>
          <w:szCs w:val="24"/>
        </w:rPr>
        <w:t>Journal of Business Strategy</w:t>
      </w:r>
      <w:r>
        <w:rPr>
          <w:rFonts w:ascii="Times New Roman" w:eastAsia="Times New Roman" w:hAnsi="Times New Roman" w:cs="Times New Roman"/>
          <w:sz w:val="24"/>
          <w:szCs w:val="24"/>
        </w:rPr>
        <w:t>, 1(1), pp. 19–31.</w:t>
      </w:r>
    </w:p>
    <w:p w14:paraId="6C59FB54" w14:textId="77777777" w:rsidR="00803B40" w:rsidRDefault="00075786">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Pearce, J.A. and Robbins, D.K. (1993) “Toward Improved Theory and Research on Business Turnaround”, </w:t>
      </w:r>
      <w:r>
        <w:rPr>
          <w:rFonts w:ascii="Times New Roman" w:eastAsia="Times New Roman" w:hAnsi="Times New Roman" w:cs="Times New Roman"/>
          <w:i/>
          <w:iCs/>
          <w:sz w:val="24"/>
          <w:szCs w:val="24"/>
        </w:rPr>
        <w:t>Journal of Management</w:t>
      </w:r>
      <w:r>
        <w:rPr>
          <w:rFonts w:ascii="Times New Roman" w:eastAsia="Times New Roman" w:hAnsi="Times New Roman" w:cs="Times New Roman"/>
          <w:sz w:val="24"/>
          <w:szCs w:val="24"/>
        </w:rPr>
        <w:t>, 19(3), pp. 613–636.</w:t>
      </w:r>
    </w:p>
    <w:p w14:paraId="530BA593" w14:textId="77777777" w:rsidR="00803B40" w:rsidRDefault="00075786">
      <w:pPr>
        <w:numPr>
          <w:ilvl w:val="0"/>
          <w:numId w:val="14"/>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Wruck</w:t>
      </w:r>
      <w:proofErr w:type="spellEnd"/>
      <w:r>
        <w:rPr>
          <w:rFonts w:ascii="Times New Roman" w:eastAsia="Times New Roman" w:hAnsi="Times New Roman" w:cs="Times New Roman"/>
          <w:sz w:val="24"/>
          <w:szCs w:val="24"/>
        </w:rPr>
        <w:t xml:space="preserve">, K. (1990) “Financial Distress, Reorganization and Organizational Efficiency”, </w:t>
      </w:r>
      <w:r>
        <w:rPr>
          <w:rFonts w:ascii="Times New Roman" w:eastAsia="Times New Roman" w:hAnsi="Times New Roman" w:cs="Times New Roman"/>
          <w:i/>
          <w:iCs/>
          <w:sz w:val="24"/>
          <w:szCs w:val="24"/>
        </w:rPr>
        <w:t>Journal of Financial Economics</w:t>
      </w:r>
      <w:r>
        <w:rPr>
          <w:rFonts w:ascii="Times New Roman" w:eastAsia="Times New Roman" w:hAnsi="Times New Roman" w:cs="Times New Roman"/>
          <w:sz w:val="24"/>
          <w:szCs w:val="24"/>
        </w:rPr>
        <w:t>, 27(2), pp. 419–444.</w:t>
      </w:r>
    </w:p>
    <w:p w14:paraId="00DBCD00" w14:textId="77777777" w:rsidR="00803B40" w:rsidRDefault="00075786">
      <w:pPr>
        <w:numPr>
          <w:ilvl w:val="0"/>
          <w:numId w:val="14"/>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Deloof</w:t>
      </w:r>
      <w:proofErr w:type="spellEnd"/>
      <w:r>
        <w:rPr>
          <w:rFonts w:ascii="Times New Roman" w:eastAsia="Times New Roman" w:hAnsi="Times New Roman" w:cs="Times New Roman"/>
          <w:sz w:val="24"/>
          <w:szCs w:val="24"/>
        </w:rPr>
        <w:t xml:space="preserve">, M. (2003) “Does Working Capital Management Affect Profitability of Belgian Firms?”, </w:t>
      </w:r>
      <w:r>
        <w:rPr>
          <w:rFonts w:ascii="Times New Roman" w:eastAsia="Times New Roman" w:hAnsi="Times New Roman" w:cs="Times New Roman"/>
          <w:i/>
          <w:iCs/>
          <w:sz w:val="24"/>
          <w:szCs w:val="24"/>
        </w:rPr>
        <w:t>Journal of Business Finance &amp; Accounting</w:t>
      </w:r>
      <w:r>
        <w:rPr>
          <w:rFonts w:ascii="Times New Roman" w:eastAsia="Times New Roman" w:hAnsi="Times New Roman" w:cs="Times New Roman"/>
          <w:sz w:val="24"/>
          <w:szCs w:val="24"/>
        </w:rPr>
        <w:t>, 30(3–4), pp. 573–588.</w:t>
      </w:r>
    </w:p>
    <w:p w14:paraId="0B542F40" w14:textId="77777777" w:rsidR="00803B40" w:rsidRDefault="00075786">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Shin, H.H. and </w:t>
      </w:r>
      <w:proofErr w:type="spellStart"/>
      <w:r>
        <w:rPr>
          <w:rFonts w:ascii="Times New Roman" w:eastAsia="Times New Roman" w:hAnsi="Times New Roman" w:cs="Times New Roman"/>
          <w:sz w:val="24"/>
          <w:szCs w:val="24"/>
        </w:rPr>
        <w:t>Soenen</w:t>
      </w:r>
      <w:proofErr w:type="spellEnd"/>
      <w:r>
        <w:rPr>
          <w:rFonts w:ascii="Times New Roman" w:eastAsia="Times New Roman" w:hAnsi="Times New Roman" w:cs="Times New Roman"/>
          <w:sz w:val="24"/>
          <w:szCs w:val="24"/>
        </w:rPr>
        <w:t xml:space="preserve">, L. (1998) “Efficiency of Working Capital and Corporate Profitability”, </w:t>
      </w:r>
      <w:r>
        <w:rPr>
          <w:rFonts w:ascii="Times New Roman" w:eastAsia="Times New Roman" w:hAnsi="Times New Roman" w:cs="Times New Roman"/>
          <w:i/>
          <w:iCs/>
          <w:sz w:val="24"/>
          <w:szCs w:val="24"/>
        </w:rPr>
        <w:t>Financial Practice and Education</w:t>
      </w:r>
      <w:r>
        <w:rPr>
          <w:rFonts w:ascii="Times New Roman" w:eastAsia="Times New Roman" w:hAnsi="Times New Roman" w:cs="Times New Roman"/>
          <w:sz w:val="24"/>
          <w:szCs w:val="24"/>
        </w:rPr>
        <w:t>, 8(2), pp. 37–45.</w:t>
      </w:r>
    </w:p>
    <w:p w14:paraId="37A57136" w14:textId="77777777" w:rsidR="00803B40" w:rsidRDefault="00075786">
      <w:pPr>
        <w:numPr>
          <w:ilvl w:val="0"/>
          <w:numId w:val="14"/>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Lamberson</w:t>
      </w:r>
      <w:proofErr w:type="spellEnd"/>
      <w:r>
        <w:rPr>
          <w:rFonts w:ascii="Times New Roman" w:eastAsia="Times New Roman" w:hAnsi="Times New Roman" w:cs="Times New Roman"/>
          <w:sz w:val="24"/>
          <w:szCs w:val="24"/>
        </w:rPr>
        <w:t xml:space="preserve">, M. (1995) “Changes in Working Capital of Small Firms in Relation to Changes in Economic Activity”, </w:t>
      </w:r>
      <w:r>
        <w:rPr>
          <w:rFonts w:ascii="Times New Roman" w:eastAsia="Times New Roman" w:hAnsi="Times New Roman" w:cs="Times New Roman"/>
          <w:i/>
          <w:iCs/>
          <w:sz w:val="24"/>
          <w:szCs w:val="24"/>
        </w:rPr>
        <w:t>American Journal of Business</w:t>
      </w:r>
      <w:r>
        <w:rPr>
          <w:rFonts w:ascii="Times New Roman" w:eastAsia="Times New Roman" w:hAnsi="Times New Roman" w:cs="Times New Roman"/>
          <w:sz w:val="24"/>
          <w:szCs w:val="24"/>
        </w:rPr>
        <w:t>, 10(2), pp. 45–50.</w:t>
      </w:r>
    </w:p>
    <w:p w14:paraId="60F4E41E" w14:textId="77777777" w:rsidR="00803B40" w:rsidRDefault="00075786">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Modigliani, F. and Miller, M. (1958) “The Cost of Capital, Corporation Finance and the Theory of Investment”, </w:t>
      </w:r>
      <w:r>
        <w:rPr>
          <w:rFonts w:ascii="Times New Roman" w:eastAsia="Times New Roman" w:hAnsi="Times New Roman" w:cs="Times New Roman"/>
          <w:i/>
          <w:iCs/>
          <w:sz w:val="24"/>
          <w:szCs w:val="24"/>
        </w:rPr>
        <w:t>American Economic Review</w:t>
      </w:r>
      <w:r>
        <w:rPr>
          <w:rFonts w:ascii="Times New Roman" w:eastAsia="Times New Roman" w:hAnsi="Times New Roman" w:cs="Times New Roman"/>
          <w:sz w:val="24"/>
          <w:szCs w:val="24"/>
        </w:rPr>
        <w:t>, 48(3), pp. 261–297.</w:t>
      </w:r>
    </w:p>
    <w:p w14:paraId="2DE03DAC" w14:textId="77777777" w:rsidR="00803B40" w:rsidRDefault="00075786">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Myers, S.C. (1984) “Capital Structure Puzzle”, </w:t>
      </w:r>
      <w:r>
        <w:rPr>
          <w:rFonts w:ascii="Times New Roman" w:eastAsia="Times New Roman" w:hAnsi="Times New Roman" w:cs="Times New Roman"/>
          <w:i/>
          <w:iCs/>
          <w:sz w:val="24"/>
          <w:szCs w:val="24"/>
        </w:rPr>
        <w:t>Journal of Finance</w:t>
      </w:r>
      <w:r>
        <w:rPr>
          <w:rFonts w:ascii="Times New Roman" w:eastAsia="Times New Roman" w:hAnsi="Times New Roman" w:cs="Times New Roman"/>
          <w:sz w:val="24"/>
          <w:szCs w:val="24"/>
        </w:rPr>
        <w:t>, 39(3), pp. 575–592.</w:t>
      </w:r>
    </w:p>
    <w:p w14:paraId="0EAAC31C" w14:textId="77777777" w:rsidR="00803B40" w:rsidRDefault="00075786">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Jensen, M. (1986) “Agency Costs of Free Cash Flow, Corporate Finance and Takeovers”, </w:t>
      </w:r>
      <w:r>
        <w:rPr>
          <w:rFonts w:ascii="Times New Roman" w:eastAsia="Times New Roman" w:hAnsi="Times New Roman" w:cs="Times New Roman"/>
          <w:i/>
          <w:iCs/>
          <w:sz w:val="24"/>
          <w:szCs w:val="24"/>
        </w:rPr>
        <w:t>American Economic Review</w:t>
      </w:r>
      <w:r>
        <w:rPr>
          <w:rFonts w:ascii="Times New Roman" w:eastAsia="Times New Roman" w:hAnsi="Times New Roman" w:cs="Times New Roman"/>
          <w:sz w:val="24"/>
          <w:szCs w:val="24"/>
        </w:rPr>
        <w:t>, 76(2), pp. 323–329.</w:t>
      </w:r>
    </w:p>
    <w:p w14:paraId="480BB18F" w14:textId="77777777" w:rsidR="00803B40" w:rsidRDefault="00075786">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Madura, J. and Fox, R. (2022) </w:t>
      </w:r>
      <w:r>
        <w:rPr>
          <w:rFonts w:ascii="Times New Roman" w:eastAsia="Times New Roman" w:hAnsi="Times New Roman" w:cs="Times New Roman"/>
          <w:i/>
          <w:iCs/>
          <w:sz w:val="24"/>
          <w:szCs w:val="24"/>
        </w:rPr>
        <w:t>International Financial Management</w:t>
      </w:r>
      <w:r>
        <w:rPr>
          <w:rFonts w:ascii="Times New Roman" w:eastAsia="Times New Roman" w:hAnsi="Times New Roman" w:cs="Times New Roman"/>
          <w:sz w:val="24"/>
          <w:szCs w:val="24"/>
        </w:rPr>
        <w:t xml:space="preserve">. 5th ed. </w:t>
      </w:r>
      <w:proofErr w:type="spellStart"/>
      <w:r>
        <w:rPr>
          <w:rFonts w:ascii="Times New Roman" w:eastAsia="Times New Roman" w:hAnsi="Times New Roman" w:cs="Times New Roman"/>
          <w:sz w:val="24"/>
          <w:szCs w:val="24"/>
        </w:rPr>
        <w:t>Cengage</w:t>
      </w:r>
      <w:proofErr w:type="spellEnd"/>
      <w:r>
        <w:rPr>
          <w:rFonts w:ascii="Times New Roman" w:eastAsia="Times New Roman" w:hAnsi="Times New Roman" w:cs="Times New Roman"/>
          <w:sz w:val="24"/>
          <w:szCs w:val="24"/>
        </w:rPr>
        <w:t>.</w:t>
      </w:r>
    </w:p>
    <w:p w14:paraId="03A7911F" w14:textId="77777777" w:rsidR="00803B40" w:rsidRDefault="00075786">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Shapiro, A. and Sarin, A. (2021) </w:t>
      </w:r>
      <w:r>
        <w:rPr>
          <w:rFonts w:ascii="Times New Roman" w:eastAsia="Times New Roman" w:hAnsi="Times New Roman" w:cs="Times New Roman"/>
          <w:i/>
          <w:iCs/>
          <w:sz w:val="24"/>
          <w:szCs w:val="24"/>
        </w:rPr>
        <w:t>Multinational Financial Management</w:t>
      </w:r>
      <w:r>
        <w:rPr>
          <w:rFonts w:ascii="Times New Roman" w:eastAsia="Times New Roman" w:hAnsi="Times New Roman" w:cs="Times New Roman"/>
          <w:sz w:val="24"/>
          <w:szCs w:val="24"/>
        </w:rPr>
        <w:t>. 11th ed. Wiley.</w:t>
      </w:r>
    </w:p>
    <w:p w14:paraId="4E770164" w14:textId="77777777" w:rsidR="00803B40" w:rsidRDefault="00075786">
      <w:pPr>
        <w:numPr>
          <w:ilvl w:val="0"/>
          <w:numId w:val="14"/>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G. (2001) </w:t>
      </w:r>
      <w:r>
        <w:rPr>
          <w:rFonts w:ascii="Times New Roman" w:eastAsia="Times New Roman" w:hAnsi="Times New Roman" w:cs="Times New Roman"/>
          <w:i/>
          <w:iCs/>
          <w:sz w:val="24"/>
          <w:szCs w:val="24"/>
        </w:rPr>
        <w:t>Culture’s Consequences: Comparing Values, Behaviors, Institutions and Organizations Across Nations</w:t>
      </w:r>
      <w:r>
        <w:rPr>
          <w:rFonts w:ascii="Times New Roman" w:eastAsia="Times New Roman" w:hAnsi="Times New Roman" w:cs="Times New Roman"/>
          <w:sz w:val="24"/>
          <w:szCs w:val="24"/>
        </w:rPr>
        <w:t>. Sage.</w:t>
      </w:r>
    </w:p>
    <w:p w14:paraId="467D3CD5" w14:textId="77777777" w:rsidR="00803B40" w:rsidRDefault="00075786">
      <w:pPr>
        <w:numPr>
          <w:ilvl w:val="0"/>
          <w:numId w:val="14"/>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Brealey</w:t>
      </w:r>
      <w:proofErr w:type="spellEnd"/>
      <w:r>
        <w:rPr>
          <w:rFonts w:ascii="Times New Roman" w:eastAsia="Times New Roman" w:hAnsi="Times New Roman" w:cs="Times New Roman"/>
          <w:sz w:val="24"/>
          <w:szCs w:val="24"/>
        </w:rPr>
        <w:t xml:space="preserve">, R.A. &amp; Marcus, A.J. (2019) </w:t>
      </w:r>
      <w:r>
        <w:rPr>
          <w:rFonts w:ascii="Times New Roman" w:eastAsia="Times New Roman" w:hAnsi="Times New Roman" w:cs="Times New Roman"/>
          <w:i/>
          <w:iCs/>
          <w:sz w:val="24"/>
          <w:szCs w:val="24"/>
        </w:rPr>
        <w:t>Fundamentals of Corporate Finance</w:t>
      </w:r>
      <w:r>
        <w:rPr>
          <w:rFonts w:ascii="Times New Roman" w:eastAsia="Times New Roman" w:hAnsi="Times New Roman" w:cs="Times New Roman"/>
          <w:sz w:val="24"/>
          <w:szCs w:val="24"/>
        </w:rPr>
        <w:t>. McGraw-Hill.</w:t>
      </w:r>
    </w:p>
    <w:p w14:paraId="4D93999C" w14:textId="77777777" w:rsidR="00803B40" w:rsidRDefault="00075786">
      <w:pPr>
        <w:numPr>
          <w:ilvl w:val="0"/>
          <w:numId w:val="14"/>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Koller</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Goedhart</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Wessels</w:t>
      </w:r>
      <w:proofErr w:type="spellEnd"/>
      <w:r>
        <w:rPr>
          <w:rFonts w:ascii="Times New Roman" w:eastAsia="Times New Roman" w:hAnsi="Times New Roman" w:cs="Times New Roman"/>
          <w:sz w:val="24"/>
          <w:szCs w:val="24"/>
        </w:rPr>
        <w:t xml:space="preserve">, D. (2020) </w:t>
      </w:r>
      <w:r>
        <w:rPr>
          <w:rFonts w:ascii="Times New Roman" w:eastAsia="Times New Roman" w:hAnsi="Times New Roman" w:cs="Times New Roman"/>
          <w:i/>
          <w:iCs/>
          <w:sz w:val="24"/>
          <w:szCs w:val="24"/>
        </w:rPr>
        <w:t>Valuation: Measuring and Managing the Value of Companies</w:t>
      </w:r>
      <w:r>
        <w:rPr>
          <w:rFonts w:ascii="Times New Roman" w:eastAsia="Times New Roman" w:hAnsi="Times New Roman" w:cs="Times New Roman"/>
          <w:sz w:val="24"/>
          <w:szCs w:val="24"/>
        </w:rPr>
        <w:t>. 7th ed. McKinsey/Wiley.</w:t>
      </w:r>
    </w:p>
    <w:p w14:paraId="3278D488" w14:textId="77777777" w:rsidR="00803B40" w:rsidRDefault="00075786">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Arnold, G. (2019) </w:t>
      </w:r>
      <w:r>
        <w:rPr>
          <w:rFonts w:ascii="Times New Roman" w:eastAsia="Times New Roman" w:hAnsi="Times New Roman" w:cs="Times New Roman"/>
          <w:i/>
          <w:iCs/>
          <w:sz w:val="24"/>
          <w:szCs w:val="24"/>
        </w:rPr>
        <w:t>Corporate Financial Management</w:t>
      </w:r>
      <w:r>
        <w:rPr>
          <w:rFonts w:ascii="Times New Roman" w:eastAsia="Times New Roman" w:hAnsi="Times New Roman" w:cs="Times New Roman"/>
          <w:sz w:val="24"/>
          <w:szCs w:val="24"/>
        </w:rPr>
        <w:t>. 6th ed. Pearson.</w:t>
      </w:r>
    </w:p>
    <w:p w14:paraId="607E3D98" w14:textId="77777777" w:rsidR="00803B40" w:rsidRDefault="00075786">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Platt, H. and Platt, M. (2002) “Predicting Corporate Financial Distress”, </w:t>
      </w:r>
      <w:r>
        <w:rPr>
          <w:rFonts w:ascii="Times New Roman" w:eastAsia="Times New Roman" w:hAnsi="Times New Roman" w:cs="Times New Roman"/>
          <w:i/>
          <w:iCs/>
          <w:sz w:val="24"/>
          <w:szCs w:val="24"/>
        </w:rPr>
        <w:t>Journal of Economics and Finance</w:t>
      </w:r>
      <w:r>
        <w:rPr>
          <w:rFonts w:ascii="Times New Roman" w:eastAsia="Times New Roman" w:hAnsi="Times New Roman" w:cs="Times New Roman"/>
          <w:sz w:val="24"/>
          <w:szCs w:val="24"/>
        </w:rPr>
        <w:t>, 26(2), pp. 184–199.</w:t>
      </w:r>
    </w:p>
    <w:p w14:paraId="660DE867" w14:textId="77777777" w:rsidR="00803B40" w:rsidRPr="009D45EA" w:rsidRDefault="00075786">
      <w:pPr>
        <w:numPr>
          <w:ilvl w:val="0"/>
          <w:numId w:val="14"/>
        </w:numPr>
        <w:spacing w:after="2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Ohlson</w:t>
      </w:r>
      <w:proofErr w:type="spellEnd"/>
      <w:r>
        <w:rPr>
          <w:rFonts w:ascii="Times New Roman" w:eastAsia="Times New Roman" w:hAnsi="Times New Roman" w:cs="Times New Roman"/>
          <w:sz w:val="24"/>
          <w:szCs w:val="24"/>
        </w:rPr>
        <w:t xml:space="preserve">, J. (1980) “Financial Ratios and the Probabilistic Prediction of Bankruptcy”, </w:t>
      </w:r>
      <w:r>
        <w:rPr>
          <w:rFonts w:ascii="Times New Roman" w:eastAsia="Times New Roman" w:hAnsi="Times New Roman" w:cs="Times New Roman"/>
          <w:i/>
          <w:iCs/>
          <w:sz w:val="24"/>
          <w:szCs w:val="24"/>
        </w:rPr>
        <w:t>Journal of Accounting Research</w:t>
      </w:r>
      <w:r>
        <w:rPr>
          <w:rFonts w:ascii="Times New Roman" w:eastAsia="Times New Roman" w:hAnsi="Times New Roman" w:cs="Times New Roman"/>
          <w:sz w:val="24"/>
          <w:szCs w:val="24"/>
        </w:rPr>
        <w:t>, 18(1), pp. 109–131.</w:t>
      </w:r>
    </w:p>
    <w:p w14:paraId="644023C8" w14:textId="77777777" w:rsidR="009D45EA" w:rsidRDefault="009D45EA" w:rsidP="009D45EA">
      <w:pPr>
        <w:spacing w:after="240"/>
        <w:rPr>
          <w:rFonts w:ascii="Times New Roman" w:eastAsia="Times New Roman" w:hAnsi="Times New Roman" w:cs="Vrinda"/>
          <w:sz w:val="24"/>
          <w:szCs w:val="30"/>
          <w:lang w:bidi="bn-IN"/>
        </w:rPr>
      </w:pPr>
    </w:p>
    <w:p w14:paraId="03265223" w14:textId="77777777" w:rsidR="009D45EA" w:rsidRDefault="009D45EA" w:rsidP="009D45EA">
      <w:pPr>
        <w:spacing w:after="240"/>
        <w:rPr>
          <w:rFonts w:ascii="Times New Roman" w:eastAsia="Times New Roman" w:hAnsi="Times New Roman" w:cs="Vrinda"/>
          <w:sz w:val="24"/>
          <w:szCs w:val="30"/>
          <w:lang w:bidi="bn-IN"/>
        </w:rPr>
      </w:pPr>
    </w:p>
    <w:p w14:paraId="13F83160" w14:textId="77777777" w:rsidR="00F278CC" w:rsidRDefault="00F278CC" w:rsidP="009D45EA">
      <w:pPr>
        <w:spacing w:after="240"/>
        <w:rPr>
          <w:rFonts w:ascii="Times New Roman" w:eastAsia="Times New Roman" w:hAnsi="Times New Roman" w:cs="Vrinda"/>
          <w:sz w:val="24"/>
          <w:szCs w:val="30"/>
          <w:lang w:bidi="bn-IN"/>
        </w:rPr>
      </w:pPr>
    </w:p>
    <w:p w14:paraId="733ADA1D" w14:textId="77777777" w:rsidR="00F278CC" w:rsidRDefault="00F278CC" w:rsidP="009D45EA">
      <w:pPr>
        <w:spacing w:after="240"/>
        <w:rPr>
          <w:rFonts w:ascii="Times New Roman" w:eastAsia="Times New Roman" w:hAnsi="Times New Roman" w:cs="Vrinda"/>
          <w:sz w:val="24"/>
          <w:szCs w:val="30"/>
          <w:lang w:bidi="bn-IN"/>
        </w:rPr>
      </w:pPr>
    </w:p>
    <w:p w14:paraId="139F3E00" w14:textId="77777777" w:rsidR="00F278CC" w:rsidRDefault="00F278CC" w:rsidP="009D45EA">
      <w:pPr>
        <w:spacing w:after="240"/>
        <w:rPr>
          <w:rFonts w:ascii="Times New Roman" w:eastAsia="Times New Roman" w:hAnsi="Times New Roman" w:cs="Vrinda"/>
          <w:sz w:val="24"/>
          <w:szCs w:val="30"/>
          <w:lang w:bidi="bn-IN"/>
        </w:rPr>
      </w:pPr>
    </w:p>
    <w:p w14:paraId="13181FF7" w14:textId="03E9BA99" w:rsidR="00F278CC" w:rsidRDefault="00F278CC">
      <w:pPr>
        <w:pStyle w:val="p1"/>
      </w:pPr>
      <w:r w:rsidRPr="0057070F">
        <w:rPr>
          <w:rStyle w:val="s1"/>
          <w:rFonts w:asciiTheme="majorBidi" w:hAnsiTheme="majorBidi" w:cstheme="majorBidi"/>
          <w:b w:val="0"/>
          <w:bCs w:val="0"/>
          <w:sz w:val="24"/>
          <w:szCs w:val="24"/>
        </w:rPr>
        <w:lastRenderedPageBreak/>
        <w:t>Appendices</w:t>
      </w:r>
      <w:r>
        <w:rPr>
          <w:rStyle w:val="s1"/>
        </w:rPr>
        <w:t>:</w:t>
      </w:r>
    </w:p>
    <w:p w14:paraId="0FD34430" w14:textId="267C61CF" w:rsidR="00F278CC" w:rsidRDefault="00A947C5" w:rsidP="009D45EA">
      <w:pPr>
        <w:spacing w:after="240"/>
        <w:rPr>
          <w:rFonts w:ascii="Times New Roman" w:eastAsia="Times New Roman" w:hAnsi="Times New Roman" w:cs="Vrinda"/>
          <w:sz w:val="24"/>
          <w:szCs w:val="30"/>
          <w:lang w:bidi="bn-IN"/>
        </w:rPr>
      </w:pPr>
      <w:r>
        <w:rPr>
          <w:rFonts w:ascii="Times New Roman" w:eastAsia="Times New Roman" w:hAnsi="Times New Roman" w:cs="Vrinda" w:hint="cs"/>
          <w:noProof/>
          <w:sz w:val="24"/>
          <w:szCs w:val="30"/>
          <w:lang w:bidi="bn-IN"/>
        </w:rPr>
        <w:drawing>
          <wp:anchor distT="0" distB="0" distL="114300" distR="114300" simplePos="0" relativeHeight="251661312" behindDoc="0" locked="0" layoutInCell="1" allowOverlap="1" wp14:anchorId="7A595201" wp14:editId="65AE5C34">
            <wp:simplePos x="0" y="0"/>
            <wp:positionH relativeFrom="column">
              <wp:posOffset>-153670</wp:posOffset>
            </wp:positionH>
            <wp:positionV relativeFrom="paragraph">
              <wp:posOffset>239395</wp:posOffset>
            </wp:positionV>
            <wp:extent cx="5916930" cy="3835400"/>
            <wp:effectExtent l="0" t="0" r="1270" b="0"/>
            <wp:wrapTopAndBottom/>
            <wp:docPr id="21020927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92742" name="Picture 2102092742"/>
                    <pic:cNvPicPr/>
                  </pic:nvPicPr>
                  <pic:blipFill>
                    <a:blip r:embed="rId9">
                      <a:extLst>
                        <a:ext uri="{28A0092B-C50C-407E-A947-70E740481C1C}">
                          <a14:useLocalDpi xmlns:a14="http://schemas.microsoft.com/office/drawing/2010/main" val="0"/>
                        </a:ext>
                      </a:extLst>
                    </a:blip>
                    <a:stretch>
                      <a:fillRect/>
                    </a:stretch>
                  </pic:blipFill>
                  <pic:spPr>
                    <a:xfrm>
                      <a:off x="0" y="0"/>
                      <a:ext cx="5916930" cy="3835400"/>
                    </a:xfrm>
                    <a:prstGeom prst="rect">
                      <a:avLst/>
                    </a:prstGeom>
                  </pic:spPr>
                </pic:pic>
              </a:graphicData>
            </a:graphic>
            <wp14:sizeRelH relativeFrom="margin">
              <wp14:pctWidth>0</wp14:pctWidth>
            </wp14:sizeRelH>
            <wp14:sizeRelV relativeFrom="margin">
              <wp14:pctHeight>0</wp14:pctHeight>
            </wp14:sizeRelV>
          </wp:anchor>
        </w:drawing>
      </w:r>
    </w:p>
    <w:p w14:paraId="61075F9A" w14:textId="415A3182" w:rsidR="0057070F" w:rsidRDefault="0057070F" w:rsidP="009D45EA">
      <w:pPr>
        <w:spacing w:after="240"/>
        <w:rPr>
          <w:rFonts w:ascii="Times New Roman" w:eastAsia="Times New Roman" w:hAnsi="Times New Roman" w:cs="Vrinda"/>
          <w:sz w:val="24"/>
          <w:szCs w:val="30"/>
          <w:lang w:bidi="bn-IN"/>
        </w:rPr>
      </w:pPr>
    </w:p>
    <w:p w14:paraId="09D15E1A" w14:textId="015EA213" w:rsidR="00F278CC" w:rsidRDefault="00F278CC" w:rsidP="009D45EA">
      <w:pPr>
        <w:spacing w:after="240"/>
        <w:rPr>
          <w:rFonts w:ascii="Times New Roman" w:eastAsia="Times New Roman" w:hAnsi="Times New Roman" w:cs="Vrinda"/>
          <w:sz w:val="24"/>
          <w:szCs w:val="30"/>
          <w:lang w:bidi="bn-IN"/>
        </w:rPr>
      </w:pPr>
    </w:p>
    <w:p w14:paraId="23E3368A" w14:textId="08D04762" w:rsidR="00AE27F5" w:rsidRDefault="00AE27F5" w:rsidP="009D45EA">
      <w:pPr>
        <w:spacing w:after="240"/>
        <w:rPr>
          <w:rFonts w:ascii="Times New Roman" w:eastAsia="Times New Roman" w:hAnsi="Times New Roman" w:cs="Vrinda"/>
          <w:sz w:val="24"/>
          <w:szCs w:val="30"/>
          <w:lang w:bidi="bn-IN"/>
        </w:rPr>
      </w:pPr>
      <w:r>
        <w:rPr>
          <w:rFonts w:ascii="Times New Roman" w:eastAsia="Times New Roman" w:hAnsi="Times New Roman" w:cs="Vrinda" w:hint="cs"/>
          <w:noProof/>
          <w:sz w:val="24"/>
          <w:szCs w:val="30"/>
          <w:lang w:bidi="bn-IN"/>
        </w:rPr>
        <w:lastRenderedPageBreak/>
        <w:drawing>
          <wp:anchor distT="0" distB="0" distL="114300" distR="114300" simplePos="0" relativeHeight="251660288" behindDoc="0" locked="0" layoutInCell="1" allowOverlap="1" wp14:anchorId="610BF454" wp14:editId="1D52EC4C">
            <wp:simplePos x="0" y="0"/>
            <wp:positionH relativeFrom="column">
              <wp:posOffset>-83185</wp:posOffset>
            </wp:positionH>
            <wp:positionV relativeFrom="paragraph">
              <wp:posOffset>0</wp:posOffset>
            </wp:positionV>
            <wp:extent cx="6169426" cy="8280400"/>
            <wp:effectExtent l="0" t="0" r="3175" b="0"/>
            <wp:wrapTopAndBottom/>
            <wp:docPr id="1975851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851796" name="Picture 1975851796"/>
                    <pic:cNvPicPr/>
                  </pic:nvPicPr>
                  <pic:blipFill>
                    <a:blip r:embed="rId10">
                      <a:extLst>
                        <a:ext uri="{28A0092B-C50C-407E-A947-70E740481C1C}">
                          <a14:useLocalDpi xmlns:a14="http://schemas.microsoft.com/office/drawing/2010/main" val="0"/>
                        </a:ext>
                      </a:extLst>
                    </a:blip>
                    <a:stretch>
                      <a:fillRect/>
                    </a:stretch>
                  </pic:blipFill>
                  <pic:spPr>
                    <a:xfrm>
                      <a:off x="0" y="0"/>
                      <a:ext cx="6169426" cy="8280400"/>
                    </a:xfrm>
                    <a:prstGeom prst="rect">
                      <a:avLst/>
                    </a:prstGeom>
                  </pic:spPr>
                </pic:pic>
              </a:graphicData>
            </a:graphic>
            <wp14:sizeRelH relativeFrom="margin">
              <wp14:pctWidth>0</wp14:pctWidth>
            </wp14:sizeRelH>
            <wp14:sizeRelV relativeFrom="margin">
              <wp14:pctHeight>0</wp14:pctHeight>
            </wp14:sizeRelV>
          </wp:anchor>
        </w:drawing>
      </w:r>
    </w:p>
    <w:p w14:paraId="23355B18" w14:textId="211F6216" w:rsidR="00AE27F5" w:rsidRPr="00F278CC" w:rsidRDefault="00AE27F5" w:rsidP="009D45EA">
      <w:pPr>
        <w:spacing w:after="240"/>
        <w:rPr>
          <w:rFonts w:ascii="Times New Roman" w:eastAsia="Times New Roman" w:hAnsi="Times New Roman" w:cs="Vrinda" w:hint="cs"/>
          <w:sz w:val="24"/>
          <w:szCs w:val="30"/>
          <w:lang w:bidi="bn-IN"/>
        </w:rPr>
      </w:pPr>
      <w:r>
        <w:rPr>
          <w:rFonts w:ascii="Times New Roman" w:eastAsia="Times New Roman" w:hAnsi="Times New Roman" w:cs="Vrinda" w:hint="cs"/>
          <w:noProof/>
          <w:sz w:val="24"/>
          <w:szCs w:val="30"/>
          <w:lang w:bidi="bn-IN"/>
        </w:rPr>
        <w:lastRenderedPageBreak/>
        <w:drawing>
          <wp:anchor distT="0" distB="0" distL="114300" distR="114300" simplePos="0" relativeHeight="251662336" behindDoc="0" locked="0" layoutInCell="1" allowOverlap="1" wp14:anchorId="68B9EBE6" wp14:editId="531C44F3">
            <wp:simplePos x="0" y="0"/>
            <wp:positionH relativeFrom="column">
              <wp:posOffset>-286385</wp:posOffset>
            </wp:positionH>
            <wp:positionV relativeFrom="paragraph">
              <wp:posOffset>0</wp:posOffset>
            </wp:positionV>
            <wp:extent cx="6121400" cy="8524890"/>
            <wp:effectExtent l="0" t="0" r="0" b="0"/>
            <wp:wrapTopAndBottom/>
            <wp:docPr id="336541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4106" name="Picture 33654106"/>
                    <pic:cNvPicPr/>
                  </pic:nvPicPr>
                  <pic:blipFill>
                    <a:blip r:embed="rId11">
                      <a:extLst>
                        <a:ext uri="{28A0092B-C50C-407E-A947-70E740481C1C}">
                          <a14:useLocalDpi xmlns:a14="http://schemas.microsoft.com/office/drawing/2010/main" val="0"/>
                        </a:ext>
                      </a:extLst>
                    </a:blip>
                    <a:stretch>
                      <a:fillRect/>
                    </a:stretch>
                  </pic:blipFill>
                  <pic:spPr>
                    <a:xfrm>
                      <a:off x="0" y="0"/>
                      <a:ext cx="6121400" cy="8524890"/>
                    </a:xfrm>
                    <a:prstGeom prst="rect">
                      <a:avLst/>
                    </a:prstGeom>
                  </pic:spPr>
                </pic:pic>
              </a:graphicData>
            </a:graphic>
            <wp14:sizeRelH relativeFrom="margin">
              <wp14:pctWidth>0</wp14:pctWidth>
            </wp14:sizeRelH>
            <wp14:sizeRelV relativeFrom="margin">
              <wp14:pctHeight>0</wp14:pctHeight>
            </wp14:sizeRelV>
          </wp:anchor>
        </w:drawing>
      </w:r>
    </w:p>
    <w:sectPr w:rsidR="00AE27F5" w:rsidRPr="00F278CC">
      <w:headerReference w:type="even" r:id="rId12"/>
      <w:headerReference w:type="default" r:id="rId13"/>
      <w:footerReference w:type="default" r:id="rId14"/>
      <w:headerReference w:type="first" r:id="rId15"/>
      <w:pgSz w:w="12240" w:h="15840"/>
      <w:pgMar w:top="1411" w:right="1411" w:bottom="1411" w:left="141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F612C" w14:textId="77777777" w:rsidR="00406997" w:rsidRDefault="00406997">
      <w:pPr>
        <w:spacing w:line="240" w:lineRule="auto"/>
      </w:pPr>
      <w:r>
        <w:separator/>
      </w:r>
    </w:p>
  </w:endnote>
  <w:endnote w:type="continuationSeparator" w:id="0">
    <w:p w14:paraId="478C5DFA" w14:textId="77777777" w:rsidR="00406997" w:rsidRDefault="004069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rinda">
    <w:panose1 w:val="020B0502040204020203"/>
    <w:charset w:val="00"/>
    <w:family w:val="swiss"/>
    <w:pitch w:val="variable"/>
    <w:sig w:usb0="00010003" w:usb1="00000000" w:usb2="00000000" w:usb3="00000000" w:csb0="00000001" w:csb1="00000000"/>
  </w:font>
  <w:font w:name="Gungsuh">
    <w:panose1 w:val="02030600000101010101"/>
    <w:charset w:val="81"/>
    <w:family w:val="roman"/>
    <w:pitch w:val="variable"/>
    <w:sig w:usb0="B00002AF" w:usb1="69D77CFB" w:usb2="00000030" w:usb3="00000000" w:csb0="0008009F" w:csb1="00000000"/>
  </w:font>
  <w:font w:name="Caudex">
    <w:charset w:val="00"/>
    <w:family w:val="auto"/>
    <w:pitch w:val="default"/>
    <w:embedRegular r:id="rId1" w:fontKey="{5C9674E5-CFC5-B746-8345-EDF7D6ECC60A}"/>
    <w:embedBold r:id="rId2" w:fontKey="{A6850738-F164-8B40-8C62-B063BC9DF2AB}"/>
    <w:embedItalic r:id="rId3" w:fontKey="{23515BEE-9BCD-5949-A214-83DE175392C6}"/>
    <w:embedBoldItalic r:id="rId4" w:fontKey="{7C694813-598C-424A-9A36-9BDDFDE472A5}"/>
  </w:font>
  <w:font w:name="Cardo">
    <w:charset w:val="00"/>
    <w:family w:val="auto"/>
    <w:pitch w:val="default"/>
    <w:embedRegular r:id="rId5" w:fontKey="{08FCC564-7BDA-7040-A4D0-5029B5D4C215}"/>
    <w:embedBold r:id="rId6" w:fontKey="{79AE877D-D019-A74F-A9E4-A758B6DAEA72}"/>
    <w:embedItalic r:id="rId7" w:fontKey="{1424DA1B-0060-2440-950C-E1F8797E6A15}"/>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F7A5F" w14:textId="44F5C6C3" w:rsidR="00803B40" w:rsidRDefault="00075786">
    <w:pPr>
      <w:jc w:val="right"/>
    </w:pPr>
    <w:r>
      <w:fldChar w:fldCharType="begin"/>
    </w:r>
    <w:r>
      <w:instrText>PAGE</w:instrText>
    </w:r>
    <w:r>
      <w:fldChar w:fldCharType="separate"/>
    </w:r>
    <w:r w:rsidR="004A714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B25CD" w14:textId="77777777" w:rsidR="00406997" w:rsidRDefault="00406997">
      <w:pPr>
        <w:spacing w:line="240" w:lineRule="auto"/>
      </w:pPr>
      <w:r>
        <w:separator/>
      </w:r>
    </w:p>
  </w:footnote>
  <w:footnote w:type="continuationSeparator" w:id="0">
    <w:p w14:paraId="15D88128" w14:textId="77777777" w:rsidR="00406997" w:rsidRDefault="004069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86A4A" w14:textId="77777777" w:rsidR="00AE199F" w:rsidRDefault="00AE19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7E453" w14:textId="77777777" w:rsidR="00803B40" w:rsidRDefault="00803B4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78DA2" w14:textId="77777777" w:rsidR="00AE199F" w:rsidRDefault="00AE19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64C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541E0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C17CE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ED0D4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6424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71670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5503E3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B983FD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C7030D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7A405A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692E1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671523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762F5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AB437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6288836">
    <w:abstractNumId w:val="12"/>
  </w:num>
  <w:num w:numId="2" w16cid:durableId="384184187">
    <w:abstractNumId w:val="8"/>
  </w:num>
  <w:num w:numId="3" w16cid:durableId="268584694">
    <w:abstractNumId w:val="0"/>
  </w:num>
  <w:num w:numId="4" w16cid:durableId="799226083">
    <w:abstractNumId w:val="13"/>
  </w:num>
  <w:num w:numId="5" w16cid:durableId="2101677958">
    <w:abstractNumId w:val="10"/>
  </w:num>
  <w:num w:numId="6" w16cid:durableId="28914890">
    <w:abstractNumId w:val="2"/>
  </w:num>
  <w:num w:numId="7" w16cid:durableId="1648782423">
    <w:abstractNumId w:val="9"/>
  </w:num>
  <w:num w:numId="8" w16cid:durableId="439645238">
    <w:abstractNumId w:val="3"/>
  </w:num>
  <w:num w:numId="9" w16cid:durableId="381101564">
    <w:abstractNumId w:val="6"/>
  </w:num>
  <w:num w:numId="10" w16cid:durableId="552665545">
    <w:abstractNumId w:val="4"/>
  </w:num>
  <w:num w:numId="11" w16cid:durableId="268198114">
    <w:abstractNumId w:val="11"/>
  </w:num>
  <w:num w:numId="12" w16cid:durableId="128517117">
    <w:abstractNumId w:val="1"/>
  </w:num>
  <w:num w:numId="13" w16cid:durableId="487330993">
    <w:abstractNumId w:val="5"/>
  </w:num>
  <w:num w:numId="14" w16cid:durableId="14762963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displayBackgroundShap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B40"/>
    <w:rsid w:val="00075786"/>
    <w:rsid w:val="001440E1"/>
    <w:rsid w:val="001777E4"/>
    <w:rsid w:val="001846EF"/>
    <w:rsid w:val="002376B3"/>
    <w:rsid w:val="00242D62"/>
    <w:rsid w:val="002E2BB4"/>
    <w:rsid w:val="002F1B2F"/>
    <w:rsid w:val="00310B5D"/>
    <w:rsid w:val="003A66F0"/>
    <w:rsid w:val="00406997"/>
    <w:rsid w:val="00466F91"/>
    <w:rsid w:val="0047794E"/>
    <w:rsid w:val="00484EE7"/>
    <w:rsid w:val="00497341"/>
    <w:rsid w:val="004A69DB"/>
    <w:rsid w:val="004A714F"/>
    <w:rsid w:val="004C2C73"/>
    <w:rsid w:val="004C76CA"/>
    <w:rsid w:val="00521636"/>
    <w:rsid w:val="00531841"/>
    <w:rsid w:val="0057070F"/>
    <w:rsid w:val="00614BB4"/>
    <w:rsid w:val="0069748D"/>
    <w:rsid w:val="006C26C5"/>
    <w:rsid w:val="006E3001"/>
    <w:rsid w:val="0070294E"/>
    <w:rsid w:val="0072419B"/>
    <w:rsid w:val="00725787"/>
    <w:rsid w:val="007A4C30"/>
    <w:rsid w:val="007E265A"/>
    <w:rsid w:val="007F26F8"/>
    <w:rsid w:val="00803B40"/>
    <w:rsid w:val="00824BED"/>
    <w:rsid w:val="0084095C"/>
    <w:rsid w:val="008813EB"/>
    <w:rsid w:val="00893466"/>
    <w:rsid w:val="008A670E"/>
    <w:rsid w:val="008F2DC3"/>
    <w:rsid w:val="00977E71"/>
    <w:rsid w:val="009A6796"/>
    <w:rsid w:val="009D45EA"/>
    <w:rsid w:val="009E249B"/>
    <w:rsid w:val="009F44C3"/>
    <w:rsid w:val="00A947C5"/>
    <w:rsid w:val="00AD38B1"/>
    <w:rsid w:val="00AE199F"/>
    <w:rsid w:val="00AE27F5"/>
    <w:rsid w:val="00B437F7"/>
    <w:rsid w:val="00B739D3"/>
    <w:rsid w:val="00C10C87"/>
    <w:rsid w:val="00C21703"/>
    <w:rsid w:val="00C4455C"/>
    <w:rsid w:val="00C56A9B"/>
    <w:rsid w:val="00C961CC"/>
    <w:rsid w:val="00CA19AD"/>
    <w:rsid w:val="00DC1684"/>
    <w:rsid w:val="00E150C5"/>
    <w:rsid w:val="00E260A4"/>
    <w:rsid w:val="00EB777B"/>
    <w:rsid w:val="00F17463"/>
    <w:rsid w:val="00F1750E"/>
    <w:rsid w:val="00F278CC"/>
    <w:rsid w:val="00F3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ABAAA"/>
  <w15:docId w15:val="{428E08C4-BA8B-B144-92A9-2378D97B8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paragraph" w:styleId="Header">
    <w:name w:val="header"/>
    <w:basedOn w:val="Normal"/>
    <w:link w:val="HeaderChar"/>
    <w:uiPriority w:val="99"/>
    <w:unhideWhenUsed/>
    <w:rsid w:val="00AE199F"/>
    <w:pPr>
      <w:tabs>
        <w:tab w:val="center" w:pos="4513"/>
        <w:tab w:val="right" w:pos="9026"/>
      </w:tabs>
      <w:spacing w:line="240" w:lineRule="auto"/>
    </w:pPr>
  </w:style>
  <w:style w:type="character" w:customStyle="1" w:styleId="HeaderChar">
    <w:name w:val="Header Char"/>
    <w:basedOn w:val="DefaultParagraphFont"/>
    <w:link w:val="Header"/>
    <w:uiPriority w:val="99"/>
    <w:rsid w:val="00AE199F"/>
  </w:style>
  <w:style w:type="paragraph" w:styleId="Footer">
    <w:name w:val="footer"/>
    <w:basedOn w:val="Normal"/>
    <w:link w:val="FooterChar"/>
    <w:uiPriority w:val="99"/>
    <w:unhideWhenUsed/>
    <w:rsid w:val="00AE199F"/>
    <w:pPr>
      <w:tabs>
        <w:tab w:val="center" w:pos="4513"/>
        <w:tab w:val="right" w:pos="9026"/>
      </w:tabs>
      <w:spacing w:line="240" w:lineRule="auto"/>
    </w:pPr>
  </w:style>
  <w:style w:type="character" w:customStyle="1" w:styleId="FooterChar">
    <w:name w:val="Footer Char"/>
    <w:basedOn w:val="DefaultParagraphFont"/>
    <w:link w:val="Footer"/>
    <w:uiPriority w:val="99"/>
    <w:rsid w:val="00AE199F"/>
  </w:style>
  <w:style w:type="paragraph" w:customStyle="1" w:styleId="p1">
    <w:name w:val="p1"/>
    <w:basedOn w:val="Normal"/>
    <w:rsid w:val="001440E1"/>
    <w:pPr>
      <w:spacing w:line="240" w:lineRule="auto"/>
    </w:pPr>
    <w:rPr>
      <w:rFonts w:eastAsiaTheme="minorEastAsia"/>
      <w:color w:val="000000"/>
      <w:sz w:val="17"/>
      <w:szCs w:val="17"/>
      <w:lang w:val="en-GB"/>
    </w:rPr>
  </w:style>
  <w:style w:type="character" w:customStyle="1" w:styleId="s1">
    <w:name w:val="s1"/>
    <w:basedOn w:val="DefaultParagraphFont"/>
    <w:rsid w:val="001440E1"/>
    <w:rPr>
      <w:rFonts w:ascii="Arial-BoldMT" w:hAnsi="Arial-BoldMT" w:hint="default"/>
      <w:b/>
      <w:bCs/>
      <w:i w:val="0"/>
      <w:iCs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'[Book (2).xlsx]Sheet1'!$A$2</c:f>
              <c:strCache>
                <c:ptCount val="1"/>
                <c:pt idx="0">
                  <c:v>A</c:v>
                </c:pt>
              </c:strCache>
            </c:strRef>
          </c:tx>
          <c:spPr>
            <a:ln w="28575" cap="rnd">
              <a:solidFill>
                <a:schemeClr val="accent1"/>
              </a:solidFill>
              <a:round/>
            </a:ln>
            <a:effectLst/>
          </c:spPr>
          <c:marker>
            <c:symbol val="none"/>
          </c:marker>
          <c:cat>
            <c:strRef>
              <c:f>'[Book (2).xlsx]Sheet1'!$B$1:$D$1</c:f>
              <c:strCache>
                <c:ptCount val="3"/>
                <c:pt idx="0">
                  <c:v>PV of Inflows (£m)</c:v>
                </c:pt>
                <c:pt idx="1">
                  <c:v>Initial (£m)</c:v>
                </c:pt>
                <c:pt idx="2">
                  <c:v>PI</c:v>
                </c:pt>
              </c:strCache>
            </c:strRef>
          </c:cat>
          <c:val>
            <c:numRef>
              <c:f>'[Book (2).xlsx]Sheet1'!$B$2:$D$2</c:f>
              <c:numCache>
                <c:formatCode>General</c:formatCode>
                <c:ptCount val="3"/>
                <c:pt idx="0">
                  <c:v>41.31</c:v>
                </c:pt>
                <c:pt idx="1">
                  <c:v>40</c:v>
                </c:pt>
                <c:pt idx="2">
                  <c:v>1.03</c:v>
                </c:pt>
              </c:numCache>
            </c:numRef>
          </c:val>
          <c:smooth val="0"/>
          <c:extLst>
            <c:ext xmlns:c16="http://schemas.microsoft.com/office/drawing/2014/chart" uri="{C3380CC4-5D6E-409C-BE32-E72D297353CC}">
              <c16:uniqueId val="{00000000-651D-0A41-91AF-E8AFE5CD3F98}"/>
            </c:ext>
          </c:extLst>
        </c:ser>
        <c:ser>
          <c:idx val="1"/>
          <c:order val="1"/>
          <c:tx>
            <c:strRef>
              <c:f>'[Book (2).xlsx]Sheet1'!$A$3</c:f>
              <c:strCache>
                <c:ptCount val="1"/>
                <c:pt idx="0">
                  <c:v>B</c:v>
                </c:pt>
              </c:strCache>
            </c:strRef>
          </c:tx>
          <c:spPr>
            <a:ln w="28575" cap="rnd">
              <a:solidFill>
                <a:schemeClr val="accent2"/>
              </a:solidFill>
              <a:round/>
            </a:ln>
            <a:effectLst/>
          </c:spPr>
          <c:marker>
            <c:symbol val="none"/>
          </c:marker>
          <c:cat>
            <c:strRef>
              <c:f>'[Book (2).xlsx]Sheet1'!$B$1:$D$1</c:f>
              <c:strCache>
                <c:ptCount val="3"/>
                <c:pt idx="0">
                  <c:v>PV of Inflows (£m)</c:v>
                </c:pt>
                <c:pt idx="1">
                  <c:v>Initial (£m)</c:v>
                </c:pt>
                <c:pt idx="2">
                  <c:v>PI</c:v>
                </c:pt>
              </c:strCache>
            </c:strRef>
          </c:cat>
          <c:val>
            <c:numRef>
              <c:f>'[Book (2).xlsx]Sheet1'!$B$3:$D$3</c:f>
              <c:numCache>
                <c:formatCode>General</c:formatCode>
                <c:ptCount val="3"/>
                <c:pt idx="0">
                  <c:v>22.75</c:v>
                </c:pt>
                <c:pt idx="1">
                  <c:v>30</c:v>
                </c:pt>
                <c:pt idx="2">
                  <c:v>0.76</c:v>
                </c:pt>
              </c:numCache>
            </c:numRef>
          </c:val>
          <c:smooth val="0"/>
          <c:extLst>
            <c:ext xmlns:c16="http://schemas.microsoft.com/office/drawing/2014/chart" uri="{C3380CC4-5D6E-409C-BE32-E72D297353CC}">
              <c16:uniqueId val="{00000001-651D-0A41-91AF-E8AFE5CD3F98}"/>
            </c:ext>
          </c:extLst>
        </c:ser>
        <c:ser>
          <c:idx val="2"/>
          <c:order val="2"/>
          <c:tx>
            <c:strRef>
              <c:f>'[Book (2).xlsx]Sheet1'!$A$4</c:f>
              <c:strCache>
                <c:ptCount val="1"/>
                <c:pt idx="0">
                  <c:v>C</c:v>
                </c:pt>
              </c:strCache>
            </c:strRef>
          </c:tx>
          <c:spPr>
            <a:ln w="28575" cap="rnd">
              <a:solidFill>
                <a:schemeClr val="accent3"/>
              </a:solidFill>
              <a:round/>
            </a:ln>
            <a:effectLst/>
          </c:spPr>
          <c:marker>
            <c:symbol val="none"/>
          </c:marker>
          <c:cat>
            <c:strRef>
              <c:f>'[Book (2).xlsx]Sheet1'!$B$1:$D$1</c:f>
              <c:strCache>
                <c:ptCount val="3"/>
                <c:pt idx="0">
                  <c:v>PV of Inflows (£m)</c:v>
                </c:pt>
                <c:pt idx="1">
                  <c:v>Initial (£m)</c:v>
                </c:pt>
                <c:pt idx="2">
                  <c:v>PI</c:v>
                </c:pt>
              </c:strCache>
            </c:strRef>
          </c:cat>
          <c:val>
            <c:numRef>
              <c:f>'[Book (2).xlsx]Sheet1'!$B$4:$D$4</c:f>
              <c:numCache>
                <c:formatCode>General</c:formatCode>
                <c:ptCount val="3"/>
                <c:pt idx="0">
                  <c:v>54.22</c:v>
                </c:pt>
                <c:pt idx="1">
                  <c:v>50</c:v>
                </c:pt>
                <c:pt idx="2">
                  <c:v>1.08</c:v>
                </c:pt>
              </c:numCache>
            </c:numRef>
          </c:val>
          <c:smooth val="0"/>
          <c:extLst>
            <c:ext xmlns:c16="http://schemas.microsoft.com/office/drawing/2014/chart" uri="{C3380CC4-5D6E-409C-BE32-E72D297353CC}">
              <c16:uniqueId val="{00000002-651D-0A41-91AF-E8AFE5CD3F98}"/>
            </c:ext>
          </c:extLst>
        </c:ser>
        <c:dLbls>
          <c:showLegendKey val="0"/>
          <c:showVal val="0"/>
          <c:showCatName val="0"/>
          <c:showSerName val="0"/>
          <c:showPercent val="0"/>
          <c:showBubbleSize val="0"/>
        </c:dLbls>
        <c:smooth val="0"/>
        <c:axId val="1083721024"/>
        <c:axId val="1083722816"/>
      </c:lineChart>
      <c:catAx>
        <c:axId val="1083721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3722816"/>
        <c:crosses val="autoZero"/>
        <c:auto val="1"/>
        <c:lblAlgn val="ctr"/>
        <c:lblOffset val="100"/>
        <c:noMultiLvlLbl val="0"/>
      </c:catAx>
      <c:valAx>
        <c:axId val="1083722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3721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28</Pages>
  <Words>7176</Words>
  <Characters>40909</Characters>
  <Application>Microsoft Office Word</Application>
  <DocSecurity>0</DocSecurity>
  <Lines>340</Lines>
  <Paragraphs>95</Paragraphs>
  <ScaleCrop>false</ScaleCrop>
  <Company/>
  <LinksUpToDate>false</LinksUpToDate>
  <CharactersWithSpaces>47990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natik natik</cp:lastModifiedBy>
  <cp:revision>60</cp:revision>
  <dcterms:created xsi:type="dcterms:W3CDTF">2025-12-19T11:40:00Z</dcterms:created>
  <dcterms:modified xsi:type="dcterms:W3CDTF">2025-12-21T02:35:00Z</dcterms:modified>
</cp:coreProperties>
</file>