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36DF7" w14:textId="167228F4" w:rsidR="00E36D25" w:rsidRPr="00DB42F9" w:rsidRDefault="00C205D9" w:rsidP="00E36D25">
      <w:pPr>
        <w:pStyle w:val="Heading1"/>
        <w:jc w:val="center"/>
        <w:rPr>
          <w:b w:val="0"/>
        </w:rPr>
      </w:pPr>
      <w:bookmarkStart w:id="0" w:name="_Toc209284755"/>
      <w:r>
        <w:t>CHAPTER</w:t>
      </w:r>
      <w:r w:rsidR="00E36D25" w:rsidRPr="00DB42F9">
        <w:t xml:space="preserve"> 3: Methodology</w:t>
      </w:r>
      <w:bookmarkEnd w:id="0"/>
    </w:p>
    <w:p w14:paraId="0ACE9A17" w14:textId="77777777" w:rsidR="00E36D25" w:rsidRPr="00DB42F9" w:rsidRDefault="00E36D25" w:rsidP="00E36D25">
      <w:pPr>
        <w:spacing w:before="120" w:after="120" w:line="360" w:lineRule="auto"/>
        <w:jc w:val="both"/>
        <w:rPr>
          <w:rFonts w:eastAsia="Times New Roman" w:cs="Arial"/>
          <w:color w:val="000000" w:themeColor="text1"/>
          <w:szCs w:val="24"/>
        </w:rPr>
      </w:pPr>
      <w:r w:rsidRPr="00DB42F9">
        <w:rPr>
          <w:rFonts w:eastAsia="Times New Roman" w:cs="Arial"/>
          <w:color w:val="000000" w:themeColor="text1"/>
          <w:szCs w:val="24"/>
        </w:rPr>
        <w:t>The academic poster was professionally designed and formatted below. It is also designed in Canva to ensure visual clarity and consistency with scholarly standards. High-resolution export files (PDF) have been prepared for print and digital use. Please refer to the attached Canva export for review and dissemination.</w:t>
      </w:r>
    </w:p>
    <w:p w14:paraId="32FA137D" w14:textId="77777777" w:rsidR="00E36D25" w:rsidRPr="00DB42F9" w:rsidRDefault="00E36D25" w:rsidP="00E36D25">
      <w:pPr>
        <w:spacing w:before="120" w:after="120" w:line="360" w:lineRule="auto"/>
        <w:jc w:val="center"/>
        <w:rPr>
          <w:rFonts w:eastAsia="Times New Roman" w:cs="Arial"/>
          <w:color w:val="000000" w:themeColor="text1"/>
          <w:sz w:val="24"/>
          <w:szCs w:val="24"/>
        </w:rPr>
      </w:pPr>
      <w:r w:rsidRPr="00DB42F9">
        <w:rPr>
          <w:rFonts w:eastAsia="Times New Roman" w:cs="Arial"/>
          <w:color w:val="000000" w:themeColor="text1"/>
          <w:sz w:val="24"/>
          <w:szCs w:val="24"/>
        </w:rPr>
        <w:object w:dxaOrig="1261" w:dyaOrig="816" w14:anchorId="54A708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3pt;height:41pt" o:ole="">
            <v:imagedata r:id="rId7" o:title=""/>
          </v:shape>
          <o:OLEObject Type="Embed" ProgID="Package" ShapeID="_x0000_i1025" DrawAspect="Content" ObjectID="_1822736185" r:id="rId8"/>
        </w:object>
      </w:r>
    </w:p>
    <w:p w14:paraId="3ECA5F8D" w14:textId="77777777" w:rsidR="00E36D25" w:rsidRPr="00DB42F9" w:rsidRDefault="00E36D25" w:rsidP="00E36D25">
      <w:pPr>
        <w:pStyle w:val="NormalWeb"/>
        <w:spacing w:line="360" w:lineRule="auto"/>
        <w:jc w:val="both"/>
        <w:rPr>
          <w:rFonts w:ascii="Arial" w:hAnsi="Arial" w:cs="Arial"/>
          <w:sz w:val="22"/>
        </w:rPr>
      </w:pPr>
      <w:r w:rsidRPr="00DB42F9">
        <w:rPr>
          <w:rFonts w:ascii="Arial" w:hAnsi="Arial" w:cs="Arial"/>
          <w:sz w:val="22"/>
        </w:rPr>
        <w:t>With the dissemination materials prepared, section 3.1 turn to the methodological foundations underpinning the review.</w:t>
      </w:r>
    </w:p>
    <w:p w14:paraId="74C08673" w14:textId="77777777" w:rsidR="00E36D25" w:rsidRPr="00DB42F9" w:rsidRDefault="00E36D25" w:rsidP="00E36D25">
      <w:pPr>
        <w:pStyle w:val="NormalWeb"/>
        <w:spacing w:before="0" w:beforeAutospacing="0" w:after="0" w:afterAutospacing="0"/>
        <w:jc w:val="center"/>
        <w:rPr>
          <w:rFonts w:ascii="Arial" w:hAnsi="Arial" w:cs="Arial"/>
          <w:b/>
          <w:color w:val="0070C0"/>
          <w:sz w:val="36"/>
        </w:rPr>
        <w:sectPr w:rsidR="00E36D25" w:rsidRPr="00DB42F9" w:rsidSect="00214C3A">
          <w:footerReference w:type="default" r:id="rId9"/>
          <w:pgSz w:w="12240" w:h="15840"/>
          <w:pgMar w:top="1440" w:right="1440" w:bottom="1440" w:left="1440" w:header="720" w:footer="720" w:gutter="0"/>
          <w:cols w:space="720"/>
          <w:docGrid w:linePitch="360"/>
        </w:sectPr>
      </w:pPr>
    </w:p>
    <w:tbl>
      <w:tblPr>
        <w:tblStyle w:val="TableGrid"/>
        <w:tblW w:w="15246" w:type="dxa"/>
        <w:tblInd w:w="-1085" w:type="dxa"/>
        <w:shd w:val="clear" w:color="auto" w:fill="D9E2F3" w:themeFill="accent5" w:themeFillTint="33"/>
        <w:tblLook w:val="04A0" w:firstRow="1" w:lastRow="0" w:firstColumn="1" w:lastColumn="0" w:noHBand="0" w:noVBand="1"/>
      </w:tblPr>
      <w:tblGrid>
        <w:gridCol w:w="7544"/>
        <w:gridCol w:w="7702"/>
      </w:tblGrid>
      <w:tr w:rsidR="00E36D25" w:rsidRPr="00DB42F9" w14:paraId="3AC7AB57" w14:textId="77777777" w:rsidTr="0034194B">
        <w:trPr>
          <w:trHeight w:val="597"/>
        </w:trPr>
        <w:tc>
          <w:tcPr>
            <w:tcW w:w="15246" w:type="dxa"/>
            <w:gridSpan w:val="2"/>
            <w:shd w:val="clear" w:color="auto" w:fill="D9E2F3" w:themeFill="accent5" w:themeFillTint="33"/>
            <w:vAlign w:val="center"/>
          </w:tcPr>
          <w:p w14:paraId="18F2EF01" w14:textId="77777777" w:rsidR="00E36D25" w:rsidRPr="00DB42F9" w:rsidRDefault="00E36D25" w:rsidP="0034194B">
            <w:pPr>
              <w:pStyle w:val="NormalWeb"/>
              <w:spacing w:before="0" w:beforeAutospacing="0" w:after="0" w:afterAutospacing="0"/>
              <w:jc w:val="center"/>
              <w:rPr>
                <w:rFonts w:ascii="Arial" w:hAnsi="Arial" w:cs="Arial"/>
                <w:b/>
              </w:rPr>
            </w:pPr>
            <w:r w:rsidRPr="00DB42F9">
              <w:rPr>
                <w:rFonts w:ascii="Arial" w:hAnsi="Arial" w:cs="Arial"/>
                <w:b/>
                <w:color w:val="0070C0"/>
                <w:sz w:val="36"/>
              </w:rPr>
              <w:lastRenderedPageBreak/>
              <w:t>The Impact of Social Isolation on the Mental Health of Older Adults in the UK: A Systematic Review of Qualitative Evidence</w:t>
            </w:r>
          </w:p>
        </w:tc>
      </w:tr>
      <w:tr w:rsidR="00E36D25" w:rsidRPr="00DB42F9" w14:paraId="27D59628" w14:textId="77777777" w:rsidTr="0034194B">
        <w:trPr>
          <w:trHeight w:val="1856"/>
        </w:trPr>
        <w:tc>
          <w:tcPr>
            <w:tcW w:w="7544" w:type="dxa"/>
            <w:shd w:val="clear" w:color="auto" w:fill="D9E2F3" w:themeFill="accent5" w:themeFillTint="33"/>
          </w:tcPr>
          <w:p w14:paraId="1905085E" w14:textId="77777777" w:rsidR="00E36D25" w:rsidRPr="00DB42F9" w:rsidRDefault="00E36D25" w:rsidP="0034194B">
            <w:pPr>
              <w:jc w:val="both"/>
              <w:rPr>
                <w:rFonts w:cs="Arial"/>
                <w:b/>
                <w:bCs/>
              </w:rPr>
            </w:pPr>
            <w:r w:rsidRPr="00DB42F9">
              <w:rPr>
                <w:rFonts w:cs="Arial"/>
                <w:b/>
                <w:bCs/>
                <w:color w:val="0070C0"/>
                <w:sz w:val="40"/>
                <w:szCs w:val="40"/>
              </w:rPr>
              <w:t>01</w:t>
            </w:r>
            <w:r w:rsidRPr="00DB42F9">
              <w:rPr>
                <w:rFonts w:cs="Arial"/>
                <w:color w:val="0070C0"/>
              </w:rPr>
              <w:t xml:space="preserve"> </w:t>
            </w:r>
            <w:r w:rsidRPr="00DB42F9">
              <w:rPr>
                <w:rFonts w:cs="Arial"/>
                <w:b/>
              </w:rPr>
              <w:t>Introduction</w:t>
            </w:r>
            <w:r w:rsidRPr="00DB42F9">
              <w:rPr>
                <w:rFonts w:cs="Arial"/>
                <w:b/>
                <w:bCs/>
              </w:rPr>
              <w:t xml:space="preserve"> and Research Aim </w:t>
            </w:r>
          </w:p>
          <w:p w14:paraId="711EB6DE" w14:textId="77777777" w:rsidR="00E36D25" w:rsidRPr="00DB42F9" w:rsidRDefault="00E36D25" w:rsidP="0034194B">
            <w:pPr>
              <w:pStyle w:val="NormalWeb"/>
              <w:spacing w:before="0" w:beforeAutospacing="0" w:after="0" w:afterAutospacing="0"/>
              <w:jc w:val="both"/>
              <w:rPr>
                <w:rFonts w:ascii="Arial" w:hAnsi="Arial" w:cs="Arial"/>
                <w:sz w:val="22"/>
              </w:rPr>
            </w:pPr>
            <w:r w:rsidRPr="00DB42F9">
              <w:rPr>
                <w:rFonts w:ascii="Arial" w:hAnsi="Arial" w:cs="Arial"/>
                <w:sz w:val="22"/>
              </w:rPr>
              <w:t xml:space="preserve">A methods chapter explains how evidence was located, appraised, and </w:t>
            </w:r>
            <w:proofErr w:type="spellStart"/>
            <w:r w:rsidRPr="00DB42F9">
              <w:rPr>
                <w:rFonts w:ascii="Arial" w:hAnsi="Arial" w:cs="Arial"/>
                <w:sz w:val="22"/>
              </w:rPr>
              <w:t>synthesised</w:t>
            </w:r>
            <w:proofErr w:type="spellEnd"/>
            <w:r w:rsidRPr="00DB42F9">
              <w:rPr>
                <w:rFonts w:ascii="Arial" w:hAnsi="Arial" w:cs="Arial"/>
                <w:sz w:val="22"/>
              </w:rPr>
              <w:t>. This poster outlines the search strategy, screening/selection, quality assurance, analysis, and ethics used in my qualitative-evidence review.</w:t>
            </w:r>
          </w:p>
          <w:p w14:paraId="425A4FBF" w14:textId="77777777" w:rsidR="00E36D25" w:rsidRPr="00DB42F9" w:rsidRDefault="00E36D25" w:rsidP="0034194B">
            <w:pPr>
              <w:pStyle w:val="NormalWeb"/>
              <w:spacing w:before="0" w:beforeAutospacing="0" w:after="0" w:afterAutospacing="0"/>
              <w:jc w:val="both"/>
              <w:rPr>
                <w:rFonts w:ascii="Arial" w:hAnsi="Arial" w:cs="Arial"/>
              </w:rPr>
            </w:pPr>
            <w:r w:rsidRPr="00DB42F9">
              <w:rPr>
                <w:rFonts w:ascii="Arial" w:hAnsi="Arial" w:cs="Arial"/>
                <w:sz w:val="22"/>
              </w:rPr>
              <w:t>Aim: To examine how digital exclusion intersects with social isolation to affect the mental health and care experiences of UK older adults (≥60), and to identify effective inclusion responses (cf. Chapter 1).</w:t>
            </w:r>
          </w:p>
        </w:tc>
        <w:tc>
          <w:tcPr>
            <w:tcW w:w="7702" w:type="dxa"/>
            <w:shd w:val="clear" w:color="auto" w:fill="D9E2F3" w:themeFill="accent5" w:themeFillTint="33"/>
          </w:tcPr>
          <w:p w14:paraId="1DB217D9" w14:textId="77777777" w:rsidR="00E36D25" w:rsidRPr="00DB42F9" w:rsidRDefault="00E36D25" w:rsidP="0034194B">
            <w:pPr>
              <w:jc w:val="both"/>
              <w:rPr>
                <w:rFonts w:cs="Arial"/>
              </w:rPr>
            </w:pPr>
            <w:r w:rsidRPr="00DB42F9">
              <w:rPr>
                <w:rFonts w:cs="Arial"/>
                <w:b/>
                <w:bCs/>
                <w:color w:val="0070C0"/>
                <w:sz w:val="40"/>
                <w:szCs w:val="40"/>
              </w:rPr>
              <w:t>02</w:t>
            </w:r>
            <w:r w:rsidRPr="00DB42F9">
              <w:rPr>
                <w:rFonts w:cs="Arial"/>
                <w:b/>
                <w:bCs/>
                <w:sz w:val="40"/>
                <w:szCs w:val="40"/>
              </w:rPr>
              <w:t xml:space="preserve"> </w:t>
            </w:r>
            <w:r w:rsidRPr="00DB42F9">
              <w:rPr>
                <w:rFonts w:cs="Arial"/>
                <w:b/>
                <w:bCs/>
              </w:rPr>
              <w:t>Search Strategy</w:t>
            </w:r>
            <w:r w:rsidRPr="00DB42F9">
              <w:rPr>
                <w:rFonts w:cs="Arial"/>
              </w:rPr>
              <w:t xml:space="preserve"> </w:t>
            </w:r>
          </w:p>
          <w:p w14:paraId="5449A1EB" w14:textId="77777777" w:rsidR="00E36D25" w:rsidRPr="00DB42F9" w:rsidRDefault="00E36D25" w:rsidP="0034194B">
            <w:pPr>
              <w:pStyle w:val="NormalWeb"/>
              <w:spacing w:before="0" w:beforeAutospacing="0" w:after="0" w:afterAutospacing="0"/>
              <w:jc w:val="both"/>
              <w:rPr>
                <w:rFonts w:ascii="Arial" w:hAnsi="Arial" w:cs="Arial"/>
                <w:sz w:val="22"/>
                <w:lang w:val="en-GB"/>
              </w:rPr>
            </w:pPr>
            <w:r w:rsidRPr="00DB42F9">
              <w:rPr>
                <w:rFonts w:ascii="Arial" w:hAnsi="Arial" w:cs="Arial"/>
                <w:sz w:val="22"/>
              </w:rPr>
              <w:t>A search strategy is a transparent, planned set of steps (databases, terms, limits) used to retrieve relevant studies and reduce bias (Booth et al., 2016; Page et al., 2021). I combined controlled vocabulary and keywords across four domains, population, phenomena, digital context, and setting, tailored to each database, then applied English/peer-review and date limits (2015–2025)</w:t>
            </w:r>
            <w:r w:rsidRPr="00DB42F9">
              <w:rPr>
                <w:rFonts w:ascii="Arial" w:hAnsi="Arial" w:cs="Arial"/>
                <w:sz w:val="22"/>
                <w:lang w:val="en-GB"/>
              </w:rPr>
              <w:t>.</w:t>
            </w:r>
          </w:p>
        </w:tc>
      </w:tr>
      <w:tr w:rsidR="00E36D25" w:rsidRPr="00DB42F9" w14:paraId="201D75BB" w14:textId="77777777" w:rsidTr="0034194B">
        <w:trPr>
          <w:trHeight w:val="1856"/>
        </w:trPr>
        <w:tc>
          <w:tcPr>
            <w:tcW w:w="7544" w:type="dxa"/>
            <w:shd w:val="clear" w:color="auto" w:fill="D9E2F3" w:themeFill="accent5" w:themeFillTint="33"/>
          </w:tcPr>
          <w:p w14:paraId="47EE3195" w14:textId="77777777" w:rsidR="00E36D25" w:rsidRPr="00DB42F9" w:rsidRDefault="00E36D25" w:rsidP="0034194B">
            <w:pPr>
              <w:jc w:val="both"/>
              <w:rPr>
                <w:rFonts w:cs="Arial"/>
              </w:rPr>
            </w:pPr>
            <w:r w:rsidRPr="00DB42F9">
              <w:rPr>
                <w:rFonts w:cs="Arial"/>
                <w:b/>
                <w:bCs/>
                <w:color w:val="0070C0"/>
                <w:sz w:val="40"/>
              </w:rPr>
              <w:t>03</w:t>
            </w:r>
            <w:r w:rsidRPr="00DB42F9">
              <w:rPr>
                <w:rFonts w:cs="Arial"/>
                <w:color w:val="0070C0"/>
                <w:sz w:val="40"/>
              </w:rPr>
              <w:t xml:space="preserve"> </w:t>
            </w:r>
            <w:r w:rsidRPr="00DB42F9">
              <w:rPr>
                <w:rFonts w:cs="Arial"/>
                <w:b/>
                <w:bCs/>
              </w:rPr>
              <w:t>Searching for Information</w:t>
            </w:r>
            <w:r w:rsidRPr="00DB42F9">
              <w:rPr>
                <w:rFonts w:cs="Arial"/>
              </w:rPr>
              <w:t xml:space="preserve"> </w:t>
            </w:r>
          </w:p>
          <w:p w14:paraId="17F0EBAF" w14:textId="77777777" w:rsidR="00E36D25" w:rsidRPr="00DB42F9" w:rsidRDefault="00E36D25" w:rsidP="0034194B">
            <w:pPr>
              <w:pStyle w:val="NormalWeb"/>
              <w:spacing w:before="0" w:beforeAutospacing="0" w:after="0" w:afterAutospacing="0"/>
              <w:jc w:val="both"/>
              <w:rPr>
                <w:rFonts w:ascii="Arial" w:hAnsi="Arial" w:cs="Arial"/>
                <w:b/>
                <w:sz w:val="22"/>
                <w:szCs w:val="22"/>
              </w:rPr>
            </w:pPr>
            <w:r w:rsidRPr="00DB42F9">
              <w:rPr>
                <w:rFonts w:ascii="Arial" w:hAnsi="Arial" w:cs="Arial"/>
                <w:b/>
                <w:sz w:val="22"/>
                <w:szCs w:val="22"/>
              </w:rPr>
              <w:t xml:space="preserve">Process: </w:t>
            </w:r>
          </w:p>
          <w:p w14:paraId="108E6827" w14:textId="77777777" w:rsidR="00E36D25" w:rsidRPr="00DB42F9" w:rsidRDefault="00E36D25" w:rsidP="0034194B">
            <w:pPr>
              <w:pStyle w:val="NormalWeb"/>
              <w:spacing w:before="0" w:beforeAutospacing="0" w:after="0" w:afterAutospacing="0"/>
              <w:jc w:val="center"/>
              <w:rPr>
                <w:rFonts w:ascii="Arial" w:hAnsi="Arial" w:cs="Arial"/>
                <w:b/>
                <w:sz w:val="22"/>
                <w:szCs w:val="22"/>
              </w:rPr>
            </w:pPr>
            <w:r w:rsidRPr="00DB42F9">
              <w:rPr>
                <w:rFonts w:ascii="Arial" w:hAnsi="Arial" w:cs="Arial"/>
                <w:noProof/>
                <w:color w:val="000000" w:themeColor="text1"/>
              </w:rPr>
              <w:drawing>
                <wp:inline distT="0" distB="0" distL="0" distR="0" wp14:anchorId="26FB0BC0" wp14:editId="07FE898A">
                  <wp:extent cx="2735943" cy="3198656"/>
                  <wp:effectExtent l="76200" t="76200" r="140970" b="135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45046" cy="3209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3E4FE6" w14:textId="77777777" w:rsidR="00E36D25" w:rsidRPr="00DB42F9" w:rsidRDefault="00E36D25" w:rsidP="0034194B">
            <w:pPr>
              <w:pStyle w:val="NormalWeb"/>
              <w:spacing w:before="0" w:beforeAutospacing="0" w:after="0" w:afterAutospacing="0"/>
              <w:jc w:val="both"/>
              <w:rPr>
                <w:rFonts w:ascii="Arial" w:hAnsi="Arial" w:cs="Arial"/>
                <w:sz w:val="22"/>
                <w:szCs w:val="22"/>
              </w:rPr>
            </w:pPr>
            <w:r w:rsidRPr="00DB42F9">
              <w:rPr>
                <w:rFonts w:ascii="Arial" w:hAnsi="Arial" w:cs="Arial"/>
                <w:b/>
                <w:sz w:val="22"/>
                <w:szCs w:val="22"/>
              </w:rPr>
              <w:lastRenderedPageBreak/>
              <w:t>Databases:</w:t>
            </w:r>
            <w:r w:rsidRPr="00DB42F9">
              <w:rPr>
                <w:rFonts w:ascii="Arial" w:hAnsi="Arial" w:cs="Arial"/>
                <w:sz w:val="22"/>
                <w:szCs w:val="22"/>
              </w:rPr>
              <w:t xml:space="preserve"> MEDLINE (PubMed), CINAHL, PsycINFO, Scopus, Web of Science Core Collection, ASSIA, </w:t>
            </w:r>
            <w:proofErr w:type="spellStart"/>
            <w:r w:rsidRPr="00DB42F9">
              <w:rPr>
                <w:rFonts w:ascii="Arial" w:hAnsi="Arial" w:cs="Arial"/>
                <w:sz w:val="22"/>
                <w:szCs w:val="22"/>
              </w:rPr>
              <w:t>SocINDEX</w:t>
            </w:r>
            <w:proofErr w:type="spellEnd"/>
            <w:r w:rsidRPr="00DB42F9">
              <w:rPr>
                <w:rFonts w:ascii="Arial" w:hAnsi="Arial" w:cs="Arial"/>
                <w:sz w:val="22"/>
                <w:szCs w:val="22"/>
              </w:rPr>
              <w:t>.</w:t>
            </w:r>
          </w:p>
          <w:p w14:paraId="6B8BF914" w14:textId="77777777" w:rsidR="00E36D25" w:rsidRPr="00DB42F9" w:rsidRDefault="00E36D25" w:rsidP="0034194B">
            <w:pPr>
              <w:pStyle w:val="NormalWeb"/>
              <w:spacing w:before="0" w:beforeAutospacing="0" w:after="0" w:afterAutospacing="0"/>
              <w:jc w:val="both"/>
              <w:rPr>
                <w:rFonts w:ascii="Arial" w:hAnsi="Arial" w:cs="Arial"/>
                <w:sz w:val="22"/>
                <w:szCs w:val="22"/>
              </w:rPr>
            </w:pPr>
            <w:r w:rsidRPr="00DB42F9">
              <w:rPr>
                <w:rFonts w:ascii="Arial" w:hAnsi="Arial" w:cs="Arial"/>
                <w:b/>
                <w:sz w:val="22"/>
                <w:szCs w:val="22"/>
              </w:rPr>
              <w:t>Core string (MEDLINE, adapted):</w:t>
            </w:r>
            <w:r w:rsidRPr="00DB42F9">
              <w:rPr>
                <w:rFonts w:ascii="Arial" w:hAnsi="Arial" w:cs="Arial"/>
                <w:sz w:val="22"/>
                <w:szCs w:val="22"/>
              </w:rPr>
              <w:t xml:space="preserve"> (“Aged”[</w:t>
            </w:r>
            <w:proofErr w:type="spellStart"/>
            <w:r w:rsidRPr="00DB42F9">
              <w:rPr>
                <w:rFonts w:ascii="Arial" w:hAnsi="Arial" w:cs="Arial"/>
                <w:sz w:val="22"/>
                <w:szCs w:val="22"/>
              </w:rPr>
              <w:t>MeSH</w:t>
            </w:r>
            <w:proofErr w:type="spellEnd"/>
            <w:r w:rsidRPr="00DB42F9">
              <w:rPr>
                <w:rFonts w:ascii="Arial" w:hAnsi="Arial" w:cs="Arial"/>
                <w:sz w:val="22"/>
                <w:szCs w:val="22"/>
              </w:rPr>
              <w:t xml:space="preserve">] OR “older adult*” OR elderly OR “aged 60+”) AND (“social isolation” OR </w:t>
            </w:r>
            <w:proofErr w:type="spellStart"/>
            <w:r w:rsidRPr="00DB42F9">
              <w:rPr>
                <w:rFonts w:ascii="Arial" w:hAnsi="Arial" w:cs="Arial"/>
                <w:sz w:val="22"/>
                <w:szCs w:val="22"/>
              </w:rPr>
              <w:t>lonel</w:t>
            </w:r>
            <w:proofErr w:type="spellEnd"/>
            <w:r w:rsidRPr="00DB42F9">
              <w:rPr>
                <w:rFonts w:ascii="Arial" w:hAnsi="Arial" w:cs="Arial"/>
                <w:sz w:val="22"/>
                <w:szCs w:val="22"/>
              </w:rPr>
              <w:t>* OR “social disconnect*”) AND (“digital divide” OR “digital exclusion” OR eHealth OR telehealth OR “online appointment*” OR “patient portal*” OR “remote consultation*”) AND (UK OR England OR Scotland OR Wales OR “Northern Ireland”).</w:t>
            </w:r>
          </w:p>
        </w:tc>
        <w:tc>
          <w:tcPr>
            <w:tcW w:w="7702" w:type="dxa"/>
            <w:shd w:val="clear" w:color="auto" w:fill="D9E2F3" w:themeFill="accent5" w:themeFillTint="33"/>
          </w:tcPr>
          <w:p w14:paraId="73DF5BE3" w14:textId="77777777" w:rsidR="00E36D25" w:rsidRPr="00DB42F9" w:rsidRDefault="00E36D25" w:rsidP="0034194B">
            <w:pPr>
              <w:jc w:val="both"/>
              <w:rPr>
                <w:rFonts w:cs="Arial"/>
              </w:rPr>
            </w:pPr>
            <w:r w:rsidRPr="00DB42F9">
              <w:rPr>
                <w:rFonts w:cs="Arial"/>
                <w:b/>
                <w:bCs/>
                <w:color w:val="0070C0"/>
                <w:sz w:val="40"/>
                <w:szCs w:val="40"/>
              </w:rPr>
              <w:lastRenderedPageBreak/>
              <w:t>04</w:t>
            </w:r>
            <w:r w:rsidRPr="00DB42F9">
              <w:rPr>
                <w:rFonts w:cs="Arial"/>
              </w:rPr>
              <w:t xml:space="preserve"> </w:t>
            </w:r>
            <w:r w:rsidRPr="00DB42F9">
              <w:rPr>
                <w:rFonts w:cs="Arial"/>
                <w:b/>
                <w:bCs/>
              </w:rPr>
              <w:t>Picture / Graph / Visual Aid / Statistics</w:t>
            </w:r>
            <w:r w:rsidRPr="00DB42F9">
              <w:rPr>
                <w:rFonts w:cs="Arial"/>
              </w:rPr>
              <w:t xml:space="preserve"> </w:t>
            </w:r>
          </w:p>
          <w:p w14:paraId="5AD51BC2" w14:textId="77777777" w:rsidR="00E36D25" w:rsidRPr="00DB42F9" w:rsidRDefault="00E36D25" w:rsidP="0034194B">
            <w:pPr>
              <w:pStyle w:val="NormalWeb"/>
              <w:spacing w:before="0" w:beforeAutospacing="0" w:after="0" w:afterAutospacing="0"/>
              <w:jc w:val="both"/>
              <w:rPr>
                <w:rFonts w:ascii="Arial" w:hAnsi="Arial" w:cs="Arial"/>
                <w:sz w:val="22"/>
              </w:rPr>
            </w:pPr>
            <w:r w:rsidRPr="00DB42F9">
              <w:rPr>
                <w:rFonts w:ascii="Arial" w:hAnsi="Arial" w:cs="Arial"/>
                <w:sz w:val="22"/>
              </w:rPr>
              <w:t xml:space="preserve">Study selection (2015–2025): Identified = 7,207; Duplicates removed = 1,245; Screened = 5,962; Full-text assessed = 512; Excluded at full-text = 468; Included = 44 (PRISMA-aligned; Page et al., 2021). </w:t>
            </w:r>
          </w:p>
          <w:p w14:paraId="3C96CAE7" w14:textId="77777777" w:rsidR="00E36D25" w:rsidRPr="00DB42F9" w:rsidRDefault="00E36D25" w:rsidP="0034194B">
            <w:pPr>
              <w:keepNext/>
              <w:jc w:val="center"/>
              <w:rPr>
                <w:rFonts w:cs="Arial"/>
                <w:color w:val="000000" w:themeColor="text1"/>
              </w:rPr>
            </w:pPr>
            <w:r w:rsidRPr="00DB42F9">
              <w:rPr>
                <w:rFonts w:cs="Arial"/>
                <w:noProof/>
                <w:color w:val="000000" w:themeColor="text1"/>
              </w:rPr>
              <w:drawing>
                <wp:inline distT="0" distB="0" distL="0" distR="0" wp14:anchorId="4AEF1CDE" wp14:editId="52335128">
                  <wp:extent cx="2883700" cy="2823029"/>
                  <wp:effectExtent l="76200" t="76200" r="126365" b="130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20030" cy="2858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F2C932" w14:textId="77777777" w:rsidR="00E36D25" w:rsidRPr="00DB42F9" w:rsidRDefault="00E36D25" w:rsidP="0034194B">
            <w:pPr>
              <w:pStyle w:val="Caption"/>
              <w:spacing w:after="0"/>
              <w:jc w:val="both"/>
              <w:rPr>
                <w:rFonts w:cs="Arial"/>
                <w:sz w:val="22"/>
              </w:rPr>
            </w:pPr>
          </w:p>
        </w:tc>
      </w:tr>
      <w:tr w:rsidR="00E36D25" w:rsidRPr="00DB42F9" w14:paraId="38ECE34C" w14:textId="77777777" w:rsidTr="0034194B">
        <w:trPr>
          <w:trHeight w:val="983"/>
        </w:trPr>
        <w:tc>
          <w:tcPr>
            <w:tcW w:w="15246" w:type="dxa"/>
            <w:gridSpan w:val="2"/>
            <w:shd w:val="clear" w:color="auto" w:fill="D9E2F3" w:themeFill="accent5" w:themeFillTint="33"/>
          </w:tcPr>
          <w:p w14:paraId="253A566F" w14:textId="77777777" w:rsidR="00E36D25" w:rsidRPr="00DB42F9" w:rsidRDefault="00E36D25" w:rsidP="0034194B">
            <w:pPr>
              <w:rPr>
                <w:rFonts w:cs="Arial"/>
                <w:b/>
                <w:bCs/>
              </w:rPr>
            </w:pPr>
            <w:r w:rsidRPr="00DB42F9">
              <w:rPr>
                <w:rFonts w:cs="Arial"/>
                <w:b/>
                <w:bCs/>
                <w:color w:val="0070C0"/>
                <w:sz w:val="40"/>
                <w:szCs w:val="40"/>
              </w:rPr>
              <w:t>05</w:t>
            </w:r>
            <w:r w:rsidRPr="00DB42F9">
              <w:rPr>
                <w:rFonts w:cs="Arial"/>
              </w:rPr>
              <w:t xml:space="preserve"> </w:t>
            </w:r>
            <w:r w:rsidRPr="00DB42F9">
              <w:rPr>
                <w:rFonts w:cs="Arial"/>
                <w:b/>
                <w:bCs/>
              </w:rPr>
              <w:t>Research Validation and Analysis</w:t>
            </w:r>
          </w:p>
          <w:p w14:paraId="4A12AF73" w14:textId="77777777" w:rsidR="00E36D25" w:rsidRPr="00DB42F9" w:rsidRDefault="00E36D25" w:rsidP="0034194B">
            <w:pPr>
              <w:pStyle w:val="NormalWeb"/>
              <w:spacing w:before="0" w:beforeAutospacing="0" w:after="0" w:afterAutospacing="0"/>
              <w:jc w:val="both"/>
              <w:rPr>
                <w:rFonts w:ascii="Arial" w:hAnsi="Arial" w:cs="Arial"/>
                <w:sz w:val="22"/>
              </w:rPr>
            </w:pPr>
            <w:r w:rsidRPr="00DB42F9">
              <w:rPr>
                <w:rFonts w:ascii="Arial" w:hAnsi="Arial" w:cs="Arial"/>
                <w:sz w:val="22"/>
              </w:rPr>
              <w:t>Research validation ensures credible, dependable findings via transparent appraisal, audit trails and reflexivity; analysis applies thematic synthesis to code and integrate patterns across studies (Creswell &amp; Poth, 2018; Thomas &amp; Harden, 2008).</w:t>
            </w:r>
          </w:p>
          <w:p w14:paraId="49E1A16C" w14:textId="77777777" w:rsidR="00E36D25" w:rsidRPr="00DB42F9" w:rsidRDefault="00E36D25" w:rsidP="0034194B">
            <w:pPr>
              <w:pStyle w:val="NormalWeb"/>
              <w:spacing w:before="0" w:beforeAutospacing="0" w:after="0" w:afterAutospacing="0"/>
              <w:jc w:val="both"/>
              <w:rPr>
                <w:rFonts w:ascii="Arial" w:hAnsi="Arial" w:cs="Arial"/>
                <w:sz w:val="22"/>
                <w:lang w:val="en-GB"/>
              </w:rPr>
            </w:pPr>
            <w:r w:rsidRPr="00DB42F9">
              <w:rPr>
                <w:rStyle w:val="Strong"/>
                <w:rFonts w:ascii="Arial" w:hAnsi="Arial" w:cs="Arial"/>
                <w:sz w:val="22"/>
              </w:rPr>
              <w:t xml:space="preserve">Validation (credibility &amp; </w:t>
            </w:r>
            <w:proofErr w:type="spellStart"/>
            <w:r w:rsidRPr="00DB42F9">
              <w:rPr>
                <w:rStyle w:val="Strong"/>
                <w:rFonts w:ascii="Arial" w:hAnsi="Arial" w:cs="Arial"/>
                <w:sz w:val="22"/>
              </w:rPr>
              <w:t>rigour</w:t>
            </w:r>
            <w:proofErr w:type="spellEnd"/>
            <w:r w:rsidRPr="00DB42F9">
              <w:rPr>
                <w:rStyle w:val="Strong"/>
                <w:rFonts w:ascii="Arial" w:hAnsi="Arial" w:cs="Arial"/>
                <w:sz w:val="22"/>
              </w:rPr>
              <w:t>):</w:t>
            </w:r>
            <w:r w:rsidRPr="00DB42F9">
              <w:rPr>
                <w:rFonts w:ascii="Arial" w:hAnsi="Arial" w:cs="Arial"/>
                <w:sz w:val="22"/>
              </w:rPr>
              <w:t xml:space="preserve"> Dual checks on a sample; documented reasons for exclusion; critical appraisal with JBI qualitative checklist; reporting checks via COREQ; sensitivity analyses; confidence in findings graded using GRADE-</w:t>
            </w:r>
            <w:proofErr w:type="spellStart"/>
            <w:r w:rsidRPr="00DB42F9">
              <w:rPr>
                <w:rFonts w:ascii="Arial" w:hAnsi="Arial" w:cs="Arial"/>
                <w:sz w:val="22"/>
              </w:rPr>
              <w:t>CERQual</w:t>
            </w:r>
            <w:proofErr w:type="spellEnd"/>
            <w:r w:rsidRPr="00DB42F9">
              <w:rPr>
                <w:rFonts w:ascii="Arial" w:hAnsi="Arial" w:cs="Arial"/>
                <w:sz w:val="22"/>
              </w:rPr>
              <w:t xml:space="preserve"> (Lockwood et al., 2015; Tong et al., 2007; Lewin et al., 2018).</w:t>
            </w:r>
            <w:r w:rsidRPr="00DB42F9">
              <w:rPr>
                <w:rFonts w:ascii="Arial" w:hAnsi="Arial" w:cs="Arial"/>
                <w:sz w:val="22"/>
              </w:rPr>
              <w:br/>
            </w:r>
            <w:r w:rsidRPr="00DB42F9">
              <w:rPr>
                <w:rStyle w:val="Strong"/>
                <w:rFonts w:ascii="Arial" w:hAnsi="Arial" w:cs="Arial"/>
                <w:sz w:val="22"/>
              </w:rPr>
              <w:t>Analysis:</w:t>
            </w:r>
            <w:r w:rsidRPr="00DB42F9">
              <w:rPr>
                <w:rFonts w:ascii="Arial" w:hAnsi="Arial" w:cs="Arial"/>
                <w:sz w:val="22"/>
              </w:rPr>
              <w:t xml:space="preserve"> Line-by-line coding of qualitative data; thematic synthesis in three stages free codes → descriptive themes → higher-order analytical themes (Thomas &amp; Harden, 2008); reported using established thematic analysis principles (Braun &amp; Clarke, 2006)</w:t>
            </w:r>
            <w:r w:rsidRPr="00DB42F9">
              <w:rPr>
                <w:rFonts w:ascii="Arial" w:hAnsi="Arial" w:cs="Arial"/>
                <w:sz w:val="22"/>
                <w:lang w:val="en-GB"/>
              </w:rPr>
              <w:t xml:space="preserve">. </w:t>
            </w:r>
          </w:p>
          <w:p w14:paraId="6FFA937C" w14:textId="77777777" w:rsidR="00E36D25" w:rsidRPr="00DB42F9" w:rsidRDefault="00E36D25" w:rsidP="0034194B">
            <w:pPr>
              <w:pStyle w:val="NormalWeb"/>
              <w:spacing w:before="0" w:beforeAutospacing="0" w:after="0" w:afterAutospacing="0"/>
              <w:jc w:val="center"/>
              <w:rPr>
                <w:rFonts w:ascii="Arial" w:hAnsi="Arial" w:cs="Arial"/>
                <w:lang w:val="en-GB"/>
              </w:rPr>
            </w:pPr>
            <w:r w:rsidRPr="00DB42F9">
              <w:rPr>
                <w:rFonts w:ascii="Arial" w:hAnsi="Arial" w:cs="Arial"/>
                <w:noProof/>
              </w:rPr>
              <w:drawing>
                <wp:inline distT="0" distB="0" distL="0" distR="0" wp14:anchorId="15BD4393" wp14:editId="18D6224A">
                  <wp:extent cx="5060677" cy="1757855"/>
                  <wp:effectExtent l="76200" t="76200" r="140335" b="128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79023" cy="17642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F8E16C" w14:textId="77777777" w:rsidR="00E36D25" w:rsidRPr="00DB42F9" w:rsidRDefault="00E36D25" w:rsidP="0034194B">
            <w:pPr>
              <w:pStyle w:val="NormalWeb"/>
              <w:spacing w:before="0" w:beforeAutospacing="0" w:after="0" w:afterAutospacing="0"/>
              <w:jc w:val="both"/>
              <w:rPr>
                <w:rFonts w:ascii="Arial" w:hAnsi="Arial" w:cs="Arial"/>
              </w:rPr>
            </w:pPr>
          </w:p>
        </w:tc>
      </w:tr>
      <w:tr w:rsidR="00E36D25" w:rsidRPr="00DB42F9" w14:paraId="385CED59" w14:textId="77777777" w:rsidTr="0034194B">
        <w:trPr>
          <w:trHeight w:val="1856"/>
        </w:trPr>
        <w:tc>
          <w:tcPr>
            <w:tcW w:w="7544" w:type="dxa"/>
            <w:shd w:val="clear" w:color="auto" w:fill="D9E2F3" w:themeFill="accent5" w:themeFillTint="33"/>
          </w:tcPr>
          <w:p w14:paraId="72D8A636" w14:textId="77777777" w:rsidR="00E36D25" w:rsidRPr="00DB42F9" w:rsidRDefault="00E36D25" w:rsidP="0034194B">
            <w:pPr>
              <w:jc w:val="both"/>
              <w:rPr>
                <w:rFonts w:cs="Arial"/>
              </w:rPr>
            </w:pPr>
            <w:r w:rsidRPr="00DB42F9">
              <w:rPr>
                <w:rFonts w:cs="Arial"/>
                <w:b/>
                <w:bCs/>
                <w:color w:val="0070C0"/>
                <w:sz w:val="40"/>
                <w:szCs w:val="40"/>
              </w:rPr>
              <w:lastRenderedPageBreak/>
              <w:t>06</w:t>
            </w:r>
            <w:r w:rsidRPr="00DB42F9">
              <w:rPr>
                <w:rFonts w:cs="Arial"/>
                <w:color w:val="0070C0"/>
              </w:rPr>
              <w:t xml:space="preserve"> </w:t>
            </w:r>
            <w:r w:rsidRPr="00DB42F9">
              <w:rPr>
                <w:rFonts w:cs="Arial"/>
                <w:b/>
                <w:bCs/>
              </w:rPr>
              <w:t>Inclusion Criteria</w:t>
            </w:r>
            <w:r w:rsidRPr="00DB42F9">
              <w:rPr>
                <w:rFonts w:cs="Arial"/>
              </w:rPr>
              <w:t xml:space="preserve"> </w:t>
            </w:r>
          </w:p>
          <w:p w14:paraId="7C6D4A05" w14:textId="77777777" w:rsidR="00E36D25" w:rsidRPr="00DB42F9" w:rsidRDefault="00E36D25" w:rsidP="0034194B">
            <w:pPr>
              <w:pStyle w:val="NormalWeb"/>
              <w:spacing w:before="0" w:beforeAutospacing="0" w:after="0" w:afterAutospacing="0"/>
              <w:jc w:val="both"/>
              <w:rPr>
                <w:rFonts w:ascii="Arial" w:hAnsi="Arial" w:cs="Arial"/>
              </w:rPr>
            </w:pPr>
            <w:r w:rsidRPr="00DB42F9">
              <w:rPr>
                <w:rFonts w:ascii="Arial" w:hAnsi="Arial" w:cs="Arial"/>
                <w:sz w:val="22"/>
              </w:rPr>
              <w:t>Empirical, peer-reviewed qualitative or mixed-methods (qual component) studies; UK samples of older adults (≥60) or carers/providers reporting older adults’ perspectives; address social isolation/loneliness in relation to digital access/use/exclusion; mental-health outcomes or care experience; English; 2015–2025.</w:t>
            </w:r>
          </w:p>
        </w:tc>
        <w:tc>
          <w:tcPr>
            <w:tcW w:w="7702" w:type="dxa"/>
            <w:shd w:val="clear" w:color="auto" w:fill="D9E2F3" w:themeFill="accent5" w:themeFillTint="33"/>
          </w:tcPr>
          <w:p w14:paraId="07BD8AF2" w14:textId="77777777" w:rsidR="00E36D25" w:rsidRPr="00DB42F9" w:rsidRDefault="00E36D25" w:rsidP="0034194B">
            <w:pPr>
              <w:jc w:val="both"/>
              <w:rPr>
                <w:rFonts w:cs="Arial"/>
              </w:rPr>
            </w:pPr>
            <w:r w:rsidRPr="00DB42F9">
              <w:rPr>
                <w:rFonts w:cs="Arial"/>
                <w:b/>
                <w:bCs/>
                <w:color w:val="0070C0"/>
                <w:sz w:val="40"/>
                <w:szCs w:val="40"/>
              </w:rPr>
              <w:t>07</w:t>
            </w:r>
            <w:r w:rsidRPr="00DB42F9">
              <w:rPr>
                <w:rFonts w:cs="Arial"/>
                <w:color w:val="0070C0"/>
              </w:rPr>
              <w:t xml:space="preserve"> </w:t>
            </w:r>
            <w:r w:rsidRPr="00DB42F9">
              <w:rPr>
                <w:rFonts w:cs="Arial"/>
                <w:b/>
                <w:bCs/>
              </w:rPr>
              <w:t>Exclusion Criteria</w:t>
            </w:r>
            <w:r w:rsidRPr="00DB42F9">
              <w:rPr>
                <w:rFonts w:cs="Arial"/>
              </w:rPr>
              <w:t xml:space="preserve"> </w:t>
            </w:r>
          </w:p>
          <w:p w14:paraId="0D881366" w14:textId="77777777" w:rsidR="00E36D25" w:rsidRPr="00DB42F9" w:rsidRDefault="00E36D25" w:rsidP="0034194B">
            <w:pPr>
              <w:pStyle w:val="NormalWeb"/>
              <w:spacing w:before="0" w:beforeAutospacing="0" w:after="0" w:afterAutospacing="0"/>
              <w:jc w:val="both"/>
              <w:rPr>
                <w:rFonts w:ascii="Arial" w:hAnsi="Arial" w:cs="Arial"/>
              </w:rPr>
            </w:pPr>
            <w:r w:rsidRPr="00DB42F9">
              <w:rPr>
                <w:rFonts w:ascii="Arial" w:hAnsi="Arial" w:cs="Arial"/>
                <w:sz w:val="22"/>
              </w:rPr>
              <w:t>Quantitative-only; editorials/commentaries; non-UK samples; populations &lt;60 where older-adult data not separable; studies on general ageing without a digital/</w:t>
            </w:r>
            <w:proofErr w:type="spellStart"/>
            <w:r w:rsidRPr="00DB42F9">
              <w:rPr>
                <w:rFonts w:ascii="Arial" w:hAnsi="Arial" w:cs="Arial"/>
                <w:sz w:val="22"/>
              </w:rPr>
              <w:t>isolational</w:t>
            </w:r>
            <w:proofErr w:type="spellEnd"/>
            <w:r w:rsidRPr="00DB42F9">
              <w:rPr>
                <w:rFonts w:ascii="Arial" w:hAnsi="Arial" w:cs="Arial"/>
                <w:sz w:val="22"/>
              </w:rPr>
              <w:t xml:space="preserve"> focus; usability studies lacking mental-health relevance.</w:t>
            </w:r>
          </w:p>
        </w:tc>
      </w:tr>
      <w:tr w:rsidR="00E36D25" w:rsidRPr="00DB42F9" w14:paraId="5D03FE12" w14:textId="77777777" w:rsidTr="0034194B">
        <w:trPr>
          <w:trHeight w:val="1798"/>
        </w:trPr>
        <w:tc>
          <w:tcPr>
            <w:tcW w:w="15246" w:type="dxa"/>
            <w:gridSpan w:val="2"/>
            <w:shd w:val="clear" w:color="auto" w:fill="D9E2F3" w:themeFill="accent5" w:themeFillTint="33"/>
          </w:tcPr>
          <w:p w14:paraId="600A3923" w14:textId="77777777" w:rsidR="00E36D25" w:rsidRPr="00DB42F9" w:rsidRDefault="00E36D25" w:rsidP="0034194B">
            <w:pPr>
              <w:jc w:val="both"/>
              <w:rPr>
                <w:rFonts w:cs="Arial"/>
                <w:b/>
                <w:bCs/>
              </w:rPr>
            </w:pPr>
            <w:r w:rsidRPr="00DB42F9">
              <w:rPr>
                <w:rFonts w:cs="Arial"/>
                <w:b/>
                <w:bCs/>
                <w:color w:val="0070C0"/>
                <w:sz w:val="40"/>
                <w:szCs w:val="40"/>
              </w:rPr>
              <w:t>08</w:t>
            </w:r>
            <w:r w:rsidRPr="00DB42F9">
              <w:rPr>
                <w:rFonts w:cs="Arial"/>
              </w:rPr>
              <w:t xml:space="preserve"> </w:t>
            </w:r>
            <w:r w:rsidRPr="00DB42F9">
              <w:rPr>
                <w:rFonts w:cs="Arial"/>
                <w:b/>
                <w:bCs/>
              </w:rPr>
              <w:t>Ethical Considerations</w:t>
            </w:r>
          </w:p>
          <w:p w14:paraId="033ECA56" w14:textId="77777777" w:rsidR="00E36D25" w:rsidRPr="00DB42F9" w:rsidRDefault="00E36D25" w:rsidP="0034194B">
            <w:pPr>
              <w:pStyle w:val="NormalWeb"/>
              <w:spacing w:before="0" w:beforeAutospacing="0" w:after="0" w:afterAutospacing="0"/>
              <w:jc w:val="both"/>
              <w:rPr>
                <w:rFonts w:ascii="Arial" w:hAnsi="Arial" w:cs="Arial"/>
                <w:sz w:val="22"/>
              </w:rPr>
            </w:pPr>
            <w:r w:rsidRPr="00DB42F9">
              <w:rPr>
                <w:rFonts w:ascii="Arial" w:hAnsi="Arial" w:cs="Arial"/>
                <w:sz w:val="22"/>
              </w:rPr>
              <w:t xml:space="preserve">Ethics in secondary research is the responsible use of existing published data, respecting original consent and confidentiality, ensuring accurate attribution, and </w:t>
            </w:r>
            <w:proofErr w:type="spellStart"/>
            <w:r w:rsidRPr="00DB42F9">
              <w:rPr>
                <w:rFonts w:ascii="Arial" w:hAnsi="Arial" w:cs="Arial"/>
                <w:sz w:val="22"/>
              </w:rPr>
              <w:t>minimising</w:t>
            </w:r>
            <w:proofErr w:type="spellEnd"/>
            <w:r w:rsidRPr="00DB42F9">
              <w:rPr>
                <w:rFonts w:ascii="Arial" w:hAnsi="Arial" w:cs="Arial"/>
                <w:sz w:val="22"/>
              </w:rPr>
              <w:t xml:space="preserve"> harm through transparent, honest reporting (Creswell &amp; Poth, 2018).</w:t>
            </w:r>
          </w:p>
          <w:p w14:paraId="1AE4F7D2" w14:textId="77777777" w:rsidR="00E36D25" w:rsidRPr="00DB42F9" w:rsidRDefault="00E36D25" w:rsidP="0034194B">
            <w:pPr>
              <w:pStyle w:val="NormalWeb"/>
              <w:spacing w:before="0" w:beforeAutospacing="0" w:after="0" w:afterAutospacing="0"/>
              <w:jc w:val="both"/>
              <w:rPr>
                <w:rFonts w:ascii="Arial" w:hAnsi="Arial" w:cs="Arial"/>
              </w:rPr>
            </w:pPr>
            <w:r w:rsidRPr="00DB42F9">
              <w:rPr>
                <w:rFonts w:ascii="Arial" w:hAnsi="Arial" w:cs="Arial"/>
                <w:noProof/>
              </w:rPr>
              <w:drawing>
                <wp:inline distT="0" distB="0" distL="0" distR="0" wp14:anchorId="69EE3A16" wp14:editId="73374996">
                  <wp:extent cx="9144000" cy="3381829"/>
                  <wp:effectExtent l="0" t="0" r="0" b="476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tc>
      </w:tr>
    </w:tbl>
    <w:p w14:paraId="7D36CDA7" w14:textId="77777777" w:rsidR="00E36D25" w:rsidRPr="00DB42F9" w:rsidRDefault="00E36D25" w:rsidP="00E36D25">
      <w:pPr>
        <w:pStyle w:val="NormalWeb"/>
        <w:spacing w:line="360" w:lineRule="auto"/>
        <w:jc w:val="both"/>
        <w:rPr>
          <w:rFonts w:ascii="Arial" w:hAnsi="Arial" w:cs="Arial"/>
          <w:sz w:val="22"/>
        </w:rPr>
        <w:sectPr w:rsidR="00E36D25" w:rsidRPr="00DB42F9" w:rsidSect="00C136AA">
          <w:pgSz w:w="15840" w:h="12240" w:orient="landscape"/>
          <w:pgMar w:top="1440" w:right="1440" w:bottom="1440" w:left="1440" w:header="720" w:footer="720" w:gutter="0"/>
          <w:cols w:space="720"/>
          <w:docGrid w:linePitch="360"/>
        </w:sectPr>
      </w:pPr>
    </w:p>
    <w:p w14:paraId="3A7C8D0F"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1" w:name="_Toc209284756"/>
      <w:r w:rsidRPr="00DB42F9">
        <w:rPr>
          <w:rFonts w:ascii="Arial" w:hAnsi="Arial" w:cs="Arial"/>
          <w:color w:val="000000" w:themeColor="text1"/>
        </w:rPr>
        <w:lastRenderedPageBreak/>
        <w:t>3.1 Introduction</w:t>
      </w:r>
      <w:bookmarkEnd w:id="1"/>
      <w:r w:rsidRPr="00DB42F9">
        <w:rPr>
          <w:rFonts w:ascii="Arial" w:hAnsi="Arial" w:cs="Arial"/>
          <w:color w:val="000000" w:themeColor="text1"/>
        </w:rPr>
        <w:t xml:space="preserve"> </w:t>
      </w:r>
    </w:p>
    <w:p w14:paraId="573C48FF"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This chapter sets out the methods used to conduct a systematic review of qualitative evidence on how social isolation, and specifically digital exclusion, affects the mental health of older adults (≥60 years) in the UK. The review protocol followed PRISMA 2020 guidance for transparent reporting of systematic reviews and qualitative-evidence syntheses (Page et al., 2021) and drew on established handbooks for qualitative reviewing (Booth et al., 2016; Creswell &amp; Poth, 2018). We defined the question, developed a comprehensive search across multidisciplinary databases, applied explicit eligibility criteria, appraised study quality, and performed a rigorous thematic synthesis (Thomas &amp; Harden, 2008; Braun &amp; Clarke, 2006). Forty-four (n=44) studies published between 2015 and 2025 met inclusion criteria.</w:t>
      </w:r>
    </w:p>
    <w:p w14:paraId="3EC94297"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0"/>
        </w:rPr>
      </w:pPr>
      <w:r w:rsidRPr="00DB42F9">
        <w:rPr>
          <w:rFonts w:ascii="Arial" w:hAnsi="Arial" w:cs="Arial"/>
          <w:sz w:val="22"/>
        </w:rPr>
        <w:t>Having framed the review approach and standards, section 3.2 outlines how the search strategy was constructed to balance sensitivity and specificity.</w:t>
      </w:r>
    </w:p>
    <w:p w14:paraId="4A0C8088"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2" w:name="_Toc209284757"/>
      <w:r w:rsidRPr="00DB42F9">
        <w:rPr>
          <w:rFonts w:ascii="Arial" w:hAnsi="Arial" w:cs="Arial"/>
          <w:color w:val="000000" w:themeColor="text1"/>
        </w:rPr>
        <w:t>3.2 Search Strategy</w:t>
      </w:r>
      <w:bookmarkEnd w:id="2"/>
      <w:r w:rsidRPr="00DB42F9">
        <w:rPr>
          <w:rFonts w:ascii="Arial" w:hAnsi="Arial" w:cs="Arial"/>
          <w:color w:val="000000" w:themeColor="text1"/>
        </w:rPr>
        <w:t xml:space="preserve"> </w:t>
      </w:r>
    </w:p>
    <w:p w14:paraId="5CABCDE7"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 xml:space="preserve">A sensitive strategy combined controlled vocabulary (e.g., </w:t>
      </w:r>
      <w:proofErr w:type="spellStart"/>
      <w:r w:rsidRPr="00DB42F9">
        <w:rPr>
          <w:rFonts w:ascii="Arial" w:hAnsi="Arial" w:cs="Arial"/>
          <w:color w:val="000000" w:themeColor="text1"/>
          <w:sz w:val="22"/>
        </w:rPr>
        <w:t>MeSH</w:t>
      </w:r>
      <w:proofErr w:type="spellEnd"/>
      <w:r w:rsidRPr="00DB42F9">
        <w:rPr>
          <w:rFonts w:ascii="Arial" w:hAnsi="Arial" w:cs="Arial"/>
          <w:color w:val="000000" w:themeColor="text1"/>
          <w:sz w:val="22"/>
        </w:rPr>
        <w:t xml:space="preserve">/Thesaurus terms) and free-text keywords spanning four domains: population (older adult*, elderly, “aged 60+”), phenomena (social isolation, loneliness, social disconnection), exposure/context (digital exclusion, digital divide, eHealth, telehealth, online services), and setting (UK, England, Scotland, Wales, Northern Ireland). Databases searched were MEDLINE (via PubMed), CINAHL, PsycINFO, Scopus, Web of Science Core Collection, ASSIA, and </w:t>
      </w:r>
      <w:proofErr w:type="spellStart"/>
      <w:r w:rsidRPr="00DB42F9">
        <w:rPr>
          <w:rFonts w:ascii="Arial" w:hAnsi="Arial" w:cs="Arial"/>
          <w:color w:val="000000" w:themeColor="text1"/>
          <w:sz w:val="22"/>
        </w:rPr>
        <w:t>SocINDEX</w:t>
      </w:r>
      <w:proofErr w:type="spellEnd"/>
      <w:r w:rsidRPr="00DB42F9">
        <w:rPr>
          <w:rFonts w:ascii="Arial" w:hAnsi="Arial" w:cs="Arial"/>
          <w:color w:val="000000" w:themeColor="text1"/>
          <w:sz w:val="22"/>
        </w:rPr>
        <w:t>. Searches were limited to English-language, peer-reviewed journal articles (2015–2025) reporting qualitative data from UK samples. The strategy was iteratively piloted and peer-checked to balance recall and precision (Booth et al., 2016; Page et al., 2021).</w:t>
      </w:r>
    </w:p>
    <w:p w14:paraId="4606F15B" w14:textId="77777777" w:rsidR="00E36D25" w:rsidRPr="00DB42F9" w:rsidRDefault="00E36D25" w:rsidP="00E36D25">
      <w:pPr>
        <w:pStyle w:val="Caption"/>
        <w:keepNext/>
        <w:spacing w:before="120" w:after="120" w:line="360" w:lineRule="auto"/>
        <w:jc w:val="center"/>
        <w:rPr>
          <w:rFonts w:cs="Arial"/>
          <w:color w:val="000000" w:themeColor="text1"/>
        </w:rPr>
      </w:pPr>
      <w:bookmarkStart w:id="3" w:name="_Toc209282431"/>
      <w:r w:rsidRPr="00DB42F9">
        <w:rPr>
          <w:rFonts w:cs="Arial"/>
          <w:color w:val="000000" w:themeColor="text1"/>
        </w:rPr>
        <w:t xml:space="preserve">Table </w:t>
      </w:r>
      <w:r w:rsidRPr="00DB42F9">
        <w:rPr>
          <w:rFonts w:cs="Arial"/>
          <w:color w:val="000000" w:themeColor="text1"/>
        </w:rPr>
        <w:fldChar w:fldCharType="begin"/>
      </w:r>
      <w:r w:rsidRPr="00DB42F9">
        <w:rPr>
          <w:rFonts w:cs="Arial"/>
          <w:color w:val="000000" w:themeColor="text1"/>
        </w:rPr>
        <w:instrText xml:space="preserve"> SEQ Table \* ARABIC </w:instrText>
      </w:r>
      <w:r w:rsidRPr="00DB42F9">
        <w:rPr>
          <w:rFonts w:cs="Arial"/>
          <w:color w:val="000000" w:themeColor="text1"/>
        </w:rPr>
        <w:fldChar w:fldCharType="separate"/>
      </w:r>
      <w:r w:rsidRPr="00DB42F9">
        <w:rPr>
          <w:rFonts w:cs="Arial"/>
          <w:noProof/>
          <w:color w:val="000000" w:themeColor="text1"/>
        </w:rPr>
        <w:t>2</w:t>
      </w:r>
      <w:r w:rsidRPr="00DB42F9">
        <w:rPr>
          <w:rFonts w:cs="Arial"/>
          <w:color w:val="000000" w:themeColor="text1"/>
        </w:rPr>
        <w:fldChar w:fldCharType="end"/>
      </w:r>
      <w:r w:rsidRPr="00DB42F9">
        <w:rPr>
          <w:rFonts w:cs="Arial"/>
          <w:color w:val="000000" w:themeColor="text1"/>
        </w:rPr>
        <w:t>: PEO Elements</w:t>
      </w:r>
      <w:bookmarkEnd w:id="3"/>
    </w:p>
    <w:tbl>
      <w:tblPr>
        <w:tblStyle w:val="TableGrid"/>
        <w:tblW w:w="0" w:type="auto"/>
        <w:tblLook w:val="04A0" w:firstRow="1" w:lastRow="0" w:firstColumn="1" w:lastColumn="0" w:noHBand="0" w:noVBand="1"/>
      </w:tblPr>
      <w:tblGrid>
        <w:gridCol w:w="2099"/>
        <w:gridCol w:w="3656"/>
        <w:gridCol w:w="3595"/>
      </w:tblGrid>
      <w:tr w:rsidR="00E36D25" w:rsidRPr="00DB42F9" w14:paraId="7523A608" w14:textId="77777777" w:rsidTr="0034194B">
        <w:tc>
          <w:tcPr>
            <w:tcW w:w="2099" w:type="dxa"/>
            <w:hideMark/>
          </w:tcPr>
          <w:p w14:paraId="1366131E" w14:textId="77777777" w:rsidR="00E36D25" w:rsidRPr="00DB42F9" w:rsidRDefault="00E36D25" w:rsidP="0034194B">
            <w:pPr>
              <w:jc w:val="both"/>
              <w:rPr>
                <w:rFonts w:eastAsia="Times New Roman" w:cs="Arial"/>
                <w:b/>
                <w:bCs/>
                <w:color w:val="000000" w:themeColor="text1"/>
                <w:szCs w:val="24"/>
              </w:rPr>
            </w:pPr>
            <w:r w:rsidRPr="00DB42F9">
              <w:rPr>
                <w:rFonts w:eastAsia="Times New Roman" w:cs="Arial"/>
                <w:b/>
                <w:bCs/>
                <w:color w:val="000000" w:themeColor="text1"/>
                <w:szCs w:val="24"/>
              </w:rPr>
              <w:t>PEO Element</w:t>
            </w:r>
          </w:p>
        </w:tc>
        <w:tc>
          <w:tcPr>
            <w:tcW w:w="3656" w:type="dxa"/>
            <w:hideMark/>
          </w:tcPr>
          <w:p w14:paraId="4DF81E52" w14:textId="77777777" w:rsidR="00E36D25" w:rsidRPr="00DB42F9" w:rsidRDefault="00E36D25" w:rsidP="0034194B">
            <w:pPr>
              <w:jc w:val="both"/>
              <w:rPr>
                <w:rFonts w:eastAsia="Times New Roman" w:cs="Arial"/>
                <w:b/>
                <w:bCs/>
                <w:color w:val="000000" w:themeColor="text1"/>
                <w:szCs w:val="24"/>
              </w:rPr>
            </w:pPr>
            <w:r w:rsidRPr="00DB42F9">
              <w:rPr>
                <w:rFonts w:eastAsia="Times New Roman" w:cs="Arial"/>
                <w:b/>
                <w:bCs/>
                <w:color w:val="000000" w:themeColor="text1"/>
                <w:szCs w:val="24"/>
              </w:rPr>
              <w:t>Description</w:t>
            </w:r>
          </w:p>
        </w:tc>
        <w:tc>
          <w:tcPr>
            <w:tcW w:w="3595" w:type="dxa"/>
            <w:hideMark/>
          </w:tcPr>
          <w:p w14:paraId="42B00103" w14:textId="77777777" w:rsidR="00E36D25" w:rsidRPr="00DB42F9" w:rsidRDefault="00E36D25" w:rsidP="0034194B">
            <w:pPr>
              <w:jc w:val="both"/>
              <w:rPr>
                <w:rFonts w:eastAsia="Times New Roman" w:cs="Arial"/>
                <w:b/>
                <w:bCs/>
                <w:color w:val="000000" w:themeColor="text1"/>
                <w:szCs w:val="24"/>
              </w:rPr>
            </w:pPr>
            <w:r w:rsidRPr="00DB42F9">
              <w:rPr>
                <w:rFonts w:eastAsia="Times New Roman" w:cs="Arial"/>
                <w:b/>
                <w:bCs/>
                <w:color w:val="000000" w:themeColor="text1"/>
                <w:szCs w:val="24"/>
              </w:rPr>
              <w:t>Example Search Terms</w:t>
            </w:r>
          </w:p>
        </w:tc>
      </w:tr>
      <w:tr w:rsidR="00E36D25" w:rsidRPr="00DB42F9" w14:paraId="2474C078" w14:textId="77777777" w:rsidTr="0034194B">
        <w:tc>
          <w:tcPr>
            <w:tcW w:w="2099" w:type="dxa"/>
            <w:hideMark/>
          </w:tcPr>
          <w:p w14:paraId="73A567DB" w14:textId="77777777" w:rsidR="00E36D25" w:rsidRPr="00DB42F9" w:rsidRDefault="00E36D25" w:rsidP="0034194B">
            <w:pPr>
              <w:jc w:val="both"/>
              <w:rPr>
                <w:rFonts w:eastAsia="Times New Roman" w:cs="Arial"/>
                <w:color w:val="000000" w:themeColor="text1"/>
                <w:szCs w:val="24"/>
              </w:rPr>
            </w:pPr>
            <w:r w:rsidRPr="00DB42F9">
              <w:rPr>
                <w:rFonts w:eastAsia="Times New Roman" w:cs="Arial"/>
                <w:b/>
                <w:bCs/>
                <w:color w:val="000000" w:themeColor="text1"/>
                <w:szCs w:val="24"/>
              </w:rPr>
              <w:t>Population (P)</w:t>
            </w:r>
          </w:p>
        </w:tc>
        <w:tc>
          <w:tcPr>
            <w:tcW w:w="3656" w:type="dxa"/>
            <w:hideMark/>
          </w:tcPr>
          <w:p w14:paraId="2B8E2C94" w14:textId="77777777" w:rsidR="00E36D25" w:rsidRPr="00DB42F9" w:rsidRDefault="00E36D25" w:rsidP="0034194B">
            <w:pPr>
              <w:jc w:val="both"/>
              <w:rPr>
                <w:rFonts w:eastAsia="Times New Roman" w:cs="Arial"/>
                <w:color w:val="000000" w:themeColor="text1"/>
                <w:szCs w:val="24"/>
              </w:rPr>
            </w:pPr>
            <w:r w:rsidRPr="00DB42F9">
              <w:rPr>
                <w:rFonts w:eastAsia="Times New Roman" w:cs="Arial"/>
                <w:color w:val="000000" w:themeColor="text1"/>
                <w:szCs w:val="24"/>
              </w:rPr>
              <w:t>Older adults (≥60 years), elderly, UK-based</w:t>
            </w:r>
          </w:p>
        </w:tc>
        <w:tc>
          <w:tcPr>
            <w:tcW w:w="3595" w:type="dxa"/>
            <w:hideMark/>
          </w:tcPr>
          <w:p w14:paraId="0850F286" w14:textId="77777777" w:rsidR="00E36D25" w:rsidRPr="00DB42F9" w:rsidRDefault="00E36D25" w:rsidP="0034194B">
            <w:pPr>
              <w:jc w:val="both"/>
              <w:rPr>
                <w:rFonts w:eastAsia="Times New Roman" w:cs="Arial"/>
                <w:color w:val="000000" w:themeColor="text1"/>
                <w:szCs w:val="24"/>
              </w:rPr>
            </w:pPr>
            <w:r w:rsidRPr="00DB42F9">
              <w:rPr>
                <w:rFonts w:eastAsia="Times New Roman" w:cs="Arial"/>
                <w:color w:val="000000" w:themeColor="text1"/>
                <w:szCs w:val="24"/>
              </w:rPr>
              <w:t>“older adult*” OR elderly OR “aged 60+”</w:t>
            </w:r>
          </w:p>
        </w:tc>
      </w:tr>
      <w:tr w:rsidR="00E36D25" w:rsidRPr="00DB42F9" w14:paraId="624888D5" w14:textId="77777777" w:rsidTr="0034194B">
        <w:tc>
          <w:tcPr>
            <w:tcW w:w="2099" w:type="dxa"/>
            <w:hideMark/>
          </w:tcPr>
          <w:p w14:paraId="2E088181" w14:textId="77777777" w:rsidR="00E36D25" w:rsidRPr="00DB42F9" w:rsidRDefault="00E36D25" w:rsidP="0034194B">
            <w:pPr>
              <w:jc w:val="both"/>
              <w:rPr>
                <w:rFonts w:eastAsia="Times New Roman" w:cs="Arial"/>
                <w:color w:val="000000" w:themeColor="text1"/>
                <w:szCs w:val="24"/>
              </w:rPr>
            </w:pPr>
            <w:r w:rsidRPr="00DB42F9">
              <w:rPr>
                <w:rFonts w:eastAsia="Times New Roman" w:cs="Arial"/>
                <w:b/>
                <w:bCs/>
                <w:color w:val="000000" w:themeColor="text1"/>
                <w:szCs w:val="24"/>
              </w:rPr>
              <w:t>Exposure/Context (E)</w:t>
            </w:r>
          </w:p>
        </w:tc>
        <w:tc>
          <w:tcPr>
            <w:tcW w:w="3656" w:type="dxa"/>
            <w:hideMark/>
          </w:tcPr>
          <w:p w14:paraId="175CF766" w14:textId="77777777" w:rsidR="00E36D25" w:rsidRPr="00DB42F9" w:rsidRDefault="00E36D25" w:rsidP="0034194B">
            <w:pPr>
              <w:jc w:val="both"/>
              <w:rPr>
                <w:rFonts w:eastAsia="Times New Roman" w:cs="Arial"/>
                <w:color w:val="000000" w:themeColor="text1"/>
                <w:szCs w:val="24"/>
              </w:rPr>
            </w:pPr>
            <w:r w:rsidRPr="00DB42F9">
              <w:rPr>
                <w:rFonts w:eastAsia="Times New Roman" w:cs="Arial"/>
                <w:color w:val="000000" w:themeColor="text1"/>
                <w:szCs w:val="24"/>
              </w:rPr>
              <w:t>Social isolation/loneliness in relation to digital access, exclusion, or divide (including eHealth, telehealth, online portals, remote services)</w:t>
            </w:r>
          </w:p>
        </w:tc>
        <w:tc>
          <w:tcPr>
            <w:tcW w:w="3595" w:type="dxa"/>
            <w:hideMark/>
          </w:tcPr>
          <w:p w14:paraId="648BCD1C" w14:textId="77777777" w:rsidR="00E36D25" w:rsidRPr="00DB42F9" w:rsidRDefault="00E36D25" w:rsidP="0034194B">
            <w:pPr>
              <w:jc w:val="both"/>
              <w:rPr>
                <w:rFonts w:eastAsia="Times New Roman" w:cs="Arial"/>
                <w:color w:val="000000" w:themeColor="text1"/>
                <w:szCs w:val="24"/>
              </w:rPr>
            </w:pPr>
            <w:r w:rsidRPr="00DB42F9">
              <w:rPr>
                <w:rFonts w:eastAsia="Times New Roman" w:cs="Arial"/>
                <w:color w:val="000000" w:themeColor="text1"/>
                <w:szCs w:val="24"/>
              </w:rPr>
              <w:t xml:space="preserve">“social isolation” OR </w:t>
            </w:r>
            <w:proofErr w:type="spellStart"/>
            <w:r w:rsidRPr="00DB42F9">
              <w:rPr>
                <w:rFonts w:eastAsia="Times New Roman" w:cs="Arial"/>
                <w:color w:val="000000" w:themeColor="text1"/>
                <w:szCs w:val="24"/>
              </w:rPr>
              <w:t>lonel</w:t>
            </w:r>
            <w:proofErr w:type="spellEnd"/>
            <w:r w:rsidRPr="00DB42F9">
              <w:rPr>
                <w:rFonts w:eastAsia="Times New Roman" w:cs="Arial"/>
                <w:color w:val="000000" w:themeColor="text1"/>
                <w:szCs w:val="24"/>
              </w:rPr>
              <w:t>* OR “digital exclusion” OR “digital divide” OR eHealth OR “remote consultation*” OR telehealth OR “online services”</w:t>
            </w:r>
          </w:p>
        </w:tc>
      </w:tr>
      <w:tr w:rsidR="00E36D25" w:rsidRPr="00DB42F9" w14:paraId="46F802F7" w14:textId="77777777" w:rsidTr="0034194B">
        <w:tc>
          <w:tcPr>
            <w:tcW w:w="2099" w:type="dxa"/>
            <w:hideMark/>
          </w:tcPr>
          <w:p w14:paraId="13B62F2B" w14:textId="77777777" w:rsidR="00E36D25" w:rsidRPr="00DB42F9" w:rsidRDefault="00E36D25" w:rsidP="0034194B">
            <w:pPr>
              <w:jc w:val="both"/>
              <w:rPr>
                <w:rFonts w:eastAsia="Times New Roman" w:cs="Arial"/>
                <w:color w:val="000000" w:themeColor="text1"/>
                <w:szCs w:val="24"/>
              </w:rPr>
            </w:pPr>
            <w:r w:rsidRPr="00DB42F9">
              <w:rPr>
                <w:rFonts w:eastAsia="Times New Roman" w:cs="Arial"/>
                <w:b/>
                <w:bCs/>
                <w:color w:val="000000" w:themeColor="text1"/>
                <w:szCs w:val="24"/>
              </w:rPr>
              <w:t>Outcomes (O)</w:t>
            </w:r>
          </w:p>
        </w:tc>
        <w:tc>
          <w:tcPr>
            <w:tcW w:w="3656" w:type="dxa"/>
            <w:hideMark/>
          </w:tcPr>
          <w:p w14:paraId="4F3C4BA7" w14:textId="77777777" w:rsidR="00E36D25" w:rsidRPr="00DB42F9" w:rsidRDefault="00E36D25" w:rsidP="0034194B">
            <w:pPr>
              <w:jc w:val="both"/>
              <w:rPr>
                <w:rFonts w:eastAsia="Times New Roman" w:cs="Arial"/>
                <w:color w:val="000000" w:themeColor="text1"/>
                <w:szCs w:val="24"/>
              </w:rPr>
            </w:pPr>
            <w:r w:rsidRPr="00DB42F9">
              <w:rPr>
                <w:rFonts w:eastAsia="Times New Roman" w:cs="Arial"/>
                <w:color w:val="000000" w:themeColor="text1"/>
                <w:szCs w:val="24"/>
              </w:rPr>
              <w:t>Mental health outcomes (anxiety, depression, wellbeing) and care experiences linked to mental health</w:t>
            </w:r>
          </w:p>
        </w:tc>
        <w:tc>
          <w:tcPr>
            <w:tcW w:w="3595" w:type="dxa"/>
            <w:hideMark/>
          </w:tcPr>
          <w:p w14:paraId="572F2700" w14:textId="77777777" w:rsidR="00E36D25" w:rsidRPr="00DB42F9" w:rsidRDefault="00E36D25" w:rsidP="0034194B">
            <w:pPr>
              <w:jc w:val="both"/>
              <w:rPr>
                <w:rFonts w:eastAsia="Times New Roman" w:cs="Arial"/>
                <w:color w:val="000000" w:themeColor="text1"/>
                <w:szCs w:val="24"/>
              </w:rPr>
            </w:pPr>
            <w:r w:rsidRPr="00DB42F9">
              <w:rPr>
                <w:rFonts w:eastAsia="Times New Roman" w:cs="Arial"/>
                <w:color w:val="000000" w:themeColor="text1"/>
                <w:szCs w:val="24"/>
              </w:rPr>
              <w:t>anxiety OR depression OR wellbeing OR “mental health” OR “care experience*”</w:t>
            </w:r>
          </w:p>
        </w:tc>
      </w:tr>
    </w:tbl>
    <w:p w14:paraId="3396A103"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34ABBD6B" w14:textId="77777777" w:rsidR="00E36D25" w:rsidRPr="00DB42F9" w:rsidRDefault="00E36D25" w:rsidP="00E36D25">
      <w:pPr>
        <w:pStyle w:val="NormalWeb"/>
        <w:keepNext/>
        <w:spacing w:before="120" w:beforeAutospacing="0" w:after="120" w:afterAutospacing="0" w:line="360" w:lineRule="auto"/>
        <w:jc w:val="center"/>
        <w:rPr>
          <w:rFonts w:ascii="Arial" w:hAnsi="Arial" w:cs="Arial"/>
          <w:color w:val="000000" w:themeColor="text1"/>
        </w:rPr>
      </w:pPr>
      <w:r w:rsidRPr="00DB42F9">
        <w:rPr>
          <w:rFonts w:ascii="Arial" w:hAnsi="Arial" w:cs="Arial"/>
          <w:noProof/>
          <w:color w:val="000000" w:themeColor="text1"/>
        </w:rPr>
        <w:lastRenderedPageBreak/>
        <w:drawing>
          <wp:inline distT="0" distB="0" distL="0" distR="0" wp14:anchorId="2B0EF967" wp14:editId="7882AC45">
            <wp:extent cx="3828962" cy="4476530"/>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43428" cy="4493443"/>
                    </a:xfrm>
                    <a:prstGeom prst="rect">
                      <a:avLst/>
                    </a:prstGeom>
                  </pic:spPr>
                </pic:pic>
              </a:graphicData>
            </a:graphic>
          </wp:inline>
        </w:drawing>
      </w:r>
    </w:p>
    <w:p w14:paraId="3B8E76BB" w14:textId="77777777" w:rsidR="00E36D25" w:rsidRPr="00DB42F9" w:rsidRDefault="00E36D25" w:rsidP="00E36D25">
      <w:pPr>
        <w:pStyle w:val="Caption"/>
        <w:spacing w:before="120" w:after="120" w:line="360" w:lineRule="auto"/>
        <w:jc w:val="center"/>
        <w:rPr>
          <w:rFonts w:cs="Arial"/>
          <w:color w:val="000000" w:themeColor="text1"/>
        </w:rPr>
      </w:pPr>
      <w:bookmarkStart w:id="4" w:name="_Toc209282422"/>
      <w:r w:rsidRPr="00DB42F9">
        <w:rPr>
          <w:rFonts w:cs="Arial"/>
          <w:color w:val="000000" w:themeColor="text1"/>
        </w:rPr>
        <w:t xml:space="preserve">Figure </w:t>
      </w:r>
      <w:r w:rsidRPr="00DB42F9">
        <w:rPr>
          <w:rFonts w:cs="Arial"/>
          <w:color w:val="000000" w:themeColor="text1"/>
        </w:rPr>
        <w:fldChar w:fldCharType="begin"/>
      </w:r>
      <w:r w:rsidRPr="00DB42F9">
        <w:rPr>
          <w:rFonts w:cs="Arial"/>
          <w:color w:val="000000" w:themeColor="text1"/>
        </w:rPr>
        <w:instrText xml:space="preserve"> SEQ Figure \* ARABIC </w:instrText>
      </w:r>
      <w:r w:rsidRPr="00DB42F9">
        <w:rPr>
          <w:rFonts w:cs="Arial"/>
          <w:color w:val="000000" w:themeColor="text1"/>
        </w:rPr>
        <w:fldChar w:fldCharType="separate"/>
      </w:r>
      <w:r w:rsidRPr="00DB42F9">
        <w:rPr>
          <w:rFonts w:cs="Arial"/>
          <w:noProof/>
          <w:color w:val="000000" w:themeColor="text1"/>
        </w:rPr>
        <w:t>1</w:t>
      </w:r>
      <w:r w:rsidRPr="00DB42F9">
        <w:rPr>
          <w:rFonts w:cs="Arial"/>
          <w:color w:val="000000" w:themeColor="text1"/>
        </w:rPr>
        <w:fldChar w:fldCharType="end"/>
      </w:r>
      <w:r w:rsidRPr="00DB42F9">
        <w:rPr>
          <w:rFonts w:cs="Arial"/>
          <w:color w:val="000000" w:themeColor="text1"/>
        </w:rPr>
        <w:t>: Search Strategy (Created by using Visual Paradigm Tool)</w:t>
      </w:r>
      <w:bookmarkEnd w:id="4"/>
    </w:p>
    <w:p w14:paraId="636DBB00" w14:textId="77777777" w:rsidR="00E36D25" w:rsidRPr="00DB42F9" w:rsidRDefault="00E36D25" w:rsidP="00E36D25">
      <w:pPr>
        <w:pStyle w:val="NormalWeb"/>
        <w:spacing w:before="120" w:beforeAutospacing="0" w:after="120" w:afterAutospacing="0" w:line="360" w:lineRule="auto"/>
        <w:jc w:val="both"/>
        <w:rPr>
          <w:rFonts w:ascii="Arial" w:hAnsi="Arial" w:cs="Arial"/>
          <w:sz w:val="22"/>
        </w:rPr>
      </w:pPr>
      <w:r w:rsidRPr="00DB42F9">
        <w:rPr>
          <w:rFonts w:ascii="Arial" w:hAnsi="Arial" w:cs="Arial"/>
          <w:sz w:val="22"/>
        </w:rPr>
        <w:t>Section 3.3 operationalizes the strategy, detailing database strings, citation chasing, screening stages and overall study flow.</w:t>
      </w:r>
    </w:p>
    <w:p w14:paraId="03ABCB64"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5" w:name="_Toc209284758"/>
      <w:r w:rsidRPr="00DB42F9">
        <w:rPr>
          <w:rFonts w:ascii="Arial" w:hAnsi="Arial" w:cs="Arial"/>
          <w:color w:val="000000" w:themeColor="text1"/>
        </w:rPr>
        <w:t>3.3 Searching for Information</w:t>
      </w:r>
      <w:bookmarkEnd w:id="5"/>
      <w:r w:rsidRPr="00DB42F9">
        <w:rPr>
          <w:rFonts w:ascii="Arial" w:hAnsi="Arial" w:cs="Arial"/>
          <w:color w:val="000000" w:themeColor="text1"/>
        </w:rPr>
        <w:t xml:space="preserve"> </w:t>
      </w:r>
    </w:p>
    <w:p w14:paraId="70A66D61"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The final MEDLINE string (adapted per database syntax) was: (“Aged”[</w:t>
      </w:r>
      <w:proofErr w:type="spellStart"/>
      <w:r w:rsidRPr="00DB42F9">
        <w:rPr>
          <w:rFonts w:ascii="Arial" w:hAnsi="Arial" w:cs="Arial"/>
          <w:color w:val="000000" w:themeColor="text1"/>
          <w:sz w:val="22"/>
        </w:rPr>
        <w:t>MeSH</w:t>
      </w:r>
      <w:proofErr w:type="spellEnd"/>
      <w:r w:rsidRPr="00DB42F9">
        <w:rPr>
          <w:rFonts w:ascii="Arial" w:hAnsi="Arial" w:cs="Arial"/>
          <w:color w:val="000000" w:themeColor="text1"/>
          <w:sz w:val="22"/>
        </w:rPr>
        <w:t>] OR “older adult*” OR elderly OR “aged 60+” OR “older people”) AND (“Social Isolation”[</w:t>
      </w:r>
      <w:proofErr w:type="spellStart"/>
      <w:r w:rsidRPr="00DB42F9">
        <w:rPr>
          <w:rFonts w:ascii="Arial" w:hAnsi="Arial" w:cs="Arial"/>
          <w:color w:val="000000" w:themeColor="text1"/>
          <w:sz w:val="22"/>
        </w:rPr>
        <w:t>MeSH</w:t>
      </w:r>
      <w:proofErr w:type="spellEnd"/>
      <w:r w:rsidRPr="00DB42F9">
        <w:rPr>
          <w:rFonts w:ascii="Arial" w:hAnsi="Arial" w:cs="Arial"/>
          <w:color w:val="000000" w:themeColor="text1"/>
          <w:sz w:val="22"/>
        </w:rPr>
        <w:t xml:space="preserve">] OR “loneliness” OR “social disconnect*” OR “social exclusion”) AND (“digital divide” OR “digital exclusion” OR eHealth OR “telehealth” OR “online appointment*” OR “patient portal*” OR “remote consultation*”) AND (UK OR “United Kingdom” OR England OR Scotland OR Wales OR “Northern Ireland”). Truncation and proximity operators (e.g., </w:t>
      </w:r>
      <w:proofErr w:type="spellStart"/>
      <w:r w:rsidRPr="00DB42F9">
        <w:rPr>
          <w:rFonts w:ascii="Arial" w:hAnsi="Arial" w:cs="Arial"/>
          <w:color w:val="000000" w:themeColor="text1"/>
          <w:sz w:val="22"/>
        </w:rPr>
        <w:t>lonel</w:t>
      </w:r>
      <w:proofErr w:type="spellEnd"/>
      <w:r w:rsidRPr="00DB42F9">
        <w:rPr>
          <w:rFonts w:ascii="Arial" w:hAnsi="Arial" w:cs="Arial"/>
          <w:color w:val="000000" w:themeColor="text1"/>
          <w:sz w:val="22"/>
        </w:rPr>
        <w:t>* NEAR/3 social) were applied where available.</w:t>
      </w:r>
    </w:p>
    <w:p w14:paraId="3BBF08F7"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 xml:space="preserve">To reduce publication bias, we supplemented database searches with backward and forward citation chasing of all included studies and key methodological papers (Thomas &amp; Harden, 2008; Braun &amp; Clarke, 2006), and author name searches for prolific UK teams in the field. Search logs </w:t>
      </w:r>
      <w:r w:rsidRPr="00DB42F9">
        <w:rPr>
          <w:rFonts w:ascii="Arial" w:hAnsi="Arial" w:cs="Arial"/>
          <w:color w:val="000000" w:themeColor="text1"/>
          <w:sz w:val="22"/>
        </w:rPr>
        <w:lastRenderedPageBreak/>
        <w:t xml:space="preserve">captured dates, platforms, and yield; de-duplication was performed in a reference manager prior to screening. Two staged screening (titles/abstracts, then full texts) was undertaken against pre-specified criteria. A PRISMA flow diagram </w:t>
      </w:r>
      <w:proofErr w:type="spellStart"/>
      <w:r w:rsidRPr="00DB42F9">
        <w:rPr>
          <w:rFonts w:ascii="Arial" w:hAnsi="Arial" w:cs="Arial"/>
          <w:color w:val="000000" w:themeColor="text1"/>
          <w:sz w:val="22"/>
        </w:rPr>
        <w:t>summarises</w:t>
      </w:r>
      <w:proofErr w:type="spellEnd"/>
      <w:r w:rsidRPr="00DB42F9">
        <w:rPr>
          <w:rFonts w:ascii="Arial" w:hAnsi="Arial" w:cs="Arial"/>
          <w:color w:val="000000" w:themeColor="text1"/>
          <w:sz w:val="22"/>
        </w:rPr>
        <w:t xml:space="preserve"> identification, screening, eligibility, and inclusion (Page et al., 2021). Where studies were mixed-methods, only the qualitative components were extracted. Methodological choices were guided by systematic review texts to ensure comprehensiveness and reproducibility (Booth et al., 2016; Creswell &amp; Poth, 2018).</w:t>
      </w:r>
    </w:p>
    <w:p w14:paraId="2AC7C6C5" w14:textId="77777777" w:rsidR="00E36D25" w:rsidRPr="00DB42F9" w:rsidRDefault="00E36D25" w:rsidP="00E36D25">
      <w:pPr>
        <w:spacing w:before="120" w:after="120" w:line="360" w:lineRule="auto"/>
        <w:jc w:val="both"/>
        <w:rPr>
          <w:rFonts w:eastAsia="Times New Roman" w:cs="Arial"/>
          <w:color w:val="000000" w:themeColor="text1"/>
          <w:szCs w:val="24"/>
        </w:rPr>
      </w:pPr>
      <w:r w:rsidRPr="00DB42F9">
        <w:rPr>
          <w:rFonts w:eastAsia="Times New Roman" w:cs="Arial"/>
          <w:color w:val="000000" w:themeColor="text1"/>
          <w:szCs w:val="24"/>
        </w:rPr>
        <w:t xml:space="preserve">Across databases (MEDLINE, CINAHL, PsycINFO, Scopus, Web of Science, ASSIA, </w:t>
      </w:r>
      <w:proofErr w:type="spellStart"/>
      <w:r w:rsidRPr="00DB42F9">
        <w:rPr>
          <w:rFonts w:eastAsia="Times New Roman" w:cs="Arial"/>
          <w:color w:val="000000" w:themeColor="text1"/>
          <w:szCs w:val="24"/>
        </w:rPr>
        <w:t>SocINDEX</w:t>
      </w:r>
      <w:proofErr w:type="spellEnd"/>
      <w:r w:rsidRPr="00DB42F9">
        <w:rPr>
          <w:rFonts w:eastAsia="Times New Roman" w:cs="Arial"/>
          <w:color w:val="000000" w:themeColor="text1"/>
          <w:szCs w:val="24"/>
        </w:rPr>
        <w:t>) the search identified 7,184 records; citation-chasing and reference lists added 23, giving 7,207 records. After de-duplication (n=1,245), 5,962 titles/abstracts were screened, of which 5,450 were excluded for not meeting the population/phenomena/setting criteria. We assessed 512 full texts for eligibility and excluded 468 with reasons: wrong population/age (n=132), non-UK setting (n=119), quantitative-only designs (n=103), insufficient qualitative data (n=61), not focused on social isolation/digital context (n=43), and not peer-reviewed/English (n=10). Consequently, 44 studies (2015–2025) were included in the qualitative synthesis.</w:t>
      </w:r>
    </w:p>
    <w:p w14:paraId="4D2141A4" w14:textId="77777777" w:rsidR="00E36D25" w:rsidRPr="00DB42F9" w:rsidRDefault="00E36D25" w:rsidP="00E36D25">
      <w:pPr>
        <w:keepNext/>
        <w:spacing w:before="120" w:after="120" w:line="360" w:lineRule="auto"/>
        <w:jc w:val="center"/>
        <w:rPr>
          <w:rFonts w:cs="Arial"/>
          <w:color w:val="000000" w:themeColor="text1"/>
        </w:rPr>
      </w:pPr>
      <w:r w:rsidRPr="00DB42F9">
        <w:rPr>
          <w:rFonts w:cs="Arial"/>
          <w:noProof/>
          <w:color w:val="000000" w:themeColor="text1"/>
        </w:rPr>
        <w:drawing>
          <wp:inline distT="0" distB="0" distL="0" distR="0" wp14:anchorId="4817DAB0" wp14:editId="562D6315">
            <wp:extent cx="4705914" cy="43670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08991" cy="4369904"/>
                    </a:xfrm>
                    <a:prstGeom prst="rect">
                      <a:avLst/>
                    </a:prstGeom>
                  </pic:spPr>
                </pic:pic>
              </a:graphicData>
            </a:graphic>
          </wp:inline>
        </w:drawing>
      </w:r>
    </w:p>
    <w:p w14:paraId="0FE014C3" w14:textId="77777777" w:rsidR="00E36D25" w:rsidRPr="00DB42F9" w:rsidRDefault="00E36D25" w:rsidP="00E36D25">
      <w:pPr>
        <w:pStyle w:val="Caption"/>
        <w:spacing w:before="120" w:after="120" w:line="360" w:lineRule="auto"/>
        <w:jc w:val="center"/>
        <w:rPr>
          <w:rFonts w:cs="Arial"/>
          <w:color w:val="000000" w:themeColor="text1"/>
        </w:rPr>
      </w:pPr>
      <w:bookmarkStart w:id="6" w:name="_Toc209282423"/>
      <w:r w:rsidRPr="00DB42F9">
        <w:rPr>
          <w:rFonts w:cs="Arial"/>
          <w:color w:val="000000" w:themeColor="text1"/>
        </w:rPr>
        <w:t xml:space="preserve">Figure </w:t>
      </w:r>
      <w:r w:rsidRPr="00DB42F9">
        <w:rPr>
          <w:rFonts w:cs="Arial"/>
          <w:color w:val="000000" w:themeColor="text1"/>
        </w:rPr>
        <w:fldChar w:fldCharType="begin"/>
      </w:r>
      <w:r w:rsidRPr="00DB42F9">
        <w:rPr>
          <w:rFonts w:cs="Arial"/>
          <w:color w:val="000000" w:themeColor="text1"/>
        </w:rPr>
        <w:instrText xml:space="preserve"> SEQ Figure \* ARABIC </w:instrText>
      </w:r>
      <w:r w:rsidRPr="00DB42F9">
        <w:rPr>
          <w:rFonts w:cs="Arial"/>
          <w:color w:val="000000" w:themeColor="text1"/>
        </w:rPr>
        <w:fldChar w:fldCharType="separate"/>
      </w:r>
      <w:r w:rsidRPr="00DB42F9">
        <w:rPr>
          <w:rFonts w:cs="Arial"/>
          <w:noProof/>
          <w:color w:val="000000" w:themeColor="text1"/>
        </w:rPr>
        <w:t>2</w:t>
      </w:r>
      <w:r w:rsidRPr="00DB42F9">
        <w:rPr>
          <w:rFonts w:cs="Arial"/>
          <w:color w:val="000000" w:themeColor="text1"/>
        </w:rPr>
        <w:fldChar w:fldCharType="end"/>
      </w:r>
      <w:r w:rsidRPr="00DB42F9">
        <w:rPr>
          <w:rFonts w:cs="Arial"/>
          <w:color w:val="000000" w:themeColor="text1"/>
        </w:rPr>
        <w:t>: PRISMA Diagram (Created by using Visual Paradigm Tool)</w:t>
      </w:r>
      <w:bookmarkEnd w:id="6"/>
    </w:p>
    <w:p w14:paraId="22892AB3" w14:textId="77777777" w:rsidR="00E36D25" w:rsidRPr="00DB42F9" w:rsidRDefault="00E36D25" w:rsidP="00E36D25">
      <w:pPr>
        <w:pStyle w:val="NormalWeb"/>
        <w:spacing w:before="120" w:beforeAutospacing="0" w:after="120" w:afterAutospacing="0" w:line="360" w:lineRule="auto"/>
        <w:jc w:val="both"/>
        <w:rPr>
          <w:rFonts w:ascii="Arial" w:hAnsi="Arial" w:cs="Arial"/>
          <w:sz w:val="22"/>
        </w:rPr>
      </w:pPr>
      <w:r w:rsidRPr="00DB42F9">
        <w:rPr>
          <w:rFonts w:ascii="Arial" w:hAnsi="Arial" w:cs="Arial"/>
          <w:sz w:val="22"/>
        </w:rPr>
        <w:lastRenderedPageBreak/>
        <w:t xml:space="preserve">With identification and screening complete, section 3.4 now describe how quality assurance and appraisal procedures strengthened </w:t>
      </w:r>
      <w:proofErr w:type="spellStart"/>
      <w:r w:rsidRPr="00DB42F9">
        <w:rPr>
          <w:rFonts w:ascii="Arial" w:hAnsi="Arial" w:cs="Arial"/>
          <w:sz w:val="22"/>
        </w:rPr>
        <w:t>rigour</w:t>
      </w:r>
      <w:proofErr w:type="spellEnd"/>
      <w:r w:rsidRPr="00DB42F9">
        <w:rPr>
          <w:rFonts w:ascii="Arial" w:hAnsi="Arial" w:cs="Arial"/>
          <w:sz w:val="22"/>
        </w:rPr>
        <w:t xml:space="preserve"> and credibility.</w:t>
      </w:r>
    </w:p>
    <w:p w14:paraId="0337CECD"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7" w:name="_Toc209284759"/>
      <w:r w:rsidRPr="00DB42F9">
        <w:rPr>
          <w:rFonts w:ascii="Arial" w:hAnsi="Arial" w:cs="Arial"/>
          <w:color w:val="000000" w:themeColor="text1"/>
        </w:rPr>
        <w:t>3.4 Research Validation</w:t>
      </w:r>
      <w:bookmarkEnd w:id="7"/>
      <w:r w:rsidRPr="00DB42F9">
        <w:rPr>
          <w:rFonts w:ascii="Arial" w:hAnsi="Arial" w:cs="Arial"/>
          <w:color w:val="000000" w:themeColor="text1"/>
        </w:rPr>
        <w:t xml:space="preserve"> </w:t>
      </w:r>
    </w:p>
    <w:p w14:paraId="0F0543AD"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Quality assurance combined reviewer agreement checks, critical appraisal, and transparency procedures. Title/abstract screening was conducted by the primary reviewer; a second reviewer independently screened a 20% random sample. Agreement exceeded the a priori κ≥0.80 threshold (Cohen’s kappa), with disagreements resolved by discussion and, if needed, supervisor adjudication (Booth et al., 2016). Full-text eligibility decisions were double-checked for borderline cases with documented rationales. Methodological quality and reporting were appraised using the JBI qualitative checklist (Lockwood et al., 2015) and COREQ guidance for reporting qualitative research (Tong et al., 2007). Appraisal informed, but did not dictate, study inclusion; instead, we conducted sensitivity analyses to explore the influence of lower-quality studies on themes. Confidence in review findings was graded using GRADE-</w:t>
      </w:r>
      <w:proofErr w:type="spellStart"/>
      <w:r w:rsidRPr="00DB42F9">
        <w:rPr>
          <w:rFonts w:ascii="Arial" w:hAnsi="Arial" w:cs="Arial"/>
          <w:color w:val="000000" w:themeColor="text1"/>
          <w:sz w:val="22"/>
        </w:rPr>
        <w:t>CERQual</w:t>
      </w:r>
      <w:proofErr w:type="spellEnd"/>
      <w:r w:rsidRPr="00DB42F9">
        <w:rPr>
          <w:rFonts w:ascii="Arial" w:hAnsi="Arial" w:cs="Arial"/>
          <w:color w:val="000000" w:themeColor="text1"/>
          <w:sz w:val="22"/>
        </w:rPr>
        <w:t xml:space="preserve"> (Lewin et al., 2018), considering methodological limitations, coherence, adequacy, and relevance. An audit trail (search logs, screening forms, codebooks, theme memos) and reflexive notes enhanced dependability and confirmability (Creswell &amp; Poth, 2018).</w:t>
      </w:r>
    </w:p>
    <w:p w14:paraId="5801F5FA"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0"/>
        </w:rPr>
      </w:pPr>
      <w:r w:rsidRPr="00DB42F9">
        <w:rPr>
          <w:rFonts w:ascii="Arial" w:hAnsi="Arial" w:cs="Arial"/>
          <w:sz w:val="22"/>
        </w:rPr>
        <w:t>Section 3.5 next formalize eligibility rules to ensure consistency and transparency in deciding which studies entered the synthesis.</w:t>
      </w:r>
    </w:p>
    <w:p w14:paraId="5E465627"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8" w:name="_Toc209284760"/>
      <w:r w:rsidRPr="00DB42F9">
        <w:rPr>
          <w:rFonts w:ascii="Arial" w:hAnsi="Arial" w:cs="Arial"/>
          <w:color w:val="000000" w:themeColor="text1"/>
        </w:rPr>
        <w:t>3.5 Inclusion and Exclusion Criteria</w:t>
      </w:r>
      <w:bookmarkEnd w:id="8"/>
      <w:r w:rsidRPr="00DB42F9">
        <w:rPr>
          <w:rFonts w:ascii="Arial" w:hAnsi="Arial" w:cs="Arial"/>
          <w:color w:val="000000" w:themeColor="text1"/>
        </w:rPr>
        <w:t xml:space="preserve"> </w:t>
      </w:r>
    </w:p>
    <w:p w14:paraId="4B640A4E"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Style w:val="Strong"/>
          <w:rFonts w:ascii="Arial" w:hAnsi="Arial" w:cs="Arial"/>
          <w:color w:val="000000" w:themeColor="text1"/>
          <w:sz w:val="22"/>
        </w:rPr>
        <w:t>Inclusion:</w:t>
      </w:r>
      <w:r w:rsidRPr="00DB42F9">
        <w:rPr>
          <w:rFonts w:ascii="Arial" w:hAnsi="Arial" w:cs="Arial"/>
          <w:color w:val="000000" w:themeColor="text1"/>
          <w:sz w:val="22"/>
        </w:rPr>
        <w:t xml:space="preserve"> (1) empirical, peer-reviewed studies using qualitative designs (e.g., interviews, focus groups, ethnography) or mixed-methods with </w:t>
      </w:r>
      <w:proofErr w:type="spellStart"/>
      <w:r w:rsidRPr="00DB42F9">
        <w:rPr>
          <w:rFonts w:ascii="Arial" w:hAnsi="Arial" w:cs="Arial"/>
          <w:color w:val="000000" w:themeColor="text1"/>
          <w:sz w:val="22"/>
        </w:rPr>
        <w:t>analysable</w:t>
      </w:r>
      <w:proofErr w:type="spellEnd"/>
      <w:r w:rsidRPr="00DB42F9">
        <w:rPr>
          <w:rFonts w:ascii="Arial" w:hAnsi="Arial" w:cs="Arial"/>
          <w:color w:val="000000" w:themeColor="text1"/>
          <w:sz w:val="22"/>
        </w:rPr>
        <w:t xml:space="preserve"> qualitative data; (2) UK-based samples of older adults (≥60) or UK carers/providers reporting older adults’ perspectives; (3) phenomena addressing social isolation/loneliness in relation to digital access/use/exclusion; (4) mental-health outcomes (e.g., depression, anxiety, wellbeing, coping) or care experiences linked to mental health; (5) English; (6) 2015–2025.</w:t>
      </w:r>
    </w:p>
    <w:p w14:paraId="57EC4101"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Style w:val="Strong"/>
          <w:rFonts w:ascii="Arial" w:hAnsi="Arial" w:cs="Arial"/>
          <w:color w:val="000000" w:themeColor="text1"/>
          <w:sz w:val="22"/>
        </w:rPr>
        <w:t>Exclusion:</w:t>
      </w:r>
      <w:r w:rsidRPr="00DB42F9">
        <w:rPr>
          <w:rFonts w:ascii="Arial" w:hAnsi="Arial" w:cs="Arial"/>
          <w:color w:val="000000" w:themeColor="text1"/>
          <w:sz w:val="22"/>
        </w:rPr>
        <w:t xml:space="preserve"> quantitative-only studies; editorials/commentaries; non-UK settings; populations &lt;60 unless older subgroup data were separable; studies focused solely on general ageing without social isolation/digital dimensions; and technology usability studies lacking mental-health relevance (Thomas &amp; Harden, 2008; Page et al., 2021).</w:t>
      </w:r>
    </w:p>
    <w:p w14:paraId="1D86A812" w14:textId="77777777" w:rsidR="00E36D25" w:rsidRPr="00DB42F9" w:rsidRDefault="00E36D25" w:rsidP="00E36D25">
      <w:pPr>
        <w:pStyle w:val="Caption"/>
        <w:keepNext/>
        <w:spacing w:before="120" w:after="120" w:line="360" w:lineRule="auto"/>
        <w:jc w:val="center"/>
        <w:rPr>
          <w:rFonts w:cs="Arial"/>
          <w:color w:val="000000" w:themeColor="text1"/>
        </w:rPr>
      </w:pPr>
      <w:bookmarkStart w:id="9" w:name="_Toc209282432"/>
      <w:r w:rsidRPr="00DB42F9">
        <w:rPr>
          <w:rFonts w:cs="Arial"/>
          <w:color w:val="000000" w:themeColor="text1"/>
        </w:rPr>
        <w:lastRenderedPageBreak/>
        <w:t xml:space="preserve">Table </w:t>
      </w:r>
      <w:r w:rsidRPr="00DB42F9">
        <w:rPr>
          <w:rFonts w:cs="Arial"/>
          <w:color w:val="000000" w:themeColor="text1"/>
        </w:rPr>
        <w:fldChar w:fldCharType="begin"/>
      </w:r>
      <w:r w:rsidRPr="00DB42F9">
        <w:rPr>
          <w:rFonts w:cs="Arial"/>
          <w:color w:val="000000" w:themeColor="text1"/>
        </w:rPr>
        <w:instrText xml:space="preserve"> SEQ Table \* ARABIC </w:instrText>
      </w:r>
      <w:r w:rsidRPr="00DB42F9">
        <w:rPr>
          <w:rFonts w:cs="Arial"/>
          <w:color w:val="000000" w:themeColor="text1"/>
        </w:rPr>
        <w:fldChar w:fldCharType="separate"/>
      </w:r>
      <w:r w:rsidRPr="00DB42F9">
        <w:rPr>
          <w:rFonts w:cs="Arial"/>
          <w:noProof/>
          <w:color w:val="000000" w:themeColor="text1"/>
        </w:rPr>
        <w:t>3</w:t>
      </w:r>
      <w:r w:rsidRPr="00DB42F9">
        <w:rPr>
          <w:rFonts w:cs="Arial"/>
          <w:color w:val="000000" w:themeColor="text1"/>
        </w:rPr>
        <w:fldChar w:fldCharType="end"/>
      </w:r>
      <w:r w:rsidRPr="00DB42F9">
        <w:rPr>
          <w:rFonts w:cs="Arial"/>
          <w:color w:val="000000" w:themeColor="text1"/>
        </w:rPr>
        <w:t>: Inclusion and Exclusion Criteria</w:t>
      </w:r>
      <w:bookmarkEnd w:id="9"/>
    </w:p>
    <w:tbl>
      <w:tblPr>
        <w:tblStyle w:val="TableGrid"/>
        <w:tblW w:w="0" w:type="auto"/>
        <w:tblLook w:val="04A0" w:firstRow="1" w:lastRow="0" w:firstColumn="1" w:lastColumn="0" w:noHBand="0" w:noVBand="1"/>
      </w:tblPr>
      <w:tblGrid>
        <w:gridCol w:w="1256"/>
        <w:gridCol w:w="8094"/>
      </w:tblGrid>
      <w:tr w:rsidR="00E36D25" w:rsidRPr="00DB42F9" w14:paraId="74B45B04" w14:textId="77777777" w:rsidTr="0034194B">
        <w:tc>
          <w:tcPr>
            <w:tcW w:w="0" w:type="auto"/>
            <w:hideMark/>
          </w:tcPr>
          <w:p w14:paraId="51EA72CF" w14:textId="77777777" w:rsidR="00E36D25" w:rsidRPr="00DB42F9" w:rsidRDefault="00E36D25" w:rsidP="0034194B">
            <w:pPr>
              <w:spacing w:before="120" w:after="120"/>
              <w:jc w:val="both"/>
              <w:rPr>
                <w:rFonts w:eastAsia="Times New Roman" w:cs="Arial"/>
                <w:b/>
                <w:bCs/>
                <w:color w:val="000000" w:themeColor="text1"/>
                <w:szCs w:val="24"/>
              </w:rPr>
            </w:pPr>
            <w:r w:rsidRPr="00DB42F9">
              <w:rPr>
                <w:rFonts w:eastAsia="Times New Roman" w:cs="Arial"/>
                <w:b/>
                <w:bCs/>
                <w:color w:val="000000" w:themeColor="text1"/>
                <w:szCs w:val="24"/>
              </w:rPr>
              <w:t>Category</w:t>
            </w:r>
          </w:p>
        </w:tc>
        <w:tc>
          <w:tcPr>
            <w:tcW w:w="0" w:type="auto"/>
            <w:hideMark/>
          </w:tcPr>
          <w:p w14:paraId="2A4358DA" w14:textId="77777777" w:rsidR="00E36D25" w:rsidRPr="00DB42F9" w:rsidRDefault="00E36D25" w:rsidP="0034194B">
            <w:pPr>
              <w:spacing w:before="120" w:after="120"/>
              <w:jc w:val="both"/>
              <w:rPr>
                <w:rFonts w:eastAsia="Times New Roman" w:cs="Arial"/>
                <w:b/>
                <w:bCs/>
                <w:color w:val="000000" w:themeColor="text1"/>
                <w:szCs w:val="24"/>
              </w:rPr>
            </w:pPr>
            <w:r w:rsidRPr="00DB42F9">
              <w:rPr>
                <w:rFonts w:eastAsia="Times New Roman" w:cs="Arial"/>
                <w:b/>
                <w:bCs/>
                <w:color w:val="000000" w:themeColor="text1"/>
                <w:szCs w:val="24"/>
              </w:rPr>
              <w:t>Criteria</w:t>
            </w:r>
          </w:p>
        </w:tc>
      </w:tr>
      <w:tr w:rsidR="00E36D25" w:rsidRPr="00DB42F9" w14:paraId="776E76DE" w14:textId="77777777" w:rsidTr="0034194B">
        <w:tc>
          <w:tcPr>
            <w:tcW w:w="0" w:type="auto"/>
            <w:hideMark/>
          </w:tcPr>
          <w:p w14:paraId="46148EA8" w14:textId="77777777" w:rsidR="00E36D25" w:rsidRPr="00DB42F9" w:rsidRDefault="00E36D25" w:rsidP="0034194B">
            <w:pPr>
              <w:spacing w:before="120" w:after="120"/>
              <w:jc w:val="both"/>
              <w:rPr>
                <w:rFonts w:eastAsia="Times New Roman" w:cs="Arial"/>
                <w:color w:val="000000" w:themeColor="text1"/>
                <w:szCs w:val="24"/>
              </w:rPr>
            </w:pPr>
            <w:r w:rsidRPr="00DB42F9">
              <w:rPr>
                <w:rFonts w:eastAsia="Times New Roman" w:cs="Arial"/>
                <w:b/>
                <w:bCs/>
                <w:color w:val="000000" w:themeColor="text1"/>
                <w:szCs w:val="24"/>
              </w:rPr>
              <w:t>Inclusion</w:t>
            </w:r>
          </w:p>
        </w:tc>
        <w:tc>
          <w:tcPr>
            <w:tcW w:w="0" w:type="auto"/>
            <w:hideMark/>
          </w:tcPr>
          <w:p w14:paraId="1DB19395" w14:textId="77777777" w:rsidR="00E36D25" w:rsidRPr="00DB42F9" w:rsidRDefault="00E36D25" w:rsidP="00E36D25">
            <w:pPr>
              <w:pStyle w:val="ListParagraph"/>
              <w:numPr>
                <w:ilvl w:val="0"/>
                <w:numId w:val="1"/>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Empirical, peer-reviewed studies using qualitative designs (e.g., interviews, focus groups, ethnography) or mixed-methods with analysable qualitative data.</w:t>
            </w:r>
          </w:p>
          <w:p w14:paraId="407778B8" w14:textId="77777777" w:rsidR="00E36D25" w:rsidRPr="00DB42F9" w:rsidRDefault="00E36D25" w:rsidP="00E36D25">
            <w:pPr>
              <w:pStyle w:val="ListParagraph"/>
              <w:numPr>
                <w:ilvl w:val="0"/>
                <w:numId w:val="1"/>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UK-based samples of older adults (≥60) or UK carers/providers reporting older adults’ perspectives.</w:t>
            </w:r>
          </w:p>
          <w:p w14:paraId="425F1086" w14:textId="77777777" w:rsidR="00E36D25" w:rsidRPr="00DB42F9" w:rsidRDefault="00E36D25" w:rsidP="00E36D25">
            <w:pPr>
              <w:pStyle w:val="ListParagraph"/>
              <w:numPr>
                <w:ilvl w:val="0"/>
                <w:numId w:val="1"/>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Phenomena addressing social isolation/loneliness in relation to digital access/use/exclusion.</w:t>
            </w:r>
          </w:p>
          <w:p w14:paraId="5409AAD0" w14:textId="77777777" w:rsidR="00E36D25" w:rsidRPr="00DB42F9" w:rsidRDefault="00E36D25" w:rsidP="00E36D25">
            <w:pPr>
              <w:pStyle w:val="ListParagraph"/>
              <w:numPr>
                <w:ilvl w:val="0"/>
                <w:numId w:val="1"/>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Mental-health outcomes (e.g., depression, anxiety, wellbeing, coping) or care experiences linked to mental health.</w:t>
            </w:r>
          </w:p>
          <w:p w14:paraId="11EAC801" w14:textId="77777777" w:rsidR="00E36D25" w:rsidRPr="00DB42F9" w:rsidRDefault="00E36D25" w:rsidP="00E36D25">
            <w:pPr>
              <w:pStyle w:val="ListParagraph"/>
              <w:numPr>
                <w:ilvl w:val="0"/>
                <w:numId w:val="1"/>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English language.</w:t>
            </w:r>
          </w:p>
          <w:p w14:paraId="77078B0D" w14:textId="77777777" w:rsidR="00E36D25" w:rsidRPr="00DB42F9" w:rsidRDefault="00E36D25" w:rsidP="00E36D25">
            <w:pPr>
              <w:pStyle w:val="ListParagraph"/>
              <w:numPr>
                <w:ilvl w:val="0"/>
                <w:numId w:val="1"/>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6. Published between 2015–2025.</w:t>
            </w:r>
          </w:p>
        </w:tc>
      </w:tr>
      <w:tr w:rsidR="00E36D25" w:rsidRPr="00DB42F9" w14:paraId="171D0E36" w14:textId="77777777" w:rsidTr="0034194B">
        <w:tc>
          <w:tcPr>
            <w:tcW w:w="0" w:type="auto"/>
            <w:hideMark/>
          </w:tcPr>
          <w:p w14:paraId="63D31A4F" w14:textId="77777777" w:rsidR="00E36D25" w:rsidRPr="00DB42F9" w:rsidRDefault="00E36D25" w:rsidP="0034194B">
            <w:pPr>
              <w:spacing w:before="120" w:after="120"/>
              <w:jc w:val="both"/>
              <w:rPr>
                <w:rFonts w:eastAsia="Times New Roman" w:cs="Arial"/>
                <w:color w:val="000000" w:themeColor="text1"/>
                <w:szCs w:val="24"/>
              </w:rPr>
            </w:pPr>
            <w:r w:rsidRPr="00DB42F9">
              <w:rPr>
                <w:rFonts w:eastAsia="Times New Roman" w:cs="Arial"/>
                <w:b/>
                <w:bCs/>
                <w:color w:val="000000" w:themeColor="text1"/>
                <w:szCs w:val="24"/>
              </w:rPr>
              <w:t>Exclusion</w:t>
            </w:r>
          </w:p>
        </w:tc>
        <w:tc>
          <w:tcPr>
            <w:tcW w:w="0" w:type="auto"/>
            <w:hideMark/>
          </w:tcPr>
          <w:p w14:paraId="34A525B0" w14:textId="77777777" w:rsidR="00E36D25" w:rsidRPr="00DB42F9" w:rsidRDefault="00E36D25" w:rsidP="00E36D25">
            <w:pPr>
              <w:pStyle w:val="ListParagraph"/>
              <w:numPr>
                <w:ilvl w:val="0"/>
                <w:numId w:val="2"/>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Quantitative-only studies.</w:t>
            </w:r>
          </w:p>
          <w:p w14:paraId="3EA39460" w14:textId="77777777" w:rsidR="00E36D25" w:rsidRPr="00DB42F9" w:rsidRDefault="00E36D25" w:rsidP="00E36D25">
            <w:pPr>
              <w:pStyle w:val="ListParagraph"/>
              <w:numPr>
                <w:ilvl w:val="0"/>
                <w:numId w:val="2"/>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Editorials/commentaries.</w:t>
            </w:r>
          </w:p>
          <w:p w14:paraId="247FECA3" w14:textId="77777777" w:rsidR="00E36D25" w:rsidRPr="00DB42F9" w:rsidRDefault="00E36D25" w:rsidP="00E36D25">
            <w:pPr>
              <w:pStyle w:val="ListParagraph"/>
              <w:numPr>
                <w:ilvl w:val="0"/>
                <w:numId w:val="2"/>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Non-UK settings.</w:t>
            </w:r>
          </w:p>
          <w:p w14:paraId="5AA5E0CF" w14:textId="77777777" w:rsidR="00E36D25" w:rsidRPr="00DB42F9" w:rsidRDefault="00E36D25" w:rsidP="00E36D25">
            <w:pPr>
              <w:pStyle w:val="ListParagraph"/>
              <w:numPr>
                <w:ilvl w:val="0"/>
                <w:numId w:val="2"/>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Populations &lt;60 unless older subgroup data were separable.</w:t>
            </w:r>
          </w:p>
          <w:p w14:paraId="28AE5CDD" w14:textId="77777777" w:rsidR="00E36D25" w:rsidRPr="00DB42F9" w:rsidRDefault="00E36D25" w:rsidP="00E36D25">
            <w:pPr>
              <w:pStyle w:val="ListParagraph"/>
              <w:numPr>
                <w:ilvl w:val="0"/>
                <w:numId w:val="2"/>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Studies focused solely on general ageing without social isolation/digital dimensions.</w:t>
            </w:r>
          </w:p>
          <w:p w14:paraId="442D40D5" w14:textId="77777777" w:rsidR="00E36D25" w:rsidRPr="00DB42F9" w:rsidRDefault="00E36D25" w:rsidP="00E36D25">
            <w:pPr>
              <w:pStyle w:val="ListParagraph"/>
              <w:numPr>
                <w:ilvl w:val="0"/>
                <w:numId w:val="2"/>
              </w:numPr>
              <w:spacing w:before="120" w:after="120" w:line="240" w:lineRule="auto"/>
              <w:jc w:val="both"/>
              <w:rPr>
                <w:rFonts w:ascii="Arial" w:eastAsia="Times New Roman" w:hAnsi="Arial" w:cs="Arial"/>
                <w:color w:val="000000" w:themeColor="text1"/>
                <w:sz w:val="22"/>
                <w:szCs w:val="24"/>
              </w:rPr>
            </w:pPr>
            <w:r w:rsidRPr="00DB42F9">
              <w:rPr>
                <w:rFonts w:ascii="Arial" w:eastAsia="Times New Roman" w:hAnsi="Arial" w:cs="Arial"/>
                <w:color w:val="000000" w:themeColor="text1"/>
                <w:sz w:val="22"/>
                <w:szCs w:val="24"/>
              </w:rPr>
              <w:t>Technology usability studies lacking mental-health relevance.</w:t>
            </w:r>
          </w:p>
        </w:tc>
      </w:tr>
    </w:tbl>
    <w:p w14:paraId="50B6F77F" w14:textId="77777777" w:rsidR="00E36D25" w:rsidRPr="00DB42F9" w:rsidRDefault="00E36D25" w:rsidP="00E36D25">
      <w:pPr>
        <w:pStyle w:val="NormalWeb"/>
        <w:spacing w:before="120" w:beforeAutospacing="0" w:after="120" w:afterAutospacing="0" w:line="360" w:lineRule="auto"/>
        <w:jc w:val="both"/>
        <w:rPr>
          <w:rFonts w:ascii="Arial" w:hAnsi="Arial" w:cs="Arial"/>
          <w:sz w:val="22"/>
        </w:rPr>
      </w:pPr>
      <w:r w:rsidRPr="00DB42F9">
        <w:rPr>
          <w:rFonts w:ascii="Arial" w:hAnsi="Arial" w:cs="Arial"/>
          <w:sz w:val="22"/>
        </w:rPr>
        <w:t>The section 3.6 explains how data were extracted and thematically synthesized to generate descriptive and analytical themes.</w:t>
      </w:r>
    </w:p>
    <w:p w14:paraId="1641A0BA"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10" w:name="_Toc209284761"/>
      <w:r w:rsidRPr="00DB42F9">
        <w:rPr>
          <w:rFonts w:ascii="Arial" w:hAnsi="Arial" w:cs="Arial"/>
          <w:color w:val="000000" w:themeColor="text1"/>
        </w:rPr>
        <w:t>3.6 Analyzing Research</w:t>
      </w:r>
      <w:bookmarkEnd w:id="10"/>
      <w:r w:rsidRPr="00DB42F9">
        <w:rPr>
          <w:rFonts w:ascii="Arial" w:hAnsi="Arial" w:cs="Arial"/>
          <w:color w:val="000000" w:themeColor="text1"/>
        </w:rPr>
        <w:t xml:space="preserve"> </w:t>
      </w:r>
    </w:p>
    <w:p w14:paraId="6EBFAE06"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 xml:space="preserve">Data extraction captured study aims, design, sampling, setting, participant characteristics, digital context, definitions of isolation/loneliness, and mental-health-related findings. We imported full texts into a qualitative analysis workspace and undertook line-by-line inductive coding of participant quotations and authors’ interpretive text. A three-stage thematic synthesis was applied: (1) free codes, (2) organization into descriptive themes, and (3) generation of higher-order analytical themes explaining mechanisms linking digital exclusion to isolation and mental health (Thomas &amp; Harden, 2008; Braun &amp; Clarke, 2006). Constant comparison ensured nuance across UK regions and service contexts; deviant cases were actively sought (Noblit &amp; Hare, 1988). Quality assessments informed </w:t>
      </w:r>
      <w:proofErr w:type="spellStart"/>
      <w:r w:rsidRPr="00DB42F9">
        <w:rPr>
          <w:rFonts w:ascii="Arial" w:hAnsi="Arial" w:cs="Arial"/>
          <w:color w:val="000000" w:themeColor="text1"/>
          <w:sz w:val="22"/>
        </w:rPr>
        <w:t>CERQual</w:t>
      </w:r>
      <w:proofErr w:type="spellEnd"/>
      <w:r w:rsidRPr="00DB42F9">
        <w:rPr>
          <w:rFonts w:ascii="Arial" w:hAnsi="Arial" w:cs="Arial"/>
          <w:color w:val="000000" w:themeColor="text1"/>
          <w:sz w:val="22"/>
        </w:rPr>
        <w:t xml:space="preserve"> confidence ratings attached to each final theme (Lewin et al., 2018). Where feasible, we noted theory linkages (e.g., social capital, digital divide) to strengthen explanatory power without over-imposing frameworks on the data.</w:t>
      </w:r>
    </w:p>
    <w:p w14:paraId="4A840DB2"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0"/>
        </w:rPr>
      </w:pPr>
      <w:r w:rsidRPr="00DB42F9">
        <w:rPr>
          <w:rFonts w:ascii="Arial" w:hAnsi="Arial" w:cs="Arial"/>
          <w:sz w:val="22"/>
        </w:rPr>
        <w:t>Before presenting findings, section 3.7 reflect on ethical norms for secondary analysis and reflexive stance in interpreting participants’ accounts.</w:t>
      </w:r>
    </w:p>
    <w:p w14:paraId="470E46B2"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11" w:name="_Toc209284762"/>
      <w:r w:rsidRPr="00DB42F9">
        <w:rPr>
          <w:rFonts w:ascii="Arial" w:hAnsi="Arial" w:cs="Arial"/>
          <w:color w:val="000000" w:themeColor="text1"/>
        </w:rPr>
        <w:lastRenderedPageBreak/>
        <w:t>3.7 Ethical Considerations</w:t>
      </w:r>
      <w:bookmarkEnd w:id="11"/>
    </w:p>
    <w:p w14:paraId="09BAFD20"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As a review of published studies, this project did not require institutional ethics approval; however, we followed ethical norms for secondary analysis (Creswell &amp; Poth, 2018). This research respected original authors’ participant protections, avoided reproducing potentially identifying quotes excessively, and represented participants’ voices faithfully, including contradictory accounts. Reflexive memos documented researcher assumptions, positionality, and potential biases regarding ageing, technology, and mental health (Braun &amp; Clarke, 2006). All sources were duly credited; no unpublished personal communications were used. The review prioritized equitable inclusion by considering accessibility needs in dissemination (e.g., plain-language summaries), aligning with best-practice guidance for qualitative evidence use in policy and care (Lewin et al., 2018).</w:t>
      </w:r>
    </w:p>
    <w:p w14:paraId="658D5BA9"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0"/>
        </w:rPr>
      </w:pPr>
      <w:r w:rsidRPr="00DB42F9">
        <w:rPr>
          <w:rFonts w:ascii="Arial" w:hAnsi="Arial" w:cs="Arial"/>
          <w:sz w:val="22"/>
        </w:rPr>
        <w:t>Finally, section 3.8 summaries methodological strengths and limitations and signpost to the results.</w:t>
      </w:r>
    </w:p>
    <w:p w14:paraId="7B025495" w14:textId="77777777" w:rsidR="00E36D25" w:rsidRPr="00DB42F9" w:rsidRDefault="00E36D25" w:rsidP="00E36D25">
      <w:pPr>
        <w:pStyle w:val="Heading2"/>
        <w:spacing w:before="120" w:beforeAutospacing="0" w:after="120" w:afterAutospacing="0" w:line="360" w:lineRule="auto"/>
        <w:jc w:val="both"/>
        <w:rPr>
          <w:rFonts w:ascii="Arial" w:hAnsi="Arial" w:cs="Arial"/>
          <w:color w:val="000000" w:themeColor="text1"/>
        </w:rPr>
      </w:pPr>
      <w:bookmarkStart w:id="12" w:name="_Toc209284763"/>
      <w:r w:rsidRPr="00DB42F9">
        <w:rPr>
          <w:rFonts w:ascii="Arial" w:hAnsi="Arial" w:cs="Arial"/>
          <w:color w:val="000000" w:themeColor="text1"/>
        </w:rPr>
        <w:t>3.8 Chapter Conclusion</w:t>
      </w:r>
      <w:bookmarkEnd w:id="12"/>
      <w:r w:rsidRPr="00DB42F9">
        <w:rPr>
          <w:rFonts w:ascii="Arial" w:hAnsi="Arial" w:cs="Arial"/>
          <w:color w:val="000000" w:themeColor="text1"/>
        </w:rPr>
        <w:t xml:space="preserve"> </w:t>
      </w:r>
    </w:p>
    <w:p w14:paraId="2373D171"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sz w:val="22"/>
        </w:rPr>
      </w:pPr>
      <w:r w:rsidRPr="00DB42F9">
        <w:rPr>
          <w:rFonts w:ascii="Arial" w:hAnsi="Arial" w:cs="Arial"/>
          <w:color w:val="000000" w:themeColor="text1"/>
          <w:sz w:val="22"/>
        </w:rPr>
        <w:t xml:space="preserve">This chapter detailed a rigorous, transparent qualitative-evidence review consistent with PRISMA 2020. A comprehensive multi-database search, explicit eligibility criteria, duplicate-checked screening, critical appraisal, and thematic synthesis produced a high-quality synthesis of 44 UK studies (2015–2025). Validity was strengthened through inter-rater checks, sensitivity analyses, and </w:t>
      </w:r>
      <w:proofErr w:type="spellStart"/>
      <w:r w:rsidRPr="00DB42F9">
        <w:rPr>
          <w:rFonts w:ascii="Arial" w:hAnsi="Arial" w:cs="Arial"/>
          <w:color w:val="000000" w:themeColor="text1"/>
          <w:sz w:val="22"/>
        </w:rPr>
        <w:t>CERQual</w:t>
      </w:r>
      <w:proofErr w:type="spellEnd"/>
      <w:r w:rsidRPr="00DB42F9">
        <w:rPr>
          <w:rFonts w:ascii="Arial" w:hAnsi="Arial" w:cs="Arial"/>
          <w:color w:val="000000" w:themeColor="text1"/>
          <w:sz w:val="22"/>
        </w:rPr>
        <w:t xml:space="preserve"> confidence assessments. The approach enables an in-depth understanding of how digital exclusion intersects with social isolation to influence older adults’ mental health and experiences of care. The next chapter reports the synthesis findings, presenting descriptive and analytical themes with confidence ratings and illustrative quotations to inform practice, service design, and policy.</w:t>
      </w:r>
    </w:p>
    <w:p w14:paraId="2D369286"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219FFA8B"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115B7480"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7C910958"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632073AC"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6F026D51" w14:textId="77777777" w:rsidR="00E36D25" w:rsidRPr="00DB42F9" w:rsidRDefault="00E36D25" w:rsidP="00E36D25">
      <w:pPr>
        <w:pStyle w:val="NormalWeb"/>
        <w:spacing w:before="120" w:beforeAutospacing="0" w:after="120" w:afterAutospacing="0" w:line="360" w:lineRule="auto"/>
        <w:jc w:val="both"/>
        <w:rPr>
          <w:rFonts w:ascii="Arial" w:hAnsi="Arial" w:cs="Arial"/>
          <w:color w:val="000000" w:themeColor="text1"/>
        </w:rPr>
      </w:pPr>
    </w:p>
    <w:p w14:paraId="4B28A27A" w14:textId="77777777" w:rsidR="00E36D25" w:rsidRPr="00DB42F9" w:rsidRDefault="00E36D25" w:rsidP="00E36D25">
      <w:pPr>
        <w:pStyle w:val="Heading2"/>
      </w:pPr>
      <w:r w:rsidRPr="00DB42F9">
        <w:lastRenderedPageBreak/>
        <w:t>References</w:t>
      </w:r>
    </w:p>
    <w:p w14:paraId="70EE0B71"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sz w:val="22"/>
          <w:szCs w:val="22"/>
        </w:rPr>
      </w:pPr>
      <w:r w:rsidRPr="007E33B2">
        <w:rPr>
          <w:rFonts w:ascii="Arial" w:hAnsi="Arial" w:cs="Arial"/>
          <w:sz w:val="22"/>
          <w:szCs w:val="22"/>
        </w:rPr>
        <w:t xml:space="preserve">Booth, A., Sutton, A., &amp; Papaioannou, D. (2016). </w:t>
      </w:r>
      <w:r w:rsidRPr="007E33B2">
        <w:rPr>
          <w:rFonts w:ascii="Arial" w:hAnsi="Arial" w:cs="Arial"/>
          <w:i/>
          <w:iCs/>
          <w:sz w:val="22"/>
          <w:szCs w:val="22"/>
        </w:rPr>
        <w:t>Systematic Approaches to a Successful Literature Review</w:t>
      </w:r>
      <w:r w:rsidRPr="007E33B2">
        <w:rPr>
          <w:rFonts w:ascii="Arial" w:hAnsi="Arial" w:cs="Arial"/>
          <w:sz w:val="22"/>
          <w:szCs w:val="22"/>
        </w:rPr>
        <w:t xml:space="preserve"> (2nd ed.). Sage.</w:t>
      </w:r>
    </w:p>
    <w:p w14:paraId="7739E82E"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7E33B2">
        <w:rPr>
          <w:rFonts w:ascii="Arial" w:hAnsi="Arial" w:cs="Arial"/>
          <w:sz w:val="22"/>
          <w:szCs w:val="22"/>
        </w:rPr>
        <w:t xml:space="preserve">Braun, V. and Clarke, V. (2006) ‘Using thematic analysis in psychology’, </w:t>
      </w:r>
      <w:r w:rsidRPr="007E33B2">
        <w:rPr>
          <w:rStyle w:val="Emphasis"/>
          <w:rFonts w:ascii="Arial" w:hAnsi="Arial" w:cs="Arial"/>
          <w:sz w:val="22"/>
          <w:szCs w:val="22"/>
        </w:rPr>
        <w:t>Qualitative Research in Psychology</w:t>
      </w:r>
      <w:r w:rsidRPr="007E33B2">
        <w:rPr>
          <w:rFonts w:ascii="Arial" w:hAnsi="Arial" w:cs="Arial"/>
          <w:sz w:val="22"/>
          <w:szCs w:val="22"/>
        </w:rPr>
        <w:t xml:space="preserve">, 3(2), pp. 77–101. Available at: </w:t>
      </w:r>
      <w:hyperlink r:id="rId18" w:history="1">
        <w:r w:rsidRPr="007E33B2">
          <w:rPr>
            <w:rStyle w:val="Hyperlink"/>
            <w:rFonts w:ascii="Arial" w:hAnsi="Arial" w:cs="Arial"/>
            <w:sz w:val="22"/>
            <w:szCs w:val="22"/>
          </w:rPr>
          <w:t>https://qualresmethods.files.wordpress.com/2016/05/braun_2006_using-thematic-analysis-in-psychology.pdf</w:t>
        </w:r>
      </w:hyperlink>
      <w:r w:rsidRPr="007E33B2">
        <w:rPr>
          <w:rFonts w:ascii="Arial" w:hAnsi="Arial" w:cs="Arial"/>
          <w:sz w:val="22"/>
          <w:szCs w:val="22"/>
        </w:rPr>
        <w:t xml:space="preserve"> (Accessed 20 September 2025).</w:t>
      </w:r>
    </w:p>
    <w:p w14:paraId="038D2FEA"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7E33B2">
        <w:rPr>
          <w:rFonts w:ascii="Arial" w:hAnsi="Arial" w:cs="Arial"/>
          <w:sz w:val="22"/>
          <w:szCs w:val="22"/>
        </w:rPr>
        <w:t xml:space="preserve">Creswell, J. W., &amp; Poth, C. N. (2018). </w:t>
      </w:r>
      <w:r w:rsidRPr="007E33B2">
        <w:rPr>
          <w:rFonts w:ascii="Arial" w:hAnsi="Arial" w:cs="Arial"/>
          <w:i/>
          <w:iCs/>
          <w:sz w:val="22"/>
          <w:szCs w:val="22"/>
        </w:rPr>
        <w:t>Qualitative Inquiry and Research Design: Choosing Among Five Approaches</w:t>
      </w:r>
      <w:r w:rsidRPr="007E33B2">
        <w:rPr>
          <w:rFonts w:ascii="Arial" w:hAnsi="Arial" w:cs="Arial"/>
          <w:sz w:val="22"/>
          <w:szCs w:val="22"/>
        </w:rPr>
        <w:t xml:space="preserve"> (4th ed.). Sage.</w:t>
      </w:r>
    </w:p>
    <w:p w14:paraId="5A73D995"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sz w:val="22"/>
          <w:szCs w:val="22"/>
        </w:rPr>
      </w:pPr>
      <w:r w:rsidRPr="007E33B2">
        <w:rPr>
          <w:rFonts w:ascii="Arial" w:hAnsi="Arial" w:cs="Arial"/>
          <w:sz w:val="22"/>
          <w:szCs w:val="22"/>
        </w:rPr>
        <w:t>Lewin, S., Booth, A., Glenton, C., et al. (2018). Applying GRADE-</w:t>
      </w:r>
      <w:proofErr w:type="spellStart"/>
      <w:r w:rsidRPr="007E33B2">
        <w:rPr>
          <w:rFonts w:ascii="Arial" w:hAnsi="Arial" w:cs="Arial"/>
          <w:sz w:val="22"/>
          <w:szCs w:val="22"/>
        </w:rPr>
        <w:t>CERQual</w:t>
      </w:r>
      <w:proofErr w:type="spellEnd"/>
      <w:r w:rsidRPr="007E33B2">
        <w:rPr>
          <w:rFonts w:ascii="Arial" w:hAnsi="Arial" w:cs="Arial"/>
          <w:sz w:val="22"/>
          <w:szCs w:val="22"/>
        </w:rPr>
        <w:t xml:space="preserve"> to qualitative evidence synthesis findings. </w:t>
      </w:r>
      <w:r w:rsidRPr="007E33B2">
        <w:rPr>
          <w:rFonts w:ascii="Arial" w:hAnsi="Arial" w:cs="Arial"/>
          <w:i/>
          <w:iCs/>
          <w:sz w:val="22"/>
          <w:szCs w:val="22"/>
        </w:rPr>
        <w:t>Implementation Science, 13</w:t>
      </w:r>
      <w:r w:rsidRPr="007E33B2">
        <w:rPr>
          <w:rFonts w:ascii="Arial" w:hAnsi="Arial" w:cs="Arial"/>
          <w:sz w:val="22"/>
          <w:szCs w:val="22"/>
        </w:rPr>
        <w:t xml:space="preserve">(Suppl 1), 2–10. </w:t>
      </w:r>
      <w:hyperlink r:id="rId19" w:history="1">
        <w:r w:rsidRPr="007E33B2">
          <w:rPr>
            <w:rStyle w:val="Hyperlink"/>
            <w:rFonts w:ascii="Arial" w:hAnsi="Arial" w:cs="Arial"/>
            <w:sz w:val="22"/>
            <w:szCs w:val="22"/>
          </w:rPr>
          <w:t>https://doi.org/10.1186/s13012-017-0688-3</w:t>
        </w:r>
      </w:hyperlink>
    </w:p>
    <w:p w14:paraId="296EFE19"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7E33B2">
        <w:rPr>
          <w:rFonts w:ascii="Arial" w:hAnsi="Arial" w:cs="Arial"/>
          <w:sz w:val="22"/>
          <w:szCs w:val="22"/>
        </w:rPr>
        <w:t xml:space="preserve">Lockwood, C., Munn, Z., &amp; Porritt, K. (2015). Qualitative research synthesis: methodological guidance for systematic reviewers utilizing JBI methods. </w:t>
      </w:r>
      <w:r w:rsidRPr="007E33B2">
        <w:rPr>
          <w:rFonts w:ascii="Arial" w:hAnsi="Arial" w:cs="Arial"/>
          <w:i/>
          <w:iCs/>
          <w:sz w:val="22"/>
          <w:szCs w:val="22"/>
        </w:rPr>
        <w:t>International Journal of Evidence-Based Healthcare, 13</w:t>
      </w:r>
      <w:r w:rsidRPr="007E33B2">
        <w:rPr>
          <w:rFonts w:ascii="Arial" w:hAnsi="Arial" w:cs="Arial"/>
          <w:sz w:val="22"/>
          <w:szCs w:val="22"/>
        </w:rPr>
        <w:t xml:space="preserve">(3), 179–187. </w:t>
      </w:r>
      <w:hyperlink r:id="rId20" w:history="1">
        <w:r w:rsidRPr="007E33B2">
          <w:rPr>
            <w:rStyle w:val="Hyperlink"/>
            <w:rFonts w:ascii="Arial" w:hAnsi="Arial" w:cs="Arial"/>
            <w:sz w:val="22"/>
            <w:szCs w:val="22"/>
          </w:rPr>
          <w:t>https://doi.org/10.1097/XEB.0000000000000062</w:t>
        </w:r>
      </w:hyperlink>
    </w:p>
    <w:p w14:paraId="2216DE2D" w14:textId="77777777" w:rsidR="00E36D25" w:rsidRPr="007E33B2" w:rsidRDefault="00E36D25" w:rsidP="00E36D25">
      <w:pPr>
        <w:spacing w:before="120" w:after="120" w:line="360" w:lineRule="auto"/>
        <w:jc w:val="both"/>
        <w:rPr>
          <w:rFonts w:eastAsia="Times New Roman" w:cs="Arial"/>
        </w:rPr>
      </w:pPr>
      <w:r w:rsidRPr="007E33B2">
        <w:rPr>
          <w:rFonts w:eastAsia="Times New Roman" w:cs="Arial"/>
        </w:rPr>
        <w:t xml:space="preserve">Noblit, G. W., &amp; Hare, R. D. (1988). </w:t>
      </w:r>
      <w:r w:rsidRPr="007E33B2">
        <w:rPr>
          <w:rFonts w:eastAsia="Times New Roman" w:cs="Arial"/>
          <w:i/>
          <w:iCs/>
        </w:rPr>
        <w:t>Meta-Ethnography: Synthesizing Qualitative Studies</w:t>
      </w:r>
      <w:r w:rsidRPr="007E33B2">
        <w:rPr>
          <w:rFonts w:eastAsia="Times New Roman" w:cs="Arial"/>
        </w:rPr>
        <w:t>. Sage.</w:t>
      </w:r>
    </w:p>
    <w:p w14:paraId="625616B3"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7E33B2">
        <w:rPr>
          <w:rFonts w:ascii="Arial" w:hAnsi="Arial" w:cs="Arial"/>
          <w:sz w:val="22"/>
          <w:szCs w:val="22"/>
        </w:rPr>
        <w:t xml:space="preserve">Page, M. J., McKenzie, J. E., Bossuyt, P. M., et al. (2021). The PRISMA 2020 statement: an updated guideline for reporting systematic reviews. </w:t>
      </w:r>
      <w:r w:rsidRPr="007E33B2">
        <w:rPr>
          <w:rFonts w:ascii="Arial" w:hAnsi="Arial" w:cs="Arial"/>
          <w:i/>
          <w:iCs/>
          <w:sz w:val="22"/>
          <w:szCs w:val="22"/>
        </w:rPr>
        <w:t>BMJ, 372</w:t>
      </w:r>
      <w:r w:rsidRPr="007E33B2">
        <w:rPr>
          <w:rFonts w:ascii="Arial" w:hAnsi="Arial" w:cs="Arial"/>
          <w:sz w:val="22"/>
          <w:szCs w:val="22"/>
        </w:rPr>
        <w:t xml:space="preserve">, n71. </w:t>
      </w:r>
      <w:hyperlink r:id="rId21" w:history="1">
        <w:r w:rsidRPr="007E33B2">
          <w:rPr>
            <w:rStyle w:val="Hyperlink"/>
            <w:rFonts w:ascii="Arial" w:hAnsi="Arial" w:cs="Arial"/>
            <w:sz w:val="22"/>
            <w:szCs w:val="22"/>
          </w:rPr>
          <w:t>https://doi.org/10.1136/bmj.n71</w:t>
        </w:r>
      </w:hyperlink>
      <w:r w:rsidRPr="007E33B2">
        <w:rPr>
          <w:rFonts w:ascii="Arial" w:hAnsi="Arial" w:cs="Arial"/>
          <w:sz w:val="22"/>
          <w:szCs w:val="22"/>
        </w:rPr>
        <w:t xml:space="preserve"> </w:t>
      </w:r>
    </w:p>
    <w:p w14:paraId="1BB1AD44"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sz w:val="22"/>
          <w:szCs w:val="22"/>
        </w:rPr>
      </w:pPr>
      <w:r w:rsidRPr="007E33B2">
        <w:rPr>
          <w:rFonts w:ascii="Arial" w:hAnsi="Arial" w:cs="Arial"/>
          <w:sz w:val="22"/>
          <w:szCs w:val="22"/>
        </w:rPr>
        <w:t xml:space="preserve">Thomas, J., &amp; Harden, A. (2008). Methods for the thematic synthesis of qualitative research in systematic reviews. </w:t>
      </w:r>
      <w:r w:rsidRPr="007E33B2">
        <w:rPr>
          <w:rFonts w:ascii="Arial" w:hAnsi="Arial" w:cs="Arial"/>
          <w:i/>
          <w:iCs/>
          <w:sz w:val="22"/>
          <w:szCs w:val="22"/>
        </w:rPr>
        <w:t>BMC Medical Research Methodology, 8</w:t>
      </w:r>
      <w:r w:rsidRPr="007E33B2">
        <w:rPr>
          <w:rFonts w:ascii="Arial" w:hAnsi="Arial" w:cs="Arial"/>
          <w:sz w:val="22"/>
          <w:szCs w:val="22"/>
        </w:rPr>
        <w:t xml:space="preserve">, 45. </w:t>
      </w:r>
      <w:hyperlink r:id="rId22" w:history="1">
        <w:r w:rsidRPr="007E33B2">
          <w:rPr>
            <w:rStyle w:val="Hyperlink"/>
            <w:rFonts w:ascii="Arial" w:hAnsi="Arial" w:cs="Arial"/>
            <w:sz w:val="22"/>
            <w:szCs w:val="22"/>
          </w:rPr>
          <w:t>https://doi.org/10.1186/1471-2288-8-45</w:t>
        </w:r>
      </w:hyperlink>
    </w:p>
    <w:p w14:paraId="0A50D42F" w14:textId="77777777" w:rsidR="00E36D25" w:rsidRPr="007E33B2" w:rsidRDefault="00E36D25" w:rsidP="00E36D25">
      <w:pPr>
        <w:pStyle w:val="NormalWeb"/>
        <w:spacing w:before="120" w:beforeAutospacing="0" w:after="120" w:afterAutospacing="0" w:line="360" w:lineRule="auto"/>
        <w:ind w:left="720" w:hanging="720"/>
        <w:jc w:val="both"/>
        <w:rPr>
          <w:rFonts w:ascii="Arial" w:hAnsi="Arial" w:cs="Arial"/>
          <w:color w:val="000000" w:themeColor="text1"/>
          <w:sz w:val="22"/>
          <w:szCs w:val="22"/>
        </w:rPr>
      </w:pPr>
      <w:r w:rsidRPr="007E33B2">
        <w:rPr>
          <w:rFonts w:ascii="Arial" w:hAnsi="Arial" w:cs="Arial"/>
          <w:sz w:val="22"/>
          <w:szCs w:val="22"/>
        </w:rPr>
        <w:t xml:space="preserve">Tong, A., Sainsbury, P., &amp; Craig, J. (2007). Consolidated criteria for reporting qualitative research (COREQ): a 32-item checklist. </w:t>
      </w:r>
      <w:r w:rsidRPr="007E33B2">
        <w:rPr>
          <w:rFonts w:ascii="Arial" w:hAnsi="Arial" w:cs="Arial"/>
          <w:i/>
          <w:iCs/>
          <w:sz w:val="22"/>
          <w:szCs w:val="22"/>
        </w:rPr>
        <w:t>International Journal for Quality in Health Care, 19</w:t>
      </w:r>
      <w:r w:rsidRPr="007E33B2">
        <w:rPr>
          <w:rFonts w:ascii="Arial" w:hAnsi="Arial" w:cs="Arial"/>
          <w:sz w:val="22"/>
          <w:szCs w:val="22"/>
        </w:rPr>
        <w:t xml:space="preserve">(6), 349–357. </w:t>
      </w:r>
      <w:hyperlink r:id="rId23" w:history="1">
        <w:r w:rsidRPr="007E33B2">
          <w:rPr>
            <w:rStyle w:val="Hyperlink"/>
            <w:rFonts w:ascii="Arial" w:hAnsi="Arial" w:cs="Arial"/>
            <w:sz w:val="22"/>
            <w:szCs w:val="22"/>
          </w:rPr>
          <w:t>https://doi.org/10.1093/intqhc/mzm042</w:t>
        </w:r>
      </w:hyperlink>
      <w:r w:rsidRPr="007E33B2">
        <w:rPr>
          <w:rFonts w:ascii="Arial" w:hAnsi="Arial" w:cs="Arial"/>
          <w:sz w:val="22"/>
          <w:szCs w:val="22"/>
        </w:rPr>
        <w:t xml:space="preserve"> </w:t>
      </w:r>
    </w:p>
    <w:p w14:paraId="59E8D7AE" w14:textId="77777777" w:rsidR="009D728F" w:rsidRPr="007E33B2" w:rsidRDefault="009D728F">
      <w:pPr>
        <w:rPr>
          <w:rFonts w:cs="Arial"/>
        </w:rPr>
      </w:pPr>
    </w:p>
    <w:sectPr w:rsidR="009D728F" w:rsidRPr="007E33B2" w:rsidSect="00214C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E2A93" w14:textId="77777777" w:rsidR="004612C0" w:rsidRDefault="004612C0">
      <w:pPr>
        <w:spacing w:after="0" w:line="240" w:lineRule="auto"/>
      </w:pPr>
      <w:r>
        <w:separator/>
      </w:r>
    </w:p>
  </w:endnote>
  <w:endnote w:type="continuationSeparator" w:id="0">
    <w:p w14:paraId="444492FE" w14:textId="77777777" w:rsidR="004612C0" w:rsidRDefault="00461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459259"/>
      <w:docPartObj>
        <w:docPartGallery w:val="Page Numbers (Bottom of Page)"/>
        <w:docPartUnique/>
      </w:docPartObj>
    </w:sdtPr>
    <w:sdtEndPr>
      <w:rPr>
        <w:noProof/>
      </w:rPr>
    </w:sdtEndPr>
    <w:sdtContent>
      <w:p w14:paraId="51C26006" w14:textId="77777777" w:rsidR="00000000" w:rsidRDefault="007E33B2">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28EA9A8D"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1DC4B" w14:textId="77777777" w:rsidR="004612C0" w:rsidRDefault="004612C0">
      <w:pPr>
        <w:spacing w:after="0" w:line="240" w:lineRule="auto"/>
      </w:pPr>
      <w:r>
        <w:separator/>
      </w:r>
    </w:p>
  </w:footnote>
  <w:footnote w:type="continuationSeparator" w:id="0">
    <w:p w14:paraId="0915CC33" w14:textId="77777777" w:rsidR="004612C0" w:rsidRDefault="00461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092F9E"/>
    <w:multiLevelType w:val="hybridMultilevel"/>
    <w:tmpl w:val="FE3C0A56"/>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C9110C"/>
    <w:multiLevelType w:val="hybridMultilevel"/>
    <w:tmpl w:val="7E0E669C"/>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2577616">
    <w:abstractNumId w:val="0"/>
  </w:num>
  <w:num w:numId="2" w16cid:durableId="71240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74C"/>
    <w:rsid w:val="00214C3A"/>
    <w:rsid w:val="00326A6E"/>
    <w:rsid w:val="004612C0"/>
    <w:rsid w:val="007608CB"/>
    <w:rsid w:val="007E33B2"/>
    <w:rsid w:val="009D728F"/>
    <w:rsid w:val="00BC5280"/>
    <w:rsid w:val="00C205D9"/>
    <w:rsid w:val="00D20C28"/>
    <w:rsid w:val="00DB42F9"/>
    <w:rsid w:val="00DE0235"/>
    <w:rsid w:val="00E36D25"/>
    <w:rsid w:val="00EB4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B7CB7"/>
  <w15:chartTrackingRefBased/>
  <w15:docId w15:val="{AB2C4FE3-A386-4C20-8B97-A20FE8DE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D25"/>
    <w:rPr>
      <w:rFonts w:ascii="Arial" w:hAnsi="Arial"/>
    </w:rPr>
  </w:style>
  <w:style w:type="paragraph" w:styleId="Heading1">
    <w:name w:val="heading 1"/>
    <w:basedOn w:val="Normal"/>
    <w:next w:val="Normal"/>
    <w:link w:val="Heading1Char"/>
    <w:autoRedefine/>
    <w:uiPriority w:val="9"/>
    <w:qFormat/>
    <w:rsid w:val="00D20C28"/>
    <w:pPr>
      <w:keepNext/>
      <w:keepLines/>
      <w:spacing w:before="120" w:after="120" w:line="360" w:lineRule="auto"/>
      <w:jc w:val="both"/>
      <w:outlineLvl w:val="0"/>
    </w:pPr>
    <w:rPr>
      <w:rFonts w:eastAsia="Times New Roman" w:cs="Arial"/>
      <w:b/>
      <w:color w:val="000000" w:themeColor="text1"/>
      <w:sz w:val="32"/>
    </w:rPr>
  </w:style>
  <w:style w:type="paragraph" w:styleId="Heading2">
    <w:name w:val="heading 2"/>
    <w:basedOn w:val="Normal"/>
    <w:link w:val="Heading2Char"/>
    <w:uiPriority w:val="9"/>
    <w:qFormat/>
    <w:rsid w:val="00E36D25"/>
    <w:pPr>
      <w:spacing w:before="100" w:beforeAutospacing="1" w:after="100" w:afterAutospacing="1" w:line="240" w:lineRule="auto"/>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C28"/>
    <w:rPr>
      <w:rFonts w:ascii="Arial" w:eastAsia="Times New Roman" w:hAnsi="Arial" w:cs="Arial"/>
      <w:b/>
      <w:color w:val="000000" w:themeColor="text1"/>
      <w:sz w:val="32"/>
    </w:rPr>
  </w:style>
  <w:style w:type="character" w:customStyle="1" w:styleId="Heading2Char">
    <w:name w:val="Heading 2 Char"/>
    <w:basedOn w:val="DefaultParagraphFont"/>
    <w:link w:val="Heading2"/>
    <w:uiPriority w:val="9"/>
    <w:rsid w:val="00E36D25"/>
    <w:rPr>
      <w:rFonts w:ascii="Times New Roman" w:eastAsia="Times New Roman" w:hAnsi="Times New Roman" w:cs="Times New Roman"/>
      <w:b/>
      <w:bCs/>
      <w:sz w:val="28"/>
      <w:szCs w:val="36"/>
    </w:rPr>
  </w:style>
  <w:style w:type="paragraph" w:styleId="NormalWeb">
    <w:name w:val="Normal (Web)"/>
    <w:basedOn w:val="Normal"/>
    <w:uiPriority w:val="99"/>
    <w:unhideWhenUsed/>
    <w:rsid w:val="00E36D2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36D25"/>
    <w:rPr>
      <w:b/>
      <w:bCs/>
    </w:rPr>
  </w:style>
  <w:style w:type="table" w:styleId="TableGrid">
    <w:name w:val="Table Grid"/>
    <w:basedOn w:val="TableNormal"/>
    <w:uiPriority w:val="39"/>
    <w:rsid w:val="00E36D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6D25"/>
    <w:pPr>
      <w:spacing w:line="256" w:lineRule="auto"/>
      <w:ind w:left="720"/>
      <w:contextualSpacing/>
    </w:pPr>
    <w:rPr>
      <w:rFonts w:ascii="Times New Roman" w:hAnsi="Times New Roman"/>
      <w:sz w:val="24"/>
      <w:lang w:val="en-GB"/>
    </w:rPr>
  </w:style>
  <w:style w:type="paragraph" w:styleId="Footer">
    <w:name w:val="footer"/>
    <w:basedOn w:val="Normal"/>
    <w:link w:val="FooterChar"/>
    <w:uiPriority w:val="99"/>
    <w:unhideWhenUsed/>
    <w:rsid w:val="00E36D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6D25"/>
    <w:rPr>
      <w:rFonts w:ascii="Arial" w:hAnsi="Arial"/>
    </w:rPr>
  </w:style>
  <w:style w:type="paragraph" w:styleId="Caption">
    <w:name w:val="caption"/>
    <w:basedOn w:val="Normal"/>
    <w:next w:val="Normal"/>
    <w:uiPriority w:val="35"/>
    <w:unhideWhenUsed/>
    <w:qFormat/>
    <w:rsid w:val="00E36D25"/>
    <w:pPr>
      <w:spacing w:after="200" w:line="240" w:lineRule="auto"/>
    </w:pPr>
    <w:rPr>
      <w:i/>
      <w:iCs/>
      <w:color w:val="44546A" w:themeColor="text2"/>
      <w:sz w:val="18"/>
      <w:szCs w:val="18"/>
    </w:rPr>
  </w:style>
  <w:style w:type="character" w:customStyle="1" w:styleId="url">
    <w:name w:val="url"/>
    <w:basedOn w:val="DefaultParagraphFont"/>
    <w:rsid w:val="00E36D25"/>
  </w:style>
  <w:style w:type="character" w:styleId="Hyperlink">
    <w:name w:val="Hyperlink"/>
    <w:basedOn w:val="DefaultParagraphFont"/>
    <w:uiPriority w:val="99"/>
    <w:unhideWhenUsed/>
    <w:rsid w:val="00E36D25"/>
    <w:rPr>
      <w:color w:val="0563C1" w:themeColor="hyperlink"/>
      <w:u w:val="single"/>
    </w:rPr>
  </w:style>
  <w:style w:type="character" w:styleId="Emphasis">
    <w:name w:val="Emphasis"/>
    <w:basedOn w:val="DefaultParagraphFont"/>
    <w:uiPriority w:val="20"/>
    <w:qFormat/>
    <w:rsid w:val="00E36D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diagramData" Target="diagrams/data1.xml"/><Relationship Id="rId18" Type="http://schemas.openxmlformats.org/officeDocument/2006/relationships/hyperlink" Target="https://qualresmethods.files.wordpress.com/2016/05/braun_2006_using-thematic-analysis-in-psychology.pdf" TargetMode="External"/><Relationship Id="rId3" Type="http://schemas.openxmlformats.org/officeDocument/2006/relationships/settings" Target="settings.xml"/><Relationship Id="rId21" Type="http://schemas.openxmlformats.org/officeDocument/2006/relationships/hyperlink" Target="https://doi.org/10.1136/bmj.n71" TargetMode="External"/><Relationship Id="rId7" Type="http://schemas.openxmlformats.org/officeDocument/2006/relationships/image" Target="media/image1.emf"/><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hyperlink" Target="https://doi.org/10.1097/XEB.00000000000000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s://doi.org/10.1093/intqhc/mzm042" TargetMode="External"/><Relationship Id="rId10" Type="http://schemas.openxmlformats.org/officeDocument/2006/relationships/image" Target="media/image2.png"/><Relationship Id="rId19" Type="http://schemas.openxmlformats.org/officeDocument/2006/relationships/hyperlink" Target="https://doi.org/10.1186/s13012-017-0688-3"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Layout" Target="diagrams/layout1.xml"/><Relationship Id="rId22" Type="http://schemas.openxmlformats.org/officeDocument/2006/relationships/hyperlink" Target="https://doi.org/10.1186/1471-2288-8-45" TargetMode="External"/></Relationships>
</file>

<file path=word/diagrams/_rels/data1.xml.rels><?xml version="1.0" encoding="UTF-8" standalone="yes"?>
<Relationships xmlns="http://schemas.openxmlformats.org/package/2006/relationships"><Relationship Id="rId1"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6F16C4-7B53-485F-B4B3-883147703D5C}" type="doc">
      <dgm:prSet loTypeId="urn:microsoft.com/office/officeart/2005/8/layout/bList2" loCatId="list" qsTypeId="urn:microsoft.com/office/officeart/2005/8/quickstyle/simple1" qsCatId="simple" csTypeId="urn:microsoft.com/office/officeart/2005/8/colors/colorful1" csCatId="colorful" phldr="1"/>
      <dgm:spPr/>
      <dgm:t>
        <a:bodyPr/>
        <a:lstStyle/>
        <a:p>
          <a:endParaRPr lang="en-US"/>
        </a:p>
      </dgm:t>
    </dgm:pt>
    <dgm:pt modelId="{E8F907F9-7A2A-4F72-99D6-8C84A2966768}">
      <dgm:prSet/>
      <dgm:spPr/>
      <dgm:t>
        <a:bodyPr/>
        <a:lstStyle/>
        <a:p>
          <a:pPr rtl="0"/>
          <a:r>
            <a:rPr lang="en-US"/>
            <a:t>01</a:t>
          </a:r>
        </a:p>
      </dgm:t>
    </dgm:pt>
    <dgm:pt modelId="{DC286EB8-E4A3-4658-B882-FF9D4EFEE827}" type="parTrans" cxnId="{F541077A-005D-46AF-ABED-00ACED17A1FF}">
      <dgm:prSet/>
      <dgm:spPr/>
      <dgm:t>
        <a:bodyPr/>
        <a:lstStyle/>
        <a:p>
          <a:endParaRPr lang="en-US"/>
        </a:p>
      </dgm:t>
    </dgm:pt>
    <dgm:pt modelId="{435B7007-F5A7-44E0-A91A-9DB837D7284E}" type="sibTrans" cxnId="{F541077A-005D-46AF-ABED-00ACED17A1FF}">
      <dgm:prSet/>
      <dgm:spPr/>
      <dgm:t>
        <a:bodyPr/>
        <a:lstStyle/>
        <a:p>
          <a:endParaRPr lang="en-US"/>
        </a:p>
      </dgm:t>
    </dgm:pt>
    <dgm:pt modelId="{71F630E4-875E-48F2-828C-7F8C424FFCC8}">
      <dgm:prSet/>
      <dgm:spPr/>
      <dgm:t>
        <a:bodyPr/>
        <a:lstStyle/>
        <a:p>
          <a:pPr rtl="0"/>
          <a:r>
            <a:rPr lang="en-US"/>
            <a:t>Use only publicly available, published data; no new ethics approval required (Creswell &amp; Poth, 2018).</a:t>
          </a:r>
        </a:p>
      </dgm:t>
    </dgm:pt>
    <dgm:pt modelId="{BE75240E-71FF-4B2F-90DD-CDE10E691CC6}" type="parTrans" cxnId="{19B23162-C424-49EF-947D-9AE47974756A}">
      <dgm:prSet/>
      <dgm:spPr/>
      <dgm:t>
        <a:bodyPr/>
        <a:lstStyle/>
        <a:p>
          <a:endParaRPr lang="en-US"/>
        </a:p>
      </dgm:t>
    </dgm:pt>
    <dgm:pt modelId="{90D05D2B-7D6F-4DB6-8C17-50735646A625}" type="sibTrans" cxnId="{19B23162-C424-49EF-947D-9AE47974756A}">
      <dgm:prSet/>
      <dgm:spPr/>
      <dgm:t>
        <a:bodyPr/>
        <a:lstStyle/>
        <a:p>
          <a:endParaRPr lang="en-US"/>
        </a:p>
      </dgm:t>
    </dgm:pt>
    <dgm:pt modelId="{B6A92B39-B948-4263-BBFB-354AD45DE5C7}">
      <dgm:prSet/>
      <dgm:spPr/>
      <dgm:t>
        <a:bodyPr/>
        <a:lstStyle/>
        <a:p>
          <a:pPr rtl="0"/>
          <a:r>
            <a:rPr lang="en-US"/>
            <a:t>02</a:t>
          </a:r>
        </a:p>
      </dgm:t>
    </dgm:pt>
    <dgm:pt modelId="{A36B982F-C75A-41DE-8710-543B9AC7FC19}" type="parTrans" cxnId="{D5319759-0CD2-4C5C-8C2B-1A2750AF839A}">
      <dgm:prSet/>
      <dgm:spPr/>
      <dgm:t>
        <a:bodyPr/>
        <a:lstStyle/>
        <a:p>
          <a:endParaRPr lang="en-US"/>
        </a:p>
      </dgm:t>
    </dgm:pt>
    <dgm:pt modelId="{7963A09A-73E1-4533-90D0-4CE55A797CE0}" type="sibTrans" cxnId="{D5319759-0CD2-4C5C-8C2B-1A2750AF839A}">
      <dgm:prSet/>
      <dgm:spPr/>
      <dgm:t>
        <a:bodyPr/>
        <a:lstStyle/>
        <a:p>
          <a:endParaRPr lang="en-US"/>
        </a:p>
      </dgm:t>
    </dgm:pt>
    <dgm:pt modelId="{E516EFFB-A2F1-4CA0-A4EB-EFE1973AE1FA}">
      <dgm:prSet/>
      <dgm:spPr/>
      <dgm:t>
        <a:bodyPr/>
        <a:lstStyle/>
        <a:p>
          <a:pPr rtl="0"/>
          <a:r>
            <a:rPr lang="en-US"/>
            <a:t>Honour original participant consent and protections from the primary studies (Creswell &amp; Poth, 2018).</a:t>
          </a:r>
        </a:p>
      </dgm:t>
    </dgm:pt>
    <dgm:pt modelId="{CA8AF0BA-8637-49D2-BAE8-7FE4FCB463AA}" type="parTrans" cxnId="{7F5DFE50-9F7D-47D7-AD19-9A1FFE0C9DC0}">
      <dgm:prSet/>
      <dgm:spPr/>
      <dgm:t>
        <a:bodyPr/>
        <a:lstStyle/>
        <a:p>
          <a:endParaRPr lang="en-US"/>
        </a:p>
      </dgm:t>
    </dgm:pt>
    <dgm:pt modelId="{532AC4A2-B3A2-4BDA-A66F-21E7C22A0888}" type="sibTrans" cxnId="{7F5DFE50-9F7D-47D7-AD19-9A1FFE0C9DC0}">
      <dgm:prSet/>
      <dgm:spPr/>
      <dgm:t>
        <a:bodyPr/>
        <a:lstStyle/>
        <a:p>
          <a:endParaRPr lang="en-US"/>
        </a:p>
      </dgm:t>
    </dgm:pt>
    <dgm:pt modelId="{00BBB511-F2D8-4992-8281-916F43D814ED}">
      <dgm:prSet/>
      <dgm:spPr/>
      <dgm:t>
        <a:bodyPr/>
        <a:lstStyle/>
        <a:p>
          <a:pPr rtl="0"/>
          <a:r>
            <a:rPr lang="en-US"/>
            <a:t>03</a:t>
          </a:r>
        </a:p>
      </dgm:t>
    </dgm:pt>
    <dgm:pt modelId="{A2635AE8-4873-4C9E-A2B9-0A1B720BE80F}" type="parTrans" cxnId="{81DD1323-61C3-4C02-A046-3A3BE82285BC}">
      <dgm:prSet/>
      <dgm:spPr/>
      <dgm:t>
        <a:bodyPr/>
        <a:lstStyle/>
        <a:p>
          <a:endParaRPr lang="en-US"/>
        </a:p>
      </dgm:t>
    </dgm:pt>
    <dgm:pt modelId="{5EBC8FCC-AFD9-4D1B-B295-CF9DED3784DB}" type="sibTrans" cxnId="{81DD1323-61C3-4C02-A046-3A3BE82285BC}">
      <dgm:prSet/>
      <dgm:spPr/>
      <dgm:t>
        <a:bodyPr/>
        <a:lstStyle/>
        <a:p>
          <a:endParaRPr lang="en-US"/>
        </a:p>
      </dgm:t>
    </dgm:pt>
    <dgm:pt modelId="{ECCC08A0-79EE-44DF-A585-171864EEFDB9}">
      <dgm:prSet/>
      <dgm:spPr/>
      <dgm:t>
        <a:bodyPr/>
        <a:lstStyle/>
        <a:p>
          <a:pPr rtl="0"/>
          <a:r>
            <a:rPr lang="en-US"/>
            <a:t>Anonymise and paraphrase quotations to avoid over-identification; limit direct quotes (Creswell &amp; Poth, 2018).</a:t>
          </a:r>
        </a:p>
      </dgm:t>
    </dgm:pt>
    <dgm:pt modelId="{9186884C-EB12-4FFF-9E1A-16BB2A8B6894}" type="parTrans" cxnId="{72B1CB77-4D99-447C-B039-B9E1038D9575}">
      <dgm:prSet/>
      <dgm:spPr/>
      <dgm:t>
        <a:bodyPr/>
        <a:lstStyle/>
        <a:p>
          <a:endParaRPr lang="en-US"/>
        </a:p>
      </dgm:t>
    </dgm:pt>
    <dgm:pt modelId="{2C015062-30C0-45CE-83CB-1FDD3638545E}" type="sibTrans" cxnId="{72B1CB77-4D99-447C-B039-B9E1038D9575}">
      <dgm:prSet/>
      <dgm:spPr/>
      <dgm:t>
        <a:bodyPr/>
        <a:lstStyle/>
        <a:p>
          <a:endParaRPr lang="en-US"/>
        </a:p>
      </dgm:t>
    </dgm:pt>
    <dgm:pt modelId="{24ABBE20-3644-4E49-9CBD-D4288D62DA62}">
      <dgm:prSet/>
      <dgm:spPr/>
      <dgm:t>
        <a:bodyPr/>
        <a:lstStyle/>
        <a:p>
          <a:pPr rtl="0"/>
          <a:r>
            <a:rPr lang="en-US"/>
            <a:t>04</a:t>
          </a:r>
        </a:p>
      </dgm:t>
    </dgm:pt>
    <dgm:pt modelId="{7F29689A-7CA7-4E72-BF22-36C10D87B581}" type="parTrans" cxnId="{562D7B26-FA79-4F6A-90C0-D30E6428108C}">
      <dgm:prSet/>
      <dgm:spPr/>
      <dgm:t>
        <a:bodyPr/>
        <a:lstStyle/>
        <a:p>
          <a:endParaRPr lang="en-US"/>
        </a:p>
      </dgm:t>
    </dgm:pt>
    <dgm:pt modelId="{88EEDFCA-D54C-493B-A7ED-1433D6F956ED}" type="sibTrans" cxnId="{562D7B26-FA79-4F6A-90C0-D30E6428108C}">
      <dgm:prSet/>
      <dgm:spPr/>
      <dgm:t>
        <a:bodyPr/>
        <a:lstStyle/>
        <a:p>
          <a:endParaRPr lang="en-US"/>
        </a:p>
      </dgm:t>
    </dgm:pt>
    <dgm:pt modelId="{B620764F-3CC7-416E-B4F7-608893300A66}">
      <dgm:prSet/>
      <dgm:spPr/>
      <dgm:t>
        <a:bodyPr/>
        <a:lstStyle/>
        <a:p>
          <a:pPr rtl="0"/>
          <a:r>
            <a:rPr lang="en-US"/>
            <a:t>Maintain a transparent audit trail (search logs, screening decisions, codebook, memos) to ensure dependability (Creswell &amp; Poth, 2018).</a:t>
          </a:r>
        </a:p>
      </dgm:t>
    </dgm:pt>
    <dgm:pt modelId="{AAD7E366-424D-4434-9059-C9068D098816}" type="parTrans" cxnId="{D5698A99-2DF6-445F-96AA-6489AAD2CD56}">
      <dgm:prSet/>
      <dgm:spPr/>
      <dgm:t>
        <a:bodyPr/>
        <a:lstStyle/>
        <a:p>
          <a:endParaRPr lang="en-US"/>
        </a:p>
      </dgm:t>
    </dgm:pt>
    <dgm:pt modelId="{26C86B96-5603-4C08-A184-E9E839DA2C24}" type="sibTrans" cxnId="{D5698A99-2DF6-445F-96AA-6489AAD2CD56}">
      <dgm:prSet/>
      <dgm:spPr/>
      <dgm:t>
        <a:bodyPr/>
        <a:lstStyle/>
        <a:p>
          <a:endParaRPr lang="en-US"/>
        </a:p>
      </dgm:t>
    </dgm:pt>
    <dgm:pt modelId="{F26FCDF9-CA4D-4BA2-AF96-9DE8B30DB56B}">
      <dgm:prSet/>
      <dgm:spPr/>
      <dgm:t>
        <a:bodyPr/>
        <a:lstStyle/>
        <a:p>
          <a:pPr rtl="0"/>
          <a:r>
            <a:rPr lang="en-US"/>
            <a:t>05</a:t>
          </a:r>
        </a:p>
      </dgm:t>
    </dgm:pt>
    <dgm:pt modelId="{5C71F7C5-3692-4182-B0CF-559AACBBC47A}" type="parTrans" cxnId="{8329116E-0762-470C-A381-DD3D2945BDB7}">
      <dgm:prSet/>
      <dgm:spPr/>
      <dgm:t>
        <a:bodyPr/>
        <a:lstStyle/>
        <a:p>
          <a:endParaRPr lang="en-US"/>
        </a:p>
      </dgm:t>
    </dgm:pt>
    <dgm:pt modelId="{F382278F-C892-4699-AE1A-966052AC0098}" type="sibTrans" cxnId="{8329116E-0762-470C-A381-DD3D2945BDB7}">
      <dgm:prSet/>
      <dgm:spPr/>
      <dgm:t>
        <a:bodyPr/>
        <a:lstStyle/>
        <a:p>
          <a:endParaRPr lang="en-US"/>
        </a:p>
      </dgm:t>
    </dgm:pt>
    <dgm:pt modelId="{4694B40B-1F4E-419F-BFA6-1E58595099F1}">
      <dgm:prSet/>
      <dgm:spPr/>
      <dgm:t>
        <a:bodyPr/>
        <a:lstStyle/>
        <a:p>
          <a:pPr rtl="0"/>
          <a:r>
            <a:rPr lang="en-US"/>
            <a:t>Practice reflexivity: record positionality and potential biases that may shape interpretation (Creswell &amp; Poth, 2018).</a:t>
          </a:r>
        </a:p>
      </dgm:t>
    </dgm:pt>
    <dgm:pt modelId="{85532E62-4BB7-43EC-934E-14B9ACCBED95}" type="parTrans" cxnId="{3C8C633F-D312-46CB-94FA-7736A59D2982}">
      <dgm:prSet/>
      <dgm:spPr/>
      <dgm:t>
        <a:bodyPr/>
        <a:lstStyle/>
        <a:p>
          <a:endParaRPr lang="en-US"/>
        </a:p>
      </dgm:t>
    </dgm:pt>
    <dgm:pt modelId="{9D2C4263-995F-489E-BF4A-4D22F09B21A9}" type="sibTrans" cxnId="{3C8C633F-D312-46CB-94FA-7736A59D2982}">
      <dgm:prSet/>
      <dgm:spPr/>
      <dgm:t>
        <a:bodyPr/>
        <a:lstStyle/>
        <a:p>
          <a:endParaRPr lang="en-US"/>
        </a:p>
      </dgm:t>
    </dgm:pt>
    <dgm:pt modelId="{76B48A89-54FF-4756-B87F-897E3ABFBE81}">
      <dgm:prSet/>
      <dgm:spPr>
        <a:solidFill>
          <a:srgbClr val="00B050"/>
        </a:solidFill>
      </dgm:spPr>
      <dgm:t>
        <a:bodyPr/>
        <a:lstStyle/>
        <a:p>
          <a:pPr rtl="0"/>
          <a:r>
            <a:rPr lang="en-US"/>
            <a:t>06</a:t>
          </a:r>
        </a:p>
      </dgm:t>
    </dgm:pt>
    <dgm:pt modelId="{263E4CA0-9E76-4A02-B2AB-D063330E2692}" type="parTrans" cxnId="{8C738BCC-250D-4A0B-96F7-5D1B6CCD6D36}">
      <dgm:prSet/>
      <dgm:spPr/>
      <dgm:t>
        <a:bodyPr/>
        <a:lstStyle/>
        <a:p>
          <a:endParaRPr lang="en-US"/>
        </a:p>
      </dgm:t>
    </dgm:pt>
    <dgm:pt modelId="{BE7AC052-81EF-4A16-9B70-90A6369C4CFD}" type="sibTrans" cxnId="{8C738BCC-250D-4A0B-96F7-5D1B6CCD6D36}">
      <dgm:prSet/>
      <dgm:spPr/>
      <dgm:t>
        <a:bodyPr/>
        <a:lstStyle/>
        <a:p>
          <a:endParaRPr lang="en-US"/>
        </a:p>
      </dgm:t>
    </dgm:pt>
    <dgm:pt modelId="{2F267A37-FFCD-48C8-895B-AD99CBCE27E7}">
      <dgm:prSet/>
      <dgm:spPr/>
      <dgm:t>
        <a:bodyPr/>
        <a:lstStyle/>
        <a:p>
          <a:pPr rtl="0"/>
          <a:r>
            <a:rPr lang="en-US"/>
            <a:t>Credit all sources accurately; avoid plagiarism and misattribution (Creswell &amp; Poth, 2018).</a:t>
          </a:r>
        </a:p>
      </dgm:t>
    </dgm:pt>
    <dgm:pt modelId="{24F03E57-6CA7-416E-87BD-BB024D1F26FD}" type="parTrans" cxnId="{D6F55B8E-6E1F-4A5A-90B9-35AD0EAC3CE0}">
      <dgm:prSet/>
      <dgm:spPr/>
      <dgm:t>
        <a:bodyPr/>
        <a:lstStyle/>
        <a:p>
          <a:endParaRPr lang="en-US"/>
        </a:p>
      </dgm:t>
    </dgm:pt>
    <dgm:pt modelId="{3D6AEE1A-0583-43DB-BF51-C22FAC20AF60}" type="sibTrans" cxnId="{D6F55B8E-6E1F-4A5A-90B9-35AD0EAC3CE0}">
      <dgm:prSet/>
      <dgm:spPr/>
      <dgm:t>
        <a:bodyPr/>
        <a:lstStyle/>
        <a:p>
          <a:endParaRPr lang="en-US"/>
        </a:p>
      </dgm:t>
    </dgm:pt>
    <dgm:pt modelId="{C88BB18E-D834-4416-80FB-9D755CD25606}">
      <dgm:prSet/>
      <dgm:spPr>
        <a:solidFill>
          <a:srgbClr val="002060"/>
        </a:solidFill>
      </dgm:spPr>
      <dgm:t>
        <a:bodyPr/>
        <a:lstStyle/>
        <a:p>
          <a:pPr rtl="0"/>
          <a:r>
            <a:rPr lang="en-US"/>
            <a:t>07</a:t>
          </a:r>
        </a:p>
      </dgm:t>
    </dgm:pt>
    <dgm:pt modelId="{1A885F51-187D-43C0-B429-4589C2ED86E4}" type="parTrans" cxnId="{3DA5C9A9-C2EF-4A30-BE13-DC1320FB542D}">
      <dgm:prSet/>
      <dgm:spPr/>
      <dgm:t>
        <a:bodyPr/>
        <a:lstStyle/>
        <a:p>
          <a:endParaRPr lang="en-US"/>
        </a:p>
      </dgm:t>
    </dgm:pt>
    <dgm:pt modelId="{1662707D-75EA-4DE0-AC75-14F344F471D0}" type="sibTrans" cxnId="{3DA5C9A9-C2EF-4A30-BE13-DC1320FB542D}">
      <dgm:prSet/>
      <dgm:spPr/>
      <dgm:t>
        <a:bodyPr/>
        <a:lstStyle/>
        <a:p>
          <a:endParaRPr lang="en-US"/>
        </a:p>
      </dgm:t>
    </dgm:pt>
    <dgm:pt modelId="{8EA3C7D1-1806-4744-B303-651470314CC8}">
      <dgm:prSet/>
      <dgm:spPr/>
      <dgm:t>
        <a:bodyPr/>
        <a:lstStyle/>
        <a:p>
          <a:pPr rtl="0"/>
          <a:r>
            <a:rPr lang="en-US"/>
            <a:t>Handle sensitive topics respectfully; avoid stigmatising language about older adults or digital exclusion (Creswell &amp; Poth, 2018).</a:t>
          </a:r>
        </a:p>
      </dgm:t>
    </dgm:pt>
    <dgm:pt modelId="{08405AF8-C25A-4F20-A4CE-E2D8993BF8A2}" type="parTrans" cxnId="{70A14E80-203B-40FA-B894-01ECC833B089}">
      <dgm:prSet/>
      <dgm:spPr/>
      <dgm:t>
        <a:bodyPr/>
        <a:lstStyle/>
        <a:p>
          <a:endParaRPr lang="en-US"/>
        </a:p>
      </dgm:t>
    </dgm:pt>
    <dgm:pt modelId="{4341F34C-632F-4786-8B04-C29CE2AB36AD}" type="sibTrans" cxnId="{70A14E80-203B-40FA-B894-01ECC833B089}">
      <dgm:prSet/>
      <dgm:spPr/>
      <dgm:t>
        <a:bodyPr/>
        <a:lstStyle/>
        <a:p>
          <a:endParaRPr lang="en-US"/>
        </a:p>
      </dgm:t>
    </dgm:pt>
    <dgm:pt modelId="{F042ACAC-1B91-4BB7-8CE8-AB5C90DBD9BC}" type="pres">
      <dgm:prSet presAssocID="{0E6F16C4-7B53-485F-B4B3-883147703D5C}" presName="diagram" presStyleCnt="0">
        <dgm:presLayoutVars>
          <dgm:dir/>
          <dgm:animLvl val="lvl"/>
          <dgm:resizeHandles val="exact"/>
        </dgm:presLayoutVars>
      </dgm:prSet>
      <dgm:spPr/>
    </dgm:pt>
    <dgm:pt modelId="{AD710302-76B2-4D22-8298-0D17EA9814D7}" type="pres">
      <dgm:prSet presAssocID="{E8F907F9-7A2A-4F72-99D6-8C84A2966768}" presName="compNode" presStyleCnt="0"/>
      <dgm:spPr/>
    </dgm:pt>
    <dgm:pt modelId="{D38015B5-F4D0-44A1-A1CB-B1E79EBE3A56}" type="pres">
      <dgm:prSet presAssocID="{E8F907F9-7A2A-4F72-99D6-8C84A2966768}" presName="childRect" presStyleLbl="bgAcc1" presStyleIdx="0" presStyleCnt="7">
        <dgm:presLayoutVars>
          <dgm:bulletEnabled val="1"/>
        </dgm:presLayoutVars>
      </dgm:prSet>
      <dgm:spPr/>
    </dgm:pt>
    <dgm:pt modelId="{00AF42A4-C458-46C2-921D-F2C770FBBB4B}" type="pres">
      <dgm:prSet presAssocID="{E8F907F9-7A2A-4F72-99D6-8C84A2966768}" presName="parentText" presStyleLbl="node1" presStyleIdx="0" presStyleCnt="0">
        <dgm:presLayoutVars>
          <dgm:chMax val="0"/>
          <dgm:bulletEnabled val="1"/>
        </dgm:presLayoutVars>
      </dgm:prSet>
      <dgm:spPr/>
    </dgm:pt>
    <dgm:pt modelId="{AC855AD4-9168-4073-BF82-F5818C6F2943}" type="pres">
      <dgm:prSet presAssocID="{E8F907F9-7A2A-4F72-99D6-8C84A2966768}" presName="parentRect" presStyleLbl="alignNode1" presStyleIdx="0" presStyleCnt="7"/>
      <dgm:spPr/>
    </dgm:pt>
    <dgm:pt modelId="{6738A1A8-6C94-4A4C-8F19-37E11556693D}" type="pres">
      <dgm:prSet presAssocID="{E8F907F9-7A2A-4F72-99D6-8C84A2966768}" presName="adorn" presStyleLbl="fgAccFollowNode1" presStyleIdx="0" presStyleCnt="7"/>
      <dgm:spPr>
        <a:blipFill rotWithShape="1">
          <a:blip xmlns:r="http://schemas.openxmlformats.org/officeDocument/2006/relationships" r:embed="rId1"/>
          <a:stretch>
            <a:fillRect/>
          </a:stretch>
        </a:blipFill>
      </dgm:spPr>
    </dgm:pt>
    <dgm:pt modelId="{A3839633-A6CF-4B54-B50C-49A436F600CF}" type="pres">
      <dgm:prSet presAssocID="{435B7007-F5A7-44E0-A91A-9DB837D7284E}" presName="sibTrans" presStyleLbl="sibTrans2D1" presStyleIdx="0" presStyleCnt="0"/>
      <dgm:spPr/>
    </dgm:pt>
    <dgm:pt modelId="{8E7C49C2-0149-4381-BBEB-9ACE96749DDE}" type="pres">
      <dgm:prSet presAssocID="{B6A92B39-B948-4263-BBFB-354AD45DE5C7}" presName="compNode" presStyleCnt="0"/>
      <dgm:spPr/>
    </dgm:pt>
    <dgm:pt modelId="{2E264383-D1F1-4A5F-8D77-BA0B815C840B}" type="pres">
      <dgm:prSet presAssocID="{B6A92B39-B948-4263-BBFB-354AD45DE5C7}" presName="childRect" presStyleLbl="bgAcc1" presStyleIdx="1" presStyleCnt="7">
        <dgm:presLayoutVars>
          <dgm:bulletEnabled val="1"/>
        </dgm:presLayoutVars>
      </dgm:prSet>
      <dgm:spPr/>
    </dgm:pt>
    <dgm:pt modelId="{66830D3E-33EE-4DB3-8685-375C205D1070}" type="pres">
      <dgm:prSet presAssocID="{B6A92B39-B948-4263-BBFB-354AD45DE5C7}" presName="parentText" presStyleLbl="node1" presStyleIdx="0" presStyleCnt="0">
        <dgm:presLayoutVars>
          <dgm:chMax val="0"/>
          <dgm:bulletEnabled val="1"/>
        </dgm:presLayoutVars>
      </dgm:prSet>
      <dgm:spPr/>
    </dgm:pt>
    <dgm:pt modelId="{70516256-5285-4468-9616-6E04DDF17DA3}" type="pres">
      <dgm:prSet presAssocID="{B6A92B39-B948-4263-BBFB-354AD45DE5C7}" presName="parentRect" presStyleLbl="alignNode1" presStyleIdx="1" presStyleCnt="7"/>
      <dgm:spPr/>
    </dgm:pt>
    <dgm:pt modelId="{F6FBE46E-8A2C-4DE4-AF29-AD3474531629}" type="pres">
      <dgm:prSet presAssocID="{B6A92B39-B948-4263-BBFB-354AD45DE5C7}" presName="adorn" presStyleLbl="fgAccFollowNode1" presStyleIdx="1" presStyleCnt="7"/>
      <dgm:spPr>
        <a:blipFill rotWithShape="1">
          <a:blip xmlns:r="http://schemas.openxmlformats.org/officeDocument/2006/relationships" r:embed="rId1"/>
          <a:stretch>
            <a:fillRect/>
          </a:stretch>
        </a:blipFill>
      </dgm:spPr>
    </dgm:pt>
    <dgm:pt modelId="{B75B9407-7188-4407-A293-DBC488A00CE1}" type="pres">
      <dgm:prSet presAssocID="{7963A09A-73E1-4533-90D0-4CE55A797CE0}" presName="sibTrans" presStyleLbl="sibTrans2D1" presStyleIdx="0" presStyleCnt="0"/>
      <dgm:spPr/>
    </dgm:pt>
    <dgm:pt modelId="{8812F859-FC24-45E6-A871-86CD83F6006D}" type="pres">
      <dgm:prSet presAssocID="{00BBB511-F2D8-4992-8281-916F43D814ED}" presName="compNode" presStyleCnt="0"/>
      <dgm:spPr/>
    </dgm:pt>
    <dgm:pt modelId="{AC85F26B-AF4B-4C79-B400-3164317271E2}" type="pres">
      <dgm:prSet presAssocID="{00BBB511-F2D8-4992-8281-916F43D814ED}" presName="childRect" presStyleLbl="bgAcc1" presStyleIdx="2" presStyleCnt="7">
        <dgm:presLayoutVars>
          <dgm:bulletEnabled val="1"/>
        </dgm:presLayoutVars>
      </dgm:prSet>
      <dgm:spPr/>
    </dgm:pt>
    <dgm:pt modelId="{16530049-D87E-406C-B370-E6B9F6209CC8}" type="pres">
      <dgm:prSet presAssocID="{00BBB511-F2D8-4992-8281-916F43D814ED}" presName="parentText" presStyleLbl="node1" presStyleIdx="0" presStyleCnt="0">
        <dgm:presLayoutVars>
          <dgm:chMax val="0"/>
          <dgm:bulletEnabled val="1"/>
        </dgm:presLayoutVars>
      </dgm:prSet>
      <dgm:spPr/>
    </dgm:pt>
    <dgm:pt modelId="{EC7110CA-2D45-4CF2-899C-5E25CFABCC90}" type="pres">
      <dgm:prSet presAssocID="{00BBB511-F2D8-4992-8281-916F43D814ED}" presName="parentRect" presStyleLbl="alignNode1" presStyleIdx="2" presStyleCnt="7"/>
      <dgm:spPr/>
    </dgm:pt>
    <dgm:pt modelId="{CAFFC27E-2AE8-4E53-B862-8E3976CCDC6E}" type="pres">
      <dgm:prSet presAssocID="{00BBB511-F2D8-4992-8281-916F43D814ED}" presName="adorn" presStyleLbl="fgAccFollowNode1" presStyleIdx="2" presStyleCnt="7"/>
      <dgm:spPr>
        <a:blipFill rotWithShape="1">
          <a:blip xmlns:r="http://schemas.openxmlformats.org/officeDocument/2006/relationships" r:embed="rId1"/>
          <a:stretch>
            <a:fillRect/>
          </a:stretch>
        </a:blipFill>
      </dgm:spPr>
    </dgm:pt>
    <dgm:pt modelId="{163BF74C-4827-41BE-9C1F-B2FD33210E99}" type="pres">
      <dgm:prSet presAssocID="{5EBC8FCC-AFD9-4D1B-B295-CF9DED3784DB}" presName="sibTrans" presStyleLbl="sibTrans2D1" presStyleIdx="0" presStyleCnt="0"/>
      <dgm:spPr/>
    </dgm:pt>
    <dgm:pt modelId="{502D52E5-5E68-44EC-AACF-792F0A0AE88C}" type="pres">
      <dgm:prSet presAssocID="{24ABBE20-3644-4E49-9CBD-D4288D62DA62}" presName="compNode" presStyleCnt="0"/>
      <dgm:spPr/>
    </dgm:pt>
    <dgm:pt modelId="{7B576C9A-75CE-45B5-BF9F-1A910DC4CF7E}" type="pres">
      <dgm:prSet presAssocID="{24ABBE20-3644-4E49-9CBD-D4288D62DA62}" presName="childRect" presStyleLbl="bgAcc1" presStyleIdx="3" presStyleCnt="7">
        <dgm:presLayoutVars>
          <dgm:bulletEnabled val="1"/>
        </dgm:presLayoutVars>
      </dgm:prSet>
      <dgm:spPr/>
    </dgm:pt>
    <dgm:pt modelId="{F8FCE600-829D-444C-B6C0-2669509B9061}" type="pres">
      <dgm:prSet presAssocID="{24ABBE20-3644-4E49-9CBD-D4288D62DA62}" presName="parentText" presStyleLbl="node1" presStyleIdx="0" presStyleCnt="0">
        <dgm:presLayoutVars>
          <dgm:chMax val="0"/>
          <dgm:bulletEnabled val="1"/>
        </dgm:presLayoutVars>
      </dgm:prSet>
      <dgm:spPr/>
    </dgm:pt>
    <dgm:pt modelId="{ED81E231-9A5E-4005-BFCF-92B94571F4E1}" type="pres">
      <dgm:prSet presAssocID="{24ABBE20-3644-4E49-9CBD-D4288D62DA62}" presName="parentRect" presStyleLbl="alignNode1" presStyleIdx="3" presStyleCnt="7"/>
      <dgm:spPr/>
    </dgm:pt>
    <dgm:pt modelId="{F3E3263F-BDF8-449D-B3FC-4D8F4F3EE78B}" type="pres">
      <dgm:prSet presAssocID="{24ABBE20-3644-4E49-9CBD-D4288D62DA62}" presName="adorn" presStyleLbl="fgAccFollowNode1" presStyleIdx="3" presStyleCnt="7"/>
      <dgm:spPr>
        <a:blipFill rotWithShape="1">
          <a:blip xmlns:r="http://schemas.openxmlformats.org/officeDocument/2006/relationships" r:embed="rId1"/>
          <a:stretch>
            <a:fillRect/>
          </a:stretch>
        </a:blipFill>
      </dgm:spPr>
    </dgm:pt>
    <dgm:pt modelId="{C0E2D9AD-6488-4C80-AFFD-CB72BF4B1778}" type="pres">
      <dgm:prSet presAssocID="{88EEDFCA-D54C-493B-A7ED-1433D6F956ED}" presName="sibTrans" presStyleLbl="sibTrans2D1" presStyleIdx="0" presStyleCnt="0"/>
      <dgm:spPr/>
    </dgm:pt>
    <dgm:pt modelId="{9C761679-1DC5-4D6E-8717-28380941248E}" type="pres">
      <dgm:prSet presAssocID="{F26FCDF9-CA4D-4BA2-AF96-9DE8B30DB56B}" presName="compNode" presStyleCnt="0"/>
      <dgm:spPr/>
    </dgm:pt>
    <dgm:pt modelId="{3C81CB08-F478-41B4-8086-00A1528BC8AC}" type="pres">
      <dgm:prSet presAssocID="{F26FCDF9-CA4D-4BA2-AF96-9DE8B30DB56B}" presName="childRect" presStyleLbl="bgAcc1" presStyleIdx="4" presStyleCnt="7">
        <dgm:presLayoutVars>
          <dgm:bulletEnabled val="1"/>
        </dgm:presLayoutVars>
      </dgm:prSet>
      <dgm:spPr/>
    </dgm:pt>
    <dgm:pt modelId="{1747C2FA-2BD2-4722-BFFE-1CE1409F2455}" type="pres">
      <dgm:prSet presAssocID="{F26FCDF9-CA4D-4BA2-AF96-9DE8B30DB56B}" presName="parentText" presStyleLbl="node1" presStyleIdx="0" presStyleCnt="0">
        <dgm:presLayoutVars>
          <dgm:chMax val="0"/>
          <dgm:bulletEnabled val="1"/>
        </dgm:presLayoutVars>
      </dgm:prSet>
      <dgm:spPr/>
    </dgm:pt>
    <dgm:pt modelId="{1DD3C64A-ABCA-4DBB-8EF1-849904D3C365}" type="pres">
      <dgm:prSet presAssocID="{F26FCDF9-CA4D-4BA2-AF96-9DE8B30DB56B}" presName="parentRect" presStyleLbl="alignNode1" presStyleIdx="4" presStyleCnt="7"/>
      <dgm:spPr/>
    </dgm:pt>
    <dgm:pt modelId="{9C0B8311-82D9-4FB6-911E-5CC9D8E761DC}" type="pres">
      <dgm:prSet presAssocID="{F26FCDF9-CA4D-4BA2-AF96-9DE8B30DB56B}" presName="adorn" presStyleLbl="fgAccFollowNode1" presStyleIdx="4" presStyleCnt="7"/>
      <dgm:spPr>
        <a:blipFill rotWithShape="1">
          <a:blip xmlns:r="http://schemas.openxmlformats.org/officeDocument/2006/relationships" r:embed="rId1"/>
          <a:stretch>
            <a:fillRect/>
          </a:stretch>
        </a:blipFill>
      </dgm:spPr>
    </dgm:pt>
    <dgm:pt modelId="{83528368-570F-4B79-AB2A-4B7EFB74A1C6}" type="pres">
      <dgm:prSet presAssocID="{F382278F-C892-4699-AE1A-966052AC0098}" presName="sibTrans" presStyleLbl="sibTrans2D1" presStyleIdx="0" presStyleCnt="0"/>
      <dgm:spPr/>
    </dgm:pt>
    <dgm:pt modelId="{E0F7025E-C4D8-4184-9B83-6E9CD1D023ED}" type="pres">
      <dgm:prSet presAssocID="{76B48A89-54FF-4756-B87F-897E3ABFBE81}" presName="compNode" presStyleCnt="0"/>
      <dgm:spPr/>
    </dgm:pt>
    <dgm:pt modelId="{B9AAC8DF-724C-417D-ADF7-CC31E1A8FC13}" type="pres">
      <dgm:prSet presAssocID="{76B48A89-54FF-4756-B87F-897E3ABFBE81}" presName="childRect" presStyleLbl="bgAcc1" presStyleIdx="5" presStyleCnt="7">
        <dgm:presLayoutVars>
          <dgm:bulletEnabled val="1"/>
        </dgm:presLayoutVars>
      </dgm:prSet>
      <dgm:spPr/>
    </dgm:pt>
    <dgm:pt modelId="{753B052E-C6E4-4FE1-9F13-117385109015}" type="pres">
      <dgm:prSet presAssocID="{76B48A89-54FF-4756-B87F-897E3ABFBE81}" presName="parentText" presStyleLbl="node1" presStyleIdx="0" presStyleCnt="0">
        <dgm:presLayoutVars>
          <dgm:chMax val="0"/>
          <dgm:bulletEnabled val="1"/>
        </dgm:presLayoutVars>
      </dgm:prSet>
      <dgm:spPr/>
    </dgm:pt>
    <dgm:pt modelId="{E551CC12-FD1E-4ADB-A739-37396C4B55AD}" type="pres">
      <dgm:prSet presAssocID="{76B48A89-54FF-4756-B87F-897E3ABFBE81}" presName="parentRect" presStyleLbl="alignNode1" presStyleIdx="5" presStyleCnt="7"/>
      <dgm:spPr/>
    </dgm:pt>
    <dgm:pt modelId="{5DEAA72C-D182-47AE-AAE8-CD1E1C3DCAD2}" type="pres">
      <dgm:prSet presAssocID="{76B48A89-54FF-4756-B87F-897E3ABFBE81}" presName="adorn" presStyleLbl="fgAccFollowNode1" presStyleIdx="5" presStyleCnt="7"/>
      <dgm:spPr>
        <a:blipFill rotWithShape="1">
          <a:blip xmlns:r="http://schemas.openxmlformats.org/officeDocument/2006/relationships" r:embed="rId1"/>
          <a:stretch>
            <a:fillRect/>
          </a:stretch>
        </a:blipFill>
      </dgm:spPr>
    </dgm:pt>
    <dgm:pt modelId="{B7D71D48-694D-40C5-B9AC-4F2E03488AEB}" type="pres">
      <dgm:prSet presAssocID="{BE7AC052-81EF-4A16-9B70-90A6369C4CFD}" presName="sibTrans" presStyleLbl="sibTrans2D1" presStyleIdx="0" presStyleCnt="0"/>
      <dgm:spPr/>
    </dgm:pt>
    <dgm:pt modelId="{5F9172CB-5D1D-4297-ADF1-3C0413FA45E8}" type="pres">
      <dgm:prSet presAssocID="{C88BB18E-D834-4416-80FB-9D755CD25606}" presName="compNode" presStyleCnt="0"/>
      <dgm:spPr/>
    </dgm:pt>
    <dgm:pt modelId="{3D10F2E2-6804-4269-82F2-5CB2BAAB384E}" type="pres">
      <dgm:prSet presAssocID="{C88BB18E-D834-4416-80FB-9D755CD25606}" presName="childRect" presStyleLbl="bgAcc1" presStyleIdx="6" presStyleCnt="7">
        <dgm:presLayoutVars>
          <dgm:bulletEnabled val="1"/>
        </dgm:presLayoutVars>
      </dgm:prSet>
      <dgm:spPr/>
    </dgm:pt>
    <dgm:pt modelId="{C0008483-9B02-419D-B94C-686C3FDFFB2B}" type="pres">
      <dgm:prSet presAssocID="{C88BB18E-D834-4416-80FB-9D755CD25606}" presName="parentText" presStyleLbl="node1" presStyleIdx="0" presStyleCnt="0">
        <dgm:presLayoutVars>
          <dgm:chMax val="0"/>
          <dgm:bulletEnabled val="1"/>
        </dgm:presLayoutVars>
      </dgm:prSet>
      <dgm:spPr/>
    </dgm:pt>
    <dgm:pt modelId="{5C4739BD-466E-4197-AF0A-7B11985A5F66}" type="pres">
      <dgm:prSet presAssocID="{C88BB18E-D834-4416-80FB-9D755CD25606}" presName="parentRect" presStyleLbl="alignNode1" presStyleIdx="6" presStyleCnt="7"/>
      <dgm:spPr/>
    </dgm:pt>
    <dgm:pt modelId="{A481D67F-F5EC-4C19-8FDE-E2EDDCC8C664}" type="pres">
      <dgm:prSet presAssocID="{C88BB18E-D834-4416-80FB-9D755CD25606}" presName="adorn" presStyleLbl="fgAccFollowNode1" presStyleIdx="6" presStyleCnt="7"/>
      <dgm:spPr>
        <a:blipFill rotWithShape="1">
          <a:blip xmlns:r="http://schemas.openxmlformats.org/officeDocument/2006/relationships" r:embed="rId1"/>
          <a:stretch>
            <a:fillRect/>
          </a:stretch>
        </a:blipFill>
      </dgm:spPr>
    </dgm:pt>
  </dgm:ptLst>
  <dgm:cxnLst>
    <dgm:cxn modelId="{60009809-234D-4E76-953C-3CF3031FB3E8}" type="presOf" srcId="{7963A09A-73E1-4533-90D0-4CE55A797CE0}" destId="{B75B9407-7188-4407-A293-DBC488A00CE1}" srcOrd="0" destOrd="0" presId="urn:microsoft.com/office/officeart/2005/8/layout/bList2"/>
    <dgm:cxn modelId="{1C3E4C1A-B3D2-406E-B946-4880D5C84714}" type="presOf" srcId="{00BBB511-F2D8-4992-8281-916F43D814ED}" destId="{EC7110CA-2D45-4CF2-899C-5E25CFABCC90}" srcOrd="1" destOrd="0" presId="urn:microsoft.com/office/officeart/2005/8/layout/bList2"/>
    <dgm:cxn modelId="{BACB3420-C654-46F5-9853-DC2758730113}" type="presOf" srcId="{BE7AC052-81EF-4A16-9B70-90A6369C4CFD}" destId="{B7D71D48-694D-40C5-B9AC-4F2E03488AEB}" srcOrd="0" destOrd="0" presId="urn:microsoft.com/office/officeart/2005/8/layout/bList2"/>
    <dgm:cxn modelId="{81DD1323-61C3-4C02-A046-3A3BE82285BC}" srcId="{0E6F16C4-7B53-485F-B4B3-883147703D5C}" destId="{00BBB511-F2D8-4992-8281-916F43D814ED}" srcOrd="2" destOrd="0" parTransId="{A2635AE8-4873-4C9E-A2B9-0A1B720BE80F}" sibTransId="{5EBC8FCC-AFD9-4D1B-B295-CF9DED3784DB}"/>
    <dgm:cxn modelId="{562D7B26-FA79-4F6A-90C0-D30E6428108C}" srcId="{0E6F16C4-7B53-485F-B4B3-883147703D5C}" destId="{24ABBE20-3644-4E49-9CBD-D4288D62DA62}" srcOrd="3" destOrd="0" parTransId="{7F29689A-7CA7-4E72-BF22-36C10D87B581}" sibTransId="{88EEDFCA-D54C-493B-A7ED-1433D6F956ED}"/>
    <dgm:cxn modelId="{4963072A-62EC-4295-8B8F-1DB31B00A3B4}" type="presOf" srcId="{435B7007-F5A7-44E0-A91A-9DB837D7284E}" destId="{A3839633-A6CF-4B54-B50C-49A436F600CF}" srcOrd="0" destOrd="0" presId="urn:microsoft.com/office/officeart/2005/8/layout/bList2"/>
    <dgm:cxn modelId="{A2771E30-7754-4D99-8905-875F4CC1F055}" type="presOf" srcId="{76B48A89-54FF-4756-B87F-897E3ABFBE81}" destId="{753B052E-C6E4-4FE1-9F13-117385109015}" srcOrd="0" destOrd="0" presId="urn:microsoft.com/office/officeart/2005/8/layout/bList2"/>
    <dgm:cxn modelId="{A92F7037-9DC9-4F5F-B11A-176E85550BE6}" type="presOf" srcId="{F26FCDF9-CA4D-4BA2-AF96-9DE8B30DB56B}" destId="{1DD3C64A-ABCA-4DBB-8EF1-849904D3C365}" srcOrd="1" destOrd="0" presId="urn:microsoft.com/office/officeart/2005/8/layout/bList2"/>
    <dgm:cxn modelId="{1F6A0B38-2D95-41F3-9009-B4A1365DF7F4}" type="presOf" srcId="{88EEDFCA-D54C-493B-A7ED-1433D6F956ED}" destId="{C0E2D9AD-6488-4C80-AFFD-CB72BF4B1778}" srcOrd="0" destOrd="0" presId="urn:microsoft.com/office/officeart/2005/8/layout/bList2"/>
    <dgm:cxn modelId="{A1618B3E-790E-4B21-9100-EAA4D4A004A1}" type="presOf" srcId="{24ABBE20-3644-4E49-9CBD-D4288D62DA62}" destId="{F8FCE600-829D-444C-B6C0-2669509B9061}" srcOrd="0" destOrd="0" presId="urn:microsoft.com/office/officeart/2005/8/layout/bList2"/>
    <dgm:cxn modelId="{772D323F-F53A-49CE-9D48-428C6EDC1ADE}" type="presOf" srcId="{ECCC08A0-79EE-44DF-A585-171864EEFDB9}" destId="{AC85F26B-AF4B-4C79-B400-3164317271E2}" srcOrd="0" destOrd="0" presId="urn:microsoft.com/office/officeart/2005/8/layout/bList2"/>
    <dgm:cxn modelId="{3C8C633F-D312-46CB-94FA-7736A59D2982}" srcId="{F26FCDF9-CA4D-4BA2-AF96-9DE8B30DB56B}" destId="{4694B40B-1F4E-419F-BFA6-1E58595099F1}" srcOrd="0" destOrd="0" parTransId="{85532E62-4BB7-43EC-934E-14B9ACCBED95}" sibTransId="{9D2C4263-995F-489E-BF4A-4D22F09B21A9}"/>
    <dgm:cxn modelId="{19B23162-C424-49EF-947D-9AE47974756A}" srcId="{E8F907F9-7A2A-4F72-99D6-8C84A2966768}" destId="{71F630E4-875E-48F2-828C-7F8C424FFCC8}" srcOrd="0" destOrd="0" parTransId="{BE75240E-71FF-4B2F-90DD-CDE10E691CC6}" sibTransId="{90D05D2B-7D6F-4DB6-8C17-50735646A625}"/>
    <dgm:cxn modelId="{C157B349-C283-4D4F-8D4E-4E0B25C1AD39}" type="presOf" srcId="{2F267A37-FFCD-48C8-895B-AD99CBCE27E7}" destId="{B9AAC8DF-724C-417D-ADF7-CC31E1A8FC13}" srcOrd="0" destOrd="0" presId="urn:microsoft.com/office/officeart/2005/8/layout/bList2"/>
    <dgm:cxn modelId="{E4AA076C-53CD-4A13-81EA-5E72BD986A1B}" type="presOf" srcId="{C88BB18E-D834-4416-80FB-9D755CD25606}" destId="{5C4739BD-466E-4197-AF0A-7B11985A5F66}" srcOrd="1" destOrd="0" presId="urn:microsoft.com/office/officeart/2005/8/layout/bList2"/>
    <dgm:cxn modelId="{8329116E-0762-470C-A381-DD3D2945BDB7}" srcId="{0E6F16C4-7B53-485F-B4B3-883147703D5C}" destId="{F26FCDF9-CA4D-4BA2-AF96-9DE8B30DB56B}" srcOrd="4" destOrd="0" parTransId="{5C71F7C5-3692-4182-B0CF-559AACBBC47A}" sibTransId="{F382278F-C892-4699-AE1A-966052AC0098}"/>
    <dgm:cxn modelId="{7F5DFE50-9F7D-47D7-AD19-9A1FFE0C9DC0}" srcId="{B6A92B39-B948-4263-BBFB-354AD45DE5C7}" destId="{E516EFFB-A2F1-4CA0-A4EB-EFE1973AE1FA}" srcOrd="0" destOrd="0" parTransId="{CA8AF0BA-8637-49D2-BAE8-7FE4FCB463AA}" sibTransId="{532AC4A2-B3A2-4BDA-A66F-21E7C22A0888}"/>
    <dgm:cxn modelId="{15782053-B357-4FD6-A452-270795EBEAC6}" type="presOf" srcId="{F26FCDF9-CA4D-4BA2-AF96-9DE8B30DB56B}" destId="{1747C2FA-2BD2-4722-BFFE-1CE1409F2455}" srcOrd="0" destOrd="0" presId="urn:microsoft.com/office/officeart/2005/8/layout/bList2"/>
    <dgm:cxn modelId="{9A578674-3755-4BE4-99B0-C7C9D4CDA118}" type="presOf" srcId="{C88BB18E-D834-4416-80FB-9D755CD25606}" destId="{C0008483-9B02-419D-B94C-686C3FDFFB2B}" srcOrd="0" destOrd="0" presId="urn:microsoft.com/office/officeart/2005/8/layout/bList2"/>
    <dgm:cxn modelId="{60C1CB55-0969-4CAF-B96F-CE1F8DDA3D0E}" type="presOf" srcId="{5EBC8FCC-AFD9-4D1B-B295-CF9DED3784DB}" destId="{163BF74C-4827-41BE-9C1F-B2FD33210E99}" srcOrd="0" destOrd="0" presId="urn:microsoft.com/office/officeart/2005/8/layout/bList2"/>
    <dgm:cxn modelId="{72B1CB77-4D99-447C-B039-B9E1038D9575}" srcId="{00BBB511-F2D8-4992-8281-916F43D814ED}" destId="{ECCC08A0-79EE-44DF-A585-171864EEFDB9}" srcOrd="0" destOrd="0" parTransId="{9186884C-EB12-4FFF-9E1A-16BB2A8B6894}" sibTransId="{2C015062-30C0-45CE-83CB-1FDD3638545E}"/>
    <dgm:cxn modelId="{36944258-E499-4182-AB7F-7C00B8885409}" type="presOf" srcId="{F382278F-C892-4699-AE1A-966052AC0098}" destId="{83528368-570F-4B79-AB2A-4B7EFB74A1C6}" srcOrd="0" destOrd="0" presId="urn:microsoft.com/office/officeart/2005/8/layout/bList2"/>
    <dgm:cxn modelId="{D5319759-0CD2-4C5C-8C2B-1A2750AF839A}" srcId="{0E6F16C4-7B53-485F-B4B3-883147703D5C}" destId="{B6A92B39-B948-4263-BBFB-354AD45DE5C7}" srcOrd="1" destOrd="0" parTransId="{A36B982F-C75A-41DE-8710-543B9AC7FC19}" sibTransId="{7963A09A-73E1-4533-90D0-4CE55A797CE0}"/>
    <dgm:cxn modelId="{F541077A-005D-46AF-ABED-00ACED17A1FF}" srcId="{0E6F16C4-7B53-485F-B4B3-883147703D5C}" destId="{E8F907F9-7A2A-4F72-99D6-8C84A2966768}" srcOrd="0" destOrd="0" parTransId="{DC286EB8-E4A3-4658-B882-FF9D4EFEE827}" sibTransId="{435B7007-F5A7-44E0-A91A-9DB837D7284E}"/>
    <dgm:cxn modelId="{8D16797B-BBF2-4207-8F0D-49C4736002C9}" type="presOf" srcId="{B6A92B39-B948-4263-BBFB-354AD45DE5C7}" destId="{70516256-5285-4468-9616-6E04DDF17DA3}" srcOrd="1" destOrd="0" presId="urn:microsoft.com/office/officeart/2005/8/layout/bList2"/>
    <dgm:cxn modelId="{5C29DF7D-AC3A-4E22-9EF2-97956772EA9F}" type="presOf" srcId="{71F630E4-875E-48F2-828C-7F8C424FFCC8}" destId="{D38015B5-F4D0-44A1-A1CB-B1E79EBE3A56}" srcOrd="0" destOrd="0" presId="urn:microsoft.com/office/officeart/2005/8/layout/bList2"/>
    <dgm:cxn modelId="{D3CB077E-7A8A-4D86-8BBA-3783F3E10C4F}" type="presOf" srcId="{76B48A89-54FF-4756-B87F-897E3ABFBE81}" destId="{E551CC12-FD1E-4ADB-A739-37396C4B55AD}" srcOrd="1" destOrd="0" presId="urn:microsoft.com/office/officeart/2005/8/layout/bList2"/>
    <dgm:cxn modelId="{70A14E80-203B-40FA-B894-01ECC833B089}" srcId="{C88BB18E-D834-4416-80FB-9D755CD25606}" destId="{8EA3C7D1-1806-4744-B303-651470314CC8}" srcOrd="0" destOrd="0" parTransId="{08405AF8-C25A-4F20-A4CE-E2D8993BF8A2}" sibTransId="{4341F34C-632F-4786-8B04-C29CE2AB36AD}"/>
    <dgm:cxn modelId="{D6F55B8E-6E1F-4A5A-90B9-35AD0EAC3CE0}" srcId="{76B48A89-54FF-4756-B87F-897E3ABFBE81}" destId="{2F267A37-FFCD-48C8-895B-AD99CBCE27E7}" srcOrd="0" destOrd="0" parTransId="{24F03E57-6CA7-416E-87BD-BB024D1F26FD}" sibTransId="{3D6AEE1A-0583-43DB-BF51-C22FAC20AF60}"/>
    <dgm:cxn modelId="{D5698A99-2DF6-445F-96AA-6489AAD2CD56}" srcId="{24ABBE20-3644-4E49-9CBD-D4288D62DA62}" destId="{B620764F-3CC7-416E-B4F7-608893300A66}" srcOrd="0" destOrd="0" parTransId="{AAD7E366-424D-4434-9059-C9068D098816}" sibTransId="{26C86B96-5603-4C08-A184-E9E839DA2C24}"/>
    <dgm:cxn modelId="{3DA5C9A9-C2EF-4A30-BE13-DC1320FB542D}" srcId="{0E6F16C4-7B53-485F-B4B3-883147703D5C}" destId="{C88BB18E-D834-4416-80FB-9D755CD25606}" srcOrd="6" destOrd="0" parTransId="{1A885F51-187D-43C0-B429-4589C2ED86E4}" sibTransId="{1662707D-75EA-4DE0-AC75-14F344F471D0}"/>
    <dgm:cxn modelId="{F7531DAA-7DB0-4C16-8E05-A094ABD69BC7}" type="presOf" srcId="{24ABBE20-3644-4E49-9CBD-D4288D62DA62}" destId="{ED81E231-9A5E-4005-BFCF-92B94571F4E1}" srcOrd="1" destOrd="0" presId="urn:microsoft.com/office/officeart/2005/8/layout/bList2"/>
    <dgm:cxn modelId="{43FCAFAE-39F4-472D-9419-C92EFCE96F1B}" type="presOf" srcId="{B620764F-3CC7-416E-B4F7-608893300A66}" destId="{7B576C9A-75CE-45B5-BF9F-1A910DC4CF7E}" srcOrd="0" destOrd="0" presId="urn:microsoft.com/office/officeart/2005/8/layout/bList2"/>
    <dgm:cxn modelId="{93ED39B7-E28B-453E-A788-5E3916EE1855}" type="presOf" srcId="{8EA3C7D1-1806-4744-B303-651470314CC8}" destId="{3D10F2E2-6804-4269-82F2-5CB2BAAB384E}" srcOrd="0" destOrd="0" presId="urn:microsoft.com/office/officeart/2005/8/layout/bList2"/>
    <dgm:cxn modelId="{5BB0D2C2-06EC-4BE3-9FF1-F84D41A0F200}" type="presOf" srcId="{E8F907F9-7A2A-4F72-99D6-8C84A2966768}" destId="{00AF42A4-C458-46C2-921D-F2C770FBBB4B}" srcOrd="0" destOrd="0" presId="urn:microsoft.com/office/officeart/2005/8/layout/bList2"/>
    <dgm:cxn modelId="{8C738BCC-250D-4A0B-96F7-5D1B6CCD6D36}" srcId="{0E6F16C4-7B53-485F-B4B3-883147703D5C}" destId="{76B48A89-54FF-4756-B87F-897E3ABFBE81}" srcOrd="5" destOrd="0" parTransId="{263E4CA0-9E76-4A02-B2AB-D063330E2692}" sibTransId="{BE7AC052-81EF-4A16-9B70-90A6369C4CFD}"/>
    <dgm:cxn modelId="{B9F2E7CD-A514-4707-90FC-6C4544B9BCFF}" type="presOf" srcId="{00BBB511-F2D8-4992-8281-916F43D814ED}" destId="{16530049-D87E-406C-B370-E6B9F6209CC8}" srcOrd="0" destOrd="0" presId="urn:microsoft.com/office/officeart/2005/8/layout/bList2"/>
    <dgm:cxn modelId="{B4591FD6-27BC-4794-9BA4-FF1B3CC37BF1}" type="presOf" srcId="{E516EFFB-A2F1-4CA0-A4EB-EFE1973AE1FA}" destId="{2E264383-D1F1-4A5F-8D77-BA0B815C840B}" srcOrd="0" destOrd="0" presId="urn:microsoft.com/office/officeart/2005/8/layout/bList2"/>
    <dgm:cxn modelId="{90431EDB-7EE6-4D7A-823F-89E7FDFF168F}" type="presOf" srcId="{B6A92B39-B948-4263-BBFB-354AD45DE5C7}" destId="{66830D3E-33EE-4DB3-8685-375C205D1070}" srcOrd="0" destOrd="0" presId="urn:microsoft.com/office/officeart/2005/8/layout/bList2"/>
    <dgm:cxn modelId="{DB5E06E8-5C76-4CF8-BF81-A18B1AC219DA}" type="presOf" srcId="{0E6F16C4-7B53-485F-B4B3-883147703D5C}" destId="{F042ACAC-1B91-4BB7-8CE8-AB5C90DBD9BC}" srcOrd="0" destOrd="0" presId="urn:microsoft.com/office/officeart/2005/8/layout/bList2"/>
    <dgm:cxn modelId="{57A6A2EE-4DC1-4DA7-93C7-5BC4ADDC7A62}" type="presOf" srcId="{E8F907F9-7A2A-4F72-99D6-8C84A2966768}" destId="{AC855AD4-9168-4073-BF82-F5818C6F2943}" srcOrd="1" destOrd="0" presId="urn:microsoft.com/office/officeart/2005/8/layout/bList2"/>
    <dgm:cxn modelId="{445FAFF9-1A27-405A-8ABB-51686A4B8294}" type="presOf" srcId="{4694B40B-1F4E-419F-BFA6-1E58595099F1}" destId="{3C81CB08-F478-41B4-8086-00A1528BC8AC}" srcOrd="0" destOrd="0" presId="urn:microsoft.com/office/officeart/2005/8/layout/bList2"/>
    <dgm:cxn modelId="{6A2496C0-CF6A-42FA-B3B9-86BC11F311EE}" type="presParOf" srcId="{F042ACAC-1B91-4BB7-8CE8-AB5C90DBD9BC}" destId="{AD710302-76B2-4D22-8298-0D17EA9814D7}" srcOrd="0" destOrd="0" presId="urn:microsoft.com/office/officeart/2005/8/layout/bList2"/>
    <dgm:cxn modelId="{3990BEF0-B501-49DC-88D6-3FD8A0385A29}" type="presParOf" srcId="{AD710302-76B2-4D22-8298-0D17EA9814D7}" destId="{D38015B5-F4D0-44A1-A1CB-B1E79EBE3A56}" srcOrd="0" destOrd="0" presId="urn:microsoft.com/office/officeart/2005/8/layout/bList2"/>
    <dgm:cxn modelId="{40ACE820-88DE-42BF-9A09-27DC00D3D21D}" type="presParOf" srcId="{AD710302-76B2-4D22-8298-0D17EA9814D7}" destId="{00AF42A4-C458-46C2-921D-F2C770FBBB4B}" srcOrd="1" destOrd="0" presId="urn:microsoft.com/office/officeart/2005/8/layout/bList2"/>
    <dgm:cxn modelId="{3B4BD0C1-B9DF-4AD3-A42F-960183980619}" type="presParOf" srcId="{AD710302-76B2-4D22-8298-0D17EA9814D7}" destId="{AC855AD4-9168-4073-BF82-F5818C6F2943}" srcOrd="2" destOrd="0" presId="urn:microsoft.com/office/officeart/2005/8/layout/bList2"/>
    <dgm:cxn modelId="{C8505671-5715-4D4D-8FC5-CCE072EF1649}" type="presParOf" srcId="{AD710302-76B2-4D22-8298-0D17EA9814D7}" destId="{6738A1A8-6C94-4A4C-8F19-37E11556693D}" srcOrd="3" destOrd="0" presId="urn:microsoft.com/office/officeart/2005/8/layout/bList2"/>
    <dgm:cxn modelId="{5994157E-DB5F-4A13-86EB-2536AEC03E54}" type="presParOf" srcId="{F042ACAC-1B91-4BB7-8CE8-AB5C90DBD9BC}" destId="{A3839633-A6CF-4B54-B50C-49A436F600CF}" srcOrd="1" destOrd="0" presId="urn:microsoft.com/office/officeart/2005/8/layout/bList2"/>
    <dgm:cxn modelId="{A8C08DF1-196A-46BE-A8D4-A61775195301}" type="presParOf" srcId="{F042ACAC-1B91-4BB7-8CE8-AB5C90DBD9BC}" destId="{8E7C49C2-0149-4381-BBEB-9ACE96749DDE}" srcOrd="2" destOrd="0" presId="urn:microsoft.com/office/officeart/2005/8/layout/bList2"/>
    <dgm:cxn modelId="{2D043A44-7573-4F48-A4D2-FAC175474310}" type="presParOf" srcId="{8E7C49C2-0149-4381-BBEB-9ACE96749DDE}" destId="{2E264383-D1F1-4A5F-8D77-BA0B815C840B}" srcOrd="0" destOrd="0" presId="urn:microsoft.com/office/officeart/2005/8/layout/bList2"/>
    <dgm:cxn modelId="{473C5E1D-2EB8-46CF-A393-ABAE3BA0BE6D}" type="presParOf" srcId="{8E7C49C2-0149-4381-BBEB-9ACE96749DDE}" destId="{66830D3E-33EE-4DB3-8685-375C205D1070}" srcOrd="1" destOrd="0" presId="urn:microsoft.com/office/officeart/2005/8/layout/bList2"/>
    <dgm:cxn modelId="{DBDAD73B-8867-42BF-A607-64F5FAAEB88D}" type="presParOf" srcId="{8E7C49C2-0149-4381-BBEB-9ACE96749DDE}" destId="{70516256-5285-4468-9616-6E04DDF17DA3}" srcOrd="2" destOrd="0" presId="urn:microsoft.com/office/officeart/2005/8/layout/bList2"/>
    <dgm:cxn modelId="{DA621747-E981-4C48-A722-AE9D2CCE8581}" type="presParOf" srcId="{8E7C49C2-0149-4381-BBEB-9ACE96749DDE}" destId="{F6FBE46E-8A2C-4DE4-AF29-AD3474531629}" srcOrd="3" destOrd="0" presId="urn:microsoft.com/office/officeart/2005/8/layout/bList2"/>
    <dgm:cxn modelId="{824BA508-3599-4C45-9013-3ED959F35206}" type="presParOf" srcId="{F042ACAC-1B91-4BB7-8CE8-AB5C90DBD9BC}" destId="{B75B9407-7188-4407-A293-DBC488A00CE1}" srcOrd="3" destOrd="0" presId="urn:microsoft.com/office/officeart/2005/8/layout/bList2"/>
    <dgm:cxn modelId="{C5D195EB-58BC-4894-BA66-ED99FCAA77AC}" type="presParOf" srcId="{F042ACAC-1B91-4BB7-8CE8-AB5C90DBD9BC}" destId="{8812F859-FC24-45E6-A871-86CD83F6006D}" srcOrd="4" destOrd="0" presId="urn:microsoft.com/office/officeart/2005/8/layout/bList2"/>
    <dgm:cxn modelId="{22175341-29A4-47EF-BBEC-D12DCC772EAC}" type="presParOf" srcId="{8812F859-FC24-45E6-A871-86CD83F6006D}" destId="{AC85F26B-AF4B-4C79-B400-3164317271E2}" srcOrd="0" destOrd="0" presId="urn:microsoft.com/office/officeart/2005/8/layout/bList2"/>
    <dgm:cxn modelId="{F7C67E83-8E1B-4BF9-93B5-B10ED77905D8}" type="presParOf" srcId="{8812F859-FC24-45E6-A871-86CD83F6006D}" destId="{16530049-D87E-406C-B370-E6B9F6209CC8}" srcOrd="1" destOrd="0" presId="urn:microsoft.com/office/officeart/2005/8/layout/bList2"/>
    <dgm:cxn modelId="{BF87389E-1E19-48FC-BE75-F4A3836A3D43}" type="presParOf" srcId="{8812F859-FC24-45E6-A871-86CD83F6006D}" destId="{EC7110CA-2D45-4CF2-899C-5E25CFABCC90}" srcOrd="2" destOrd="0" presId="urn:microsoft.com/office/officeart/2005/8/layout/bList2"/>
    <dgm:cxn modelId="{69185C26-524F-4D48-8549-0AF7AF2FE5A3}" type="presParOf" srcId="{8812F859-FC24-45E6-A871-86CD83F6006D}" destId="{CAFFC27E-2AE8-4E53-B862-8E3976CCDC6E}" srcOrd="3" destOrd="0" presId="urn:microsoft.com/office/officeart/2005/8/layout/bList2"/>
    <dgm:cxn modelId="{AA73BB40-E526-404B-909A-41856438D784}" type="presParOf" srcId="{F042ACAC-1B91-4BB7-8CE8-AB5C90DBD9BC}" destId="{163BF74C-4827-41BE-9C1F-B2FD33210E99}" srcOrd="5" destOrd="0" presId="urn:microsoft.com/office/officeart/2005/8/layout/bList2"/>
    <dgm:cxn modelId="{8168169B-0117-4A4A-BCD2-D90E701DE229}" type="presParOf" srcId="{F042ACAC-1B91-4BB7-8CE8-AB5C90DBD9BC}" destId="{502D52E5-5E68-44EC-AACF-792F0A0AE88C}" srcOrd="6" destOrd="0" presId="urn:microsoft.com/office/officeart/2005/8/layout/bList2"/>
    <dgm:cxn modelId="{25FF84BC-30A2-4B82-BBA2-0898BCFC663D}" type="presParOf" srcId="{502D52E5-5E68-44EC-AACF-792F0A0AE88C}" destId="{7B576C9A-75CE-45B5-BF9F-1A910DC4CF7E}" srcOrd="0" destOrd="0" presId="urn:microsoft.com/office/officeart/2005/8/layout/bList2"/>
    <dgm:cxn modelId="{CFDFD0F4-7013-4819-A7B5-2FC23A5C77E1}" type="presParOf" srcId="{502D52E5-5E68-44EC-AACF-792F0A0AE88C}" destId="{F8FCE600-829D-444C-B6C0-2669509B9061}" srcOrd="1" destOrd="0" presId="urn:microsoft.com/office/officeart/2005/8/layout/bList2"/>
    <dgm:cxn modelId="{A3AA5F5F-1866-4183-AE8C-5EEC48ACD4A9}" type="presParOf" srcId="{502D52E5-5E68-44EC-AACF-792F0A0AE88C}" destId="{ED81E231-9A5E-4005-BFCF-92B94571F4E1}" srcOrd="2" destOrd="0" presId="urn:microsoft.com/office/officeart/2005/8/layout/bList2"/>
    <dgm:cxn modelId="{AB2383F0-1FEB-42D1-A667-995ACB16084D}" type="presParOf" srcId="{502D52E5-5E68-44EC-AACF-792F0A0AE88C}" destId="{F3E3263F-BDF8-449D-B3FC-4D8F4F3EE78B}" srcOrd="3" destOrd="0" presId="urn:microsoft.com/office/officeart/2005/8/layout/bList2"/>
    <dgm:cxn modelId="{F2A34DFC-DF62-4A5A-8579-83BBD692670F}" type="presParOf" srcId="{F042ACAC-1B91-4BB7-8CE8-AB5C90DBD9BC}" destId="{C0E2D9AD-6488-4C80-AFFD-CB72BF4B1778}" srcOrd="7" destOrd="0" presId="urn:microsoft.com/office/officeart/2005/8/layout/bList2"/>
    <dgm:cxn modelId="{6945395A-5C62-4AB9-9A0C-BBFB3CE1C7C2}" type="presParOf" srcId="{F042ACAC-1B91-4BB7-8CE8-AB5C90DBD9BC}" destId="{9C761679-1DC5-4D6E-8717-28380941248E}" srcOrd="8" destOrd="0" presId="urn:microsoft.com/office/officeart/2005/8/layout/bList2"/>
    <dgm:cxn modelId="{7389F0F3-CC7A-4CCD-9D40-CCC3EA23109A}" type="presParOf" srcId="{9C761679-1DC5-4D6E-8717-28380941248E}" destId="{3C81CB08-F478-41B4-8086-00A1528BC8AC}" srcOrd="0" destOrd="0" presId="urn:microsoft.com/office/officeart/2005/8/layout/bList2"/>
    <dgm:cxn modelId="{C95B69F8-5B93-41FE-B12B-AD53BD1705DA}" type="presParOf" srcId="{9C761679-1DC5-4D6E-8717-28380941248E}" destId="{1747C2FA-2BD2-4722-BFFE-1CE1409F2455}" srcOrd="1" destOrd="0" presId="urn:microsoft.com/office/officeart/2005/8/layout/bList2"/>
    <dgm:cxn modelId="{54859CE7-6614-492A-B264-82B79F82C4B7}" type="presParOf" srcId="{9C761679-1DC5-4D6E-8717-28380941248E}" destId="{1DD3C64A-ABCA-4DBB-8EF1-849904D3C365}" srcOrd="2" destOrd="0" presId="urn:microsoft.com/office/officeart/2005/8/layout/bList2"/>
    <dgm:cxn modelId="{6FDD203F-4220-432F-BDDE-C643E2BF4763}" type="presParOf" srcId="{9C761679-1DC5-4D6E-8717-28380941248E}" destId="{9C0B8311-82D9-4FB6-911E-5CC9D8E761DC}" srcOrd="3" destOrd="0" presId="urn:microsoft.com/office/officeart/2005/8/layout/bList2"/>
    <dgm:cxn modelId="{3711B250-5241-439A-9B8A-EC105436C595}" type="presParOf" srcId="{F042ACAC-1B91-4BB7-8CE8-AB5C90DBD9BC}" destId="{83528368-570F-4B79-AB2A-4B7EFB74A1C6}" srcOrd="9" destOrd="0" presId="urn:microsoft.com/office/officeart/2005/8/layout/bList2"/>
    <dgm:cxn modelId="{45EA6C12-C9B2-43E0-80B0-DE671EC02076}" type="presParOf" srcId="{F042ACAC-1B91-4BB7-8CE8-AB5C90DBD9BC}" destId="{E0F7025E-C4D8-4184-9B83-6E9CD1D023ED}" srcOrd="10" destOrd="0" presId="urn:microsoft.com/office/officeart/2005/8/layout/bList2"/>
    <dgm:cxn modelId="{3B9D3A7A-3FB7-4C22-B101-B34BDFBEDDBA}" type="presParOf" srcId="{E0F7025E-C4D8-4184-9B83-6E9CD1D023ED}" destId="{B9AAC8DF-724C-417D-ADF7-CC31E1A8FC13}" srcOrd="0" destOrd="0" presId="urn:microsoft.com/office/officeart/2005/8/layout/bList2"/>
    <dgm:cxn modelId="{0A138A15-01D2-48F1-B536-F74AD7CCA3D7}" type="presParOf" srcId="{E0F7025E-C4D8-4184-9B83-6E9CD1D023ED}" destId="{753B052E-C6E4-4FE1-9F13-117385109015}" srcOrd="1" destOrd="0" presId="urn:microsoft.com/office/officeart/2005/8/layout/bList2"/>
    <dgm:cxn modelId="{53BC9389-0E91-40AA-8E67-0E9C3BCADB82}" type="presParOf" srcId="{E0F7025E-C4D8-4184-9B83-6E9CD1D023ED}" destId="{E551CC12-FD1E-4ADB-A739-37396C4B55AD}" srcOrd="2" destOrd="0" presId="urn:microsoft.com/office/officeart/2005/8/layout/bList2"/>
    <dgm:cxn modelId="{AAF7295E-3DB3-4FE6-95B1-E6B403146B1C}" type="presParOf" srcId="{E0F7025E-C4D8-4184-9B83-6E9CD1D023ED}" destId="{5DEAA72C-D182-47AE-AAE8-CD1E1C3DCAD2}" srcOrd="3" destOrd="0" presId="urn:microsoft.com/office/officeart/2005/8/layout/bList2"/>
    <dgm:cxn modelId="{6C9332C6-3F32-4350-ACB7-7DB477C51AAD}" type="presParOf" srcId="{F042ACAC-1B91-4BB7-8CE8-AB5C90DBD9BC}" destId="{B7D71D48-694D-40C5-B9AC-4F2E03488AEB}" srcOrd="11" destOrd="0" presId="urn:microsoft.com/office/officeart/2005/8/layout/bList2"/>
    <dgm:cxn modelId="{0F9439E1-D85E-4FCA-BDCE-DCFF112C32B2}" type="presParOf" srcId="{F042ACAC-1B91-4BB7-8CE8-AB5C90DBD9BC}" destId="{5F9172CB-5D1D-4297-ADF1-3C0413FA45E8}" srcOrd="12" destOrd="0" presId="urn:microsoft.com/office/officeart/2005/8/layout/bList2"/>
    <dgm:cxn modelId="{8FF9E30A-66DD-456C-937E-7DE51CCE77B5}" type="presParOf" srcId="{5F9172CB-5D1D-4297-ADF1-3C0413FA45E8}" destId="{3D10F2E2-6804-4269-82F2-5CB2BAAB384E}" srcOrd="0" destOrd="0" presId="urn:microsoft.com/office/officeart/2005/8/layout/bList2"/>
    <dgm:cxn modelId="{89E94316-0033-4C73-BDD2-709DF4AF3CDB}" type="presParOf" srcId="{5F9172CB-5D1D-4297-ADF1-3C0413FA45E8}" destId="{C0008483-9B02-419D-B94C-686C3FDFFB2B}" srcOrd="1" destOrd="0" presId="urn:microsoft.com/office/officeart/2005/8/layout/bList2"/>
    <dgm:cxn modelId="{797094E2-B176-41E1-A9C3-02FC5FDEC0EE}" type="presParOf" srcId="{5F9172CB-5D1D-4297-ADF1-3C0413FA45E8}" destId="{5C4739BD-466E-4197-AF0A-7B11985A5F66}" srcOrd="2" destOrd="0" presId="urn:microsoft.com/office/officeart/2005/8/layout/bList2"/>
    <dgm:cxn modelId="{7A0B8D06-31EA-43E0-89AA-1F674DF682E5}" type="presParOf" srcId="{5F9172CB-5D1D-4297-ADF1-3C0413FA45E8}" destId="{A481D67F-F5EC-4C19-8FDE-E2EDDCC8C664}" srcOrd="3" destOrd="0" presId="urn:microsoft.com/office/officeart/2005/8/layout/bLis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8015B5-F4D0-44A1-A1CB-B1E79EBE3A56}">
      <dsp:nvSpPr>
        <dsp:cNvPr id="0" name=""/>
        <dsp:cNvSpPr/>
      </dsp:nvSpPr>
      <dsp:spPr>
        <a:xfrm>
          <a:off x="633674" y="3089"/>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Use only publicly available, published data; no new ethics approval required (Creswell &amp; Poth, 2018).</a:t>
          </a:r>
        </a:p>
      </dsp:txBody>
      <dsp:txXfrm>
        <a:off x="657595" y="27010"/>
        <a:ext cx="1319772" cy="996974"/>
      </dsp:txXfrm>
    </dsp:sp>
    <dsp:sp modelId="{AC855AD4-9168-4073-BF82-F5818C6F2943}">
      <dsp:nvSpPr>
        <dsp:cNvPr id="0" name=""/>
        <dsp:cNvSpPr/>
      </dsp:nvSpPr>
      <dsp:spPr>
        <a:xfrm>
          <a:off x="633674" y="1023984"/>
          <a:ext cx="1367614" cy="438984"/>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01</a:t>
          </a:r>
        </a:p>
      </dsp:txBody>
      <dsp:txXfrm>
        <a:off x="633674" y="1023984"/>
        <a:ext cx="963108" cy="438984"/>
      </dsp:txXfrm>
    </dsp:sp>
    <dsp:sp modelId="{6738A1A8-6C94-4A4C-8F19-37E11556693D}">
      <dsp:nvSpPr>
        <dsp:cNvPr id="0" name=""/>
        <dsp:cNvSpPr/>
      </dsp:nvSpPr>
      <dsp:spPr>
        <a:xfrm>
          <a:off x="1635470" y="1093713"/>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264383-D1F1-4A5F-8D77-BA0B815C840B}">
      <dsp:nvSpPr>
        <dsp:cNvPr id="0" name=""/>
        <dsp:cNvSpPr/>
      </dsp:nvSpPr>
      <dsp:spPr>
        <a:xfrm>
          <a:off x="2232721" y="3089"/>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Honour original participant consent and protections from the primary studies (Creswell &amp; Poth, 2018).</a:t>
          </a:r>
        </a:p>
      </dsp:txBody>
      <dsp:txXfrm>
        <a:off x="2256642" y="27010"/>
        <a:ext cx="1319772" cy="996974"/>
      </dsp:txXfrm>
    </dsp:sp>
    <dsp:sp modelId="{70516256-5285-4468-9616-6E04DDF17DA3}">
      <dsp:nvSpPr>
        <dsp:cNvPr id="0" name=""/>
        <dsp:cNvSpPr/>
      </dsp:nvSpPr>
      <dsp:spPr>
        <a:xfrm>
          <a:off x="2232721" y="1023984"/>
          <a:ext cx="1367614" cy="438984"/>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02</a:t>
          </a:r>
        </a:p>
      </dsp:txBody>
      <dsp:txXfrm>
        <a:off x="2232721" y="1023984"/>
        <a:ext cx="963108" cy="438984"/>
      </dsp:txXfrm>
    </dsp:sp>
    <dsp:sp modelId="{F6FBE46E-8A2C-4DE4-AF29-AD3474531629}">
      <dsp:nvSpPr>
        <dsp:cNvPr id="0" name=""/>
        <dsp:cNvSpPr/>
      </dsp:nvSpPr>
      <dsp:spPr>
        <a:xfrm>
          <a:off x="3234518" y="1093713"/>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C85F26B-AF4B-4C79-B400-3164317271E2}">
      <dsp:nvSpPr>
        <dsp:cNvPr id="0" name=""/>
        <dsp:cNvSpPr/>
      </dsp:nvSpPr>
      <dsp:spPr>
        <a:xfrm>
          <a:off x="3831769" y="3089"/>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Anonymise and paraphrase quotations to avoid over-identification; limit direct quotes (Creswell &amp; Poth, 2018).</a:t>
          </a:r>
        </a:p>
      </dsp:txBody>
      <dsp:txXfrm>
        <a:off x="3855690" y="27010"/>
        <a:ext cx="1319772" cy="996974"/>
      </dsp:txXfrm>
    </dsp:sp>
    <dsp:sp modelId="{EC7110CA-2D45-4CF2-899C-5E25CFABCC90}">
      <dsp:nvSpPr>
        <dsp:cNvPr id="0" name=""/>
        <dsp:cNvSpPr/>
      </dsp:nvSpPr>
      <dsp:spPr>
        <a:xfrm>
          <a:off x="3831769" y="1023984"/>
          <a:ext cx="1367614" cy="438984"/>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03</a:t>
          </a:r>
        </a:p>
      </dsp:txBody>
      <dsp:txXfrm>
        <a:off x="3831769" y="1023984"/>
        <a:ext cx="963108" cy="438984"/>
      </dsp:txXfrm>
    </dsp:sp>
    <dsp:sp modelId="{CAFFC27E-2AE8-4E53-B862-8E3976CCDC6E}">
      <dsp:nvSpPr>
        <dsp:cNvPr id="0" name=""/>
        <dsp:cNvSpPr/>
      </dsp:nvSpPr>
      <dsp:spPr>
        <a:xfrm>
          <a:off x="4833565" y="1093713"/>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B576C9A-75CE-45B5-BF9F-1A910DC4CF7E}">
      <dsp:nvSpPr>
        <dsp:cNvPr id="0" name=""/>
        <dsp:cNvSpPr/>
      </dsp:nvSpPr>
      <dsp:spPr>
        <a:xfrm>
          <a:off x="5430816" y="3089"/>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Maintain a transparent audit trail (search logs, screening decisions, codebook, memos) to ensure dependability (Creswell &amp; Poth, 2018).</a:t>
          </a:r>
        </a:p>
      </dsp:txBody>
      <dsp:txXfrm>
        <a:off x="5454737" y="27010"/>
        <a:ext cx="1319772" cy="996974"/>
      </dsp:txXfrm>
    </dsp:sp>
    <dsp:sp modelId="{ED81E231-9A5E-4005-BFCF-92B94571F4E1}">
      <dsp:nvSpPr>
        <dsp:cNvPr id="0" name=""/>
        <dsp:cNvSpPr/>
      </dsp:nvSpPr>
      <dsp:spPr>
        <a:xfrm>
          <a:off x="5430816" y="1023984"/>
          <a:ext cx="1367614" cy="438984"/>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04</a:t>
          </a:r>
        </a:p>
      </dsp:txBody>
      <dsp:txXfrm>
        <a:off x="5430816" y="1023984"/>
        <a:ext cx="963108" cy="438984"/>
      </dsp:txXfrm>
    </dsp:sp>
    <dsp:sp modelId="{F3E3263F-BDF8-449D-B3FC-4D8F4F3EE78B}">
      <dsp:nvSpPr>
        <dsp:cNvPr id="0" name=""/>
        <dsp:cNvSpPr/>
      </dsp:nvSpPr>
      <dsp:spPr>
        <a:xfrm>
          <a:off x="6432613" y="1093713"/>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C81CB08-F478-41B4-8086-00A1528BC8AC}">
      <dsp:nvSpPr>
        <dsp:cNvPr id="0" name=""/>
        <dsp:cNvSpPr/>
      </dsp:nvSpPr>
      <dsp:spPr>
        <a:xfrm>
          <a:off x="7029864" y="3089"/>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Practice reflexivity: record positionality and potential biases that may shape interpretation (Creswell &amp; Poth, 2018).</a:t>
          </a:r>
        </a:p>
      </dsp:txBody>
      <dsp:txXfrm>
        <a:off x="7053785" y="27010"/>
        <a:ext cx="1319772" cy="996974"/>
      </dsp:txXfrm>
    </dsp:sp>
    <dsp:sp modelId="{1DD3C64A-ABCA-4DBB-8EF1-849904D3C365}">
      <dsp:nvSpPr>
        <dsp:cNvPr id="0" name=""/>
        <dsp:cNvSpPr/>
      </dsp:nvSpPr>
      <dsp:spPr>
        <a:xfrm>
          <a:off x="7029864" y="1023984"/>
          <a:ext cx="1367614" cy="438984"/>
        </a:xfrm>
        <a:prstGeom prst="rect">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05</a:t>
          </a:r>
        </a:p>
      </dsp:txBody>
      <dsp:txXfrm>
        <a:off x="7029864" y="1023984"/>
        <a:ext cx="963108" cy="438984"/>
      </dsp:txXfrm>
    </dsp:sp>
    <dsp:sp modelId="{9C0B8311-82D9-4FB6-911E-5CC9D8E761DC}">
      <dsp:nvSpPr>
        <dsp:cNvPr id="0" name=""/>
        <dsp:cNvSpPr/>
      </dsp:nvSpPr>
      <dsp:spPr>
        <a:xfrm>
          <a:off x="8031660" y="1093713"/>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AAC8DF-724C-417D-ADF7-CC31E1A8FC13}">
      <dsp:nvSpPr>
        <dsp:cNvPr id="0" name=""/>
        <dsp:cNvSpPr/>
      </dsp:nvSpPr>
      <dsp:spPr>
        <a:xfrm>
          <a:off x="3032245" y="1809450"/>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Credit all sources accurately; avoid plagiarism and misattribution (Creswell &amp; Poth, 2018).</a:t>
          </a:r>
        </a:p>
      </dsp:txBody>
      <dsp:txXfrm>
        <a:off x="3056166" y="1833371"/>
        <a:ext cx="1319772" cy="996974"/>
      </dsp:txXfrm>
    </dsp:sp>
    <dsp:sp modelId="{E551CC12-FD1E-4ADB-A739-37396C4B55AD}">
      <dsp:nvSpPr>
        <dsp:cNvPr id="0" name=""/>
        <dsp:cNvSpPr/>
      </dsp:nvSpPr>
      <dsp:spPr>
        <a:xfrm>
          <a:off x="3032245" y="2830346"/>
          <a:ext cx="1367614" cy="438984"/>
        </a:xfrm>
        <a:prstGeom prst="rect">
          <a:avLst/>
        </a:prstGeom>
        <a:solidFill>
          <a:srgbClr val="00B050"/>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06</a:t>
          </a:r>
        </a:p>
      </dsp:txBody>
      <dsp:txXfrm>
        <a:off x="3032245" y="2830346"/>
        <a:ext cx="963108" cy="438984"/>
      </dsp:txXfrm>
    </dsp:sp>
    <dsp:sp modelId="{5DEAA72C-D182-47AE-AAE8-CD1E1C3DCAD2}">
      <dsp:nvSpPr>
        <dsp:cNvPr id="0" name=""/>
        <dsp:cNvSpPr/>
      </dsp:nvSpPr>
      <dsp:spPr>
        <a:xfrm>
          <a:off x="4034041" y="2900074"/>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D10F2E2-6804-4269-82F2-5CB2BAAB384E}">
      <dsp:nvSpPr>
        <dsp:cNvPr id="0" name=""/>
        <dsp:cNvSpPr/>
      </dsp:nvSpPr>
      <dsp:spPr>
        <a:xfrm>
          <a:off x="4631293" y="1809450"/>
          <a:ext cx="1367614" cy="1020895"/>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rtl="0">
            <a:lnSpc>
              <a:spcPct val="90000"/>
            </a:lnSpc>
            <a:spcBef>
              <a:spcPct val="0"/>
            </a:spcBef>
            <a:spcAft>
              <a:spcPct val="15000"/>
            </a:spcAft>
            <a:buChar char="•"/>
          </a:pPr>
          <a:r>
            <a:rPr lang="en-US" sz="900" kern="1200"/>
            <a:t>Handle sensitive topics respectfully; avoid stigmatising language about older adults or digital exclusion (Creswell &amp; Poth, 2018).</a:t>
          </a:r>
        </a:p>
      </dsp:txBody>
      <dsp:txXfrm>
        <a:off x="4655214" y="1833371"/>
        <a:ext cx="1319772" cy="996974"/>
      </dsp:txXfrm>
    </dsp:sp>
    <dsp:sp modelId="{5C4739BD-466E-4197-AF0A-7B11985A5F66}">
      <dsp:nvSpPr>
        <dsp:cNvPr id="0" name=""/>
        <dsp:cNvSpPr/>
      </dsp:nvSpPr>
      <dsp:spPr>
        <a:xfrm>
          <a:off x="4631293" y="2830346"/>
          <a:ext cx="1367614" cy="438984"/>
        </a:xfrm>
        <a:prstGeom prst="rect">
          <a:avLst/>
        </a:prstGeom>
        <a:solidFill>
          <a:srgbClr val="002060"/>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0" rIns="39370" bIns="0" numCol="1" spcCol="1270" anchor="ctr" anchorCtr="0">
          <a:noAutofit/>
        </a:bodyPr>
        <a:lstStyle/>
        <a:p>
          <a:pPr marL="0" lvl="0" indent="0" algn="l" defTabSz="1377950" rtl="0">
            <a:lnSpc>
              <a:spcPct val="90000"/>
            </a:lnSpc>
            <a:spcBef>
              <a:spcPct val="0"/>
            </a:spcBef>
            <a:spcAft>
              <a:spcPct val="35000"/>
            </a:spcAft>
            <a:buNone/>
          </a:pPr>
          <a:r>
            <a:rPr lang="en-US" sz="3100" kern="1200"/>
            <a:t>07</a:t>
          </a:r>
        </a:p>
      </dsp:txBody>
      <dsp:txXfrm>
        <a:off x="4631293" y="2830346"/>
        <a:ext cx="963108" cy="438984"/>
      </dsp:txXfrm>
    </dsp:sp>
    <dsp:sp modelId="{A481D67F-F5EC-4C19-8FDE-E2EDDCC8C664}">
      <dsp:nvSpPr>
        <dsp:cNvPr id="0" name=""/>
        <dsp:cNvSpPr/>
      </dsp:nvSpPr>
      <dsp:spPr>
        <a:xfrm>
          <a:off x="5633089" y="2900074"/>
          <a:ext cx="478664" cy="478664"/>
        </a:xfrm>
        <a:prstGeom prst="ellipse">
          <a:avLst/>
        </a:prstGeom>
        <a:blipFill rotWithShape="1">
          <a:blip xmlns:r="http://schemas.openxmlformats.org/officeDocument/2006/relationships" r:embed="rId1"/>
          <a:stretch>
            <a:fillRect/>
          </a:stretch>
        </a:blip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bList2">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2026633@student.uwtsd.ac.uk</dc:creator>
  <cp:keywords/>
  <dc:description/>
  <cp:lastModifiedBy>Shabana Sharif (2026633)</cp:lastModifiedBy>
  <cp:revision>2</cp:revision>
  <dcterms:created xsi:type="dcterms:W3CDTF">2025-10-23T13:50:00Z</dcterms:created>
  <dcterms:modified xsi:type="dcterms:W3CDTF">2025-10-23T13:50:00Z</dcterms:modified>
</cp:coreProperties>
</file>