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A9EFE" w14:textId="2D86096C" w:rsidR="00FF6DF7" w:rsidRDefault="00FF6DF7" w:rsidP="00FF6DF7">
      <w:pPr>
        <w:spacing w:line="360" w:lineRule="auto"/>
        <w:jc w:val="center"/>
        <w:rPr>
          <w:rFonts w:ascii="Calibri" w:hAnsi="Calibri" w:cs="Calibri"/>
          <w:b/>
          <w:sz w:val="32"/>
          <w:szCs w:val="32"/>
          <w:u w:val="single"/>
        </w:rPr>
      </w:pPr>
      <w:r w:rsidRPr="00FF6DF7">
        <w:rPr>
          <w:rFonts w:ascii="Calibri" w:hAnsi="Calibri" w:cs="Calibri"/>
          <w:b/>
          <w:sz w:val="32"/>
          <w:szCs w:val="32"/>
          <w:u w:val="single"/>
        </w:rPr>
        <w:t>Critical thinking of NHS value</w:t>
      </w:r>
    </w:p>
    <w:p w14:paraId="17F7EFF6" w14:textId="77777777" w:rsidR="00F012F9" w:rsidRDefault="00F012F9" w:rsidP="00FF6DF7">
      <w:pPr>
        <w:spacing w:line="360" w:lineRule="auto"/>
        <w:jc w:val="center"/>
        <w:rPr>
          <w:rFonts w:ascii="Calibri" w:hAnsi="Calibri" w:cs="Calibri"/>
          <w:b/>
          <w:sz w:val="32"/>
          <w:szCs w:val="32"/>
          <w:u w:val="single"/>
        </w:rPr>
      </w:pPr>
    </w:p>
    <w:p w14:paraId="37C4DB59" w14:textId="516B2080" w:rsidR="00F012F9" w:rsidRDefault="00F012F9" w:rsidP="00FF6DF7">
      <w:pPr>
        <w:tabs>
          <w:tab w:val="left" w:pos="600"/>
          <w:tab w:val="center" w:pos="4536"/>
        </w:tabs>
        <w:spacing w:line="360" w:lineRule="auto"/>
        <w:rPr>
          <w:rFonts w:ascii="Calibri" w:hAnsi="Calibri" w:cs="Calibri"/>
          <w:b/>
          <w:sz w:val="24"/>
          <w:szCs w:val="24"/>
        </w:rPr>
      </w:pPr>
      <w:hyperlink r:id="rId7" w:tgtFrame="_blank" w:history="1">
        <w:r>
          <w:rPr>
            <w:rStyle w:val="Hyperlink"/>
            <w:rFonts w:ascii="Arial" w:hAnsi="Arial" w:cs="Arial"/>
            <w:sz w:val="23"/>
            <w:szCs w:val="23"/>
            <w:shd w:val="clear" w:color="auto" w:fill="F4F4F4"/>
          </w:rPr>
          <w:t>htt</w:t>
        </w:r>
        <w:r>
          <w:rPr>
            <w:rStyle w:val="Hyperlink"/>
            <w:rFonts w:ascii="Arial" w:hAnsi="Arial" w:cs="Arial"/>
            <w:sz w:val="23"/>
            <w:szCs w:val="23"/>
            <w:shd w:val="clear" w:color="auto" w:fill="F4F4F4"/>
          </w:rPr>
          <w:t>p</w:t>
        </w:r>
        <w:r>
          <w:rPr>
            <w:rStyle w:val="Hyperlink"/>
            <w:rFonts w:ascii="Arial" w:hAnsi="Arial" w:cs="Arial"/>
            <w:sz w:val="23"/>
            <w:szCs w:val="23"/>
            <w:shd w:val="clear" w:color="auto" w:fill="F4F4F4"/>
          </w:rPr>
          <w:t>s://youtu.be/jtu9SSNZaRA</w:t>
        </w:r>
      </w:hyperlink>
      <w:r w:rsidR="00FF6DF7">
        <w:rPr>
          <w:rFonts w:ascii="Calibri" w:hAnsi="Calibri" w:cs="Calibri"/>
          <w:b/>
          <w:sz w:val="24"/>
          <w:szCs w:val="24"/>
        </w:rPr>
        <w:tab/>
      </w:r>
      <w:r w:rsidR="00FF6DF7">
        <w:rPr>
          <w:rFonts w:ascii="Calibri" w:hAnsi="Calibri" w:cs="Calibri"/>
          <w:b/>
          <w:sz w:val="24"/>
          <w:szCs w:val="24"/>
        </w:rPr>
        <w:tab/>
      </w:r>
    </w:p>
    <w:p w14:paraId="0A7C5136" w14:textId="75F84AF5" w:rsidR="00954328" w:rsidRDefault="00F012F9" w:rsidP="00FF6DF7">
      <w:pPr>
        <w:tabs>
          <w:tab w:val="left" w:pos="600"/>
          <w:tab w:val="center" w:pos="4536"/>
        </w:tabs>
        <w:spacing w:line="360" w:lineRule="auto"/>
        <w:rPr>
          <w:rFonts w:ascii="Calibri" w:hAnsi="Calibri" w:cs="Calibri"/>
          <w:b/>
          <w:sz w:val="24"/>
          <w:szCs w:val="24"/>
        </w:rPr>
      </w:pPr>
      <w:r>
        <w:rPr>
          <w:rFonts w:ascii="Calibri" w:hAnsi="Calibri" w:cs="Calibri"/>
          <w:b/>
          <w:sz w:val="24"/>
          <w:szCs w:val="24"/>
        </w:rPr>
        <w:tab/>
      </w:r>
      <w:r>
        <w:rPr>
          <w:rFonts w:ascii="Calibri" w:hAnsi="Calibri" w:cs="Calibri"/>
          <w:b/>
          <w:sz w:val="24"/>
          <w:szCs w:val="24"/>
        </w:rPr>
        <w:tab/>
      </w:r>
      <w:r w:rsidR="00954328" w:rsidRPr="0018267A">
        <w:rPr>
          <w:rFonts w:ascii="Calibri" w:hAnsi="Calibri" w:cs="Calibri"/>
          <w:b/>
          <w:sz w:val="24"/>
          <w:szCs w:val="24"/>
        </w:rPr>
        <w:t>Value-4</w:t>
      </w:r>
    </w:p>
    <w:p w14:paraId="51607D7B" w14:textId="77777777" w:rsidR="00F012F9" w:rsidRPr="0018267A" w:rsidRDefault="00F012F9" w:rsidP="00FF6DF7">
      <w:pPr>
        <w:tabs>
          <w:tab w:val="left" w:pos="600"/>
          <w:tab w:val="center" w:pos="4536"/>
        </w:tabs>
        <w:spacing w:line="360" w:lineRule="auto"/>
        <w:rPr>
          <w:rFonts w:ascii="Calibri" w:hAnsi="Calibri" w:cs="Calibri"/>
          <w:b/>
          <w:sz w:val="24"/>
          <w:szCs w:val="24"/>
        </w:rPr>
      </w:pPr>
    </w:p>
    <w:p w14:paraId="5E443D90" w14:textId="77777777" w:rsidR="00954328" w:rsidRPr="0018267A" w:rsidRDefault="00954328" w:rsidP="00230139">
      <w:pPr>
        <w:spacing w:line="360" w:lineRule="auto"/>
        <w:jc w:val="center"/>
        <w:rPr>
          <w:rFonts w:ascii="Calibri" w:hAnsi="Calibri" w:cs="Calibri"/>
          <w:b/>
          <w:sz w:val="24"/>
          <w:szCs w:val="24"/>
        </w:rPr>
      </w:pPr>
      <w:r w:rsidRPr="0018267A">
        <w:rPr>
          <w:rFonts w:ascii="Calibri" w:hAnsi="Calibri" w:cs="Calibri"/>
          <w:b/>
          <w:sz w:val="24"/>
          <w:szCs w:val="24"/>
        </w:rPr>
        <w:t>COUNTING EVERYONE</w:t>
      </w:r>
    </w:p>
    <w:p w14:paraId="7AFA98F2" w14:textId="77777777" w:rsidR="00954328" w:rsidRPr="0018267A" w:rsidRDefault="00954328" w:rsidP="00230139">
      <w:pPr>
        <w:rPr>
          <w:rFonts w:ascii="Calibri" w:hAnsi="Calibri" w:cs="Calibri"/>
          <w:b/>
          <w:sz w:val="24"/>
          <w:szCs w:val="24"/>
          <w:lang w:val="en-IN"/>
        </w:rPr>
      </w:pPr>
      <w:r w:rsidRPr="0018267A">
        <w:rPr>
          <w:rFonts w:ascii="Calibri" w:hAnsi="Calibri" w:cs="Calibri"/>
          <w:b/>
          <w:sz w:val="24"/>
          <w:szCs w:val="24"/>
          <w:lang w:val="en-IN"/>
        </w:rPr>
        <w:t>DIFFERENCE BETWEEN BELIEFS, ATTITUDES AND VALUES IN AN ORGANISATION</w:t>
      </w:r>
    </w:p>
    <w:p w14:paraId="7ACA81BC" w14:textId="77777777" w:rsidR="00954328" w:rsidRPr="0018267A" w:rsidRDefault="00954328" w:rsidP="00230139">
      <w:pPr>
        <w:spacing w:line="360" w:lineRule="auto"/>
        <w:jc w:val="both"/>
        <w:rPr>
          <w:rFonts w:ascii="Calibri" w:hAnsi="Calibri" w:cs="Calibri"/>
          <w:sz w:val="24"/>
          <w:szCs w:val="24"/>
          <w:lang w:val="en-IN"/>
        </w:rPr>
      </w:pPr>
      <w:r w:rsidRPr="0018267A">
        <w:rPr>
          <w:rFonts w:ascii="Calibri" w:hAnsi="Calibri" w:cs="Calibri"/>
          <w:sz w:val="24"/>
          <w:szCs w:val="24"/>
          <w:lang w:val="en-IN"/>
        </w:rPr>
        <w:t>Attitudes are defined by the organisational behaviour. They comprise of beliefs and values and thus, change of attitude changes beliefs and values. Beliefs are assumed to be true on the basis of previous experiences. Values are the concepts developed on own (Kumar, 2018). The NHS constitution has the attitude of improvising the health aspect of everyone. It works on a set of six values that inspire passion after binding them with the belief that services are based on needs, not an individual’s ability to pay (NHS, 2020).</w:t>
      </w:r>
    </w:p>
    <w:p w14:paraId="45DFF305" w14:textId="77777777" w:rsidR="00954328" w:rsidRPr="0018267A" w:rsidRDefault="00954328" w:rsidP="00230139">
      <w:pPr>
        <w:rPr>
          <w:rFonts w:ascii="Calibri" w:hAnsi="Calibri" w:cs="Calibri"/>
          <w:b/>
          <w:sz w:val="24"/>
          <w:szCs w:val="24"/>
          <w:lang w:val="en-IN"/>
        </w:rPr>
      </w:pPr>
      <w:r w:rsidRPr="0018267A">
        <w:rPr>
          <w:rFonts w:ascii="Calibri" w:hAnsi="Calibri" w:cs="Calibri"/>
          <w:b/>
          <w:sz w:val="24"/>
          <w:szCs w:val="24"/>
          <w:lang w:val="en-IN"/>
        </w:rPr>
        <w:t>CONTRIBUTION OF BELIEFS, ATTITUDES AND VALUES IN AN ORGANISATION</w:t>
      </w:r>
    </w:p>
    <w:p w14:paraId="3B7AEC0C" w14:textId="77777777" w:rsidR="00954328" w:rsidRPr="0018267A" w:rsidRDefault="00954328" w:rsidP="00230139">
      <w:pPr>
        <w:spacing w:line="360" w:lineRule="auto"/>
        <w:jc w:val="both"/>
        <w:rPr>
          <w:rFonts w:ascii="Calibri" w:hAnsi="Calibri" w:cs="Calibri"/>
          <w:sz w:val="24"/>
          <w:szCs w:val="24"/>
          <w:lang w:val="en-IN"/>
        </w:rPr>
      </w:pPr>
      <w:r w:rsidRPr="0018267A">
        <w:rPr>
          <w:rFonts w:ascii="Calibri" w:hAnsi="Calibri" w:cs="Calibri"/>
          <w:sz w:val="24"/>
          <w:szCs w:val="24"/>
          <w:lang w:val="en-IN"/>
        </w:rPr>
        <w:t>The NHS constitution has acted as philanthropically as possible based on its values and beliefs. Such an attitude has contributed in earning trust of the public and national favours. Any organisation which seeks internal or external stability must pay attention to what others need, be them the public, employees or investors. The resources or services must be made available without any bias so as to ensure that no one lags behind due to negligence. When talking about the NHS, its core attitudes set an example for other organisations. "Everyone counts" is one such value which reflects how it works ahead of any disparity (NHS, 2020). The organisation functions to ensure justified availability of resources to everyone in need. It has established such fundamentals that are customised by other organisations as per their requirements but achieve the same aim of serving the right people in the right manner (NHS, 2020).</w:t>
      </w:r>
    </w:p>
    <w:p w14:paraId="75BE4B0B" w14:textId="77777777" w:rsidR="00954328" w:rsidRPr="0018267A" w:rsidRDefault="00954328" w:rsidP="00230139">
      <w:pPr>
        <w:spacing w:line="360" w:lineRule="auto"/>
        <w:jc w:val="both"/>
        <w:rPr>
          <w:rFonts w:ascii="Calibri" w:hAnsi="Calibri" w:cs="Calibri"/>
          <w:sz w:val="24"/>
          <w:szCs w:val="24"/>
          <w:lang w:val="en-IN"/>
        </w:rPr>
      </w:pPr>
    </w:p>
    <w:p w14:paraId="2051D82A" w14:textId="77777777" w:rsidR="00954328" w:rsidRPr="0018267A" w:rsidRDefault="00954328" w:rsidP="00230139">
      <w:pPr>
        <w:rPr>
          <w:rFonts w:ascii="Calibri" w:hAnsi="Calibri" w:cs="Calibri"/>
          <w:b/>
          <w:sz w:val="24"/>
          <w:szCs w:val="24"/>
          <w:lang w:val="en-IN"/>
        </w:rPr>
      </w:pPr>
      <w:r w:rsidRPr="0018267A">
        <w:rPr>
          <w:rFonts w:ascii="Calibri" w:hAnsi="Calibri" w:cs="Calibri"/>
          <w:b/>
          <w:sz w:val="24"/>
          <w:szCs w:val="24"/>
          <w:lang w:val="en-IN"/>
        </w:rPr>
        <w:t>APPLICATION OF CRITICAL THINKING MODELS</w:t>
      </w:r>
    </w:p>
    <w:p w14:paraId="7EDE7DC6" w14:textId="77777777" w:rsidR="00954328" w:rsidRPr="0018267A" w:rsidRDefault="00954328" w:rsidP="00230139">
      <w:pPr>
        <w:rPr>
          <w:rFonts w:ascii="Calibri" w:hAnsi="Calibri" w:cs="Calibri"/>
          <w:sz w:val="24"/>
          <w:szCs w:val="24"/>
          <w:lang w:val="en-IN"/>
        </w:rPr>
      </w:pPr>
      <w:r w:rsidRPr="0018267A">
        <w:rPr>
          <w:rFonts w:ascii="Calibri" w:hAnsi="Calibri" w:cs="Calibri"/>
          <w:b/>
          <w:sz w:val="24"/>
          <w:szCs w:val="24"/>
          <w:lang w:val="en-IN"/>
        </w:rPr>
        <w:t>RED Model</w:t>
      </w:r>
    </w:p>
    <w:p w14:paraId="388C0FD0" w14:textId="77777777" w:rsidR="00954328" w:rsidRPr="0018267A" w:rsidRDefault="00954328" w:rsidP="00230139">
      <w:pPr>
        <w:spacing w:line="360" w:lineRule="auto"/>
        <w:jc w:val="both"/>
        <w:rPr>
          <w:rFonts w:ascii="Calibri" w:hAnsi="Calibri" w:cs="Calibri"/>
          <w:sz w:val="24"/>
          <w:szCs w:val="24"/>
          <w:lang w:val="en-IN"/>
        </w:rPr>
      </w:pPr>
      <w:r w:rsidRPr="0018267A">
        <w:rPr>
          <w:rFonts w:ascii="Calibri" w:hAnsi="Calibri" w:cs="Calibri"/>
          <w:sz w:val="24"/>
          <w:szCs w:val="24"/>
          <w:lang w:val="en-IN"/>
        </w:rPr>
        <w:lastRenderedPageBreak/>
        <w:t xml:space="preserve">Developed by Pearson, the RED model of critical thinking comprises of </w:t>
      </w:r>
      <w:r w:rsidRPr="0018267A">
        <w:rPr>
          <w:rFonts w:ascii="Calibri" w:hAnsi="Calibri" w:cs="Calibri"/>
          <w:b/>
          <w:sz w:val="24"/>
          <w:szCs w:val="24"/>
          <w:lang w:val="en-IN"/>
        </w:rPr>
        <w:t>R</w:t>
      </w:r>
      <w:r w:rsidRPr="0018267A">
        <w:rPr>
          <w:rFonts w:ascii="Calibri" w:hAnsi="Calibri" w:cs="Calibri"/>
          <w:sz w:val="24"/>
          <w:szCs w:val="24"/>
          <w:lang w:val="en-IN"/>
        </w:rPr>
        <w:t xml:space="preserve">ecognising assumptions, </w:t>
      </w:r>
      <w:r w:rsidRPr="0018267A">
        <w:rPr>
          <w:rFonts w:ascii="Calibri" w:hAnsi="Calibri" w:cs="Calibri"/>
          <w:b/>
          <w:sz w:val="24"/>
          <w:szCs w:val="24"/>
          <w:lang w:val="en-IN"/>
        </w:rPr>
        <w:t>E</w:t>
      </w:r>
      <w:r w:rsidRPr="0018267A">
        <w:rPr>
          <w:rFonts w:ascii="Calibri" w:hAnsi="Calibri" w:cs="Calibri"/>
          <w:sz w:val="24"/>
          <w:szCs w:val="24"/>
          <w:lang w:val="en-IN"/>
        </w:rPr>
        <w:t xml:space="preserve">valuating arguments and </w:t>
      </w:r>
      <w:r w:rsidRPr="0018267A">
        <w:rPr>
          <w:rFonts w:ascii="Calibri" w:hAnsi="Calibri" w:cs="Calibri"/>
          <w:b/>
          <w:sz w:val="24"/>
          <w:szCs w:val="24"/>
          <w:lang w:val="en-IN"/>
        </w:rPr>
        <w:t>D</w:t>
      </w:r>
      <w:r w:rsidRPr="0018267A">
        <w:rPr>
          <w:rFonts w:ascii="Calibri" w:hAnsi="Calibri" w:cs="Calibri"/>
          <w:sz w:val="24"/>
          <w:szCs w:val="24"/>
          <w:lang w:val="en-IN"/>
        </w:rPr>
        <w:t>rawing conclusions (Foster, 2017). When talked about the NHS value of counting everyone, the RED model can be applied in the following manner:</w:t>
      </w:r>
    </w:p>
    <w:p w14:paraId="70477434" w14:textId="77777777" w:rsidR="00954328" w:rsidRPr="0018267A" w:rsidRDefault="00954328" w:rsidP="00230139">
      <w:pPr>
        <w:pStyle w:val="ListParagraph"/>
        <w:numPr>
          <w:ilvl w:val="0"/>
          <w:numId w:val="1"/>
        </w:numPr>
        <w:spacing w:line="360" w:lineRule="auto"/>
        <w:jc w:val="both"/>
        <w:rPr>
          <w:rFonts w:ascii="Calibri" w:hAnsi="Calibri" w:cs="Calibri"/>
          <w:sz w:val="24"/>
          <w:szCs w:val="24"/>
          <w:lang w:val="en-IN"/>
        </w:rPr>
      </w:pPr>
      <w:r w:rsidRPr="0018267A">
        <w:rPr>
          <w:rFonts w:ascii="Calibri" w:hAnsi="Calibri" w:cs="Calibri"/>
          <w:sz w:val="24"/>
          <w:szCs w:val="24"/>
          <w:lang w:val="en-IN"/>
        </w:rPr>
        <w:t>Recognising assumptions: This aspect talk of analysing if any information was true even in the absence of being backed by empirical evidence (Foster, 2017). The most obvious assumption of ‘everyone counts’ that prevails is of considering everyone equal when in need of the services. Further, giving the utmost importance to the public is also assumed in each of its operations while sticking to professionalism.</w:t>
      </w:r>
    </w:p>
    <w:p w14:paraId="0041E056" w14:textId="77777777" w:rsidR="00954328" w:rsidRPr="0018267A" w:rsidRDefault="00954328" w:rsidP="00230139">
      <w:pPr>
        <w:pStyle w:val="ListParagraph"/>
        <w:numPr>
          <w:ilvl w:val="0"/>
          <w:numId w:val="1"/>
        </w:numPr>
        <w:spacing w:line="360" w:lineRule="auto"/>
        <w:jc w:val="both"/>
        <w:rPr>
          <w:rFonts w:ascii="Calibri" w:hAnsi="Calibri" w:cs="Calibri"/>
          <w:sz w:val="24"/>
          <w:szCs w:val="24"/>
          <w:lang w:val="en-IN"/>
        </w:rPr>
      </w:pPr>
      <w:r w:rsidRPr="0018267A">
        <w:rPr>
          <w:rFonts w:ascii="Calibri" w:hAnsi="Calibri" w:cs="Calibri"/>
          <w:sz w:val="24"/>
          <w:szCs w:val="24"/>
          <w:lang w:val="en-IN"/>
        </w:rPr>
        <w:t xml:space="preserve">Evaluating arguments: this can be sought as the next phase of critical thinking where the assumptions are reappraised on the basis of sufficient evidence, turning out the argument to be on the better or worse side (Foster, 2017). Like, the assumption held before can be put to argument on the subject of corruption or unnoticed needs in the light of the evidence. The evidence can be availed from the internal as well as an external part of the organisation. The suppliers or the investors focus on collecting the most relevant and trustable evidence. The best evidence can be obtained from other stakeholders, i.e. employees and patients, who closely evident the claims. </w:t>
      </w:r>
    </w:p>
    <w:p w14:paraId="7A47F704" w14:textId="77777777" w:rsidR="00954328" w:rsidRPr="0018267A" w:rsidRDefault="00954328" w:rsidP="00230139">
      <w:pPr>
        <w:pStyle w:val="ListParagraph"/>
        <w:numPr>
          <w:ilvl w:val="0"/>
          <w:numId w:val="1"/>
        </w:numPr>
        <w:spacing w:line="360" w:lineRule="auto"/>
        <w:jc w:val="both"/>
        <w:rPr>
          <w:rFonts w:ascii="Calibri" w:hAnsi="Calibri" w:cs="Calibri"/>
          <w:sz w:val="24"/>
          <w:szCs w:val="24"/>
          <w:lang w:val="en-IN"/>
        </w:rPr>
      </w:pPr>
      <w:r w:rsidRPr="0018267A">
        <w:rPr>
          <w:rFonts w:ascii="Calibri" w:hAnsi="Calibri" w:cs="Calibri"/>
          <w:sz w:val="24"/>
          <w:szCs w:val="24"/>
          <w:lang w:val="en-IN"/>
        </w:rPr>
        <w:t>Drawing conclusion: The last aspect requires concluding all the assumptions on the basis of evidence and standing at a bias-free result. Here, the impact on the employees and the stakeholders can be seen as critical thinking has achieved the final build (Foster, 2017). The claims and evidences from the stakeholders are assembled and it is concluded if the assumption of equality or priority to the people has firm grounds.</w:t>
      </w:r>
    </w:p>
    <w:p w14:paraId="35DC4200" w14:textId="77777777" w:rsidR="00954328" w:rsidRPr="0018267A" w:rsidRDefault="00954328" w:rsidP="00230139">
      <w:pPr>
        <w:spacing w:line="360" w:lineRule="auto"/>
        <w:ind w:left="61"/>
        <w:jc w:val="both"/>
        <w:rPr>
          <w:rFonts w:ascii="Calibri" w:hAnsi="Calibri" w:cs="Calibri"/>
          <w:sz w:val="24"/>
          <w:szCs w:val="24"/>
          <w:lang w:val="en-IN"/>
        </w:rPr>
      </w:pPr>
      <w:r w:rsidRPr="0018267A">
        <w:rPr>
          <w:rFonts w:ascii="Calibri" w:hAnsi="Calibri" w:cs="Calibri"/>
          <w:sz w:val="24"/>
          <w:szCs w:val="24"/>
          <w:lang w:val="en-IN"/>
        </w:rPr>
        <w:t xml:space="preserve">Critical thinking as per the RED model makes one aware of the reality, instead of being in the rumours. The employees or the society, on the basis of the RED model, can arrive at a conclusion if the organisation is actually following the value or pretend it for the namesake. The evidence helps in arriving any decision and helps them build up the trust. </w:t>
      </w:r>
    </w:p>
    <w:p w14:paraId="5DDCD14A" w14:textId="77777777" w:rsidR="00954328" w:rsidRPr="0018267A" w:rsidRDefault="00954328" w:rsidP="00230139">
      <w:pPr>
        <w:rPr>
          <w:rFonts w:ascii="Calibri" w:hAnsi="Calibri" w:cs="Calibri"/>
          <w:b/>
          <w:sz w:val="24"/>
          <w:szCs w:val="24"/>
          <w:lang w:val="en-IN"/>
        </w:rPr>
      </w:pPr>
      <w:r w:rsidRPr="0018267A">
        <w:rPr>
          <w:rFonts w:ascii="Calibri" w:hAnsi="Calibri" w:cs="Calibri"/>
          <w:b/>
          <w:sz w:val="24"/>
          <w:szCs w:val="24"/>
          <w:lang w:val="en-IN"/>
        </w:rPr>
        <w:t>ALIGNING PERSONAL VALUES WITH THE ORGANISATIONAL VALUES</w:t>
      </w:r>
    </w:p>
    <w:p w14:paraId="7B55F52C" w14:textId="77777777" w:rsidR="00954328" w:rsidRPr="0018267A" w:rsidRDefault="00954328" w:rsidP="00230139">
      <w:pPr>
        <w:spacing w:line="360" w:lineRule="auto"/>
        <w:jc w:val="both"/>
        <w:rPr>
          <w:rFonts w:ascii="Calibri" w:hAnsi="Calibri" w:cs="Calibri"/>
          <w:sz w:val="24"/>
          <w:szCs w:val="24"/>
          <w:lang w:val="en-IN"/>
        </w:rPr>
      </w:pPr>
      <w:r w:rsidRPr="0018267A">
        <w:rPr>
          <w:rFonts w:ascii="Calibri" w:hAnsi="Calibri" w:cs="Calibri"/>
          <w:sz w:val="24"/>
          <w:szCs w:val="24"/>
          <w:lang w:val="en-IN"/>
        </w:rPr>
        <w:t xml:space="preserve">When working with an organisation, the employees ensure that their personal values are also fulfilled while they work with their heart and soul. Any discrepancies can result in losing their interest to work for the organisational benefits. The employees must ensure that their </w:t>
      </w:r>
      <w:r w:rsidRPr="0018267A">
        <w:rPr>
          <w:rFonts w:ascii="Calibri" w:hAnsi="Calibri" w:cs="Calibri"/>
          <w:sz w:val="24"/>
          <w:szCs w:val="24"/>
          <w:lang w:val="en-IN"/>
        </w:rPr>
        <w:lastRenderedPageBreak/>
        <w:t xml:space="preserve">interests and the organisational interests are aligned enough to create a sense of motivation to work for those. The employees can choose organisations by aligning their values with that of an organisation in the following way: </w:t>
      </w:r>
    </w:p>
    <w:p w14:paraId="2BAB8B67" w14:textId="77777777" w:rsidR="00954328" w:rsidRPr="0018267A" w:rsidRDefault="00954328" w:rsidP="00230139">
      <w:pPr>
        <w:pStyle w:val="ListParagraph"/>
        <w:numPr>
          <w:ilvl w:val="0"/>
          <w:numId w:val="2"/>
        </w:numPr>
        <w:spacing w:line="360" w:lineRule="auto"/>
        <w:jc w:val="both"/>
        <w:rPr>
          <w:rFonts w:ascii="Calibri" w:hAnsi="Calibri" w:cs="Calibri"/>
          <w:sz w:val="24"/>
          <w:szCs w:val="24"/>
          <w:lang w:val="en-IN"/>
        </w:rPr>
      </w:pPr>
      <w:r w:rsidRPr="0018267A">
        <w:rPr>
          <w:rFonts w:ascii="Calibri" w:hAnsi="Calibri" w:cs="Calibri"/>
          <w:sz w:val="24"/>
          <w:szCs w:val="24"/>
          <w:lang w:val="en-IN"/>
        </w:rPr>
        <w:t>Identifying the core personal values: A person should be able to identify what count as his values. He should be able to stress upon his reasoned values which cannot be compromised with (Smithburg, 2019). The employees at the NHS mostly develop the value of work life balance and equality in behaviour, treatment and pay. Also it is expected that their work and skills are respected.</w:t>
      </w:r>
    </w:p>
    <w:p w14:paraId="6F0FAFFA" w14:textId="77777777" w:rsidR="00954328" w:rsidRPr="0018267A" w:rsidRDefault="00954328" w:rsidP="00230139">
      <w:pPr>
        <w:pStyle w:val="ListParagraph"/>
        <w:numPr>
          <w:ilvl w:val="0"/>
          <w:numId w:val="2"/>
        </w:numPr>
        <w:spacing w:line="360" w:lineRule="auto"/>
        <w:jc w:val="both"/>
        <w:rPr>
          <w:rFonts w:ascii="Calibri" w:hAnsi="Calibri" w:cs="Calibri"/>
          <w:sz w:val="24"/>
          <w:szCs w:val="24"/>
          <w:lang w:val="en-IN"/>
        </w:rPr>
      </w:pPr>
      <w:r w:rsidRPr="0018267A">
        <w:rPr>
          <w:rFonts w:ascii="Calibri" w:hAnsi="Calibri" w:cs="Calibri"/>
          <w:sz w:val="24"/>
          <w:szCs w:val="24"/>
          <w:lang w:val="en-IN"/>
        </w:rPr>
        <w:t>Knowing the organisation's values: The organisational values define workplace ambience. Such values can be published or reflected in the work culture. Also, these define the priorities of the organisation (Smithburg, 2019). The NHS constitution too works on the value of equality in all the terms and helps the employees to be rational at their work. Also, it focuses on up skilling its staff (NHS, 2020).</w:t>
      </w:r>
    </w:p>
    <w:p w14:paraId="47DF078D" w14:textId="77777777" w:rsidR="00954328" w:rsidRPr="0018267A" w:rsidRDefault="00954328" w:rsidP="00230139">
      <w:pPr>
        <w:pStyle w:val="ListParagraph"/>
        <w:numPr>
          <w:ilvl w:val="0"/>
          <w:numId w:val="2"/>
        </w:numPr>
        <w:spacing w:line="360" w:lineRule="auto"/>
        <w:jc w:val="both"/>
        <w:rPr>
          <w:rFonts w:ascii="Calibri" w:hAnsi="Calibri" w:cs="Calibri"/>
          <w:sz w:val="24"/>
          <w:szCs w:val="24"/>
          <w:lang w:val="en-IN"/>
        </w:rPr>
      </w:pPr>
      <w:r w:rsidRPr="0018267A">
        <w:rPr>
          <w:rFonts w:ascii="Calibri" w:hAnsi="Calibri" w:cs="Calibri"/>
          <w:sz w:val="24"/>
          <w:szCs w:val="24"/>
          <w:lang w:val="en-IN"/>
        </w:rPr>
        <w:t>Creating the action plan: Once the values of both are displayed, the employee should assemble the best of the combination. He must seek that his values are honoured at work as well as the value of organisational values are also maintained. If the values are congruent enough, working does not seem to be lethargic at any point (Smithburg, 2019). The values are conserved at the NHS. Thus, the employees are able to align their interests with those of the NHS.</w:t>
      </w:r>
    </w:p>
    <w:p w14:paraId="52317E45" w14:textId="77777777" w:rsidR="00954328" w:rsidRPr="0018267A" w:rsidRDefault="00954328" w:rsidP="00230139">
      <w:pPr>
        <w:spacing w:line="360" w:lineRule="auto"/>
        <w:jc w:val="both"/>
        <w:rPr>
          <w:rFonts w:ascii="Calibri" w:hAnsi="Calibri" w:cs="Calibri"/>
          <w:sz w:val="24"/>
          <w:szCs w:val="24"/>
          <w:lang w:val="en-IN"/>
        </w:rPr>
      </w:pPr>
      <w:r w:rsidRPr="0018267A">
        <w:rPr>
          <w:rFonts w:ascii="Calibri" w:hAnsi="Calibri" w:cs="Calibri"/>
          <w:sz w:val="24"/>
          <w:szCs w:val="24"/>
          <w:lang w:val="en-IN"/>
        </w:rPr>
        <w:t>Mentioning of the value of counting everyone, it should be ensured that the individual himself has the guts of counting everyone parallel to him, leaving behind the differences and supporting the organisational goals.</w:t>
      </w:r>
    </w:p>
    <w:p w14:paraId="4FC5F2EF" w14:textId="77777777" w:rsidR="00954328" w:rsidRPr="0018267A" w:rsidRDefault="00954328" w:rsidP="00230139">
      <w:pPr>
        <w:spacing w:line="360" w:lineRule="auto"/>
        <w:jc w:val="both"/>
        <w:rPr>
          <w:rFonts w:ascii="Calibri" w:hAnsi="Calibri" w:cs="Calibri"/>
          <w:sz w:val="24"/>
          <w:szCs w:val="24"/>
          <w:lang w:val="en-IN"/>
        </w:rPr>
      </w:pPr>
    </w:p>
    <w:p w14:paraId="78059ACE" w14:textId="77777777" w:rsidR="00954328" w:rsidRPr="0018267A" w:rsidRDefault="00954328" w:rsidP="00230139">
      <w:pPr>
        <w:spacing w:line="360" w:lineRule="auto"/>
        <w:jc w:val="center"/>
        <w:rPr>
          <w:rFonts w:ascii="Calibri" w:hAnsi="Calibri" w:cs="Calibri"/>
          <w:b/>
          <w:sz w:val="24"/>
          <w:szCs w:val="24"/>
        </w:rPr>
      </w:pPr>
    </w:p>
    <w:p w14:paraId="0A10C4D4" w14:textId="77777777" w:rsidR="00954328" w:rsidRPr="0018267A" w:rsidRDefault="00954328" w:rsidP="00230139">
      <w:pPr>
        <w:spacing w:line="360" w:lineRule="auto"/>
        <w:jc w:val="both"/>
        <w:rPr>
          <w:rFonts w:ascii="Calibri" w:hAnsi="Calibri" w:cs="Calibri"/>
          <w:b/>
          <w:sz w:val="24"/>
          <w:szCs w:val="24"/>
        </w:rPr>
      </w:pPr>
    </w:p>
    <w:p w14:paraId="405BB363" w14:textId="77777777" w:rsidR="00954328" w:rsidRPr="0018267A" w:rsidRDefault="00954328" w:rsidP="00230139">
      <w:pPr>
        <w:spacing w:line="360" w:lineRule="auto"/>
        <w:jc w:val="both"/>
        <w:rPr>
          <w:rFonts w:ascii="Calibri" w:hAnsi="Calibri" w:cs="Calibri"/>
          <w:b/>
          <w:sz w:val="24"/>
          <w:szCs w:val="24"/>
        </w:rPr>
      </w:pPr>
    </w:p>
    <w:p w14:paraId="18FDA38D" w14:textId="77777777" w:rsidR="00954328" w:rsidRDefault="00954328" w:rsidP="00230139">
      <w:pPr>
        <w:spacing w:line="360" w:lineRule="auto"/>
        <w:jc w:val="both"/>
        <w:rPr>
          <w:rFonts w:ascii="Calibri" w:hAnsi="Calibri" w:cs="Calibri"/>
          <w:b/>
          <w:sz w:val="24"/>
          <w:szCs w:val="24"/>
        </w:rPr>
      </w:pPr>
    </w:p>
    <w:p w14:paraId="55780FBE" w14:textId="77777777" w:rsidR="00954328" w:rsidRPr="0018267A" w:rsidRDefault="00954328" w:rsidP="00230139">
      <w:pPr>
        <w:spacing w:line="360" w:lineRule="auto"/>
        <w:jc w:val="both"/>
        <w:rPr>
          <w:rFonts w:ascii="Calibri" w:hAnsi="Calibri" w:cs="Calibri"/>
          <w:b/>
          <w:sz w:val="24"/>
          <w:szCs w:val="24"/>
        </w:rPr>
      </w:pPr>
      <w:r w:rsidRPr="0018267A">
        <w:rPr>
          <w:rFonts w:ascii="Calibri" w:hAnsi="Calibri" w:cs="Calibri"/>
          <w:b/>
          <w:sz w:val="24"/>
          <w:szCs w:val="24"/>
        </w:rPr>
        <w:t>REFERENCES</w:t>
      </w:r>
    </w:p>
    <w:p w14:paraId="21D25DC7" w14:textId="77777777" w:rsidR="00821DB1" w:rsidRDefault="00821DB1"/>
    <w:p w14:paraId="1E646267" w14:textId="77777777" w:rsidR="00821DB1" w:rsidRDefault="00821DB1" w:rsidP="00230139">
      <w:pPr>
        <w:spacing w:line="360" w:lineRule="auto"/>
        <w:jc w:val="both"/>
        <w:rPr>
          <w:rFonts w:ascii="Calibri" w:hAnsi="Calibri" w:cs="Calibri"/>
          <w:sz w:val="24"/>
          <w:szCs w:val="24"/>
        </w:rPr>
      </w:pPr>
      <w:r w:rsidRPr="00FF0442">
        <w:rPr>
          <w:rFonts w:ascii="Calibri" w:hAnsi="Calibri" w:cs="Calibri"/>
          <w:sz w:val="24"/>
          <w:szCs w:val="24"/>
        </w:rPr>
        <w:t>Foster, H., 2017, October. Critical Thinking and its Impact on the Business Community and its Importance in the Curriculum. In Abstract Proceedings International Scholars Conference (Vol. 5, No. 1, pp. 44-44).</w:t>
      </w:r>
    </w:p>
    <w:p w14:paraId="0C1FCB5C" w14:textId="77777777" w:rsidR="00821DB1" w:rsidRPr="00B334FA" w:rsidRDefault="00821DB1" w:rsidP="00230139">
      <w:pPr>
        <w:spacing w:line="360" w:lineRule="auto"/>
        <w:jc w:val="both"/>
        <w:rPr>
          <w:rFonts w:ascii="Calibri" w:hAnsi="Calibri" w:cs="Calibri"/>
          <w:sz w:val="24"/>
          <w:szCs w:val="24"/>
        </w:rPr>
      </w:pPr>
      <w:r w:rsidRPr="00B334FA">
        <w:rPr>
          <w:rFonts w:ascii="Calibri" w:hAnsi="Calibri" w:cs="Calibri"/>
          <w:sz w:val="24"/>
          <w:szCs w:val="24"/>
        </w:rPr>
        <w:t>Furnham, A. and Swami, V., 2019. Attitudes toward Surveillance: Personality, Belief and Value Correlates. </w:t>
      </w:r>
      <w:r w:rsidRPr="00B334FA">
        <w:rPr>
          <w:rFonts w:ascii="Calibri" w:hAnsi="Calibri" w:cs="Calibri"/>
          <w:i/>
          <w:iCs/>
          <w:sz w:val="24"/>
          <w:szCs w:val="24"/>
        </w:rPr>
        <w:t>Psychology</w:t>
      </w:r>
      <w:r w:rsidRPr="00B334FA">
        <w:rPr>
          <w:rFonts w:ascii="Calibri" w:hAnsi="Calibri" w:cs="Calibri"/>
          <w:sz w:val="24"/>
          <w:szCs w:val="24"/>
        </w:rPr>
        <w:t>, </w:t>
      </w:r>
      <w:r w:rsidRPr="00B334FA">
        <w:rPr>
          <w:rFonts w:ascii="Calibri" w:hAnsi="Calibri" w:cs="Calibri"/>
          <w:i/>
          <w:iCs/>
          <w:sz w:val="24"/>
          <w:szCs w:val="24"/>
        </w:rPr>
        <w:t>10</w:t>
      </w:r>
      <w:r w:rsidRPr="00B334FA">
        <w:rPr>
          <w:rFonts w:ascii="Calibri" w:hAnsi="Calibri" w:cs="Calibri"/>
          <w:sz w:val="24"/>
          <w:szCs w:val="24"/>
        </w:rPr>
        <w:t>(5), pp.609-623.</w:t>
      </w:r>
    </w:p>
    <w:p w14:paraId="3AC935E7" w14:textId="77777777" w:rsidR="00821DB1" w:rsidRPr="00821DB1" w:rsidRDefault="00821DB1" w:rsidP="00821DB1">
      <w:pPr>
        <w:spacing w:line="360" w:lineRule="auto"/>
        <w:jc w:val="both"/>
        <w:rPr>
          <w:rFonts w:ascii="Calibri" w:hAnsi="Calibri" w:cs="Calibri"/>
          <w:sz w:val="24"/>
          <w:szCs w:val="24"/>
          <w:lang w:val="en-GB"/>
        </w:rPr>
      </w:pPr>
      <w:r w:rsidRPr="00821DB1">
        <w:rPr>
          <w:rFonts w:ascii="Calibri" w:hAnsi="Calibri" w:cs="Calibri"/>
          <w:sz w:val="24"/>
          <w:szCs w:val="24"/>
          <w:lang w:val="en-US"/>
        </w:rPr>
        <w:t>Klapper, R., Berg, L. and Upham, P., 2020. Probing Alignment of Personal and Organizational Values for Sustainability: An Assessment of Barrett’s Organizational Consciousness Model. Sustainability, 12(18), p.7584.</w:t>
      </w:r>
    </w:p>
    <w:p w14:paraId="5425C292" w14:textId="77777777" w:rsidR="00821DB1" w:rsidRDefault="00821DB1" w:rsidP="00230139">
      <w:pPr>
        <w:spacing w:line="360" w:lineRule="auto"/>
        <w:jc w:val="both"/>
        <w:rPr>
          <w:rFonts w:ascii="Calibri" w:hAnsi="Calibri" w:cs="Calibri"/>
          <w:sz w:val="24"/>
          <w:szCs w:val="24"/>
        </w:rPr>
      </w:pPr>
      <w:r w:rsidRPr="0018267A">
        <w:rPr>
          <w:rFonts w:ascii="Calibri" w:hAnsi="Calibri" w:cs="Calibri"/>
          <w:sz w:val="24"/>
          <w:szCs w:val="24"/>
        </w:rPr>
        <w:t xml:space="preserve">Kline, R., Naqvi, H., Razaq, S.A. and Wilhelm, R., 2017. NHS workforce race equality standard. </w:t>
      </w:r>
    </w:p>
    <w:p w14:paraId="47A64B35" w14:textId="77777777" w:rsidR="00821DB1" w:rsidRDefault="00821DB1" w:rsidP="00230139">
      <w:pPr>
        <w:spacing w:line="360" w:lineRule="auto"/>
        <w:jc w:val="both"/>
        <w:rPr>
          <w:rFonts w:ascii="Calibri" w:hAnsi="Calibri" w:cs="Calibri"/>
          <w:sz w:val="24"/>
          <w:szCs w:val="24"/>
        </w:rPr>
      </w:pPr>
      <w:r w:rsidRPr="0018267A">
        <w:rPr>
          <w:rFonts w:ascii="Calibri" w:hAnsi="Calibri" w:cs="Calibri"/>
          <w:sz w:val="24"/>
          <w:szCs w:val="24"/>
        </w:rPr>
        <w:t>NHS England, 2016. Leading change, adding value: NHS England's commitments. British Journal of Healthcare Assistants, 10(10), pp.502-505.</w:t>
      </w:r>
    </w:p>
    <w:p w14:paraId="51A006DF" w14:textId="77777777" w:rsidR="00821DB1" w:rsidRPr="0018267A" w:rsidRDefault="00821DB1" w:rsidP="00230139">
      <w:pPr>
        <w:spacing w:line="360" w:lineRule="auto"/>
        <w:jc w:val="both"/>
        <w:rPr>
          <w:rFonts w:ascii="Calibri" w:hAnsi="Calibri" w:cs="Calibri"/>
          <w:sz w:val="24"/>
          <w:szCs w:val="24"/>
        </w:rPr>
      </w:pPr>
      <w:r w:rsidRPr="0018267A">
        <w:rPr>
          <w:rFonts w:ascii="Calibri" w:hAnsi="Calibri" w:cs="Calibri"/>
          <w:sz w:val="24"/>
          <w:szCs w:val="24"/>
        </w:rPr>
        <w:t>Regmi, K. and Mudyarabikwa, O., 2020. A systematic review of the factors-barriers and enablers-affecting the implementation of clinical commissioning policy to reduce health inequalities in the National Health Service (NHS), UK. Public Health, 186, pp.271-282.</w:t>
      </w:r>
    </w:p>
    <w:p w14:paraId="033471F5" w14:textId="77777777" w:rsidR="00821DB1" w:rsidRPr="00821DB1" w:rsidRDefault="00821DB1" w:rsidP="00821DB1">
      <w:pPr>
        <w:spacing w:line="360" w:lineRule="auto"/>
        <w:jc w:val="both"/>
        <w:rPr>
          <w:rFonts w:ascii="Calibri" w:hAnsi="Calibri" w:cs="Calibri"/>
          <w:sz w:val="24"/>
          <w:szCs w:val="24"/>
          <w:lang w:val="en-GB"/>
        </w:rPr>
      </w:pPr>
      <w:r w:rsidRPr="00821DB1">
        <w:rPr>
          <w:rFonts w:ascii="Calibri" w:hAnsi="Calibri" w:cs="Calibri"/>
          <w:sz w:val="24"/>
          <w:szCs w:val="24"/>
          <w:lang w:val="en-GB"/>
        </w:rPr>
        <w:t xml:space="preserve">Smithburg, E. (2019). </w:t>
      </w:r>
      <w:r w:rsidRPr="00821DB1">
        <w:rPr>
          <w:rFonts w:ascii="Calibri" w:hAnsi="Calibri" w:cs="Calibri"/>
          <w:i/>
          <w:iCs/>
          <w:sz w:val="24"/>
          <w:szCs w:val="24"/>
          <w:lang w:val="en-IN"/>
        </w:rPr>
        <w:t xml:space="preserve">Connecting your personal and work values: 3 steps to a more fulfilling work life. </w:t>
      </w:r>
      <w:r w:rsidRPr="00821DB1">
        <w:rPr>
          <w:rFonts w:ascii="Calibri" w:hAnsi="Calibri" w:cs="Calibri"/>
          <w:sz w:val="24"/>
          <w:szCs w:val="24"/>
          <w:lang w:val="en-IN"/>
        </w:rPr>
        <w:t xml:space="preserve">(Online) available at: </w:t>
      </w:r>
      <w:r w:rsidRPr="00821DB1">
        <w:rPr>
          <w:rFonts w:ascii="Calibri" w:hAnsi="Calibri" w:cs="Calibri"/>
          <w:sz w:val="24"/>
          <w:szCs w:val="24"/>
          <w:u w:val="single"/>
          <w:lang w:val="en-IN"/>
        </w:rPr>
        <w:t>https://transparency.kununu.com/personal-values-and-work-values-3-steps-to-a-more-fulfilling-worklife/</w:t>
      </w:r>
      <w:r w:rsidRPr="00821DB1">
        <w:rPr>
          <w:rFonts w:ascii="Calibri" w:hAnsi="Calibri" w:cs="Calibri"/>
          <w:sz w:val="24"/>
          <w:szCs w:val="24"/>
          <w:lang w:val="en-IN"/>
        </w:rPr>
        <w:t>. Last accessed on 5 November 2020.</w:t>
      </w:r>
    </w:p>
    <w:sectPr w:rsidR="00821DB1" w:rsidRPr="00821DB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B09CB4" w14:textId="77777777" w:rsidR="00C407A9" w:rsidRDefault="00C407A9" w:rsidP="00821DB1">
      <w:pPr>
        <w:spacing w:after="0" w:line="240" w:lineRule="auto"/>
      </w:pPr>
      <w:r>
        <w:separator/>
      </w:r>
    </w:p>
  </w:endnote>
  <w:endnote w:type="continuationSeparator" w:id="0">
    <w:p w14:paraId="4FD97B1F" w14:textId="77777777" w:rsidR="00C407A9" w:rsidRDefault="00C407A9" w:rsidP="00821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47CA4" w14:textId="77777777" w:rsidR="00C407A9" w:rsidRDefault="00C407A9" w:rsidP="00821DB1">
      <w:pPr>
        <w:spacing w:after="0" w:line="240" w:lineRule="auto"/>
      </w:pPr>
      <w:r>
        <w:separator/>
      </w:r>
    </w:p>
  </w:footnote>
  <w:footnote w:type="continuationSeparator" w:id="0">
    <w:p w14:paraId="49CEF098" w14:textId="77777777" w:rsidR="00C407A9" w:rsidRDefault="00C407A9" w:rsidP="00821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CC6FD" w14:textId="2C4FA89D" w:rsidR="00FF6DF7" w:rsidRPr="00FF6DF7" w:rsidRDefault="00FF6DF7" w:rsidP="00FF6DF7">
    <w:pPr>
      <w:pStyle w:val="Header"/>
      <w:rPr>
        <w:lang w:val="en-GB"/>
      </w:rPr>
    </w:pPr>
    <w:r>
      <w:t xml:space="preserve">Catalin Daniel Dinuta                                    1905194                                                    </w:t>
    </w:r>
    <w:r w:rsidRPr="00FF6DF7">
      <w:rPr>
        <w:lang w:val="en-GB"/>
      </w:rPr>
      <w:t>BMSW5101_CARD</w:t>
    </w:r>
  </w:p>
  <w:p w14:paraId="4C2EB94B" w14:textId="49DC87B9" w:rsidR="00821DB1" w:rsidRDefault="00821DB1" w:rsidP="00FF6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067B86"/>
    <w:multiLevelType w:val="hybridMultilevel"/>
    <w:tmpl w:val="1DC6A3CE"/>
    <w:lvl w:ilvl="0" w:tplc="687822E6">
      <w:start w:val="1"/>
      <w:numFmt w:val="bullet"/>
      <w:lvlText w:val=""/>
      <w:lvlJc w:val="left"/>
      <w:pPr>
        <w:ind w:left="1080" w:hanging="360"/>
      </w:pPr>
      <w:rPr>
        <w:rFonts w:ascii="Symbol" w:hAnsi="Symbol" w:hint="default"/>
      </w:rPr>
    </w:lvl>
    <w:lvl w:ilvl="1" w:tplc="409C1E4C">
      <w:start w:val="1"/>
      <w:numFmt w:val="bullet"/>
      <w:lvlText w:val="o"/>
      <w:lvlJc w:val="left"/>
      <w:pPr>
        <w:ind w:left="1800" w:hanging="360"/>
      </w:pPr>
      <w:rPr>
        <w:rFonts w:ascii="Courier New" w:hAnsi="Courier New" w:cs="Courier New" w:hint="default"/>
      </w:rPr>
    </w:lvl>
    <w:lvl w:ilvl="2" w:tplc="AF805B60">
      <w:start w:val="1"/>
      <w:numFmt w:val="bullet"/>
      <w:lvlText w:val=""/>
      <w:lvlJc w:val="left"/>
      <w:pPr>
        <w:ind w:left="2520" w:hanging="360"/>
      </w:pPr>
      <w:rPr>
        <w:rFonts w:ascii="Wingdings" w:hAnsi="Wingdings" w:hint="default"/>
      </w:rPr>
    </w:lvl>
    <w:lvl w:ilvl="3" w:tplc="0E02C942">
      <w:start w:val="1"/>
      <w:numFmt w:val="bullet"/>
      <w:lvlText w:val=""/>
      <w:lvlJc w:val="left"/>
      <w:pPr>
        <w:ind w:left="3240" w:hanging="360"/>
      </w:pPr>
      <w:rPr>
        <w:rFonts w:ascii="Symbol" w:hAnsi="Symbol" w:hint="default"/>
      </w:rPr>
    </w:lvl>
    <w:lvl w:ilvl="4" w:tplc="9D9E3EAE">
      <w:start w:val="1"/>
      <w:numFmt w:val="bullet"/>
      <w:lvlText w:val="o"/>
      <w:lvlJc w:val="left"/>
      <w:pPr>
        <w:ind w:left="3960" w:hanging="360"/>
      </w:pPr>
      <w:rPr>
        <w:rFonts w:ascii="Courier New" w:hAnsi="Courier New" w:cs="Courier New" w:hint="default"/>
      </w:rPr>
    </w:lvl>
    <w:lvl w:ilvl="5" w:tplc="2AD6A190">
      <w:start w:val="1"/>
      <w:numFmt w:val="bullet"/>
      <w:lvlText w:val=""/>
      <w:lvlJc w:val="left"/>
      <w:pPr>
        <w:ind w:left="4680" w:hanging="360"/>
      </w:pPr>
      <w:rPr>
        <w:rFonts w:ascii="Wingdings" w:hAnsi="Wingdings" w:hint="default"/>
      </w:rPr>
    </w:lvl>
    <w:lvl w:ilvl="6" w:tplc="A11AD00C">
      <w:start w:val="1"/>
      <w:numFmt w:val="bullet"/>
      <w:lvlText w:val=""/>
      <w:lvlJc w:val="left"/>
      <w:pPr>
        <w:ind w:left="5400" w:hanging="360"/>
      </w:pPr>
      <w:rPr>
        <w:rFonts w:ascii="Symbol" w:hAnsi="Symbol" w:hint="default"/>
      </w:rPr>
    </w:lvl>
    <w:lvl w:ilvl="7" w:tplc="D0D41088">
      <w:start w:val="1"/>
      <w:numFmt w:val="bullet"/>
      <w:lvlText w:val="o"/>
      <w:lvlJc w:val="left"/>
      <w:pPr>
        <w:ind w:left="6120" w:hanging="360"/>
      </w:pPr>
      <w:rPr>
        <w:rFonts w:ascii="Courier New" w:hAnsi="Courier New" w:cs="Courier New" w:hint="default"/>
      </w:rPr>
    </w:lvl>
    <w:lvl w:ilvl="8" w:tplc="96C237F4">
      <w:start w:val="1"/>
      <w:numFmt w:val="bullet"/>
      <w:lvlText w:val=""/>
      <w:lvlJc w:val="left"/>
      <w:pPr>
        <w:ind w:left="6840" w:hanging="360"/>
      </w:pPr>
      <w:rPr>
        <w:rFonts w:ascii="Wingdings" w:hAnsi="Wingdings" w:hint="default"/>
      </w:rPr>
    </w:lvl>
  </w:abstractNum>
  <w:abstractNum w:abstractNumId="1" w15:restartNumberingAfterBreak="0">
    <w:nsid w:val="6A1B5069"/>
    <w:multiLevelType w:val="hybridMultilevel"/>
    <w:tmpl w:val="5C127316"/>
    <w:lvl w:ilvl="0" w:tplc="FB94F4F4">
      <w:start w:val="1"/>
      <w:numFmt w:val="bullet"/>
      <w:lvlText w:val=""/>
      <w:lvlJc w:val="left"/>
      <w:pPr>
        <w:ind w:left="781" w:hanging="360"/>
      </w:pPr>
      <w:rPr>
        <w:rFonts w:ascii="Symbol" w:hAnsi="Symbol" w:hint="default"/>
      </w:rPr>
    </w:lvl>
    <w:lvl w:ilvl="1" w:tplc="C1A0AFFC">
      <w:start w:val="1"/>
      <w:numFmt w:val="bullet"/>
      <w:lvlText w:val="o"/>
      <w:lvlJc w:val="left"/>
      <w:pPr>
        <w:ind w:left="1501" w:hanging="360"/>
      </w:pPr>
      <w:rPr>
        <w:rFonts w:ascii="Courier New" w:hAnsi="Courier New" w:cs="Courier New" w:hint="default"/>
      </w:rPr>
    </w:lvl>
    <w:lvl w:ilvl="2" w:tplc="0736DC78">
      <w:start w:val="1"/>
      <w:numFmt w:val="bullet"/>
      <w:lvlText w:val=""/>
      <w:lvlJc w:val="left"/>
      <w:pPr>
        <w:ind w:left="2221" w:hanging="360"/>
      </w:pPr>
      <w:rPr>
        <w:rFonts w:ascii="Wingdings" w:hAnsi="Wingdings" w:hint="default"/>
      </w:rPr>
    </w:lvl>
    <w:lvl w:ilvl="3" w:tplc="7CBCCE10">
      <w:start w:val="1"/>
      <w:numFmt w:val="bullet"/>
      <w:lvlText w:val=""/>
      <w:lvlJc w:val="left"/>
      <w:pPr>
        <w:ind w:left="2941" w:hanging="360"/>
      </w:pPr>
      <w:rPr>
        <w:rFonts w:ascii="Symbol" w:hAnsi="Symbol" w:hint="default"/>
      </w:rPr>
    </w:lvl>
    <w:lvl w:ilvl="4" w:tplc="ECDE8618">
      <w:start w:val="1"/>
      <w:numFmt w:val="bullet"/>
      <w:lvlText w:val="o"/>
      <w:lvlJc w:val="left"/>
      <w:pPr>
        <w:ind w:left="3661" w:hanging="360"/>
      </w:pPr>
      <w:rPr>
        <w:rFonts w:ascii="Courier New" w:hAnsi="Courier New" w:cs="Courier New" w:hint="default"/>
      </w:rPr>
    </w:lvl>
    <w:lvl w:ilvl="5" w:tplc="B57CCFA6">
      <w:start w:val="1"/>
      <w:numFmt w:val="bullet"/>
      <w:lvlText w:val=""/>
      <w:lvlJc w:val="left"/>
      <w:pPr>
        <w:ind w:left="4381" w:hanging="360"/>
      </w:pPr>
      <w:rPr>
        <w:rFonts w:ascii="Wingdings" w:hAnsi="Wingdings" w:hint="default"/>
      </w:rPr>
    </w:lvl>
    <w:lvl w:ilvl="6" w:tplc="CBD89CC2">
      <w:start w:val="1"/>
      <w:numFmt w:val="bullet"/>
      <w:lvlText w:val=""/>
      <w:lvlJc w:val="left"/>
      <w:pPr>
        <w:ind w:left="5101" w:hanging="360"/>
      </w:pPr>
      <w:rPr>
        <w:rFonts w:ascii="Symbol" w:hAnsi="Symbol" w:hint="default"/>
      </w:rPr>
    </w:lvl>
    <w:lvl w:ilvl="7" w:tplc="2E0277DE">
      <w:start w:val="1"/>
      <w:numFmt w:val="bullet"/>
      <w:lvlText w:val="o"/>
      <w:lvlJc w:val="left"/>
      <w:pPr>
        <w:ind w:left="5821" w:hanging="360"/>
      </w:pPr>
      <w:rPr>
        <w:rFonts w:ascii="Courier New" w:hAnsi="Courier New" w:cs="Courier New" w:hint="default"/>
      </w:rPr>
    </w:lvl>
    <w:lvl w:ilvl="8" w:tplc="0E36ABF4">
      <w:start w:val="1"/>
      <w:numFmt w:val="bullet"/>
      <w:lvlText w:val=""/>
      <w:lvlJc w:val="left"/>
      <w:pPr>
        <w:ind w:left="654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328"/>
    <w:rsid w:val="00340329"/>
    <w:rsid w:val="00821DB1"/>
    <w:rsid w:val="00954328"/>
    <w:rsid w:val="00C407A9"/>
    <w:rsid w:val="00F012F9"/>
    <w:rsid w:val="00FF6DF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4B2F1"/>
  <w15:chartTrackingRefBased/>
  <w15:docId w15:val="{490EA365-73C3-5249-A401-2998565DF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328"/>
    <w:pPr>
      <w:ind w:left="720"/>
      <w:contextualSpacing/>
    </w:pPr>
    <w:rPr>
      <w:rFonts w:eastAsiaTheme="minorHAnsi"/>
      <w:lang w:val="en-US" w:eastAsia="en-US"/>
    </w:rPr>
  </w:style>
  <w:style w:type="paragraph" w:styleId="Header">
    <w:name w:val="header"/>
    <w:basedOn w:val="Normal"/>
    <w:link w:val="HeaderChar"/>
    <w:uiPriority w:val="99"/>
    <w:unhideWhenUsed/>
    <w:rsid w:val="00821D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DB1"/>
  </w:style>
  <w:style w:type="paragraph" w:styleId="Footer">
    <w:name w:val="footer"/>
    <w:basedOn w:val="Normal"/>
    <w:link w:val="FooterChar"/>
    <w:uiPriority w:val="99"/>
    <w:unhideWhenUsed/>
    <w:rsid w:val="00821D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DB1"/>
  </w:style>
  <w:style w:type="character" w:styleId="Hyperlink">
    <w:name w:val="Hyperlink"/>
    <w:basedOn w:val="DefaultParagraphFont"/>
    <w:uiPriority w:val="99"/>
    <w:unhideWhenUsed/>
    <w:rsid w:val="00FF6DF7"/>
    <w:rPr>
      <w:color w:val="0000FF"/>
      <w:u w:val="single"/>
    </w:rPr>
  </w:style>
  <w:style w:type="character" w:styleId="UnresolvedMention">
    <w:name w:val="Unresolved Mention"/>
    <w:basedOn w:val="DefaultParagraphFont"/>
    <w:uiPriority w:val="99"/>
    <w:semiHidden/>
    <w:unhideWhenUsed/>
    <w:rsid w:val="00FF6DF7"/>
    <w:rPr>
      <w:color w:val="605E5C"/>
      <w:shd w:val="clear" w:color="auto" w:fill="E1DFDD"/>
    </w:rPr>
  </w:style>
  <w:style w:type="character" w:styleId="FollowedHyperlink">
    <w:name w:val="FollowedHyperlink"/>
    <w:basedOn w:val="DefaultParagraphFont"/>
    <w:uiPriority w:val="99"/>
    <w:semiHidden/>
    <w:unhideWhenUsed/>
    <w:rsid w:val="00F012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87883">
      <w:bodyDiv w:val="1"/>
      <w:marLeft w:val="0"/>
      <w:marRight w:val="0"/>
      <w:marTop w:val="0"/>
      <w:marBottom w:val="0"/>
      <w:divBdr>
        <w:top w:val="none" w:sz="0" w:space="0" w:color="auto"/>
        <w:left w:val="none" w:sz="0" w:space="0" w:color="auto"/>
        <w:bottom w:val="none" w:sz="0" w:space="0" w:color="auto"/>
        <w:right w:val="none" w:sz="0" w:space="0" w:color="auto"/>
      </w:divBdr>
    </w:div>
    <w:div w:id="806750006">
      <w:bodyDiv w:val="1"/>
      <w:marLeft w:val="0"/>
      <w:marRight w:val="0"/>
      <w:marTop w:val="0"/>
      <w:marBottom w:val="0"/>
      <w:divBdr>
        <w:top w:val="none" w:sz="0" w:space="0" w:color="auto"/>
        <w:left w:val="none" w:sz="0" w:space="0" w:color="auto"/>
        <w:bottom w:val="none" w:sz="0" w:space="0" w:color="auto"/>
        <w:right w:val="none" w:sz="0" w:space="0" w:color="auto"/>
      </w:divBdr>
    </w:div>
    <w:div w:id="1103037646">
      <w:bodyDiv w:val="1"/>
      <w:marLeft w:val="0"/>
      <w:marRight w:val="0"/>
      <w:marTop w:val="0"/>
      <w:marBottom w:val="0"/>
      <w:divBdr>
        <w:top w:val="none" w:sz="0" w:space="0" w:color="auto"/>
        <w:left w:val="none" w:sz="0" w:space="0" w:color="auto"/>
        <w:bottom w:val="none" w:sz="0" w:space="0" w:color="auto"/>
        <w:right w:val="none" w:sz="0" w:space="0" w:color="auto"/>
      </w:divBdr>
    </w:div>
    <w:div w:id="163933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jtu9SSNZa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1087</Words>
  <Characters>6196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anca</dc:creator>
  <cp:keywords/>
  <dc:description/>
  <cp:lastModifiedBy>laura dinuta</cp:lastModifiedBy>
  <cp:revision>5</cp:revision>
  <dcterms:created xsi:type="dcterms:W3CDTF">2020-11-12T16:15:00Z</dcterms:created>
  <dcterms:modified xsi:type="dcterms:W3CDTF">2020-11-19T11:48:00Z</dcterms:modified>
</cp:coreProperties>
</file>