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7104132"/>
        <w:docPartObj>
          <w:docPartGallery w:val="Cover Pages"/>
          <w:docPartUnique/>
        </w:docPartObj>
      </w:sdtPr>
      <w:sdtContent>
        <w:p w14:paraId="3BCB8884" w14:textId="157552F6" w:rsidR="009C0789" w:rsidRDefault="009C0789">
          <w:r>
            <w:rPr>
              <w:noProof/>
            </w:rPr>
            <mc:AlternateContent>
              <mc:Choice Requires="wpg">
                <w:drawing>
                  <wp:anchor distT="0" distB="0" distL="114300" distR="114300" simplePos="0" relativeHeight="251659264" behindDoc="1" locked="0" layoutInCell="1" allowOverlap="1" wp14:anchorId="0A40F1F8" wp14:editId="0E2B4240">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000000" w:themeColor="text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C169D3" w14:textId="3D8B140E" w:rsidR="009C0789" w:rsidRPr="009C0789" w:rsidRDefault="009C0789">
                                      <w:pPr>
                                        <w:pStyle w:val="NoSpacing"/>
                                        <w:spacing w:before="120"/>
                                        <w:jc w:val="center"/>
                                        <w:rPr>
                                          <w:b/>
                                          <w:bCs/>
                                          <w:color w:val="000000" w:themeColor="text1"/>
                                        </w:rPr>
                                      </w:pPr>
                                      <w:r w:rsidRPr="009C0789">
                                        <w:rPr>
                                          <w:rFonts w:ascii="Arial" w:hAnsi="Arial" w:cs="Arial"/>
                                          <w:b/>
                                          <w:bCs/>
                                          <w:color w:val="000000" w:themeColor="text1"/>
                                        </w:rPr>
                                        <w:t>Angharad Evans (2204700)</w:t>
                                      </w:r>
                                    </w:p>
                                  </w:sdtContent>
                                </w:sdt>
                                <w:p w14:paraId="6A05BA7D" w14:textId="462B3F2F" w:rsidR="009C0789" w:rsidRDefault="009C078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D0E3B" w14:textId="6503854F" w:rsidR="009C0789" w:rsidRPr="009C0789" w:rsidRDefault="009C0789" w:rsidP="009C0789">
                                  <w:pPr>
                                    <w:pStyle w:val="NoSpacing"/>
                                    <w:jc w:val="center"/>
                                    <w:rPr>
                                      <w:rFonts w:ascii="Arial" w:eastAsiaTheme="majorEastAsia" w:hAnsi="Arial" w:cs="Arial"/>
                                      <w:b/>
                                      <w:bCs/>
                                      <w:caps/>
                                      <w:color w:val="000000" w:themeColor="text1"/>
                                      <w:sz w:val="56"/>
                                      <w:szCs w:val="56"/>
                                      <w:lang w:val="en-GB"/>
                                    </w:rPr>
                                  </w:pPr>
                                  <w:r w:rsidRPr="009C0789">
                                    <w:rPr>
                                      <w:rFonts w:ascii="Arial" w:eastAsiaTheme="majorEastAsia" w:hAnsi="Arial" w:cs="Arial"/>
                                      <w:b/>
                                      <w:bCs/>
                                      <w:caps/>
                                      <w:color w:val="000000" w:themeColor="text1"/>
                                      <w:sz w:val="56"/>
                                      <w:szCs w:val="56"/>
                                      <w:lang w:val="en-GB"/>
                                    </w:rPr>
                                    <w:t>Distribution of covid-19</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A40F1F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" fillcolor="#acb9ca [1311]"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" fillcolor="#acb9ca [1311]" stroked="f" strokeweight="1pt">
                      <v:textbox inset="36pt,57.6pt,36pt,36pt">
                        <w:txbxContent>
                          <w:sdt>
                            <w:sdtPr>
                              <w:rPr>
                                <w:rFonts w:ascii="Arial" w:hAnsi="Arial" w:cs="Arial"/>
                                <w:b/>
                                <w:bCs/>
                                <w:color w:val="000000" w:themeColor="text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C169D3" w14:textId="3D8B140E" w:rsidR="009C0789" w:rsidRPr="009C0789" w:rsidRDefault="009C0789">
                                <w:pPr>
                                  <w:pStyle w:val="NoSpacing"/>
                                  <w:spacing w:before="120"/>
                                  <w:jc w:val="center"/>
                                  <w:rPr>
                                    <w:b/>
                                    <w:bCs/>
                                    <w:color w:val="000000" w:themeColor="text1"/>
                                  </w:rPr>
                                </w:pPr>
                                <w:r w:rsidRPr="009C0789">
                                  <w:rPr>
                                    <w:rFonts w:ascii="Arial" w:hAnsi="Arial" w:cs="Arial"/>
                                    <w:b/>
                                    <w:bCs/>
                                    <w:color w:val="000000" w:themeColor="text1"/>
                                  </w:rPr>
                                  <w:t>Angharad Evans (2204700)</w:t>
                                </w:r>
                              </w:p>
                            </w:sdtContent>
                          </w:sdt>
                          <w:p w14:paraId="6A05BA7D" w14:textId="462B3F2F" w:rsidR="009C0789" w:rsidRDefault="009C078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64FD0E3B" w14:textId="6503854F" w:rsidR="009C0789" w:rsidRPr="009C0789" w:rsidRDefault="009C0789" w:rsidP="009C0789">
                            <w:pPr>
                              <w:pStyle w:val="NoSpacing"/>
                              <w:jc w:val="center"/>
                              <w:rPr>
                                <w:rFonts w:ascii="Arial" w:eastAsiaTheme="majorEastAsia" w:hAnsi="Arial" w:cs="Arial"/>
                                <w:b/>
                                <w:bCs/>
                                <w:caps/>
                                <w:color w:val="000000" w:themeColor="text1"/>
                                <w:sz w:val="56"/>
                                <w:szCs w:val="56"/>
                                <w:lang w:val="en-GB"/>
                              </w:rPr>
                            </w:pPr>
                            <w:r w:rsidRPr="009C0789">
                              <w:rPr>
                                <w:rFonts w:ascii="Arial" w:eastAsiaTheme="majorEastAsia" w:hAnsi="Arial" w:cs="Arial"/>
                                <w:b/>
                                <w:bCs/>
                                <w:caps/>
                                <w:color w:val="000000" w:themeColor="text1"/>
                                <w:sz w:val="56"/>
                                <w:szCs w:val="56"/>
                                <w:lang w:val="en-GB"/>
                              </w:rPr>
                              <w:t>Distribution of covid-19</w:t>
                            </w:r>
                          </w:p>
                        </w:txbxContent>
                      </v:textbox>
                    </v:shape>
                    <w10:wrap anchorx="page" anchory="page"/>
                  </v:group>
                </w:pict>
              </mc:Fallback>
            </mc:AlternateContent>
          </w:r>
        </w:p>
        <w:p w14:paraId="0F3BDEB7" w14:textId="311D9308" w:rsidR="009C0789" w:rsidRDefault="009C0789">
          <w:r>
            <w:br w:type="page"/>
          </w:r>
        </w:p>
      </w:sdtContent>
    </w:sdt>
    <w:p w14:paraId="0FF02AF4" w14:textId="77777777" w:rsidR="00003FEA" w:rsidRDefault="00003FEA" w:rsidP="00003FEA">
      <w:pPr>
        <w:spacing w:line="360" w:lineRule="auto"/>
        <w:jc w:val="both"/>
        <w:rPr>
          <w:rFonts w:ascii="Arial" w:hAnsi="Arial" w:cs="Arial"/>
        </w:rPr>
      </w:pPr>
      <w:r>
        <w:rPr>
          <w:rFonts w:ascii="Arial" w:hAnsi="Arial" w:cs="Arial"/>
        </w:rPr>
        <w:lastRenderedPageBreak/>
        <w:t xml:space="preserve">In this essay, we will discover some of the notable features of the frequency and distribution of covid-19 outcomes, and then move on to the second question which is the risks of covid-19 outcomes in active and inactive populations. We will study these questions on an epidemiological level, looking at statistics and graphs to determine and finalise our findings. </w:t>
      </w:r>
    </w:p>
    <w:p w14:paraId="01986786" w14:textId="0BAC811A" w:rsidR="00BD797E" w:rsidRDefault="00BD797E"/>
    <w:p w14:paraId="73E1673B" w14:textId="3D51F007" w:rsidR="00003FEA" w:rsidRPr="00373485" w:rsidRDefault="00003FEA" w:rsidP="00003FEA">
      <w:pPr>
        <w:pStyle w:val="ListParagraph"/>
        <w:numPr>
          <w:ilvl w:val="0"/>
          <w:numId w:val="1"/>
        </w:numPr>
        <w:rPr>
          <w:rFonts w:ascii="Arial" w:hAnsi="Arial" w:cs="Arial"/>
        </w:rPr>
      </w:pPr>
      <w:r w:rsidRPr="00373485">
        <w:rPr>
          <w:rFonts w:ascii="Arial" w:hAnsi="Arial" w:cs="Arial"/>
          <w:b/>
          <w:bCs/>
        </w:rPr>
        <w:t xml:space="preserve">Describe some of the notable features of the frequency and distribution of covid-19 outcomes in the UK population. </w:t>
      </w:r>
    </w:p>
    <w:p w14:paraId="0B7206CD" w14:textId="1143474E" w:rsidR="00003FEA" w:rsidRDefault="00003FEA" w:rsidP="00003FEA"/>
    <w:p w14:paraId="5D1330D5" w14:textId="7AF1C735" w:rsidR="00952F17" w:rsidRPr="00CC5D06" w:rsidRDefault="00CC5D06" w:rsidP="00CC5D06">
      <w:pPr>
        <w:spacing w:line="360" w:lineRule="auto"/>
        <w:jc w:val="both"/>
        <w:rPr>
          <w:rFonts w:ascii="Arial" w:hAnsi="Arial" w:cs="Arial"/>
        </w:rPr>
      </w:pPr>
      <w:r w:rsidRPr="00CC5D06">
        <w:rPr>
          <w:rFonts w:ascii="Arial" w:hAnsi="Arial" w:cs="Arial"/>
        </w:rPr>
        <w:t>First of all, what</w:t>
      </w:r>
      <w:r w:rsidR="007A22A9" w:rsidRPr="00CC5D06">
        <w:rPr>
          <w:rFonts w:ascii="Arial" w:hAnsi="Arial" w:cs="Arial"/>
        </w:rPr>
        <w:t xml:space="preserve"> is covid-19? Covid-19, also known as coronavirus, is a highly contagious infectious disease caused by severe acute respiratory syndrome that has had a devastating impact on the world.</w:t>
      </w:r>
      <w:r w:rsidR="009A3C93">
        <w:rPr>
          <w:rFonts w:ascii="Arial" w:hAnsi="Arial" w:cs="Arial"/>
        </w:rPr>
        <w:t xml:space="preserve"> It’s a respiratory infection, a very contagious one that’s impacted many lives, causing loses in many families. It started in the year of 2020, but many civilians suspected it started at the end of 2019. </w:t>
      </w:r>
      <w:r w:rsidR="007A22A9" w:rsidRPr="00CC5D06">
        <w:rPr>
          <w:rFonts w:ascii="Arial" w:hAnsi="Arial" w:cs="Arial"/>
        </w:rPr>
        <w:t xml:space="preserve"> More than 6 million people died worldwide</w:t>
      </w:r>
      <w:r w:rsidRPr="00CC5D06">
        <w:rPr>
          <w:rFonts w:ascii="Arial" w:hAnsi="Arial" w:cs="Arial"/>
        </w:rPr>
        <w:t xml:space="preserve"> (National Library of Medicine, 2023). </w:t>
      </w:r>
      <w:r w:rsidR="007A22A9" w:rsidRPr="00CC5D06">
        <w:rPr>
          <w:rFonts w:ascii="Arial" w:hAnsi="Arial" w:cs="Arial"/>
        </w:rPr>
        <w:t xml:space="preserve">Only recently was it reported that covid-19 is no longer a global pandemic. That doesn’t </w:t>
      </w:r>
      <w:r w:rsidRPr="00CC5D06">
        <w:rPr>
          <w:rFonts w:ascii="Arial" w:hAnsi="Arial" w:cs="Arial"/>
        </w:rPr>
        <w:t>mean</w:t>
      </w:r>
      <w:r w:rsidR="007A22A9" w:rsidRPr="00CC5D06">
        <w:rPr>
          <w:rFonts w:ascii="Arial" w:hAnsi="Arial" w:cs="Arial"/>
        </w:rPr>
        <w:t xml:space="preserve"> no one can have it again</w:t>
      </w:r>
      <w:r w:rsidRPr="00CC5D06">
        <w:rPr>
          <w:rFonts w:ascii="Arial" w:hAnsi="Arial" w:cs="Arial"/>
        </w:rPr>
        <w:t xml:space="preserve"> (The Guardian, 2023). It remains a national crisis, just like some other things like influenza (flu). </w:t>
      </w:r>
      <w:r w:rsidR="00373485">
        <w:rPr>
          <w:rFonts w:ascii="Arial" w:hAnsi="Arial" w:cs="Arial"/>
        </w:rPr>
        <w:t xml:space="preserve">A man stated that the virus entered the human market through infected frozen wild animals from farms in southern China, subsequently causing an epidemic (Embarek, B, Nature Journal, 2021). </w:t>
      </w:r>
    </w:p>
    <w:p w14:paraId="3211093C" w14:textId="77777777" w:rsidR="00952F17" w:rsidRDefault="00952F17" w:rsidP="00003FEA"/>
    <w:p w14:paraId="70B0E2EF" w14:textId="377C0E2B" w:rsidR="00644562" w:rsidRPr="00B63C01" w:rsidRDefault="00922B17" w:rsidP="008B573E">
      <w:pPr>
        <w:spacing w:line="360" w:lineRule="auto"/>
        <w:jc w:val="both"/>
        <w:rPr>
          <w:rFonts w:ascii="Arial" w:hAnsi="Arial" w:cs="Arial"/>
        </w:rPr>
      </w:pPr>
      <w:r w:rsidRPr="00B63C01">
        <w:rPr>
          <w:rFonts w:ascii="Arial" w:hAnsi="Arial" w:cs="Arial"/>
        </w:rPr>
        <w:t>In the most recent week, which ended on March 17</w:t>
      </w:r>
      <w:r w:rsidRPr="00B63C01">
        <w:rPr>
          <w:rFonts w:ascii="Arial" w:hAnsi="Arial" w:cs="Arial"/>
          <w:vertAlign w:val="superscript"/>
        </w:rPr>
        <w:t>th</w:t>
      </w:r>
      <w:r w:rsidRPr="00B63C01">
        <w:rPr>
          <w:rFonts w:ascii="Arial" w:hAnsi="Arial" w:cs="Arial"/>
        </w:rPr>
        <w:t xml:space="preserve"> 2023, there were 619 deaths associated with covid-19 that were recorded in the UK, up from 605 the week before (</w:t>
      </w:r>
      <w:r w:rsidR="00644562" w:rsidRPr="00B63C01">
        <w:rPr>
          <w:rFonts w:ascii="Arial" w:hAnsi="Arial" w:cs="Arial"/>
        </w:rPr>
        <w:t xml:space="preserve">Office for National Statistics, 2023). </w:t>
      </w:r>
    </w:p>
    <w:p w14:paraId="2D385CAB" w14:textId="6647C5D0" w:rsidR="00644562" w:rsidRDefault="00644562" w:rsidP="00922B17">
      <w:pPr>
        <w:jc w:val="both"/>
      </w:pPr>
    </w:p>
    <w:p w14:paraId="6A7CB784" w14:textId="5D176AFB" w:rsidR="00644562" w:rsidRDefault="00970E1C" w:rsidP="00922B17">
      <w:pPr>
        <w:jc w:val="both"/>
      </w:pPr>
      <w:r>
        <w:rPr>
          <w:noProof/>
        </w:rPr>
        <w:lastRenderedPageBreak/>
        <w:drawing>
          <wp:inline distT="0" distB="0" distL="0" distR="0" wp14:anchorId="1A958821" wp14:editId="17A9307E">
            <wp:extent cx="5731510" cy="3382645"/>
            <wp:effectExtent l="0" t="0" r="8890" b="8255"/>
            <wp:docPr id="1" name="Chart 1">
              <a:extLst xmlns:a="http://schemas.openxmlformats.org/drawingml/2006/main">
                <a:ext uri="{FF2B5EF4-FFF2-40B4-BE49-F238E27FC236}">
                  <a16:creationId xmlns:a16="http://schemas.microsoft.com/office/drawing/2014/main" id="{3AC16676-B566-4826-BA79-AE51DE4F10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66FF56D" w14:textId="7027330E" w:rsidR="00970E1C" w:rsidRDefault="00970E1C" w:rsidP="00922B17">
      <w:pPr>
        <w:jc w:val="both"/>
      </w:pPr>
    </w:p>
    <w:p w14:paraId="0A7829ED" w14:textId="27FAB940" w:rsidR="00731102" w:rsidRDefault="004343ED" w:rsidP="00CC5D06">
      <w:pPr>
        <w:spacing w:line="360" w:lineRule="auto"/>
        <w:jc w:val="both"/>
        <w:rPr>
          <w:rFonts w:ascii="Arial" w:hAnsi="Arial" w:cs="Arial"/>
        </w:rPr>
      </w:pPr>
      <w:r>
        <w:rPr>
          <w:rFonts w:ascii="Arial" w:hAnsi="Arial" w:cs="Arial"/>
          <w:b/>
          <w:bCs/>
        </w:rPr>
        <w:t>Figure</w:t>
      </w:r>
      <w:r w:rsidR="00970E1C" w:rsidRPr="00731102">
        <w:rPr>
          <w:rFonts w:ascii="Arial" w:hAnsi="Arial" w:cs="Arial"/>
          <w:b/>
          <w:bCs/>
        </w:rPr>
        <w:t xml:space="preserve"> 1:</w:t>
      </w:r>
      <w:r w:rsidR="00970E1C" w:rsidRPr="00B63C01">
        <w:rPr>
          <w:rFonts w:ascii="Arial" w:hAnsi="Arial" w:cs="Arial"/>
        </w:rPr>
        <w:t xml:space="preserve"> Graph to show the deaths registered weekly in the UK</w:t>
      </w:r>
      <w:r w:rsidR="00731102">
        <w:rPr>
          <w:rFonts w:ascii="Arial" w:hAnsi="Arial" w:cs="Arial"/>
        </w:rPr>
        <w:t xml:space="preserve"> (</w:t>
      </w:r>
      <w:r w:rsidR="00970E1C" w:rsidRPr="00B63C01">
        <w:rPr>
          <w:rFonts w:ascii="Arial" w:hAnsi="Arial" w:cs="Arial"/>
        </w:rPr>
        <w:t>Office for National Statistics, 2023</w:t>
      </w:r>
      <w:r w:rsidR="00731102">
        <w:rPr>
          <w:rFonts w:ascii="Arial" w:hAnsi="Arial" w:cs="Arial"/>
        </w:rPr>
        <w:t xml:space="preserve">). </w:t>
      </w:r>
    </w:p>
    <w:p w14:paraId="4EA107F8" w14:textId="310B54F0" w:rsidR="00644562" w:rsidRDefault="00970E1C" w:rsidP="00CC5D06">
      <w:pPr>
        <w:spacing w:line="360" w:lineRule="auto"/>
        <w:jc w:val="both"/>
        <w:rPr>
          <w:rFonts w:ascii="Arial" w:hAnsi="Arial" w:cs="Arial"/>
        </w:rPr>
      </w:pPr>
      <w:r w:rsidRPr="00B63C01">
        <w:rPr>
          <w:rFonts w:ascii="Arial" w:hAnsi="Arial" w:cs="Arial"/>
        </w:rPr>
        <w:t>512 of these deaths were registered in England, 47 in Wales, 56 in Scotland, and 4 Northern Ireland</w:t>
      </w:r>
      <w:r w:rsidR="00BA7B69" w:rsidRPr="00B63C01">
        <w:rPr>
          <w:rFonts w:ascii="Arial" w:hAnsi="Arial" w:cs="Arial"/>
        </w:rPr>
        <w:t xml:space="preserve">. In the UK, older adults were hospitalised more frequently than younger ones, who were more likely to have milder instances of the illness. Coronavirus primarily impacted older adults (Hopkins, J medicine, 2022). Not only are covid 19 infections necessitating hospitalisations feasible in younger persons, but the incidence of these instances is rising as the SARS-COV-2 coronavirus spreads. Although younger people can get COVID, they are less likely to require hospitalisation or pass away from it; instead, they frequently just experience and develop severe and long-lasting symptoms, especially if they already have diabetes, obesity, or hypertension. </w:t>
      </w:r>
      <w:r w:rsidR="008B573E" w:rsidRPr="00B63C01">
        <w:rPr>
          <w:rFonts w:ascii="Arial" w:hAnsi="Arial" w:cs="Arial"/>
        </w:rPr>
        <w:t xml:space="preserve">According to research data, more than 3,000 adults aged 18-34 have contracted COVID-19, and it has become severe enough to require hospital treatment. 21% were in intensive care, 10% were ventilated, and 2.7% died. </w:t>
      </w:r>
      <w:r w:rsidR="00731102">
        <w:rPr>
          <w:rFonts w:ascii="Arial" w:hAnsi="Arial" w:cs="Arial"/>
        </w:rPr>
        <w:t>Some findings for some people with long covid included ansomnia, difficulty concentrating and recalling memories, weakness, dizziness, shortness of breath, and tonsilitis. All of these symptoms are persistent symptoms. 14.7% of people reported to having persistent covid-19 symptoms at least 2 months after acute illness (</w:t>
      </w:r>
      <w:r w:rsidR="00330AD3">
        <w:rPr>
          <w:rFonts w:ascii="Arial" w:hAnsi="Arial" w:cs="Arial"/>
        </w:rPr>
        <w:t>Wick, J, 2023). Young</w:t>
      </w:r>
      <w:r w:rsidR="008B573E" w:rsidRPr="00B63C01">
        <w:rPr>
          <w:rFonts w:ascii="Arial" w:hAnsi="Arial" w:cs="Arial"/>
        </w:rPr>
        <w:t xml:space="preserve"> and Hispanic men and women are at higher risk than white men and women, according to Hopkins Medicine. This is because racial health disparities and social determinants of </w:t>
      </w:r>
      <w:r w:rsidR="008B573E" w:rsidRPr="00B63C01">
        <w:rPr>
          <w:rFonts w:ascii="Arial" w:hAnsi="Arial" w:cs="Arial"/>
        </w:rPr>
        <w:lastRenderedPageBreak/>
        <w:t>health have long existed, making them more vulnerable</w:t>
      </w:r>
      <w:r w:rsidR="00763135" w:rsidRPr="00B63C01">
        <w:rPr>
          <w:rFonts w:ascii="Arial" w:hAnsi="Arial" w:cs="Arial"/>
        </w:rPr>
        <w:t xml:space="preserve"> (Hopkins, J medicine, 2023). </w:t>
      </w:r>
      <w:r w:rsidR="008B573E" w:rsidRPr="00B63C01">
        <w:rPr>
          <w:rFonts w:ascii="Arial" w:hAnsi="Arial" w:cs="Arial"/>
        </w:rPr>
        <w:t>As we know, older people tend to have a weaker immune</w:t>
      </w:r>
      <w:r w:rsidR="00763135" w:rsidRPr="00B63C01">
        <w:rPr>
          <w:rFonts w:ascii="Arial" w:hAnsi="Arial" w:cs="Arial"/>
        </w:rPr>
        <w:t>, meaning their bodies won’t be able to fight the infections as rapid as younger people – saying this, older people may keep up to date more with their vaccinations, compared to the younger generation. The government states that 53.8 million people had the first dose of the vaccinations, 50.7</w:t>
      </w:r>
      <w:r w:rsidR="002A0A03" w:rsidRPr="00B63C01">
        <w:rPr>
          <w:rFonts w:ascii="Arial" w:hAnsi="Arial" w:cs="Arial"/>
        </w:rPr>
        <w:t xml:space="preserve"> million </w:t>
      </w:r>
      <w:r w:rsidR="00763135" w:rsidRPr="00B63C01">
        <w:rPr>
          <w:rFonts w:ascii="Arial" w:hAnsi="Arial" w:cs="Arial"/>
        </w:rPr>
        <w:t>had the second dose, and 40.3 million had the booster/ third dose. In total, 151,248,820 total vaccinations were given in the UK (</w:t>
      </w:r>
      <w:r w:rsidR="002A0A03" w:rsidRPr="00B63C01">
        <w:rPr>
          <w:rFonts w:ascii="Arial" w:hAnsi="Arial" w:cs="Arial"/>
        </w:rPr>
        <w:t xml:space="preserve">Covid-19, GOV, 2023). </w:t>
      </w:r>
      <w:r w:rsidR="00330AD3">
        <w:rPr>
          <w:rFonts w:ascii="Arial" w:hAnsi="Arial" w:cs="Arial"/>
        </w:rPr>
        <w:t xml:space="preserve">(AP News, 2021), states that </w:t>
      </w:r>
      <w:r w:rsidR="00330AD3">
        <w:rPr>
          <w:rFonts w:ascii="Arial" w:hAnsi="Arial" w:cs="Arial"/>
          <w:i/>
          <w:iCs/>
        </w:rPr>
        <w:t xml:space="preserve">“nearly all COVID deaths in US are now among unvaccinated”. </w:t>
      </w:r>
      <w:r w:rsidR="00330AD3">
        <w:rPr>
          <w:rFonts w:ascii="Arial" w:hAnsi="Arial" w:cs="Arial"/>
        </w:rPr>
        <w:t>This shows the importance of vaccinations, and how much it can impact someone’s life (Johnson &amp; Stobbe</w:t>
      </w:r>
      <w:r w:rsidR="009A3C93">
        <w:rPr>
          <w:rFonts w:ascii="Arial" w:hAnsi="Arial" w:cs="Arial"/>
        </w:rPr>
        <w:t xml:space="preserve">, </w:t>
      </w:r>
      <w:r w:rsidR="00330AD3">
        <w:rPr>
          <w:rFonts w:ascii="Arial" w:hAnsi="Arial" w:cs="Arial"/>
        </w:rPr>
        <w:t xml:space="preserve">2021). The article also stated the “staggering demonstration” about the effectiveness of the vaccinations and indications that the number of deaths per day – currently under 300 – could be close to zero if all eligible people were vaccinated (AP News, 2021). </w:t>
      </w:r>
    </w:p>
    <w:p w14:paraId="1AC63C01" w14:textId="41F8AA69" w:rsidR="009A3C93" w:rsidRDefault="009A3C93" w:rsidP="00CC5D06">
      <w:pPr>
        <w:spacing w:line="360" w:lineRule="auto"/>
        <w:jc w:val="both"/>
        <w:rPr>
          <w:rFonts w:ascii="Arial" w:hAnsi="Arial" w:cs="Arial"/>
        </w:rPr>
      </w:pPr>
    </w:p>
    <w:p w14:paraId="7BAE52E3" w14:textId="7C38F5B9" w:rsidR="009A3C93" w:rsidRPr="00330AD3" w:rsidRDefault="009A3C93" w:rsidP="00CC5D06">
      <w:pPr>
        <w:spacing w:line="360" w:lineRule="auto"/>
        <w:jc w:val="both"/>
        <w:rPr>
          <w:rFonts w:ascii="Arial" w:hAnsi="Arial" w:cs="Arial"/>
        </w:rPr>
      </w:pPr>
      <w:r>
        <w:rPr>
          <w:rFonts w:ascii="Arial" w:hAnsi="Arial" w:cs="Arial"/>
        </w:rPr>
        <w:t xml:space="preserve">To conclude, our findings finalised the importance of the covid-19 vaccine, what could happen if you don’t get vaccinated, the importance of identity – i.e, racial status – how it affects your health. At the start, we discovered the definition of ‘coronavirus’ and what it really is- which gave us a better understanding of what this essay was </w:t>
      </w:r>
      <w:proofErr w:type="gramStart"/>
      <w:r>
        <w:rPr>
          <w:rFonts w:ascii="Arial" w:hAnsi="Arial" w:cs="Arial"/>
        </w:rPr>
        <w:t>really about</w:t>
      </w:r>
      <w:proofErr w:type="gramEnd"/>
      <w:r>
        <w:rPr>
          <w:rFonts w:ascii="Arial" w:hAnsi="Arial" w:cs="Arial"/>
        </w:rPr>
        <w:t xml:space="preserve">. We then moved on to the hospitalisation part, where we discovered the amount of deaths happened, how many people had treatment and survived. We also discovered the amount of people who got vaccinated – which ended up being </w:t>
      </w:r>
      <w:r w:rsidRPr="00B63C01">
        <w:rPr>
          <w:rFonts w:ascii="Arial" w:hAnsi="Arial" w:cs="Arial"/>
        </w:rPr>
        <w:t>151,248,820</w:t>
      </w:r>
      <w:r>
        <w:rPr>
          <w:rFonts w:ascii="Arial" w:hAnsi="Arial" w:cs="Arial"/>
        </w:rPr>
        <w:t xml:space="preserve"> people in total. </w:t>
      </w:r>
      <w:r w:rsidR="00373485">
        <w:rPr>
          <w:rFonts w:ascii="Arial" w:hAnsi="Arial" w:cs="Arial"/>
        </w:rPr>
        <w:t xml:space="preserve">We also discovered the potential beginning to covid-19 (although many say different things). </w:t>
      </w:r>
    </w:p>
    <w:p w14:paraId="32A97210" w14:textId="29898EFB" w:rsidR="00970E1C" w:rsidRDefault="00970E1C"/>
    <w:p w14:paraId="1D3EEB62" w14:textId="11D8CAEC" w:rsidR="00970E1C" w:rsidRDefault="00970E1C"/>
    <w:p w14:paraId="44ED7BAD" w14:textId="65AE81AC" w:rsidR="00970E1C" w:rsidRDefault="00970E1C"/>
    <w:p w14:paraId="72B19DEA" w14:textId="23041292" w:rsidR="00970E1C" w:rsidRDefault="00970E1C"/>
    <w:p w14:paraId="6E49288D" w14:textId="07A5AE4D" w:rsidR="00970E1C" w:rsidRDefault="00970E1C"/>
    <w:p w14:paraId="7A1C63DC" w14:textId="2E2FEF5A" w:rsidR="00970E1C" w:rsidRDefault="00970E1C"/>
    <w:p w14:paraId="7FFE100E" w14:textId="50BAEA69" w:rsidR="00970E1C" w:rsidRDefault="00970E1C"/>
    <w:p w14:paraId="2DBFABC4" w14:textId="2D2D4E14" w:rsidR="00970E1C" w:rsidRDefault="00970E1C"/>
    <w:p w14:paraId="3E1920DE" w14:textId="650EC90D" w:rsidR="00970E1C" w:rsidRDefault="00970E1C"/>
    <w:p w14:paraId="0343E0DA" w14:textId="5E15B89A" w:rsidR="00970E1C" w:rsidRDefault="00970E1C"/>
    <w:p w14:paraId="5961D00C" w14:textId="3EED24BE" w:rsidR="00CC5D06" w:rsidRDefault="00CC5D06" w:rsidP="00922B17">
      <w:pPr>
        <w:jc w:val="both"/>
      </w:pPr>
    </w:p>
    <w:p w14:paraId="2AA756FB" w14:textId="77777777" w:rsidR="00731102" w:rsidRDefault="00731102" w:rsidP="00922B17">
      <w:pPr>
        <w:jc w:val="both"/>
      </w:pPr>
    </w:p>
    <w:p w14:paraId="33A2EEF4" w14:textId="085189DE" w:rsidR="00CC5D06" w:rsidRDefault="00CC5D06" w:rsidP="00922B17">
      <w:pPr>
        <w:jc w:val="both"/>
        <w:rPr>
          <w:rFonts w:ascii="Arial" w:hAnsi="Arial" w:cs="Arial"/>
          <w:b/>
          <w:bCs/>
          <w:sz w:val="32"/>
          <w:szCs w:val="32"/>
        </w:rPr>
      </w:pPr>
    </w:p>
    <w:p w14:paraId="3B22CB70" w14:textId="40E34D99" w:rsidR="00373485" w:rsidRDefault="00373485" w:rsidP="00922B17">
      <w:pPr>
        <w:jc w:val="both"/>
        <w:rPr>
          <w:rFonts w:ascii="Arial" w:hAnsi="Arial" w:cs="Arial"/>
          <w:b/>
          <w:bCs/>
          <w:sz w:val="32"/>
          <w:szCs w:val="32"/>
        </w:rPr>
      </w:pPr>
    </w:p>
    <w:p w14:paraId="6B24AC1D" w14:textId="77777777" w:rsidR="00373485" w:rsidRDefault="00373485" w:rsidP="00922B17">
      <w:pPr>
        <w:jc w:val="both"/>
        <w:rPr>
          <w:rFonts w:ascii="Arial" w:hAnsi="Arial" w:cs="Arial"/>
          <w:b/>
          <w:bCs/>
          <w:sz w:val="32"/>
          <w:szCs w:val="32"/>
        </w:rPr>
      </w:pPr>
    </w:p>
    <w:p w14:paraId="07E2425A" w14:textId="73A72BDB" w:rsidR="00003FEA" w:rsidRPr="00644562" w:rsidRDefault="00644562" w:rsidP="00922B17">
      <w:pPr>
        <w:jc w:val="both"/>
        <w:rPr>
          <w:rFonts w:ascii="Arial" w:hAnsi="Arial" w:cs="Arial"/>
          <w:b/>
          <w:bCs/>
          <w:sz w:val="32"/>
          <w:szCs w:val="32"/>
        </w:rPr>
      </w:pPr>
      <w:r w:rsidRPr="00644562">
        <w:rPr>
          <w:rFonts w:ascii="Arial" w:hAnsi="Arial" w:cs="Arial"/>
          <w:b/>
          <w:bCs/>
          <w:sz w:val="32"/>
          <w:szCs w:val="32"/>
        </w:rPr>
        <w:t>References</w:t>
      </w:r>
    </w:p>
    <w:p w14:paraId="4CE42284" w14:textId="4E64202D" w:rsidR="00763135" w:rsidRDefault="00763135" w:rsidP="002A0A03">
      <w:pPr>
        <w:pStyle w:val="NormalWeb"/>
        <w:ind w:left="567" w:hanging="567"/>
        <w:rPr>
          <w:rStyle w:val="apple-converted-space"/>
          <w:color w:val="000000"/>
        </w:rPr>
      </w:pPr>
      <w:r>
        <w:rPr>
          <w:i/>
          <w:iCs/>
          <w:color w:val="000000"/>
        </w:rPr>
        <w:t>England summary | Coronavirus (COVID-19) in the UK</w:t>
      </w:r>
      <w:r>
        <w:rPr>
          <w:rStyle w:val="apple-converted-space"/>
          <w:color w:val="000000"/>
        </w:rPr>
        <w:t> </w:t>
      </w:r>
      <w:r>
        <w:rPr>
          <w:color w:val="000000"/>
        </w:rPr>
        <w:t>(2023)</w:t>
      </w:r>
      <w:r>
        <w:rPr>
          <w:rStyle w:val="apple-converted-space"/>
          <w:color w:val="000000"/>
        </w:rPr>
        <w:t> </w:t>
      </w:r>
      <w:r>
        <w:rPr>
          <w:i/>
          <w:iCs/>
          <w:color w:val="000000"/>
        </w:rPr>
        <w:t>Vaccinations in United Kingdom</w:t>
      </w:r>
      <w:r>
        <w:rPr>
          <w:color w:val="000000"/>
        </w:rPr>
        <w:t>. Available at: https://coronavirus.data.gov.uk/details/vaccinations (Accessed: 11 May 2023).</w:t>
      </w:r>
      <w:r>
        <w:rPr>
          <w:rStyle w:val="apple-converted-space"/>
          <w:color w:val="000000"/>
        </w:rPr>
        <w:t> </w:t>
      </w:r>
    </w:p>
    <w:p w14:paraId="3FEAB53E" w14:textId="2A37CF69" w:rsidR="009A3C93" w:rsidRDefault="00952F17" w:rsidP="00BA7B69">
      <w:pPr>
        <w:pStyle w:val="NormalWeb"/>
        <w:ind w:left="567" w:hanging="567"/>
        <w:rPr>
          <w:rStyle w:val="apple-converted-space"/>
          <w:color w:val="000000"/>
        </w:rPr>
      </w:pPr>
      <w:r>
        <w:rPr>
          <w:i/>
          <w:iCs/>
          <w:color w:val="000000"/>
        </w:rPr>
        <w:t>Features, evaluation, and treatment of coronavirus (COVID-19)</w:t>
      </w:r>
      <w:r>
        <w:rPr>
          <w:rStyle w:val="apple-converted-space"/>
          <w:color w:val="000000"/>
        </w:rPr>
        <w:t> </w:t>
      </w:r>
      <w:r>
        <w:rPr>
          <w:color w:val="000000"/>
        </w:rPr>
        <w:t>(2023)</w:t>
      </w:r>
      <w:r>
        <w:rPr>
          <w:rStyle w:val="apple-converted-space"/>
          <w:color w:val="000000"/>
        </w:rPr>
        <w:t> </w:t>
      </w:r>
      <w:r>
        <w:rPr>
          <w:i/>
          <w:iCs/>
          <w:color w:val="000000"/>
        </w:rPr>
        <w:t>Features, Evaluation, and Treatment of Coronavirus (COVID-19)</w:t>
      </w:r>
      <w:r>
        <w:rPr>
          <w:color w:val="000000"/>
        </w:rPr>
        <w:t>. Available at: https://www.ncbi.nlm.nih.gov/books/NBK554776/ (Accessed: 10 May 2023).</w:t>
      </w:r>
      <w:r>
        <w:rPr>
          <w:rStyle w:val="apple-converted-space"/>
          <w:color w:val="000000"/>
        </w:rPr>
        <w:t> </w:t>
      </w:r>
    </w:p>
    <w:p w14:paraId="3A1CB85A" w14:textId="28742C0C" w:rsidR="009A3C93" w:rsidRDefault="009A3C93" w:rsidP="009A3C93">
      <w:pPr>
        <w:pStyle w:val="NormalWeb"/>
        <w:ind w:left="567" w:hanging="567"/>
        <w:rPr>
          <w:rStyle w:val="apple-converted-space"/>
          <w:color w:val="000000"/>
        </w:rPr>
      </w:pPr>
      <w:r>
        <w:rPr>
          <w:color w:val="000000"/>
        </w:rPr>
        <w:t>Johnson, C.K. and Stobbe, M. (2021)</w:t>
      </w:r>
      <w:r>
        <w:rPr>
          <w:rStyle w:val="apple-converted-space"/>
          <w:color w:val="000000"/>
        </w:rPr>
        <w:t> </w:t>
      </w:r>
      <w:r>
        <w:rPr>
          <w:i/>
          <w:iCs/>
          <w:color w:val="000000"/>
        </w:rPr>
        <w:t>Nearly all COVID deaths in US are now among unvaccinated</w:t>
      </w:r>
      <w:r>
        <w:rPr>
          <w:color w:val="000000"/>
        </w:rPr>
        <w:t>,</w:t>
      </w:r>
      <w:r>
        <w:rPr>
          <w:rStyle w:val="apple-converted-space"/>
          <w:color w:val="000000"/>
        </w:rPr>
        <w:t> </w:t>
      </w:r>
      <w:r>
        <w:rPr>
          <w:i/>
          <w:iCs/>
          <w:color w:val="000000"/>
        </w:rPr>
        <w:t>AP NEWS</w:t>
      </w:r>
      <w:r>
        <w:rPr>
          <w:color w:val="000000"/>
        </w:rPr>
        <w:t>. Available at: https://apnews.com/article/coronavirus-pandemic-health-941fcf43d9731c76c16e7354f5d5e187 (Accessed: 11 May 2023).</w:t>
      </w:r>
      <w:r>
        <w:rPr>
          <w:rStyle w:val="apple-converted-space"/>
          <w:color w:val="000000"/>
        </w:rPr>
        <w:t> </w:t>
      </w:r>
    </w:p>
    <w:p w14:paraId="0BCAA280" w14:textId="3B1DFBCC" w:rsidR="00373485" w:rsidRDefault="00373485" w:rsidP="00373485">
      <w:pPr>
        <w:pStyle w:val="NormalWeb"/>
        <w:ind w:left="567" w:hanging="567"/>
        <w:rPr>
          <w:color w:val="000000"/>
        </w:rPr>
      </w:pPr>
      <w:r>
        <w:rPr>
          <w:color w:val="000000"/>
        </w:rPr>
        <w:t>Mallapaty, S. (2021)</w:t>
      </w:r>
      <w:r>
        <w:rPr>
          <w:rStyle w:val="apple-converted-space"/>
          <w:color w:val="000000"/>
        </w:rPr>
        <w:t> </w:t>
      </w:r>
      <w:r>
        <w:rPr>
          <w:i/>
          <w:iCs/>
          <w:color w:val="000000"/>
        </w:rPr>
        <w:t>Where did covid come from? Five mysteries that remain</w:t>
      </w:r>
      <w:r>
        <w:rPr>
          <w:color w:val="000000"/>
        </w:rPr>
        <w:t>,</w:t>
      </w:r>
      <w:r>
        <w:rPr>
          <w:rStyle w:val="apple-converted-space"/>
          <w:color w:val="000000"/>
        </w:rPr>
        <w:t> </w:t>
      </w:r>
      <w:r>
        <w:rPr>
          <w:i/>
          <w:iCs/>
          <w:color w:val="000000"/>
        </w:rPr>
        <w:t>Nature News</w:t>
      </w:r>
      <w:r>
        <w:rPr>
          <w:color w:val="000000"/>
        </w:rPr>
        <w:t>. Available at: https://www.nature.com/articles/d41586-021-00502-4#:~:text=The%20WHO%20team%20concluded%20that,and%20then%20sparked%20an%20outbreak. (Accessed: 11 May 2023).</w:t>
      </w:r>
      <w:r>
        <w:rPr>
          <w:rStyle w:val="apple-converted-space"/>
          <w:color w:val="000000"/>
        </w:rPr>
        <w:t> </w:t>
      </w:r>
    </w:p>
    <w:p w14:paraId="758084CC" w14:textId="431CB8CF" w:rsidR="00BA7B69" w:rsidRDefault="00BA7B69" w:rsidP="00BA7B69">
      <w:pPr>
        <w:pStyle w:val="NormalWeb"/>
        <w:ind w:left="567" w:hanging="567"/>
        <w:rPr>
          <w:rStyle w:val="apple-converted-space"/>
          <w:color w:val="000000"/>
        </w:rPr>
      </w:pPr>
      <w:r>
        <w:rPr>
          <w:color w:val="000000"/>
        </w:rPr>
        <w:t>Maragakis, L.L. (2022)</w:t>
      </w:r>
      <w:r>
        <w:rPr>
          <w:rStyle w:val="apple-converted-space"/>
          <w:color w:val="000000"/>
        </w:rPr>
        <w:t> </w:t>
      </w:r>
      <w:r>
        <w:rPr>
          <w:i/>
          <w:iCs/>
          <w:color w:val="000000"/>
        </w:rPr>
        <w:t>Coronavirus and covid-19: Younger adults are at risk, too</w:t>
      </w:r>
      <w:r>
        <w:rPr>
          <w:color w:val="000000"/>
        </w:rPr>
        <w:t>,</w:t>
      </w:r>
      <w:r>
        <w:rPr>
          <w:rStyle w:val="apple-converted-space"/>
          <w:color w:val="000000"/>
        </w:rPr>
        <w:t> </w:t>
      </w:r>
      <w:r>
        <w:rPr>
          <w:i/>
          <w:iCs/>
          <w:color w:val="000000"/>
        </w:rPr>
        <w:t xml:space="preserve">Coronavirus and COVID-19: Younger Adults Are at Risk, </w:t>
      </w:r>
      <w:proofErr w:type="gramStart"/>
      <w:r>
        <w:rPr>
          <w:i/>
          <w:iCs/>
          <w:color w:val="000000"/>
        </w:rPr>
        <w:t>Too</w:t>
      </w:r>
      <w:proofErr w:type="gramEnd"/>
      <w:r>
        <w:rPr>
          <w:i/>
          <w:iCs/>
          <w:color w:val="000000"/>
        </w:rPr>
        <w:t xml:space="preserve"> | Johns Hopkins Medicine</w:t>
      </w:r>
      <w:r>
        <w:rPr>
          <w:color w:val="000000"/>
        </w:rPr>
        <w:t>. Available at: https://www.hopkinsmedicine.org/health/conditions-and-diseases/coronavirus/coronavirus-and-covid-19-younger-adults-are-at-risk-too (Accessed: 10 May 2023).</w:t>
      </w:r>
      <w:r>
        <w:rPr>
          <w:rStyle w:val="apple-converted-space"/>
          <w:color w:val="000000"/>
        </w:rPr>
        <w:t> </w:t>
      </w:r>
    </w:p>
    <w:p w14:paraId="1EA96424" w14:textId="4A8E86BC" w:rsidR="00CC5D06" w:rsidRDefault="00CC5D06" w:rsidP="00CC5D06">
      <w:pPr>
        <w:pStyle w:val="NormalWeb"/>
        <w:ind w:left="567" w:hanging="567"/>
        <w:rPr>
          <w:color w:val="000000"/>
        </w:rPr>
      </w:pPr>
      <w:proofErr w:type="spellStart"/>
      <w:r>
        <w:rPr>
          <w:color w:val="000000"/>
        </w:rPr>
        <w:t>Mckie</w:t>
      </w:r>
      <w:proofErr w:type="spellEnd"/>
      <w:r>
        <w:rPr>
          <w:color w:val="000000"/>
        </w:rPr>
        <w:t>, R. (2023)</w:t>
      </w:r>
      <w:r>
        <w:rPr>
          <w:rStyle w:val="apple-converted-space"/>
          <w:color w:val="000000"/>
        </w:rPr>
        <w:t> </w:t>
      </w:r>
      <w:r>
        <w:rPr>
          <w:i/>
          <w:iCs/>
          <w:color w:val="000000"/>
        </w:rPr>
        <w:t xml:space="preserve">Is Covid </w:t>
      </w:r>
      <w:proofErr w:type="gramStart"/>
      <w:r>
        <w:rPr>
          <w:i/>
          <w:iCs/>
          <w:color w:val="000000"/>
        </w:rPr>
        <w:t>really over</w:t>
      </w:r>
      <w:proofErr w:type="gramEnd"/>
      <w:r>
        <w:rPr>
          <w:i/>
          <w:iCs/>
          <w:color w:val="000000"/>
        </w:rPr>
        <w:t>? who’s announcement sounds more like surrender than victory</w:t>
      </w:r>
      <w:r>
        <w:rPr>
          <w:color w:val="000000"/>
        </w:rPr>
        <w:t>,</w:t>
      </w:r>
      <w:r>
        <w:rPr>
          <w:rStyle w:val="apple-converted-space"/>
          <w:color w:val="000000"/>
        </w:rPr>
        <w:t> </w:t>
      </w:r>
      <w:r>
        <w:rPr>
          <w:i/>
          <w:iCs/>
          <w:color w:val="000000"/>
        </w:rPr>
        <w:t>The Guardian</w:t>
      </w:r>
      <w:r>
        <w:rPr>
          <w:color w:val="000000"/>
        </w:rPr>
        <w:t>. Available at: https://www.theguardian.com/world/2023/may/07/is-covid-really-over-whos-announcement-sounds-more-like-surrender-than-victory (Accessed: 11 May 2023).</w:t>
      </w:r>
      <w:r>
        <w:rPr>
          <w:rStyle w:val="apple-converted-space"/>
          <w:color w:val="000000"/>
        </w:rPr>
        <w:t> </w:t>
      </w:r>
    </w:p>
    <w:p w14:paraId="0E6DC6F6" w14:textId="62BCCF55" w:rsidR="00644562" w:rsidRDefault="00644562" w:rsidP="00644562">
      <w:pPr>
        <w:pStyle w:val="NormalWeb"/>
        <w:ind w:left="567" w:hanging="567"/>
        <w:rPr>
          <w:rStyle w:val="apple-converted-space"/>
          <w:color w:val="000000"/>
        </w:rPr>
      </w:pPr>
      <w:r>
        <w:rPr>
          <w:color w:val="000000"/>
        </w:rPr>
        <w:t>Person (2023)</w:t>
      </w:r>
      <w:r>
        <w:rPr>
          <w:rStyle w:val="apple-converted-space"/>
          <w:color w:val="000000"/>
        </w:rPr>
        <w:t> </w:t>
      </w:r>
      <w:r>
        <w:rPr>
          <w:i/>
          <w:iCs/>
          <w:color w:val="000000"/>
        </w:rPr>
        <w:t>Coronavirus (COVID-19) latest insights: Deaths</w:t>
      </w:r>
      <w:r>
        <w:rPr>
          <w:color w:val="000000"/>
        </w:rPr>
        <w:t>,</w:t>
      </w:r>
      <w:r>
        <w:rPr>
          <w:rStyle w:val="apple-converted-space"/>
          <w:color w:val="000000"/>
        </w:rPr>
        <w:t> </w:t>
      </w:r>
      <w:r>
        <w:rPr>
          <w:i/>
          <w:iCs/>
          <w:color w:val="000000"/>
        </w:rPr>
        <w:t>Coronavirus (COVID-19) latest insights - Office for National Statistics</w:t>
      </w:r>
      <w:r>
        <w:rPr>
          <w:color w:val="000000"/>
        </w:rPr>
        <w:t>. Available at: https://www.ons.gov.uk/peoplepopulationandcommunity/healthandsocialcare/conditionsanddiseases/articles/coronaviruscovid19latestinsights/deaths (Accessed: 09 May 2023).</w:t>
      </w:r>
      <w:r>
        <w:rPr>
          <w:rStyle w:val="apple-converted-space"/>
          <w:color w:val="000000"/>
        </w:rPr>
        <w:t> </w:t>
      </w:r>
    </w:p>
    <w:p w14:paraId="006ACC6B" w14:textId="4398F03F" w:rsidR="00330AD3" w:rsidRDefault="00330AD3" w:rsidP="00330AD3">
      <w:pPr>
        <w:pStyle w:val="NormalWeb"/>
        <w:ind w:left="567" w:hanging="567"/>
        <w:rPr>
          <w:color w:val="000000"/>
        </w:rPr>
      </w:pPr>
      <w:proofErr w:type="spellStart"/>
      <w:r>
        <w:rPr>
          <w:color w:val="000000"/>
        </w:rPr>
        <w:t>Yeznach</w:t>
      </w:r>
      <w:proofErr w:type="spellEnd"/>
      <w:r>
        <w:rPr>
          <w:color w:val="000000"/>
        </w:rPr>
        <w:t xml:space="preserve"> Wick, J. (2023)</w:t>
      </w:r>
      <w:r>
        <w:rPr>
          <w:rStyle w:val="apple-converted-space"/>
          <w:color w:val="000000"/>
        </w:rPr>
        <w:t> </w:t>
      </w:r>
      <w:r>
        <w:rPr>
          <w:i/>
          <w:iCs/>
          <w:color w:val="000000"/>
        </w:rPr>
        <w:t>Fourteen percent of those who contracted covid-19 face long-term challenges</w:t>
      </w:r>
      <w:r>
        <w:rPr>
          <w:color w:val="000000"/>
        </w:rPr>
        <w:t>,</w:t>
      </w:r>
      <w:r>
        <w:rPr>
          <w:rStyle w:val="apple-converted-space"/>
          <w:color w:val="000000"/>
        </w:rPr>
        <w:t> </w:t>
      </w:r>
      <w:r>
        <w:rPr>
          <w:i/>
          <w:iCs/>
          <w:color w:val="000000"/>
        </w:rPr>
        <w:t>Pharmacy Times</w:t>
      </w:r>
      <w:r>
        <w:rPr>
          <w:color w:val="000000"/>
        </w:rPr>
        <w:t>. Available at: https://www.pharmacytimes.com/view/fourteen-percent-of-those-who-contracted-covid-19-face-long-term-challenges#:~:text=Investigators%20found%20that%2014.7%25%20reported,2%20months%20after%20acute%20illness. (Accessed: 11 May 2023).</w:t>
      </w:r>
      <w:r>
        <w:rPr>
          <w:rStyle w:val="apple-converted-space"/>
          <w:color w:val="000000"/>
        </w:rPr>
        <w:t> </w:t>
      </w:r>
    </w:p>
    <w:p w14:paraId="088E8F77" w14:textId="3037A6DB" w:rsidR="00644562" w:rsidRDefault="00644562" w:rsidP="00922B17">
      <w:pPr>
        <w:jc w:val="both"/>
      </w:pPr>
    </w:p>
    <w:p w14:paraId="6208E1B8" w14:textId="09C83899" w:rsidR="00373485" w:rsidRDefault="00373485" w:rsidP="00922B17">
      <w:pPr>
        <w:jc w:val="both"/>
      </w:pPr>
    </w:p>
    <w:p w14:paraId="612FF682" w14:textId="0810CA86" w:rsidR="00373485" w:rsidRDefault="00373485" w:rsidP="00922B17">
      <w:pPr>
        <w:jc w:val="both"/>
      </w:pPr>
    </w:p>
    <w:p w14:paraId="07361C5F" w14:textId="41EB2A00" w:rsidR="00373485" w:rsidRDefault="00373485" w:rsidP="00922B17">
      <w:pPr>
        <w:jc w:val="both"/>
      </w:pPr>
    </w:p>
    <w:p w14:paraId="323B89BC" w14:textId="311FB0D6" w:rsidR="00373485" w:rsidRDefault="00373485" w:rsidP="00922B17">
      <w:pPr>
        <w:jc w:val="both"/>
      </w:pPr>
    </w:p>
    <w:p w14:paraId="27CFDCC8" w14:textId="20A2E489" w:rsidR="00373485" w:rsidRPr="00373485" w:rsidRDefault="00373485" w:rsidP="00373485">
      <w:pPr>
        <w:pStyle w:val="ListParagraph"/>
        <w:numPr>
          <w:ilvl w:val="0"/>
          <w:numId w:val="1"/>
        </w:numPr>
        <w:jc w:val="both"/>
        <w:rPr>
          <w:rFonts w:ascii="Arial" w:hAnsi="Arial" w:cs="Arial"/>
        </w:rPr>
      </w:pPr>
      <w:r w:rsidRPr="00373485">
        <w:rPr>
          <w:rFonts w:ascii="Arial" w:hAnsi="Arial" w:cs="Arial"/>
          <w:b/>
          <w:bCs/>
        </w:rPr>
        <w:lastRenderedPageBreak/>
        <w:t>Describe the risk of different covid-19 outcomes in active and inactive populations.</w:t>
      </w:r>
    </w:p>
    <w:p w14:paraId="3838E742" w14:textId="15AAC50D" w:rsidR="00373485" w:rsidRDefault="00373485" w:rsidP="00373485">
      <w:pPr>
        <w:jc w:val="both"/>
      </w:pPr>
    </w:p>
    <w:p w14:paraId="53563B05" w14:textId="5B26861A" w:rsidR="00373485" w:rsidRDefault="00373485" w:rsidP="00373485">
      <w:pPr>
        <w:spacing w:line="360" w:lineRule="auto"/>
        <w:jc w:val="both"/>
        <w:rPr>
          <w:rFonts w:ascii="Arial" w:hAnsi="Arial" w:cs="Arial"/>
        </w:rPr>
      </w:pPr>
      <w:r w:rsidRPr="00373485">
        <w:rPr>
          <w:rFonts w:ascii="Arial" w:hAnsi="Arial" w:cs="Arial"/>
        </w:rPr>
        <w:t xml:space="preserve">To start off with, </w:t>
      </w:r>
      <w:r>
        <w:rPr>
          <w:rFonts w:ascii="Arial" w:hAnsi="Arial" w:cs="Arial"/>
        </w:rPr>
        <w:t>the most active population group is between ages 19 and 24, and then people aged 75+ for inactive population group</w:t>
      </w:r>
      <w:r w:rsidR="00B2538E">
        <w:rPr>
          <w:rFonts w:ascii="Arial" w:hAnsi="Arial" w:cs="Arial"/>
        </w:rPr>
        <w:t xml:space="preserve"> (Physical inactivity, 2019). </w:t>
      </w:r>
      <w:r w:rsidR="00266343">
        <w:rPr>
          <w:rFonts w:ascii="Arial" w:hAnsi="Arial" w:cs="Arial"/>
        </w:rPr>
        <w:t xml:space="preserve">As much as this makes sense in our world, we might fall into some disagreements when we say that teenagers may be the most inactive group – due to social media, technology and so forth. Yes, they may be influenced by their peers and social media influencers/ movie starts etc to look a certain way, but then with that comes motivation and the individualised need to change for themselves. </w:t>
      </w:r>
    </w:p>
    <w:p w14:paraId="0262C9A7" w14:textId="22DEC42A" w:rsidR="00266343" w:rsidRDefault="00266343" w:rsidP="00373485">
      <w:pPr>
        <w:spacing w:line="360" w:lineRule="auto"/>
        <w:jc w:val="both"/>
        <w:rPr>
          <w:rFonts w:ascii="Arial" w:hAnsi="Arial" w:cs="Arial"/>
        </w:rPr>
      </w:pPr>
    </w:p>
    <w:p w14:paraId="3F0C0370" w14:textId="328DD31D" w:rsidR="00621A1B" w:rsidRDefault="00621A1B" w:rsidP="00373485">
      <w:pPr>
        <w:spacing w:line="360" w:lineRule="auto"/>
        <w:jc w:val="both"/>
        <w:rPr>
          <w:rFonts w:ascii="Arial" w:hAnsi="Arial" w:cs="Arial"/>
        </w:rPr>
      </w:pPr>
      <w:r>
        <w:rPr>
          <w:rFonts w:ascii="Arial" w:hAnsi="Arial" w:cs="Arial"/>
        </w:rPr>
        <w:t>The British Journal of sports medicine carried out a strategic method to find out if being inactive had an effect on a person – to determine whether it increased their likelihood of having covid-19 or not. They measured vital signs at least three times during exercise between 1</w:t>
      </w:r>
      <w:r w:rsidRPr="00621A1B">
        <w:rPr>
          <w:rFonts w:ascii="Arial" w:hAnsi="Arial" w:cs="Arial"/>
          <w:vertAlign w:val="superscript"/>
        </w:rPr>
        <w:t>st</w:t>
      </w:r>
      <w:r>
        <w:rPr>
          <w:rFonts w:ascii="Arial" w:hAnsi="Arial" w:cs="Arial"/>
        </w:rPr>
        <w:t xml:space="preserve"> January 2020, and 21</w:t>
      </w:r>
      <w:r w:rsidRPr="00621A1B">
        <w:rPr>
          <w:rFonts w:ascii="Arial" w:hAnsi="Arial" w:cs="Arial"/>
          <w:vertAlign w:val="superscript"/>
        </w:rPr>
        <w:t>st</w:t>
      </w:r>
      <w:r>
        <w:rPr>
          <w:rFonts w:ascii="Arial" w:hAnsi="Arial" w:cs="Arial"/>
        </w:rPr>
        <w:t xml:space="preserve"> October 2020, and then 19</w:t>
      </w:r>
      <w:r>
        <w:rPr>
          <w:rFonts w:ascii="Arial" w:hAnsi="Arial" w:cs="Arial"/>
          <w:vertAlign w:val="superscript"/>
        </w:rPr>
        <w:t xml:space="preserve">th </w:t>
      </w:r>
      <w:r>
        <w:rPr>
          <w:rFonts w:ascii="Arial" w:hAnsi="Arial" w:cs="Arial"/>
        </w:rPr>
        <w:t>March 2018 and 18</w:t>
      </w:r>
      <w:r w:rsidRPr="00621A1B">
        <w:rPr>
          <w:rFonts w:ascii="Arial" w:hAnsi="Arial" w:cs="Arial"/>
          <w:vertAlign w:val="superscript"/>
        </w:rPr>
        <w:t>th</w:t>
      </w:r>
      <w:r>
        <w:rPr>
          <w:rFonts w:ascii="Arial" w:hAnsi="Arial" w:cs="Arial"/>
        </w:rPr>
        <w:t xml:space="preserve"> March 2020, and they had identified 48, 440 adult patients diagnosed with coronavirus infection. They correlated each patient’s self-report. Physical activity categories were consistent inactivity = 0-10 minutes per week; any activity 11-149 minutes per week; consistent adherence to guidelines = &gt;150 minutes per week) and post-COVID-19 hospitalisation, ICU admissions and risk of death. Covid-19 patients who remained physically inactive had a higher risk of covid-19 hospitalisation, ICU admission, and death than those who consistently adhered to physical activity guidelines. Patients who remained physically inactive had a higher risk of covid-19 hospitalisation, ICU admission, and death than those who exercised</w:t>
      </w:r>
      <w:r w:rsidR="00B2538E">
        <w:rPr>
          <w:rFonts w:ascii="Arial" w:hAnsi="Arial" w:cs="Arial"/>
        </w:rPr>
        <w:t xml:space="preserve"> (BJSM, 2021). </w:t>
      </w:r>
    </w:p>
    <w:p w14:paraId="2487B65D" w14:textId="056BE2D5" w:rsidR="00621A1B" w:rsidRDefault="00621A1B" w:rsidP="00373485">
      <w:pPr>
        <w:spacing w:line="360" w:lineRule="auto"/>
        <w:jc w:val="both"/>
        <w:rPr>
          <w:rFonts w:ascii="Arial" w:hAnsi="Arial" w:cs="Arial"/>
        </w:rPr>
      </w:pPr>
    </w:p>
    <w:p w14:paraId="4CA15B01" w14:textId="36150ED0" w:rsidR="001B2465" w:rsidRDefault="00621A1B" w:rsidP="00373485">
      <w:pPr>
        <w:spacing w:line="360" w:lineRule="auto"/>
        <w:jc w:val="both"/>
        <w:rPr>
          <w:rFonts w:ascii="Arial" w:hAnsi="Arial" w:cs="Arial"/>
        </w:rPr>
      </w:pPr>
      <w:r>
        <w:rPr>
          <w:rFonts w:ascii="Arial" w:hAnsi="Arial" w:cs="Arial"/>
        </w:rPr>
        <w:t xml:space="preserve">The pandemic was not a healthy time for anyone, physically nor mentally. Maybe one reason someone wasn’t adhering to physical activity or wanting to do any physical activity is when at that time no one was allowed to leave the house, many people didn’t have gyms, couldn’t go for a run or a </w:t>
      </w:r>
      <w:r w:rsidR="00B2538E">
        <w:rPr>
          <w:rFonts w:ascii="Arial" w:hAnsi="Arial" w:cs="Arial"/>
        </w:rPr>
        <w:t>long-distanced</w:t>
      </w:r>
      <w:r>
        <w:rPr>
          <w:rFonts w:ascii="Arial" w:hAnsi="Arial" w:cs="Arial"/>
        </w:rPr>
        <w:t xml:space="preserve"> walk – making people not want to do any form of physical activity. </w:t>
      </w:r>
      <w:r w:rsidR="00B2538E">
        <w:rPr>
          <w:rFonts w:ascii="Arial" w:hAnsi="Arial" w:cs="Arial"/>
        </w:rPr>
        <w:t>It had a lot to do with the rules given.</w:t>
      </w:r>
      <w:r w:rsidR="00943C96">
        <w:rPr>
          <w:rFonts w:ascii="Arial" w:hAnsi="Arial" w:cs="Arial"/>
        </w:rPr>
        <w:t xml:space="preserve"> This would then lead to unhealthy eating and ending up gaining weight. COVID-19-related mortality remained 1.64 and 1.62 times higher in obese men and women than in non-obese men, respectively. This suggests that some, but not all, of the increased risk associated with obesity is due to comorbidities (Bosworth &amp; Nafilyan, 2022). The website also stated that the age standardized mortality rate (ASMR) for death from all </w:t>
      </w:r>
      <w:r w:rsidR="00943C96">
        <w:rPr>
          <w:rFonts w:ascii="Arial" w:hAnsi="Arial" w:cs="Arial"/>
        </w:rPr>
        <w:lastRenderedPageBreak/>
        <w:t xml:space="preserve">causes was higher in obese people (413.4 and 286 deaths per 100,000 person-years for men and women) than in non-obese people (317.6 and 217.8, respectively) was higher. </w:t>
      </w:r>
      <w:r w:rsidR="003304F9">
        <w:rPr>
          <w:rFonts w:ascii="Arial" w:hAnsi="Arial" w:cs="Arial"/>
        </w:rPr>
        <w:t xml:space="preserve">After </w:t>
      </w:r>
      <w:r w:rsidR="00654589">
        <w:rPr>
          <w:rFonts w:ascii="Arial" w:hAnsi="Arial" w:cs="Arial"/>
        </w:rPr>
        <w:t>adjusting</w:t>
      </w:r>
      <w:r w:rsidR="003304F9">
        <w:rPr>
          <w:rFonts w:ascii="Arial" w:hAnsi="Arial" w:cs="Arial"/>
        </w:rPr>
        <w:t xml:space="preserve"> for factors associated with obesity and mortality risk (such as age, ethnicity, socioeconomic, geographical characteristics, smoking status), overall mortality was 1.22 and 1.12 times higher in men, respectively – which is the comparison of obese and non-obese people. </w:t>
      </w:r>
    </w:p>
    <w:p w14:paraId="189400F8" w14:textId="72019067" w:rsidR="001B2465" w:rsidRDefault="001B2465" w:rsidP="00373485">
      <w:pPr>
        <w:spacing w:line="360" w:lineRule="auto"/>
        <w:jc w:val="both"/>
        <w:rPr>
          <w:rFonts w:ascii="Arial" w:hAnsi="Arial" w:cs="Arial"/>
        </w:rPr>
      </w:pPr>
      <w:r>
        <w:rPr>
          <w:rFonts w:ascii="Arial" w:hAnsi="Arial" w:cs="Arial"/>
        </w:rPr>
        <w:t>Risk ratios for all-cause covid-19-related and unrelated covid-19 deaths in obese compared to non-obese people, stratified by sex in the UK:</w:t>
      </w:r>
    </w:p>
    <w:p w14:paraId="410DBBE0" w14:textId="18FB950E" w:rsidR="001B2465" w:rsidRDefault="001B2465" w:rsidP="00373485">
      <w:pPr>
        <w:spacing w:line="360" w:lineRule="auto"/>
        <w:jc w:val="both"/>
        <w:rPr>
          <w:rFonts w:ascii="Arial" w:hAnsi="Arial" w:cs="Arial"/>
        </w:rPr>
      </w:pPr>
      <w:r>
        <w:rPr>
          <w:rFonts w:ascii="Arial" w:hAnsi="Arial" w:cs="Arial"/>
          <w:noProof/>
        </w:rPr>
        <w:drawing>
          <wp:inline distT="0" distB="0" distL="0" distR="0" wp14:anchorId="0691F176" wp14:editId="0D1F4358">
            <wp:extent cx="5731510" cy="3754755"/>
            <wp:effectExtent l="0" t="0" r="0" b="4445"/>
            <wp:docPr id="2" name="Picture 2" descr="A picture containing text, diagram,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iagram, number, fo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54755"/>
                    </a:xfrm>
                    <a:prstGeom prst="rect">
                      <a:avLst/>
                    </a:prstGeom>
                  </pic:spPr>
                </pic:pic>
              </a:graphicData>
            </a:graphic>
          </wp:inline>
        </w:drawing>
      </w:r>
    </w:p>
    <w:p w14:paraId="4F9F1AE2" w14:textId="69431010" w:rsidR="001B2465" w:rsidRPr="004343ED" w:rsidRDefault="004343ED" w:rsidP="00373485">
      <w:pPr>
        <w:spacing w:line="360" w:lineRule="auto"/>
        <w:jc w:val="both"/>
        <w:rPr>
          <w:rFonts w:ascii="Arial" w:hAnsi="Arial" w:cs="Arial"/>
        </w:rPr>
      </w:pPr>
      <w:r w:rsidRPr="004343ED">
        <w:rPr>
          <w:rFonts w:ascii="Arial" w:hAnsi="Arial" w:cs="Arial"/>
          <w:b/>
          <w:bCs/>
        </w:rPr>
        <w:t xml:space="preserve">Figure 2: </w:t>
      </w:r>
      <w:r>
        <w:rPr>
          <w:rFonts w:ascii="Arial" w:hAnsi="Arial" w:cs="Arial"/>
        </w:rPr>
        <w:t>People with obesity had higher adjusted rates of all-cause mortality, death involving covid-19, along with death not involved with covid-19. Source: Office for National Statistics, 2022.</w:t>
      </w:r>
    </w:p>
    <w:p w14:paraId="55DCDCAF" w14:textId="77777777" w:rsidR="00654589" w:rsidRDefault="00654589" w:rsidP="00373485">
      <w:pPr>
        <w:spacing w:line="360" w:lineRule="auto"/>
        <w:jc w:val="both"/>
        <w:rPr>
          <w:rFonts w:ascii="Arial" w:hAnsi="Arial" w:cs="Arial"/>
        </w:rPr>
      </w:pPr>
    </w:p>
    <w:p w14:paraId="7A0BEC30" w14:textId="0D98470F" w:rsidR="00654589" w:rsidRDefault="00654589" w:rsidP="00373485">
      <w:pPr>
        <w:spacing w:line="360" w:lineRule="auto"/>
        <w:jc w:val="both"/>
        <w:rPr>
          <w:rFonts w:ascii="Arial" w:hAnsi="Arial" w:cs="Arial"/>
        </w:rPr>
      </w:pPr>
      <w:r>
        <w:rPr>
          <w:rFonts w:ascii="Arial" w:hAnsi="Arial" w:cs="Arial"/>
        </w:rPr>
        <w:t>As we can see from this figure, the blue parts are the “</w:t>
      </w:r>
      <w:r>
        <w:rPr>
          <w:rFonts w:ascii="Arial" w:hAnsi="Arial" w:cs="Arial"/>
          <w:i/>
          <w:iCs/>
        </w:rPr>
        <w:t xml:space="preserve">95% confidence interval”. </w:t>
      </w:r>
      <w:r>
        <w:rPr>
          <w:rFonts w:ascii="Arial" w:hAnsi="Arial" w:cs="Arial"/>
        </w:rPr>
        <w:t>The confidence interval for not involving covid-19 remained around the same rate for both males and females. It is obvious to state that the “involving covid-19” section, has a longer confidence interval compared to the all causes and not-involving covid-19. The rate for involving covid-19 in both males and females lay around the same kind of place, which is between “</w:t>
      </w:r>
      <w:r>
        <w:rPr>
          <w:rFonts w:ascii="Arial" w:hAnsi="Arial" w:cs="Arial"/>
          <w:i/>
          <w:iCs/>
        </w:rPr>
        <w:t xml:space="preserve">2x the rate” </w:t>
      </w:r>
      <w:r>
        <w:rPr>
          <w:rFonts w:ascii="Arial" w:hAnsi="Arial" w:cs="Arial"/>
        </w:rPr>
        <w:t xml:space="preserve">and </w:t>
      </w:r>
      <w:r>
        <w:rPr>
          <w:rFonts w:ascii="Arial" w:hAnsi="Arial" w:cs="Arial"/>
          <w:i/>
          <w:iCs/>
        </w:rPr>
        <w:t>“2.5x the rate”</w:t>
      </w:r>
      <w:r>
        <w:rPr>
          <w:rFonts w:ascii="Arial" w:hAnsi="Arial" w:cs="Arial"/>
        </w:rPr>
        <w:t>. The comparison of COVID-19 related deaths is additionally corrected for COVID-19 vaccination status.</w:t>
      </w:r>
    </w:p>
    <w:p w14:paraId="25EABF5A" w14:textId="76176351" w:rsidR="00654589" w:rsidRDefault="00654589" w:rsidP="00373485">
      <w:pPr>
        <w:spacing w:line="360" w:lineRule="auto"/>
        <w:jc w:val="both"/>
        <w:rPr>
          <w:rFonts w:ascii="Arial" w:hAnsi="Arial" w:cs="Arial"/>
        </w:rPr>
      </w:pPr>
      <w:r>
        <w:rPr>
          <w:rFonts w:ascii="Arial" w:hAnsi="Arial" w:cs="Arial"/>
        </w:rPr>
        <w:lastRenderedPageBreak/>
        <w:t>The NIH says that obese patients with covid-19 infection have experienced increases respiratory symptoms, renal damage, thrombosis (e.g., pulmonary embolism), and coagulopathy</w:t>
      </w:r>
      <w:r w:rsidR="00F66C26">
        <w:rPr>
          <w:rFonts w:ascii="Arial" w:hAnsi="Arial" w:cs="Arial"/>
        </w:rPr>
        <w:t xml:space="preserve"> (Lavie et al., 2021). </w:t>
      </w:r>
      <w:r w:rsidR="00B36CB9">
        <w:rPr>
          <w:rFonts w:ascii="Arial" w:hAnsi="Arial" w:cs="Arial"/>
        </w:rPr>
        <w:t xml:space="preserve">According to one research, obesity rates increased across England in 2020 (the first year of covid-19 epidemic), and disparities in obesity prevalence between the least and most poor districts developed (Holmes, J, 2022). The obesity rates have increased quite a bit between 2019/20 and 2020/21, by just 2 points (16 and 18). This means that more people are becoming obese, which will almost certainly lead to poorer health and add to health inequities. Social, </w:t>
      </w:r>
      <w:proofErr w:type="gramStart"/>
      <w:r w:rsidR="00B36CB9">
        <w:rPr>
          <w:rFonts w:ascii="Arial" w:hAnsi="Arial" w:cs="Arial"/>
        </w:rPr>
        <w:t>economic</w:t>
      </w:r>
      <w:proofErr w:type="gramEnd"/>
      <w:r w:rsidR="00B36CB9">
        <w:rPr>
          <w:rFonts w:ascii="Arial" w:hAnsi="Arial" w:cs="Arial"/>
        </w:rPr>
        <w:t xml:space="preserve"> and environmental factors make it extremely difficult for people living in disadvantaged areas to eat healthy. For example, following the government’s Eatwell policy, food costs would nearly triple the current weekly average per person. There is also a very strong link between poverty and the number of fast food restaurants in the neighbourhood. Furthermore, the measures taken to curb the spread of COVID-19 in 2020/21 may have affected people’s health behaviours, including diet and physical activity, in different ways.  </w:t>
      </w:r>
      <w:r w:rsidR="00235CCF">
        <w:rPr>
          <w:rFonts w:ascii="Arial" w:hAnsi="Arial" w:cs="Arial"/>
        </w:rPr>
        <w:t xml:space="preserve">Since the obesity strategy was announced, governments have rolled back, suspended, or abolished various measures that make up the strategy. This includes a £30 million subsidy from local governments to ‘adult weight management services’, which NICE believes will change people’s behaviours, improve </w:t>
      </w:r>
      <w:proofErr w:type="gramStart"/>
      <w:r w:rsidR="00235CCF">
        <w:rPr>
          <w:rFonts w:ascii="Arial" w:hAnsi="Arial" w:cs="Arial"/>
        </w:rPr>
        <w:t>nutrition</w:t>
      </w:r>
      <w:proofErr w:type="gramEnd"/>
      <w:r w:rsidR="00235CCF">
        <w:rPr>
          <w:rFonts w:ascii="Arial" w:hAnsi="Arial" w:cs="Arial"/>
        </w:rPr>
        <w:t xml:space="preserve"> and give them a better understanding of nutrition. There is evidence-based guidance that emphasizes that it can provide effective support for</w:t>
      </w:r>
      <w:r w:rsidR="00EF7110">
        <w:rPr>
          <w:rFonts w:ascii="Arial" w:hAnsi="Arial" w:cs="Arial"/>
        </w:rPr>
        <w:t xml:space="preserve"> (Holmes, 2022). </w:t>
      </w:r>
    </w:p>
    <w:p w14:paraId="6D6880E0" w14:textId="77777777" w:rsidR="00654589" w:rsidRDefault="00654589" w:rsidP="00373485">
      <w:pPr>
        <w:spacing w:line="360" w:lineRule="auto"/>
        <w:jc w:val="both"/>
        <w:rPr>
          <w:rFonts w:ascii="Arial" w:hAnsi="Arial" w:cs="Arial"/>
        </w:rPr>
      </w:pPr>
    </w:p>
    <w:p w14:paraId="25329D51" w14:textId="46CCD1EF" w:rsidR="00B2538E" w:rsidRDefault="004343ED" w:rsidP="00373485">
      <w:pPr>
        <w:spacing w:line="360" w:lineRule="auto"/>
        <w:jc w:val="both"/>
        <w:rPr>
          <w:rFonts w:ascii="Arial" w:hAnsi="Arial" w:cs="Arial"/>
        </w:rPr>
      </w:pPr>
      <w:r>
        <w:rPr>
          <w:rFonts w:ascii="Arial" w:hAnsi="Arial" w:cs="Arial"/>
        </w:rPr>
        <w:t xml:space="preserve">To conclude, we’ve discovered the mortality rates of covid-19 for people that were obese and not obese. </w:t>
      </w:r>
      <w:r w:rsidR="00654589">
        <w:rPr>
          <w:rFonts w:ascii="Arial" w:hAnsi="Arial" w:cs="Arial"/>
        </w:rPr>
        <w:t xml:space="preserve">We’ve seen the effects of COVID-19 had on people – lack of motivation to exercise leading to obesity and binge eating. We also found out that people who are obese are more likely to get more ill to covid-19. We also included some figures to back up the evidence, and then explained it, like in figure 2, we can see the obesity rates for covid-19 in both males and females. </w:t>
      </w:r>
      <w:r w:rsidR="00F66C26">
        <w:rPr>
          <w:rFonts w:ascii="Arial" w:hAnsi="Arial" w:cs="Arial"/>
        </w:rPr>
        <w:t xml:space="preserve">We’ve also discovered some of the symptoms obese patients experience with covid-19 – seeing some being some </w:t>
      </w:r>
      <w:proofErr w:type="gramStart"/>
      <w:r w:rsidR="00F66C26">
        <w:rPr>
          <w:rFonts w:ascii="Arial" w:hAnsi="Arial" w:cs="Arial"/>
        </w:rPr>
        <w:t>long term</w:t>
      </w:r>
      <w:proofErr w:type="gramEnd"/>
      <w:r w:rsidR="00F66C26">
        <w:rPr>
          <w:rFonts w:ascii="Arial" w:hAnsi="Arial" w:cs="Arial"/>
        </w:rPr>
        <w:t xml:space="preserve"> symptoms (such as renal damage and a pulmonary embolism). </w:t>
      </w:r>
      <w:r w:rsidR="00235CCF">
        <w:rPr>
          <w:rFonts w:ascii="Arial" w:hAnsi="Arial" w:cs="Arial"/>
        </w:rPr>
        <w:t xml:space="preserve">So, to come to a conclusion, re-installing adult weight management services would be a great idea for those who struggle with obesity, especially now – where people may struggle more due to post-lockdown. As it stands now, 25.9% of adults in the UK are obese. </w:t>
      </w:r>
      <w:proofErr w:type="gramStart"/>
      <w:r w:rsidR="00235CCF">
        <w:rPr>
          <w:rFonts w:ascii="Arial" w:hAnsi="Arial" w:cs="Arial"/>
        </w:rPr>
        <w:t>So</w:t>
      </w:r>
      <w:proofErr w:type="gramEnd"/>
      <w:r w:rsidR="00235CCF">
        <w:rPr>
          <w:rFonts w:ascii="Arial" w:hAnsi="Arial" w:cs="Arial"/>
        </w:rPr>
        <w:t xml:space="preserve"> this strategy would be beneficial. </w:t>
      </w:r>
    </w:p>
    <w:p w14:paraId="5AC19A04" w14:textId="503E7B78" w:rsidR="00B2538E" w:rsidRDefault="00B2538E" w:rsidP="00373485">
      <w:pPr>
        <w:spacing w:line="360" w:lineRule="auto"/>
        <w:jc w:val="both"/>
        <w:rPr>
          <w:rFonts w:ascii="Arial" w:hAnsi="Arial" w:cs="Arial"/>
        </w:rPr>
      </w:pPr>
    </w:p>
    <w:p w14:paraId="081399A4" w14:textId="72F9E365" w:rsidR="00B2538E" w:rsidRDefault="00B2538E" w:rsidP="00373485">
      <w:pPr>
        <w:spacing w:line="360" w:lineRule="auto"/>
        <w:jc w:val="both"/>
        <w:rPr>
          <w:rFonts w:ascii="Arial" w:hAnsi="Arial" w:cs="Arial"/>
        </w:rPr>
      </w:pPr>
    </w:p>
    <w:p w14:paraId="7F1A1E67" w14:textId="280D55D9" w:rsidR="00B2538E" w:rsidRDefault="00B2538E" w:rsidP="00373485">
      <w:pPr>
        <w:spacing w:line="360" w:lineRule="auto"/>
        <w:jc w:val="both"/>
        <w:rPr>
          <w:rFonts w:ascii="Arial" w:hAnsi="Arial" w:cs="Arial"/>
        </w:rPr>
      </w:pPr>
    </w:p>
    <w:p w14:paraId="341B74AA" w14:textId="77777777" w:rsidR="00B2538E" w:rsidRPr="00644562" w:rsidRDefault="00B2538E" w:rsidP="00B2538E">
      <w:pPr>
        <w:jc w:val="both"/>
        <w:rPr>
          <w:rFonts w:ascii="Arial" w:hAnsi="Arial" w:cs="Arial"/>
          <w:b/>
          <w:bCs/>
          <w:sz w:val="32"/>
          <w:szCs w:val="32"/>
        </w:rPr>
      </w:pPr>
      <w:r w:rsidRPr="00644562">
        <w:rPr>
          <w:rFonts w:ascii="Arial" w:hAnsi="Arial" w:cs="Arial"/>
          <w:b/>
          <w:bCs/>
          <w:sz w:val="32"/>
          <w:szCs w:val="32"/>
        </w:rPr>
        <w:t>References</w:t>
      </w:r>
    </w:p>
    <w:p w14:paraId="652E4055" w14:textId="551FE225" w:rsidR="00943C96" w:rsidRDefault="00943C96" w:rsidP="00943C96">
      <w:pPr>
        <w:pStyle w:val="NormalWeb"/>
        <w:ind w:left="567" w:hanging="567"/>
        <w:rPr>
          <w:rStyle w:val="apple-converted-space"/>
          <w:color w:val="000000"/>
        </w:rPr>
      </w:pPr>
      <w:r>
        <w:rPr>
          <w:color w:val="000000"/>
        </w:rPr>
        <w:t>Bosworth, M. and Nafilyan, V. (2022)</w:t>
      </w:r>
      <w:r>
        <w:rPr>
          <w:rStyle w:val="apple-converted-space"/>
          <w:color w:val="000000"/>
        </w:rPr>
        <w:t> </w:t>
      </w:r>
      <w:r>
        <w:rPr>
          <w:i/>
          <w:iCs/>
          <w:color w:val="000000"/>
        </w:rPr>
        <w:t>Obesity and mortality during the coronavirus (COVID-19) pandemic, England: 24 January 2020 to 30 August 2022</w:t>
      </w:r>
      <w:r>
        <w:rPr>
          <w:color w:val="000000"/>
        </w:rPr>
        <w:t>,</w:t>
      </w:r>
      <w:r>
        <w:rPr>
          <w:rStyle w:val="apple-converted-space"/>
          <w:color w:val="000000"/>
        </w:rPr>
        <w:t> </w:t>
      </w:r>
      <w:proofErr w:type="gramStart"/>
      <w:r>
        <w:rPr>
          <w:i/>
          <w:iCs/>
          <w:color w:val="000000"/>
        </w:rPr>
        <w:t>Obesity</w:t>
      </w:r>
      <w:proofErr w:type="gramEnd"/>
      <w:r>
        <w:rPr>
          <w:i/>
          <w:iCs/>
          <w:color w:val="000000"/>
        </w:rPr>
        <w:t xml:space="preserve"> and mortality during the coronavirus (COVID-19) pandemic, England - Office for National Statistics</w:t>
      </w:r>
      <w:r>
        <w:rPr>
          <w:color w:val="000000"/>
        </w:rPr>
        <w:t>. Available at: https://www.ons.gov.uk/peoplepopulationandcommunity/birthsdeathsandmarriages/deaths/articles/obesityandmortalityduringthecoronaviruscovid19pandemicengland24january2020to30august2022/24january2020to30august2022#:~:text=After%20further%20adjusting%20for%20comorbidities,may%20be%20attributed%20to%20comorbidities. (Accessed: 11 May 2023).</w:t>
      </w:r>
      <w:r>
        <w:rPr>
          <w:rStyle w:val="apple-converted-space"/>
          <w:color w:val="000000"/>
        </w:rPr>
        <w:t> </w:t>
      </w:r>
    </w:p>
    <w:p w14:paraId="43339B74" w14:textId="7B8B92C9" w:rsidR="00EF7110" w:rsidRDefault="00EF7110" w:rsidP="00EF7110">
      <w:pPr>
        <w:pStyle w:val="NormalWeb"/>
        <w:ind w:left="567" w:hanging="567"/>
        <w:rPr>
          <w:rStyle w:val="apple-converted-space"/>
          <w:color w:val="000000"/>
        </w:rPr>
      </w:pPr>
      <w:r>
        <w:rPr>
          <w:color w:val="000000"/>
        </w:rPr>
        <w:t>Holmes, J. (2022)</w:t>
      </w:r>
      <w:r>
        <w:rPr>
          <w:rStyle w:val="apple-converted-space"/>
          <w:color w:val="000000"/>
        </w:rPr>
        <w:t> </w:t>
      </w:r>
      <w:r>
        <w:rPr>
          <w:i/>
          <w:iCs/>
          <w:color w:val="000000"/>
        </w:rPr>
        <w:t>Obesity, deprivation and covid-19</w:t>
      </w:r>
      <w:r>
        <w:rPr>
          <w:color w:val="000000"/>
        </w:rPr>
        <w:t>,</w:t>
      </w:r>
      <w:r>
        <w:rPr>
          <w:rStyle w:val="apple-converted-space"/>
          <w:color w:val="000000"/>
        </w:rPr>
        <w:t> </w:t>
      </w:r>
      <w:r>
        <w:rPr>
          <w:i/>
          <w:iCs/>
          <w:color w:val="000000"/>
        </w:rPr>
        <w:t>The King’s Fund</w:t>
      </w:r>
      <w:r>
        <w:rPr>
          <w:color w:val="000000"/>
        </w:rPr>
        <w:t>. Available at: https://www.kingsfund.org.uk/blog/2022/07/obesity-deprivation-and-covid-19 (Accessed: 12 May 2023).</w:t>
      </w:r>
      <w:r>
        <w:rPr>
          <w:rStyle w:val="apple-converted-space"/>
          <w:color w:val="000000"/>
        </w:rPr>
        <w:t> </w:t>
      </w:r>
    </w:p>
    <w:p w14:paraId="3C77B40B" w14:textId="16352AF4" w:rsidR="00F66C26" w:rsidRPr="00943C96" w:rsidRDefault="00F66C26" w:rsidP="00F66C26">
      <w:pPr>
        <w:pStyle w:val="NormalWeb"/>
        <w:ind w:left="567" w:hanging="567"/>
        <w:rPr>
          <w:color w:val="000000"/>
        </w:rPr>
      </w:pPr>
      <w:r>
        <w:rPr>
          <w:color w:val="000000"/>
        </w:rPr>
        <w:t xml:space="preserve">Lavie, C.J., </w:t>
      </w:r>
      <w:proofErr w:type="spellStart"/>
      <w:r>
        <w:rPr>
          <w:color w:val="000000"/>
        </w:rPr>
        <w:t>Coursin</w:t>
      </w:r>
      <w:proofErr w:type="spellEnd"/>
      <w:r>
        <w:rPr>
          <w:color w:val="000000"/>
        </w:rPr>
        <w:t>, D.B. and Long, M.T. (2021)</w:t>
      </w:r>
      <w:r>
        <w:rPr>
          <w:rStyle w:val="apple-converted-space"/>
          <w:color w:val="000000"/>
        </w:rPr>
        <w:t> </w:t>
      </w:r>
      <w:r>
        <w:rPr>
          <w:i/>
          <w:iCs/>
          <w:color w:val="000000"/>
        </w:rPr>
        <w:t>The obesity paradox in infections and implications for covid-19</w:t>
      </w:r>
      <w:r>
        <w:rPr>
          <w:color w:val="000000"/>
        </w:rPr>
        <w:t>,</w:t>
      </w:r>
      <w:r>
        <w:rPr>
          <w:rStyle w:val="apple-converted-space"/>
          <w:color w:val="000000"/>
        </w:rPr>
        <w:t> </w:t>
      </w:r>
      <w:r>
        <w:rPr>
          <w:i/>
          <w:iCs/>
          <w:color w:val="000000"/>
        </w:rPr>
        <w:t>Mayo Clinic proceedings</w:t>
      </w:r>
      <w:r>
        <w:rPr>
          <w:color w:val="000000"/>
        </w:rPr>
        <w:t>. Available at: https://www.ncbi.nlm.nih.gov/pmc/articles/PMC7835093/#:~:text=In%20our%20current%20pandemic%2C%20patients,including%20pulmonary%20embolism%20(PE).&amp;text=In%20addition%2C%20obese%20individuals%20have,abnormalities%20and%20have%20premature%20disabilities. (Accessed: 12 May 2023).</w:t>
      </w:r>
      <w:r>
        <w:rPr>
          <w:rStyle w:val="apple-converted-space"/>
          <w:color w:val="000000"/>
        </w:rPr>
        <w:t> </w:t>
      </w:r>
    </w:p>
    <w:p w14:paraId="22A32633" w14:textId="617BCB2C" w:rsidR="00B2538E" w:rsidRPr="00B2538E" w:rsidRDefault="00B2538E" w:rsidP="00B2538E">
      <w:pPr>
        <w:pStyle w:val="NormalWeb"/>
        <w:ind w:left="567" w:hanging="567"/>
        <w:rPr>
          <w:color w:val="000000"/>
        </w:rPr>
      </w:pPr>
      <w:r>
        <w:rPr>
          <w:i/>
          <w:iCs/>
          <w:color w:val="000000"/>
        </w:rPr>
        <w:t>Physical inactivity</w:t>
      </w:r>
      <w:r>
        <w:rPr>
          <w:rStyle w:val="apple-converted-space"/>
          <w:color w:val="000000"/>
        </w:rPr>
        <w:t> </w:t>
      </w:r>
      <w:r>
        <w:rPr>
          <w:color w:val="000000"/>
        </w:rPr>
        <w:t>(2019)</w:t>
      </w:r>
      <w:r>
        <w:rPr>
          <w:rStyle w:val="apple-converted-space"/>
          <w:color w:val="000000"/>
        </w:rPr>
        <w:t> </w:t>
      </w:r>
      <w:r>
        <w:rPr>
          <w:i/>
          <w:iCs/>
          <w:color w:val="000000"/>
        </w:rPr>
        <w:t>GOV.UK Ethnicity facts and figures</w:t>
      </w:r>
      <w:r>
        <w:rPr>
          <w:color w:val="000000"/>
        </w:rPr>
        <w:t>. Available at: https://www.ethnicity-facts-figures.service.gov.uk/health/diet-and-exercise/physical-inactivity/latest#:~:text=people%20aged%2075%20years%20and,make%20any%20generalisations%20less%20reliable (Accessed: 11 May 2023).</w:t>
      </w:r>
      <w:r>
        <w:rPr>
          <w:rStyle w:val="apple-converted-space"/>
          <w:color w:val="000000"/>
        </w:rPr>
        <w:t> </w:t>
      </w:r>
    </w:p>
    <w:p w14:paraId="4230D841" w14:textId="77777777" w:rsidR="00B2538E" w:rsidRDefault="00B2538E" w:rsidP="00B2538E">
      <w:pPr>
        <w:pStyle w:val="NormalWeb"/>
        <w:ind w:left="567" w:hanging="567"/>
        <w:rPr>
          <w:color w:val="000000"/>
        </w:rPr>
      </w:pPr>
      <w:r>
        <w:rPr>
          <w:color w:val="000000"/>
        </w:rPr>
        <w:t>Sallis, R.</w:t>
      </w:r>
      <w:r>
        <w:rPr>
          <w:rStyle w:val="apple-converted-space"/>
          <w:color w:val="000000"/>
        </w:rPr>
        <w:t> </w:t>
      </w:r>
      <w:r>
        <w:rPr>
          <w:i/>
          <w:iCs/>
          <w:color w:val="000000"/>
        </w:rPr>
        <w:t>et al.</w:t>
      </w:r>
      <w:r>
        <w:rPr>
          <w:rStyle w:val="apple-converted-space"/>
          <w:color w:val="000000"/>
        </w:rPr>
        <w:t> </w:t>
      </w:r>
      <w:r>
        <w:rPr>
          <w:color w:val="000000"/>
        </w:rPr>
        <w:t>(2021)</w:t>
      </w:r>
      <w:r>
        <w:rPr>
          <w:rStyle w:val="apple-converted-space"/>
          <w:color w:val="000000"/>
        </w:rPr>
        <w:t> </w:t>
      </w:r>
      <w:r>
        <w:rPr>
          <w:i/>
          <w:iCs/>
          <w:color w:val="000000"/>
        </w:rPr>
        <w:t>Physical inactivity is associated with a higher risk for severe COVID-19 outcomes: A study in 48 440 adult patients</w:t>
      </w:r>
      <w:r>
        <w:rPr>
          <w:color w:val="000000"/>
        </w:rPr>
        <w:t>,</w:t>
      </w:r>
      <w:r>
        <w:rPr>
          <w:rStyle w:val="apple-converted-space"/>
          <w:color w:val="000000"/>
        </w:rPr>
        <w:t> </w:t>
      </w:r>
      <w:r>
        <w:rPr>
          <w:i/>
          <w:iCs/>
          <w:color w:val="000000"/>
        </w:rPr>
        <w:t>British Journal of Sports Medicine</w:t>
      </w:r>
      <w:r>
        <w:rPr>
          <w:color w:val="000000"/>
        </w:rPr>
        <w:t>. Available at: https://bjsm.bmj.com/content/55/19/1099#:~:text=meeting%20PA%20guidelines.-,Patients%20who%20were%20consistently%20inactive%20also%20had%20a%20greater%20risk,other%20COVID%2D19%20risk%20factors. (Accessed: 11 May 2023).</w:t>
      </w:r>
      <w:r>
        <w:rPr>
          <w:rStyle w:val="apple-converted-space"/>
          <w:color w:val="000000"/>
        </w:rPr>
        <w:t> </w:t>
      </w:r>
    </w:p>
    <w:p w14:paraId="5E4CCB87" w14:textId="77777777" w:rsidR="00B2538E" w:rsidRPr="00373485" w:rsidRDefault="00B2538E" w:rsidP="00373485">
      <w:pPr>
        <w:spacing w:line="360" w:lineRule="auto"/>
        <w:jc w:val="both"/>
        <w:rPr>
          <w:rFonts w:ascii="Arial" w:hAnsi="Arial" w:cs="Arial"/>
        </w:rPr>
      </w:pPr>
    </w:p>
    <w:sectPr w:rsidR="00B2538E" w:rsidRPr="00373485" w:rsidSect="00003FEA">
      <w:footerReference w:type="even" r:id="rId9"/>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389A4" w14:textId="77777777" w:rsidR="00330173" w:rsidRDefault="00330173" w:rsidP="009C0789">
      <w:r>
        <w:separator/>
      </w:r>
    </w:p>
  </w:endnote>
  <w:endnote w:type="continuationSeparator" w:id="0">
    <w:p w14:paraId="4E5BFF50" w14:textId="77777777" w:rsidR="00330173" w:rsidRDefault="00330173" w:rsidP="009C0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9328741"/>
      <w:docPartObj>
        <w:docPartGallery w:val="Page Numbers (Bottom of Page)"/>
        <w:docPartUnique/>
      </w:docPartObj>
    </w:sdtPr>
    <w:sdtContent>
      <w:p w14:paraId="36AE7055" w14:textId="0632DFF8" w:rsidR="00003FEA" w:rsidRDefault="00003FEA" w:rsidP="00FE2E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1F8141" w14:textId="77777777" w:rsidR="00003FEA" w:rsidRDefault="00003F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4172729"/>
      <w:docPartObj>
        <w:docPartGallery w:val="Page Numbers (Bottom of Page)"/>
        <w:docPartUnique/>
      </w:docPartObj>
    </w:sdtPr>
    <w:sdtContent>
      <w:p w14:paraId="59D16026" w14:textId="3D0F5301" w:rsidR="00003FEA" w:rsidRDefault="00003FEA" w:rsidP="00FE2E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40495F14" w14:textId="77777777" w:rsidR="00003FEA" w:rsidRDefault="00003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765D0" w14:textId="77777777" w:rsidR="00330173" w:rsidRDefault="00330173" w:rsidP="009C0789">
      <w:r>
        <w:separator/>
      </w:r>
    </w:p>
  </w:footnote>
  <w:footnote w:type="continuationSeparator" w:id="0">
    <w:p w14:paraId="13C96CA0" w14:textId="77777777" w:rsidR="00330173" w:rsidRDefault="00330173" w:rsidP="009C0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D7CF7"/>
    <w:multiLevelType w:val="hybridMultilevel"/>
    <w:tmpl w:val="4E441150"/>
    <w:lvl w:ilvl="0" w:tplc="703060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5060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789"/>
    <w:rsid w:val="00003FEA"/>
    <w:rsid w:val="00153AAB"/>
    <w:rsid w:val="001B2465"/>
    <w:rsid w:val="00235CCF"/>
    <w:rsid w:val="00266343"/>
    <w:rsid w:val="002A0A03"/>
    <w:rsid w:val="00330173"/>
    <w:rsid w:val="003304F9"/>
    <w:rsid w:val="00330AD3"/>
    <w:rsid w:val="00373485"/>
    <w:rsid w:val="004343ED"/>
    <w:rsid w:val="004F12E4"/>
    <w:rsid w:val="00621A1B"/>
    <w:rsid w:val="00644562"/>
    <w:rsid w:val="00654589"/>
    <w:rsid w:val="00731102"/>
    <w:rsid w:val="00763135"/>
    <w:rsid w:val="007A22A9"/>
    <w:rsid w:val="008B573E"/>
    <w:rsid w:val="00922B17"/>
    <w:rsid w:val="00943C96"/>
    <w:rsid w:val="00952F17"/>
    <w:rsid w:val="00970E1C"/>
    <w:rsid w:val="009A3C93"/>
    <w:rsid w:val="009C0789"/>
    <w:rsid w:val="00A75CDF"/>
    <w:rsid w:val="00B2538E"/>
    <w:rsid w:val="00B36CB9"/>
    <w:rsid w:val="00B63C01"/>
    <w:rsid w:val="00BA7B69"/>
    <w:rsid w:val="00BD797E"/>
    <w:rsid w:val="00CC5D06"/>
    <w:rsid w:val="00EF7110"/>
    <w:rsid w:val="00F66C26"/>
    <w:rsid w:val="00FB3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F8689"/>
  <w15:chartTrackingRefBased/>
  <w15:docId w15:val="{A10CC4B6-B6CB-E343-AB0F-5A9126584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970E1C"/>
    <w:pPr>
      <w:spacing w:before="240" w:after="120"/>
      <w:outlineLvl w:val="4"/>
    </w:pPr>
    <w:rPr>
      <w:rFonts w:ascii="Times New Roman" w:eastAsiaTheme="minorEastAsia" w:hAnsi="Times New Roman" w:cs="Times New Roman"/>
      <w:b/>
      <w:bCs/>
      <w:color w:val="3231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0789"/>
    <w:rPr>
      <w:rFonts w:eastAsiaTheme="minorEastAsia"/>
      <w:sz w:val="22"/>
      <w:szCs w:val="22"/>
      <w:lang w:val="en-US" w:eastAsia="zh-CN"/>
    </w:rPr>
  </w:style>
  <w:style w:type="character" w:customStyle="1" w:styleId="NoSpacingChar">
    <w:name w:val="No Spacing Char"/>
    <w:basedOn w:val="DefaultParagraphFont"/>
    <w:link w:val="NoSpacing"/>
    <w:uiPriority w:val="1"/>
    <w:rsid w:val="009C0789"/>
    <w:rPr>
      <w:rFonts w:eastAsiaTheme="minorEastAsia"/>
      <w:sz w:val="22"/>
      <w:szCs w:val="22"/>
      <w:lang w:val="en-US" w:eastAsia="zh-CN"/>
    </w:rPr>
  </w:style>
  <w:style w:type="paragraph" w:styleId="Footer">
    <w:name w:val="footer"/>
    <w:basedOn w:val="Normal"/>
    <w:link w:val="FooterChar"/>
    <w:uiPriority w:val="99"/>
    <w:unhideWhenUsed/>
    <w:rsid w:val="009C0789"/>
    <w:pPr>
      <w:tabs>
        <w:tab w:val="center" w:pos="4513"/>
        <w:tab w:val="right" w:pos="9026"/>
      </w:tabs>
    </w:pPr>
  </w:style>
  <w:style w:type="character" w:customStyle="1" w:styleId="FooterChar">
    <w:name w:val="Footer Char"/>
    <w:basedOn w:val="DefaultParagraphFont"/>
    <w:link w:val="Footer"/>
    <w:uiPriority w:val="99"/>
    <w:rsid w:val="009C0789"/>
  </w:style>
  <w:style w:type="character" w:styleId="PageNumber">
    <w:name w:val="page number"/>
    <w:basedOn w:val="DefaultParagraphFont"/>
    <w:uiPriority w:val="99"/>
    <w:semiHidden/>
    <w:unhideWhenUsed/>
    <w:rsid w:val="009C0789"/>
  </w:style>
  <w:style w:type="paragraph" w:styleId="Header">
    <w:name w:val="header"/>
    <w:basedOn w:val="Normal"/>
    <w:link w:val="HeaderChar"/>
    <w:uiPriority w:val="99"/>
    <w:unhideWhenUsed/>
    <w:rsid w:val="009C0789"/>
    <w:pPr>
      <w:tabs>
        <w:tab w:val="center" w:pos="4513"/>
        <w:tab w:val="right" w:pos="9026"/>
      </w:tabs>
    </w:pPr>
  </w:style>
  <w:style w:type="character" w:customStyle="1" w:styleId="HeaderChar">
    <w:name w:val="Header Char"/>
    <w:basedOn w:val="DefaultParagraphFont"/>
    <w:link w:val="Header"/>
    <w:uiPriority w:val="99"/>
    <w:rsid w:val="009C0789"/>
  </w:style>
  <w:style w:type="paragraph" w:styleId="ListParagraph">
    <w:name w:val="List Paragraph"/>
    <w:basedOn w:val="Normal"/>
    <w:uiPriority w:val="34"/>
    <w:qFormat/>
    <w:rsid w:val="00003FEA"/>
    <w:pPr>
      <w:ind w:left="720"/>
      <w:contextualSpacing/>
    </w:pPr>
  </w:style>
  <w:style w:type="paragraph" w:styleId="NormalWeb">
    <w:name w:val="Normal (Web)"/>
    <w:basedOn w:val="Normal"/>
    <w:uiPriority w:val="99"/>
    <w:unhideWhenUsed/>
    <w:rsid w:val="0064456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44562"/>
  </w:style>
  <w:style w:type="character" w:customStyle="1" w:styleId="Heading5Char">
    <w:name w:val="Heading 5 Char"/>
    <w:basedOn w:val="DefaultParagraphFont"/>
    <w:link w:val="Heading5"/>
    <w:uiPriority w:val="9"/>
    <w:rsid w:val="00970E1C"/>
    <w:rPr>
      <w:rFonts w:ascii="Times New Roman" w:eastAsiaTheme="minorEastAsia" w:hAnsi="Times New Roman" w:cs="Times New Roman"/>
      <w:b/>
      <w:bCs/>
      <w:color w:val="3231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0604">
      <w:bodyDiv w:val="1"/>
      <w:marLeft w:val="0"/>
      <w:marRight w:val="0"/>
      <w:marTop w:val="0"/>
      <w:marBottom w:val="0"/>
      <w:divBdr>
        <w:top w:val="none" w:sz="0" w:space="0" w:color="auto"/>
        <w:left w:val="none" w:sz="0" w:space="0" w:color="auto"/>
        <w:bottom w:val="none" w:sz="0" w:space="0" w:color="auto"/>
        <w:right w:val="none" w:sz="0" w:space="0" w:color="auto"/>
      </w:divBdr>
    </w:div>
    <w:div w:id="34356946">
      <w:bodyDiv w:val="1"/>
      <w:marLeft w:val="0"/>
      <w:marRight w:val="0"/>
      <w:marTop w:val="0"/>
      <w:marBottom w:val="0"/>
      <w:divBdr>
        <w:top w:val="none" w:sz="0" w:space="0" w:color="auto"/>
        <w:left w:val="none" w:sz="0" w:space="0" w:color="auto"/>
        <w:bottom w:val="none" w:sz="0" w:space="0" w:color="auto"/>
        <w:right w:val="none" w:sz="0" w:space="0" w:color="auto"/>
      </w:divBdr>
    </w:div>
    <w:div w:id="54090863">
      <w:bodyDiv w:val="1"/>
      <w:marLeft w:val="0"/>
      <w:marRight w:val="0"/>
      <w:marTop w:val="0"/>
      <w:marBottom w:val="0"/>
      <w:divBdr>
        <w:top w:val="none" w:sz="0" w:space="0" w:color="auto"/>
        <w:left w:val="none" w:sz="0" w:space="0" w:color="auto"/>
        <w:bottom w:val="none" w:sz="0" w:space="0" w:color="auto"/>
        <w:right w:val="none" w:sz="0" w:space="0" w:color="auto"/>
      </w:divBdr>
    </w:div>
    <w:div w:id="289940666">
      <w:bodyDiv w:val="1"/>
      <w:marLeft w:val="0"/>
      <w:marRight w:val="0"/>
      <w:marTop w:val="0"/>
      <w:marBottom w:val="0"/>
      <w:divBdr>
        <w:top w:val="none" w:sz="0" w:space="0" w:color="auto"/>
        <w:left w:val="none" w:sz="0" w:space="0" w:color="auto"/>
        <w:bottom w:val="none" w:sz="0" w:space="0" w:color="auto"/>
        <w:right w:val="none" w:sz="0" w:space="0" w:color="auto"/>
      </w:divBdr>
    </w:div>
    <w:div w:id="293297858">
      <w:bodyDiv w:val="1"/>
      <w:marLeft w:val="0"/>
      <w:marRight w:val="0"/>
      <w:marTop w:val="0"/>
      <w:marBottom w:val="0"/>
      <w:divBdr>
        <w:top w:val="none" w:sz="0" w:space="0" w:color="auto"/>
        <w:left w:val="none" w:sz="0" w:space="0" w:color="auto"/>
        <w:bottom w:val="none" w:sz="0" w:space="0" w:color="auto"/>
        <w:right w:val="none" w:sz="0" w:space="0" w:color="auto"/>
      </w:divBdr>
    </w:div>
    <w:div w:id="483398539">
      <w:bodyDiv w:val="1"/>
      <w:marLeft w:val="0"/>
      <w:marRight w:val="0"/>
      <w:marTop w:val="0"/>
      <w:marBottom w:val="0"/>
      <w:divBdr>
        <w:top w:val="none" w:sz="0" w:space="0" w:color="auto"/>
        <w:left w:val="none" w:sz="0" w:space="0" w:color="auto"/>
        <w:bottom w:val="none" w:sz="0" w:space="0" w:color="auto"/>
        <w:right w:val="none" w:sz="0" w:space="0" w:color="auto"/>
      </w:divBdr>
    </w:div>
    <w:div w:id="524169732">
      <w:bodyDiv w:val="1"/>
      <w:marLeft w:val="0"/>
      <w:marRight w:val="0"/>
      <w:marTop w:val="0"/>
      <w:marBottom w:val="0"/>
      <w:divBdr>
        <w:top w:val="none" w:sz="0" w:space="0" w:color="auto"/>
        <w:left w:val="none" w:sz="0" w:space="0" w:color="auto"/>
        <w:bottom w:val="none" w:sz="0" w:space="0" w:color="auto"/>
        <w:right w:val="none" w:sz="0" w:space="0" w:color="auto"/>
      </w:divBdr>
    </w:div>
    <w:div w:id="790247671">
      <w:bodyDiv w:val="1"/>
      <w:marLeft w:val="0"/>
      <w:marRight w:val="0"/>
      <w:marTop w:val="0"/>
      <w:marBottom w:val="0"/>
      <w:divBdr>
        <w:top w:val="none" w:sz="0" w:space="0" w:color="auto"/>
        <w:left w:val="none" w:sz="0" w:space="0" w:color="auto"/>
        <w:bottom w:val="none" w:sz="0" w:space="0" w:color="auto"/>
        <w:right w:val="none" w:sz="0" w:space="0" w:color="auto"/>
      </w:divBdr>
    </w:div>
    <w:div w:id="852916381">
      <w:bodyDiv w:val="1"/>
      <w:marLeft w:val="0"/>
      <w:marRight w:val="0"/>
      <w:marTop w:val="0"/>
      <w:marBottom w:val="0"/>
      <w:divBdr>
        <w:top w:val="none" w:sz="0" w:space="0" w:color="auto"/>
        <w:left w:val="none" w:sz="0" w:space="0" w:color="auto"/>
        <w:bottom w:val="none" w:sz="0" w:space="0" w:color="auto"/>
        <w:right w:val="none" w:sz="0" w:space="0" w:color="auto"/>
      </w:divBdr>
    </w:div>
    <w:div w:id="1506088797">
      <w:bodyDiv w:val="1"/>
      <w:marLeft w:val="0"/>
      <w:marRight w:val="0"/>
      <w:marTop w:val="0"/>
      <w:marBottom w:val="0"/>
      <w:divBdr>
        <w:top w:val="none" w:sz="0" w:space="0" w:color="auto"/>
        <w:left w:val="none" w:sz="0" w:space="0" w:color="auto"/>
        <w:bottom w:val="none" w:sz="0" w:space="0" w:color="auto"/>
        <w:right w:val="none" w:sz="0" w:space="0" w:color="auto"/>
      </w:divBdr>
      <w:divsChild>
        <w:div w:id="2025130120">
          <w:marLeft w:val="0"/>
          <w:marRight w:val="0"/>
          <w:marTop w:val="0"/>
          <w:marBottom w:val="0"/>
          <w:divBdr>
            <w:top w:val="none" w:sz="0" w:space="0" w:color="auto"/>
            <w:left w:val="none" w:sz="0" w:space="0" w:color="auto"/>
            <w:bottom w:val="none" w:sz="0" w:space="0" w:color="auto"/>
            <w:right w:val="none" w:sz="0" w:space="0" w:color="auto"/>
          </w:divBdr>
        </w:div>
      </w:divsChild>
    </w:div>
    <w:div w:id="1822849996">
      <w:bodyDiv w:val="1"/>
      <w:marLeft w:val="0"/>
      <w:marRight w:val="0"/>
      <w:marTop w:val="0"/>
      <w:marBottom w:val="0"/>
      <w:divBdr>
        <w:top w:val="none" w:sz="0" w:space="0" w:color="auto"/>
        <w:left w:val="none" w:sz="0" w:space="0" w:color="auto"/>
        <w:bottom w:val="none" w:sz="0" w:space="0" w:color="auto"/>
        <w:right w:val="none" w:sz="0" w:space="0" w:color="auto"/>
      </w:divBdr>
    </w:div>
    <w:div w:id="1870876804">
      <w:bodyDiv w:val="1"/>
      <w:marLeft w:val="0"/>
      <w:marRight w:val="0"/>
      <w:marTop w:val="0"/>
      <w:marBottom w:val="0"/>
      <w:divBdr>
        <w:top w:val="none" w:sz="0" w:space="0" w:color="auto"/>
        <w:left w:val="none" w:sz="0" w:space="0" w:color="auto"/>
        <w:bottom w:val="none" w:sz="0" w:space="0" w:color="auto"/>
        <w:right w:val="none" w:sz="0" w:space="0" w:color="auto"/>
      </w:divBdr>
    </w:div>
    <w:div w:id="2025545592">
      <w:bodyDiv w:val="1"/>
      <w:marLeft w:val="0"/>
      <w:marRight w:val="0"/>
      <w:marTop w:val="0"/>
      <w:marBottom w:val="0"/>
      <w:divBdr>
        <w:top w:val="none" w:sz="0" w:space="0" w:color="auto"/>
        <w:left w:val="none" w:sz="0" w:space="0" w:color="auto"/>
        <w:bottom w:val="none" w:sz="0" w:space="0" w:color="auto"/>
        <w:right w:val="none" w:sz="0" w:space="0" w:color="auto"/>
      </w:divBdr>
    </w:div>
    <w:div w:id="204348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ngharadevans/Downloads/datadownload.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Deaths registered weekly, UK from the Office for National Statistics</a:t>
            </a:r>
            <a:endParaRPr lang="en-GB"/>
          </a:p>
        </c:rich>
      </c:tx>
      <c:layout>
        <c:manualLayout>
          <c:xMode val="edge"/>
          <c:yMode val="edge"/>
          <c:x val="0.14726469498881831"/>
          <c:y val="1.406847970967975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multiLvlStrRef>
              <c:f>'Chart data '!$A$101:$B$163</c:f>
              <c:multiLvlStrCache>
                <c:ptCount val="63"/>
                <c:lvl>
                  <c:pt idx="0">
                    <c:v>Week 1</c:v>
                  </c:pt>
                  <c:pt idx="1">
                    <c:v>Week 2</c:v>
                  </c:pt>
                  <c:pt idx="2">
                    <c:v>Week 3</c:v>
                  </c:pt>
                  <c:pt idx="3">
                    <c:v>Week 4</c:v>
                  </c:pt>
                  <c:pt idx="4">
                    <c:v>Week 5</c:v>
                  </c:pt>
                  <c:pt idx="5">
                    <c:v>Week 6</c:v>
                  </c:pt>
                  <c:pt idx="6">
                    <c:v>Week 7</c:v>
                  </c:pt>
                  <c:pt idx="7">
                    <c:v>Week 8</c:v>
                  </c:pt>
                  <c:pt idx="8">
                    <c:v>Week 9</c:v>
                  </c:pt>
                  <c:pt idx="9">
                    <c:v>Week 10</c:v>
                  </c:pt>
                  <c:pt idx="10">
                    <c:v>Week 11</c:v>
                  </c:pt>
                  <c:pt idx="11">
                    <c:v>Week 12</c:v>
                  </c:pt>
                  <c:pt idx="12">
                    <c:v>Week 13</c:v>
                  </c:pt>
                  <c:pt idx="13">
                    <c:v>Week 14</c:v>
                  </c:pt>
                  <c:pt idx="14">
                    <c:v>Week 15</c:v>
                  </c:pt>
                  <c:pt idx="15">
                    <c:v>Week 16</c:v>
                  </c:pt>
                  <c:pt idx="16">
                    <c:v>Week 17</c:v>
                  </c:pt>
                  <c:pt idx="17">
                    <c:v>Week 18</c:v>
                  </c:pt>
                  <c:pt idx="18">
                    <c:v>Week 19</c:v>
                  </c:pt>
                  <c:pt idx="19">
                    <c:v>Week 20</c:v>
                  </c:pt>
                  <c:pt idx="20">
                    <c:v>Week 21</c:v>
                  </c:pt>
                  <c:pt idx="21">
                    <c:v>Week 22</c:v>
                  </c:pt>
                  <c:pt idx="22">
                    <c:v>Week 23</c:v>
                  </c:pt>
                  <c:pt idx="23">
                    <c:v>Week 24</c:v>
                  </c:pt>
                  <c:pt idx="24">
                    <c:v>Week 25</c:v>
                  </c:pt>
                  <c:pt idx="25">
                    <c:v>Week 26</c:v>
                  </c:pt>
                  <c:pt idx="26">
                    <c:v>Week 27</c:v>
                  </c:pt>
                  <c:pt idx="27">
                    <c:v>Week 28</c:v>
                  </c:pt>
                  <c:pt idx="28">
                    <c:v>Week 29</c:v>
                  </c:pt>
                  <c:pt idx="29">
                    <c:v>Week 30</c:v>
                  </c:pt>
                  <c:pt idx="30">
                    <c:v>Week 31</c:v>
                  </c:pt>
                  <c:pt idx="31">
                    <c:v>Week 32</c:v>
                  </c:pt>
                  <c:pt idx="32">
                    <c:v>Week 33</c:v>
                  </c:pt>
                  <c:pt idx="33">
                    <c:v>Week 34</c:v>
                  </c:pt>
                  <c:pt idx="34">
                    <c:v>Week 35</c:v>
                  </c:pt>
                  <c:pt idx="35">
                    <c:v>Week 36</c:v>
                  </c:pt>
                  <c:pt idx="36">
                    <c:v>Week 37</c:v>
                  </c:pt>
                  <c:pt idx="37">
                    <c:v>Week 38</c:v>
                  </c:pt>
                  <c:pt idx="38">
                    <c:v>Week 39</c:v>
                  </c:pt>
                  <c:pt idx="39">
                    <c:v>Week 40</c:v>
                  </c:pt>
                  <c:pt idx="40">
                    <c:v>Week 41</c:v>
                  </c:pt>
                  <c:pt idx="41">
                    <c:v>Week 42</c:v>
                  </c:pt>
                  <c:pt idx="42">
                    <c:v>Week 43</c:v>
                  </c:pt>
                  <c:pt idx="43">
                    <c:v>Week 44</c:v>
                  </c:pt>
                  <c:pt idx="44">
                    <c:v>Week 45</c:v>
                  </c:pt>
                  <c:pt idx="45">
                    <c:v>Week 46</c:v>
                  </c:pt>
                  <c:pt idx="46">
                    <c:v>Week 47</c:v>
                  </c:pt>
                  <c:pt idx="47">
                    <c:v>Week 48</c:v>
                  </c:pt>
                  <c:pt idx="48">
                    <c:v>Week 49</c:v>
                  </c:pt>
                  <c:pt idx="49">
                    <c:v>Week 50</c:v>
                  </c:pt>
                  <c:pt idx="50">
                    <c:v>Week 51</c:v>
                  </c:pt>
                  <c:pt idx="51">
                    <c:v>Week 52</c:v>
                  </c:pt>
                  <c:pt idx="52">
                    <c:v>Week 1</c:v>
                  </c:pt>
                  <c:pt idx="53">
                    <c:v>Week 2</c:v>
                  </c:pt>
                  <c:pt idx="54">
                    <c:v>Week 3</c:v>
                  </c:pt>
                  <c:pt idx="55">
                    <c:v>Week 4</c:v>
                  </c:pt>
                  <c:pt idx="56">
                    <c:v>Week 5</c:v>
                  </c:pt>
                  <c:pt idx="57">
                    <c:v>Week 6</c:v>
                  </c:pt>
                  <c:pt idx="58">
                    <c:v>Week 7</c:v>
                  </c:pt>
                  <c:pt idx="59">
                    <c:v>Week 8</c:v>
                  </c:pt>
                  <c:pt idx="60">
                    <c:v>Week 9</c:v>
                  </c:pt>
                  <c:pt idx="61">
                    <c:v>Week 10</c:v>
                  </c:pt>
                  <c:pt idx="62">
                    <c:v>Week 11</c:v>
                  </c:pt>
                </c:lvl>
                <c:lvl>
                  <c:pt idx="0">
                    <c:v>2022</c:v>
                  </c:pt>
                  <c:pt idx="1">
                    <c:v>2022</c:v>
                  </c:pt>
                  <c:pt idx="2">
                    <c:v>2022</c:v>
                  </c:pt>
                  <c:pt idx="3">
                    <c:v>2022</c:v>
                  </c:pt>
                  <c:pt idx="4">
                    <c:v>2022</c:v>
                  </c:pt>
                  <c:pt idx="5">
                    <c:v>2022</c:v>
                  </c:pt>
                  <c:pt idx="6">
                    <c:v>2022</c:v>
                  </c:pt>
                  <c:pt idx="7">
                    <c:v>2022</c:v>
                  </c:pt>
                  <c:pt idx="8">
                    <c:v>2022</c:v>
                  </c:pt>
                  <c:pt idx="9">
                    <c:v>2022</c:v>
                  </c:pt>
                  <c:pt idx="10">
                    <c:v>2022</c:v>
                  </c:pt>
                  <c:pt idx="11">
                    <c:v>2022</c:v>
                  </c:pt>
                  <c:pt idx="12">
                    <c:v>2022</c:v>
                  </c:pt>
                  <c:pt idx="13">
                    <c:v>2022</c:v>
                  </c:pt>
                  <c:pt idx="14">
                    <c:v>2022</c:v>
                  </c:pt>
                  <c:pt idx="15">
                    <c:v>2022</c:v>
                  </c:pt>
                  <c:pt idx="16">
                    <c:v>2022</c:v>
                  </c:pt>
                  <c:pt idx="17">
                    <c:v>2022</c:v>
                  </c:pt>
                  <c:pt idx="18">
                    <c:v>2022</c:v>
                  </c:pt>
                  <c:pt idx="19">
                    <c:v>2022</c:v>
                  </c:pt>
                  <c:pt idx="20">
                    <c:v>2022</c:v>
                  </c:pt>
                  <c:pt idx="21">
                    <c:v>2022</c:v>
                  </c:pt>
                  <c:pt idx="22">
                    <c:v>2022</c:v>
                  </c:pt>
                  <c:pt idx="23">
                    <c:v>2022</c:v>
                  </c:pt>
                  <c:pt idx="24">
                    <c:v>2022</c:v>
                  </c:pt>
                  <c:pt idx="25">
                    <c:v>2022</c:v>
                  </c:pt>
                  <c:pt idx="26">
                    <c:v>2022</c:v>
                  </c:pt>
                  <c:pt idx="27">
                    <c:v>2022</c:v>
                  </c:pt>
                  <c:pt idx="28">
                    <c:v>2022</c:v>
                  </c:pt>
                  <c:pt idx="29">
                    <c:v>2022</c:v>
                  </c:pt>
                  <c:pt idx="30">
                    <c:v>2022</c:v>
                  </c:pt>
                  <c:pt idx="31">
                    <c:v>2022</c:v>
                  </c:pt>
                  <c:pt idx="32">
                    <c:v>2022</c:v>
                  </c:pt>
                  <c:pt idx="33">
                    <c:v>2022</c:v>
                  </c:pt>
                  <c:pt idx="34">
                    <c:v>2022</c:v>
                  </c:pt>
                  <c:pt idx="35">
                    <c:v>2022</c:v>
                  </c:pt>
                  <c:pt idx="36">
                    <c:v>2022</c:v>
                  </c:pt>
                  <c:pt idx="37">
                    <c:v>2022</c:v>
                  </c:pt>
                  <c:pt idx="38">
                    <c:v>2022</c:v>
                  </c:pt>
                  <c:pt idx="39">
                    <c:v>2022</c:v>
                  </c:pt>
                  <c:pt idx="40">
                    <c:v>2022</c:v>
                  </c:pt>
                  <c:pt idx="41">
                    <c:v>2022</c:v>
                  </c:pt>
                  <c:pt idx="42">
                    <c:v>2022</c:v>
                  </c:pt>
                  <c:pt idx="43">
                    <c:v>2022</c:v>
                  </c:pt>
                  <c:pt idx="44">
                    <c:v>2022</c:v>
                  </c:pt>
                  <c:pt idx="45">
                    <c:v>2022</c:v>
                  </c:pt>
                  <c:pt idx="46">
                    <c:v>2022</c:v>
                  </c:pt>
                  <c:pt idx="47">
                    <c:v>2022</c:v>
                  </c:pt>
                  <c:pt idx="48">
                    <c:v>2022</c:v>
                  </c:pt>
                  <c:pt idx="49">
                    <c:v>2022</c:v>
                  </c:pt>
                  <c:pt idx="50">
                    <c:v>2022</c:v>
                  </c:pt>
                  <c:pt idx="51">
                    <c:v>2022</c:v>
                  </c:pt>
                  <c:pt idx="52">
                    <c:v>2023</c:v>
                  </c:pt>
                  <c:pt idx="53">
                    <c:v>2023</c:v>
                  </c:pt>
                  <c:pt idx="54">
                    <c:v>2023</c:v>
                  </c:pt>
                  <c:pt idx="55">
                    <c:v>2023</c:v>
                  </c:pt>
                  <c:pt idx="56">
                    <c:v>2023</c:v>
                  </c:pt>
                  <c:pt idx="57">
                    <c:v>2023</c:v>
                  </c:pt>
                  <c:pt idx="58">
                    <c:v>2023</c:v>
                  </c:pt>
                  <c:pt idx="59">
                    <c:v>2023</c:v>
                  </c:pt>
                  <c:pt idx="60">
                    <c:v>2023</c:v>
                  </c:pt>
                  <c:pt idx="61">
                    <c:v>2023</c:v>
                  </c:pt>
                  <c:pt idx="62">
                    <c:v>2023</c:v>
                  </c:pt>
                </c:lvl>
              </c:multiLvlStrCache>
            </c:multiLvlStrRef>
          </c:cat>
          <c:val>
            <c:numRef>
              <c:f>'Chart data '!$C$101:$C$163</c:f>
              <c:numCache>
                <c:formatCode>#,##0</c:formatCode>
                <c:ptCount val="63"/>
                <c:pt idx="0">
                  <c:v>12879</c:v>
                </c:pt>
                <c:pt idx="1">
                  <c:v>13711</c:v>
                </c:pt>
                <c:pt idx="2">
                  <c:v>12767</c:v>
                </c:pt>
                <c:pt idx="3">
                  <c:v>12453</c:v>
                </c:pt>
                <c:pt idx="4">
                  <c:v>12094</c:v>
                </c:pt>
                <c:pt idx="5">
                  <c:v>11985</c:v>
                </c:pt>
                <c:pt idx="6">
                  <c:v>11778</c:v>
                </c:pt>
                <c:pt idx="7">
                  <c:v>11788</c:v>
                </c:pt>
                <c:pt idx="8">
                  <c:v>11939</c:v>
                </c:pt>
                <c:pt idx="9">
                  <c:v>11966</c:v>
                </c:pt>
                <c:pt idx="10">
                  <c:v>11666</c:v>
                </c:pt>
                <c:pt idx="11">
                  <c:v>11352</c:v>
                </c:pt>
                <c:pt idx="12">
                  <c:v>10387</c:v>
                </c:pt>
                <c:pt idx="13">
                  <c:v>11144</c:v>
                </c:pt>
                <c:pt idx="14">
                  <c:v>10153</c:v>
                </c:pt>
                <c:pt idx="15">
                  <c:v>11011</c:v>
                </c:pt>
                <c:pt idx="16">
                  <c:v>12825</c:v>
                </c:pt>
                <c:pt idx="17">
                  <c:v>10476</c:v>
                </c:pt>
                <c:pt idx="18">
                  <c:v>12818</c:v>
                </c:pt>
                <c:pt idx="19">
                  <c:v>12431</c:v>
                </c:pt>
                <c:pt idx="20">
                  <c:v>11820</c:v>
                </c:pt>
                <c:pt idx="21">
                  <c:v>7682</c:v>
                </c:pt>
                <c:pt idx="22">
                  <c:v>12956</c:v>
                </c:pt>
                <c:pt idx="23">
                  <c:v>12019</c:v>
                </c:pt>
                <c:pt idx="24">
                  <c:v>11947</c:v>
                </c:pt>
                <c:pt idx="25">
                  <c:v>11429</c:v>
                </c:pt>
                <c:pt idx="26">
                  <c:v>11120</c:v>
                </c:pt>
                <c:pt idx="27">
                  <c:v>11252</c:v>
                </c:pt>
                <c:pt idx="28">
                  <c:v>11592</c:v>
                </c:pt>
                <c:pt idx="29">
                  <c:v>11624</c:v>
                </c:pt>
                <c:pt idx="30">
                  <c:v>11357</c:v>
                </c:pt>
                <c:pt idx="31">
                  <c:v>11118</c:v>
                </c:pt>
                <c:pt idx="32">
                  <c:v>11855</c:v>
                </c:pt>
                <c:pt idx="33">
                  <c:v>11837</c:v>
                </c:pt>
                <c:pt idx="34">
                  <c:v>9852</c:v>
                </c:pt>
                <c:pt idx="35">
                  <c:v>11782</c:v>
                </c:pt>
                <c:pt idx="36">
                  <c:v>11793</c:v>
                </c:pt>
                <c:pt idx="37">
                  <c:v>9754</c:v>
                </c:pt>
                <c:pt idx="38">
                  <c:v>12166</c:v>
                </c:pt>
                <c:pt idx="39">
                  <c:v>12365</c:v>
                </c:pt>
                <c:pt idx="40">
                  <c:v>12646</c:v>
                </c:pt>
                <c:pt idx="41">
                  <c:v>12775</c:v>
                </c:pt>
                <c:pt idx="42">
                  <c:v>12156</c:v>
                </c:pt>
                <c:pt idx="43">
                  <c:v>12738</c:v>
                </c:pt>
                <c:pt idx="44">
                  <c:v>12558</c:v>
                </c:pt>
                <c:pt idx="45">
                  <c:v>12785</c:v>
                </c:pt>
                <c:pt idx="46">
                  <c:v>12714</c:v>
                </c:pt>
                <c:pt idx="47">
                  <c:v>12512</c:v>
                </c:pt>
                <c:pt idx="48">
                  <c:v>12974</c:v>
                </c:pt>
                <c:pt idx="49">
                  <c:v>13635</c:v>
                </c:pt>
                <c:pt idx="50">
                  <c:v>16039</c:v>
                </c:pt>
                <c:pt idx="51">
                  <c:v>10465</c:v>
                </c:pt>
                <c:pt idx="52">
                  <c:v>16151</c:v>
                </c:pt>
                <c:pt idx="53">
                  <c:v>18888</c:v>
                </c:pt>
                <c:pt idx="54">
                  <c:v>17064</c:v>
                </c:pt>
                <c:pt idx="55">
                  <c:v>15310</c:v>
                </c:pt>
                <c:pt idx="56">
                  <c:v>14591</c:v>
                </c:pt>
                <c:pt idx="57">
                  <c:v>13844</c:v>
                </c:pt>
                <c:pt idx="58">
                  <c:v>13246</c:v>
                </c:pt>
                <c:pt idx="59">
                  <c:v>13132</c:v>
                </c:pt>
                <c:pt idx="60">
                  <c:v>13049</c:v>
                </c:pt>
                <c:pt idx="61">
                  <c:v>12442</c:v>
                </c:pt>
                <c:pt idx="62">
                  <c:v>13064</c:v>
                </c:pt>
              </c:numCache>
            </c:numRef>
          </c:val>
          <c:extLst>
            <c:ext xmlns:c16="http://schemas.microsoft.com/office/drawing/2014/chart" uri="{C3380CC4-5D6E-409C-BE32-E72D297353CC}">
              <c16:uniqueId val="{00000000-8FD7-6243-9990-68701E1FA497}"/>
            </c:ext>
          </c:extLst>
        </c:ser>
        <c:ser>
          <c:idx val="1"/>
          <c:order val="1"/>
          <c:spPr>
            <a:solidFill>
              <a:schemeClr val="accent2"/>
            </a:solidFill>
            <a:ln>
              <a:noFill/>
            </a:ln>
            <a:effectLst/>
          </c:spPr>
          <c:invertIfNegative val="0"/>
          <c:cat>
            <c:multiLvlStrRef>
              <c:f>'Chart data '!$A$101:$B$163</c:f>
              <c:multiLvlStrCache>
                <c:ptCount val="63"/>
                <c:lvl>
                  <c:pt idx="0">
                    <c:v>Week 1</c:v>
                  </c:pt>
                  <c:pt idx="1">
                    <c:v>Week 2</c:v>
                  </c:pt>
                  <c:pt idx="2">
                    <c:v>Week 3</c:v>
                  </c:pt>
                  <c:pt idx="3">
                    <c:v>Week 4</c:v>
                  </c:pt>
                  <c:pt idx="4">
                    <c:v>Week 5</c:v>
                  </c:pt>
                  <c:pt idx="5">
                    <c:v>Week 6</c:v>
                  </c:pt>
                  <c:pt idx="6">
                    <c:v>Week 7</c:v>
                  </c:pt>
                  <c:pt idx="7">
                    <c:v>Week 8</c:v>
                  </c:pt>
                  <c:pt idx="8">
                    <c:v>Week 9</c:v>
                  </c:pt>
                  <c:pt idx="9">
                    <c:v>Week 10</c:v>
                  </c:pt>
                  <c:pt idx="10">
                    <c:v>Week 11</c:v>
                  </c:pt>
                  <c:pt idx="11">
                    <c:v>Week 12</c:v>
                  </c:pt>
                  <c:pt idx="12">
                    <c:v>Week 13</c:v>
                  </c:pt>
                  <c:pt idx="13">
                    <c:v>Week 14</c:v>
                  </c:pt>
                  <c:pt idx="14">
                    <c:v>Week 15</c:v>
                  </c:pt>
                  <c:pt idx="15">
                    <c:v>Week 16</c:v>
                  </c:pt>
                  <c:pt idx="16">
                    <c:v>Week 17</c:v>
                  </c:pt>
                  <c:pt idx="17">
                    <c:v>Week 18</c:v>
                  </c:pt>
                  <c:pt idx="18">
                    <c:v>Week 19</c:v>
                  </c:pt>
                  <c:pt idx="19">
                    <c:v>Week 20</c:v>
                  </c:pt>
                  <c:pt idx="20">
                    <c:v>Week 21</c:v>
                  </c:pt>
                  <c:pt idx="21">
                    <c:v>Week 22</c:v>
                  </c:pt>
                  <c:pt idx="22">
                    <c:v>Week 23</c:v>
                  </c:pt>
                  <c:pt idx="23">
                    <c:v>Week 24</c:v>
                  </c:pt>
                  <c:pt idx="24">
                    <c:v>Week 25</c:v>
                  </c:pt>
                  <c:pt idx="25">
                    <c:v>Week 26</c:v>
                  </c:pt>
                  <c:pt idx="26">
                    <c:v>Week 27</c:v>
                  </c:pt>
                  <c:pt idx="27">
                    <c:v>Week 28</c:v>
                  </c:pt>
                  <c:pt idx="28">
                    <c:v>Week 29</c:v>
                  </c:pt>
                  <c:pt idx="29">
                    <c:v>Week 30</c:v>
                  </c:pt>
                  <c:pt idx="30">
                    <c:v>Week 31</c:v>
                  </c:pt>
                  <c:pt idx="31">
                    <c:v>Week 32</c:v>
                  </c:pt>
                  <c:pt idx="32">
                    <c:v>Week 33</c:v>
                  </c:pt>
                  <c:pt idx="33">
                    <c:v>Week 34</c:v>
                  </c:pt>
                  <c:pt idx="34">
                    <c:v>Week 35</c:v>
                  </c:pt>
                  <c:pt idx="35">
                    <c:v>Week 36</c:v>
                  </c:pt>
                  <c:pt idx="36">
                    <c:v>Week 37</c:v>
                  </c:pt>
                  <c:pt idx="37">
                    <c:v>Week 38</c:v>
                  </c:pt>
                  <c:pt idx="38">
                    <c:v>Week 39</c:v>
                  </c:pt>
                  <c:pt idx="39">
                    <c:v>Week 40</c:v>
                  </c:pt>
                  <c:pt idx="40">
                    <c:v>Week 41</c:v>
                  </c:pt>
                  <c:pt idx="41">
                    <c:v>Week 42</c:v>
                  </c:pt>
                  <c:pt idx="42">
                    <c:v>Week 43</c:v>
                  </c:pt>
                  <c:pt idx="43">
                    <c:v>Week 44</c:v>
                  </c:pt>
                  <c:pt idx="44">
                    <c:v>Week 45</c:v>
                  </c:pt>
                  <c:pt idx="45">
                    <c:v>Week 46</c:v>
                  </c:pt>
                  <c:pt idx="46">
                    <c:v>Week 47</c:v>
                  </c:pt>
                  <c:pt idx="47">
                    <c:v>Week 48</c:v>
                  </c:pt>
                  <c:pt idx="48">
                    <c:v>Week 49</c:v>
                  </c:pt>
                  <c:pt idx="49">
                    <c:v>Week 50</c:v>
                  </c:pt>
                  <c:pt idx="50">
                    <c:v>Week 51</c:v>
                  </c:pt>
                  <c:pt idx="51">
                    <c:v>Week 52</c:v>
                  </c:pt>
                  <c:pt idx="52">
                    <c:v>Week 1</c:v>
                  </c:pt>
                  <c:pt idx="53">
                    <c:v>Week 2</c:v>
                  </c:pt>
                  <c:pt idx="54">
                    <c:v>Week 3</c:v>
                  </c:pt>
                  <c:pt idx="55">
                    <c:v>Week 4</c:v>
                  </c:pt>
                  <c:pt idx="56">
                    <c:v>Week 5</c:v>
                  </c:pt>
                  <c:pt idx="57">
                    <c:v>Week 6</c:v>
                  </c:pt>
                  <c:pt idx="58">
                    <c:v>Week 7</c:v>
                  </c:pt>
                  <c:pt idx="59">
                    <c:v>Week 8</c:v>
                  </c:pt>
                  <c:pt idx="60">
                    <c:v>Week 9</c:v>
                  </c:pt>
                  <c:pt idx="61">
                    <c:v>Week 10</c:v>
                  </c:pt>
                  <c:pt idx="62">
                    <c:v>Week 11</c:v>
                  </c:pt>
                </c:lvl>
                <c:lvl>
                  <c:pt idx="0">
                    <c:v>2022</c:v>
                  </c:pt>
                  <c:pt idx="1">
                    <c:v>2022</c:v>
                  </c:pt>
                  <c:pt idx="2">
                    <c:v>2022</c:v>
                  </c:pt>
                  <c:pt idx="3">
                    <c:v>2022</c:v>
                  </c:pt>
                  <c:pt idx="4">
                    <c:v>2022</c:v>
                  </c:pt>
                  <c:pt idx="5">
                    <c:v>2022</c:v>
                  </c:pt>
                  <c:pt idx="6">
                    <c:v>2022</c:v>
                  </c:pt>
                  <c:pt idx="7">
                    <c:v>2022</c:v>
                  </c:pt>
                  <c:pt idx="8">
                    <c:v>2022</c:v>
                  </c:pt>
                  <c:pt idx="9">
                    <c:v>2022</c:v>
                  </c:pt>
                  <c:pt idx="10">
                    <c:v>2022</c:v>
                  </c:pt>
                  <c:pt idx="11">
                    <c:v>2022</c:v>
                  </c:pt>
                  <c:pt idx="12">
                    <c:v>2022</c:v>
                  </c:pt>
                  <c:pt idx="13">
                    <c:v>2022</c:v>
                  </c:pt>
                  <c:pt idx="14">
                    <c:v>2022</c:v>
                  </c:pt>
                  <c:pt idx="15">
                    <c:v>2022</c:v>
                  </c:pt>
                  <c:pt idx="16">
                    <c:v>2022</c:v>
                  </c:pt>
                  <c:pt idx="17">
                    <c:v>2022</c:v>
                  </c:pt>
                  <c:pt idx="18">
                    <c:v>2022</c:v>
                  </c:pt>
                  <c:pt idx="19">
                    <c:v>2022</c:v>
                  </c:pt>
                  <c:pt idx="20">
                    <c:v>2022</c:v>
                  </c:pt>
                  <c:pt idx="21">
                    <c:v>2022</c:v>
                  </c:pt>
                  <c:pt idx="22">
                    <c:v>2022</c:v>
                  </c:pt>
                  <c:pt idx="23">
                    <c:v>2022</c:v>
                  </c:pt>
                  <c:pt idx="24">
                    <c:v>2022</c:v>
                  </c:pt>
                  <c:pt idx="25">
                    <c:v>2022</c:v>
                  </c:pt>
                  <c:pt idx="26">
                    <c:v>2022</c:v>
                  </c:pt>
                  <c:pt idx="27">
                    <c:v>2022</c:v>
                  </c:pt>
                  <c:pt idx="28">
                    <c:v>2022</c:v>
                  </c:pt>
                  <c:pt idx="29">
                    <c:v>2022</c:v>
                  </c:pt>
                  <c:pt idx="30">
                    <c:v>2022</c:v>
                  </c:pt>
                  <c:pt idx="31">
                    <c:v>2022</c:v>
                  </c:pt>
                  <c:pt idx="32">
                    <c:v>2022</c:v>
                  </c:pt>
                  <c:pt idx="33">
                    <c:v>2022</c:v>
                  </c:pt>
                  <c:pt idx="34">
                    <c:v>2022</c:v>
                  </c:pt>
                  <c:pt idx="35">
                    <c:v>2022</c:v>
                  </c:pt>
                  <c:pt idx="36">
                    <c:v>2022</c:v>
                  </c:pt>
                  <c:pt idx="37">
                    <c:v>2022</c:v>
                  </c:pt>
                  <c:pt idx="38">
                    <c:v>2022</c:v>
                  </c:pt>
                  <c:pt idx="39">
                    <c:v>2022</c:v>
                  </c:pt>
                  <c:pt idx="40">
                    <c:v>2022</c:v>
                  </c:pt>
                  <c:pt idx="41">
                    <c:v>2022</c:v>
                  </c:pt>
                  <c:pt idx="42">
                    <c:v>2022</c:v>
                  </c:pt>
                  <c:pt idx="43">
                    <c:v>2022</c:v>
                  </c:pt>
                  <c:pt idx="44">
                    <c:v>2022</c:v>
                  </c:pt>
                  <c:pt idx="45">
                    <c:v>2022</c:v>
                  </c:pt>
                  <c:pt idx="46">
                    <c:v>2022</c:v>
                  </c:pt>
                  <c:pt idx="47">
                    <c:v>2022</c:v>
                  </c:pt>
                  <c:pt idx="48">
                    <c:v>2022</c:v>
                  </c:pt>
                  <c:pt idx="49">
                    <c:v>2022</c:v>
                  </c:pt>
                  <c:pt idx="50">
                    <c:v>2022</c:v>
                  </c:pt>
                  <c:pt idx="51">
                    <c:v>2022</c:v>
                  </c:pt>
                  <c:pt idx="52">
                    <c:v>2023</c:v>
                  </c:pt>
                  <c:pt idx="53">
                    <c:v>2023</c:v>
                  </c:pt>
                  <c:pt idx="54">
                    <c:v>2023</c:v>
                  </c:pt>
                  <c:pt idx="55">
                    <c:v>2023</c:v>
                  </c:pt>
                  <c:pt idx="56">
                    <c:v>2023</c:v>
                  </c:pt>
                  <c:pt idx="57">
                    <c:v>2023</c:v>
                  </c:pt>
                  <c:pt idx="58">
                    <c:v>2023</c:v>
                  </c:pt>
                  <c:pt idx="59">
                    <c:v>2023</c:v>
                  </c:pt>
                  <c:pt idx="60">
                    <c:v>2023</c:v>
                  </c:pt>
                  <c:pt idx="61">
                    <c:v>2023</c:v>
                  </c:pt>
                  <c:pt idx="62">
                    <c:v>2023</c:v>
                  </c:pt>
                </c:lvl>
              </c:multiLvlStrCache>
            </c:multiLvlStrRef>
          </c:cat>
          <c:val>
            <c:numRef>
              <c:f>'Chart data '!$D$101:$D$163</c:f>
              <c:numCache>
                <c:formatCode>#,##0</c:formatCode>
                <c:ptCount val="63"/>
                <c:pt idx="0">
                  <c:v>1022</c:v>
                </c:pt>
                <c:pt idx="1">
                  <c:v>1561</c:v>
                </c:pt>
                <c:pt idx="2">
                  <c:v>1673</c:v>
                </c:pt>
                <c:pt idx="3">
                  <c:v>1545</c:v>
                </c:pt>
                <c:pt idx="4">
                  <c:v>1391</c:v>
                </c:pt>
                <c:pt idx="5">
                  <c:v>1186</c:v>
                </c:pt>
                <c:pt idx="6">
                  <c:v>970</c:v>
                </c:pt>
                <c:pt idx="7">
                  <c:v>879</c:v>
                </c:pt>
                <c:pt idx="8">
                  <c:v>816</c:v>
                </c:pt>
                <c:pt idx="9">
                  <c:v>821</c:v>
                </c:pt>
                <c:pt idx="10">
                  <c:v>829</c:v>
                </c:pt>
                <c:pt idx="11">
                  <c:v>1006</c:v>
                </c:pt>
                <c:pt idx="12">
                  <c:v>1063</c:v>
                </c:pt>
                <c:pt idx="13">
                  <c:v>1134</c:v>
                </c:pt>
                <c:pt idx="14">
                  <c:v>1152</c:v>
                </c:pt>
                <c:pt idx="15">
                  <c:v>1185</c:v>
                </c:pt>
                <c:pt idx="16">
                  <c:v>1249</c:v>
                </c:pt>
                <c:pt idx="17">
                  <c:v>839</c:v>
                </c:pt>
                <c:pt idx="18">
                  <c:v>796</c:v>
                </c:pt>
                <c:pt idx="19">
                  <c:v>615</c:v>
                </c:pt>
                <c:pt idx="20">
                  <c:v>469</c:v>
                </c:pt>
                <c:pt idx="21">
                  <c:v>211</c:v>
                </c:pt>
                <c:pt idx="22">
                  <c:v>335</c:v>
                </c:pt>
                <c:pt idx="23">
                  <c:v>309</c:v>
                </c:pt>
                <c:pt idx="24">
                  <c:v>347</c:v>
                </c:pt>
                <c:pt idx="25">
                  <c:v>412</c:v>
                </c:pt>
                <c:pt idx="26">
                  <c:v>529</c:v>
                </c:pt>
                <c:pt idx="27">
                  <c:v>696</c:v>
                </c:pt>
                <c:pt idx="28">
                  <c:v>864</c:v>
                </c:pt>
                <c:pt idx="29">
                  <c:v>923</c:v>
                </c:pt>
                <c:pt idx="30">
                  <c:v>802</c:v>
                </c:pt>
                <c:pt idx="31">
                  <c:v>675</c:v>
                </c:pt>
                <c:pt idx="32">
                  <c:v>622</c:v>
                </c:pt>
                <c:pt idx="33">
                  <c:v>505</c:v>
                </c:pt>
                <c:pt idx="34">
                  <c:v>350</c:v>
                </c:pt>
                <c:pt idx="35" formatCode="General">
                  <c:v>414</c:v>
                </c:pt>
                <c:pt idx="36" formatCode="General">
                  <c:v>348</c:v>
                </c:pt>
                <c:pt idx="37" formatCode="General">
                  <c:v>274</c:v>
                </c:pt>
                <c:pt idx="38" formatCode="General">
                  <c:v>343</c:v>
                </c:pt>
                <c:pt idx="39" formatCode="General">
                  <c:v>449</c:v>
                </c:pt>
                <c:pt idx="40" formatCode="General">
                  <c:v>625</c:v>
                </c:pt>
                <c:pt idx="41">
                  <c:v>737</c:v>
                </c:pt>
                <c:pt idx="42">
                  <c:v>718</c:v>
                </c:pt>
                <c:pt idx="43">
                  <c:v>708</c:v>
                </c:pt>
                <c:pt idx="44">
                  <c:v>583</c:v>
                </c:pt>
                <c:pt idx="45">
                  <c:v>471</c:v>
                </c:pt>
                <c:pt idx="46" formatCode="General">
                  <c:v>400</c:v>
                </c:pt>
                <c:pt idx="47">
                  <c:v>372</c:v>
                </c:pt>
                <c:pt idx="48">
                  <c:v>381</c:v>
                </c:pt>
                <c:pt idx="49">
                  <c:v>435</c:v>
                </c:pt>
                <c:pt idx="50">
                  <c:v>514</c:v>
                </c:pt>
                <c:pt idx="51">
                  <c:v>469</c:v>
                </c:pt>
                <c:pt idx="52">
                  <c:v>842</c:v>
                </c:pt>
                <c:pt idx="53">
                  <c:v>1060</c:v>
                </c:pt>
                <c:pt idx="54">
                  <c:v>882</c:v>
                </c:pt>
                <c:pt idx="55">
                  <c:v>660</c:v>
                </c:pt>
                <c:pt idx="56">
                  <c:v>540</c:v>
                </c:pt>
                <c:pt idx="57">
                  <c:v>495</c:v>
                </c:pt>
                <c:pt idx="58">
                  <c:v>476</c:v>
                </c:pt>
                <c:pt idx="59" formatCode="General">
                  <c:v>476</c:v>
                </c:pt>
                <c:pt idx="60" formatCode="General">
                  <c:v>564</c:v>
                </c:pt>
                <c:pt idx="61" formatCode="General">
                  <c:v>605</c:v>
                </c:pt>
                <c:pt idx="62" formatCode="0">
                  <c:v>619</c:v>
                </c:pt>
              </c:numCache>
            </c:numRef>
          </c:val>
          <c:extLst>
            <c:ext xmlns:c16="http://schemas.microsoft.com/office/drawing/2014/chart" uri="{C3380CC4-5D6E-409C-BE32-E72D297353CC}">
              <c16:uniqueId val="{00000001-8FD7-6243-9990-68701E1FA497}"/>
            </c:ext>
          </c:extLst>
        </c:ser>
        <c:ser>
          <c:idx val="2"/>
          <c:order val="2"/>
          <c:spPr>
            <a:solidFill>
              <a:schemeClr val="accent3"/>
            </a:solidFill>
            <a:ln>
              <a:noFill/>
            </a:ln>
            <a:effectLst/>
          </c:spPr>
          <c:invertIfNegative val="0"/>
          <c:cat>
            <c:multiLvlStrRef>
              <c:f>'Chart data '!$A$101:$B$163</c:f>
              <c:multiLvlStrCache>
                <c:ptCount val="63"/>
                <c:lvl>
                  <c:pt idx="0">
                    <c:v>Week 1</c:v>
                  </c:pt>
                  <c:pt idx="1">
                    <c:v>Week 2</c:v>
                  </c:pt>
                  <c:pt idx="2">
                    <c:v>Week 3</c:v>
                  </c:pt>
                  <c:pt idx="3">
                    <c:v>Week 4</c:v>
                  </c:pt>
                  <c:pt idx="4">
                    <c:v>Week 5</c:v>
                  </c:pt>
                  <c:pt idx="5">
                    <c:v>Week 6</c:v>
                  </c:pt>
                  <c:pt idx="6">
                    <c:v>Week 7</c:v>
                  </c:pt>
                  <c:pt idx="7">
                    <c:v>Week 8</c:v>
                  </c:pt>
                  <c:pt idx="8">
                    <c:v>Week 9</c:v>
                  </c:pt>
                  <c:pt idx="9">
                    <c:v>Week 10</c:v>
                  </c:pt>
                  <c:pt idx="10">
                    <c:v>Week 11</c:v>
                  </c:pt>
                  <c:pt idx="11">
                    <c:v>Week 12</c:v>
                  </c:pt>
                  <c:pt idx="12">
                    <c:v>Week 13</c:v>
                  </c:pt>
                  <c:pt idx="13">
                    <c:v>Week 14</c:v>
                  </c:pt>
                  <c:pt idx="14">
                    <c:v>Week 15</c:v>
                  </c:pt>
                  <c:pt idx="15">
                    <c:v>Week 16</c:v>
                  </c:pt>
                  <c:pt idx="16">
                    <c:v>Week 17</c:v>
                  </c:pt>
                  <c:pt idx="17">
                    <c:v>Week 18</c:v>
                  </c:pt>
                  <c:pt idx="18">
                    <c:v>Week 19</c:v>
                  </c:pt>
                  <c:pt idx="19">
                    <c:v>Week 20</c:v>
                  </c:pt>
                  <c:pt idx="20">
                    <c:v>Week 21</c:v>
                  </c:pt>
                  <c:pt idx="21">
                    <c:v>Week 22</c:v>
                  </c:pt>
                  <c:pt idx="22">
                    <c:v>Week 23</c:v>
                  </c:pt>
                  <c:pt idx="23">
                    <c:v>Week 24</c:v>
                  </c:pt>
                  <c:pt idx="24">
                    <c:v>Week 25</c:v>
                  </c:pt>
                  <c:pt idx="25">
                    <c:v>Week 26</c:v>
                  </c:pt>
                  <c:pt idx="26">
                    <c:v>Week 27</c:v>
                  </c:pt>
                  <c:pt idx="27">
                    <c:v>Week 28</c:v>
                  </c:pt>
                  <c:pt idx="28">
                    <c:v>Week 29</c:v>
                  </c:pt>
                  <c:pt idx="29">
                    <c:v>Week 30</c:v>
                  </c:pt>
                  <c:pt idx="30">
                    <c:v>Week 31</c:v>
                  </c:pt>
                  <c:pt idx="31">
                    <c:v>Week 32</c:v>
                  </c:pt>
                  <c:pt idx="32">
                    <c:v>Week 33</c:v>
                  </c:pt>
                  <c:pt idx="33">
                    <c:v>Week 34</c:v>
                  </c:pt>
                  <c:pt idx="34">
                    <c:v>Week 35</c:v>
                  </c:pt>
                  <c:pt idx="35">
                    <c:v>Week 36</c:v>
                  </c:pt>
                  <c:pt idx="36">
                    <c:v>Week 37</c:v>
                  </c:pt>
                  <c:pt idx="37">
                    <c:v>Week 38</c:v>
                  </c:pt>
                  <c:pt idx="38">
                    <c:v>Week 39</c:v>
                  </c:pt>
                  <c:pt idx="39">
                    <c:v>Week 40</c:v>
                  </c:pt>
                  <c:pt idx="40">
                    <c:v>Week 41</c:v>
                  </c:pt>
                  <c:pt idx="41">
                    <c:v>Week 42</c:v>
                  </c:pt>
                  <c:pt idx="42">
                    <c:v>Week 43</c:v>
                  </c:pt>
                  <c:pt idx="43">
                    <c:v>Week 44</c:v>
                  </c:pt>
                  <c:pt idx="44">
                    <c:v>Week 45</c:v>
                  </c:pt>
                  <c:pt idx="45">
                    <c:v>Week 46</c:v>
                  </c:pt>
                  <c:pt idx="46">
                    <c:v>Week 47</c:v>
                  </c:pt>
                  <c:pt idx="47">
                    <c:v>Week 48</c:v>
                  </c:pt>
                  <c:pt idx="48">
                    <c:v>Week 49</c:v>
                  </c:pt>
                  <c:pt idx="49">
                    <c:v>Week 50</c:v>
                  </c:pt>
                  <c:pt idx="50">
                    <c:v>Week 51</c:v>
                  </c:pt>
                  <c:pt idx="51">
                    <c:v>Week 52</c:v>
                  </c:pt>
                  <c:pt idx="52">
                    <c:v>Week 1</c:v>
                  </c:pt>
                  <c:pt idx="53">
                    <c:v>Week 2</c:v>
                  </c:pt>
                  <c:pt idx="54">
                    <c:v>Week 3</c:v>
                  </c:pt>
                  <c:pt idx="55">
                    <c:v>Week 4</c:v>
                  </c:pt>
                  <c:pt idx="56">
                    <c:v>Week 5</c:v>
                  </c:pt>
                  <c:pt idx="57">
                    <c:v>Week 6</c:v>
                  </c:pt>
                  <c:pt idx="58">
                    <c:v>Week 7</c:v>
                  </c:pt>
                  <c:pt idx="59">
                    <c:v>Week 8</c:v>
                  </c:pt>
                  <c:pt idx="60">
                    <c:v>Week 9</c:v>
                  </c:pt>
                  <c:pt idx="61">
                    <c:v>Week 10</c:v>
                  </c:pt>
                  <c:pt idx="62">
                    <c:v>Week 11</c:v>
                  </c:pt>
                </c:lvl>
                <c:lvl>
                  <c:pt idx="0">
                    <c:v>2022</c:v>
                  </c:pt>
                  <c:pt idx="1">
                    <c:v>2022</c:v>
                  </c:pt>
                  <c:pt idx="2">
                    <c:v>2022</c:v>
                  </c:pt>
                  <c:pt idx="3">
                    <c:v>2022</c:v>
                  </c:pt>
                  <c:pt idx="4">
                    <c:v>2022</c:v>
                  </c:pt>
                  <c:pt idx="5">
                    <c:v>2022</c:v>
                  </c:pt>
                  <c:pt idx="6">
                    <c:v>2022</c:v>
                  </c:pt>
                  <c:pt idx="7">
                    <c:v>2022</c:v>
                  </c:pt>
                  <c:pt idx="8">
                    <c:v>2022</c:v>
                  </c:pt>
                  <c:pt idx="9">
                    <c:v>2022</c:v>
                  </c:pt>
                  <c:pt idx="10">
                    <c:v>2022</c:v>
                  </c:pt>
                  <c:pt idx="11">
                    <c:v>2022</c:v>
                  </c:pt>
                  <c:pt idx="12">
                    <c:v>2022</c:v>
                  </c:pt>
                  <c:pt idx="13">
                    <c:v>2022</c:v>
                  </c:pt>
                  <c:pt idx="14">
                    <c:v>2022</c:v>
                  </c:pt>
                  <c:pt idx="15">
                    <c:v>2022</c:v>
                  </c:pt>
                  <c:pt idx="16">
                    <c:v>2022</c:v>
                  </c:pt>
                  <c:pt idx="17">
                    <c:v>2022</c:v>
                  </c:pt>
                  <c:pt idx="18">
                    <c:v>2022</c:v>
                  </c:pt>
                  <c:pt idx="19">
                    <c:v>2022</c:v>
                  </c:pt>
                  <c:pt idx="20">
                    <c:v>2022</c:v>
                  </c:pt>
                  <c:pt idx="21">
                    <c:v>2022</c:v>
                  </c:pt>
                  <c:pt idx="22">
                    <c:v>2022</c:v>
                  </c:pt>
                  <c:pt idx="23">
                    <c:v>2022</c:v>
                  </c:pt>
                  <c:pt idx="24">
                    <c:v>2022</c:v>
                  </c:pt>
                  <c:pt idx="25">
                    <c:v>2022</c:v>
                  </c:pt>
                  <c:pt idx="26">
                    <c:v>2022</c:v>
                  </c:pt>
                  <c:pt idx="27">
                    <c:v>2022</c:v>
                  </c:pt>
                  <c:pt idx="28">
                    <c:v>2022</c:v>
                  </c:pt>
                  <c:pt idx="29">
                    <c:v>2022</c:v>
                  </c:pt>
                  <c:pt idx="30">
                    <c:v>2022</c:v>
                  </c:pt>
                  <c:pt idx="31">
                    <c:v>2022</c:v>
                  </c:pt>
                  <c:pt idx="32">
                    <c:v>2022</c:v>
                  </c:pt>
                  <c:pt idx="33">
                    <c:v>2022</c:v>
                  </c:pt>
                  <c:pt idx="34">
                    <c:v>2022</c:v>
                  </c:pt>
                  <c:pt idx="35">
                    <c:v>2022</c:v>
                  </c:pt>
                  <c:pt idx="36">
                    <c:v>2022</c:v>
                  </c:pt>
                  <c:pt idx="37">
                    <c:v>2022</c:v>
                  </c:pt>
                  <c:pt idx="38">
                    <c:v>2022</c:v>
                  </c:pt>
                  <c:pt idx="39">
                    <c:v>2022</c:v>
                  </c:pt>
                  <c:pt idx="40">
                    <c:v>2022</c:v>
                  </c:pt>
                  <c:pt idx="41">
                    <c:v>2022</c:v>
                  </c:pt>
                  <c:pt idx="42">
                    <c:v>2022</c:v>
                  </c:pt>
                  <c:pt idx="43">
                    <c:v>2022</c:v>
                  </c:pt>
                  <c:pt idx="44">
                    <c:v>2022</c:v>
                  </c:pt>
                  <c:pt idx="45">
                    <c:v>2022</c:v>
                  </c:pt>
                  <c:pt idx="46">
                    <c:v>2022</c:v>
                  </c:pt>
                  <c:pt idx="47">
                    <c:v>2022</c:v>
                  </c:pt>
                  <c:pt idx="48">
                    <c:v>2022</c:v>
                  </c:pt>
                  <c:pt idx="49">
                    <c:v>2022</c:v>
                  </c:pt>
                  <c:pt idx="50">
                    <c:v>2022</c:v>
                  </c:pt>
                  <c:pt idx="51">
                    <c:v>2022</c:v>
                  </c:pt>
                  <c:pt idx="52">
                    <c:v>2023</c:v>
                  </c:pt>
                  <c:pt idx="53">
                    <c:v>2023</c:v>
                  </c:pt>
                  <c:pt idx="54">
                    <c:v>2023</c:v>
                  </c:pt>
                  <c:pt idx="55">
                    <c:v>2023</c:v>
                  </c:pt>
                  <c:pt idx="56">
                    <c:v>2023</c:v>
                  </c:pt>
                  <c:pt idx="57">
                    <c:v>2023</c:v>
                  </c:pt>
                  <c:pt idx="58">
                    <c:v>2023</c:v>
                  </c:pt>
                  <c:pt idx="59">
                    <c:v>2023</c:v>
                  </c:pt>
                  <c:pt idx="60">
                    <c:v>2023</c:v>
                  </c:pt>
                  <c:pt idx="61">
                    <c:v>2023</c:v>
                  </c:pt>
                  <c:pt idx="62">
                    <c:v>2023</c:v>
                  </c:pt>
                </c:lvl>
              </c:multiLvlStrCache>
            </c:multiLvlStrRef>
          </c:cat>
          <c:val>
            <c:numRef>
              <c:f>'Chart data '!$E$101:$E$163</c:f>
              <c:numCache>
                <c:formatCode>#,##0</c:formatCode>
                <c:ptCount val="63"/>
                <c:pt idx="0">
                  <c:v>15141</c:v>
                </c:pt>
                <c:pt idx="1">
                  <c:v>16116</c:v>
                </c:pt>
                <c:pt idx="2">
                  <c:v>15776</c:v>
                </c:pt>
                <c:pt idx="3">
                  <c:v>15413</c:v>
                </c:pt>
                <c:pt idx="4">
                  <c:v>14752</c:v>
                </c:pt>
                <c:pt idx="5">
                  <c:v>14204</c:v>
                </c:pt>
                <c:pt idx="6">
                  <c:v>13617</c:v>
                </c:pt>
                <c:pt idx="7">
                  <c:v>13384</c:v>
                </c:pt>
                <c:pt idx="8">
                  <c:v>12690</c:v>
                </c:pt>
                <c:pt idx="9">
                  <c:v>12960</c:v>
                </c:pt>
                <c:pt idx="10">
                  <c:v>12512</c:v>
                </c:pt>
                <c:pt idx="11">
                  <c:v>11896</c:v>
                </c:pt>
                <c:pt idx="12">
                  <c:v>11041</c:v>
                </c:pt>
                <c:pt idx="13">
                  <c:v>11717</c:v>
                </c:pt>
                <c:pt idx="14">
                  <c:v>11968</c:v>
                </c:pt>
                <c:pt idx="15">
                  <c:v>11508</c:v>
                </c:pt>
                <c:pt idx="16">
                  <c:v>11666</c:v>
                </c:pt>
                <c:pt idx="17">
                  <c:v>10802</c:v>
                </c:pt>
                <c:pt idx="18">
                  <c:v>11194</c:v>
                </c:pt>
                <c:pt idx="19">
                  <c:v>11450</c:v>
                </c:pt>
                <c:pt idx="20">
                  <c:v>11195</c:v>
                </c:pt>
                <c:pt idx="21">
                  <c:v>9380</c:v>
                </c:pt>
                <c:pt idx="22">
                  <c:v>11332</c:v>
                </c:pt>
                <c:pt idx="23">
                  <c:v>10698</c:v>
                </c:pt>
                <c:pt idx="24">
                  <c:v>10596</c:v>
                </c:pt>
                <c:pt idx="25">
                  <c:v>10550</c:v>
                </c:pt>
                <c:pt idx="26">
                  <c:v>10586</c:v>
                </c:pt>
                <c:pt idx="27">
                  <c:v>10710</c:v>
                </c:pt>
                <c:pt idx="28">
                  <c:v>10600</c:v>
                </c:pt>
                <c:pt idx="29">
                  <c:v>10638</c:v>
                </c:pt>
                <c:pt idx="30">
                  <c:v>10646</c:v>
                </c:pt>
                <c:pt idx="31">
                  <c:v>10700</c:v>
                </c:pt>
                <c:pt idx="32">
                  <c:v>10581</c:v>
                </c:pt>
                <c:pt idx="33">
                  <c:v>10684</c:v>
                </c:pt>
                <c:pt idx="34">
                  <c:v>9492</c:v>
                </c:pt>
                <c:pt idx="35">
                  <c:v>11138</c:v>
                </c:pt>
                <c:pt idx="36">
                  <c:v>11018</c:v>
                </c:pt>
                <c:pt idx="37">
                  <c:v>10934</c:v>
                </c:pt>
                <c:pt idx="38">
                  <c:v>10972</c:v>
                </c:pt>
                <c:pt idx="39">
                  <c:v>11255</c:v>
                </c:pt>
                <c:pt idx="40">
                  <c:v>11534</c:v>
                </c:pt>
                <c:pt idx="41">
                  <c:v>11641</c:v>
                </c:pt>
                <c:pt idx="42">
                  <c:v>11431</c:v>
                </c:pt>
                <c:pt idx="43">
                  <c:v>11706</c:v>
                </c:pt>
                <c:pt idx="44">
                  <c:v>12230</c:v>
                </c:pt>
                <c:pt idx="45">
                  <c:v>12295</c:v>
                </c:pt>
                <c:pt idx="46">
                  <c:v>12217</c:v>
                </c:pt>
                <c:pt idx="47">
                  <c:v>12241</c:v>
                </c:pt>
                <c:pt idx="48">
                  <c:v>12531</c:v>
                </c:pt>
                <c:pt idx="49">
                  <c:v>12838</c:v>
                </c:pt>
                <c:pt idx="50">
                  <c:v>13637</c:v>
                </c:pt>
                <c:pt idx="51">
                  <c:v>9299</c:v>
                </c:pt>
                <c:pt idx="52">
                  <c:v>14945</c:v>
                </c:pt>
                <c:pt idx="53">
                  <c:v>16540</c:v>
                </c:pt>
                <c:pt idx="54">
                  <c:v>16048</c:v>
                </c:pt>
                <c:pt idx="55">
                  <c:v>15632</c:v>
                </c:pt>
                <c:pt idx="56">
                  <c:v>14934</c:v>
                </c:pt>
                <c:pt idx="57">
                  <c:v>14298</c:v>
                </c:pt>
                <c:pt idx="58">
                  <c:v>13762</c:v>
                </c:pt>
                <c:pt idx="59">
                  <c:v>13372</c:v>
                </c:pt>
                <c:pt idx="60">
                  <c:v>12694</c:v>
                </c:pt>
                <c:pt idx="61">
                  <c:v>13017</c:v>
                </c:pt>
                <c:pt idx="62">
                  <c:v>12514</c:v>
                </c:pt>
              </c:numCache>
            </c:numRef>
          </c:val>
          <c:extLst>
            <c:ext xmlns:c16="http://schemas.microsoft.com/office/drawing/2014/chart" uri="{C3380CC4-5D6E-409C-BE32-E72D297353CC}">
              <c16:uniqueId val="{00000002-8FD7-6243-9990-68701E1FA497}"/>
            </c:ext>
          </c:extLst>
        </c:ser>
        <c:dLbls>
          <c:showLegendKey val="0"/>
          <c:showVal val="0"/>
          <c:showCatName val="0"/>
          <c:showSerName val="0"/>
          <c:showPercent val="0"/>
          <c:showBubbleSize val="0"/>
        </c:dLbls>
        <c:gapWidth val="219"/>
        <c:overlap val="-27"/>
        <c:axId val="1702457855"/>
        <c:axId val="1702123807"/>
      </c:barChart>
      <c:catAx>
        <c:axId val="1702457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123807"/>
        <c:crosses val="autoZero"/>
        <c:auto val="1"/>
        <c:lblAlgn val="ctr"/>
        <c:lblOffset val="100"/>
        <c:noMultiLvlLbl val="0"/>
      </c:catAx>
      <c:valAx>
        <c:axId val="17021238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4578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9</Pages>
  <Words>2338</Words>
  <Characters>13329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Assesment 2</dc:title>
  <dc:subject/>
  <dc:creator>Angharad Evans (2204700)</dc:creator>
  <cp:keywords/>
  <dc:description/>
  <cp:lastModifiedBy>Angharad Evans (2204700)</cp:lastModifiedBy>
  <cp:revision>3</cp:revision>
  <dcterms:created xsi:type="dcterms:W3CDTF">2023-05-10T14:28:00Z</dcterms:created>
  <dcterms:modified xsi:type="dcterms:W3CDTF">2023-05-12T10:34:00Z</dcterms:modified>
</cp:coreProperties>
</file>