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C685C1" w14:textId="382F4F5B" w:rsidR="002858D1" w:rsidRPr="00BF6014" w:rsidRDefault="002858D1" w:rsidP="002858D1">
      <w:pPr>
        <w:spacing w:line="360" w:lineRule="auto"/>
        <w:rPr>
          <w:rFonts w:cs="Arial"/>
          <w:b w:val="0"/>
          <w:bCs w:val="0"/>
        </w:rPr>
      </w:pPr>
      <w:r w:rsidRPr="00BF6014">
        <w:rPr>
          <w:rFonts w:cs="Arial"/>
          <w:b w:val="0"/>
          <w:bCs w:val="0"/>
        </w:rPr>
        <w:t xml:space="preserve">Assignment Title: </w:t>
      </w:r>
      <w:r w:rsidR="00611DFA">
        <w:rPr>
          <w:rFonts w:cs="Arial"/>
          <w:b w:val="0"/>
          <w:bCs w:val="0"/>
        </w:rPr>
        <w:t>Trainee Health and Safety Officer</w:t>
      </w:r>
    </w:p>
    <w:p w14:paraId="54060AAA" w14:textId="38F457D9" w:rsidR="002858D1" w:rsidRPr="00BF6014" w:rsidRDefault="002858D1" w:rsidP="002858D1">
      <w:pPr>
        <w:spacing w:line="360" w:lineRule="auto"/>
        <w:rPr>
          <w:rFonts w:cs="Arial"/>
          <w:b w:val="0"/>
          <w:bCs w:val="0"/>
        </w:rPr>
      </w:pPr>
      <w:r w:rsidRPr="00BF6014">
        <w:rPr>
          <w:rFonts w:cs="Arial"/>
          <w:b w:val="0"/>
          <w:bCs w:val="0"/>
        </w:rPr>
        <w:t xml:space="preserve">Module: </w:t>
      </w:r>
      <w:r w:rsidR="00611DFA">
        <w:rPr>
          <w:rFonts w:cs="Arial"/>
          <w:b w:val="0"/>
          <w:bCs w:val="0"/>
        </w:rPr>
        <w:t>Health, Safety and Welfare</w:t>
      </w:r>
    </w:p>
    <w:p w14:paraId="06D3F587" w14:textId="3A97B61A" w:rsidR="002858D1" w:rsidRPr="00BF6014" w:rsidRDefault="002858D1" w:rsidP="002858D1">
      <w:pPr>
        <w:spacing w:line="360" w:lineRule="auto"/>
        <w:rPr>
          <w:rFonts w:cs="Arial"/>
          <w:b w:val="0"/>
          <w:bCs w:val="0"/>
        </w:rPr>
      </w:pPr>
      <w:r w:rsidRPr="00BF6014">
        <w:rPr>
          <w:rFonts w:cs="Arial"/>
          <w:b w:val="0"/>
          <w:bCs w:val="0"/>
        </w:rPr>
        <w:t>Module Code: ACBA</w:t>
      </w:r>
      <w:r w:rsidR="00611DFA">
        <w:rPr>
          <w:rFonts w:cs="Arial"/>
          <w:b w:val="0"/>
          <w:bCs w:val="0"/>
        </w:rPr>
        <w:t>4023</w:t>
      </w:r>
    </w:p>
    <w:p w14:paraId="0C7EE063" w14:textId="6656FD2A" w:rsidR="002858D1" w:rsidRPr="00BF6014" w:rsidRDefault="002858D1" w:rsidP="002858D1">
      <w:pPr>
        <w:spacing w:line="360" w:lineRule="auto"/>
        <w:rPr>
          <w:rFonts w:cs="Arial"/>
          <w:b w:val="0"/>
          <w:bCs w:val="0"/>
        </w:rPr>
      </w:pPr>
      <w:r w:rsidRPr="00BF6014">
        <w:rPr>
          <w:rFonts w:cs="Arial"/>
          <w:b w:val="0"/>
          <w:bCs w:val="0"/>
        </w:rPr>
        <w:t xml:space="preserve">Lecturer: </w:t>
      </w:r>
      <w:r w:rsidR="00611DFA">
        <w:rPr>
          <w:rFonts w:cs="Arial"/>
          <w:b w:val="0"/>
          <w:bCs w:val="0"/>
        </w:rPr>
        <w:t>Rhodri Thomas</w:t>
      </w:r>
    </w:p>
    <w:p w14:paraId="7A72ED1C" w14:textId="77898C64" w:rsidR="002858D1" w:rsidRPr="00BF6014" w:rsidRDefault="002858D1" w:rsidP="002858D1">
      <w:pPr>
        <w:spacing w:line="360" w:lineRule="auto"/>
        <w:rPr>
          <w:rFonts w:cs="Arial"/>
          <w:b w:val="0"/>
          <w:bCs w:val="0"/>
        </w:rPr>
      </w:pPr>
      <w:r w:rsidRPr="00BF6014">
        <w:rPr>
          <w:rFonts w:cs="Arial"/>
          <w:b w:val="0"/>
          <w:bCs w:val="0"/>
        </w:rPr>
        <w:t xml:space="preserve">Submission Deadline: </w:t>
      </w:r>
      <w:r w:rsidR="00611DFA">
        <w:rPr>
          <w:rFonts w:cs="Arial"/>
          <w:b w:val="0"/>
          <w:bCs w:val="0"/>
        </w:rPr>
        <w:t>07</w:t>
      </w:r>
      <w:r w:rsidRPr="00BF6014">
        <w:rPr>
          <w:rFonts w:cs="Arial"/>
          <w:b w:val="0"/>
          <w:bCs w:val="0"/>
        </w:rPr>
        <w:t>/0</w:t>
      </w:r>
      <w:r w:rsidR="00611DFA">
        <w:rPr>
          <w:rFonts w:cs="Arial"/>
          <w:b w:val="0"/>
          <w:bCs w:val="0"/>
        </w:rPr>
        <w:t>5</w:t>
      </w:r>
      <w:r w:rsidRPr="00BF6014">
        <w:rPr>
          <w:rFonts w:cs="Arial"/>
          <w:b w:val="0"/>
          <w:bCs w:val="0"/>
        </w:rPr>
        <w:t>/2026</w:t>
      </w:r>
    </w:p>
    <w:p w14:paraId="25FF3F63" w14:textId="78656A2B" w:rsidR="002858D1" w:rsidRPr="00BF6014" w:rsidRDefault="002858D1" w:rsidP="002858D1">
      <w:pPr>
        <w:spacing w:line="360" w:lineRule="auto"/>
        <w:rPr>
          <w:rFonts w:cs="Arial"/>
          <w:b w:val="0"/>
          <w:bCs w:val="0"/>
        </w:rPr>
      </w:pPr>
      <w:r w:rsidRPr="00BF6014">
        <w:rPr>
          <w:rFonts w:cs="Arial"/>
          <w:b w:val="0"/>
          <w:bCs w:val="0"/>
        </w:rPr>
        <w:t xml:space="preserve">Word Count: </w:t>
      </w:r>
      <w:r w:rsidR="00445ED8">
        <w:rPr>
          <w:rFonts w:cs="Arial"/>
          <w:b w:val="0"/>
          <w:bCs w:val="0"/>
        </w:rPr>
        <w:t>2073</w:t>
      </w:r>
    </w:p>
    <w:p w14:paraId="4C2F8850" w14:textId="77777777" w:rsidR="002858D1" w:rsidRPr="00BF6014" w:rsidRDefault="002858D1" w:rsidP="002858D1">
      <w:pPr>
        <w:spacing w:line="360" w:lineRule="auto"/>
        <w:rPr>
          <w:rFonts w:cs="Arial"/>
          <w:b w:val="0"/>
          <w:bCs w:val="0"/>
        </w:rPr>
      </w:pPr>
      <w:r w:rsidRPr="00BF6014">
        <w:rPr>
          <w:rFonts w:cs="Arial"/>
          <w:b w:val="0"/>
          <w:bCs w:val="0"/>
        </w:rPr>
        <w:t>Student Number: 2512680</w:t>
      </w:r>
    </w:p>
    <w:p w14:paraId="696DE35D" w14:textId="3C6E980E" w:rsidR="00611DFA" w:rsidRDefault="00611DFA">
      <w:r>
        <w:br w:type="page"/>
      </w:r>
    </w:p>
    <w:sdt>
      <w:sdtPr>
        <w:rPr>
          <w:rFonts w:eastAsiaTheme="minorEastAsia" w:cs="Times New Roman"/>
          <w:b/>
          <w:bCs/>
          <w:kern w:val="2"/>
          <w:sz w:val="24"/>
          <w:szCs w:val="24"/>
          <w:lang w:val="en-GB"/>
          <w14:ligatures w14:val="standardContextual"/>
        </w:rPr>
        <w:id w:val="-1099475998"/>
        <w:docPartObj>
          <w:docPartGallery w:val="Table of Contents"/>
          <w:docPartUnique/>
        </w:docPartObj>
      </w:sdtPr>
      <w:sdtEndPr>
        <w:rPr>
          <w:noProof/>
        </w:rPr>
      </w:sdtEndPr>
      <w:sdtContent>
        <w:p w14:paraId="5905EEF9" w14:textId="4EDBBF07" w:rsidR="00944CC3" w:rsidRDefault="00944CC3">
          <w:pPr>
            <w:pStyle w:val="TOCHeading"/>
          </w:pPr>
          <w:r>
            <w:t>Contents</w:t>
          </w:r>
        </w:p>
        <w:p w14:paraId="3B608219" w14:textId="422F0D11" w:rsidR="00803B36" w:rsidRDefault="00944CC3">
          <w:pPr>
            <w:pStyle w:val="TOC1"/>
            <w:tabs>
              <w:tab w:val="right" w:leader="dot" w:pos="9016"/>
            </w:tabs>
            <w:rPr>
              <w:rFonts w:asciiTheme="minorHAnsi" w:eastAsiaTheme="minorEastAsia" w:hAnsiTheme="minorHAnsi" w:cstheme="minorBidi"/>
              <w:b w:val="0"/>
              <w:bCs w:val="0"/>
              <w:noProof/>
              <w:szCs w:val="24"/>
              <w:lang w:eastAsia="en-GB"/>
            </w:rPr>
          </w:pPr>
          <w:r>
            <w:fldChar w:fldCharType="begin"/>
          </w:r>
          <w:r>
            <w:instrText xml:space="preserve"> TOC \o "1-3" \h \z \u </w:instrText>
          </w:r>
          <w:r>
            <w:fldChar w:fldCharType="separate"/>
          </w:r>
          <w:hyperlink w:anchor="_Toc228902954" w:history="1">
            <w:r w:rsidR="00803B36" w:rsidRPr="00EB1EA4">
              <w:rPr>
                <w:rStyle w:val="Hyperlink"/>
                <w:noProof/>
              </w:rPr>
              <w:t>Introduction</w:t>
            </w:r>
            <w:r w:rsidR="00803B36">
              <w:rPr>
                <w:noProof/>
                <w:webHidden/>
              </w:rPr>
              <w:tab/>
            </w:r>
            <w:r w:rsidR="00803B36">
              <w:rPr>
                <w:noProof/>
                <w:webHidden/>
              </w:rPr>
              <w:fldChar w:fldCharType="begin"/>
            </w:r>
            <w:r w:rsidR="00803B36">
              <w:rPr>
                <w:noProof/>
                <w:webHidden/>
              </w:rPr>
              <w:instrText xml:space="preserve"> PAGEREF _Toc228902954 \h </w:instrText>
            </w:r>
            <w:r w:rsidR="00803B36">
              <w:rPr>
                <w:noProof/>
                <w:webHidden/>
              </w:rPr>
            </w:r>
            <w:r w:rsidR="00803B36">
              <w:rPr>
                <w:noProof/>
                <w:webHidden/>
              </w:rPr>
              <w:fldChar w:fldCharType="separate"/>
            </w:r>
            <w:r w:rsidR="00803B36">
              <w:rPr>
                <w:noProof/>
                <w:webHidden/>
              </w:rPr>
              <w:t>3</w:t>
            </w:r>
            <w:r w:rsidR="00803B36">
              <w:rPr>
                <w:noProof/>
                <w:webHidden/>
              </w:rPr>
              <w:fldChar w:fldCharType="end"/>
            </w:r>
          </w:hyperlink>
        </w:p>
        <w:p w14:paraId="006BD326" w14:textId="1E6518DD" w:rsidR="00803B36" w:rsidRDefault="00803B36">
          <w:pPr>
            <w:pStyle w:val="TOC1"/>
            <w:tabs>
              <w:tab w:val="right" w:leader="dot" w:pos="9016"/>
            </w:tabs>
            <w:rPr>
              <w:rFonts w:asciiTheme="minorHAnsi" w:eastAsiaTheme="minorEastAsia" w:hAnsiTheme="minorHAnsi" w:cstheme="minorBidi"/>
              <w:b w:val="0"/>
              <w:bCs w:val="0"/>
              <w:noProof/>
              <w:szCs w:val="24"/>
              <w:lang w:eastAsia="en-GB"/>
            </w:rPr>
          </w:pPr>
          <w:hyperlink w:anchor="_Toc228902955" w:history="1">
            <w:r w:rsidRPr="00EB1EA4">
              <w:rPr>
                <w:rStyle w:val="Hyperlink"/>
                <w:noProof/>
              </w:rPr>
              <w:t>The Building Safety Act and Building Safety (Wales) Bill</w:t>
            </w:r>
            <w:r>
              <w:rPr>
                <w:noProof/>
                <w:webHidden/>
              </w:rPr>
              <w:tab/>
            </w:r>
            <w:r>
              <w:rPr>
                <w:noProof/>
                <w:webHidden/>
              </w:rPr>
              <w:fldChar w:fldCharType="begin"/>
            </w:r>
            <w:r>
              <w:rPr>
                <w:noProof/>
                <w:webHidden/>
              </w:rPr>
              <w:instrText xml:space="preserve"> PAGEREF _Toc228902955 \h </w:instrText>
            </w:r>
            <w:r>
              <w:rPr>
                <w:noProof/>
                <w:webHidden/>
              </w:rPr>
            </w:r>
            <w:r>
              <w:rPr>
                <w:noProof/>
                <w:webHidden/>
              </w:rPr>
              <w:fldChar w:fldCharType="separate"/>
            </w:r>
            <w:r>
              <w:rPr>
                <w:noProof/>
                <w:webHidden/>
              </w:rPr>
              <w:t>3</w:t>
            </w:r>
            <w:r>
              <w:rPr>
                <w:noProof/>
                <w:webHidden/>
              </w:rPr>
              <w:fldChar w:fldCharType="end"/>
            </w:r>
          </w:hyperlink>
        </w:p>
        <w:p w14:paraId="43901905" w14:textId="2F5FF5DA" w:rsidR="00803B36" w:rsidRDefault="00803B36">
          <w:pPr>
            <w:pStyle w:val="TOC1"/>
            <w:tabs>
              <w:tab w:val="right" w:leader="dot" w:pos="9016"/>
            </w:tabs>
            <w:rPr>
              <w:rFonts w:asciiTheme="minorHAnsi" w:eastAsiaTheme="minorEastAsia" w:hAnsiTheme="minorHAnsi" w:cstheme="minorBidi"/>
              <w:b w:val="0"/>
              <w:bCs w:val="0"/>
              <w:noProof/>
              <w:szCs w:val="24"/>
              <w:lang w:eastAsia="en-GB"/>
            </w:rPr>
          </w:pPr>
          <w:hyperlink w:anchor="_Toc228902956" w:history="1">
            <w:r w:rsidRPr="00EB1EA4">
              <w:rPr>
                <w:rStyle w:val="Hyperlink"/>
                <w:noProof/>
              </w:rPr>
              <w:t>Health and Safety Legislation and Managerial Compliance</w:t>
            </w:r>
            <w:r>
              <w:rPr>
                <w:noProof/>
                <w:webHidden/>
              </w:rPr>
              <w:tab/>
            </w:r>
            <w:r>
              <w:rPr>
                <w:noProof/>
                <w:webHidden/>
              </w:rPr>
              <w:fldChar w:fldCharType="begin"/>
            </w:r>
            <w:r>
              <w:rPr>
                <w:noProof/>
                <w:webHidden/>
              </w:rPr>
              <w:instrText xml:space="preserve"> PAGEREF _Toc228902956 \h </w:instrText>
            </w:r>
            <w:r>
              <w:rPr>
                <w:noProof/>
                <w:webHidden/>
              </w:rPr>
            </w:r>
            <w:r>
              <w:rPr>
                <w:noProof/>
                <w:webHidden/>
              </w:rPr>
              <w:fldChar w:fldCharType="separate"/>
            </w:r>
            <w:r>
              <w:rPr>
                <w:noProof/>
                <w:webHidden/>
              </w:rPr>
              <w:t>4</w:t>
            </w:r>
            <w:r>
              <w:rPr>
                <w:noProof/>
                <w:webHidden/>
              </w:rPr>
              <w:fldChar w:fldCharType="end"/>
            </w:r>
          </w:hyperlink>
        </w:p>
        <w:p w14:paraId="0A1CA1D9" w14:textId="0D40EA7A" w:rsidR="00803B36" w:rsidRDefault="00803B36">
          <w:pPr>
            <w:pStyle w:val="TOC1"/>
            <w:tabs>
              <w:tab w:val="right" w:leader="dot" w:pos="9016"/>
            </w:tabs>
            <w:rPr>
              <w:rFonts w:asciiTheme="minorHAnsi" w:eastAsiaTheme="minorEastAsia" w:hAnsiTheme="minorHAnsi" w:cstheme="minorBidi"/>
              <w:b w:val="0"/>
              <w:bCs w:val="0"/>
              <w:noProof/>
              <w:szCs w:val="24"/>
              <w:lang w:eastAsia="en-GB"/>
            </w:rPr>
          </w:pPr>
          <w:hyperlink w:anchor="_Toc228902957" w:history="1">
            <w:r w:rsidRPr="00EB1EA4">
              <w:rPr>
                <w:rStyle w:val="Hyperlink"/>
                <w:noProof/>
              </w:rPr>
              <w:t>Compliance with CDM Regulations 2015</w:t>
            </w:r>
            <w:r>
              <w:rPr>
                <w:noProof/>
                <w:webHidden/>
              </w:rPr>
              <w:tab/>
            </w:r>
            <w:r>
              <w:rPr>
                <w:noProof/>
                <w:webHidden/>
              </w:rPr>
              <w:fldChar w:fldCharType="begin"/>
            </w:r>
            <w:r>
              <w:rPr>
                <w:noProof/>
                <w:webHidden/>
              </w:rPr>
              <w:instrText xml:space="preserve"> PAGEREF _Toc228902957 \h </w:instrText>
            </w:r>
            <w:r>
              <w:rPr>
                <w:noProof/>
                <w:webHidden/>
              </w:rPr>
            </w:r>
            <w:r>
              <w:rPr>
                <w:noProof/>
                <w:webHidden/>
              </w:rPr>
              <w:fldChar w:fldCharType="separate"/>
            </w:r>
            <w:r>
              <w:rPr>
                <w:noProof/>
                <w:webHidden/>
              </w:rPr>
              <w:t>5</w:t>
            </w:r>
            <w:r>
              <w:rPr>
                <w:noProof/>
                <w:webHidden/>
              </w:rPr>
              <w:fldChar w:fldCharType="end"/>
            </w:r>
          </w:hyperlink>
        </w:p>
        <w:p w14:paraId="0779B649" w14:textId="7A28E41D" w:rsidR="00803B36" w:rsidRDefault="00803B36">
          <w:pPr>
            <w:pStyle w:val="TOC1"/>
            <w:tabs>
              <w:tab w:val="right" w:leader="dot" w:pos="9016"/>
            </w:tabs>
            <w:rPr>
              <w:rFonts w:asciiTheme="minorHAnsi" w:eastAsiaTheme="minorEastAsia" w:hAnsiTheme="minorHAnsi" w:cstheme="minorBidi"/>
              <w:b w:val="0"/>
              <w:bCs w:val="0"/>
              <w:noProof/>
              <w:szCs w:val="24"/>
              <w:lang w:eastAsia="en-GB"/>
            </w:rPr>
          </w:pPr>
          <w:hyperlink w:anchor="_Toc228902958" w:history="1">
            <w:r w:rsidRPr="00EB1EA4">
              <w:rPr>
                <w:rStyle w:val="Hyperlink"/>
                <w:noProof/>
              </w:rPr>
              <w:t>Conclusion</w:t>
            </w:r>
            <w:r>
              <w:rPr>
                <w:noProof/>
                <w:webHidden/>
              </w:rPr>
              <w:tab/>
            </w:r>
            <w:r>
              <w:rPr>
                <w:noProof/>
                <w:webHidden/>
              </w:rPr>
              <w:fldChar w:fldCharType="begin"/>
            </w:r>
            <w:r>
              <w:rPr>
                <w:noProof/>
                <w:webHidden/>
              </w:rPr>
              <w:instrText xml:space="preserve"> PAGEREF _Toc228902958 \h </w:instrText>
            </w:r>
            <w:r>
              <w:rPr>
                <w:noProof/>
                <w:webHidden/>
              </w:rPr>
            </w:r>
            <w:r>
              <w:rPr>
                <w:noProof/>
                <w:webHidden/>
              </w:rPr>
              <w:fldChar w:fldCharType="separate"/>
            </w:r>
            <w:r>
              <w:rPr>
                <w:noProof/>
                <w:webHidden/>
              </w:rPr>
              <w:t>6</w:t>
            </w:r>
            <w:r>
              <w:rPr>
                <w:noProof/>
                <w:webHidden/>
              </w:rPr>
              <w:fldChar w:fldCharType="end"/>
            </w:r>
          </w:hyperlink>
        </w:p>
        <w:p w14:paraId="6352C7B0" w14:textId="38C18E2C" w:rsidR="00803B36" w:rsidRDefault="00803B36">
          <w:pPr>
            <w:pStyle w:val="TOC1"/>
            <w:tabs>
              <w:tab w:val="right" w:leader="dot" w:pos="9016"/>
            </w:tabs>
            <w:rPr>
              <w:rFonts w:asciiTheme="minorHAnsi" w:eastAsiaTheme="minorEastAsia" w:hAnsiTheme="minorHAnsi" w:cstheme="minorBidi"/>
              <w:b w:val="0"/>
              <w:bCs w:val="0"/>
              <w:noProof/>
              <w:szCs w:val="24"/>
              <w:lang w:eastAsia="en-GB"/>
            </w:rPr>
          </w:pPr>
          <w:hyperlink w:anchor="_Toc228902959" w:history="1">
            <w:r w:rsidRPr="00EB1EA4">
              <w:rPr>
                <w:rStyle w:val="Hyperlink"/>
                <w:noProof/>
              </w:rPr>
              <w:t>Reference List</w:t>
            </w:r>
            <w:r>
              <w:rPr>
                <w:noProof/>
                <w:webHidden/>
              </w:rPr>
              <w:tab/>
            </w:r>
            <w:r>
              <w:rPr>
                <w:noProof/>
                <w:webHidden/>
              </w:rPr>
              <w:fldChar w:fldCharType="begin"/>
            </w:r>
            <w:r>
              <w:rPr>
                <w:noProof/>
                <w:webHidden/>
              </w:rPr>
              <w:instrText xml:space="preserve"> PAGEREF _Toc228902959 \h </w:instrText>
            </w:r>
            <w:r>
              <w:rPr>
                <w:noProof/>
                <w:webHidden/>
              </w:rPr>
            </w:r>
            <w:r>
              <w:rPr>
                <w:noProof/>
                <w:webHidden/>
              </w:rPr>
              <w:fldChar w:fldCharType="separate"/>
            </w:r>
            <w:r>
              <w:rPr>
                <w:noProof/>
                <w:webHidden/>
              </w:rPr>
              <w:t>8</w:t>
            </w:r>
            <w:r>
              <w:rPr>
                <w:noProof/>
                <w:webHidden/>
              </w:rPr>
              <w:fldChar w:fldCharType="end"/>
            </w:r>
          </w:hyperlink>
        </w:p>
        <w:p w14:paraId="53ADA7CA" w14:textId="79C39B7A" w:rsidR="00944CC3" w:rsidRDefault="00944CC3">
          <w:r>
            <w:rPr>
              <w:noProof/>
            </w:rPr>
            <w:fldChar w:fldCharType="end"/>
          </w:r>
        </w:p>
      </w:sdtContent>
    </w:sdt>
    <w:p w14:paraId="79CC33EA" w14:textId="0B85B184" w:rsidR="004B10E4" w:rsidRDefault="004B10E4">
      <w:r>
        <w:br w:type="page"/>
      </w:r>
    </w:p>
    <w:p w14:paraId="23983045" w14:textId="259D6943" w:rsidR="0088444D" w:rsidRDefault="0088444D" w:rsidP="6E805815">
      <w:pPr>
        <w:pStyle w:val="Heading1"/>
      </w:pPr>
      <w:bookmarkStart w:id="0" w:name="_Toc228902954"/>
      <w:r w:rsidRPr="6E805815">
        <w:lastRenderedPageBreak/>
        <w:t>Introduction</w:t>
      </w:r>
      <w:bookmarkEnd w:id="0"/>
    </w:p>
    <w:p w14:paraId="6C311436" w14:textId="2BFFFE01" w:rsidR="0088444D" w:rsidRDefault="001A7CCB" w:rsidP="0088444D">
      <w:pPr>
        <w:rPr>
          <w:b w:val="0"/>
          <w:bCs w:val="0"/>
          <w:sz w:val="22"/>
          <w:szCs w:val="22"/>
        </w:rPr>
      </w:pPr>
      <w:r>
        <w:rPr>
          <w:b w:val="0"/>
          <w:bCs w:val="0"/>
          <w:sz w:val="22"/>
          <w:szCs w:val="22"/>
        </w:rPr>
        <w:t xml:space="preserve">University of Wales Trinity St David (UWTSD) Construction has been appointed to undertake refurbishment works to Croft Street Block 2 which is a multi-storey residential building in Swansea. The scope of works </w:t>
      </w:r>
      <w:proofErr w:type="gramStart"/>
      <w:r>
        <w:rPr>
          <w:b w:val="0"/>
          <w:bCs w:val="0"/>
          <w:sz w:val="22"/>
          <w:szCs w:val="22"/>
        </w:rPr>
        <w:t>include</w:t>
      </w:r>
      <w:proofErr w:type="gramEnd"/>
      <w:r>
        <w:rPr>
          <w:b w:val="0"/>
          <w:bCs w:val="0"/>
          <w:sz w:val="22"/>
          <w:szCs w:val="22"/>
        </w:rPr>
        <w:t xml:space="preserve"> in</w:t>
      </w:r>
      <w:r w:rsidR="00DB0CF4">
        <w:rPr>
          <w:b w:val="0"/>
          <w:bCs w:val="0"/>
          <w:sz w:val="22"/>
          <w:szCs w:val="22"/>
        </w:rPr>
        <w:t>ternal upgrades such as the replacement of kitchens and bathrooms, the installation of modern fire sprinkler systems, and the application of external cladding to improve thermal efficiency and overall building performance. Whilst these upgrades are essential for improving living standards and meeting current regulatory expectations, they introduce a wide range of complex health and safety risks that must be managed.</w:t>
      </w:r>
    </w:p>
    <w:p w14:paraId="3121D271" w14:textId="1CC94A08" w:rsidR="00826E53" w:rsidRDefault="00826E53" w:rsidP="0088444D">
      <w:pPr>
        <w:rPr>
          <w:b w:val="0"/>
          <w:bCs w:val="0"/>
          <w:sz w:val="22"/>
          <w:szCs w:val="22"/>
        </w:rPr>
      </w:pPr>
      <w:r>
        <w:rPr>
          <w:b w:val="0"/>
          <w:bCs w:val="0"/>
          <w:sz w:val="22"/>
          <w:szCs w:val="22"/>
        </w:rPr>
        <w:t xml:space="preserve">Refurbishment projects in occupied residential buildings are recognised as being more challenging </w:t>
      </w:r>
      <w:r w:rsidR="001B473D">
        <w:rPr>
          <w:b w:val="0"/>
          <w:bCs w:val="0"/>
          <w:sz w:val="22"/>
          <w:szCs w:val="22"/>
        </w:rPr>
        <w:t>than new-build construction due to the continuous presence of residents. Unlike vacant sites, there is a need to</w:t>
      </w:r>
      <w:r w:rsidR="00F76423">
        <w:rPr>
          <w:b w:val="0"/>
          <w:bCs w:val="0"/>
          <w:sz w:val="22"/>
          <w:szCs w:val="22"/>
        </w:rPr>
        <w:t xml:space="preserve"> maintain safe access and egress</w:t>
      </w:r>
      <w:r w:rsidR="001B473D">
        <w:rPr>
          <w:b w:val="0"/>
          <w:bCs w:val="0"/>
          <w:sz w:val="22"/>
          <w:szCs w:val="22"/>
        </w:rPr>
        <w:t>, ensure fire escape routes rem</w:t>
      </w:r>
      <w:r w:rsidR="003869E0">
        <w:rPr>
          <w:b w:val="0"/>
          <w:bCs w:val="0"/>
          <w:sz w:val="22"/>
          <w:szCs w:val="22"/>
        </w:rPr>
        <w:t>ain unobstructed, and minimis</w:t>
      </w:r>
      <w:r w:rsidR="00770D63">
        <w:rPr>
          <w:b w:val="0"/>
          <w:bCs w:val="0"/>
          <w:sz w:val="22"/>
          <w:szCs w:val="22"/>
        </w:rPr>
        <w:t>ing disruption to daily living conditions. Additional risks arise from noise, dust, vibration, and potential exposure to hazardous materials</w:t>
      </w:r>
      <w:r w:rsidR="00F76423">
        <w:rPr>
          <w:b w:val="0"/>
          <w:bCs w:val="0"/>
          <w:sz w:val="22"/>
          <w:szCs w:val="22"/>
        </w:rPr>
        <w:t>, which can all affect both workers and tenants.</w:t>
      </w:r>
      <w:r w:rsidR="004A66AA">
        <w:rPr>
          <w:b w:val="0"/>
          <w:bCs w:val="0"/>
          <w:sz w:val="22"/>
          <w:szCs w:val="22"/>
        </w:rPr>
        <w:t xml:space="preserve"> </w:t>
      </w:r>
      <w:r w:rsidR="007970DF">
        <w:rPr>
          <w:b w:val="0"/>
          <w:bCs w:val="0"/>
          <w:sz w:val="22"/>
          <w:szCs w:val="22"/>
        </w:rPr>
        <w:t>If proper control measures, communication, and physical barriers are not in place, the interaction between construction work and residents creates a high risk of accidents.</w:t>
      </w:r>
      <w:r w:rsidR="000F0A7B">
        <w:rPr>
          <w:b w:val="0"/>
          <w:bCs w:val="0"/>
          <w:sz w:val="22"/>
          <w:szCs w:val="22"/>
        </w:rPr>
        <w:t xml:space="preserve"> Furthermore, the combination of internal refurbishment and external cladding works create </w:t>
      </w:r>
      <w:r w:rsidR="00326876">
        <w:rPr>
          <w:b w:val="0"/>
          <w:bCs w:val="0"/>
          <w:sz w:val="22"/>
          <w:szCs w:val="22"/>
        </w:rPr>
        <w:t>overlapping high-risk activities. These include working at height, lifting operations involving heavy materials, use of powered equipment, and potential exposure to hazardous substances. Without effective coordination and planning, these concurrent activities can result in compounded risks, increasing the potential for incidents, delays and regulatory non-compliance (Lingard and Rowlinson, 2005).</w:t>
      </w:r>
    </w:p>
    <w:p w14:paraId="7C3139EC" w14:textId="0B70E96B" w:rsidR="00DC03EE" w:rsidRDefault="0023049D" w:rsidP="0088444D">
      <w:pPr>
        <w:rPr>
          <w:b w:val="0"/>
          <w:bCs w:val="0"/>
          <w:sz w:val="22"/>
          <w:szCs w:val="22"/>
        </w:rPr>
      </w:pPr>
      <w:r>
        <w:rPr>
          <w:b w:val="0"/>
          <w:bCs w:val="0"/>
          <w:sz w:val="22"/>
          <w:szCs w:val="22"/>
        </w:rPr>
        <w:t>This report will critically evaluate the key health and safety considerations associated with the Croft Street Block 2 refurbishment. It will examine the implications of the Building Safety Act 2022 and the building Safety (Wales) Bill</w:t>
      </w:r>
      <w:r w:rsidR="003E50E0">
        <w:rPr>
          <w:b w:val="0"/>
          <w:bCs w:val="0"/>
          <w:sz w:val="22"/>
          <w:szCs w:val="22"/>
        </w:rPr>
        <w:t xml:space="preserve">, </w:t>
      </w:r>
      <w:proofErr w:type="gramStart"/>
      <w:r w:rsidR="003E50E0">
        <w:rPr>
          <w:b w:val="0"/>
          <w:bCs w:val="0"/>
          <w:sz w:val="22"/>
          <w:szCs w:val="22"/>
        </w:rPr>
        <w:t>analyses</w:t>
      </w:r>
      <w:proofErr w:type="gramEnd"/>
      <w:r w:rsidR="003E50E0">
        <w:rPr>
          <w:b w:val="0"/>
          <w:bCs w:val="0"/>
          <w:sz w:val="22"/>
          <w:szCs w:val="22"/>
        </w:rPr>
        <w:t xml:space="preserve"> the application of core health and safety legislation, and explores how the Construction Design and Management Regulations 2015 (CDM 2015) can be effectively implemented. The report will also emphasise the importance of managerial responsibility, safety culture, and practical risk control measures in ensuring a safe working environment for both construct</w:t>
      </w:r>
      <w:r w:rsidR="009812F7">
        <w:rPr>
          <w:b w:val="0"/>
          <w:bCs w:val="0"/>
          <w:sz w:val="22"/>
          <w:szCs w:val="22"/>
        </w:rPr>
        <w:t>ion personnel and building occupants.</w:t>
      </w:r>
    </w:p>
    <w:p w14:paraId="1661E48C" w14:textId="77777777" w:rsidR="003B30C4" w:rsidRDefault="003B30C4" w:rsidP="0088444D">
      <w:pPr>
        <w:rPr>
          <w:b w:val="0"/>
          <w:bCs w:val="0"/>
          <w:sz w:val="22"/>
          <w:szCs w:val="22"/>
        </w:rPr>
      </w:pPr>
    </w:p>
    <w:p w14:paraId="69711963" w14:textId="29A1EFB5" w:rsidR="003B30C4" w:rsidRDefault="003B30C4" w:rsidP="6E805815">
      <w:pPr>
        <w:pStyle w:val="Heading1"/>
      </w:pPr>
      <w:bookmarkStart w:id="1" w:name="_Toc228902955"/>
      <w:r w:rsidRPr="6E805815">
        <w:t>The Building Safety Act and Building Safety (Wales) Bill</w:t>
      </w:r>
      <w:bookmarkEnd w:id="1"/>
    </w:p>
    <w:p w14:paraId="390F97EC" w14:textId="33B0F8F7" w:rsidR="007E1379" w:rsidRDefault="001F143E" w:rsidP="007E1379">
      <w:pPr>
        <w:rPr>
          <w:b w:val="0"/>
          <w:bCs w:val="0"/>
          <w:sz w:val="22"/>
          <w:szCs w:val="22"/>
        </w:rPr>
      </w:pPr>
      <w:r w:rsidRPr="6E805815">
        <w:rPr>
          <w:b w:val="0"/>
          <w:bCs w:val="0"/>
          <w:sz w:val="22"/>
          <w:szCs w:val="22"/>
        </w:rPr>
        <w:t>The Building Safety Act 2022 represents the most significant reform to building safety regulations in decades. It was introduced in response to the Grenfell Tower fire, which exposed critical failing in regulator oversight, material selection, and accountability within the construction industry (HM Government, 2022). Dame Judith Hackitt’s review identified a “broken system” where responsibility was unclear, and safety was not prioritised across the building lifecycl</w:t>
      </w:r>
      <w:r w:rsidR="35793F01" w:rsidRPr="6E805815">
        <w:rPr>
          <w:b w:val="0"/>
          <w:bCs w:val="0"/>
          <w:sz w:val="22"/>
          <w:szCs w:val="22"/>
        </w:rPr>
        <w:t>e (Hackitt, 2018).</w:t>
      </w:r>
    </w:p>
    <w:p w14:paraId="5525A600" w14:textId="5AD9B682" w:rsidR="001F143E" w:rsidRDefault="00EF5705" w:rsidP="007E1379">
      <w:pPr>
        <w:rPr>
          <w:b w:val="0"/>
          <w:bCs w:val="0"/>
          <w:sz w:val="22"/>
          <w:szCs w:val="24"/>
        </w:rPr>
      </w:pPr>
      <w:r>
        <w:rPr>
          <w:b w:val="0"/>
          <w:bCs w:val="0"/>
          <w:sz w:val="22"/>
          <w:szCs w:val="24"/>
        </w:rPr>
        <w:t>A central feature of the Act is the establishment of the Building Safety Regulator (BSR), which sits within the Health and Safety Executive (HSE). The BSR has powers to oversee the safety and performance of higher-risk buildings, enforce compliance and ensures that duty-holders meet their legal obligations (HSE, 2023). For Croft Street Block 2, this introduces stricter scrutiny during both design and construction phases.</w:t>
      </w:r>
    </w:p>
    <w:p w14:paraId="443EC7F7" w14:textId="574CD7F1" w:rsidR="0018033F" w:rsidRDefault="0018033F" w:rsidP="007E1379">
      <w:pPr>
        <w:rPr>
          <w:b w:val="0"/>
          <w:bCs w:val="0"/>
          <w:sz w:val="22"/>
          <w:szCs w:val="22"/>
        </w:rPr>
      </w:pPr>
      <w:r w:rsidRPr="6E805815">
        <w:rPr>
          <w:b w:val="0"/>
          <w:bCs w:val="0"/>
          <w:sz w:val="22"/>
          <w:szCs w:val="22"/>
        </w:rPr>
        <w:lastRenderedPageBreak/>
        <w:t>The duty-holder regime is a fundamental component of the legislation. It aligns closely with CDM pr</w:t>
      </w:r>
      <w:r w:rsidR="009B39F9" w:rsidRPr="6E805815">
        <w:rPr>
          <w:b w:val="0"/>
          <w:bCs w:val="0"/>
          <w:sz w:val="22"/>
          <w:szCs w:val="22"/>
        </w:rPr>
        <w:t xml:space="preserve">inciples </w:t>
      </w:r>
      <w:r w:rsidR="000A18C5" w:rsidRPr="6E805815">
        <w:rPr>
          <w:b w:val="0"/>
          <w:bCs w:val="0"/>
          <w:sz w:val="22"/>
          <w:szCs w:val="22"/>
        </w:rPr>
        <w:t>but places greater emphasis on competence and accountability.</w:t>
      </w:r>
      <w:r w:rsidR="005F3535" w:rsidRPr="6E805815">
        <w:rPr>
          <w:b w:val="0"/>
          <w:bCs w:val="0"/>
          <w:sz w:val="22"/>
          <w:szCs w:val="22"/>
        </w:rPr>
        <w:t xml:space="preserve"> </w:t>
      </w:r>
      <w:r w:rsidR="00694AEC" w:rsidRPr="6E805815">
        <w:rPr>
          <w:b w:val="0"/>
          <w:bCs w:val="0"/>
          <w:sz w:val="22"/>
          <w:szCs w:val="22"/>
        </w:rPr>
        <w:t>The client, principal designer and principal contractor must demonstrate that they have the appropriate skills, knowledge, experience and organisational capability</w:t>
      </w:r>
      <w:r w:rsidR="71F4E089" w:rsidRPr="6E805815">
        <w:rPr>
          <w:b w:val="0"/>
          <w:bCs w:val="0"/>
          <w:sz w:val="22"/>
          <w:szCs w:val="22"/>
        </w:rPr>
        <w:t xml:space="preserve"> (UK Government, 2022)</w:t>
      </w:r>
      <w:r w:rsidR="00694AEC" w:rsidRPr="6E805815">
        <w:rPr>
          <w:b w:val="0"/>
          <w:bCs w:val="0"/>
          <w:sz w:val="22"/>
          <w:szCs w:val="22"/>
        </w:rPr>
        <w:t>. This moves beyond basic qualifications and requires demonstratable competence in manag</w:t>
      </w:r>
      <w:r w:rsidR="00112CA4" w:rsidRPr="6E805815">
        <w:rPr>
          <w:b w:val="0"/>
          <w:bCs w:val="0"/>
          <w:sz w:val="22"/>
          <w:szCs w:val="22"/>
        </w:rPr>
        <w:t xml:space="preserve">ing building safety risks. </w:t>
      </w:r>
    </w:p>
    <w:p w14:paraId="7135FBFF" w14:textId="78843ECA" w:rsidR="008A44EC" w:rsidRDefault="00871E2A" w:rsidP="007E1379">
      <w:pPr>
        <w:rPr>
          <w:b w:val="0"/>
          <w:bCs w:val="0"/>
          <w:sz w:val="22"/>
          <w:szCs w:val="22"/>
        </w:rPr>
      </w:pPr>
      <w:r w:rsidRPr="6E805815">
        <w:rPr>
          <w:b w:val="0"/>
          <w:bCs w:val="0"/>
          <w:sz w:val="22"/>
          <w:szCs w:val="22"/>
        </w:rPr>
        <w:t>The “golden thread” of information is another critical requirement. This involves maintaining accurate, up-to-date and accessible digital records throughout the building lifecycle. Information must be structured, stored securely and easily transferable between duty-holders. In practice, this is achieved though Building Information Modelling (BIM), which enables real-time collaboration and data sharing. For this project, the golden thread would include details of fire safety systems, cladding materials, inspection records and maintenance procedures. The Act also</w:t>
      </w:r>
      <w:r w:rsidR="00197529" w:rsidRPr="6E805815">
        <w:rPr>
          <w:b w:val="0"/>
          <w:bCs w:val="0"/>
          <w:sz w:val="22"/>
          <w:szCs w:val="22"/>
        </w:rPr>
        <w:t xml:space="preserve"> introduces “gateway” points at key stages of a project, including planning, pre-construction and completion. These gateways require formal approval before work can proceed, ensuring that safety considerations are embedded at every stage</w:t>
      </w:r>
      <w:r w:rsidR="2AD1E21B" w:rsidRPr="6E805815">
        <w:rPr>
          <w:b w:val="0"/>
          <w:bCs w:val="0"/>
          <w:sz w:val="22"/>
          <w:szCs w:val="22"/>
        </w:rPr>
        <w:t xml:space="preserve"> (HSE, 2023)</w:t>
      </w:r>
      <w:r w:rsidR="00197529" w:rsidRPr="6E805815">
        <w:rPr>
          <w:b w:val="0"/>
          <w:bCs w:val="0"/>
          <w:sz w:val="22"/>
          <w:szCs w:val="22"/>
        </w:rPr>
        <w:t xml:space="preserve">. This significantly reduces </w:t>
      </w:r>
      <w:r w:rsidR="008A44EC" w:rsidRPr="6E805815">
        <w:rPr>
          <w:b w:val="0"/>
          <w:bCs w:val="0"/>
          <w:sz w:val="22"/>
          <w:szCs w:val="22"/>
        </w:rPr>
        <w:t>the likelihood of unsafe design decisions progressing into construction.</w:t>
      </w:r>
      <w:r w:rsidR="00B22F13" w:rsidRPr="6E805815">
        <w:rPr>
          <w:b w:val="0"/>
          <w:bCs w:val="0"/>
          <w:sz w:val="22"/>
          <w:szCs w:val="22"/>
        </w:rPr>
        <w:t xml:space="preserve"> </w:t>
      </w:r>
      <w:r w:rsidR="008A44EC" w:rsidRPr="6E805815">
        <w:rPr>
          <w:b w:val="0"/>
          <w:bCs w:val="0"/>
          <w:sz w:val="22"/>
          <w:szCs w:val="22"/>
        </w:rPr>
        <w:t xml:space="preserve">Fire safety is also a central concern, particularly in relation to external wall systems. The use of combustible cladding materials has been heavily scrutinised </w:t>
      </w:r>
      <w:r w:rsidR="00450DD8" w:rsidRPr="6E805815">
        <w:rPr>
          <w:b w:val="0"/>
          <w:bCs w:val="0"/>
          <w:sz w:val="22"/>
          <w:szCs w:val="22"/>
        </w:rPr>
        <w:t xml:space="preserve">since Grenfell Tower. Current regulations require materials to meet strict fire performance standards such as Euroclass A1 or A2 ratings. However, compliance alone does not guarantee safety, as poor installing or inadequate detailing can still result in fire spread. Therefore, quality assurance and inspection </w:t>
      </w:r>
      <w:r w:rsidR="000548D3" w:rsidRPr="6E805815">
        <w:rPr>
          <w:b w:val="0"/>
          <w:bCs w:val="0"/>
          <w:sz w:val="22"/>
          <w:szCs w:val="22"/>
        </w:rPr>
        <w:t>are</w:t>
      </w:r>
      <w:r w:rsidR="00450DD8" w:rsidRPr="6E805815">
        <w:rPr>
          <w:b w:val="0"/>
          <w:bCs w:val="0"/>
          <w:sz w:val="22"/>
          <w:szCs w:val="22"/>
        </w:rPr>
        <w:t xml:space="preserve"> critical element</w:t>
      </w:r>
      <w:r w:rsidR="000548D3" w:rsidRPr="6E805815">
        <w:rPr>
          <w:b w:val="0"/>
          <w:bCs w:val="0"/>
          <w:sz w:val="22"/>
          <w:szCs w:val="22"/>
        </w:rPr>
        <w:t>s in trying to ensure safety.</w:t>
      </w:r>
      <w:r w:rsidR="00B22F13" w:rsidRPr="6E805815">
        <w:rPr>
          <w:b w:val="0"/>
          <w:bCs w:val="0"/>
          <w:sz w:val="22"/>
          <w:szCs w:val="22"/>
        </w:rPr>
        <w:t xml:space="preserve"> </w:t>
      </w:r>
    </w:p>
    <w:p w14:paraId="1DF07E29" w14:textId="5DB190BE" w:rsidR="00B22F13" w:rsidRDefault="00B22F13" w:rsidP="007E1379">
      <w:pPr>
        <w:rPr>
          <w:b w:val="0"/>
          <w:bCs w:val="0"/>
          <w:sz w:val="22"/>
          <w:szCs w:val="24"/>
        </w:rPr>
      </w:pPr>
      <w:r>
        <w:rPr>
          <w:b w:val="0"/>
          <w:bCs w:val="0"/>
          <w:sz w:val="22"/>
          <w:szCs w:val="24"/>
        </w:rPr>
        <w:t xml:space="preserve">The Building Safety (Wales) Bill complements the UK legislation by introducing </w:t>
      </w:r>
      <w:r w:rsidR="00355DC7">
        <w:rPr>
          <w:b w:val="0"/>
          <w:bCs w:val="0"/>
          <w:sz w:val="22"/>
          <w:szCs w:val="24"/>
        </w:rPr>
        <w:t>measures tailored to Welsh housing and regulator systems. It emphasises resident engagement, requiring building owners to provide clear information</w:t>
      </w:r>
      <w:r w:rsidR="00517FD3">
        <w:rPr>
          <w:b w:val="0"/>
          <w:bCs w:val="0"/>
          <w:sz w:val="22"/>
          <w:szCs w:val="24"/>
        </w:rPr>
        <w:t xml:space="preserve"> about safety risks and involve residents in decision-making processes. This is particularly relevant for Croft Street Block 2 where residents will remain in the </w:t>
      </w:r>
      <w:r w:rsidR="00BE1E91">
        <w:rPr>
          <w:b w:val="0"/>
          <w:bCs w:val="0"/>
          <w:sz w:val="22"/>
          <w:szCs w:val="24"/>
        </w:rPr>
        <w:t>building during the works.</w:t>
      </w:r>
    </w:p>
    <w:p w14:paraId="3F96D782" w14:textId="0960EA65" w:rsidR="0055025E" w:rsidRDefault="0055025E" w:rsidP="007E1379">
      <w:pPr>
        <w:rPr>
          <w:b w:val="0"/>
          <w:bCs w:val="0"/>
          <w:sz w:val="22"/>
          <w:szCs w:val="24"/>
        </w:rPr>
      </w:pPr>
      <w:r>
        <w:rPr>
          <w:b w:val="0"/>
          <w:bCs w:val="0"/>
          <w:sz w:val="22"/>
          <w:szCs w:val="24"/>
        </w:rPr>
        <w:t xml:space="preserve">A critical evaluation of the legislation highlights both strengths and challenges. Whilst it significantly improves accountability and transparency, it also introduces increased administrative burden and costs. Smaller contractors may struggle to meet competence requirements </w:t>
      </w:r>
      <w:r w:rsidR="00E5714A">
        <w:rPr>
          <w:b w:val="0"/>
          <w:bCs w:val="0"/>
          <w:sz w:val="22"/>
          <w:szCs w:val="24"/>
        </w:rPr>
        <w:t xml:space="preserve">which will potentially limit competition during the tendering process. However, these challenges are outweighed by the long-term benefits of improved safety and reduced risk of </w:t>
      </w:r>
      <w:r w:rsidR="00CD57C1">
        <w:rPr>
          <w:b w:val="0"/>
          <w:bCs w:val="0"/>
          <w:sz w:val="22"/>
          <w:szCs w:val="24"/>
        </w:rPr>
        <w:t>failures.</w:t>
      </w:r>
      <w:r w:rsidR="004A1173">
        <w:rPr>
          <w:b w:val="0"/>
          <w:bCs w:val="0"/>
          <w:sz w:val="22"/>
          <w:szCs w:val="24"/>
        </w:rPr>
        <w:t xml:space="preserve"> </w:t>
      </w:r>
    </w:p>
    <w:p w14:paraId="16C2104E" w14:textId="77777777" w:rsidR="004A1173" w:rsidRDefault="004A1173" w:rsidP="007E1379">
      <w:pPr>
        <w:rPr>
          <w:b w:val="0"/>
          <w:bCs w:val="0"/>
          <w:sz w:val="22"/>
          <w:szCs w:val="24"/>
        </w:rPr>
      </w:pPr>
    </w:p>
    <w:p w14:paraId="2516ADAD" w14:textId="7F329862" w:rsidR="004A1173" w:rsidRPr="004A1173" w:rsidRDefault="004A1173" w:rsidP="6E805815">
      <w:pPr>
        <w:pStyle w:val="Heading1"/>
      </w:pPr>
      <w:bookmarkStart w:id="2" w:name="_Toc228902956"/>
      <w:r w:rsidRPr="6E805815">
        <w:t>Health and Safety Legislation and Managerial Compliance</w:t>
      </w:r>
      <w:bookmarkEnd w:id="2"/>
    </w:p>
    <w:p w14:paraId="2FC12B9F" w14:textId="77777777" w:rsidR="004A1173" w:rsidRPr="004A1173" w:rsidRDefault="004A1173" w:rsidP="004A1173">
      <w:pPr>
        <w:rPr>
          <w:b w:val="0"/>
          <w:bCs w:val="0"/>
          <w:sz w:val="22"/>
          <w:szCs w:val="22"/>
        </w:rPr>
      </w:pPr>
    </w:p>
    <w:p w14:paraId="5F9C780E" w14:textId="23727C08" w:rsidR="499D1F2B" w:rsidRDefault="499D1F2B">
      <w:r w:rsidRPr="6E805815">
        <w:rPr>
          <w:b w:val="0"/>
          <w:bCs w:val="0"/>
          <w:sz w:val="22"/>
          <w:szCs w:val="22"/>
        </w:rPr>
        <w:t xml:space="preserve">The Health and Safety at Work Act 1974 (HSWA) forms the </w:t>
      </w:r>
      <w:r w:rsidR="0E752108" w:rsidRPr="6E805815">
        <w:rPr>
          <w:b w:val="0"/>
          <w:bCs w:val="0"/>
          <w:sz w:val="22"/>
          <w:szCs w:val="22"/>
        </w:rPr>
        <w:t xml:space="preserve">foundation </w:t>
      </w:r>
      <w:r w:rsidR="1B9B4521" w:rsidRPr="6E805815">
        <w:rPr>
          <w:b w:val="0"/>
          <w:bCs w:val="0"/>
          <w:sz w:val="22"/>
          <w:szCs w:val="22"/>
        </w:rPr>
        <w:t>of health and safety legislation in the U.K. It requires employers to ensure, as far as reasonably practicible, the health, safety and welfare of employees and anyone else affected by operations</w:t>
      </w:r>
      <w:r w:rsidR="25C6F8EF" w:rsidRPr="6E805815">
        <w:rPr>
          <w:b w:val="0"/>
          <w:bCs w:val="0"/>
          <w:sz w:val="22"/>
          <w:szCs w:val="22"/>
        </w:rPr>
        <w:t xml:space="preserve"> (UK Government, 1974)</w:t>
      </w:r>
      <w:r w:rsidR="1B9B4521" w:rsidRPr="6E805815">
        <w:rPr>
          <w:b w:val="0"/>
          <w:bCs w:val="0"/>
          <w:sz w:val="22"/>
          <w:szCs w:val="22"/>
        </w:rPr>
        <w:t>. This principle invol</w:t>
      </w:r>
      <w:r w:rsidR="23CAE634" w:rsidRPr="6E805815">
        <w:rPr>
          <w:b w:val="0"/>
          <w:bCs w:val="0"/>
          <w:sz w:val="22"/>
          <w:szCs w:val="22"/>
        </w:rPr>
        <w:t>ves balancing the level of risk against the effort, time and cost needed to control it. The Management of Health and Safety at Wo</w:t>
      </w:r>
      <w:r w:rsidR="0063DC78" w:rsidRPr="6E805815">
        <w:rPr>
          <w:b w:val="0"/>
          <w:bCs w:val="0"/>
          <w:sz w:val="22"/>
          <w:szCs w:val="22"/>
        </w:rPr>
        <w:t>rk Regulations 1999 build on this foundation by requiring a systematic approach to risk management. Employers must carry out suitable and sufficient risk assessments, implement appropriate control measures and review them regularly</w:t>
      </w:r>
      <w:r w:rsidR="753AE234" w:rsidRPr="6E805815">
        <w:rPr>
          <w:b w:val="0"/>
          <w:bCs w:val="0"/>
          <w:sz w:val="22"/>
          <w:szCs w:val="22"/>
        </w:rPr>
        <w:t xml:space="preserve"> (UK Government, </w:t>
      </w:r>
      <w:r w:rsidR="753AE234" w:rsidRPr="6E805815">
        <w:rPr>
          <w:b w:val="0"/>
          <w:bCs w:val="0"/>
          <w:sz w:val="22"/>
          <w:szCs w:val="22"/>
        </w:rPr>
        <w:lastRenderedPageBreak/>
        <w:t>2005)</w:t>
      </w:r>
      <w:r w:rsidR="0063DC78" w:rsidRPr="6E805815">
        <w:rPr>
          <w:b w:val="0"/>
          <w:bCs w:val="0"/>
          <w:sz w:val="22"/>
          <w:szCs w:val="22"/>
        </w:rPr>
        <w:t xml:space="preserve">. </w:t>
      </w:r>
      <w:r w:rsidR="4BD6D461" w:rsidRPr="6E805815">
        <w:rPr>
          <w:b w:val="0"/>
          <w:bCs w:val="0"/>
          <w:sz w:val="22"/>
          <w:szCs w:val="22"/>
        </w:rPr>
        <w:t xml:space="preserve">For this project, this means adopting a dynamic approach to risk assessments that evolve with the progression of work. </w:t>
      </w:r>
    </w:p>
    <w:p w14:paraId="2DD00FEA" w14:textId="3A53770E" w:rsidR="4BD6D461" w:rsidRDefault="4BD6D461" w:rsidP="6E805815">
      <w:pPr>
        <w:rPr>
          <w:b w:val="0"/>
          <w:bCs w:val="0"/>
          <w:sz w:val="22"/>
          <w:szCs w:val="22"/>
        </w:rPr>
      </w:pPr>
      <w:r w:rsidRPr="6E805815">
        <w:rPr>
          <w:b w:val="0"/>
          <w:bCs w:val="0"/>
          <w:sz w:val="22"/>
          <w:szCs w:val="22"/>
        </w:rPr>
        <w:t xml:space="preserve">The Work at Height Regulations 2005 is relevant given the nature of the external works. These regulations establish a hierarchy of control, prioritising the avoidance of working at height where </w:t>
      </w:r>
      <w:r w:rsidR="1E601964" w:rsidRPr="6E805815">
        <w:rPr>
          <w:b w:val="0"/>
          <w:bCs w:val="0"/>
          <w:sz w:val="22"/>
          <w:szCs w:val="22"/>
        </w:rPr>
        <w:t>possible, followed by preventative measures such as guardrails and mitigation through fall arrest systems. Ensuring that equipment is properly maintained and that workers are competent is critical, as falls from height remain a leading cause of fatalities in const</w:t>
      </w:r>
      <w:r w:rsidR="4382659A" w:rsidRPr="6E805815">
        <w:rPr>
          <w:b w:val="0"/>
          <w:bCs w:val="0"/>
          <w:sz w:val="22"/>
          <w:szCs w:val="22"/>
        </w:rPr>
        <w:t>ruction</w:t>
      </w:r>
      <w:r w:rsidR="2DF4A9F2" w:rsidRPr="6E805815">
        <w:rPr>
          <w:b w:val="0"/>
          <w:bCs w:val="0"/>
          <w:sz w:val="22"/>
          <w:szCs w:val="22"/>
        </w:rPr>
        <w:t xml:space="preserve"> (UK Government, 2005). </w:t>
      </w:r>
      <w:proofErr w:type="gramStart"/>
      <w:r w:rsidR="7D319464" w:rsidRPr="6E805815">
        <w:rPr>
          <w:b w:val="0"/>
          <w:bCs w:val="0"/>
          <w:sz w:val="22"/>
          <w:szCs w:val="22"/>
        </w:rPr>
        <w:t>Likewise</w:t>
      </w:r>
      <w:proofErr w:type="gramEnd"/>
      <w:r w:rsidR="7D319464" w:rsidRPr="6E805815">
        <w:rPr>
          <w:b w:val="0"/>
          <w:bCs w:val="0"/>
          <w:sz w:val="22"/>
          <w:szCs w:val="22"/>
        </w:rPr>
        <w:t xml:space="preserve"> the Control of Substances Hazardous to Health Regulations 2002 address risks associated with exposure to harmful substances, including dust, fumes and </w:t>
      </w:r>
      <w:r w:rsidR="01441479" w:rsidRPr="6E805815">
        <w:rPr>
          <w:b w:val="0"/>
          <w:bCs w:val="0"/>
          <w:sz w:val="22"/>
          <w:szCs w:val="22"/>
        </w:rPr>
        <w:t>asbestos</w:t>
      </w:r>
      <w:r w:rsidR="001D390E">
        <w:rPr>
          <w:b w:val="0"/>
          <w:bCs w:val="0"/>
          <w:sz w:val="22"/>
          <w:szCs w:val="22"/>
        </w:rPr>
        <w:t xml:space="preserve"> (UK Government, 2002)</w:t>
      </w:r>
      <w:r w:rsidR="2CF12C02" w:rsidRPr="6E805815">
        <w:rPr>
          <w:b w:val="0"/>
          <w:bCs w:val="0"/>
          <w:sz w:val="22"/>
          <w:szCs w:val="22"/>
        </w:rPr>
        <w:t>. Of particular concern is respirable crystalline silica which is linked to serious lung diseases. Effective control measure</w:t>
      </w:r>
      <w:r w:rsidR="0074599A">
        <w:rPr>
          <w:b w:val="0"/>
          <w:bCs w:val="0"/>
          <w:sz w:val="22"/>
          <w:szCs w:val="22"/>
        </w:rPr>
        <w:t>s</w:t>
      </w:r>
      <w:r w:rsidR="2CF12C02" w:rsidRPr="6E805815">
        <w:rPr>
          <w:b w:val="0"/>
          <w:bCs w:val="0"/>
          <w:sz w:val="22"/>
          <w:szCs w:val="22"/>
        </w:rPr>
        <w:t xml:space="preserve"> include dust </w:t>
      </w:r>
      <w:r w:rsidR="6793C8B1" w:rsidRPr="6E805815">
        <w:rPr>
          <w:b w:val="0"/>
          <w:bCs w:val="0"/>
          <w:sz w:val="22"/>
          <w:szCs w:val="22"/>
        </w:rPr>
        <w:t>suppression</w:t>
      </w:r>
      <w:r w:rsidR="2CF12C02" w:rsidRPr="6E805815">
        <w:rPr>
          <w:b w:val="0"/>
          <w:bCs w:val="0"/>
          <w:sz w:val="22"/>
          <w:szCs w:val="22"/>
        </w:rPr>
        <w:t xml:space="preserve"> techniques, adequate ventilation and </w:t>
      </w:r>
      <w:r w:rsidR="680DC629" w:rsidRPr="6E805815">
        <w:rPr>
          <w:b w:val="0"/>
          <w:bCs w:val="0"/>
          <w:sz w:val="22"/>
          <w:szCs w:val="22"/>
        </w:rPr>
        <w:t>the</w:t>
      </w:r>
      <w:r w:rsidR="2CF12C02" w:rsidRPr="6E805815">
        <w:rPr>
          <w:b w:val="0"/>
          <w:bCs w:val="0"/>
          <w:sz w:val="22"/>
          <w:szCs w:val="22"/>
        </w:rPr>
        <w:t xml:space="preserve"> use of appropriate respiratory </w:t>
      </w:r>
      <w:r w:rsidR="55FA7C45" w:rsidRPr="6E805815">
        <w:rPr>
          <w:b w:val="0"/>
          <w:bCs w:val="0"/>
          <w:sz w:val="22"/>
          <w:szCs w:val="22"/>
        </w:rPr>
        <w:t xml:space="preserve">protective </w:t>
      </w:r>
      <w:r w:rsidR="6CFC9574" w:rsidRPr="6E805815">
        <w:rPr>
          <w:b w:val="0"/>
          <w:bCs w:val="0"/>
          <w:sz w:val="22"/>
          <w:szCs w:val="22"/>
        </w:rPr>
        <w:t>equipment</w:t>
      </w:r>
      <w:r w:rsidR="55FA7C45" w:rsidRPr="6E805815">
        <w:rPr>
          <w:b w:val="0"/>
          <w:bCs w:val="0"/>
          <w:sz w:val="22"/>
          <w:szCs w:val="22"/>
        </w:rPr>
        <w:t>.</w:t>
      </w:r>
      <w:r w:rsidR="0074599A">
        <w:rPr>
          <w:b w:val="0"/>
          <w:bCs w:val="0"/>
          <w:sz w:val="22"/>
          <w:szCs w:val="22"/>
        </w:rPr>
        <w:t xml:space="preserve"> </w:t>
      </w:r>
    </w:p>
    <w:p w14:paraId="282C41C3" w14:textId="4BE8AEF2" w:rsidR="006175C4" w:rsidRDefault="006175C4" w:rsidP="6E805815">
      <w:pPr>
        <w:rPr>
          <w:b w:val="0"/>
          <w:bCs w:val="0"/>
          <w:sz w:val="22"/>
          <w:szCs w:val="22"/>
        </w:rPr>
      </w:pPr>
      <w:r>
        <w:rPr>
          <w:b w:val="0"/>
          <w:bCs w:val="0"/>
          <w:sz w:val="22"/>
          <w:szCs w:val="22"/>
        </w:rPr>
        <w:t xml:space="preserve">Effective managerial compliance relies not only on knowledge of legislation, but also on strong leadership and </w:t>
      </w:r>
      <w:r w:rsidR="00434750">
        <w:rPr>
          <w:b w:val="0"/>
          <w:bCs w:val="0"/>
          <w:sz w:val="22"/>
          <w:szCs w:val="22"/>
        </w:rPr>
        <w:t>organisational capability. Managers must ensure that safety policies are implemented in practice</w:t>
      </w:r>
      <w:r w:rsidR="00725485">
        <w:rPr>
          <w:b w:val="0"/>
          <w:bCs w:val="0"/>
          <w:sz w:val="22"/>
          <w:szCs w:val="22"/>
        </w:rPr>
        <w:t>, that workers receive appropriate training, and that site conditions are continuously monitored. Regular inspections, audits and toolbox talks play a key role in reinforcing safe behaviours. A strong safety culture is equally important. Organisations that promote open communication, visible leadership, and worker involvement tend to achieve better safety outcomes. On the contrary, treating health and safety as a purely administrative exercise can lead to gaps between policy and practice. Genuine commitment, supported by training and engagement, is essential for effective risk management.</w:t>
      </w:r>
    </w:p>
    <w:p w14:paraId="79E62B40" w14:textId="77777777" w:rsidR="00725485" w:rsidRDefault="00725485" w:rsidP="6E805815">
      <w:pPr>
        <w:rPr>
          <w:b w:val="0"/>
          <w:bCs w:val="0"/>
          <w:sz w:val="22"/>
          <w:szCs w:val="22"/>
        </w:rPr>
      </w:pPr>
    </w:p>
    <w:p w14:paraId="0184FC4F" w14:textId="19A61302" w:rsidR="00725485" w:rsidRDefault="00725485" w:rsidP="00725485">
      <w:pPr>
        <w:pStyle w:val="Heading1"/>
      </w:pPr>
      <w:bookmarkStart w:id="3" w:name="_Toc228902957"/>
      <w:r w:rsidRPr="00725485">
        <w:t>Compliance with CDM Regulations 2015</w:t>
      </w:r>
      <w:bookmarkEnd w:id="3"/>
    </w:p>
    <w:p w14:paraId="4D587819" w14:textId="77777777" w:rsidR="00725485" w:rsidRDefault="00725485" w:rsidP="00725485">
      <w:pPr>
        <w:rPr>
          <w:b w:val="0"/>
          <w:bCs w:val="0"/>
          <w:sz w:val="22"/>
          <w:szCs w:val="24"/>
        </w:rPr>
      </w:pPr>
    </w:p>
    <w:p w14:paraId="24FD40C2" w14:textId="6ED1EF99" w:rsidR="00306D93" w:rsidRPr="00306D93" w:rsidRDefault="00306D93" w:rsidP="00306D93">
      <w:pPr>
        <w:rPr>
          <w:b w:val="0"/>
          <w:bCs w:val="0"/>
          <w:sz w:val="22"/>
          <w:szCs w:val="24"/>
        </w:rPr>
      </w:pPr>
      <w:r w:rsidRPr="00306D93">
        <w:rPr>
          <w:b w:val="0"/>
          <w:bCs w:val="0"/>
          <w:sz w:val="22"/>
          <w:szCs w:val="24"/>
        </w:rPr>
        <w:t xml:space="preserve">The Construction (Design and Management) Regulations 2015 provide a comprehensive framework for managing health and safety in construction projects, with the primary objective of integrating safety considerations into every stage, from initial design through to completion (HSE, 2015). Within this framework, the client plays a critical role by ensuring that sufficient time and resources are allocated to the project and that competent </w:t>
      </w:r>
      <w:r w:rsidRPr="00306D93">
        <w:rPr>
          <w:b w:val="0"/>
          <w:bCs w:val="0"/>
          <w:sz w:val="22"/>
          <w:szCs w:val="24"/>
        </w:rPr>
        <w:t>duty holders</w:t>
      </w:r>
      <w:r w:rsidRPr="00306D93">
        <w:rPr>
          <w:b w:val="0"/>
          <w:bCs w:val="0"/>
          <w:sz w:val="22"/>
          <w:szCs w:val="24"/>
        </w:rPr>
        <w:t xml:space="preserve"> are appointed. Failure to meet these responsibilities can significantly increase overall project risk and compromise safety outcomes.</w:t>
      </w:r>
    </w:p>
    <w:p w14:paraId="75CE5447" w14:textId="7CACFC06" w:rsidR="00306D93" w:rsidRPr="00306D93" w:rsidRDefault="00306D93" w:rsidP="00306D93">
      <w:pPr>
        <w:rPr>
          <w:b w:val="0"/>
          <w:bCs w:val="0"/>
          <w:sz w:val="22"/>
          <w:szCs w:val="24"/>
        </w:rPr>
      </w:pPr>
      <w:r w:rsidRPr="00306D93">
        <w:rPr>
          <w:b w:val="0"/>
          <w:bCs w:val="0"/>
          <w:sz w:val="22"/>
          <w:szCs w:val="24"/>
        </w:rPr>
        <w:t>The principal designer is responsible for coordinating health and safety during the pre-construction phase, which involves identifying potential hazards and reducing risks through informed design decisions. For example, the use of prefabricated components can help minimise on-site activities and reduce exposure to hazards. During the construction phase, the principal contractor assumes responsibility for managing health and safety, including the preparation of the Construction Phase Plan, coordination of subcontractors, and implementation of appropriate control measures. This role becomes particularly complex in occupied buildings, where additional considerations must be given to the safety and wellbeing of residents.</w:t>
      </w:r>
      <w:r>
        <w:rPr>
          <w:b w:val="0"/>
          <w:bCs w:val="0"/>
          <w:sz w:val="22"/>
          <w:szCs w:val="24"/>
        </w:rPr>
        <w:t xml:space="preserve"> </w:t>
      </w:r>
      <w:r w:rsidRPr="00306D93">
        <w:rPr>
          <w:b w:val="0"/>
          <w:bCs w:val="0"/>
          <w:sz w:val="22"/>
          <w:szCs w:val="24"/>
        </w:rPr>
        <w:t xml:space="preserve">Effective risk management also relies heavily on the provision of accurate pre-construction information, which should include details of the building structure, existing services, fire safety systems, and any known hazards such as asbestos. This </w:t>
      </w:r>
      <w:r w:rsidRPr="00306D93">
        <w:rPr>
          <w:b w:val="0"/>
          <w:bCs w:val="0"/>
          <w:sz w:val="22"/>
          <w:szCs w:val="24"/>
        </w:rPr>
        <w:lastRenderedPageBreak/>
        <w:t>information forms the foundation for safe planning and execution of works. The Construction Phase Plan further supports this by outlining how health and safety will be managed on site, including arrangements for site layout, access routes, fire safety procedures, and emergency response. In this context, maintaining clear escape routes and minimising disruption to occupants are essential priorities.</w:t>
      </w:r>
    </w:p>
    <w:p w14:paraId="723627DE" w14:textId="741892F5" w:rsidR="00306D93" w:rsidRPr="00306D93" w:rsidRDefault="00306D93" w:rsidP="00306D93">
      <w:pPr>
        <w:rPr>
          <w:b w:val="0"/>
          <w:bCs w:val="0"/>
          <w:sz w:val="22"/>
          <w:szCs w:val="24"/>
        </w:rPr>
      </w:pPr>
      <w:r w:rsidRPr="00306D93">
        <w:rPr>
          <w:b w:val="0"/>
          <w:bCs w:val="0"/>
          <w:sz w:val="22"/>
          <w:szCs w:val="24"/>
        </w:rPr>
        <w:t xml:space="preserve">A range of practical risk reduction measures must be implemented throughout the project. These include the use of safe scaffolding systems, careful sequencing of work activities, and effective segregation between construction areas and occupied spaces. Working at height remains one of the highest-risk activities, and therefore control measures should prioritise collective protection methods such as guardrails before relying on personal protective equipment. </w:t>
      </w:r>
      <w:r w:rsidR="006C0DDF">
        <w:rPr>
          <w:b w:val="0"/>
          <w:bCs w:val="0"/>
          <w:sz w:val="22"/>
          <w:szCs w:val="24"/>
        </w:rPr>
        <w:t>Furthermore</w:t>
      </w:r>
      <w:r w:rsidRPr="00306D93">
        <w:rPr>
          <w:b w:val="0"/>
          <w:bCs w:val="0"/>
          <w:sz w:val="22"/>
          <w:szCs w:val="24"/>
        </w:rPr>
        <w:t>, weather conditions must be continuously monitored as they can significantly affect safety when working at height.</w:t>
      </w:r>
    </w:p>
    <w:p w14:paraId="336F85BD" w14:textId="138B4DC1" w:rsidR="00306D93" w:rsidRPr="00306D93" w:rsidRDefault="00306D93" w:rsidP="00306D93">
      <w:pPr>
        <w:rPr>
          <w:b w:val="0"/>
          <w:bCs w:val="0"/>
          <w:sz w:val="22"/>
          <w:szCs w:val="24"/>
        </w:rPr>
      </w:pPr>
      <w:r w:rsidRPr="00306D93">
        <w:rPr>
          <w:b w:val="0"/>
          <w:bCs w:val="0"/>
          <w:sz w:val="22"/>
          <w:szCs w:val="24"/>
        </w:rPr>
        <w:t>Fire safety management is another critical aspect of the construction phase, requiring the provision of appropriate detection systems, fire extinguishers, and clearly defined evacuation procedures. The integrity of fire compartmentation must be maintained, and any breaches must be promptly and effectively sealed</w:t>
      </w:r>
      <w:r w:rsidR="00DA3396">
        <w:rPr>
          <w:b w:val="0"/>
          <w:bCs w:val="0"/>
          <w:sz w:val="22"/>
          <w:szCs w:val="24"/>
        </w:rPr>
        <w:t>, with</w:t>
      </w:r>
      <w:r w:rsidRPr="00306D93">
        <w:rPr>
          <w:b w:val="0"/>
          <w:bCs w:val="0"/>
          <w:sz w:val="22"/>
          <w:szCs w:val="24"/>
        </w:rPr>
        <w:t xml:space="preserve"> dust and noise control measures </w:t>
      </w:r>
      <w:r w:rsidR="00DA3396">
        <w:rPr>
          <w:b w:val="0"/>
          <w:bCs w:val="0"/>
          <w:sz w:val="22"/>
          <w:szCs w:val="24"/>
        </w:rPr>
        <w:t>being</w:t>
      </w:r>
      <w:r w:rsidRPr="00306D93">
        <w:rPr>
          <w:b w:val="0"/>
          <w:bCs w:val="0"/>
          <w:sz w:val="22"/>
          <w:szCs w:val="24"/>
        </w:rPr>
        <w:t xml:space="preserve"> necessary to protect both workers and residents, using approaches such as dust suppression systems, acoustic barriers, and careful scheduling of high-impact activities.</w:t>
      </w:r>
      <w:r w:rsidR="00DE64FC">
        <w:rPr>
          <w:b w:val="0"/>
          <w:bCs w:val="0"/>
          <w:sz w:val="22"/>
          <w:szCs w:val="24"/>
        </w:rPr>
        <w:t xml:space="preserve"> </w:t>
      </w:r>
      <w:r w:rsidRPr="00306D93">
        <w:rPr>
          <w:b w:val="0"/>
          <w:bCs w:val="0"/>
          <w:sz w:val="22"/>
          <w:szCs w:val="24"/>
        </w:rPr>
        <w:t xml:space="preserve">Site segregation is particularly important in occupied buildings, where physical barriers, clear signage, and controlled access points are needed to prevent residents from entering hazardous areas. Effective communication </w:t>
      </w:r>
      <w:r w:rsidR="00897E75">
        <w:rPr>
          <w:b w:val="0"/>
          <w:bCs w:val="0"/>
          <w:sz w:val="22"/>
          <w:szCs w:val="24"/>
        </w:rPr>
        <w:t>will</w:t>
      </w:r>
      <w:r w:rsidRPr="00306D93">
        <w:rPr>
          <w:b w:val="0"/>
          <w:bCs w:val="0"/>
          <w:sz w:val="22"/>
          <w:szCs w:val="24"/>
        </w:rPr>
        <w:t xml:space="preserve"> play a key role in ensuring that occupants are aware of ongoing works, potential risks, and any changes to access arrangements. </w:t>
      </w:r>
      <w:r w:rsidR="00DE64FC">
        <w:rPr>
          <w:b w:val="0"/>
          <w:bCs w:val="0"/>
          <w:sz w:val="22"/>
          <w:szCs w:val="24"/>
        </w:rPr>
        <w:t>Therefore, m</w:t>
      </w:r>
      <w:r w:rsidRPr="00306D93">
        <w:rPr>
          <w:b w:val="0"/>
          <w:bCs w:val="0"/>
          <w:sz w:val="22"/>
          <w:szCs w:val="24"/>
        </w:rPr>
        <w:t xml:space="preserve">onitoring and review processes underpin </w:t>
      </w:r>
      <w:proofErr w:type="gramStart"/>
      <w:r w:rsidRPr="00306D93">
        <w:rPr>
          <w:b w:val="0"/>
          <w:bCs w:val="0"/>
          <w:sz w:val="22"/>
          <w:szCs w:val="24"/>
        </w:rPr>
        <w:t>all of</w:t>
      </w:r>
      <w:proofErr w:type="gramEnd"/>
      <w:r w:rsidRPr="00306D93">
        <w:rPr>
          <w:b w:val="0"/>
          <w:bCs w:val="0"/>
          <w:sz w:val="22"/>
          <w:szCs w:val="24"/>
        </w:rPr>
        <w:t xml:space="preserve"> these measures, with regular inspections, safety audits, and incident reporting systems helping to identify hazards and continuously improve safety performance.</w:t>
      </w:r>
    </w:p>
    <w:p w14:paraId="205ACFB4" w14:textId="586A67FE" w:rsidR="006B4E0D" w:rsidRPr="006B4E0D" w:rsidRDefault="00306D93" w:rsidP="00306D93">
      <w:pPr>
        <w:rPr>
          <w:b w:val="0"/>
          <w:bCs w:val="0"/>
          <w:sz w:val="22"/>
          <w:szCs w:val="24"/>
        </w:rPr>
      </w:pPr>
      <w:r w:rsidRPr="00306D93">
        <w:rPr>
          <w:b w:val="0"/>
          <w:bCs w:val="0"/>
          <w:sz w:val="22"/>
          <w:szCs w:val="24"/>
        </w:rPr>
        <w:t>Ultimately, the effectiveness of the CDM Regulations 2015 depends on strong collaboration between all project stakeholders. Poor communication or lack of coordination can lead to significant gaps in safety management, whereas proactive engagement and clear leadership help ensure that CDM functions as a practical tool for improving safety, rather than simply a procedural or paperwork exercise.</w:t>
      </w:r>
    </w:p>
    <w:p w14:paraId="56DEF838" w14:textId="77777777" w:rsidR="006B4E0D" w:rsidRDefault="006B4E0D" w:rsidP="006B4E0D">
      <w:pPr>
        <w:pStyle w:val="Heading1"/>
      </w:pPr>
      <w:bookmarkStart w:id="4" w:name="_Toc228902958"/>
      <w:r w:rsidRPr="006B4E0D">
        <w:t>Conclusion</w:t>
      </w:r>
      <w:bookmarkEnd w:id="4"/>
    </w:p>
    <w:p w14:paraId="7CA19B97" w14:textId="77777777" w:rsidR="006B4E0D" w:rsidRPr="006B4E0D" w:rsidRDefault="006B4E0D" w:rsidP="006B4E0D"/>
    <w:p w14:paraId="721FA6A4" w14:textId="77BF86CB" w:rsidR="006B4E0D" w:rsidRPr="006B4E0D" w:rsidRDefault="006B4E0D" w:rsidP="006B4E0D">
      <w:pPr>
        <w:rPr>
          <w:b w:val="0"/>
          <w:bCs w:val="0"/>
          <w:sz w:val="22"/>
          <w:szCs w:val="24"/>
        </w:rPr>
      </w:pPr>
      <w:r w:rsidRPr="006B4E0D">
        <w:rPr>
          <w:b w:val="0"/>
          <w:bCs w:val="0"/>
          <w:sz w:val="22"/>
          <w:szCs w:val="24"/>
        </w:rPr>
        <w:t>The refurbishment of Croft Street Block 2 presents a complex and high-risk project due to the scale of works and the continued occupation of the building. This requires a higher level of planning, coordination, and risk management than would typically be needed for a new-build development. The presence of residents introduces additional considerations, necessitating the protection of occupants, workers, and the wider public.</w:t>
      </w:r>
      <w:r w:rsidR="00CA602B">
        <w:rPr>
          <w:b w:val="0"/>
          <w:bCs w:val="0"/>
          <w:sz w:val="22"/>
          <w:szCs w:val="24"/>
        </w:rPr>
        <w:t xml:space="preserve"> </w:t>
      </w:r>
      <w:r w:rsidRPr="006B4E0D">
        <w:rPr>
          <w:b w:val="0"/>
          <w:bCs w:val="0"/>
          <w:sz w:val="22"/>
          <w:szCs w:val="24"/>
        </w:rPr>
        <w:t>The existing legislative framework, including the Building Safety Act 2022, the Building Safety (Wales) Bill, the Health and Safety at Work Act 1974, and the CDM Regulations 2015, provides a strong basis for managing these risks. These regulations emphasise accountability, competence, and proactive risk management, with developments such as the Building Safety Regulator and the golden thread of information representing significant progress in improving safety standards.</w:t>
      </w:r>
    </w:p>
    <w:p w14:paraId="5D4CCFF0" w14:textId="5FA31AC6" w:rsidR="006B4E0D" w:rsidRPr="006B4E0D" w:rsidRDefault="006B4E0D" w:rsidP="006B4E0D">
      <w:pPr>
        <w:rPr>
          <w:b w:val="0"/>
          <w:bCs w:val="0"/>
          <w:sz w:val="22"/>
          <w:szCs w:val="24"/>
        </w:rPr>
      </w:pPr>
      <w:r w:rsidRPr="006B4E0D">
        <w:rPr>
          <w:b w:val="0"/>
          <w:bCs w:val="0"/>
          <w:sz w:val="22"/>
          <w:szCs w:val="24"/>
        </w:rPr>
        <w:lastRenderedPageBreak/>
        <w:t>However, compliance with legislation alone is not sufficient to ensure safe project delivery. The effectiveness of these frameworks depends on how they are applied in practice. Strong leadership, clear communication, and a positive safety culture are essential in translating regulatory requirements into meaningful actions on site. Managers must remain actively engaged, continuously monitoring conditions and adapting control measures as necessary.</w:t>
      </w:r>
      <w:r w:rsidR="00CA602B">
        <w:rPr>
          <w:b w:val="0"/>
          <w:bCs w:val="0"/>
          <w:sz w:val="22"/>
          <w:szCs w:val="24"/>
        </w:rPr>
        <w:t xml:space="preserve"> </w:t>
      </w:r>
      <w:r w:rsidRPr="006B4E0D">
        <w:rPr>
          <w:b w:val="0"/>
          <w:bCs w:val="0"/>
          <w:sz w:val="22"/>
          <w:szCs w:val="24"/>
        </w:rPr>
        <w:t>The CDM Regulations reinforce the importance of early risk identification, collaboration, and clearly defined responsibilities. When implemented effectively, they support the elimination of hazards at the design stage and ensure that construction activities are properly managed. This is particularly important where multiple high-risk operations are taking place simultaneously.</w:t>
      </w:r>
    </w:p>
    <w:p w14:paraId="18072683" w14:textId="66D20DFD" w:rsidR="001F6953" w:rsidRDefault="006B4E0D" w:rsidP="006B4E0D">
      <w:pPr>
        <w:rPr>
          <w:b w:val="0"/>
          <w:bCs w:val="0"/>
          <w:sz w:val="22"/>
          <w:szCs w:val="24"/>
        </w:rPr>
      </w:pPr>
      <w:r w:rsidRPr="006B4E0D">
        <w:rPr>
          <w:b w:val="0"/>
          <w:bCs w:val="0"/>
          <w:sz w:val="22"/>
          <w:szCs w:val="24"/>
        </w:rPr>
        <w:t>In summary, the successful delivery of this refurbishment project depends on a comprehensive approach that combines regulatory compliance with practical risk management strategies. By prioritising safety, maintaining effective communication, and fostering a strong safety culture, UWTSD Construction can reduce risks and deliver a project that meets modern safety expectations while protecting both workers and residents.</w:t>
      </w:r>
    </w:p>
    <w:p w14:paraId="0D164535" w14:textId="77777777" w:rsidR="006B4E0D" w:rsidRPr="006B4E0D" w:rsidRDefault="006B4E0D" w:rsidP="006B4E0D">
      <w:pPr>
        <w:rPr>
          <w:sz w:val="22"/>
          <w:szCs w:val="24"/>
        </w:rPr>
      </w:pPr>
    </w:p>
    <w:p w14:paraId="34313B53" w14:textId="77777777" w:rsidR="006B4E0D" w:rsidRPr="006B4E0D" w:rsidRDefault="006B4E0D" w:rsidP="006B4E0D">
      <w:pPr>
        <w:rPr>
          <w:sz w:val="22"/>
          <w:szCs w:val="24"/>
        </w:rPr>
      </w:pPr>
    </w:p>
    <w:p w14:paraId="08164C00" w14:textId="77777777" w:rsidR="006B4E0D" w:rsidRPr="006B4E0D" w:rsidRDefault="006B4E0D" w:rsidP="006B4E0D">
      <w:pPr>
        <w:rPr>
          <w:sz w:val="22"/>
          <w:szCs w:val="24"/>
        </w:rPr>
      </w:pPr>
    </w:p>
    <w:p w14:paraId="52650A17" w14:textId="77777777" w:rsidR="006B4E0D" w:rsidRPr="006B4E0D" w:rsidRDefault="006B4E0D" w:rsidP="006B4E0D">
      <w:pPr>
        <w:rPr>
          <w:sz w:val="22"/>
          <w:szCs w:val="24"/>
        </w:rPr>
      </w:pPr>
    </w:p>
    <w:p w14:paraId="1BE79B5D" w14:textId="77777777" w:rsidR="006B4E0D" w:rsidRPr="006B4E0D" w:rsidRDefault="006B4E0D" w:rsidP="006B4E0D">
      <w:pPr>
        <w:rPr>
          <w:sz w:val="22"/>
          <w:szCs w:val="24"/>
        </w:rPr>
      </w:pPr>
    </w:p>
    <w:p w14:paraId="74E452FF" w14:textId="77777777" w:rsidR="006B4E0D" w:rsidRPr="006B4E0D" w:rsidRDefault="006B4E0D" w:rsidP="006B4E0D">
      <w:pPr>
        <w:rPr>
          <w:sz w:val="22"/>
          <w:szCs w:val="24"/>
        </w:rPr>
      </w:pPr>
    </w:p>
    <w:p w14:paraId="1DBC5CB8" w14:textId="77777777" w:rsidR="006B4E0D" w:rsidRPr="006B4E0D" w:rsidRDefault="006B4E0D" w:rsidP="006B4E0D">
      <w:pPr>
        <w:rPr>
          <w:sz w:val="22"/>
          <w:szCs w:val="24"/>
        </w:rPr>
      </w:pPr>
    </w:p>
    <w:p w14:paraId="00BDBC27" w14:textId="77777777" w:rsidR="006B4E0D" w:rsidRPr="006B4E0D" w:rsidRDefault="006B4E0D" w:rsidP="006B4E0D">
      <w:pPr>
        <w:rPr>
          <w:sz w:val="22"/>
          <w:szCs w:val="24"/>
        </w:rPr>
      </w:pPr>
    </w:p>
    <w:p w14:paraId="1FBE55CE" w14:textId="77777777" w:rsidR="006B4E0D" w:rsidRPr="006B4E0D" w:rsidRDefault="006B4E0D" w:rsidP="006B4E0D">
      <w:pPr>
        <w:rPr>
          <w:sz w:val="22"/>
          <w:szCs w:val="24"/>
        </w:rPr>
      </w:pPr>
    </w:p>
    <w:p w14:paraId="4FA65055" w14:textId="77777777" w:rsidR="006B4E0D" w:rsidRPr="006B4E0D" w:rsidRDefault="006B4E0D" w:rsidP="006B4E0D">
      <w:pPr>
        <w:rPr>
          <w:sz w:val="22"/>
          <w:szCs w:val="24"/>
        </w:rPr>
      </w:pPr>
    </w:p>
    <w:p w14:paraId="40B065C9" w14:textId="77777777" w:rsidR="006B4E0D" w:rsidRPr="006B4E0D" w:rsidRDefault="006B4E0D" w:rsidP="006B4E0D">
      <w:pPr>
        <w:rPr>
          <w:sz w:val="22"/>
          <w:szCs w:val="24"/>
        </w:rPr>
      </w:pPr>
    </w:p>
    <w:p w14:paraId="3AA18EFB" w14:textId="77777777" w:rsidR="006B4E0D" w:rsidRDefault="006B4E0D" w:rsidP="006B4E0D">
      <w:pPr>
        <w:rPr>
          <w:b w:val="0"/>
          <w:bCs w:val="0"/>
          <w:sz w:val="22"/>
          <w:szCs w:val="24"/>
        </w:rPr>
      </w:pPr>
    </w:p>
    <w:p w14:paraId="3C847C4A" w14:textId="41A0F933" w:rsidR="006B4E0D" w:rsidRDefault="006B4E0D" w:rsidP="006B4E0D">
      <w:pPr>
        <w:tabs>
          <w:tab w:val="left" w:pos="1416"/>
        </w:tabs>
        <w:rPr>
          <w:sz w:val="22"/>
          <w:szCs w:val="24"/>
        </w:rPr>
      </w:pPr>
      <w:r>
        <w:rPr>
          <w:sz w:val="22"/>
          <w:szCs w:val="24"/>
        </w:rPr>
        <w:tab/>
      </w:r>
    </w:p>
    <w:p w14:paraId="23E91E45" w14:textId="77777777" w:rsidR="006B4E0D" w:rsidRDefault="006B4E0D" w:rsidP="006B4E0D">
      <w:pPr>
        <w:tabs>
          <w:tab w:val="left" w:pos="1416"/>
        </w:tabs>
        <w:rPr>
          <w:sz w:val="22"/>
          <w:szCs w:val="24"/>
        </w:rPr>
      </w:pPr>
    </w:p>
    <w:p w14:paraId="0E898665" w14:textId="77777777" w:rsidR="006B4E0D" w:rsidRDefault="006B4E0D" w:rsidP="006B4E0D">
      <w:pPr>
        <w:tabs>
          <w:tab w:val="left" w:pos="1416"/>
        </w:tabs>
        <w:rPr>
          <w:sz w:val="22"/>
          <w:szCs w:val="24"/>
        </w:rPr>
      </w:pPr>
    </w:p>
    <w:p w14:paraId="012FBF0F" w14:textId="77777777" w:rsidR="006B4E0D" w:rsidRDefault="006B4E0D" w:rsidP="006B4E0D">
      <w:pPr>
        <w:tabs>
          <w:tab w:val="left" w:pos="1416"/>
        </w:tabs>
        <w:rPr>
          <w:sz w:val="22"/>
          <w:szCs w:val="24"/>
        </w:rPr>
      </w:pPr>
    </w:p>
    <w:p w14:paraId="53C89C46" w14:textId="77777777" w:rsidR="006B4E0D" w:rsidRDefault="006B4E0D" w:rsidP="006B4E0D">
      <w:pPr>
        <w:tabs>
          <w:tab w:val="left" w:pos="1416"/>
        </w:tabs>
        <w:rPr>
          <w:sz w:val="22"/>
          <w:szCs w:val="24"/>
        </w:rPr>
      </w:pPr>
    </w:p>
    <w:p w14:paraId="33B2729D" w14:textId="77777777" w:rsidR="006B4E0D" w:rsidRDefault="006B4E0D" w:rsidP="006B4E0D">
      <w:pPr>
        <w:tabs>
          <w:tab w:val="left" w:pos="1416"/>
        </w:tabs>
        <w:rPr>
          <w:sz w:val="22"/>
          <w:szCs w:val="24"/>
        </w:rPr>
      </w:pPr>
    </w:p>
    <w:p w14:paraId="40160E9E" w14:textId="77777777" w:rsidR="006B4E0D" w:rsidRDefault="006B4E0D" w:rsidP="006B4E0D">
      <w:pPr>
        <w:tabs>
          <w:tab w:val="left" w:pos="1416"/>
        </w:tabs>
        <w:rPr>
          <w:sz w:val="22"/>
          <w:szCs w:val="24"/>
        </w:rPr>
      </w:pPr>
    </w:p>
    <w:p w14:paraId="0F32203C" w14:textId="21EF5193" w:rsidR="006B4E0D" w:rsidRDefault="006B4E0D" w:rsidP="00F01DD4">
      <w:pPr>
        <w:pStyle w:val="Heading1"/>
      </w:pPr>
      <w:bookmarkStart w:id="5" w:name="_Toc228902959"/>
      <w:r>
        <w:lastRenderedPageBreak/>
        <w:t>Reference List</w:t>
      </w:r>
      <w:bookmarkEnd w:id="5"/>
    </w:p>
    <w:p w14:paraId="664BB8A9" w14:textId="77777777" w:rsidR="00F01DD4" w:rsidRDefault="00F01DD4" w:rsidP="00F01DD4"/>
    <w:p w14:paraId="24FE88AD" w14:textId="09F2637E" w:rsidR="00F01DD4" w:rsidRDefault="00A21E81" w:rsidP="00F01DD4">
      <w:pPr>
        <w:rPr>
          <w:b w:val="0"/>
          <w:bCs w:val="0"/>
          <w:sz w:val="22"/>
          <w:szCs w:val="24"/>
        </w:rPr>
      </w:pPr>
      <w:r>
        <w:rPr>
          <w:b w:val="0"/>
          <w:bCs w:val="0"/>
          <w:sz w:val="22"/>
          <w:szCs w:val="24"/>
        </w:rPr>
        <w:t>Hackitt, J</w:t>
      </w:r>
      <w:r w:rsidR="001B78B0">
        <w:rPr>
          <w:b w:val="0"/>
          <w:bCs w:val="0"/>
          <w:sz w:val="22"/>
          <w:szCs w:val="24"/>
        </w:rPr>
        <w:t xml:space="preserve">. (2018) </w:t>
      </w:r>
      <w:r w:rsidR="001B78B0">
        <w:rPr>
          <w:b w:val="0"/>
          <w:bCs w:val="0"/>
          <w:i/>
          <w:iCs/>
          <w:sz w:val="22"/>
          <w:szCs w:val="24"/>
        </w:rPr>
        <w:t>Building a Safer Future: Independent Review of Building Regulations and Fire Safety</w:t>
      </w:r>
      <w:r w:rsidR="00AD6618">
        <w:rPr>
          <w:b w:val="0"/>
          <w:bCs w:val="0"/>
          <w:i/>
          <w:iCs/>
          <w:sz w:val="22"/>
          <w:szCs w:val="24"/>
        </w:rPr>
        <w:t>.</w:t>
      </w:r>
      <w:r w:rsidR="00AD6618">
        <w:rPr>
          <w:b w:val="0"/>
          <w:bCs w:val="0"/>
          <w:sz w:val="22"/>
          <w:szCs w:val="24"/>
        </w:rPr>
        <w:t xml:space="preserve"> Available at: </w:t>
      </w:r>
      <w:hyperlink r:id="rId6" w:history="1">
        <w:r w:rsidR="00AD6618" w:rsidRPr="00FD4AB5">
          <w:rPr>
            <w:rStyle w:val="Hyperlink"/>
            <w:b w:val="0"/>
            <w:bCs w:val="0"/>
            <w:sz w:val="22"/>
            <w:szCs w:val="24"/>
          </w:rPr>
          <w:t>https://assets.publishing.service.gov.uk/government/uploads/system/uploads/attachment_data/file/707785/Building_a_Safer_Future_-_web.pdf</w:t>
        </w:r>
      </w:hyperlink>
    </w:p>
    <w:p w14:paraId="1F0525D4" w14:textId="77777777" w:rsidR="00AD6618" w:rsidRDefault="00AD6618" w:rsidP="00F01DD4">
      <w:pPr>
        <w:rPr>
          <w:b w:val="0"/>
          <w:bCs w:val="0"/>
          <w:sz w:val="22"/>
          <w:szCs w:val="24"/>
        </w:rPr>
      </w:pPr>
    </w:p>
    <w:p w14:paraId="0630156D" w14:textId="61E89F21" w:rsidR="00AD6618" w:rsidRDefault="006D24BE" w:rsidP="00F01DD4">
      <w:pPr>
        <w:rPr>
          <w:b w:val="0"/>
          <w:bCs w:val="0"/>
          <w:sz w:val="22"/>
          <w:szCs w:val="24"/>
        </w:rPr>
      </w:pPr>
      <w:r>
        <w:rPr>
          <w:b w:val="0"/>
          <w:bCs w:val="0"/>
          <w:sz w:val="22"/>
          <w:szCs w:val="24"/>
        </w:rPr>
        <w:t xml:space="preserve">Health and Safety Executive (2023) </w:t>
      </w:r>
      <w:r>
        <w:rPr>
          <w:b w:val="0"/>
          <w:bCs w:val="0"/>
          <w:i/>
          <w:iCs/>
          <w:sz w:val="22"/>
          <w:szCs w:val="24"/>
        </w:rPr>
        <w:t>Building Safety Regulator</w:t>
      </w:r>
      <w:r>
        <w:rPr>
          <w:b w:val="0"/>
          <w:bCs w:val="0"/>
          <w:sz w:val="22"/>
          <w:szCs w:val="24"/>
        </w:rPr>
        <w:t xml:space="preserve">. Available at: </w:t>
      </w:r>
      <w:hyperlink r:id="rId7" w:history="1">
        <w:r w:rsidR="00DD1FB0" w:rsidRPr="00FD4AB5">
          <w:rPr>
            <w:rStyle w:val="Hyperlink"/>
            <w:b w:val="0"/>
            <w:bCs w:val="0"/>
            <w:sz w:val="22"/>
            <w:szCs w:val="24"/>
          </w:rPr>
          <w:t>https://www.gov.uk/guidance/building-control-approval-for-higher-risk-buildings</w:t>
        </w:r>
      </w:hyperlink>
    </w:p>
    <w:p w14:paraId="7C54C2F0" w14:textId="77777777" w:rsidR="00DD1FB0" w:rsidRDefault="00DD1FB0" w:rsidP="00F01DD4">
      <w:pPr>
        <w:rPr>
          <w:b w:val="0"/>
          <w:bCs w:val="0"/>
          <w:sz w:val="22"/>
          <w:szCs w:val="24"/>
        </w:rPr>
      </w:pPr>
    </w:p>
    <w:p w14:paraId="672925B9" w14:textId="3E999188" w:rsidR="00DD1FB0" w:rsidRDefault="00315FBE" w:rsidP="00F01DD4">
      <w:pPr>
        <w:rPr>
          <w:b w:val="0"/>
          <w:bCs w:val="0"/>
          <w:sz w:val="22"/>
          <w:szCs w:val="24"/>
        </w:rPr>
      </w:pPr>
      <w:r>
        <w:rPr>
          <w:b w:val="0"/>
          <w:bCs w:val="0"/>
          <w:sz w:val="22"/>
          <w:szCs w:val="24"/>
        </w:rPr>
        <w:t xml:space="preserve">Health and Safety Executive (2023) </w:t>
      </w:r>
      <w:r>
        <w:rPr>
          <w:b w:val="0"/>
          <w:bCs w:val="0"/>
          <w:i/>
          <w:iCs/>
          <w:sz w:val="22"/>
          <w:szCs w:val="24"/>
        </w:rPr>
        <w:t xml:space="preserve">Managing Risks and Risk Assessments at Work. </w:t>
      </w:r>
      <w:r>
        <w:rPr>
          <w:b w:val="0"/>
          <w:bCs w:val="0"/>
          <w:sz w:val="22"/>
          <w:szCs w:val="24"/>
        </w:rPr>
        <w:t xml:space="preserve">Available at: </w:t>
      </w:r>
      <w:hyperlink r:id="rId8" w:history="1">
        <w:r w:rsidRPr="00FD4AB5">
          <w:rPr>
            <w:rStyle w:val="Hyperlink"/>
            <w:b w:val="0"/>
            <w:bCs w:val="0"/>
            <w:sz w:val="22"/>
            <w:szCs w:val="24"/>
          </w:rPr>
          <w:t>https://www.hse.gov.uk/simple-health-safety/risk/</w:t>
        </w:r>
      </w:hyperlink>
    </w:p>
    <w:p w14:paraId="7292A994" w14:textId="77777777" w:rsidR="00315FBE" w:rsidRDefault="00315FBE" w:rsidP="00F01DD4">
      <w:pPr>
        <w:rPr>
          <w:b w:val="0"/>
          <w:bCs w:val="0"/>
          <w:sz w:val="22"/>
          <w:szCs w:val="24"/>
        </w:rPr>
      </w:pPr>
    </w:p>
    <w:p w14:paraId="15D96B28" w14:textId="7CFD4086" w:rsidR="00315FBE" w:rsidRDefault="00AE1AA8" w:rsidP="00F01DD4">
      <w:pPr>
        <w:rPr>
          <w:b w:val="0"/>
          <w:bCs w:val="0"/>
          <w:sz w:val="22"/>
          <w:szCs w:val="24"/>
        </w:rPr>
      </w:pPr>
      <w:r>
        <w:rPr>
          <w:b w:val="0"/>
          <w:bCs w:val="0"/>
          <w:sz w:val="22"/>
          <w:szCs w:val="24"/>
        </w:rPr>
        <w:t xml:space="preserve">UK Government (1974) </w:t>
      </w:r>
      <w:r>
        <w:rPr>
          <w:b w:val="0"/>
          <w:bCs w:val="0"/>
          <w:i/>
          <w:iCs/>
          <w:sz w:val="22"/>
          <w:szCs w:val="24"/>
        </w:rPr>
        <w:t>Health and Safety at Work Act</w:t>
      </w:r>
      <w:r w:rsidR="009A2E4E">
        <w:rPr>
          <w:b w:val="0"/>
          <w:bCs w:val="0"/>
          <w:sz w:val="22"/>
          <w:szCs w:val="24"/>
        </w:rPr>
        <w:t xml:space="preserve">. Available at: </w:t>
      </w:r>
      <w:hyperlink r:id="rId9" w:history="1">
        <w:r w:rsidR="009A2E4E" w:rsidRPr="00FD4AB5">
          <w:rPr>
            <w:rStyle w:val="Hyperlink"/>
            <w:b w:val="0"/>
            <w:bCs w:val="0"/>
            <w:sz w:val="22"/>
            <w:szCs w:val="24"/>
          </w:rPr>
          <w:t>https://www.legislation.gov.uk/ukpga/1974/37</w:t>
        </w:r>
      </w:hyperlink>
    </w:p>
    <w:p w14:paraId="23AD89C2" w14:textId="77777777" w:rsidR="009A2E4E" w:rsidRDefault="009A2E4E" w:rsidP="00F01DD4">
      <w:pPr>
        <w:rPr>
          <w:b w:val="0"/>
          <w:bCs w:val="0"/>
          <w:sz w:val="22"/>
          <w:szCs w:val="24"/>
        </w:rPr>
      </w:pPr>
    </w:p>
    <w:p w14:paraId="7FCEA3FD" w14:textId="12195CE0" w:rsidR="009A2E4E" w:rsidRDefault="00A34322" w:rsidP="00F01DD4">
      <w:pPr>
        <w:rPr>
          <w:b w:val="0"/>
          <w:bCs w:val="0"/>
          <w:sz w:val="22"/>
          <w:szCs w:val="24"/>
        </w:rPr>
      </w:pPr>
      <w:r>
        <w:rPr>
          <w:b w:val="0"/>
          <w:bCs w:val="0"/>
          <w:sz w:val="22"/>
          <w:szCs w:val="24"/>
        </w:rPr>
        <w:t xml:space="preserve">UK Government (2002) </w:t>
      </w:r>
      <w:r>
        <w:rPr>
          <w:b w:val="0"/>
          <w:bCs w:val="0"/>
          <w:i/>
          <w:iCs/>
          <w:sz w:val="22"/>
          <w:szCs w:val="24"/>
        </w:rPr>
        <w:t>Control of Substances Hazardous to Health Regulations</w:t>
      </w:r>
      <w:r>
        <w:rPr>
          <w:b w:val="0"/>
          <w:bCs w:val="0"/>
          <w:sz w:val="22"/>
          <w:szCs w:val="24"/>
        </w:rPr>
        <w:t xml:space="preserve">. Available at: </w:t>
      </w:r>
      <w:hyperlink r:id="rId10" w:history="1">
        <w:r w:rsidR="00D27E26" w:rsidRPr="00FD4AB5">
          <w:rPr>
            <w:rStyle w:val="Hyperlink"/>
            <w:b w:val="0"/>
            <w:bCs w:val="0"/>
            <w:sz w:val="22"/>
            <w:szCs w:val="24"/>
          </w:rPr>
          <w:t>https://www.legislation.gov.uk/uksi/2002/2677/contents</w:t>
        </w:r>
      </w:hyperlink>
    </w:p>
    <w:p w14:paraId="572322EA" w14:textId="77777777" w:rsidR="00D27E26" w:rsidRDefault="00D27E26" w:rsidP="00F01DD4">
      <w:pPr>
        <w:rPr>
          <w:b w:val="0"/>
          <w:bCs w:val="0"/>
          <w:sz w:val="22"/>
          <w:szCs w:val="24"/>
        </w:rPr>
      </w:pPr>
    </w:p>
    <w:p w14:paraId="584D38D5" w14:textId="24753BE5" w:rsidR="00D27E26" w:rsidRDefault="00D27E26" w:rsidP="00F01DD4">
      <w:pPr>
        <w:rPr>
          <w:b w:val="0"/>
          <w:bCs w:val="0"/>
          <w:sz w:val="22"/>
          <w:szCs w:val="24"/>
        </w:rPr>
      </w:pPr>
      <w:r>
        <w:rPr>
          <w:b w:val="0"/>
          <w:bCs w:val="0"/>
          <w:sz w:val="22"/>
          <w:szCs w:val="24"/>
        </w:rPr>
        <w:t xml:space="preserve">UK Government (2005) </w:t>
      </w:r>
      <w:r w:rsidRPr="00D27E26">
        <w:rPr>
          <w:b w:val="0"/>
          <w:bCs w:val="0"/>
          <w:i/>
          <w:iCs/>
          <w:sz w:val="22"/>
          <w:szCs w:val="24"/>
        </w:rPr>
        <w:t>Work at Height Regulations</w:t>
      </w:r>
      <w:r>
        <w:rPr>
          <w:b w:val="0"/>
          <w:bCs w:val="0"/>
          <w:sz w:val="22"/>
          <w:szCs w:val="24"/>
        </w:rPr>
        <w:t xml:space="preserve">. Available at: </w:t>
      </w:r>
      <w:hyperlink r:id="rId11" w:history="1">
        <w:r w:rsidR="006F19FC" w:rsidRPr="00FD4AB5">
          <w:rPr>
            <w:rStyle w:val="Hyperlink"/>
            <w:b w:val="0"/>
            <w:bCs w:val="0"/>
            <w:sz w:val="22"/>
            <w:szCs w:val="24"/>
          </w:rPr>
          <w:t>https://www.legislation.gov.uk/uksi/2005/735/contents</w:t>
        </w:r>
      </w:hyperlink>
    </w:p>
    <w:p w14:paraId="50ACE26C" w14:textId="77777777" w:rsidR="008A5F64" w:rsidRDefault="008A5F64" w:rsidP="00F01DD4">
      <w:pPr>
        <w:rPr>
          <w:b w:val="0"/>
          <w:bCs w:val="0"/>
          <w:sz w:val="22"/>
          <w:szCs w:val="24"/>
        </w:rPr>
      </w:pPr>
    </w:p>
    <w:p w14:paraId="5DB4541F" w14:textId="3DF72899" w:rsidR="008A5F64" w:rsidRDefault="008A5F64" w:rsidP="00F01DD4">
      <w:pPr>
        <w:rPr>
          <w:b w:val="0"/>
          <w:bCs w:val="0"/>
          <w:sz w:val="22"/>
          <w:szCs w:val="24"/>
        </w:rPr>
      </w:pPr>
      <w:r>
        <w:rPr>
          <w:b w:val="0"/>
          <w:bCs w:val="0"/>
          <w:sz w:val="22"/>
          <w:szCs w:val="24"/>
        </w:rPr>
        <w:t xml:space="preserve">UK Government (2022) </w:t>
      </w:r>
      <w:r w:rsidR="00F21F69">
        <w:rPr>
          <w:b w:val="0"/>
          <w:bCs w:val="0"/>
          <w:i/>
          <w:iCs/>
          <w:sz w:val="22"/>
          <w:szCs w:val="24"/>
        </w:rPr>
        <w:t>Building Safety Act</w:t>
      </w:r>
      <w:r w:rsidR="00F21F69">
        <w:rPr>
          <w:b w:val="0"/>
          <w:bCs w:val="0"/>
          <w:sz w:val="22"/>
          <w:szCs w:val="24"/>
        </w:rPr>
        <w:t xml:space="preserve">. Available at: </w:t>
      </w:r>
      <w:hyperlink r:id="rId12" w:history="1">
        <w:r w:rsidR="00F21F69" w:rsidRPr="00FD4AB5">
          <w:rPr>
            <w:rStyle w:val="Hyperlink"/>
            <w:b w:val="0"/>
            <w:bCs w:val="0"/>
            <w:sz w:val="22"/>
            <w:szCs w:val="24"/>
          </w:rPr>
          <w:t>https://www.legislation.gov.uk/ukpga/2022/30/contents</w:t>
        </w:r>
      </w:hyperlink>
    </w:p>
    <w:p w14:paraId="1A0C0B35" w14:textId="77777777" w:rsidR="00F21F69" w:rsidRDefault="00F21F69" w:rsidP="00F01DD4">
      <w:pPr>
        <w:rPr>
          <w:b w:val="0"/>
          <w:bCs w:val="0"/>
          <w:sz w:val="22"/>
          <w:szCs w:val="24"/>
        </w:rPr>
      </w:pPr>
    </w:p>
    <w:p w14:paraId="7ECE190A" w14:textId="77777777" w:rsidR="00F21F69" w:rsidRPr="00F21F69" w:rsidRDefault="00F21F69" w:rsidP="00F01DD4">
      <w:pPr>
        <w:rPr>
          <w:b w:val="0"/>
          <w:bCs w:val="0"/>
          <w:sz w:val="22"/>
          <w:szCs w:val="24"/>
        </w:rPr>
      </w:pPr>
    </w:p>
    <w:p w14:paraId="5AE3E84B" w14:textId="77777777" w:rsidR="006F19FC" w:rsidRDefault="006F19FC" w:rsidP="00F01DD4">
      <w:pPr>
        <w:rPr>
          <w:b w:val="0"/>
          <w:bCs w:val="0"/>
          <w:sz w:val="22"/>
          <w:szCs w:val="24"/>
        </w:rPr>
      </w:pPr>
    </w:p>
    <w:p w14:paraId="6E008598" w14:textId="77777777" w:rsidR="006F19FC" w:rsidRPr="00A34322" w:rsidRDefault="006F19FC" w:rsidP="00F01DD4">
      <w:pPr>
        <w:rPr>
          <w:b w:val="0"/>
          <w:bCs w:val="0"/>
          <w:sz w:val="22"/>
          <w:szCs w:val="24"/>
        </w:rPr>
      </w:pPr>
    </w:p>
    <w:sectPr w:rsidR="006F19FC" w:rsidRPr="00A3432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C78AC2" w14:textId="77777777" w:rsidR="00C94227" w:rsidRDefault="00C94227" w:rsidP="00944CC3">
      <w:pPr>
        <w:spacing w:after="0" w:line="240" w:lineRule="auto"/>
      </w:pPr>
      <w:r>
        <w:separator/>
      </w:r>
    </w:p>
  </w:endnote>
  <w:endnote w:type="continuationSeparator" w:id="0">
    <w:p w14:paraId="7A93A886" w14:textId="77777777" w:rsidR="00C94227" w:rsidRDefault="00C94227" w:rsidP="00944C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89482746"/>
      <w:docPartObj>
        <w:docPartGallery w:val="Page Numbers (Bottom of Page)"/>
        <w:docPartUnique/>
      </w:docPartObj>
    </w:sdtPr>
    <w:sdtEndPr>
      <w:rPr>
        <w:noProof/>
      </w:rPr>
    </w:sdtEndPr>
    <w:sdtContent>
      <w:p w14:paraId="65929D82" w14:textId="64EDF2C6" w:rsidR="00944CC3" w:rsidRDefault="00944CC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43C0A77" w14:textId="77777777" w:rsidR="00944CC3" w:rsidRDefault="00944C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589736" w14:textId="77777777" w:rsidR="00C94227" w:rsidRDefault="00C94227" w:rsidP="00944CC3">
      <w:pPr>
        <w:spacing w:after="0" w:line="240" w:lineRule="auto"/>
      </w:pPr>
      <w:r>
        <w:separator/>
      </w:r>
    </w:p>
  </w:footnote>
  <w:footnote w:type="continuationSeparator" w:id="0">
    <w:p w14:paraId="703F9317" w14:textId="77777777" w:rsidR="00C94227" w:rsidRDefault="00C94227" w:rsidP="00944CC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37FD"/>
    <w:rsid w:val="000140E5"/>
    <w:rsid w:val="000548D3"/>
    <w:rsid w:val="000A18C5"/>
    <w:rsid w:val="000F0A7B"/>
    <w:rsid w:val="00112CA4"/>
    <w:rsid w:val="0011370C"/>
    <w:rsid w:val="0018033F"/>
    <w:rsid w:val="00197529"/>
    <w:rsid w:val="001A5182"/>
    <w:rsid w:val="001A7CCB"/>
    <w:rsid w:val="001B473D"/>
    <w:rsid w:val="001B78B0"/>
    <w:rsid w:val="001D390E"/>
    <w:rsid w:val="001F143E"/>
    <w:rsid w:val="001F6953"/>
    <w:rsid w:val="00225A85"/>
    <w:rsid w:val="0023049D"/>
    <w:rsid w:val="002858D1"/>
    <w:rsid w:val="002D49A3"/>
    <w:rsid w:val="00306D93"/>
    <w:rsid w:val="00315FBE"/>
    <w:rsid w:val="00326876"/>
    <w:rsid w:val="00355DC7"/>
    <w:rsid w:val="003869E0"/>
    <w:rsid w:val="003A25DC"/>
    <w:rsid w:val="003B30C4"/>
    <w:rsid w:val="003E50E0"/>
    <w:rsid w:val="00434750"/>
    <w:rsid w:val="00445ED8"/>
    <w:rsid w:val="00450DD8"/>
    <w:rsid w:val="004A1173"/>
    <w:rsid w:val="004A2982"/>
    <w:rsid w:val="004A66AA"/>
    <w:rsid w:val="004B10E4"/>
    <w:rsid w:val="004D5E73"/>
    <w:rsid w:val="005131C9"/>
    <w:rsid w:val="00517FD3"/>
    <w:rsid w:val="0055025E"/>
    <w:rsid w:val="005F3535"/>
    <w:rsid w:val="00611DFA"/>
    <w:rsid w:val="00613B9F"/>
    <w:rsid w:val="006175C4"/>
    <w:rsid w:val="0063DC78"/>
    <w:rsid w:val="00694AEC"/>
    <w:rsid w:val="006B4E0D"/>
    <w:rsid w:val="006C0DDF"/>
    <w:rsid w:val="006D24BE"/>
    <w:rsid w:val="006E460D"/>
    <w:rsid w:val="006F19FC"/>
    <w:rsid w:val="00725485"/>
    <w:rsid w:val="0074599A"/>
    <w:rsid w:val="007564F8"/>
    <w:rsid w:val="00770D63"/>
    <w:rsid w:val="007970DF"/>
    <w:rsid w:val="007E1379"/>
    <w:rsid w:val="00803B36"/>
    <w:rsid w:val="00826E53"/>
    <w:rsid w:val="008406C1"/>
    <w:rsid w:val="00871E2A"/>
    <w:rsid w:val="00883456"/>
    <w:rsid w:val="0088444D"/>
    <w:rsid w:val="00897E75"/>
    <w:rsid w:val="008A44EC"/>
    <w:rsid w:val="008A5F64"/>
    <w:rsid w:val="0092541E"/>
    <w:rsid w:val="00944CC3"/>
    <w:rsid w:val="00954F8B"/>
    <w:rsid w:val="009812F7"/>
    <w:rsid w:val="009931C9"/>
    <w:rsid w:val="009A2E4E"/>
    <w:rsid w:val="009B39F9"/>
    <w:rsid w:val="00A21E81"/>
    <w:rsid w:val="00A34322"/>
    <w:rsid w:val="00A77785"/>
    <w:rsid w:val="00AC08EB"/>
    <w:rsid w:val="00AD6618"/>
    <w:rsid w:val="00AD70F8"/>
    <w:rsid w:val="00AE1AA8"/>
    <w:rsid w:val="00B22F13"/>
    <w:rsid w:val="00B737FD"/>
    <w:rsid w:val="00BE1E91"/>
    <w:rsid w:val="00C144A9"/>
    <w:rsid w:val="00C94227"/>
    <w:rsid w:val="00CA602B"/>
    <w:rsid w:val="00CD57C1"/>
    <w:rsid w:val="00D27E26"/>
    <w:rsid w:val="00DA3396"/>
    <w:rsid w:val="00DB0CF4"/>
    <w:rsid w:val="00DC03EE"/>
    <w:rsid w:val="00DD1FB0"/>
    <w:rsid w:val="00DE64FC"/>
    <w:rsid w:val="00E5714A"/>
    <w:rsid w:val="00EF5705"/>
    <w:rsid w:val="00F01DD4"/>
    <w:rsid w:val="00F21F69"/>
    <w:rsid w:val="00F76423"/>
    <w:rsid w:val="01441479"/>
    <w:rsid w:val="03146B1B"/>
    <w:rsid w:val="0C87711B"/>
    <w:rsid w:val="0E752108"/>
    <w:rsid w:val="1B49F845"/>
    <w:rsid w:val="1B9B4521"/>
    <w:rsid w:val="1DAE12B9"/>
    <w:rsid w:val="1E601964"/>
    <w:rsid w:val="23CAE634"/>
    <w:rsid w:val="25C6F8EF"/>
    <w:rsid w:val="2A3B6E66"/>
    <w:rsid w:val="2AD1E21B"/>
    <w:rsid w:val="2CF12C02"/>
    <w:rsid w:val="2DF4A9F2"/>
    <w:rsid w:val="332CE310"/>
    <w:rsid w:val="35793F01"/>
    <w:rsid w:val="3753A9AF"/>
    <w:rsid w:val="3A19BF28"/>
    <w:rsid w:val="3C2C42B7"/>
    <w:rsid w:val="3D9559CB"/>
    <w:rsid w:val="4382659A"/>
    <w:rsid w:val="499D1F2B"/>
    <w:rsid w:val="49E4F9CC"/>
    <w:rsid w:val="4BD6D461"/>
    <w:rsid w:val="5031B400"/>
    <w:rsid w:val="55FA7C45"/>
    <w:rsid w:val="5CDB645B"/>
    <w:rsid w:val="64017E2A"/>
    <w:rsid w:val="6793C8B1"/>
    <w:rsid w:val="680DC629"/>
    <w:rsid w:val="6CD30A13"/>
    <w:rsid w:val="6CFC9574"/>
    <w:rsid w:val="6E805815"/>
    <w:rsid w:val="6FA01C90"/>
    <w:rsid w:val="71F4E089"/>
    <w:rsid w:val="753AE234"/>
    <w:rsid w:val="75CAE3E1"/>
    <w:rsid w:val="7B9AA713"/>
    <w:rsid w:val="7BD9EAAF"/>
    <w:rsid w:val="7CBDBEF5"/>
    <w:rsid w:val="7D319464"/>
    <w:rsid w:val="7FB2C2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96F12E"/>
  <w15:chartTrackingRefBased/>
  <w15:docId w15:val="{25AA9EDF-8393-4824-9564-5995AE67C9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Calibri" w:cs="Times New Roman"/>
        <w:b/>
        <w:bCs/>
        <w:kern w:val="2"/>
        <w:sz w:val="24"/>
        <w:szCs w:val="28"/>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58D1"/>
  </w:style>
  <w:style w:type="paragraph" w:styleId="Heading1">
    <w:name w:val="heading 1"/>
    <w:basedOn w:val="Normal"/>
    <w:next w:val="Normal"/>
    <w:link w:val="Heading1Char"/>
    <w:uiPriority w:val="9"/>
    <w:qFormat/>
    <w:rsid w:val="0088444D"/>
    <w:pPr>
      <w:keepNext/>
      <w:keepLines/>
      <w:spacing w:before="360" w:after="80"/>
      <w:outlineLvl w:val="0"/>
    </w:pPr>
    <w:rPr>
      <w:rFonts w:eastAsiaTheme="majorEastAsia" w:cstheme="majorBidi"/>
      <w:szCs w:val="40"/>
    </w:rPr>
  </w:style>
  <w:style w:type="paragraph" w:styleId="Heading2">
    <w:name w:val="heading 2"/>
    <w:basedOn w:val="Normal"/>
    <w:next w:val="Normal"/>
    <w:link w:val="Heading2Char"/>
    <w:uiPriority w:val="9"/>
    <w:semiHidden/>
    <w:unhideWhenUsed/>
    <w:qFormat/>
    <w:rsid w:val="00B737F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737FD"/>
    <w:pPr>
      <w:keepNext/>
      <w:keepLines/>
      <w:spacing w:before="160" w:after="80"/>
      <w:outlineLvl w:val="2"/>
    </w:pPr>
    <w:rPr>
      <w:rFonts w:asciiTheme="minorHAnsi" w:eastAsiaTheme="majorEastAsia" w:hAnsiTheme="minorHAnsi" w:cstheme="majorBidi"/>
      <w:color w:val="0F4761" w:themeColor="accent1" w:themeShade="BF"/>
      <w:sz w:val="28"/>
    </w:rPr>
  </w:style>
  <w:style w:type="paragraph" w:styleId="Heading4">
    <w:name w:val="heading 4"/>
    <w:basedOn w:val="Normal"/>
    <w:next w:val="Normal"/>
    <w:link w:val="Heading4Char"/>
    <w:uiPriority w:val="9"/>
    <w:semiHidden/>
    <w:unhideWhenUsed/>
    <w:qFormat/>
    <w:rsid w:val="00B737FD"/>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B737FD"/>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B737FD"/>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B737FD"/>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B737FD"/>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B737FD"/>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444D"/>
    <w:rPr>
      <w:rFonts w:eastAsiaTheme="majorEastAsia" w:cstheme="majorBidi"/>
      <w:szCs w:val="40"/>
    </w:rPr>
  </w:style>
  <w:style w:type="character" w:customStyle="1" w:styleId="Heading2Char">
    <w:name w:val="Heading 2 Char"/>
    <w:basedOn w:val="DefaultParagraphFont"/>
    <w:link w:val="Heading2"/>
    <w:uiPriority w:val="9"/>
    <w:semiHidden/>
    <w:rsid w:val="00B737F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737FD"/>
    <w:rPr>
      <w:rFonts w:asciiTheme="minorHAnsi" w:eastAsiaTheme="majorEastAsia" w:hAnsiTheme="minorHAnsi" w:cstheme="majorBidi"/>
      <w:color w:val="0F4761" w:themeColor="accent1" w:themeShade="BF"/>
      <w:sz w:val="28"/>
    </w:rPr>
  </w:style>
  <w:style w:type="character" w:customStyle="1" w:styleId="Heading4Char">
    <w:name w:val="Heading 4 Char"/>
    <w:basedOn w:val="DefaultParagraphFont"/>
    <w:link w:val="Heading4"/>
    <w:uiPriority w:val="9"/>
    <w:semiHidden/>
    <w:rsid w:val="00B737FD"/>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B737FD"/>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B737FD"/>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B737FD"/>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B737FD"/>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B737FD"/>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B737F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737F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737FD"/>
    <w:pPr>
      <w:numPr>
        <w:ilvl w:val="1"/>
      </w:numPr>
    </w:pPr>
    <w:rPr>
      <w:rFonts w:asciiTheme="minorHAnsi" w:eastAsiaTheme="majorEastAsia" w:hAnsiTheme="minorHAnsi" w:cstheme="majorBidi"/>
      <w:color w:val="595959" w:themeColor="text1" w:themeTint="A6"/>
      <w:spacing w:val="15"/>
      <w:sz w:val="28"/>
    </w:rPr>
  </w:style>
  <w:style w:type="character" w:customStyle="1" w:styleId="SubtitleChar">
    <w:name w:val="Subtitle Char"/>
    <w:basedOn w:val="DefaultParagraphFont"/>
    <w:link w:val="Subtitle"/>
    <w:uiPriority w:val="11"/>
    <w:rsid w:val="00B737FD"/>
    <w:rPr>
      <w:rFonts w:asciiTheme="minorHAnsi" w:eastAsiaTheme="majorEastAsia" w:hAnsiTheme="minorHAnsi" w:cstheme="majorBidi"/>
      <w:color w:val="595959" w:themeColor="text1" w:themeTint="A6"/>
      <w:spacing w:val="15"/>
      <w:sz w:val="28"/>
    </w:rPr>
  </w:style>
  <w:style w:type="paragraph" w:styleId="Quote">
    <w:name w:val="Quote"/>
    <w:basedOn w:val="Normal"/>
    <w:next w:val="Normal"/>
    <w:link w:val="QuoteChar"/>
    <w:uiPriority w:val="29"/>
    <w:qFormat/>
    <w:rsid w:val="00B737FD"/>
    <w:pPr>
      <w:spacing w:before="160"/>
      <w:jc w:val="center"/>
    </w:pPr>
    <w:rPr>
      <w:i/>
      <w:iCs/>
      <w:color w:val="404040" w:themeColor="text1" w:themeTint="BF"/>
    </w:rPr>
  </w:style>
  <w:style w:type="character" w:customStyle="1" w:styleId="QuoteChar">
    <w:name w:val="Quote Char"/>
    <w:basedOn w:val="DefaultParagraphFont"/>
    <w:link w:val="Quote"/>
    <w:uiPriority w:val="29"/>
    <w:rsid w:val="00B737FD"/>
    <w:rPr>
      <w:i/>
      <w:iCs/>
      <w:color w:val="404040" w:themeColor="text1" w:themeTint="BF"/>
    </w:rPr>
  </w:style>
  <w:style w:type="paragraph" w:styleId="ListParagraph">
    <w:name w:val="List Paragraph"/>
    <w:basedOn w:val="Normal"/>
    <w:uiPriority w:val="34"/>
    <w:qFormat/>
    <w:rsid w:val="00B737FD"/>
    <w:pPr>
      <w:ind w:left="720"/>
      <w:contextualSpacing/>
    </w:pPr>
  </w:style>
  <w:style w:type="character" w:styleId="IntenseEmphasis">
    <w:name w:val="Intense Emphasis"/>
    <w:basedOn w:val="DefaultParagraphFont"/>
    <w:uiPriority w:val="21"/>
    <w:qFormat/>
    <w:rsid w:val="00B737FD"/>
    <w:rPr>
      <w:i/>
      <w:iCs/>
      <w:color w:val="0F4761" w:themeColor="accent1" w:themeShade="BF"/>
    </w:rPr>
  </w:style>
  <w:style w:type="paragraph" w:styleId="IntenseQuote">
    <w:name w:val="Intense Quote"/>
    <w:basedOn w:val="Normal"/>
    <w:next w:val="Normal"/>
    <w:link w:val="IntenseQuoteChar"/>
    <w:uiPriority w:val="30"/>
    <w:qFormat/>
    <w:rsid w:val="00B737F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737FD"/>
    <w:rPr>
      <w:i/>
      <w:iCs/>
      <w:color w:val="0F4761" w:themeColor="accent1" w:themeShade="BF"/>
    </w:rPr>
  </w:style>
  <w:style w:type="character" w:styleId="IntenseReference">
    <w:name w:val="Intense Reference"/>
    <w:basedOn w:val="DefaultParagraphFont"/>
    <w:uiPriority w:val="32"/>
    <w:qFormat/>
    <w:rsid w:val="00B737FD"/>
    <w:rPr>
      <w:b w:val="0"/>
      <w:bCs w:val="0"/>
      <w:smallCaps/>
      <w:color w:val="0F4761" w:themeColor="accent1" w:themeShade="BF"/>
      <w:spacing w:val="5"/>
    </w:rPr>
  </w:style>
  <w:style w:type="paragraph" w:styleId="TOCHeading">
    <w:name w:val="TOC Heading"/>
    <w:basedOn w:val="Heading1"/>
    <w:next w:val="Normal"/>
    <w:uiPriority w:val="39"/>
    <w:unhideWhenUsed/>
    <w:qFormat/>
    <w:rsid w:val="00944CC3"/>
    <w:pPr>
      <w:spacing w:before="240" w:after="0" w:line="259" w:lineRule="auto"/>
      <w:outlineLvl w:val="9"/>
    </w:pPr>
    <w:rPr>
      <w:b w:val="0"/>
      <w:bCs w:val="0"/>
      <w:kern w:val="0"/>
      <w:sz w:val="32"/>
      <w:szCs w:val="32"/>
      <w:lang w:val="en-US"/>
      <w14:ligatures w14:val="none"/>
    </w:rPr>
  </w:style>
  <w:style w:type="paragraph" w:styleId="Header">
    <w:name w:val="header"/>
    <w:basedOn w:val="Normal"/>
    <w:link w:val="HeaderChar"/>
    <w:uiPriority w:val="99"/>
    <w:unhideWhenUsed/>
    <w:rsid w:val="00944C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944CC3"/>
  </w:style>
  <w:style w:type="paragraph" w:styleId="Footer">
    <w:name w:val="footer"/>
    <w:basedOn w:val="Normal"/>
    <w:link w:val="FooterChar"/>
    <w:uiPriority w:val="99"/>
    <w:unhideWhenUsed/>
    <w:rsid w:val="00944C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944CC3"/>
  </w:style>
  <w:style w:type="paragraph" w:styleId="NoSpacing">
    <w:name w:val="No Spacing"/>
    <w:uiPriority w:val="1"/>
    <w:qFormat/>
    <w:rsid w:val="0088444D"/>
    <w:pPr>
      <w:spacing w:after="0" w:line="240" w:lineRule="auto"/>
    </w:pPr>
  </w:style>
  <w:style w:type="paragraph" w:styleId="TOC1">
    <w:name w:val="toc 1"/>
    <w:basedOn w:val="Normal"/>
    <w:next w:val="Normal"/>
    <w:autoRedefine/>
    <w:uiPriority w:val="39"/>
    <w:unhideWhenUsed/>
    <w:rsid w:val="0088444D"/>
    <w:pPr>
      <w:spacing w:after="100"/>
    </w:pPr>
  </w:style>
  <w:style w:type="character" w:styleId="Hyperlink">
    <w:name w:val="Hyperlink"/>
    <w:basedOn w:val="DefaultParagraphFont"/>
    <w:uiPriority w:val="99"/>
    <w:unhideWhenUsed/>
    <w:rsid w:val="0088444D"/>
    <w:rPr>
      <w:color w:val="467886" w:themeColor="hyperlink"/>
      <w:u w:val="single"/>
    </w:rPr>
  </w:style>
  <w:style w:type="character" w:styleId="UnresolvedMention">
    <w:name w:val="Unresolved Mention"/>
    <w:basedOn w:val="DefaultParagraphFont"/>
    <w:uiPriority w:val="99"/>
    <w:semiHidden/>
    <w:unhideWhenUsed/>
    <w:rsid w:val="00AD661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se.gov.uk/simple-health-safety/risk/" TargetMode="External"/><Relationship Id="rId13"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s://www.gov.uk/guidance/building-control-approval-for-higher-risk-buildings" TargetMode="External"/><Relationship Id="rId12" Type="http://schemas.openxmlformats.org/officeDocument/2006/relationships/hyperlink" Target="https://www.legislation.gov.uk/ukpga/2022/30/content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assets.publishing.service.gov.uk/government/uploads/system/uploads/attachment_data/file/707785/Building_a_Safer_Future_-_web.pdf" TargetMode="External"/><Relationship Id="rId11" Type="http://schemas.openxmlformats.org/officeDocument/2006/relationships/hyperlink" Target="https://www.legislation.gov.uk/uksi/2005/735/contents"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https://www.legislation.gov.uk/uksi/2002/2677/contents" TargetMode="External"/><Relationship Id="rId4" Type="http://schemas.openxmlformats.org/officeDocument/2006/relationships/footnotes" Target="footnotes.xml"/><Relationship Id="rId9" Type="http://schemas.openxmlformats.org/officeDocument/2006/relationships/hyperlink" Target="https://www.legislation.gov.uk/ukpga/1974/37"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32</TotalTime>
  <Pages>8</Pages>
  <Words>2619</Words>
  <Characters>14931</Characters>
  <Application>Microsoft Office Word</Application>
  <DocSecurity>0</DocSecurity>
  <Lines>124</Lines>
  <Paragraphs>35</Paragraphs>
  <ScaleCrop>false</ScaleCrop>
  <Company/>
  <LinksUpToDate>false</LinksUpToDate>
  <CharactersWithSpaces>17515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Rhys Burgess</dc:creator>
  <cp:keywords/>
  <dc:description/>
  <cp:lastModifiedBy>Rhys Burgess</cp:lastModifiedBy>
  <cp:revision>88</cp:revision>
  <dcterms:created xsi:type="dcterms:W3CDTF">2026-03-26T09:00:00Z</dcterms:created>
  <dcterms:modified xsi:type="dcterms:W3CDTF">2026-05-05T18:49:00Z</dcterms:modified>
</cp:coreProperties>
</file>