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038CAE" w14:textId="77777777" w:rsidR="0028204E" w:rsidRPr="00A406E5" w:rsidRDefault="0028204E" w:rsidP="00DB116D">
      <w:pPr>
        <w:rPr>
          <w:rFonts w:ascii="Arial" w:hAnsi="Arial" w:cs="Arial"/>
          <w:sz w:val="32"/>
        </w:rPr>
      </w:pPr>
    </w:p>
    <w:p w14:paraId="0FB7D511" w14:textId="77777777" w:rsidR="00E80819" w:rsidRDefault="00E80819" w:rsidP="464F7901">
      <w:pPr>
        <w:rPr>
          <w:rFonts w:ascii="Arial" w:hAnsi="Arial" w:cs="Arial"/>
          <w:b/>
          <w:bCs/>
        </w:rPr>
      </w:pPr>
    </w:p>
    <w:p w14:paraId="09EC96A5" w14:textId="77777777" w:rsidR="00566456" w:rsidRDefault="00167ABC" w:rsidP="005D6D15">
      <w:pPr>
        <w:ind w:left="567" w:right="531"/>
        <w:jc w:val="both"/>
        <w:rPr>
          <w:rFonts w:ascii="Arial" w:eastAsia="Calibri" w:hAnsi="Arial" w:cs="Arial"/>
          <w:b/>
          <w:bCs/>
          <w:sz w:val="32"/>
          <w:szCs w:val="32"/>
        </w:rPr>
      </w:pPr>
      <w:r w:rsidRPr="00566456">
        <w:rPr>
          <w:rFonts w:ascii="Arial" w:eastAsia="Calibri" w:hAnsi="Arial" w:cs="Arial"/>
          <w:b/>
          <w:bCs/>
          <w:sz w:val="32"/>
          <w:szCs w:val="32"/>
        </w:rPr>
        <w:t>KELLY SMITH</w:t>
      </w:r>
    </w:p>
    <w:p w14:paraId="7DD693AA" w14:textId="0282FCA5" w:rsidR="00167ABC" w:rsidRPr="00566456" w:rsidRDefault="00566456" w:rsidP="005D6D15">
      <w:pPr>
        <w:ind w:left="567" w:right="531"/>
        <w:jc w:val="both"/>
        <w:rPr>
          <w:rFonts w:ascii="Arial" w:eastAsia="Calibri" w:hAnsi="Arial" w:cs="Arial"/>
          <w:b/>
          <w:bCs/>
          <w:sz w:val="32"/>
          <w:szCs w:val="32"/>
        </w:rPr>
      </w:pPr>
      <w:r>
        <w:rPr>
          <w:rFonts w:ascii="Arial" w:eastAsia="Calibri" w:hAnsi="Arial" w:cs="Arial"/>
          <w:b/>
          <w:bCs/>
          <w:sz w:val="32"/>
          <w:szCs w:val="32"/>
        </w:rPr>
        <w:t xml:space="preserve">Student number: </w:t>
      </w:r>
      <w:r w:rsidRPr="00566456">
        <w:rPr>
          <w:rFonts w:ascii="Arial" w:eastAsia="Calibri" w:hAnsi="Arial" w:cs="Arial"/>
          <w:b/>
          <w:bCs/>
          <w:sz w:val="32"/>
          <w:szCs w:val="32"/>
        </w:rPr>
        <w:t>2245866</w:t>
      </w:r>
    </w:p>
    <w:p w14:paraId="0DF7A3B4" w14:textId="77777777" w:rsidR="00167ABC" w:rsidRDefault="00167ABC" w:rsidP="005D6D15">
      <w:pPr>
        <w:ind w:left="567" w:right="531"/>
        <w:jc w:val="both"/>
        <w:rPr>
          <w:rFonts w:ascii="Arial" w:eastAsia="Calibri" w:hAnsi="Arial" w:cs="Arial"/>
          <w:sz w:val="22"/>
          <w:szCs w:val="22"/>
        </w:rPr>
      </w:pPr>
    </w:p>
    <w:p w14:paraId="2643D5B9" w14:textId="2A6E8660" w:rsidR="00080E5A" w:rsidRDefault="00080E5A" w:rsidP="005D6D15">
      <w:pPr>
        <w:ind w:left="567" w:right="531"/>
        <w:jc w:val="both"/>
        <w:rPr>
          <w:rFonts w:ascii="Arial" w:eastAsia="Calibri" w:hAnsi="Arial" w:cs="Arial"/>
          <w:sz w:val="22"/>
          <w:szCs w:val="22"/>
        </w:rPr>
      </w:pPr>
    </w:p>
    <w:p w14:paraId="6D25CC4A" w14:textId="77777777" w:rsidR="002C4E2C" w:rsidRPr="00693B87" w:rsidRDefault="002C4E2C" w:rsidP="005D6D15">
      <w:pPr>
        <w:ind w:left="567" w:right="531"/>
        <w:jc w:val="both"/>
        <w:rPr>
          <w:rFonts w:ascii="Arial" w:eastAsia="Calibri" w:hAnsi="Arial" w:cs="Arial"/>
          <w:sz w:val="22"/>
          <w:szCs w:val="22"/>
        </w:rPr>
      </w:pPr>
    </w:p>
    <w:p w14:paraId="74A332B2" w14:textId="715FD150" w:rsidR="00312C05" w:rsidRPr="00693B87" w:rsidRDefault="00312C05" w:rsidP="005D6D1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4B04D56" w14:textId="77777777" w:rsidR="00277185" w:rsidRPr="00277185" w:rsidRDefault="00BD30F1" w:rsidP="00277185">
      <w:pPr>
        <w:spacing w:line="257" w:lineRule="auto"/>
        <w:ind w:left="567" w:right="531"/>
        <w:rPr>
          <w:rFonts w:ascii="Arial" w:eastAsia="Calibri" w:hAnsi="Arial" w:cs="Arial"/>
          <w:sz w:val="22"/>
          <w:szCs w:val="22"/>
        </w:rPr>
      </w:pPr>
      <w:r>
        <w:rPr>
          <w:rFonts w:ascii="Arial" w:eastAsia="Calibri" w:hAnsi="Arial" w:cs="Arial"/>
          <w:sz w:val="22"/>
          <w:szCs w:val="22"/>
        </w:rPr>
        <w:t>How effectively has the police service adapted to accommodate diversity within the UK?</w:t>
      </w:r>
      <w:r w:rsidR="00277185">
        <w:rPr>
          <w:rFonts w:ascii="Arial" w:eastAsia="Calibri" w:hAnsi="Arial" w:cs="Arial"/>
          <w:sz w:val="22"/>
          <w:szCs w:val="22"/>
        </w:rPr>
        <w:t xml:space="preserve"> </w:t>
      </w:r>
      <w:r w:rsidR="00277185" w:rsidRPr="00277185">
        <w:rPr>
          <w:rFonts w:ascii="Arial" w:eastAsia="Calibri" w:hAnsi="Arial" w:cs="Arial"/>
          <w:sz w:val="22"/>
          <w:szCs w:val="22"/>
        </w:rPr>
        <w:t>Consider the police force itself and/or the way police engage with diverse communities.</w:t>
      </w:r>
    </w:p>
    <w:p w14:paraId="09D574FB" w14:textId="77777777" w:rsidR="000202B6" w:rsidRDefault="000202B6" w:rsidP="00666727">
      <w:pPr>
        <w:spacing w:line="257" w:lineRule="auto"/>
        <w:ind w:right="531"/>
        <w:rPr>
          <w:rFonts w:ascii="Arial" w:hAnsi="Arial" w:cs="Arial"/>
          <w:sz w:val="22"/>
          <w:szCs w:val="22"/>
        </w:rPr>
      </w:pPr>
    </w:p>
    <w:p w14:paraId="51BCAFB8" w14:textId="77777777" w:rsidR="000202B6" w:rsidRPr="005D4A9E" w:rsidRDefault="000202B6" w:rsidP="00666727">
      <w:pPr>
        <w:spacing w:line="257" w:lineRule="auto"/>
        <w:ind w:right="531"/>
        <w:rPr>
          <w:rFonts w:ascii="Arial" w:hAnsi="Arial" w:cs="Arial"/>
          <w:color w:val="FF0000"/>
          <w:sz w:val="22"/>
          <w:szCs w:val="22"/>
        </w:rPr>
      </w:pPr>
    </w:p>
    <w:p w14:paraId="03D4F2A6" w14:textId="4A200D31" w:rsidR="000202B6"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The number of individuals from ethnic minority groups is reported to have risen significantly since the Second World War, forming just 5% of the population by 1989-91, as reported in a Labour Force Survey at the time (Owen, 1995). According to the Office for National Statistics, in the Census of 2021, 81% of usual residents in England and Wales identified their ethnic group as “white”. This was a decrease from 86%, as reported in the Census of 2011. This clearly demonstrates an increase of ethnic diversity within the UK. The largest increases were in the number of individuals who identified as “ Asian”, “Asian British” or “Asian Welsh”. The reason for these changes are likely to be attributed to changing patterns of migration, ageing, fertility and migration, as well as accounting for changes in the way in which individuals choose to self-identify (Office for National Statistics, 2021).</w:t>
      </w:r>
    </w:p>
    <w:p w14:paraId="2F31E382" w14:textId="77777777" w:rsidR="000202B6" w:rsidRPr="00E13A5B" w:rsidRDefault="000202B6" w:rsidP="00666727">
      <w:pPr>
        <w:spacing w:line="257" w:lineRule="auto"/>
        <w:ind w:right="531"/>
        <w:rPr>
          <w:rFonts w:ascii="Arial" w:hAnsi="Arial" w:cs="Arial"/>
          <w:color w:val="000000" w:themeColor="text1"/>
          <w:sz w:val="22"/>
          <w:szCs w:val="22"/>
        </w:rPr>
      </w:pPr>
    </w:p>
    <w:p w14:paraId="0057D939" w14:textId="13FDBD6D" w:rsidR="000202B6"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According to Flavin (2018), employing a diverse workforce is beneficial, as it allows for the employment of individuals who think differently, bringing a range of different skills, perspectives and experiences to the role. It also allows for people from different cultural backgrounds to be employed, who have a better understanding of diverse cultures and are better able to communicate with people from a range of backgrounds, and thus building positive, trusting relationships with the public (Flavin, 2018).</w:t>
      </w:r>
    </w:p>
    <w:p w14:paraId="23FEAF28" w14:textId="77777777" w:rsidR="000202B6" w:rsidRPr="00E13A5B" w:rsidRDefault="000202B6" w:rsidP="00666727">
      <w:pPr>
        <w:spacing w:line="257" w:lineRule="auto"/>
        <w:ind w:right="531"/>
        <w:rPr>
          <w:rFonts w:ascii="Arial" w:hAnsi="Arial" w:cs="Arial"/>
          <w:color w:val="000000" w:themeColor="text1"/>
          <w:sz w:val="22"/>
          <w:szCs w:val="22"/>
        </w:rPr>
      </w:pPr>
    </w:p>
    <w:p w14:paraId="00628E8B" w14:textId="77777777" w:rsidR="000202B6" w:rsidRPr="00E13A5B" w:rsidRDefault="000202B6" w:rsidP="00666727">
      <w:pPr>
        <w:spacing w:line="257" w:lineRule="auto"/>
        <w:ind w:right="531"/>
        <w:rPr>
          <w:rFonts w:ascii="Arial" w:hAnsi="Arial" w:cs="Arial"/>
          <w:color w:val="000000" w:themeColor="text1"/>
          <w:sz w:val="22"/>
          <w:szCs w:val="22"/>
        </w:rPr>
      </w:pPr>
    </w:p>
    <w:p w14:paraId="79211C09" w14:textId="0A260C60" w:rsidR="000202B6"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The police service has, in the past, comprised predominantly of white, male officers. This has led to criticism over sexism and racism, stemming from a lack of female officers and officers from ethnic communities. The Macpherson Report was published in 1999, inquiring into the murder of Stephen Lawrence, and raised concerns over the low numbers of officers and other police employees from ethnic backgrounds. The Stephen Lawrence Inquiry Report of 1999 highlighted the failings of the police during the investigation into the death of Stephen Lawrence, determining that police services were designed for a white population, but that they were not effective and needed to be adapted for a diverse public (Bhugowandeen, 2013).</w:t>
      </w:r>
    </w:p>
    <w:p w14:paraId="7DD68282" w14:textId="3A1F03CD" w:rsidR="000202B6"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 xml:space="preserve">Following these reports, a number of measures were introduced to improve the police service in response. </w:t>
      </w:r>
    </w:p>
    <w:p w14:paraId="32963667" w14:textId="739A14E9" w:rsidR="00666727"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The Race Relations Act of 2000 highlighted the responsibility of the authorities for preventing racial discrimination and promoting equality, stating that the UK police services had a duty to increase the numbers of officers from ethnic backgrounds, thus increasing their representation within the police service, to improve relations between the service and all races.</w:t>
      </w:r>
    </w:p>
    <w:p w14:paraId="59962C97" w14:textId="46D9B01D" w:rsidR="000202B6"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 xml:space="preserve">Different targets were set for numbers of officers to be employed from ethnic backgrounds within the UK, varying from area to area. The Racial Equality Scheme was introduced, which required police services to produce and publish information on racial equality within the police (Bowling and Philips, 2003).  Ethnic monitoring was introduced to ensure that policies are being met, with the Commission for Equality and Human Rights being given the power to take action over non-compliance. </w:t>
      </w:r>
    </w:p>
    <w:p w14:paraId="3645F271" w14:textId="77777777" w:rsidR="000202B6" w:rsidRPr="00E13A5B" w:rsidRDefault="000202B6" w:rsidP="00666727">
      <w:pPr>
        <w:spacing w:line="257" w:lineRule="auto"/>
        <w:ind w:right="531"/>
        <w:rPr>
          <w:rFonts w:ascii="Arial" w:hAnsi="Arial" w:cs="Arial"/>
          <w:color w:val="000000" w:themeColor="text1"/>
          <w:sz w:val="22"/>
          <w:szCs w:val="22"/>
        </w:rPr>
      </w:pPr>
    </w:p>
    <w:p w14:paraId="4E0A90B2" w14:textId="0577B1C4" w:rsidR="000202B6"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 xml:space="preserve">The National Police Chiefs’ Council (NPCC) has developed and published the Police Race Action Plan to improve policing for black people, after acknowledging that the service they provide to black people needs to be improved. The plan aims to improve trust and confidence in policing in black communities, and has been signed by every Chief Constable in the UK, demonstrating that it is a nation-wide commitment to stamp out racism within the police. The actions taken so far include </w:t>
      </w:r>
      <w:r w:rsidRPr="00E13A5B">
        <w:rPr>
          <w:rFonts w:ascii="Arial" w:hAnsi="Arial" w:cs="Arial"/>
          <w:color w:val="000000" w:themeColor="text1"/>
          <w:sz w:val="22"/>
          <w:szCs w:val="22"/>
        </w:rPr>
        <w:lastRenderedPageBreak/>
        <w:t>introducing higher vetting standards for officers, and to recognise discriminatory behaviour within the service, and take action against officers responsible for such behaviour. The NPCC also reported in July 2024 that the number of officers identifying as “Black” or “Black British” has increased from 1226 in 2010 to 1884 in March 2023 (NPCC, 2024).</w:t>
      </w:r>
    </w:p>
    <w:p w14:paraId="10DC2D30" w14:textId="39D22C0B" w:rsidR="000202B6" w:rsidRPr="00E13A5B"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 xml:space="preserve">Training is also given to new officers to help them better serve and engage with communities consisting of ethnic diversity, as well as cultural diversity, training on sexism and other protected characteristics. They are also provided with training on disabilities, with a focus on equality, as well as equity. The College of Policing offers guidance on how to support underrepresented groups within the community, through tackling issues such as unconscious bias (College of policing, 2020).The Equality Act 2010 also states that workforces must make necessary adjustments for employees with disabilities (Equality Act 2010), which means that there is a greater representation of minority groups including disabled people within the police. </w:t>
      </w:r>
    </w:p>
    <w:p w14:paraId="29631A89" w14:textId="492C0E9E" w:rsidR="000202B6" w:rsidRDefault="000202B6" w:rsidP="00666727">
      <w:pPr>
        <w:spacing w:line="257" w:lineRule="auto"/>
        <w:ind w:right="531"/>
        <w:rPr>
          <w:rFonts w:ascii="Arial" w:hAnsi="Arial" w:cs="Arial"/>
          <w:color w:val="000000" w:themeColor="text1"/>
          <w:sz w:val="22"/>
          <w:szCs w:val="22"/>
        </w:rPr>
      </w:pPr>
      <w:r w:rsidRPr="00E13A5B">
        <w:rPr>
          <w:rFonts w:ascii="Arial" w:hAnsi="Arial" w:cs="Arial"/>
          <w:color w:val="000000" w:themeColor="text1"/>
          <w:sz w:val="22"/>
          <w:szCs w:val="22"/>
        </w:rPr>
        <w:t xml:space="preserve">However, despite the claims that efforts are being made to employ more people from ethnic backrounds to work within the police service, some academics are suggesting that there is still a sense of satisfaction among ethnic minority groups, who feel that they are still underrepresented within the police. There is also a feeling that less people from ethnic minority groups are being promoted within the police service; Carruthers reported as recently as 2023 that only around 65% of people nationwide feel seen and represented by their local police service, suggesting that there is still work to be done at a local level, to identify local issues and to tackle local </w:t>
      </w:r>
      <w:r w:rsidR="00566456" w:rsidRPr="00E13A5B">
        <w:rPr>
          <w:rFonts w:ascii="Arial" w:hAnsi="Arial" w:cs="Arial"/>
          <w:color w:val="000000" w:themeColor="text1"/>
          <w:sz w:val="22"/>
          <w:szCs w:val="22"/>
        </w:rPr>
        <w:t>underrepresentation</w:t>
      </w:r>
      <w:r w:rsidRPr="00E13A5B">
        <w:rPr>
          <w:rFonts w:ascii="Arial" w:hAnsi="Arial" w:cs="Arial"/>
          <w:color w:val="000000" w:themeColor="text1"/>
          <w:sz w:val="22"/>
          <w:szCs w:val="22"/>
        </w:rPr>
        <w:t xml:space="preserve"> (Carruthers, 2023). This raises concerns over how many people feel that they are able to connect with police to report crimes and be fully understood, in their local area. While larger policing areas such as London are likely to employ a greater number of officers from ethnic minorities, in line with local targets, individuals from other areas with less people from ethnic minority backgrounds may not be able to access the same level of service in their area. Promotion of individuals from diverse backgrounds in the police seems to be a topic which is not widely discussed, among academics; this seems to be a</w:t>
      </w:r>
      <w:r w:rsidR="00566456">
        <w:rPr>
          <w:rFonts w:ascii="Arial" w:hAnsi="Arial" w:cs="Arial"/>
          <w:color w:val="000000" w:themeColor="text1"/>
          <w:sz w:val="22"/>
          <w:szCs w:val="22"/>
        </w:rPr>
        <w:t xml:space="preserve"> </w:t>
      </w:r>
      <w:r w:rsidRPr="00E13A5B">
        <w:rPr>
          <w:rFonts w:ascii="Arial" w:hAnsi="Arial" w:cs="Arial"/>
          <w:color w:val="000000" w:themeColor="text1"/>
          <w:sz w:val="22"/>
          <w:szCs w:val="22"/>
        </w:rPr>
        <w:t>topic which could be addressed further, although this is an area which is still under focus from the NPCC.</w:t>
      </w:r>
      <w:r w:rsidR="005D4A9E" w:rsidRPr="00E13A5B">
        <w:rPr>
          <w:rFonts w:ascii="Arial" w:hAnsi="Arial" w:cs="Arial"/>
          <w:color w:val="000000" w:themeColor="text1"/>
          <w:sz w:val="22"/>
          <w:szCs w:val="22"/>
        </w:rPr>
        <w:t xml:space="preserve"> One criticism of the NPCC report could be that there is a need to focus on individual areas, rather than just on the police as a whole.</w:t>
      </w:r>
    </w:p>
    <w:p w14:paraId="06B46F83" w14:textId="77777777" w:rsidR="00E13A5B" w:rsidRDefault="00E13A5B" w:rsidP="00666727">
      <w:pPr>
        <w:spacing w:line="257" w:lineRule="auto"/>
        <w:ind w:right="531"/>
        <w:rPr>
          <w:rFonts w:ascii="Arial" w:hAnsi="Arial" w:cs="Arial"/>
          <w:color w:val="000000" w:themeColor="text1"/>
          <w:sz w:val="22"/>
          <w:szCs w:val="22"/>
        </w:rPr>
      </w:pPr>
    </w:p>
    <w:p w14:paraId="0BD9B38F" w14:textId="5FFF9760" w:rsidR="00E13A5B" w:rsidRPr="00E13A5B" w:rsidRDefault="00E13A5B" w:rsidP="00666727">
      <w:pPr>
        <w:spacing w:line="257" w:lineRule="auto"/>
        <w:ind w:right="531"/>
        <w:rPr>
          <w:rFonts w:ascii="Arial" w:hAnsi="Arial" w:cs="Arial"/>
          <w:b/>
          <w:bCs/>
          <w:color w:val="000000" w:themeColor="text1"/>
          <w:sz w:val="22"/>
          <w:szCs w:val="22"/>
        </w:rPr>
      </w:pPr>
      <w:r w:rsidRPr="00E13A5B">
        <w:rPr>
          <w:rFonts w:ascii="Arial" w:hAnsi="Arial" w:cs="Arial"/>
          <w:b/>
          <w:bCs/>
          <w:color w:val="000000" w:themeColor="text1"/>
          <w:sz w:val="22"/>
          <w:szCs w:val="22"/>
        </w:rPr>
        <w:t>Word count: 985</w:t>
      </w:r>
    </w:p>
    <w:p w14:paraId="522AFACF" w14:textId="77777777" w:rsidR="000202B6" w:rsidRDefault="000202B6" w:rsidP="00666727">
      <w:pPr>
        <w:spacing w:line="257" w:lineRule="auto"/>
        <w:ind w:right="531"/>
        <w:rPr>
          <w:rFonts w:ascii="Arial" w:hAnsi="Arial" w:cs="Arial"/>
          <w:sz w:val="22"/>
          <w:szCs w:val="22"/>
        </w:rPr>
      </w:pPr>
    </w:p>
    <w:p w14:paraId="43D5825F" w14:textId="77777777" w:rsidR="000202B6" w:rsidRPr="00693B87" w:rsidRDefault="000202B6" w:rsidP="00666727">
      <w:pPr>
        <w:spacing w:line="257" w:lineRule="auto"/>
        <w:ind w:right="531"/>
        <w:rPr>
          <w:rFonts w:ascii="Arial" w:hAnsi="Arial" w:cs="Arial"/>
          <w:sz w:val="22"/>
          <w:szCs w:val="22"/>
        </w:rPr>
      </w:pPr>
    </w:p>
    <w:p w14:paraId="3ABD73C2" w14:textId="3F246B85" w:rsidR="00904599" w:rsidRPr="00693B87" w:rsidRDefault="00904599" w:rsidP="005D6D15">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105139A3" w14:textId="4D55117C" w:rsidR="00F9016B" w:rsidRPr="00AF22A7" w:rsidRDefault="00F9016B" w:rsidP="009D439B">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 xml:space="preserve">Response policing </w:t>
      </w:r>
      <w:r w:rsidRPr="00AF22A7">
        <w:rPr>
          <w:rFonts w:ascii="Arial" w:eastAsia="Calibri" w:hAnsi="Arial" w:cs="Arial"/>
          <w:sz w:val="22"/>
          <w:szCs w:val="22"/>
        </w:rPr>
        <w:t xml:space="preserve">– </w:t>
      </w:r>
      <w:r w:rsidR="004548E5">
        <w:rPr>
          <w:rFonts w:ascii="Arial" w:eastAsia="Calibri" w:hAnsi="Arial" w:cs="Arial"/>
          <w:sz w:val="22"/>
          <w:szCs w:val="22"/>
        </w:rPr>
        <w:t>W</w:t>
      </w:r>
      <w:r w:rsidRPr="00AF22A7">
        <w:rPr>
          <w:rFonts w:ascii="Arial" w:eastAsia="Calibri" w:hAnsi="Arial" w:cs="Arial"/>
          <w:sz w:val="22"/>
          <w:szCs w:val="22"/>
        </w:rPr>
        <w:t>hy is it important to manage mental wellbeing in policing?</w:t>
      </w:r>
      <w:r w:rsidR="005A3BF7">
        <w:rPr>
          <w:rFonts w:ascii="Arial" w:eastAsia="Calibri" w:hAnsi="Arial" w:cs="Arial"/>
          <w:sz w:val="22"/>
          <w:szCs w:val="22"/>
        </w:rPr>
        <w:t xml:space="preserve"> What can be the consequences if mental wellbeing is not managed</w:t>
      </w:r>
      <w:r w:rsidR="00F003D9">
        <w:rPr>
          <w:rFonts w:ascii="Arial" w:eastAsia="Calibri" w:hAnsi="Arial" w:cs="Arial"/>
          <w:sz w:val="22"/>
          <w:szCs w:val="22"/>
        </w:rPr>
        <w:t xml:space="preserve"> appropriately</w:t>
      </w:r>
      <w:r w:rsidR="005A3BF7">
        <w:rPr>
          <w:rFonts w:ascii="Arial" w:eastAsia="Calibri" w:hAnsi="Arial" w:cs="Arial"/>
          <w:sz w:val="22"/>
          <w:szCs w:val="22"/>
        </w:rPr>
        <w:t>?</w:t>
      </w:r>
    </w:p>
    <w:p w14:paraId="7F9B3EE1" w14:textId="2BD19A6E" w:rsidR="00454735" w:rsidRDefault="00454735" w:rsidP="005D6D15">
      <w:pPr>
        <w:ind w:left="567" w:right="531"/>
        <w:jc w:val="both"/>
        <w:rPr>
          <w:rFonts w:ascii="Arial" w:hAnsi="Arial" w:cs="Arial"/>
          <w:sz w:val="22"/>
          <w:szCs w:val="22"/>
        </w:rPr>
      </w:pPr>
    </w:p>
    <w:p w14:paraId="5335562B" w14:textId="77777777" w:rsidR="000202B6" w:rsidRDefault="000202B6" w:rsidP="005D6D15">
      <w:pPr>
        <w:ind w:left="567" w:right="531"/>
        <w:jc w:val="both"/>
        <w:rPr>
          <w:rFonts w:ascii="Arial" w:hAnsi="Arial" w:cs="Arial"/>
          <w:sz w:val="22"/>
          <w:szCs w:val="22"/>
        </w:rPr>
      </w:pPr>
    </w:p>
    <w:p w14:paraId="2EAF7962" w14:textId="2F987295" w:rsidR="000202B6" w:rsidRPr="00566456" w:rsidRDefault="000202B6" w:rsidP="005D6D15">
      <w:pPr>
        <w:ind w:left="567" w:right="531"/>
        <w:jc w:val="both"/>
        <w:rPr>
          <w:rFonts w:ascii="Arial" w:hAnsi="Arial" w:cs="Arial"/>
          <w:color w:val="000000" w:themeColor="text1"/>
          <w:sz w:val="22"/>
          <w:szCs w:val="22"/>
        </w:rPr>
      </w:pPr>
      <w:r w:rsidRPr="00566456">
        <w:rPr>
          <w:rFonts w:ascii="Arial" w:hAnsi="Arial" w:cs="Arial"/>
          <w:color w:val="000000" w:themeColor="text1"/>
          <w:sz w:val="22"/>
          <w:szCs w:val="22"/>
        </w:rPr>
        <w:t>The World Health Organisation (2004) defines mental health as a state of “mental well-being that enables people to cope with the stresses of life, realise their abilities, learn well and work well, and contribute to their community”. Positive mental health is often used in literature interchangeably with the term “mental wellbeing”, with two perspectives: happiness and life satisfaction, and psychological functioning and self-realisation (Ryan, 2001).</w:t>
      </w:r>
    </w:p>
    <w:p w14:paraId="19D45ADA" w14:textId="77777777" w:rsidR="000202B6" w:rsidRPr="00566456" w:rsidRDefault="000202B6" w:rsidP="005D6D15">
      <w:pPr>
        <w:ind w:left="567" w:right="531"/>
        <w:jc w:val="both"/>
        <w:rPr>
          <w:rFonts w:ascii="Arial" w:hAnsi="Arial" w:cs="Arial"/>
          <w:color w:val="000000" w:themeColor="text1"/>
          <w:sz w:val="22"/>
          <w:szCs w:val="22"/>
        </w:rPr>
      </w:pPr>
    </w:p>
    <w:p w14:paraId="52E74D64" w14:textId="3D880E4C" w:rsidR="000202B6" w:rsidRPr="00566456" w:rsidRDefault="000202B6" w:rsidP="000202B6">
      <w:pPr>
        <w:rPr>
          <w:rFonts w:ascii="Arial" w:hAnsi="Arial" w:cs="Arial"/>
          <w:color w:val="000000" w:themeColor="text1"/>
          <w:sz w:val="22"/>
          <w:szCs w:val="22"/>
        </w:rPr>
      </w:pPr>
      <w:r w:rsidRPr="00566456">
        <w:rPr>
          <w:rFonts w:ascii="Arial" w:hAnsi="Arial" w:cs="Arial"/>
          <w:color w:val="000000" w:themeColor="text1"/>
          <w:sz w:val="22"/>
          <w:szCs w:val="22"/>
        </w:rPr>
        <w:t xml:space="preserve">Galanis et al. (2021) </w:t>
      </w:r>
      <w:r w:rsidR="007E2089">
        <w:rPr>
          <w:rFonts w:ascii="Arial" w:hAnsi="Arial" w:cs="Arial"/>
          <w:color w:val="000000" w:themeColor="text1"/>
          <w:sz w:val="22"/>
          <w:szCs w:val="22"/>
        </w:rPr>
        <w:t>identify that policing is an occupation in which the individual is exposed to a greater number of stressors than many other roles, due to the incidents officers experience, which can include violence, injuries and the threat f harm to themselves and others, the demands of the role, lack of support and recognition, lack of job satisfaction, long hours and high workloads, and fatigue. These stressors put officers at a higher risk</w:t>
      </w:r>
      <w:r w:rsidRPr="00566456">
        <w:rPr>
          <w:rFonts w:ascii="Arial" w:hAnsi="Arial" w:cs="Arial"/>
          <w:color w:val="000000" w:themeColor="text1"/>
          <w:sz w:val="22"/>
          <w:szCs w:val="22"/>
        </w:rPr>
        <w:t xml:space="preserve"> of developing mental health problems such as post-traumatic stress disorder, depression, and anxiety disorders</w:t>
      </w:r>
      <w:r w:rsidR="007E2089">
        <w:rPr>
          <w:rFonts w:ascii="Arial" w:hAnsi="Arial" w:cs="Arial"/>
          <w:color w:val="000000" w:themeColor="text1"/>
          <w:sz w:val="22"/>
          <w:szCs w:val="22"/>
        </w:rPr>
        <w:t xml:space="preserve"> than many individuals in other roles</w:t>
      </w:r>
      <w:r w:rsidRPr="00566456">
        <w:rPr>
          <w:rFonts w:ascii="Arial" w:hAnsi="Arial" w:cs="Arial"/>
          <w:color w:val="000000" w:themeColor="text1"/>
          <w:sz w:val="22"/>
          <w:szCs w:val="22"/>
        </w:rPr>
        <w:t>. Gershon et al. (2008) add that officers are more likely to experience mental health issues due to the types of incidents they attend and are exposed to, which are often of a critical nature and may be traumatic. Traumatic incidents can lead to an increased risk of developing Post Traumatic Stress Disorder (PTSD). While many adults are exposed to severe stressors sometime in their lives, police officers are far more likely to, as police officers experience events such as armed conflict, abusive violence, child abuse,  assisting victims of sometimes severe accidents, and handling dead bodies</w:t>
      </w:r>
      <w:r w:rsidR="00E13A5B" w:rsidRPr="00566456">
        <w:rPr>
          <w:rFonts w:ascii="Arial" w:hAnsi="Arial" w:cs="Arial"/>
          <w:color w:val="000000" w:themeColor="text1"/>
          <w:sz w:val="22"/>
          <w:szCs w:val="22"/>
        </w:rPr>
        <w:t>, often being exposed to multiple stressors such as these within short periods of time, which can increase the risk of PTSD</w:t>
      </w:r>
      <w:r w:rsidRPr="00566456">
        <w:rPr>
          <w:rFonts w:ascii="Arial" w:hAnsi="Arial" w:cs="Arial"/>
          <w:color w:val="000000" w:themeColor="text1"/>
          <w:sz w:val="22"/>
          <w:szCs w:val="22"/>
        </w:rPr>
        <w:t xml:space="preserve">  (Patterson, 2001). </w:t>
      </w:r>
    </w:p>
    <w:p w14:paraId="021C3627" w14:textId="1F1FFF5D" w:rsidR="000202B6" w:rsidRPr="00566456" w:rsidRDefault="000202B6" w:rsidP="000202B6">
      <w:pPr>
        <w:rPr>
          <w:rFonts w:ascii="Arial" w:hAnsi="Arial" w:cs="Arial"/>
          <w:color w:val="000000" w:themeColor="text1"/>
          <w:sz w:val="22"/>
          <w:szCs w:val="22"/>
        </w:rPr>
      </w:pPr>
      <w:r w:rsidRPr="00566456">
        <w:rPr>
          <w:rFonts w:ascii="Arial" w:hAnsi="Arial" w:cs="Arial"/>
          <w:color w:val="000000" w:themeColor="text1"/>
          <w:sz w:val="22"/>
          <w:szCs w:val="22"/>
        </w:rPr>
        <w:lastRenderedPageBreak/>
        <w:t>PTSD may negatively impact on an individual’s physical and psychological health. Sufferers typically experience an increased number of general health issues, with poorer physical quality of life, increased gastro-intest</w:t>
      </w:r>
      <w:r w:rsidR="00CA2D9C" w:rsidRPr="00566456">
        <w:rPr>
          <w:rFonts w:ascii="Arial" w:hAnsi="Arial" w:cs="Arial"/>
          <w:color w:val="000000" w:themeColor="text1"/>
          <w:sz w:val="22"/>
          <w:szCs w:val="22"/>
        </w:rPr>
        <w:t>i</w:t>
      </w:r>
      <w:r w:rsidRPr="00566456">
        <w:rPr>
          <w:rFonts w:ascii="Arial" w:hAnsi="Arial" w:cs="Arial"/>
          <w:color w:val="000000" w:themeColor="text1"/>
          <w:sz w:val="22"/>
          <w:szCs w:val="22"/>
        </w:rPr>
        <w:t>nal issues and higher levels of pain experienced (Pacella et al., 2012). Psychological impacts associated with PTSD are mental health conditions such as depression and anxiety, substance abuse and addiction ( Javidi and Yadollahie, 2012) and an increased risk of suicide ( Stuart, 2008).</w:t>
      </w:r>
    </w:p>
    <w:p w14:paraId="7AC2E621" w14:textId="77777777" w:rsidR="000202B6" w:rsidRPr="00566456" w:rsidRDefault="000202B6" w:rsidP="000202B6">
      <w:pPr>
        <w:rPr>
          <w:rFonts w:ascii="Arial" w:hAnsi="Arial" w:cs="Arial"/>
          <w:color w:val="000000" w:themeColor="text1"/>
          <w:sz w:val="22"/>
          <w:szCs w:val="22"/>
        </w:rPr>
      </w:pPr>
    </w:p>
    <w:p w14:paraId="7FA31CEC" w14:textId="01D507FC" w:rsidR="000202B6" w:rsidRPr="00566456" w:rsidRDefault="000202B6" w:rsidP="000202B6">
      <w:pPr>
        <w:rPr>
          <w:rFonts w:ascii="Arial" w:hAnsi="Arial" w:cs="Arial"/>
          <w:color w:val="000000" w:themeColor="text1"/>
          <w:sz w:val="22"/>
          <w:szCs w:val="22"/>
        </w:rPr>
      </w:pPr>
      <w:r w:rsidRPr="00566456">
        <w:rPr>
          <w:rFonts w:ascii="Arial" w:hAnsi="Arial" w:cs="Arial"/>
          <w:color w:val="000000" w:themeColor="text1"/>
          <w:sz w:val="22"/>
          <w:szCs w:val="22"/>
        </w:rPr>
        <w:t xml:space="preserve">Waters and Ussary (2007) state that some officers </w:t>
      </w:r>
      <w:r w:rsidR="00623492">
        <w:rPr>
          <w:rFonts w:ascii="Arial" w:hAnsi="Arial" w:cs="Arial"/>
          <w:color w:val="000000" w:themeColor="text1"/>
          <w:sz w:val="22"/>
          <w:szCs w:val="22"/>
        </w:rPr>
        <w:t xml:space="preserve">seem to </w:t>
      </w:r>
      <w:r w:rsidRPr="00566456">
        <w:rPr>
          <w:rFonts w:ascii="Arial" w:hAnsi="Arial" w:cs="Arial"/>
          <w:color w:val="000000" w:themeColor="text1"/>
          <w:sz w:val="22"/>
          <w:szCs w:val="22"/>
        </w:rPr>
        <w:t xml:space="preserve">suffer from health issues due to the cumulative effects of stress, </w:t>
      </w:r>
      <w:r w:rsidR="00623492">
        <w:rPr>
          <w:rFonts w:ascii="Arial" w:hAnsi="Arial" w:cs="Arial"/>
          <w:color w:val="000000" w:themeColor="text1"/>
          <w:sz w:val="22"/>
          <w:szCs w:val="22"/>
        </w:rPr>
        <w:t>even officers who were healthy and free from mental health issues when they</w:t>
      </w:r>
      <w:r w:rsidRPr="00566456">
        <w:rPr>
          <w:rFonts w:ascii="Arial" w:hAnsi="Arial" w:cs="Arial"/>
          <w:color w:val="000000" w:themeColor="text1"/>
          <w:sz w:val="22"/>
          <w:szCs w:val="22"/>
        </w:rPr>
        <w:t xml:space="preserve"> began their policing career.</w:t>
      </w:r>
      <w:r w:rsidR="00623492">
        <w:rPr>
          <w:rFonts w:ascii="Arial" w:hAnsi="Arial" w:cs="Arial"/>
          <w:color w:val="000000" w:themeColor="text1"/>
          <w:sz w:val="22"/>
          <w:szCs w:val="22"/>
        </w:rPr>
        <w:t xml:space="preserve"> Officers who have been in the role for longer seem to typically experience a greater number of issues. </w:t>
      </w:r>
    </w:p>
    <w:p w14:paraId="33AF354B" w14:textId="77777777" w:rsidR="000202B6" w:rsidRPr="00566456" w:rsidRDefault="000202B6" w:rsidP="000202B6">
      <w:pPr>
        <w:rPr>
          <w:rFonts w:ascii="Arial" w:hAnsi="Arial" w:cs="Arial"/>
          <w:color w:val="000000" w:themeColor="text1"/>
          <w:sz w:val="22"/>
          <w:szCs w:val="22"/>
        </w:rPr>
      </w:pPr>
    </w:p>
    <w:p w14:paraId="639C595B" w14:textId="75CE891D" w:rsidR="000202B6" w:rsidRPr="00566456" w:rsidRDefault="00623492" w:rsidP="000202B6">
      <w:pPr>
        <w:rPr>
          <w:rFonts w:ascii="Arial" w:hAnsi="Arial" w:cs="Arial"/>
          <w:color w:val="000000" w:themeColor="text1"/>
          <w:sz w:val="22"/>
          <w:szCs w:val="22"/>
        </w:rPr>
      </w:pPr>
      <w:r>
        <w:rPr>
          <w:rFonts w:ascii="Arial" w:hAnsi="Arial" w:cs="Arial"/>
          <w:color w:val="000000" w:themeColor="text1"/>
          <w:sz w:val="22"/>
          <w:szCs w:val="22"/>
        </w:rPr>
        <w:t>Academics seem to be largely in agreement that stress can have a negative impact on mental health, particularly if stressors are experienced regularly, and for prolonged periods.</w:t>
      </w:r>
      <w:r w:rsidR="000202B6" w:rsidRPr="00566456">
        <w:rPr>
          <w:rFonts w:ascii="Arial" w:hAnsi="Arial" w:cs="Arial"/>
          <w:color w:val="000000" w:themeColor="text1"/>
          <w:sz w:val="22"/>
          <w:szCs w:val="22"/>
        </w:rPr>
        <w:t xml:space="preserve"> </w:t>
      </w:r>
      <w:r>
        <w:rPr>
          <w:rFonts w:ascii="Arial" w:hAnsi="Arial" w:cs="Arial"/>
          <w:color w:val="000000" w:themeColor="text1"/>
          <w:sz w:val="22"/>
          <w:szCs w:val="22"/>
        </w:rPr>
        <w:t xml:space="preserve">According to </w:t>
      </w:r>
      <w:r w:rsidR="000202B6" w:rsidRPr="00566456">
        <w:rPr>
          <w:rFonts w:ascii="Arial" w:hAnsi="Arial" w:cs="Arial"/>
          <w:color w:val="000000" w:themeColor="text1"/>
          <w:sz w:val="22"/>
          <w:szCs w:val="22"/>
        </w:rPr>
        <w:t>Larzalere and Jones (2008)</w:t>
      </w:r>
      <w:r>
        <w:rPr>
          <w:rFonts w:ascii="Arial" w:hAnsi="Arial" w:cs="Arial"/>
          <w:color w:val="000000" w:themeColor="text1"/>
          <w:sz w:val="22"/>
          <w:szCs w:val="22"/>
        </w:rPr>
        <w:t xml:space="preserve">, when the human body experiences stress, it responds by causing rapid changes to take place within </w:t>
      </w:r>
      <w:r w:rsidR="000202B6" w:rsidRPr="00566456">
        <w:rPr>
          <w:rFonts w:ascii="Arial" w:hAnsi="Arial" w:cs="Arial"/>
          <w:color w:val="000000" w:themeColor="text1"/>
          <w:sz w:val="22"/>
          <w:szCs w:val="22"/>
        </w:rPr>
        <w:t>nervous, cardiovascular and endocrine systems</w:t>
      </w:r>
      <w:r>
        <w:rPr>
          <w:rFonts w:ascii="Arial" w:hAnsi="Arial" w:cs="Arial"/>
          <w:color w:val="000000" w:themeColor="text1"/>
          <w:sz w:val="22"/>
          <w:szCs w:val="22"/>
        </w:rPr>
        <w:t xml:space="preserve">. </w:t>
      </w:r>
      <w:r w:rsidR="000202B6" w:rsidRPr="00566456">
        <w:rPr>
          <w:rFonts w:ascii="Arial" w:hAnsi="Arial" w:cs="Arial"/>
          <w:color w:val="000000" w:themeColor="text1"/>
          <w:sz w:val="22"/>
          <w:szCs w:val="22"/>
        </w:rPr>
        <w:t xml:space="preserve"> </w:t>
      </w:r>
      <w:r>
        <w:rPr>
          <w:rFonts w:ascii="Arial" w:hAnsi="Arial" w:cs="Arial"/>
          <w:color w:val="000000" w:themeColor="text1"/>
          <w:sz w:val="22"/>
          <w:szCs w:val="22"/>
        </w:rPr>
        <w:t>C</w:t>
      </w:r>
      <w:r w:rsidR="000202B6" w:rsidRPr="00566456">
        <w:rPr>
          <w:rFonts w:ascii="Arial" w:hAnsi="Arial" w:cs="Arial"/>
          <w:color w:val="000000" w:themeColor="text1"/>
          <w:sz w:val="22"/>
          <w:szCs w:val="22"/>
        </w:rPr>
        <w:t xml:space="preserve">ortisone levels </w:t>
      </w:r>
      <w:r>
        <w:rPr>
          <w:rFonts w:ascii="Arial" w:hAnsi="Arial" w:cs="Arial"/>
          <w:color w:val="000000" w:themeColor="text1"/>
          <w:sz w:val="22"/>
          <w:szCs w:val="22"/>
        </w:rPr>
        <w:t>rise</w:t>
      </w:r>
      <w:r w:rsidR="000202B6" w:rsidRPr="00566456">
        <w:rPr>
          <w:rFonts w:ascii="Arial" w:hAnsi="Arial" w:cs="Arial"/>
          <w:color w:val="000000" w:themeColor="text1"/>
          <w:sz w:val="22"/>
          <w:szCs w:val="22"/>
        </w:rPr>
        <w:t>, increasing the risk</w:t>
      </w:r>
      <w:r>
        <w:rPr>
          <w:rFonts w:ascii="Arial" w:hAnsi="Arial" w:cs="Arial"/>
          <w:color w:val="000000" w:themeColor="text1"/>
          <w:sz w:val="22"/>
          <w:szCs w:val="22"/>
        </w:rPr>
        <w:t xml:space="preserve"> to the individual</w:t>
      </w:r>
      <w:r w:rsidR="000202B6" w:rsidRPr="00566456">
        <w:rPr>
          <w:rFonts w:ascii="Arial" w:hAnsi="Arial" w:cs="Arial"/>
          <w:color w:val="000000" w:themeColor="text1"/>
          <w:sz w:val="22"/>
          <w:szCs w:val="22"/>
        </w:rPr>
        <w:t xml:space="preserve"> of a heart attack or stroke. </w:t>
      </w:r>
    </w:p>
    <w:p w14:paraId="71B4FC49" w14:textId="0A8D7E2F" w:rsidR="000202B6" w:rsidRPr="00566456" w:rsidRDefault="000202B6" w:rsidP="000202B6">
      <w:pPr>
        <w:rPr>
          <w:rFonts w:ascii="Arial" w:hAnsi="Arial" w:cs="Arial"/>
          <w:color w:val="000000" w:themeColor="text1"/>
          <w:sz w:val="22"/>
          <w:szCs w:val="22"/>
        </w:rPr>
      </w:pPr>
      <w:r w:rsidRPr="00566456">
        <w:rPr>
          <w:rFonts w:ascii="Arial" w:hAnsi="Arial" w:cs="Arial"/>
          <w:color w:val="000000" w:themeColor="text1"/>
          <w:sz w:val="22"/>
          <w:szCs w:val="22"/>
        </w:rPr>
        <w:t xml:space="preserve">Shatte et al (2017) </w:t>
      </w:r>
      <w:r w:rsidR="00623492">
        <w:rPr>
          <w:rFonts w:ascii="Arial" w:hAnsi="Arial" w:cs="Arial"/>
          <w:color w:val="000000" w:themeColor="text1"/>
          <w:sz w:val="22"/>
          <w:szCs w:val="22"/>
        </w:rPr>
        <w:t>agree that stressful environments may pose a risk to  health; however, they also acknowledge that</w:t>
      </w:r>
      <w:r w:rsidRPr="00566456">
        <w:rPr>
          <w:rFonts w:ascii="Arial" w:hAnsi="Arial" w:cs="Arial"/>
          <w:color w:val="000000" w:themeColor="text1"/>
          <w:sz w:val="22"/>
          <w:szCs w:val="22"/>
        </w:rPr>
        <w:t xml:space="preserve"> resilience can act as a protective factor against the negative impacts of stress on a</w:t>
      </w:r>
      <w:r w:rsidR="00623492">
        <w:rPr>
          <w:rFonts w:ascii="Arial" w:hAnsi="Arial" w:cs="Arial"/>
          <w:color w:val="000000" w:themeColor="text1"/>
          <w:sz w:val="22"/>
          <w:szCs w:val="22"/>
        </w:rPr>
        <w:t>n individual; in this case, a police officer</w:t>
      </w:r>
      <w:r w:rsidRPr="00566456">
        <w:rPr>
          <w:rFonts w:ascii="Arial" w:hAnsi="Arial" w:cs="Arial"/>
          <w:color w:val="000000" w:themeColor="text1"/>
          <w:sz w:val="22"/>
          <w:szCs w:val="22"/>
        </w:rPr>
        <w:t>. Therefore,</w:t>
      </w:r>
      <w:r w:rsidR="00623492">
        <w:rPr>
          <w:rFonts w:ascii="Arial" w:hAnsi="Arial" w:cs="Arial"/>
          <w:color w:val="000000" w:themeColor="text1"/>
          <w:sz w:val="22"/>
          <w:szCs w:val="22"/>
        </w:rPr>
        <w:t xml:space="preserve"> it could be considered likely that</w:t>
      </w:r>
      <w:r w:rsidRPr="00566456">
        <w:rPr>
          <w:rFonts w:ascii="Arial" w:hAnsi="Arial" w:cs="Arial"/>
          <w:color w:val="000000" w:themeColor="text1"/>
          <w:sz w:val="22"/>
          <w:szCs w:val="22"/>
        </w:rPr>
        <w:t xml:space="preserve"> increasing resilience </w:t>
      </w:r>
      <w:r w:rsidR="00623492">
        <w:rPr>
          <w:rFonts w:ascii="Arial" w:hAnsi="Arial" w:cs="Arial"/>
          <w:color w:val="000000" w:themeColor="text1"/>
          <w:sz w:val="22"/>
          <w:szCs w:val="22"/>
        </w:rPr>
        <w:t xml:space="preserve">levels </w:t>
      </w:r>
      <w:r w:rsidRPr="00566456">
        <w:rPr>
          <w:rFonts w:ascii="Arial" w:hAnsi="Arial" w:cs="Arial"/>
          <w:color w:val="000000" w:themeColor="text1"/>
          <w:sz w:val="22"/>
          <w:szCs w:val="22"/>
        </w:rPr>
        <w:t>can positively impact an individual’s ability to ‘bounce back’ from stressful situations, with</w:t>
      </w:r>
      <w:r w:rsidR="00623492">
        <w:rPr>
          <w:rFonts w:ascii="Arial" w:hAnsi="Arial" w:cs="Arial"/>
          <w:color w:val="000000" w:themeColor="text1"/>
          <w:sz w:val="22"/>
          <w:szCs w:val="22"/>
        </w:rPr>
        <w:t xml:space="preserve"> lower risk of </w:t>
      </w:r>
      <w:r w:rsidRPr="00566456">
        <w:rPr>
          <w:rFonts w:ascii="Arial" w:hAnsi="Arial" w:cs="Arial"/>
          <w:color w:val="000000" w:themeColor="text1"/>
          <w:sz w:val="22"/>
          <w:szCs w:val="22"/>
        </w:rPr>
        <w:t xml:space="preserve">lasting impact on the </w:t>
      </w:r>
      <w:r w:rsidR="00623492">
        <w:rPr>
          <w:rFonts w:ascii="Arial" w:hAnsi="Arial" w:cs="Arial"/>
          <w:color w:val="000000" w:themeColor="text1"/>
          <w:sz w:val="22"/>
          <w:szCs w:val="22"/>
        </w:rPr>
        <w:t>officer.</w:t>
      </w:r>
    </w:p>
    <w:p w14:paraId="625CD26A" w14:textId="77777777" w:rsidR="000202B6" w:rsidRPr="00566456" w:rsidRDefault="000202B6" w:rsidP="000202B6">
      <w:pPr>
        <w:rPr>
          <w:rFonts w:ascii="Arial" w:hAnsi="Arial" w:cs="Arial"/>
          <w:color w:val="000000" w:themeColor="text1"/>
          <w:sz w:val="22"/>
          <w:szCs w:val="22"/>
        </w:rPr>
      </w:pPr>
    </w:p>
    <w:p w14:paraId="406D0880" w14:textId="29C98B97" w:rsidR="000202B6" w:rsidRPr="00566456" w:rsidRDefault="000202B6" w:rsidP="000202B6">
      <w:pPr>
        <w:ind w:left="567" w:right="531"/>
        <w:jc w:val="both"/>
        <w:rPr>
          <w:rFonts w:ascii="Arial" w:hAnsi="Arial" w:cs="Arial"/>
          <w:color w:val="000000" w:themeColor="text1"/>
          <w:sz w:val="22"/>
          <w:szCs w:val="22"/>
        </w:rPr>
      </w:pPr>
      <w:r w:rsidRPr="00566456">
        <w:rPr>
          <w:rFonts w:ascii="Arial" w:hAnsi="Arial" w:cs="Arial"/>
          <w:color w:val="000000" w:themeColor="text1"/>
          <w:sz w:val="22"/>
          <w:szCs w:val="22"/>
        </w:rPr>
        <w:t xml:space="preserve">As well as having an impact on mental health, stress can also lead to other adverse outcomes, such as intimate partner abuse (Gershon et al, 2008). Three issues prevalent among police often attributed to stress are excess drinking, divorce, suicidal thoughts (Beehr et al., 1995). Officers with mental health conditions are reportedly less productive than officers without mental health issues, due to time off for health reasons and being unable complete tasks effectively due to this. They also reportedly feel that they are less effective at managing their time and engaging with others, which are vital tasks within the role, resulting in them feeling less effective at their roles </w:t>
      </w:r>
      <w:r w:rsidR="00623492">
        <w:rPr>
          <w:rFonts w:ascii="Arial" w:hAnsi="Arial" w:cs="Arial"/>
          <w:color w:val="000000" w:themeColor="text1"/>
          <w:sz w:val="22"/>
          <w:szCs w:val="22"/>
        </w:rPr>
        <w:t xml:space="preserve">and potentially compromising the safety of others </w:t>
      </w:r>
      <w:r w:rsidRPr="00566456">
        <w:rPr>
          <w:rFonts w:ascii="Arial" w:hAnsi="Arial" w:cs="Arial"/>
          <w:color w:val="000000" w:themeColor="text1"/>
          <w:sz w:val="22"/>
          <w:szCs w:val="22"/>
        </w:rPr>
        <w:t xml:space="preserve">(Fox et al., 2012). </w:t>
      </w:r>
    </w:p>
    <w:p w14:paraId="33CC9B0F" w14:textId="5A73AE13" w:rsidR="00EA05D0" w:rsidRPr="00566456" w:rsidRDefault="00EA05D0" w:rsidP="000202B6">
      <w:pPr>
        <w:ind w:left="567" w:right="531"/>
        <w:jc w:val="both"/>
        <w:rPr>
          <w:rFonts w:ascii="Arial" w:hAnsi="Arial" w:cs="Arial"/>
          <w:color w:val="000000" w:themeColor="text1"/>
          <w:sz w:val="22"/>
          <w:szCs w:val="22"/>
        </w:rPr>
      </w:pPr>
      <w:r w:rsidRPr="00566456">
        <w:rPr>
          <w:rFonts w:ascii="Arial" w:hAnsi="Arial" w:cs="Arial"/>
          <w:color w:val="000000" w:themeColor="text1"/>
          <w:sz w:val="22"/>
          <w:szCs w:val="22"/>
        </w:rPr>
        <w:t>Mental health issues can have further negative impacts on the police service; it can lead to lower levels of staff retention, more absences among staff, and the role of a police officer being viewed a s an undesirable role, and thus having a negative impact on recruitment (College of Policing, 2024)</w:t>
      </w:r>
    </w:p>
    <w:p w14:paraId="6A2CEEE1" w14:textId="31EBE5C6" w:rsidR="000202B6" w:rsidRPr="00566456" w:rsidRDefault="000202B6" w:rsidP="000202B6">
      <w:pPr>
        <w:rPr>
          <w:rFonts w:ascii="Arial" w:hAnsi="Arial" w:cs="Arial"/>
          <w:color w:val="000000" w:themeColor="text1"/>
          <w:sz w:val="22"/>
          <w:szCs w:val="22"/>
        </w:rPr>
      </w:pPr>
    </w:p>
    <w:p w14:paraId="04EE8DF8" w14:textId="77777777" w:rsidR="000202B6" w:rsidRPr="00566456" w:rsidRDefault="000202B6" w:rsidP="005D6D15">
      <w:pPr>
        <w:ind w:left="567" w:right="531"/>
        <w:jc w:val="both"/>
        <w:rPr>
          <w:rFonts w:ascii="Arial" w:hAnsi="Arial" w:cs="Arial"/>
          <w:color w:val="000000" w:themeColor="text1"/>
          <w:sz w:val="22"/>
          <w:szCs w:val="22"/>
        </w:rPr>
      </w:pPr>
    </w:p>
    <w:p w14:paraId="23FE54E0" w14:textId="6757C907" w:rsidR="000202B6" w:rsidRPr="00566456" w:rsidRDefault="000202B6" w:rsidP="005D6D15">
      <w:pPr>
        <w:ind w:left="567" w:right="531"/>
        <w:jc w:val="both"/>
        <w:rPr>
          <w:rFonts w:ascii="Arial" w:hAnsi="Arial" w:cs="Arial"/>
          <w:color w:val="000000" w:themeColor="text1"/>
          <w:sz w:val="22"/>
          <w:szCs w:val="22"/>
        </w:rPr>
      </w:pPr>
      <w:r w:rsidRPr="00566456">
        <w:rPr>
          <w:rFonts w:ascii="Arial" w:hAnsi="Arial" w:cs="Arial"/>
          <w:color w:val="000000" w:themeColor="text1"/>
          <w:sz w:val="22"/>
          <w:szCs w:val="22"/>
        </w:rPr>
        <w:t xml:space="preserve">According to Fox et al, (2012), a significant portion of officers who experience mental health issues do not seek help or treatment. This is largely attributed to the fear that seeking help would not be kept confidential, the stigma attached to seeking help, and that it </w:t>
      </w:r>
      <w:r w:rsidR="00E70312">
        <w:rPr>
          <w:rFonts w:ascii="Arial" w:hAnsi="Arial" w:cs="Arial"/>
          <w:color w:val="000000" w:themeColor="text1"/>
          <w:sz w:val="22"/>
          <w:szCs w:val="22"/>
        </w:rPr>
        <w:t>could h</w:t>
      </w:r>
      <w:r w:rsidRPr="00566456">
        <w:rPr>
          <w:rFonts w:ascii="Arial" w:hAnsi="Arial" w:cs="Arial"/>
          <w:color w:val="000000" w:themeColor="text1"/>
          <w:sz w:val="22"/>
          <w:szCs w:val="22"/>
        </w:rPr>
        <w:t xml:space="preserve">ave a negative impact on their career. Not seeking support could result in mental health issues worsening over </w:t>
      </w:r>
      <w:r w:rsidR="00C46BF9" w:rsidRPr="00566456">
        <w:rPr>
          <w:rFonts w:ascii="Arial" w:hAnsi="Arial" w:cs="Arial"/>
          <w:color w:val="000000" w:themeColor="text1"/>
          <w:sz w:val="22"/>
          <w:szCs w:val="22"/>
        </w:rPr>
        <w:t>time and</w:t>
      </w:r>
      <w:r w:rsidRPr="00566456">
        <w:rPr>
          <w:rFonts w:ascii="Arial" w:hAnsi="Arial" w:cs="Arial"/>
          <w:color w:val="000000" w:themeColor="text1"/>
          <w:sz w:val="22"/>
          <w:szCs w:val="22"/>
        </w:rPr>
        <w:t xml:space="preserve"> having a greater impact in the long-term</w:t>
      </w:r>
      <w:r w:rsidR="00C46BF9" w:rsidRPr="00566456">
        <w:rPr>
          <w:rFonts w:ascii="Arial" w:hAnsi="Arial" w:cs="Arial"/>
          <w:color w:val="000000" w:themeColor="text1"/>
          <w:sz w:val="22"/>
          <w:szCs w:val="22"/>
        </w:rPr>
        <w:t>, or potentially resulting in suicide.</w:t>
      </w:r>
      <w:r w:rsidR="00E13A5B" w:rsidRPr="00566456">
        <w:rPr>
          <w:rFonts w:ascii="Arial" w:hAnsi="Arial" w:cs="Arial"/>
          <w:color w:val="000000" w:themeColor="text1"/>
          <w:sz w:val="22"/>
          <w:szCs w:val="22"/>
        </w:rPr>
        <w:t xml:space="preserve"> It is also commonly believed among academics that the more stress an individual is exposed to, and the amount of time which they are exposed to these stressors for, can impact on their resilience, making them less able to recover from stress. </w:t>
      </w:r>
    </w:p>
    <w:p w14:paraId="6195BDE4" w14:textId="77777777" w:rsidR="000202B6" w:rsidRPr="00566456" w:rsidRDefault="000202B6" w:rsidP="005D6D15">
      <w:pPr>
        <w:ind w:left="567" w:right="531"/>
        <w:jc w:val="both"/>
        <w:rPr>
          <w:rFonts w:ascii="Arial" w:hAnsi="Arial" w:cs="Arial"/>
          <w:color w:val="000000" w:themeColor="text1"/>
          <w:sz w:val="22"/>
          <w:szCs w:val="22"/>
        </w:rPr>
      </w:pPr>
    </w:p>
    <w:p w14:paraId="7A3E7C0F" w14:textId="782E921A" w:rsidR="00E13A5B" w:rsidRPr="00566456" w:rsidRDefault="00E13A5B" w:rsidP="005D6D15">
      <w:pPr>
        <w:ind w:left="567" w:right="531"/>
        <w:jc w:val="both"/>
        <w:rPr>
          <w:rFonts w:ascii="Arial" w:hAnsi="Arial" w:cs="Arial"/>
          <w:color w:val="000000" w:themeColor="text1"/>
          <w:sz w:val="22"/>
          <w:szCs w:val="22"/>
        </w:rPr>
      </w:pPr>
      <w:r w:rsidRPr="00566456">
        <w:rPr>
          <w:rFonts w:ascii="Arial" w:hAnsi="Arial" w:cs="Arial"/>
          <w:color w:val="000000" w:themeColor="text1"/>
          <w:sz w:val="22"/>
          <w:szCs w:val="22"/>
        </w:rPr>
        <w:t>It can therefore be concluded that it is important to manage mental wellbeing in order to be able to complete the duties of a police officer to an effective standard, whilst building resilience; thus developin</w:t>
      </w:r>
      <w:r w:rsidR="00CA2D9C" w:rsidRPr="00566456">
        <w:rPr>
          <w:rFonts w:ascii="Arial" w:hAnsi="Arial" w:cs="Arial"/>
          <w:color w:val="000000" w:themeColor="text1"/>
          <w:sz w:val="22"/>
          <w:szCs w:val="22"/>
        </w:rPr>
        <w:t>g</w:t>
      </w:r>
      <w:r w:rsidRPr="00566456">
        <w:rPr>
          <w:rFonts w:ascii="Arial" w:hAnsi="Arial" w:cs="Arial"/>
          <w:color w:val="000000" w:themeColor="text1"/>
          <w:sz w:val="22"/>
          <w:szCs w:val="22"/>
        </w:rPr>
        <w:t xml:space="preserve"> the ability to recover from stressful situations which officers are often exposed to, and protecting the individual from negative physical and psychological impacts associated with stress. </w:t>
      </w:r>
    </w:p>
    <w:p w14:paraId="5761947B" w14:textId="2716A05A" w:rsidR="0061163D" w:rsidRPr="00566456" w:rsidRDefault="0061163D" w:rsidP="005D6D15">
      <w:pPr>
        <w:ind w:left="567" w:right="531"/>
        <w:jc w:val="both"/>
        <w:rPr>
          <w:rFonts w:ascii="Arial" w:hAnsi="Arial" w:cs="Arial"/>
          <w:color w:val="000000" w:themeColor="text1"/>
          <w:sz w:val="22"/>
          <w:szCs w:val="22"/>
        </w:rPr>
      </w:pPr>
      <w:r w:rsidRPr="00566456">
        <w:rPr>
          <w:rFonts w:ascii="Arial" w:hAnsi="Arial" w:cs="Arial"/>
          <w:color w:val="000000" w:themeColor="text1"/>
          <w:sz w:val="22"/>
          <w:szCs w:val="22"/>
        </w:rPr>
        <w:t>Developing a more positive outlook can help to increase resilience among police officers; if they adopt the attitude that they can overcome any difficulties thrown their way, then it is more likely that they will be better able to deal with negative experiences and there will be less of a negative impact. Positive correlations have been found to exist between optimism and both physical and mental wellbeing</w:t>
      </w:r>
      <w:r w:rsidR="00691A14" w:rsidRPr="00566456">
        <w:rPr>
          <w:rFonts w:ascii="Arial" w:hAnsi="Arial" w:cs="Arial"/>
          <w:color w:val="000000" w:themeColor="text1"/>
          <w:sz w:val="22"/>
          <w:szCs w:val="22"/>
        </w:rPr>
        <w:t xml:space="preserve">; officers with a more positive outlook are less likely to develop mental health conditions or to consider suicide as an option. </w:t>
      </w:r>
      <w:r w:rsidRPr="00566456">
        <w:rPr>
          <w:rFonts w:ascii="Arial" w:hAnsi="Arial" w:cs="Arial"/>
          <w:color w:val="000000" w:themeColor="text1"/>
          <w:sz w:val="22"/>
          <w:szCs w:val="22"/>
        </w:rPr>
        <w:t>Positivity among officers will also create a more positive atmosphere for all officers, which may assist in lessening the impact of negative incidents, while fostering a supportive environment for everyone</w:t>
      </w:r>
      <w:r w:rsidR="00691A14" w:rsidRPr="00566456">
        <w:rPr>
          <w:rFonts w:ascii="Arial" w:hAnsi="Arial" w:cs="Arial"/>
          <w:color w:val="000000" w:themeColor="text1"/>
          <w:sz w:val="22"/>
          <w:szCs w:val="22"/>
        </w:rPr>
        <w:t xml:space="preserve"> </w:t>
      </w:r>
      <w:r w:rsidR="00691A14" w:rsidRPr="00566456">
        <w:rPr>
          <w:rFonts w:ascii="Arial" w:hAnsi="Arial" w:cs="Arial"/>
          <w:color w:val="000000" w:themeColor="text1"/>
          <w:sz w:val="22"/>
          <w:szCs w:val="22"/>
        </w:rPr>
        <w:t>(Miller, 2005).</w:t>
      </w:r>
    </w:p>
    <w:p w14:paraId="13797075" w14:textId="77777777" w:rsidR="000202B6" w:rsidRPr="00566456" w:rsidRDefault="000202B6" w:rsidP="005D6D15">
      <w:pPr>
        <w:ind w:left="567" w:right="531"/>
        <w:jc w:val="both"/>
        <w:rPr>
          <w:rFonts w:ascii="Arial" w:hAnsi="Arial" w:cs="Arial"/>
          <w:color w:val="000000" w:themeColor="text1"/>
          <w:sz w:val="22"/>
          <w:szCs w:val="22"/>
        </w:rPr>
      </w:pPr>
    </w:p>
    <w:p w14:paraId="595F700B" w14:textId="77777777" w:rsidR="00EA05D0" w:rsidRPr="00EA05D0" w:rsidRDefault="00EA05D0" w:rsidP="005D6D15">
      <w:pPr>
        <w:ind w:left="567" w:right="531"/>
        <w:jc w:val="both"/>
        <w:rPr>
          <w:rFonts w:ascii="Arial" w:hAnsi="Arial" w:cs="Arial"/>
          <w:color w:val="000000" w:themeColor="text1"/>
          <w:sz w:val="22"/>
          <w:szCs w:val="22"/>
        </w:rPr>
      </w:pPr>
    </w:p>
    <w:p w14:paraId="49D2A06E" w14:textId="66F701E7" w:rsidR="00EA05D0" w:rsidRPr="00EA05D0" w:rsidRDefault="00EA05D0" w:rsidP="005D6D15">
      <w:pPr>
        <w:ind w:left="567" w:right="531"/>
        <w:jc w:val="both"/>
        <w:rPr>
          <w:rFonts w:ascii="Arial" w:hAnsi="Arial" w:cs="Arial"/>
          <w:b/>
          <w:bCs/>
          <w:color w:val="000000" w:themeColor="text1"/>
          <w:sz w:val="22"/>
          <w:szCs w:val="22"/>
        </w:rPr>
      </w:pPr>
      <w:r w:rsidRPr="00EA05D0">
        <w:rPr>
          <w:rFonts w:ascii="Arial" w:hAnsi="Arial" w:cs="Arial"/>
          <w:b/>
          <w:bCs/>
          <w:color w:val="000000" w:themeColor="text1"/>
          <w:sz w:val="22"/>
          <w:szCs w:val="22"/>
        </w:rPr>
        <w:t xml:space="preserve">Word count: </w:t>
      </w:r>
      <w:r w:rsidR="00623492">
        <w:rPr>
          <w:rFonts w:ascii="Arial" w:hAnsi="Arial" w:cs="Arial"/>
          <w:b/>
          <w:bCs/>
          <w:color w:val="000000" w:themeColor="text1"/>
          <w:sz w:val="22"/>
          <w:szCs w:val="22"/>
        </w:rPr>
        <w:t>10</w:t>
      </w:r>
      <w:r w:rsidR="00E70312">
        <w:rPr>
          <w:rFonts w:ascii="Arial" w:hAnsi="Arial" w:cs="Arial"/>
          <w:b/>
          <w:bCs/>
          <w:color w:val="000000" w:themeColor="text1"/>
          <w:sz w:val="22"/>
          <w:szCs w:val="22"/>
        </w:rPr>
        <w:t>20</w:t>
      </w:r>
    </w:p>
    <w:p w14:paraId="72AB5CDB" w14:textId="77777777" w:rsidR="000202B6" w:rsidRPr="00EA05D0" w:rsidRDefault="000202B6" w:rsidP="005D6D15">
      <w:pPr>
        <w:ind w:left="567" w:right="531"/>
        <w:jc w:val="both"/>
        <w:rPr>
          <w:rFonts w:ascii="Arial" w:hAnsi="Arial" w:cs="Arial"/>
          <w:color w:val="000000" w:themeColor="text1"/>
          <w:sz w:val="22"/>
          <w:szCs w:val="22"/>
        </w:rPr>
      </w:pPr>
    </w:p>
    <w:p w14:paraId="0FCDB778" w14:textId="77777777" w:rsidR="00666727" w:rsidRPr="00693B87" w:rsidRDefault="00666727" w:rsidP="005D6D15">
      <w:pPr>
        <w:ind w:left="567" w:right="531"/>
        <w:jc w:val="both"/>
        <w:rPr>
          <w:rFonts w:ascii="Arial" w:hAnsi="Arial" w:cs="Arial"/>
          <w:sz w:val="22"/>
          <w:szCs w:val="22"/>
        </w:rPr>
      </w:pPr>
    </w:p>
    <w:p w14:paraId="605FFEF7" w14:textId="285BAABC" w:rsidR="00904599" w:rsidRPr="00693B87" w:rsidRDefault="00904599" w:rsidP="005D6D15">
      <w:pPr>
        <w:ind w:left="567" w:right="531"/>
        <w:jc w:val="both"/>
        <w:rPr>
          <w:rFonts w:ascii="Arial" w:hAnsi="Arial" w:cs="Arial"/>
          <w:b/>
          <w:bCs/>
          <w:sz w:val="22"/>
          <w:szCs w:val="22"/>
        </w:rPr>
      </w:pPr>
      <w:r w:rsidRPr="00693B87">
        <w:rPr>
          <w:rFonts w:ascii="Arial" w:hAnsi="Arial" w:cs="Arial"/>
          <w:b/>
          <w:bCs/>
          <w:sz w:val="22"/>
          <w:szCs w:val="22"/>
        </w:rPr>
        <w:t>Essay three:</w:t>
      </w:r>
    </w:p>
    <w:p w14:paraId="0CEA0D3A" w14:textId="77777777" w:rsidR="00687E8A" w:rsidRDefault="00BE6F22" w:rsidP="005D6D15">
      <w:pPr>
        <w:spacing w:line="257" w:lineRule="auto"/>
        <w:ind w:left="567" w:right="531"/>
        <w:rPr>
          <w:rFonts w:ascii="Arial" w:eastAsia="Calibri" w:hAnsi="Arial" w:cs="Arial"/>
          <w:sz w:val="22"/>
          <w:szCs w:val="22"/>
        </w:rPr>
      </w:pPr>
      <w:r w:rsidRPr="00BE6F22">
        <w:rPr>
          <w:rFonts w:ascii="Arial" w:eastAsia="Calibri" w:hAnsi="Arial" w:cs="Arial"/>
          <w:sz w:val="22"/>
          <w:szCs w:val="22"/>
        </w:rPr>
        <w:t xml:space="preserve">How might personal attitudes, values and bias impact upon the </w:t>
      </w:r>
      <w:r w:rsidR="00687E8A">
        <w:rPr>
          <w:rFonts w:ascii="Arial" w:eastAsia="Calibri" w:hAnsi="Arial" w:cs="Arial"/>
          <w:sz w:val="22"/>
          <w:szCs w:val="22"/>
        </w:rPr>
        <w:t>effective investigation of volume crime</w:t>
      </w:r>
      <w:r w:rsidRPr="00BE6F22">
        <w:rPr>
          <w:rFonts w:ascii="Arial" w:eastAsia="Calibri" w:hAnsi="Arial" w:cs="Arial"/>
          <w:sz w:val="22"/>
          <w:szCs w:val="22"/>
        </w:rPr>
        <w:t>?</w:t>
      </w:r>
    </w:p>
    <w:p w14:paraId="1CCF97B8" w14:textId="46678870" w:rsidR="00904599" w:rsidRPr="001A3262" w:rsidRDefault="00241C89" w:rsidP="005D6D15">
      <w:pPr>
        <w:spacing w:line="257" w:lineRule="auto"/>
        <w:ind w:left="567" w:right="531"/>
        <w:rPr>
          <w:rFonts w:ascii="Arial" w:hAnsi="Arial" w:cs="Arial"/>
          <w:sz w:val="22"/>
          <w:szCs w:val="22"/>
        </w:rPr>
      </w:pPr>
      <w:r>
        <w:rPr>
          <w:rFonts w:ascii="Arial" w:eastAsia="Calibri" w:hAnsi="Arial" w:cs="Arial"/>
          <w:sz w:val="22"/>
          <w:szCs w:val="22"/>
        </w:rPr>
        <w:t>Your answer must be based on academic research</w:t>
      </w:r>
      <w:r w:rsidR="00B705AA">
        <w:rPr>
          <w:rFonts w:ascii="Arial" w:eastAsia="Calibri" w:hAnsi="Arial" w:cs="Arial"/>
          <w:sz w:val="22"/>
          <w:szCs w:val="22"/>
        </w:rPr>
        <w:t>, but you may refer to relevant, recent examples</w:t>
      </w:r>
      <w:r w:rsidR="002857F7">
        <w:rPr>
          <w:rFonts w:ascii="Arial" w:eastAsia="Calibri" w:hAnsi="Arial" w:cs="Arial"/>
          <w:sz w:val="22"/>
          <w:szCs w:val="22"/>
        </w:rPr>
        <w:t>.</w:t>
      </w:r>
    </w:p>
    <w:p w14:paraId="2753ED87" w14:textId="77777777" w:rsidR="00945C34" w:rsidRDefault="00945C34" w:rsidP="005D6D15">
      <w:pPr>
        <w:spacing w:line="257" w:lineRule="auto"/>
        <w:ind w:left="567" w:right="531"/>
        <w:rPr>
          <w:rFonts w:ascii="Arial" w:hAnsi="Arial" w:cs="Arial"/>
          <w:sz w:val="22"/>
          <w:szCs w:val="22"/>
        </w:rPr>
      </w:pPr>
    </w:p>
    <w:p w14:paraId="08CF8B5D" w14:textId="77777777" w:rsidR="00945C34" w:rsidRDefault="00945C34" w:rsidP="005D6D15">
      <w:pPr>
        <w:spacing w:line="257" w:lineRule="auto"/>
        <w:ind w:left="567" w:right="531"/>
        <w:rPr>
          <w:rFonts w:ascii="Arial" w:hAnsi="Arial" w:cs="Arial"/>
          <w:sz w:val="22"/>
          <w:szCs w:val="22"/>
        </w:rPr>
      </w:pPr>
    </w:p>
    <w:p w14:paraId="1BA3E14D" w14:textId="077DFFED" w:rsidR="00CB662C" w:rsidRPr="00E13A5B" w:rsidRDefault="000202B6"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The Association of Chief Police Officers (ACPO) describes volume crime as:</w:t>
      </w:r>
    </w:p>
    <w:p w14:paraId="361D31DB" w14:textId="59DE59B7" w:rsidR="000202B6" w:rsidRPr="00E13A5B" w:rsidRDefault="000202B6"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 xml:space="preserve">“any crime which, through its sheer volume, has a significant impact on the community and the ability of the local police to tackle it”. (ACPO 2009). </w:t>
      </w:r>
    </w:p>
    <w:p w14:paraId="4B2694E7" w14:textId="1070A591" w:rsidR="000202B6" w:rsidRPr="00E13A5B" w:rsidRDefault="000202B6"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 xml:space="preserve">Eagly and Chaiken (1993) describe an attitude as the psychological predisposition to evaluate someone or something in a favourable or unfavourable light. Many people believe that there is  a strong link between a person’s attitudes and their behaviour (Wood, 1982), which suggests that negative attitudes towards a person can result in negative behaviour displayed towards them, while positive attitudes towards people can result in positive behaviour demonstrated towards them. In this essay, the author will identify the impact of attitudes, values and bias upon the effective investigation of volume crime. </w:t>
      </w:r>
    </w:p>
    <w:p w14:paraId="19614D24" w14:textId="77777777" w:rsidR="000202B6" w:rsidRPr="00E13A5B" w:rsidRDefault="000202B6" w:rsidP="005D6D15">
      <w:pPr>
        <w:spacing w:line="257" w:lineRule="auto"/>
        <w:ind w:left="567" w:right="531"/>
        <w:rPr>
          <w:rFonts w:ascii="Arial" w:hAnsi="Arial" w:cs="Arial"/>
          <w:color w:val="000000" w:themeColor="text1"/>
          <w:sz w:val="22"/>
          <w:szCs w:val="22"/>
        </w:rPr>
      </w:pPr>
    </w:p>
    <w:p w14:paraId="4C408897" w14:textId="44D913A7" w:rsidR="00CB662C" w:rsidRPr="00E13A5B" w:rsidRDefault="00CB662C" w:rsidP="00CB662C">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There is evidence to suggest that an officer’s initial hypothesis or belief in a suspect’s guilt can impact on an investigation by significantly influencing how they interpret evidence within a case. This can lead to officers seeking evidence to support their hypothesis, rather than taking an unbiased approach to investigating, with an open mind. Prejudices can impact on how much effort and resources are allocated to an investigation, impacting on the likelihood of arrest  (College of Policing, 2023).</w:t>
      </w:r>
      <w:r w:rsidR="000202B6" w:rsidRPr="00E13A5B">
        <w:rPr>
          <w:rFonts w:ascii="Arial" w:hAnsi="Arial" w:cs="Arial"/>
          <w:color w:val="000000" w:themeColor="text1"/>
          <w:sz w:val="22"/>
          <w:szCs w:val="22"/>
        </w:rPr>
        <w:t xml:space="preserve"> </w:t>
      </w:r>
    </w:p>
    <w:p w14:paraId="14DEC04F" w14:textId="7B627836" w:rsidR="000202B6" w:rsidRPr="00E13A5B" w:rsidRDefault="000202B6" w:rsidP="00CB662C">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A process in which the investigator has already assumed that the suspect is guilty could result in false confessions and lead to wrongful convictions (Scherr et al., 2020). This demonstrates that bias and prejudiced attitudes can result in unfair, disproportionate and inaccurate investigations, which do not lead to the uncovering of the truth, thus not being in line with legitimate, fair policing, which is core to police work (Tyler, 2006).</w:t>
      </w:r>
    </w:p>
    <w:p w14:paraId="732B4CC1" w14:textId="6CED9B02" w:rsidR="000202B6" w:rsidRPr="00E13A5B" w:rsidRDefault="000202B6" w:rsidP="00CB662C">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Tunnel vision, where an officer is over-reliant on their own sources while ignoring outside information and other evidence, is damaging to the investigative process, as it could potentially impact on the quality of record-keeping, note taking, interviews of witnesses and suspects, and the effectiveness of searches. All of these may result in inaccurate evidence, which could then impact on the fairness of a trial and potentially result in miscarriages of justice (Martin, 2002). On the other hand, the opposite of this is over-reliance on external sources, due to bias towards those sources, when those sources may not be providing accurate information (Elaad, 2022).</w:t>
      </w:r>
    </w:p>
    <w:p w14:paraId="5F1E1EFE" w14:textId="19DEF48E" w:rsidR="00167ABC" w:rsidRPr="00E13A5B" w:rsidRDefault="00167ABC" w:rsidP="00CB662C">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In addition to being biased towards suspects, officers could also be biased towards the victims of crime, viewing some victims as more deserving of the crime that others, and treating them as such during an investigation, which they may spend less time on than a perceived “less deserving” victim, in  a</w:t>
      </w:r>
      <w:r w:rsidR="00566456">
        <w:rPr>
          <w:rFonts w:ascii="Arial" w:hAnsi="Arial" w:cs="Arial"/>
          <w:color w:val="000000" w:themeColor="text1"/>
          <w:sz w:val="22"/>
          <w:szCs w:val="22"/>
        </w:rPr>
        <w:t xml:space="preserve"> </w:t>
      </w:r>
      <w:r w:rsidRPr="00E13A5B">
        <w:rPr>
          <w:rFonts w:ascii="Arial" w:hAnsi="Arial" w:cs="Arial"/>
          <w:color w:val="000000" w:themeColor="text1"/>
          <w:sz w:val="22"/>
          <w:szCs w:val="22"/>
        </w:rPr>
        <w:t xml:space="preserve">process of “informed neglect”, and thus discriminating against an individual who may already be a victim of </w:t>
      </w:r>
      <w:r w:rsidR="00691A14">
        <w:rPr>
          <w:rFonts w:ascii="Arial" w:hAnsi="Arial" w:cs="Arial"/>
          <w:color w:val="000000" w:themeColor="text1"/>
          <w:sz w:val="22"/>
          <w:szCs w:val="22"/>
        </w:rPr>
        <w:t>so</w:t>
      </w:r>
      <w:r w:rsidRPr="00E13A5B">
        <w:rPr>
          <w:rFonts w:ascii="Arial" w:hAnsi="Arial" w:cs="Arial"/>
          <w:color w:val="000000" w:themeColor="text1"/>
          <w:sz w:val="22"/>
          <w:szCs w:val="22"/>
        </w:rPr>
        <w:t xml:space="preserve">cial, economic or educational ostracization, and worsening their quality of life further (Charman, 2019). </w:t>
      </w:r>
    </w:p>
    <w:p w14:paraId="0CC6806F" w14:textId="77777777" w:rsidR="000202B6" w:rsidRPr="00E13A5B" w:rsidRDefault="000202B6" w:rsidP="00CB662C">
      <w:pPr>
        <w:spacing w:line="257" w:lineRule="auto"/>
        <w:ind w:left="567" w:right="531"/>
        <w:rPr>
          <w:rFonts w:ascii="Arial" w:hAnsi="Arial" w:cs="Arial"/>
          <w:color w:val="000000" w:themeColor="text1"/>
          <w:sz w:val="22"/>
          <w:szCs w:val="22"/>
        </w:rPr>
      </w:pPr>
    </w:p>
    <w:p w14:paraId="4DAC7F32" w14:textId="77777777" w:rsidR="00CB662C" w:rsidRPr="00E13A5B" w:rsidRDefault="00CB662C" w:rsidP="00CB662C">
      <w:pPr>
        <w:spacing w:line="257" w:lineRule="auto"/>
        <w:ind w:left="567" w:right="531"/>
        <w:rPr>
          <w:rFonts w:ascii="Arial" w:hAnsi="Arial" w:cs="Arial"/>
          <w:color w:val="000000" w:themeColor="text1"/>
          <w:sz w:val="22"/>
          <w:szCs w:val="22"/>
        </w:rPr>
      </w:pPr>
    </w:p>
    <w:p w14:paraId="767E8816" w14:textId="77777777" w:rsidR="00CB662C" w:rsidRPr="00E13A5B" w:rsidRDefault="00CB662C" w:rsidP="00CB662C">
      <w:pPr>
        <w:spacing w:line="257" w:lineRule="auto"/>
        <w:ind w:left="567" w:right="531"/>
        <w:rPr>
          <w:rFonts w:ascii="Arial" w:hAnsi="Arial" w:cs="Arial"/>
          <w:color w:val="000000" w:themeColor="text1"/>
          <w:sz w:val="22"/>
          <w:szCs w:val="22"/>
        </w:rPr>
      </w:pPr>
    </w:p>
    <w:p w14:paraId="5C9F15A9" w14:textId="77777777" w:rsidR="00CB662C" w:rsidRPr="00E13A5B" w:rsidRDefault="00CB662C" w:rsidP="005D6D15">
      <w:pPr>
        <w:spacing w:line="257" w:lineRule="auto"/>
        <w:ind w:left="567" w:right="531"/>
        <w:rPr>
          <w:rFonts w:ascii="Arial" w:hAnsi="Arial" w:cs="Arial"/>
          <w:color w:val="000000" w:themeColor="text1"/>
          <w:sz w:val="22"/>
          <w:szCs w:val="22"/>
        </w:rPr>
      </w:pPr>
    </w:p>
    <w:p w14:paraId="454F1401" w14:textId="34B95BAF" w:rsidR="00945C34" w:rsidRPr="00E13A5B" w:rsidRDefault="000202B6" w:rsidP="005D4A9E">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 xml:space="preserve">However, the attitudes and biases of the public could also impact on the effectiveness of investigations. </w:t>
      </w:r>
      <w:r w:rsidR="005D4A9E" w:rsidRPr="00E13A5B">
        <w:rPr>
          <w:rFonts w:ascii="Arial" w:hAnsi="Arial" w:cs="Arial"/>
          <w:color w:val="000000" w:themeColor="text1"/>
          <w:sz w:val="22"/>
          <w:szCs w:val="22"/>
        </w:rPr>
        <w:t xml:space="preserve"> </w:t>
      </w:r>
      <w:r w:rsidRPr="00E13A5B">
        <w:rPr>
          <w:rFonts w:ascii="Arial" w:hAnsi="Arial" w:cs="Arial"/>
          <w:color w:val="000000" w:themeColor="text1"/>
          <w:sz w:val="22"/>
          <w:szCs w:val="22"/>
        </w:rPr>
        <w:t>M</w:t>
      </w:r>
      <w:r w:rsidR="00945C34" w:rsidRPr="00E13A5B">
        <w:rPr>
          <w:rFonts w:ascii="Arial" w:hAnsi="Arial" w:cs="Arial"/>
          <w:color w:val="000000" w:themeColor="text1"/>
          <w:sz w:val="22"/>
          <w:szCs w:val="22"/>
        </w:rPr>
        <w:t>embers of the public often learn of cases of police misconduct and corruption in the media. This may cause members of the public to believe that misconduct and corruption is common (National Institute of Justice, 2014)</w:t>
      </w:r>
      <w:r w:rsidRPr="00E13A5B">
        <w:rPr>
          <w:rFonts w:ascii="Arial" w:hAnsi="Arial" w:cs="Arial"/>
          <w:color w:val="000000" w:themeColor="text1"/>
          <w:sz w:val="22"/>
          <w:szCs w:val="22"/>
        </w:rPr>
        <w:t xml:space="preserve">, thus impacting negatively on their feelings towards the police and how much they believe they can trust the police to help them. Individuals are more likely to comply with the law and view power as justified when they believe that authorities are legitimate and acting in a fair manner. These positive attitudes towards police legitimacy are believed to cause individuals with these beliefs to be more likely to report a crime </w:t>
      </w:r>
      <w:r w:rsidRPr="00E13A5B">
        <w:rPr>
          <w:rFonts w:ascii="Arial" w:hAnsi="Arial" w:cs="Arial"/>
          <w:color w:val="000000" w:themeColor="text1"/>
          <w:sz w:val="22"/>
          <w:szCs w:val="22"/>
        </w:rPr>
        <w:lastRenderedPageBreak/>
        <w:t xml:space="preserve">and support an investigation (Tyler and Jackson 2014). </w:t>
      </w:r>
      <w:r w:rsidR="005D4A9E" w:rsidRPr="00E13A5B">
        <w:rPr>
          <w:rFonts w:ascii="Arial" w:hAnsi="Arial" w:cs="Arial"/>
          <w:color w:val="000000" w:themeColor="text1"/>
          <w:sz w:val="22"/>
          <w:szCs w:val="22"/>
        </w:rPr>
        <w:t>When investigating volume crime, investigations can often rely heavily on witness engagement and accounts, as well as the support of the victim. It is often necessary to put together all forms of evidence to secure a positive outcome. However, it seems to be a cycle; just as positive attitudes from the public are important when conducting an investigation, the positive attitudes of the officers can often influence attitudes towards the police, and therefore have a significantly positive impact on the public, particularly if this leads to results within the investigation, which can result in increased trust in the police. Positive attitudes foster positive attitudes</w:t>
      </w:r>
      <w:r w:rsidR="00617965">
        <w:rPr>
          <w:rFonts w:ascii="Arial" w:hAnsi="Arial" w:cs="Arial"/>
          <w:color w:val="000000" w:themeColor="text1"/>
          <w:sz w:val="22"/>
          <w:szCs w:val="22"/>
        </w:rPr>
        <w:t xml:space="preserve"> within others. </w:t>
      </w:r>
    </w:p>
    <w:p w14:paraId="73099492" w14:textId="54C43915" w:rsidR="00945C34" w:rsidRPr="00E13A5B" w:rsidRDefault="00167ABC"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 xml:space="preserve">The values of victims can also have an impact on a police investigation.  Cultural differences can have an impact on how a victim remembers and reports a crime, particularly traumatic crime, often impacting on what they choose to share (Vredeveldt et al., 2022). The author recently experienced such barriers while investigating an incident in which rape was reported; the Muslim wife was attempting to report being a victim of rape from a family member, without the knowledge of her husband, who was in the room at the time of officer attendance, and without looking like they were keeping anything from their husband. This was largely due to them not wanting to face the shame they would feel if their community were to become aware of the incident. Cultural differences were evident at the time of attendance; as suggested by Vredeveldt et al. (2022), trauma can be experienced and expressed in different ways by people of different cultures, impacting on how a victim may come across to an interviewer of a different cultural background, and affecting what is disclosed. For victims of traumatic crime, recounting the crime is a traumatic event in itself. Barriers to disclosure such as these could have an impact on the quality of the evidence contained within a disclosure, which could have a significant impact on the outcome of an investigation. </w:t>
      </w:r>
    </w:p>
    <w:p w14:paraId="4CCBE4ED" w14:textId="77777777" w:rsidR="00167ABC" w:rsidRDefault="00167ABC" w:rsidP="005D6D15">
      <w:pPr>
        <w:spacing w:line="257" w:lineRule="auto"/>
        <w:ind w:left="567" w:right="531"/>
        <w:rPr>
          <w:rFonts w:ascii="Arial" w:hAnsi="Arial" w:cs="Arial"/>
          <w:color w:val="000000" w:themeColor="text1"/>
          <w:sz w:val="22"/>
          <w:szCs w:val="22"/>
        </w:rPr>
      </w:pPr>
    </w:p>
    <w:p w14:paraId="5142D997" w14:textId="0AC1532D" w:rsidR="00E13A5B" w:rsidRPr="00E13A5B" w:rsidRDefault="00E13A5B" w:rsidP="005D6D15">
      <w:pPr>
        <w:spacing w:line="257" w:lineRule="auto"/>
        <w:ind w:left="567" w:right="531"/>
        <w:rPr>
          <w:rFonts w:ascii="Arial" w:hAnsi="Arial" w:cs="Arial"/>
          <w:b/>
          <w:bCs/>
          <w:color w:val="000000" w:themeColor="text1"/>
          <w:sz w:val="22"/>
          <w:szCs w:val="22"/>
        </w:rPr>
      </w:pPr>
      <w:r w:rsidRPr="00E13A5B">
        <w:rPr>
          <w:rFonts w:ascii="Arial" w:hAnsi="Arial" w:cs="Arial"/>
          <w:b/>
          <w:bCs/>
          <w:color w:val="000000" w:themeColor="text1"/>
          <w:sz w:val="22"/>
          <w:szCs w:val="22"/>
        </w:rPr>
        <w:t>Word count: 9</w:t>
      </w:r>
      <w:r w:rsidR="00617965">
        <w:rPr>
          <w:rFonts w:ascii="Arial" w:hAnsi="Arial" w:cs="Arial"/>
          <w:b/>
          <w:bCs/>
          <w:color w:val="000000" w:themeColor="text1"/>
          <w:sz w:val="22"/>
          <w:szCs w:val="22"/>
        </w:rPr>
        <w:t>20</w:t>
      </w:r>
    </w:p>
    <w:p w14:paraId="36B3A388" w14:textId="620437EE" w:rsidR="00454735" w:rsidRDefault="00454735" w:rsidP="005D6D15">
      <w:pPr>
        <w:spacing w:line="257" w:lineRule="auto"/>
        <w:ind w:left="567" w:right="531"/>
        <w:rPr>
          <w:rFonts w:ascii="Arial" w:hAnsi="Arial" w:cs="Arial"/>
          <w:sz w:val="22"/>
          <w:szCs w:val="22"/>
        </w:rPr>
      </w:pPr>
    </w:p>
    <w:p w14:paraId="56E28E49" w14:textId="77777777" w:rsidR="00666727" w:rsidRPr="00693B87" w:rsidRDefault="00666727" w:rsidP="005D6D15">
      <w:pPr>
        <w:spacing w:line="257" w:lineRule="auto"/>
        <w:ind w:left="567" w:right="531"/>
        <w:rPr>
          <w:rFonts w:ascii="Arial" w:hAnsi="Arial" w:cs="Arial"/>
          <w:sz w:val="22"/>
          <w:szCs w:val="22"/>
        </w:rPr>
      </w:pPr>
    </w:p>
    <w:p w14:paraId="7665B03F" w14:textId="77777777" w:rsidR="0098358B" w:rsidRPr="00693B87" w:rsidRDefault="0098358B" w:rsidP="005D6D1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6891EF70" w14:textId="77777777" w:rsidR="00A610E5" w:rsidRDefault="00DB4FBC" w:rsidP="005D6D15">
      <w:pPr>
        <w:spacing w:line="257" w:lineRule="auto"/>
        <w:ind w:left="567" w:right="531"/>
        <w:rPr>
          <w:rFonts w:ascii="Arial" w:eastAsia="Calibri" w:hAnsi="Arial" w:cs="Arial"/>
          <w:sz w:val="22"/>
          <w:szCs w:val="22"/>
        </w:rPr>
      </w:pPr>
      <w:r>
        <w:rPr>
          <w:rFonts w:ascii="Arial" w:eastAsia="Calibri" w:hAnsi="Arial" w:cs="Arial"/>
          <w:sz w:val="22"/>
          <w:szCs w:val="22"/>
        </w:rPr>
        <w:t xml:space="preserve">Outline potential links between </w:t>
      </w:r>
      <w:r w:rsidR="00C57F4C">
        <w:rPr>
          <w:rFonts w:ascii="Arial" w:eastAsia="Calibri" w:hAnsi="Arial" w:cs="Arial"/>
          <w:sz w:val="22"/>
          <w:szCs w:val="22"/>
        </w:rPr>
        <w:t xml:space="preserve">serious and organised crime and public protection issues. </w:t>
      </w:r>
      <w:r w:rsidR="00D11A80">
        <w:rPr>
          <w:rFonts w:ascii="Arial" w:eastAsia="Calibri" w:hAnsi="Arial" w:cs="Arial"/>
          <w:sz w:val="22"/>
          <w:szCs w:val="22"/>
        </w:rPr>
        <w:t xml:space="preserve">What </w:t>
      </w:r>
      <w:r w:rsidR="00A610E5">
        <w:rPr>
          <w:rFonts w:ascii="Arial" w:eastAsia="Calibri" w:hAnsi="Arial" w:cs="Arial"/>
          <w:sz w:val="22"/>
          <w:szCs w:val="22"/>
        </w:rPr>
        <w:t>characteristics make some people more vulnerable to exploitation by serious and organised crime gangs?</w:t>
      </w:r>
    </w:p>
    <w:p w14:paraId="5BFE8795" w14:textId="60902895" w:rsidR="00322E3E" w:rsidRDefault="00C21745" w:rsidP="005D6D1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sidR="00A610E5">
        <w:rPr>
          <w:rFonts w:ascii="Arial" w:eastAsia="Calibri" w:hAnsi="Arial" w:cs="Arial"/>
          <w:sz w:val="22"/>
          <w:szCs w:val="22"/>
        </w:rPr>
        <w:t>.</w:t>
      </w:r>
    </w:p>
    <w:p w14:paraId="159FDD4D" w14:textId="5A431EB9"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30F99270" w14:textId="4C7964C7" w:rsidR="00454735" w:rsidRDefault="00454735" w:rsidP="005D6D1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471BA855" w14:textId="50868E02" w:rsidR="00167ABC" w:rsidRPr="00E13A5B" w:rsidRDefault="00167ABC" w:rsidP="005D6D15">
      <w:pPr>
        <w:spacing w:line="257" w:lineRule="auto"/>
        <w:ind w:left="567" w:right="531"/>
        <w:rPr>
          <w:rFonts w:ascii="Arial" w:eastAsia="Calibri" w:hAnsi="Arial" w:cs="Arial"/>
          <w:color w:val="000000" w:themeColor="text1"/>
          <w:sz w:val="22"/>
          <w:szCs w:val="22"/>
        </w:rPr>
      </w:pPr>
      <w:r w:rsidRPr="00E13A5B">
        <w:rPr>
          <w:rFonts w:ascii="Arial" w:eastAsia="Calibri" w:hAnsi="Arial" w:cs="Arial"/>
          <w:color w:val="000000" w:themeColor="text1"/>
          <w:sz w:val="22"/>
          <w:szCs w:val="22"/>
        </w:rPr>
        <w:t xml:space="preserve">Studies have found that organised crime flourishes in vulnerable, disadvantaged communities. Such vulnerabilities include those with high levels of debt, drug addiction, mental health issues, dysfunctional families and children with adverse childhood experiences. </w:t>
      </w:r>
      <w:r w:rsidR="00617965">
        <w:rPr>
          <w:rFonts w:ascii="Arial" w:eastAsia="Calibri" w:hAnsi="Arial" w:cs="Arial"/>
          <w:color w:val="000000" w:themeColor="text1"/>
          <w:sz w:val="22"/>
          <w:szCs w:val="22"/>
        </w:rPr>
        <w:t>C</w:t>
      </w:r>
      <w:r w:rsidRPr="00E13A5B">
        <w:rPr>
          <w:rFonts w:ascii="Arial" w:eastAsia="Calibri" w:hAnsi="Arial" w:cs="Arial"/>
          <w:color w:val="000000" w:themeColor="text1"/>
          <w:sz w:val="22"/>
          <w:szCs w:val="22"/>
        </w:rPr>
        <w:t>ommunities such as these</w:t>
      </w:r>
      <w:r w:rsidR="00617965">
        <w:rPr>
          <w:rFonts w:ascii="Arial" w:eastAsia="Calibri" w:hAnsi="Arial" w:cs="Arial"/>
          <w:color w:val="000000" w:themeColor="text1"/>
          <w:sz w:val="22"/>
          <w:szCs w:val="22"/>
        </w:rPr>
        <w:t xml:space="preserve"> tend to be those targeted by serious organised crime gangs.</w:t>
      </w:r>
      <w:r w:rsidRPr="00E13A5B">
        <w:rPr>
          <w:rFonts w:ascii="Arial" w:eastAsia="Calibri" w:hAnsi="Arial" w:cs="Arial"/>
          <w:color w:val="000000" w:themeColor="text1"/>
          <w:sz w:val="22"/>
          <w:szCs w:val="22"/>
        </w:rPr>
        <w:t xml:space="preserve"> </w:t>
      </w:r>
      <w:r w:rsidR="00617965">
        <w:rPr>
          <w:rFonts w:ascii="Arial" w:eastAsia="Calibri" w:hAnsi="Arial" w:cs="Arial"/>
          <w:color w:val="000000" w:themeColor="text1"/>
          <w:sz w:val="22"/>
          <w:szCs w:val="22"/>
        </w:rPr>
        <w:t>I</w:t>
      </w:r>
      <w:r w:rsidRPr="00E13A5B">
        <w:rPr>
          <w:rFonts w:ascii="Arial" w:eastAsia="Calibri" w:hAnsi="Arial" w:cs="Arial"/>
          <w:color w:val="000000" w:themeColor="text1"/>
          <w:sz w:val="22"/>
          <w:szCs w:val="22"/>
        </w:rPr>
        <w:t xml:space="preserve">ndividuals in </w:t>
      </w:r>
      <w:r w:rsidR="00617965">
        <w:rPr>
          <w:rFonts w:ascii="Arial" w:eastAsia="Calibri" w:hAnsi="Arial" w:cs="Arial"/>
          <w:color w:val="000000" w:themeColor="text1"/>
          <w:sz w:val="22"/>
          <w:szCs w:val="22"/>
        </w:rPr>
        <w:t xml:space="preserve">these communities are likely to be </w:t>
      </w:r>
      <w:r w:rsidRPr="00E13A5B">
        <w:rPr>
          <w:rFonts w:ascii="Arial" w:eastAsia="Calibri" w:hAnsi="Arial" w:cs="Arial"/>
          <w:color w:val="000000" w:themeColor="text1"/>
          <w:sz w:val="22"/>
          <w:szCs w:val="22"/>
        </w:rPr>
        <w:t>need of financial assistance</w:t>
      </w:r>
      <w:r w:rsidR="00617965">
        <w:rPr>
          <w:rFonts w:ascii="Arial" w:eastAsia="Calibri" w:hAnsi="Arial" w:cs="Arial"/>
          <w:color w:val="000000" w:themeColor="text1"/>
          <w:sz w:val="22"/>
          <w:szCs w:val="22"/>
        </w:rPr>
        <w:t>, or drugs, and these individuals</w:t>
      </w:r>
      <w:r w:rsidRPr="00E13A5B">
        <w:rPr>
          <w:rFonts w:ascii="Arial" w:eastAsia="Calibri" w:hAnsi="Arial" w:cs="Arial"/>
          <w:color w:val="000000" w:themeColor="text1"/>
          <w:sz w:val="22"/>
          <w:szCs w:val="22"/>
        </w:rPr>
        <w:t xml:space="preserve"> may be enticed into criminal activity to tide them over, often without realising the significant implications to themselves of doing do. These implications could come in the form of high interest rates or conditions that they are unable to pay off; these debts are often owed to the same people who enticed them in, thus rendering them unable to escape from the life of crime they have become involved in (Hamilton-Smith, 2018).</w:t>
      </w:r>
    </w:p>
    <w:p w14:paraId="7FBD90A6" w14:textId="08BB175D" w:rsidR="00167ABC" w:rsidRPr="00E13A5B" w:rsidRDefault="00167ABC" w:rsidP="005D6D15">
      <w:pPr>
        <w:spacing w:line="257" w:lineRule="auto"/>
        <w:ind w:left="567" w:right="531"/>
        <w:rPr>
          <w:rFonts w:ascii="Arial" w:eastAsia="Calibri" w:hAnsi="Arial" w:cs="Arial"/>
          <w:color w:val="000000" w:themeColor="text1"/>
          <w:sz w:val="22"/>
          <w:szCs w:val="22"/>
        </w:rPr>
      </w:pPr>
      <w:r w:rsidRPr="00E13A5B">
        <w:rPr>
          <w:rFonts w:ascii="Arial" w:eastAsia="Calibri" w:hAnsi="Arial" w:cs="Arial"/>
          <w:color w:val="000000" w:themeColor="text1"/>
          <w:sz w:val="22"/>
          <w:szCs w:val="22"/>
        </w:rPr>
        <w:t xml:space="preserve">Thompson (2019) expanded on this, stating that one vulnerable group at risk of becoming a victim of organised crime are youths, with vulnerabilities such as learning difficulties, who were vulnerable to exploitation. Youths could also become involved in organised crime, after viewing it as a way to help provide for their families during times of financial difficulty, or to provide for themselves after being neglected (Thompson, 2019). </w:t>
      </w:r>
    </w:p>
    <w:p w14:paraId="0CFE34B2" w14:textId="6572936E" w:rsidR="00167ABC" w:rsidRPr="00E13A5B" w:rsidRDefault="00167ABC" w:rsidP="005D6D15">
      <w:pPr>
        <w:spacing w:line="257" w:lineRule="auto"/>
        <w:ind w:left="567" w:right="531"/>
        <w:rPr>
          <w:rFonts w:ascii="Arial" w:eastAsia="Calibri" w:hAnsi="Arial" w:cs="Arial"/>
          <w:color w:val="000000" w:themeColor="text1"/>
          <w:sz w:val="22"/>
          <w:szCs w:val="22"/>
        </w:rPr>
      </w:pPr>
      <w:r w:rsidRPr="00E13A5B">
        <w:rPr>
          <w:rFonts w:ascii="Arial" w:eastAsia="Calibri" w:hAnsi="Arial" w:cs="Arial"/>
          <w:color w:val="000000" w:themeColor="text1"/>
          <w:sz w:val="22"/>
          <w:szCs w:val="22"/>
        </w:rPr>
        <w:t xml:space="preserve">Vulnerable youths are often at risk of being exploited by organised crime gangs; they are at risk of being trafficked and used as drug runners for gangs operating over County lines. These gangs often do not need to take the youths from their families by force; they are enticed away, and it is often difficult for families to trace them and have them returned home. This can cause difficulties in securing convictions for such gang members (Stone, 2018). </w:t>
      </w:r>
    </w:p>
    <w:p w14:paraId="681C1376" w14:textId="0B5FEFCB" w:rsidR="00666727" w:rsidRPr="00E13A5B" w:rsidRDefault="00167ABC"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 xml:space="preserve">Crime gangs exploit other vulnerable individuals, as well as young people. The victims are often at high risk of drug addiction, criminal conviction and sexual abuse. Such individuals are often </w:t>
      </w:r>
      <w:r w:rsidRPr="00E13A5B">
        <w:rPr>
          <w:rFonts w:ascii="Arial" w:hAnsi="Arial" w:cs="Arial"/>
          <w:color w:val="000000" w:themeColor="text1"/>
          <w:sz w:val="22"/>
          <w:szCs w:val="22"/>
        </w:rPr>
        <w:lastRenderedPageBreak/>
        <w:t>used to transport drugs, and often, in the cases of vulnerable adults, their homes may be taken control of by using fear of extreme violence, as well as coercion (O’Hagan and Edmundson, 2021). Cuckooing is a term which has become more common in recent years, and refers to gangs, typically of drug dealers, taking over a vulnerable individuals home and using it to perform illegal activity such as drug dealing. The homes are usually not taken by force, but by befriending the victim and feeding on their vulnerabilities. This could include giving them drugs to gain compliance, before moving other gang members in and maintaining control of the victim using violence. Sometimes these victims are already drug addicts and could already be customers of theirs, who may have built up debts. Other vulnerable people targeted are those with learning difficulties or developmental disabilities, elderly people, young people and people who used to be homeless and may have engaged in crime. The common factors within these groups tend to be that they are isolated and lacking in support. They may feel lonely and initially welcome the contact, and are easily manipulated by crime gangs (Butera, 2013).</w:t>
      </w:r>
    </w:p>
    <w:p w14:paraId="4F022DA2" w14:textId="77777777" w:rsidR="00167ABC" w:rsidRPr="00E13A5B" w:rsidRDefault="00167ABC" w:rsidP="005D6D15">
      <w:pPr>
        <w:spacing w:line="257" w:lineRule="auto"/>
        <w:ind w:left="567" w:right="531"/>
        <w:rPr>
          <w:rFonts w:ascii="Arial" w:hAnsi="Arial" w:cs="Arial"/>
          <w:color w:val="000000" w:themeColor="text1"/>
          <w:sz w:val="22"/>
          <w:szCs w:val="22"/>
        </w:rPr>
      </w:pPr>
    </w:p>
    <w:p w14:paraId="3101D098" w14:textId="27BE9FC4" w:rsidR="00167ABC" w:rsidRPr="00E13A5B" w:rsidRDefault="00167ABC"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Migrants are often victims of organised crime, often being trafficked in from overseas to become modern-day slaves, some to be sex workers who are moved around often to service new clients. These individuals, who have come from abroad, are often not reported as missing while in the UK, and they are not being actively looked for. Sex workers may be forced to perform sexual acts on clients through violence or the fear of it and are often too afraid to engage with police. Sex workers have become less visible to law enforcement, due to the changing times; sex workers are no longer so visible on the streets, and the internet is often used to make arrangements.  Migrants are likely to become reliant on the crime gangs they are involved with for housing and an income in the UK, and feel unable to escape, and are also less likely to engage with the police (Crocker et al., 2017).</w:t>
      </w:r>
    </w:p>
    <w:p w14:paraId="65E8855D" w14:textId="77777777" w:rsidR="00167ABC" w:rsidRPr="00E13A5B" w:rsidRDefault="00167ABC" w:rsidP="005D6D15">
      <w:pPr>
        <w:spacing w:line="257" w:lineRule="auto"/>
        <w:ind w:left="567" w:right="531"/>
        <w:rPr>
          <w:rFonts w:ascii="Arial" w:hAnsi="Arial" w:cs="Arial"/>
          <w:color w:val="000000" w:themeColor="text1"/>
          <w:sz w:val="22"/>
          <w:szCs w:val="22"/>
        </w:rPr>
      </w:pPr>
    </w:p>
    <w:p w14:paraId="57B92F50" w14:textId="2A28137B" w:rsidR="00167ABC" w:rsidRPr="00E13A5B" w:rsidRDefault="00167ABC"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Young females with intellectual disabilities, or learning disabilities, have also been identified as those at risk of becoming victims of exploitation, particularly in relation to sex trafficking. The reasons for this include the fact that victims are often unaware of what is happening to them, and a knowledge of sexual exploitation or trafficking in general, to be able to identify that they are becoming victims of crime. Because of their disabilities, these young females are easily manipulated, and the dynamics of their relationship often make it difficult for prevention or intervention to occur (Reid, 2018). Young females without disabilities are also at risk of becoming victims of sexual exploitation, particularly if they are involved with an older “pimp” who they view as their boyfriend, and for whom they consider that they are doing acceptable favours for by performing sex acts in exchange for money. These females do not typically consider themselves to be victims, and cannot see that hey are being manipulated. Often these victims consider that because they have consented to it, it is not a crime, and are easily manipulated by older pimps who do not use violence, but instead use manipulation, to gain control (Anderson et al., 2014).</w:t>
      </w:r>
    </w:p>
    <w:p w14:paraId="72D489BD" w14:textId="1A9C85A3" w:rsidR="00167ABC" w:rsidRPr="00E13A5B" w:rsidRDefault="00167ABC" w:rsidP="005D6D15">
      <w:pPr>
        <w:spacing w:line="257" w:lineRule="auto"/>
        <w:ind w:left="567" w:right="531"/>
        <w:rPr>
          <w:rFonts w:ascii="Arial" w:hAnsi="Arial" w:cs="Arial"/>
          <w:color w:val="000000" w:themeColor="text1"/>
          <w:sz w:val="22"/>
          <w:szCs w:val="22"/>
        </w:rPr>
      </w:pPr>
      <w:r w:rsidRPr="00E13A5B">
        <w:rPr>
          <w:rFonts w:ascii="Arial" w:hAnsi="Arial" w:cs="Arial"/>
          <w:color w:val="000000" w:themeColor="text1"/>
          <w:sz w:val="22"/>
          <w:szCs w:val="22"/>
        </w:rPr>
        <w:t>As previously stated, the common factors among those vulnerable to becoming a victim of serious, organised crime are that they are often lonely, isolated individuals who are lacking in support, and are often not able to comprehend what they are becoming involved in, or that they are victims of crime. This seems to be in line with the definition of vulnerability, according to the College of Policing, which states that a person is vulnerable “if as a result of their situation or circumstances, they are unable to take care of or protect themselves or others from harm or exploitation” (College of Policing, 2021).</w:t>
      </w:r>
    </w:p>
    <w:p w14:paraId="631F5984" w14:textId="77777777" w:rsidR="00167ABC" w:rsidRDefault="00167ABC" w:rsidP="005D6D15">
      <w:pPr>
        <w:spacing w:line="257" w:lineRule="auto"/>
        <w:ind w:left="567" w:right="531"/>
        <w:rPr>
          <w:rFonts w:ascii="Arial" w:hAnsi="Arial" w:cs="Arial"/>
          <w:sz w:val="22"/>
          <w:szCs w:val="22"/>
        </w:rPr>
      </w:pPr>
    </w:p>
    <w:p w14:paraId="759E8F73" w14:textId="77777777" w:rsidR="00167ABC" w:rsidRDefault="00167ABC" w:rsidP="005D6D15">
      <w:pPr>
        <w:spacing w:line="257" w:lineRule="auto"/>
        <w:ind w:left="567" w:right="531"/>
        <w:rPr>
          <w:rFonts w:ascii="Arial" w:hAnsi="Arial" w:cs="Arial"/>
          <w:sz w:val="22"/>
          <w:szCs w:val="22"/>
        </w:rPr>
      </w:pPr>
    </w:p>
    <w:p w14:paraId="09CADE7C" w14:textId="77777777" w:rsidR="00167ABC" w:rsidRDefault="00167ABC" w:rsidP="005D6D15">
      <w:pPr>
        <w:spacing w:line="257" w:lineRule="auto"/>
        <w:ind w:left="567" w:right="531"/>
        <w:rPr>
          <w:rFonts w:ascii="Arial" w:hAnsi="Arial" w:cs="Arial"/>
          <w:sz w:val="22"/>
          <w:szCs w:val="22"/>
        </w:rPr>
      </w:pPr>
    </w:p>
    <w:p w14:paraId="589B929A" w14:textId="66114C73" w:rsidR="00167ABC" w:rsidRPr="00E13A5B" w:rsidRDefault="00E13A5B" w:rsidP="005D6D15">
      <w:pPr>
        <w:spacing w:line="257" w:lineRule="auto"/>
        <w:ind w:left="567" w:right="531"/>
        <w:rPr>
          <w:rFonts w:ascii="Arial" w:hAnsi="Arial" w:cs="Arial"/>
          <w:b/>
          <w:bCs/>
          <w:sz w:val="22"/>
          <w:szCs w:val="22"/>
        </w:rPr>
      </w:pPr>
      <w:r w:rsidRPr="00E13A5B">
        <w:rPr>
          <w:rFonts w:ascii="Arial" w:hAnsi="Arial" w:cs="Arial"/>
          <w:b/>
          <w:bCs/>
          <w:sz w:val="22"/>
          <w:szCs w:val="22"/>
        </w:rPr>
        <w:t>Word count:</w:t>
      </w:r>
      <w:r>
        <w:rPr>
          <w:rFonts w:ascii="Arial" w:hAnsi="Arial" w:cs="Arial"/>
          <w:b/>
          <w:bCs/>
          <w:sz w:val="22"/>
          <w:szCs w:val="22"/>
        </w:rPr>
        <w:t xml:space="preserve"> </w:t>
      </w:r>
      <w:r w:rsidRPr="00E13A5B">
        <w:rPr>
          <w:rFonts w:ascii="Arial" w:hAnsi="Arial" w:cs="Arial"/>
          <w:b/>
          <w:bCs/>
          <w:sz w:val="22"/>
          <w:szCs w:val="22"/>
        </w:rPr>
        <w:t>9</w:t>
      </w:r>
      <w:r w:rsidR="00617965">
        <w:rPr>
          <w:rFonts w:ascii="Arial" w:hAnsi="Arial" w:cs="Arial"/>
          <w:b/>
          <w:bCs/>
          <w:sz w:val="22"/>
          <w:szCs w:val="22"/>
        </w:rPr>
        <w:t>6</w:t>
      </w:r>
      <w:r w:rsidRPr="00E13A5B">
        <w:rPr>
          <w:rFonts w:ascii="Arial" w:hAnsi="Arial" w:cs="Arial"/>
          <w:b/>
          <w:bCs/>
          <w:sz w:val="22"/>
          <w:szCs w:val="22"/>
        </w:rPr>
        <w:t>7</w:t>
      </w:r>
    </w:p>
    <w:p w14:paraId="27DFA57C" w14:textId="77777777" w:rsidR="00167ABC" w:rsidRPr="00693B87" w:rsidRDefault="00167ABC" w:rsidP="005D6D15">
      <w:pPr>
        <w:spacing w:line="257" w:lineRule="auto"/>
        <w:ind w:left="567" w:right="531"/>
        <w:rPr>
          <w:rFonts w:ascii="Arial" w:hAnsi="Arial" w:cs="Arial"/>
          <w:sz w:val="22"/>
          <w:szCs w:val="22"/>
        </w:rPr>
      </w:pPr>
    </w:p>
    <w:p w14:paraId="59DF30D9" w14:textId="15CAD28A" w:rsidR="003B6C6B" w:rsidRDefault="003B6C6B" w:rsidP="005D6D15">
      <w:pPr>
        <w:spacing w:line="257" w:lineRule="auto"/>
        <w:ind w:left="567" w:right="531"/>
        <w:rPr>
          <w:rFonts w:ascii="Arial" w:hAnsi="Arial" w:cs="Arial"/>
          <w:sz w:val="22"/>
          <w:szCs w:val="22"/>
        </w:rPr>
      </w:pPr>
    </w:p>
    <w:p w14:paraId="20FBC370" w14:textId="5B1AF594" w:rsidR="00043DA5" w:rsidRDefault="00043DA5" w:rsidP="005D6D15">
      <w:pPr>
        <w:spacing w:line="257" w:lineRule="auto"/>
        <w:ind w:left="567" w:right="531"/>
        <w:rPr>
          <w:rFonts w:ascii="Arial" w:hAnsi="Arial" w:cs="Arial"/>
          <w:sz w:val="22"/>
          <w:szCs w:val="22"/>
        </w:rPr>
      </w:pPr>
    </w:p>
    <w:p w14:paraId="507D1AEC" w14:textId="2E1B0C69" w:rsidR="003B6BFF" w:rsidRDefault="00167ABC" w:rsidP="00167ABC">
      <w:pPr>
        <w:tabs>
          <w:tab w:val="left" w:pos="7750"/>
        </w:tabs>
        <w:spacing w:line="257" w:lineRule="auto"/>
        <w:ind w:left="567" w:right="531"/>
        <w:rPr>
          <w:rFonts w:ascii="Arial" w:hAnsi="Arial" w:cs="Arial"/>
          <w:sz w:val="22"/>
          <w:szCs w:val="22"/>
        </w:rPr>
      </w:pPr>
      <w:r>
        <w:rPr>
          <w:rFonts w:ascii="Arial" w:hAnsi="Arial" w:cs="Arial"/>
          <w:sz w:val="22"/>
          <w:szCs w:val="22"/>
        </w:rPr>
        <w:tab/>
      </w:r>
    </w:p>
    <w:p w14:paraId="3C29D3AF" w14:textId="77777777" w:rsidR="00D22D9C" w:rsidRPr="00A406E5" w:rsidRDefault="00D22D9C" w:rsidP="00D22D9C">
      <w:pPr>
        <w:jc w:val="both"/>
        <w:rPr>
          <w:rFonts w:ascii="Arial" w:hAnsi="Arial" w:cs="Arial"/>
          <w:sz w:val="22"/>
          <w:szCs w:val="22"/>
        </w:rPr>
      </w:pPr>
    </w:p>
    <w:p w14:paraId="4737536D" w14:textId="77777777" w:rsidR="00596779" w:rsidRDefault="00596779" w:rsidP="00EC1CDA">
      <w:pPr>
        <w:spacing w:line="276" w:lineRule="auto"/>
        <w:ind w:left="567" w:right="531"/>
        <w:jc w:val="both"/>
        <w:rPr>
          <w:rFonts w:ascii="Arial" w:hAnsi="Arial" w:cs="Arial"/>
          <w:sz w:val="24"/>
          <w:szCs w:val="24"/>
        </w:rPr>
      </w:pPr>
    </w:p>
    <w:p w14:paraId="7876337F" w14:textId="77777777" w:rsidR="00566456" w:rsidRPr="00BB33F1" w:rsidRDefault="00566456" w:rsidP="00EC1CDA">
      <w:pPr>
        <w:spacing w:line="276" w:lineRule="auto"/>
        <w:ind w:left="567" w:right="531"/>
        <w:jc w:val="both"/>
        <w:rPr>
          <w:rFonts w:ascii="Arial" w:hAnsi="Arial" w:cs="Arial"/>
          <w:sz w:val="24"/>
          <w:szCs w:val="24"/>
        </w:rPr>
      </w:pPr>
    </w:p>
    <w:p w14:paraId="0500F4A9" w14:textId="77777777" w:rsidR="00995D51" w:rsidRDefault="00995D51" w:rsidP="00D22D9C">
      <w:pPr>
        <w:jc w:val="both"/>
        <w:rPr>
          <w:rFonts w:ascii="Arial" w:hAnsi="Arial" w:cs="Arial"/>
          <w:sz w:val="22"/>
          <w:szCs w:val="22"/>
        </w:rPr>
      </w:pPr>
    </w:p>
    <w:p w14:paraId="10B6AFAB" w14:textId="7A15DFC2" w:rsidR="00D22D9C" w:rsidRPr="00566456" w:rsidRDefault="000202B6" w:rsidP="00D22D9C">
      <w:pPr>
        <w:jc w:val="both"/>
        <w:rPr>
          <w:rFonts w:ascii="Arial" w:hAnsi="Arial" w:cs="Arial"/>
          <w:b/>
          <w:bCs/>
          <w:sz w:val="40"/>
          <w:szCs w:val="40"/>
        </w:rPr>
      </w:pPr>
      <w:r w:rsidRPr="00566456">
        <w:rPr>
          <w:rFonts w:ascii="Arial" w:hAnsi="Arial" w:cs="Arial"/>
          <w:b/>
          <w:bCs/>
          <w:sz w:val="40"/>
          <w:szCs w:val="40"/>
        </w:rPr>
        <w:t>Bibliography</w:t>
      </w:r>
    </w:p>
    <w:p w14:paraId="190D2FFE" w14:textId="77777777" w:rsidR="000202B6" w:rsidRDefault="000202B6" w:rsidP="00D22D9C">
      <w:pPr>
        <w:jc w:val="both"/>
        <w:rPr>
          <w:rFonts w:ascii="Arial" w:hAnsi="Arial" w:cs="Arial"/>
          <w:sz w:val="22"/>
          <w:szCs w:val="22"/>
        </w:rPr>
      </w:pPr>
    </w:p>
    <w:p w14:paraId="012E4C2C" w14:textId="77777777" w:rsidR="000202B6" w:rsidRDefault="000202B6" w:rsidP="00D22D9C">
      <w:pPr>
        <w:jc w:val="both"/>
        <w:rPr>
          <w:rFonts w:ascii="Arial" w:hAnsi="Arial" w:cs="Arial"/>
          <w:sz w:val="22"/>
          <w:szCs w:val="22"/>
        </w:rPr>
      </w:pPr>
    </w:p>
    <w:p w14:paraId="1C1D5E09" w14:textId="77777777" w:rsidR="000202B6" w:rsidRDefault="000202B6" w:rsidP="00D22D9C">
      <w:pPr>
        <w:jc w:val="both"/>
        <w:rPr>
          <w:rFonts w:ascii="Arial" w:hAnsi="Arial" w:cs="Arial"/>
          <w:sz w:val="22"/>
          <w:szCs w:val="22"/>
        </w:rPr>
      </w:pPr>
    </w:p>
    <w:p w14:paraId="6C3AF01F" w14:textId="77777777" w:rsidR="000202B6" w:rsidRDefault="000202B6" w:rsidP="00D22D9C">
      <w:pPr>
        <w:jc w:val="both"/>
        <w:rPr>
          <w:rFonts w:ascii="Arial" w:hAnsi="Arial" w:cs="Arial"/>
          <w:sz w:val="22"/>
          <w:szCs w:val="22"/>
        </w:rPr>
      </w:pPr>
    </w:p>
    <w:p w14:paraId="61A8FCEE" w14:textId="77777777" w:rsidR="000202B6" w:rsidRDefault="000202B6" w:rsidP="000202B6">
      <w:pPr>
        <w:jc w:val="both"/>
        <w:rPr>
          <w:rFonts w:ascii="Arial" w:hAnsi="Arial" w:cs="Arial"/>
          <w:sz w:val="22"/>
          <w:szCs w:val="22"/>
        </w:rPr>
      </w:pPr>
      <w:r w:rsidRPr="000202B6">
        <w:rPr>
          <w:rFonts w:ascii="Arial" w:hAnsi="Arial" w:cs="Arial"/>
          <w:sz w:val="22"/>
          <w:szCs w:val="22"/>
        </w:rPr>
        <w:t>ACPO (2009) Practice Advice on the Management of Priority and Volume Crime (The Volume Crime Management Model) (Second Edition)</w:t>
      </w:r>
    </w:p>
    <w:p w14:paraId="4EEB2DA5" w14:textId="77777777" w:rsidR="000202B6" w:rsidRDefault="000202B6" w:rsidP="000202B6">
      <w:pPr>
        <w:jc w:val="both"/>
        <w:rPr>
          <w:rFonts w:ascii="Arial" w:hAnsi="Arial" w:cs="Arial"/>
          <w:sz w:val="22"/>
          <w:szCs w:val="22"/>
        </w:rPr>
      </w:pPr>
    </w:p>
    <w:p w14:paraId="76447E01" w14:textId="77777777" w:rsidR="00167ABC" w:rsidRDefault="00167ABC" w:rsidP="000202B6">
      <w:pPr>
        <w:jc w:val="both"/>
        <w:rPr>
          <w:rFonts w:ascii="Arial" w:hAnsi="Arial" w:cs="Arial"/>
          <w:sz w:val="22"/>
          <w:szCs w:val="22"/>
        </w:rPr>
      </w:pPr>
    </w:p>
    <w:p w14:paraId="3B8AD0F9"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Anderson, P.M., Coyle, K.K., Johnson, A., Tenner, J., (2014),  An Exploratory Study of Adolescent Pimping Relationships. </w:t>
      </w:r>
      <w:r w:rsidRPr="00167ABC">
        <w:rPr>
          <w:rFonts w:ascii="Arial" w:hAnsi="Arial" w:cs="Arial"/>
          <w:i/>
          <w:iCs/>
          <w:sz w:val="22"/>
          <w:szCs w:val="22"/>
        </w:rPr>
        <w:t>J Primary Prevent</w:t>
      </w:r>
      <w:r w:rsidRPr="00167ABC">
        <w:rPr>
          <w:rFonts w:ascii="Arial" w:hAnsi="Arial" w:cs="Arial"/>
          <w:sz w:val="22"/>
          <w:szCs w:val="22"/>
        </w:rPr>
        <w:t> </w:t>
      </w:r>
      <w:r w:rsidRPr="00167ABC">
        <w:rPr>
          <w:rFonts w:ascii="Arial" w:hAnsi="Arial" w:cs="Arial"/>
          <w:b/>
          <w:bCs/>
          <w:sz w:val="22"/>
          <w:szCs w:val="22"/>
        </w:rPr>
        <w:t>35</w:t>
      </w:r>
      <w:r w:rsidRPr="00167ABC">
        <w:rPr>
          <w:rFonts w:ascii="Arial" w:hAnsi="Arial" w:cs="Arial"/>
          <w:sz w:val="22"/>
          <w:szCs w:val="22"/>
        </w:rPr>
        <w:t xml:space="preserve">, 113–117. </w:t>
      </w:r>
      <w:hyperlink r:id="rId10" w:history="1">
        <w:r w:rsidRPr="00167ABC">
          <w:rPr>
            <w:rStyle w:val="Hyperlink"/>
            <w:rFonts w:ascii="Arial" w:hAnsi="Arial" w:cs="Arial"/>
            <w:sz w:val="22"/>
            <w:szCs w:val="22"/>
          </w:rPr>
          <w:t>https://doi.org/10.1007/s10935-014-0338-3</w:t>
        </w:r>
      </w:hyperlink>
    </w:p>
    <w:p w14:paraId="508591FE" w14:textId="77777777" w:rsidR="00167ABC" w:rsidRDefault="00167ABC" w:rsidP="000202B6">
      <w:pPr>
        <w:jc w:val="both"/>
        <w:rPr>
          <w:rFonts w:ascii="Arial" w:hAnsi="Arial" w:cs="Arial"/>
          <w:sz w:val="22"/>
          <w:szCs w:val="22"/>
        </w:rPr>
      </w:pPr>
    </w:p>
    <w:p w14:paraId="261E447E" w14:textId="77777777" w:rsidR="000202B6" w:rsidRPr="000202B6" w:rsidRDefault="000202B6" w:rsidP="000202B6">
      <w:pPr>
        <w:jc w:val="both"/>
        <w:rPr>
          <w:rFonts w:ascii="Arial" w:hAnsi="Arial" w:cs="Arial"/>
          <w:sz w:val="22"/>
          <w:szCs w:val="22"/>
        </w:rPr>
      </w:pPr>
      <w:r w:rsidRPr="000202B6">
        <w:rPr>
          <w:rFonts w:ascii="Arial" w:hAnsi="Arial" w:cs="Arial"/>
          <w:sz w:val="22"/>
          <w:szCs w:val="22"/>
        </w:rPr>
        <w:t>Beehr, T.A., Johnson, L.B., &amp; Nieva, R. (1995). Occupational stress: Coping of police and their spouses. </w:t>
      </w:r>
      <w:r w:rsidRPr="000202B6">
        <w:rPr>
          <w:rFonts w:ascii="Arial" w:hAnsi="Arial" w:cs="Arial"/>
          <w:i/>
          <w:iCs/>
          <w:sz w:val="22"/>
          <w:szCs w:val="22"/>
        </w:rPr>
        <w:t>Journal of Organizational Behavior</w:t>
      </w:r>
      <w:r w:rsidRPr="000202B6">
        <w:rPr>
          <w:rFonts w:ascii="Arial" w:hAnsi="Arial" w:cs="Arial"/>
          <w:sz w:val="22"/>
          <w:szCs w:val="22"/>
        </w:rPr>
        <w:t>, 16, 3-25.</w:t>
      </w:r>
    </w:p>
    <w:p w14:paraId="3770F016" w14:textId="77777777" w:rsidR="000202B6" w:rsidRDefault="000202B6" w:rsidP="000202B6">
      <w:pPr>
        <w:jc w:val="both"/>
        <w:rPr>
          <w:rFonts w:ascii="Arial" w:hAnsi="Arial" w:cs="Arial"/>
          <w:sz w:val="22"/>
          <w:szCs w:val="22"/>
        </w:rPr>
      </w:pPr>
    </w:p>
    <w:p w14:paraId="6D2C0627" w14:textId="77777777" w:rsidR="000202B6" w:rsidRDefault="000202B6" w:rsidP="000202B6">
      <w:pPr>
        <w:jc w:val="both"/>
        <w:rPr>
          <w:rFonts w:ascii="Arial" w:hAnsi="Arial" w:cs="Arial"/>
          <w:sz w:val="22"/>
          <w:szCs w:val="22"/>
        </w:rPr>
      </w:pPr>
    </w:p>
    <w:p w14:paraId="2F8208FD" w14:textId="77777777" w:rsidR="000202B6" w:rsidRPr="000202B6" w:rsidRDefault="000202B6" w:rsidP="000202B6">
      <w:pPr>
        <w:jc w:val="both"/>
        <w:rPr>
          <w:rFonts w:ascii="Arial" w:hAnsi="Arial" w:cs="Arial"/>
          <w:sz w:val="22"/>
          <w:szCs w:val="22"/>
        </w:rPr>
      </w:pPr>
      <w:r w:rsidRPr="000202B6">
        <w:rPr>
          <w:rFonts w:ascii="Arial" w:hAnsi="Arial" w:cs="Arial"/>
          <w:sz w:val="22"/>
          <w:szCs w:val="22"/>
        </w:rPr>
        <w:t>Bhugowandeen, B. (2013). </w:t>
      </w:r>
      <w:r w:rsidRPr="000202B6">
        <w:rPr>
          <w:rFonts w:ascii="Arial" w:hAnsi="Arial" w:cs="Arial"/>
          <w:i/>
          <w:iCs/>
          <w:sz w:val="22"/>
          <w:szCs w:val="22"/>
        </w:rPr>
        <w:t>Diversity in the British police: Adapting to a multicultural society</w:t>
      </w:r>
      <w:r w:rsidRPr="000202B6">
        <w:rPr>
          <w:rFonts w:ascii="Arial" w:hAnsi="Arial" w:cs="Arial"/>
          <w:sz w:val="22"/>
          <w:szCs w:val="22"/>
        </w:rPr>
        <w:t>. </w:t>
      </w:r>
      <w:hyperlink r:id="rId11" w:history="1">
        <w:r w:rsidRPr="000202B6">
          <w:rPr>
            <w:rStyle w:val="Hyperlink"/>
            <w:rFonts w:ascii="Arial" w:hAnsi="Arial" w:cs="Arial"/>
            <w:sz w:val="22"/>
            <w:szCs w:val="22"/>
          </w:rPr>
          <w:t>https://doi.org/10.4000/mimmoc.1340</w:t>
        </w:r>
      </w:hyperlink>
    </w:p>
    <w:p w14:paraId="6E1C469A" w14:textId="77777777" w:rsidR="000202B6" w:rsidRDefault="000202B6" w:rsidP="000202B6">
      <w:pPr>
        <w:jc w:val="both"/>
        <w:rPr>
          <w:rFonts w:ascii="Arial" w:hAnsi="Arial" w:cs="Arial"/>
          <w:sz w:val="22"/>
          <w:szCs w:val="22"/>
        </w:rPr>
      </w:pPr>
    </w:p>
    <w:p w14:paraId="6C41B910" w14:textId="0A65F34A" w:rsidR="000202B6" w:rsidRDefault="000202B6" w:rsidP="000202B6">
      <w:pPr>
        <w:jc w:val="both"/>
        <w:rPr>
          <w:rFonts w:ascii="Arial" w:hAnsi="Arial" w:cs="Arial"/>
          <w:sz w:val="22"/>
          <w:szCs w:val="22"/>
          <w:lang w:val="en"/>
        </w:rPr>
      </w:pPr>
      <w:r w:rsidRPr="000202B6">
        <w:rPr>
          <w:rFonts w:ascii="Arial" w:hAnsi="Arial" w:cs="Arial"/>
          <w:sz w:val="22"/>
          <w:szCs w:val="22"/>
        </w:rPr>
        <w:t>Bowling B., Phillips, C., 'Policing ethnic minority communities' originally published in Newburn, Tim, (ed.) </w:t>
      </w:r>
      <w:r w:rsidRPr="000202B6">
        <w:rPr>
          <w:rFonts w:ascii="Arial" w:hAnsi="Arial" w:cs="Arial"/>
          <w:i/>
          <w:iCs/>
          <w:sz w:val="22"/>
          <w:szCs w:val="22"/>
        </w:rPr>
        <w:t>Handbook of policing</w:t>
      </w:r>
      <w:r w:rsidRPr="000202B6">
        <w:rPr>
          <w:rFonts w:ascii="Arial" w:hAnsi="Arial" w:cs="Arial"/>
          <w:sz w:val="22"/>
          <w:szCs w:val="22"/>
        </w:rPr>
        <w:t>. </w:t>
      </w:r>
      <w:r w:rsidRPr="000202B6">
        <w:rPr>
          <w:rFonts w:ascii="Arial" w:hAnsi="Arial" w:cs="Arial"/>
          <w:sz w:val="22"/>
          <w:szCs w:val="22"/>
          <w:lang w:val="en"/>
        </w:rPr>
        <w:t xml:space="preserve">Willan Publishing, Devon, UK, 2003 pp. 528-555, </w:t>
      </w:r>
      <w:r>
        <w:rPr>
          <w:rFonts w:ascii="Arial" w:hAnsi="Arial" w:cs="Arial"/>
          <w:sz w:val="22"/>
          <w:szCs w:val="22"/>
          <w:lang w:val="en"/>
        </w:rPr>
        <w:t xml:space="preserve">Accessed at: </w:t>
      </w:r>
      <w:r w:rsidRPr="000202B6">
        <w:rPr>
          <w:rFonts w:ascii="Arial" w:hAnsi="Arial" w:cs="Arial"/>
          <w:sz w:val="22"/>
          <w:szCs w:val="22"/>
          <w:lang w:val="en"/>
        </w:rPr>
        <w:t>&lt;</w:t>
      </w:r>
      <w:hyperlink r:id="rId12" w:history="1">
        <w:r w:rsidRPr="000202B6">
          <w:rPr>
            <w:rStyle w:val="Hyperlink"/>
            <w:rFonts w:ascii="Arial" w:hAnsi="Arial" w:cs="Arial"/>
            <w:sz w:val="22"/>
            <w:szCs w:val="22"/>
            <w:lang w:val="en"/>
          </w:rPr>
          <w:t>http://eprints.lse.ac.uk/9576/1/Policing_ethnic_minority_communities_%28LSERO%29.pdf</w:t>
        </w:r>
      </w:hyperlink>
      <w:r w:rsidRPr="000202B6">
        <w:rPr>
          <w:rFonts w:ascii="Arial" w:hAnsi="Arial" w:cs="Arial"/>
          <w:sz w:val="22"/>
          <w:szCs w:val="22"/>
          <w:lang w:val="en"/>
        </w:rPr>
        <w:t>&gt;, accessed 24th November 2024</w:t>
      </w:r>
    </w:p>
    <w:p w14:paraId="520A97E8" w14:textId="77777777" w:rsidR="00167ABC" w:rsidRDefault="00167ABC" w:rsidP="000202B6">
      <w:pPr>
        <w:jc w:val="both"/>
        <w:rPr>
          <w:rFonts w:ascii="Arial" w:hAnsi="Arial" w:cs="Arial"/>
          <w:sz w:val="22"/>
          <w:szCs w:val="22"/>
        </w:rPr>
      </w:pPr>
    </w:p>
    <w:p w14:paraId="0A1F08EB"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Butera J. A. (2013). </w:t>
      </w:r>
      <w:r w:rsidRPr="00167ABC">
        <w:rPr>
          <w:rFonts w:ascii="Arial" w:hAnsi="Arial" w:cs="Arial"/>
          <w:i/>
          <w:iCs/>
          <w:sz w:val="22"/>
          <w:szCs w:val="22"/>
        </w:rPr>
        <w:t>Cuckooing: Home takeovers of vulnerable tenants</w:t>
      </w:r>
      <w:r w:rsidRPr="00167ABC">
        <w:rPr>
          <w:rFonts w:ascii="Arial" w:hAnsi="Arial" w:cs="Arial"/>
          <w:sz w:val="22"/>
          <w:szCs w:val="22"/>
        </w:rPr>
        <w:t>. Ottawa, Ontario, Canada: Crime Prevention Ottawa. Retrieved from </w:t>
      </w:r>
      <w:hyperlink r:id="rId13" w:history="1">
        <w:r w:rsidRPr="00167ABC">
          <w:rPr>
            <w:rStyle w:val="Hyperlink"/>
            <w:rFonts w:ascii="Arial" w:hAnsi="Arial" w:cs="Arial"/>
            <w:sz w:val="22"/>
            <w:szCs w:val="22"/>
          </w:rPr>
          <w:t>http://www.crimepreventionottawa.ca/en/publications/neighbourhoods</w:t>
        </w:r>
      </w:hyperlink>
    </w:p>
    <w:p w14:paraId="2E65AE19" w14:textId="77777777" w:rsidR="00167ABC" w:rsidRPr="000202B6" w:rsidRDefault="00167ABC" w:rsidP="000202B6">
      <w:pPr>
        <w:jc w:val="both"/>
        <w:rPr>
          <w:rFonts w:ascii="Arial" w:hAnsi="Arial" w:cs="Arial"/>
          <w:sz w:val="22"/>
          <w:szCs w:val="22"/>
        </w:rPr>
      </w:pPr>
    </w:p>
    <w:p w14:paraId="189974BA" w14:textId="77777777" w:rsidR="000202B6" w:rsidRDefault="000202B6" w:rsidP="00D22D9C">
      <w:pPr>
        <w:jc w:val="both"/>
        <w:rPr>
          <w:rFonts w:ascii="Arial" w:hAnsi="Arial" w:cs="Arial"/>
          <w:sz w:val="22"/>
          <w:szCs w:val="22"/>
        </w:rPr>
      </w:pPr>
    </w:p>
    <w:p w14:paraId="16B62A29" w14:textId="77777777" w:rsidR="00167ABC" w:rsidRDefault="00167ABC" w:rsidP="00167ABC">
      <w:pPr>
        <w:jc w:val="both"/>
        <w:rPr>
          <w:rFonts w:ascii="Arial" w:hAnsi="Arial" w:cs="Arial"/>
          <w:sz w:val="22"/>
          <w:szCs w:val="22"/>
        </w:rPr>
      </w:pPr>
      <w:r w:rsidRPr="00167ABC">
        <w:rPr>
          <w:rFonts w:ascii="Arial" w:hAnsi="Arial" w:cs="Arial"/>
          <w:sz w:val="22"/>
          <w:szCs w:val="22"/>
        </w:rPr>
        <w:t>Charman, Sarah. (2019). Making sense of policing identities: the ‘deserving’ and the ‘undeserving’ in policing accounts of victimisation. Policing and Society. 30. 1-17. 10.1080/10439463.2019.1601721. </w:t>
      </w:r>
    </w:p>
    <w:p w14:paraId="294B3B89" w14:textId="77777777" w:rsidR="00167ABC" w:rsidRDefault="00167ABC" w:rsidP="00167ABC">
      <w:pPr>
        <w:jc w:val="both"/>
        <w:rPr>
          <w:rFonts w:ascii="Arial" w:hAnsi="Arial" w:cs="Arial"/>
          <w:sz w:val="22"/>
          <w:szCs w:val="22"/>
        </w:rPr>
      </w:pPr>
    </w:p>
    <w:p w14:paraId="22B26EC3" w14:textId="77777777" w:rsidR="00167ABC" w:rsidRPr="00167ABC" w:rsidRDefault="00167ABC" w:rsidP="00167ABC">
      <w:pPr>
        <w:jc w:val="both"/>
        <w:rPr>
          <w:rFonts w:ascii="Arial" w:hAnsi="Arial" w:cs="Arial"/>
          <w:sz w:val="22"/>
          <w:szCs w:val="22"/>
        </w:rPr>
      </w:pPr>
      <w:r>
        <w:rPr>
          <w:rFonts w:ascii="Arial" w:hAnsi="Arial" w:cs="Arial"/>
          <w:sz w:val="22"/>
          <w:szCs w:val="22"/>
        </w:rPr>
        <w:t xml:space="preserve">College of Policing, (2021), Introduction to vulnerability-related risk. Accessed at: </w:t>
      </w:r>
      <w:hyperlink r:id="rId14" w:history="1">
        <w:r w:rsidRPr="00167ABC">
          <w:rPr>
            <w:rStyle w:val="Hyperlink"/>
            <w:rFonts w:ascii="Arial" w:hAnsi="Arial" w:cs="Arial"/>
            <w:sz w:val="22"/>
            <w:szCs w:val="22"/>
          </w:rPr>
          <w:t>https://www.college.police.uk/guidance/vulnerability-related-risks/introduction-vulnerability-related-risk#:</w:t>
        </w:r>
      </w:hyperlink>
      <w:r w:rsidRPr="00167ABC">
        <w:rPr>
          <w:rFonts w:ascii="Arial" w:hAnsi="Arial" w:cs="Arial"/>
          <w:sz w:val="22"/>
          <w:szCs w:val="22"/>
        </w:rPr>
        <w:t>~:text=This%20states%20that%20a%20person,others%20from%20harm%20or%20exploitation.</w:t>
      </w:r>
    </w:p>
    <w:p w14:paraId="6162B1DC" w14:textId="63D27C6D" w:rsidR="00167ABC" w:rsidRPr="00167ABC" w:rsidRDefault="00167ABC" w:rsidP="00167ABC">
      <w:pPr>
        <w:jc w:val="both"/>
        <w:rPr>
          <w:rFonts w:ascii="Arial" w:hAnsi="Arial" w:cs="Arial"/>
          <w:sz w:val="22"/>
          <w:szCs w:val="22"/>
        </w:rPr>
      </w:pPr>
      <w:r>
        <w:rPr>
          <w:rFonts w:ascii="Arial" w:hAnsi="Arial" w:cs="Arial"/>
          <w:sz w:val="22"/>
          <w:szCs w:val="22"/>
        </w:rPr>
        <w:t>On: 24</w:t>
      </w:r>
      <w:r w:rsidRPr="00167ABC">
        <w:rPr>
          <w:rFonts w:ascii="Arial" w:hAnsi="Arial" w:cs="Arial"/>
          <w:sz w:val="22"/>
          <w:szCs w:val="22"/>
          <w:vertAlign w:val="superscript"/>
        </w:rPr>
        <w:t>th</w:t>
      </w:r>
      <w:r>
        <w:rPr>
          <w:rFonts w:ascii="Arial" w:hAnsi="Arial" w:cs="Arial"/>
          <w:sz w:val="22"/>
          <w:szCs w:val="22"/>
        </w:rPr>
        <w:t xml:space="preserve"> November 2024</w:t>
      </w:r>
    </w:p>
    <w:p w14:paraId="21DBC766" w14:textId="77777777" w:rsidR="00167ABC" w:rsidRDefault="00167ABC" w:rsidP="00D22D9C">
      <w:pPr>
        <w:jc w:val="both"/>
        <w:rPr>
          <w:rFonts w:ascii="Arial" w:hAnsi="Arial" w:cs="Arial"/>
          <w:sz w:val="22"/>
          <w:szCs w:val="22"/>
        </w:rPr>
      </w:pPr>
    </w:p>
    <w:p w14:paraId="18059995" w14:textId="77777777" w:rsidR="00167ABC" w:rsidRDefault="00167ABC" w:rsidP="00D22D9C">
      <w:pPr>
        <w:jc w:val="both"/>
        <w:rPr>
          <w:rFonts w:ascii="Arial" w:hAnsi="Arial" w:cs="Arial"/>
          <w:sz w:val="22"/>
          <w:szCs w:val="22"/>
        </w:rPr>
      </w:pPr>
    </w:p>
    <w:p w14:paraId="625A86D4" w14:textId="3EFE4285" w:rsidR="000202B6" w:rsidRDefault="000202B6" w:rsidP="00D22D9C">
      <w:pPr>
        <w:jc w:val="both"/>
        <w:rPr>
          <w:rFonts w:ascii="Arial" w:hAnsi="Arial" w:cs="Arial"/>
          <w:sz w:val="22"/>
          <w:szCs w:val="22"/>
        </w:rPr>
      </w:pPr>
      <w:r>
        <w:rPr>
          <w:rFonts w:ascii="Arial" w:hAnsi="Arial" w:cs="Arial"/>
          <w:sz w:val="22"/>
          <w:szCs w:val="22"/>
        </w:rPr>
        <w:t xml:space="preserve">College of Policing,(2023) Making Good decisions. Accessed At: </w:t>
      </w:r>
      <w:hyperlink r:id="rId15" w:history="1">
        <w:r w:rsidRPr="00771CC9">
          <w:rPr>
            <w:rStyle w:val="Hyperlink"/>
            <w:rFonts w:ascii="Arial" w:hAnsi="Arial" w:cs="Arial"/>
            <w:sz w:val="22"/>
            <w:szCs w:val="22"/>
          </w:rPr>
          <w:t>https://www.college.police.uk/guidance/conducting-effective-investigations/making-good-decisions#</w:t>
        </w:r>
      </w:hyperlink>
      <w:r>
        <w:rPr>
          <w:rFonts w:ascii="Arial" w:hAnsi="Arial" w:cs="Arial"/>
          <w:sz w:val="22"/>
          <w:szCs w:val="22"/>
        </w:rPr>
        <w:t>: on 22</w:t>
      </w:r>
      <w:r w:rsidRPr="000202B6">
        <w:rPr>
          <w:rFonts w:ascii="Arial" w:hAnsi="Arial" w:cs="Arial"/>
          <w:sz w:val="22"/>
          <w:szCs w:val="22"/>
          <w:vertAlign w:val="superscript"/>
        </w:rPr>
        <w:t>nd</w:t>
      </w:r>
      <w:r>
        <w:rPr>
          <w:rFonts w:ascii="Arial" w:hAnsi="Arial" w:cs="Arial"/>
          <w:sz w:val="22"/>
          <w:szCs w:val="22"/>
        </w:rPr>
        <w:t xml:space="preserve"> November 2024</w:t>
      </w:r>
    </w:p>
    <w:p w14:paraId="5F480F60" w14:textId="77777777" w:rsidR="000202B6" w:rsidRDefault="000202B6" w:rsidP="00D22D9C">
      <w:pPr>
        <w:jc w:val="both"/>
        <w:rPr>
          <w:rFonts w:ascii="Arial" w:hAnsi="Arial" w:cs="Arial"/>
          <w:sz w:val="22"/>
          <w:szCs w:val="22"/>
        </w:rPr>
      </w:pPr>
    </w:p>
    <w:p w14:paraId="3D7D947D" w14:textId="15993FDE" w:rsidR="000202B6" w:rsidRDefault="000202B6" w:rsidP="00D22D9C">
      <w:pPr>
        <w:jc w:val="both"/>
        <w:rPr>
          <w:rFonts w:ascii="Arial" w:hAnsi="Arial" w:cs="Arial"/>
          <w:sz w:val="22"/>
          <w:szCs w:val="22"/>
        </w:rPr>
      </w:pPr>
      <w:r>
        <w:rPr>
          <w:rFonts w:ascii="Arial" w:hAnsi="Arial" w:cs="Arial"/>
          <w:sz w:val="22"/>
          <w:szCs w:val="22"/>
        </w:rPr>
        <w:t>College of Policing, (2020), Promoting and supporting diversity and inclusion</w:t>
      </w:r>
    </w:p>
    <w:p w14:paraId="6B7ABD7B" w14:textId="743061EE" w:rsidR="000202B6" w:rsidRDefault="000202B6" w:rsidP="00D22D9C">
      <w:pPr>
        <w:jc w:val="both"/>
        <w:rPr>
          <w:rFonts w:ascii="Arial" w:hAnsi="Arial" w:cs="Arial"/>
          <w:sz w:val="22"/>
          <w:szCs w:val="22"/>
        </w:rPr>
      </w:pPr>
      <w:r>
        <w:rPr>
          <w:rFonts w:ascii="Arial" w:hAnsi="Arial" w:cs="Arial"/>
          <w:sz w:val="22"/>
          <w:szCs w:val="22"/>
        </w:rPr>
        <w:t xml:space="preserve">Accessed at: </w:t>
      </w:r>
      <w:hyperlink r:id="rId16" w:history="1">
        <w:r w:rsidRPr="000202B6">
          <w:rPr>
            <w:rStyle w:val="Hyperlink"/>
            <w:rFonts w:ascii="Arial" w:hAnsi="Arial" w:cs="Arial"/>
            <w:sz w:val="22"/>
            <w:szCs w:val="22"/>
          </w:rPr>
          <w:t>https://www.college.police.uk/article/diversity-and-inclusion-cpd-in-focus#:</w:t>
        </w:r>
      </w:hyperlink>
    </w:p>
    <w:p w14:paraId="0627BBD4" w14:textId="210D7F37" w:rsidR="000202B6" w:rsidRDefault="000202B6" w:rsidP="00D22D9C">
      <w:pPr>
        <w:jc w:val="both"/>
        <w:rPr>
          <w:rFonts w:ascii="Arial" w:hAnsi="Arial" w:cs="Arial"/>
          <w:sz w:val="22"/>
          <w:szCs w:val="22"/>
        </w:rPr>
      </w:pPr>
      <w:r>
        <w:rPr>
          <w:rFonts w:ascii="Arial" w:hAnsi="Arial" w:cs="Arial"/>
          <w:sz w:val="22"/>
          <w:szCs w:val="22"/>
        </w:rPr>
        <w:t>On: 20</w:t>
      </w:r>
      <w:r w:rsidRPr="000202B6">
        <w:rPr>
          <w:rFonts w:ascii="Arial" w:hAnsi="Arial" w:cs="Arial"/>
          <w:sz w:val="22"/>
          <w:szCs w:val="22"/>
          <w:vertAlign w:val="superscript"/>
        </w:rPr>
        <w:t>th</w:t>
      </w:r>
      <w:r>
        <w:rPr>
          <w:rFonts w:ascii="Arial" w:hAnsi="Arial" w:cs="Arial"/>
          <w:sz w:val="22"/>
          <w:szCs w:val="22"/>
        </w:rPr>
        <w:t xml:space="preserve"> November 2024</w:t>
      </w:r>
    </w:p>
    <w:p w14:paraId="5AFDBEEF" w14:textId="77777777" w:rsidR="00EA05D0" w:rsidRDefault="00EA05D0" w:rsidP="00D22D9C">
      <w:pPr>
        <w:jc w:val="both"/>
        <w:rPr>
          <w:rFonts w:ascii="Arial" w:hAnsi="Arial" w:cs="Arial"/>
          <w:sz w:val="22"/>
          <w:szCs w:val="22"/>
        </w:rPr>
      </w:pPr>
    </w:p>
    <w:p w14:paraId="41C62AEF" w14:textId="64806B78" w:rsidR="00EA05D0" w:rsidRDefault="00EA05D0" w:rsidP="00D22D9C">
      <w:pPr>
        <w:jc w:val="both"/>
        <w:rPr>
          <w:rFonts w:ascii="Arial" w:hAnsi="Arial" w:cs="Arial"/>
          <w:sz w:val="22"/>
          <w:szCs w:val="22"/>
        </w:rPr>
      </w:pPr>
      <w:r>
        <w:rPr>
          <w:rFonts w:ascii="Arial" w:hAnsi="Arial" w:cs="Arial"/>
          <w:sz w:val="22"/>
          <w:szCs w:val="22"/>
        </w:rPr>
        <w:t>College of Policing, (2024), Wellbeing intervention for police officers and staff- Pause Point</w:t>
      </w:r>
    </w:p>
    <w:p w14:paraId="63F0FBD9" w14:textId="77777777" w:rsidR="00615C3F" w:rsidRPr="00615C3F" w:rsidRDefault="00EA05D0" w:rsidP="00615C3F">
      <w:pPr>
        <w:jc w:val="both"/>
        <w:rPr>
          <w:rFonts w:ascii="Arial" w:hAnsi="Arial" w:cs="Arial"/>
          <w:sz w:val="22"/>
          <w:szCs w:val="22"/>
        </w:rPr>
      </w:pPr>
      <w:r>
        <w:rPr>
          <w:rFonts w:ascii="Arial" w:hAnsi="Arial" w:cs="Arial"/>
          <w:sz w:val="22"/>
          <w:szCs w:val="22"/>
        </w:rPr>
        <w:t>Accessed at:</w:t>
      </w:r>
      <w:r w:rsidR="00615C3F">
        <w:rPr>
          <w:rFonts w:ascii="Arial" w:hAnsi="Arial" w:cs="Arial"/>
          <w:sz w:val="22"/>
          <w:szCs w:val="22"/>
        </w:rPr>
        <w:t xml:space="preserve"> </w:t>
      </w:r>
      <w:hyperlink r:id="rId17" w:history="1">
        <w:r w:rsidR="00615C3F" w:rsidRPr="00615C3F">
          <w:rPr>
            <w:rStyle w:val="Hyperlink"/>
            <w:rFonts w:ascii="Arial" w:hAnsi="Arial" w:cs="Arial"/>
            <w:sz w:val="22"/>
            <w:szCs w:val="22"/>
          </w:rPr>
          <w:t>https://www.college.police.uk/support-forces/practices/wellbeing-intervention-police-officers-and-staff-pause-point</w:t>
        </w:r>
      </w:hyperlink>
    </w:p>
    <w:p w14:paraId="7DCA7B12" w14:textId="7F3E61E3" w:rsidR="00EA05D0" w:rsidRDefault="00EA05D0" w:rsidP="00D22D9C">
      <w:pPr>
        <w:jc w:val="both"/>
        <w:rPr>
          <w:rFonts w:ascii="Arial" w:hAnsi="Arial" w:cs="Arial"/>
          <w:sz w:val="22"/>
          <w:szCs w:val="22"/>
        </w:rPr>
      </w:pPr>
      <w:r>
        <w:rPr>
          <w:rFonts w:ascii="Arial" w:hAnsi="Arial" w:cs="Arial"/>
          <w:sz w:val="22"/>
          <w:szCs w:val="22"/>
        </w:rPr>
        <w:t>On: 24</w:t>
      </w:r>
      <w:r w:rsidRPr="00EA05D0">
        <w:rPr>
          <w:rFonts w:ascii="Arial" w:hAnsi="Arial" w:cs="Arial"/>
          <w:sz w:val="22"/>
          <w:szCs w:val="22"/>
          <w:vertAlign w:val="superscript"/>
        </w:rPr>
        <w:t>th</w:t>
      </w:r>
      <w:r>
        <w:rPr>
          <w:rFonts w:ascii="Arial" w:hAnsi="Arial" w:cs="Arial"/>
          <w:sz w:val="22"/>
          <w:szCs w:val="22"/>
        </w:rPr>
        <w:t xml:space="preserve"> November 2024</w:t>
      </w:r>
    </w:p>
    <w:p w14:paraId="41024127" w14:textId="77777777" w:rsidR="00167ABC" w:rsidRDefault="00167ABC" w:rsidP="00D22D9C">
      <w:pPr>
        <w:jc w:val="both"/>
        <w:rPr>
          <w:rFonts w:ascii="Arial" w:hAnsi="Arial" w:cs="Arial"/>
          <w:sz w:val="22"/>
          <w:szCs w:val="22"/>
        </w:rPr>
      </w:pPr>
    </w:p>
    <w:p w14:paraId="6C64819E" w14:textId="77777777" w:rsidR="00167ABC" w:rsidRDefault="00167ABC" w:rsidP="00D22D9C">
      <w:pPr>
        <w:jc w:val="both"/>
        <w:rPr>
          <w:rFonts w:ascii="Arial" w:hAnsi="Arial" w:cs="Arial"/>
          <w:sz w:val="22"/>
          <w:szCs w:val="22"/>
        </w:rPr>
      </w:pPr>
    </w:p>
    <w:p w14:paraId="09967572"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Crocker R, Webb S, Garner S, Skidmore M, Gill, M, Graham, J., (2017) The impact of organised crime in local communities. </w:t>
      </w:r>
      <w:r w:rsidRPr="00167ABC">
        <w:rPr>
          <w:rFonts w:ascii="Arial" w:hAnsi="Arial" w:cs="Arial"/>
          <w:i/>
          <w:iCs/>
          <w:sz w:val="22"/>
          <w:szCs w:val="22"/>
        </w:rPr>
        <w:t>Report, the Police Foundation, London</w:t>
      </w:r>
      <w:r w:rsidRPr="00167ABC">
        <w:rPr>
          <w:rFonts w:ascii="Arial" w:hAnsi="Arial" w:cs="Arial"/>
          <w:sz w:val="22"/>
          <w:szCs w:val="22"/>
        </w:rPr>
        <w:t>, June.</w:t>
      </w:r>
    </w:p>
    <w:p w14:paraId="3CAEDFE6" w14:textId="77777777" w:rsidR="00167ABC" w:rsidRDefault="00167ABC" w:rsidP="00D22D9C">
      <w:pPr>
        <w:jc w:val="both"/>
        <w:rPr>
          <w:rFonts w:ascii="Arial" w:hAnsi="Arial" w:cs="Arial"/>
          <w:sz w:val="22"/>
          <w:szCs w:val="22"/>
        </w:rPr>
      </w:pPr>
    </w:p>
    <w:p w14:paraId="239E48B8" w14:textId="77777777" w:rsidR="00167ABC" w:rsidRDefault="00167ABC" w:rsidP="00D22D9C">
      <w:pPr>
        <w:jc w:val="both"/>
        <w:rPr>
          <w:rFonts w:ascii="Arial" w:hAnsi="Arial" w:cs="Arial"/>
          <w:sz w:val="22"/>
          <w:szCs w:val="22"/>
        </w:rPr>
      </w:pPr>
    </w:p>
    <w:p w14:paraId="1EAAECB4" w14:textId="77777777" w:rsidR="000202B6" w:rsidRDefault="000202B6" w:rsidP="00D22D9C">
      <w:pPr>
        <w:jc w:val="both"/>
        <w:rPr>
          <w:rFonts w:ascii="Arial" w:hAnsi="Arial" w:cs="Arial"/>
          <w:sz w:val="22"/>
          <w:szCs w:val="22"/>
        </w:rPr>
      </w:pPr>
    </w:p>
    <w:p w14:paraId="795D486E" w14:textId="77777777" w:rsidR="000202B6" w:rsidRPr="000202B6" w:rsidRDefault="000202B6" w:rsidP="000202B6">
      <w:pPr>
        <w:jc w:val="both"/>
        <w:rPr>
          <w:rFonts w:ascii="Arial" w:hAnsi="Arial" w:cs="Arial"/>
          <w:sz w:val="22"/>
          <w:szCs w:val="22"/>
        </w:rPr>
      </w:pPr>
      <w:r w:rsidRPr="000202B6">
        <w:rPr>
          <w:rFonts w:ascii="Arial" w:hAnsi="Arial" w:cs="Arial"/>
          <w:sz w:val="22"/>
          <w:szCs w:val="22"/>
        </w:rPr>
        <w:lastRenderedPageBreak/>
        <w:t xml:space="preserve">Eagly, A. H., &amp; Chaiken, S. (1993). </w:t>
      </w:r>
      <w:r w:rsidRPr="000202B6">
        <w:rPr>
          <w:rFonts w:ascii="Arial" w:hAnsi="Arial" w:cs="Arial"/>
          <w:i/>
          <w:iCs/>
          <w:sz w:val="22"/>
          <w:szCs w:val="22"/>
        </w:rPr>
        <w:t xml:space="preserve">The psychology of attitudes. </w:t>
      </w:r>
      <w:r w:rsidRPr="000202B6">
        <w:rPr>
          <w:rFonts w:ascii="Arial" w:hAnsi="Arial" w:cs="Arial"/>
          <w:sz w:val="22"/>
          <w:szCs w:val="22"/>
        </w:rPr>
        <w:t xml:space="preserve">San Diego, CA: Hard-court Brace Jovanovich. </w:t>
      </w:r>
    </w:p>
    <w:p w14:paraId="5A53808F" w14:textId="77777777" w:rsidR="000202B6" w:rsidRDefault="000202B6" w:rsidP="00D22D9C">
      <w:pPr>
        <w:jc w:val="both"/>
        <w:rPr>
          <w:rFonts w:ascii="Arial" w:hAnsi="Arial" w:cs="Arial"/>
          <w:sz w:val="22"/>
          <w:szCs w:val="22"/>
        </w:rPr>
      </w:pPr>
    </w:p>
    <w:p w14:paraId="040A67C0" w14:textId="77777777" w:rsidR="000202B6" w:rsidRDefault="000202B6" w:rsidP="000202B6">
      <w:pPr>
        <w:jc w:val="both"/>
        <w:rPr>
          <w:rFonts w:ascii="Arial" w:hAnsi="Arial" w:cs="Arial"/>
          <w:sz w:val="22"/>
          <w:szCs w:val="22"/>
        </w:rPr>
      </w:pPr>
      <w:r w:rsidRPr="000202B6">
        <w:rPr>
          <w:rFonts w:ascii="Arial" w:hAnsi="Arial" w:cs="Arial"/>
          <w:sz w:val="22"/>
          <w:szCs w:val="22"/>
        </w:rPr>
        <w:t xml:space="preserve">Elaad, E. (2022). Tunnel Vision and Confirmation Bias Among Police Investigators and Laypeople in Hypothetical Criminal Contexts. Sage Open, 12(2). </w:t>
      </w:r>
      <w:hyperlink r:id="rId18" w:history="1">
        <w:r w:rsidRPr="000202B6">
          <w:rPr>
            <w:rStyle w:val="Hyperlink"/>
            <w:rFonts w:ascii="Arial" w:hAnsi="Arial" w:cs="Arial"/>
            <w:sz w:val="22"/>
            <w:szCs w:val="22"/>
          </w:rPr>
          <w:t>https://doi.org/10.1177/21582440221095022</w:t>
        </w:r>
      </w:hyperlink>
    </w:p>
    <w:p w14:paraId="73199A10" w14:textId="77777777" w:rsidR="000202B6" w:rsidRDefault="000202B6" w:rsidP="000202B6">
      <w:pPr>
        <w:jc w:val="both"/>
        <w:rPr>
          <w:rFonts w:ascii="Arial" w:hAnsi="Arial" w:cs="Arial"/>
          <w:sz w:val="22"/>
          <w:szCs w:val="22"/>
        </w:rPr>
      </w:pPr>
    </w:p>
    <w:p w14:paraId="5A5E56ED" w14:textId="3C323322" w:rsidR="000202B6" w:rsidRPr="000202B6" w:rsidRDefault="000202B6" w:rsidP="000202B6">
      <w:pPr>
        <w:jc w:val="both"/>
        <w:rPr>
          <w:rFonts w:ascii="Arial" w:hAnsi="Arial" w:cs="Arial"/>
          <w:sz w:val="22"/>
          <w:szCs w:val="22"/>
        </w:rPr>
      </w:pPr>
      <w:r w:rsidRPr="000202B6">
        <w:rPr>
          <w:rFonts w:ascii="Arial" w:hAnsi="Arial" w:cs="Arial"/>
          <w:sz w:val="22"/>
          <w:szCs w:val="22"/>
        </w:rPr>
        <w:t xml:space="preserve">Equality act (2010) Legislation.gov.uk. Available at: </w:t>
      </w:r>
      <w:hyperlink r:id="rId19" w:history="1">
        <w:r w:rsidRPr="000202B6">
          <w:rPr>
            <w:rStyle w:val="Hyperlink"/>
            <w:rFonts w:ascii="Arial" w:hAnsi="Arial" w:cs="Arial"/>
            <w:sz w:val="22"/>
            <w:szCs w:val="22"/>
          </w:rPr>
          <w:t>https://www.legislation.gov.uk/ukpga/2010/15/contents</w:t>
        </w:r>
      </w:hyperlink>
      <w:r w:rsidRPr="000202B6">
        <w:rPr>
          <w:rFonts w:ascii="Arial" w:hAnsi="Arial" w:cs="Arial"/>
          <w:sz w:val="22"/>
          <w:szCs w:val="22"/>
        </w:rPr>
        <w:t xml:space="preserve"> (Accessed: 02 </w:t>
      </w:r>
      <w:r>
        <w:rPr>
          <w:rFonts w:ascii="Arial" w:hAnsi="Arial" w:cs="Arial"/>
          <w:sz w:val="22"/>
          <w:szCs w:val="22"/>
        </w:rPr>
        <w:t>November</w:t>
      </w:r>
      <w:r w:rsidRPr="000202B6">
        <w:rPr>
          <w:rFonts w:ascii="Arial" w:hAnsi="Arial" w:cs="Arial"/>
          <w:sz w:val="22"/>
          <w:szCs w:val="22"/>
        </w:rPr>
        <w:t xml:space="preserve"> 2024). </w:t>
      </w:r>
    </w:p>
    <w:p w14:paraId="61BE23FE" w14:textId="77777777" w:rsidR="000202B6" w:rsidRDefault="000202B6" w:rsidP="000202B6">
      <w:pPr>
        <w:jc w:val="both"/>
        <w:rPr>
          <w:rFonts w:ascii="Arial" w:hAnsi="Arial" w:cs="Arial"/>
          <w:sz w:val="22"/>
          <w:szCs w:val="22"/>
        </w:rPr>
      </w:pPr>
    </w:p>
    <w:p w14:paraId="5B6C557A" w14:textId="77777777" w:rsidR="000202B6" w:rsidRDefault="000202B6" w:rsidP="000202B6">
      <w:pPr>
        <w:jc w:val="both"/>
        <w:rPr>
          <w:rFonts w:ascii="Arial" w:hAnsi="Arial" w:cs="Arial"/>
          <w:sz w:val="22"/>
          <w:szCs w:val="22"/>
        </w:rPr>
      </w:pPr>
    </w:p>
    <w:p w14:paraId="3BB6B8F0" w14:textId="77777777" w:rsidR="000202B6" w:rsidRPr="000202B6" w:rsidRDefault="000202B6" w:rsidP="000202B6">
      <w:pPr>
        <w:jc w:val="both"/>
        <w:rPr>
          <w:rFonts w:ascii="Arial" w:hAnsi="Arial" w:cs="Arial"/>
          <w:sz w:val="22"/>
          <w:szCs w:val="22"/>
        </w:rPr>
      </w:pPr>
      <w:r w:rsidRPr="000202B6">
        <w:rPr>
          <w:rFonts w:ascii="Arial" w:hAnsi="Arial" w:cs="Arial"/>
          <w:sz w:val="22"/>
          <w:szCs w:val="22"/>
        </w:rPr>
        <w:t>Flavin, B. (2018). Police Officers Explain Why Diversity in Law Enforcement Matters. </w:t>
      </w:r>
      <w:r w:rsidRPr="000202B6">
        <w:rPr>
          <w:rFonts w:ascii="Arial" w:hAnsi="Arial" w:cs="Arial"/>
          <w:i/>
          <w:iCs/>
          <w:sz w:val="22"/>
          <w:szCs w:val="22"/>
        </w:rPr>
        <w:t>Justice studies blog</w:t>
      </w:r>
      <w:r w:rsidRPr="000202B6">
        <w:rPr>
          <w:rFonts w:ascii="Arial" w:hAnsi="Arial" w:cs="Arial"/>
          <w:sz w:val="22"/>
          <w:szCs w:val="22"/>
        </w:rPr>
        <w:t xml:space="preserve">. Available at: </w:t>
      </w:r>
      <w:hyperlink r:id="rId20" w:history="1">
        <w:r w:rsidRPr="000202B6">
          <w:rPr>
            <w:rStyle w:val="Hyperlink"/>
            <w:rFonts w:ascii="Arial" w:hAnsi="Arial" w:cs="Arial"/>
            <w:sz w:val="22"/>
            <w:szCs w:val="22"/>
          </w:rPr>
          <w:t>https://www.rasmussen.edu/degrees/justice-studies/blog/diversity-in-law-enforcement/</w:t>
        </w:r>
      </w:hyperlink>
      <w:r w:rsidRPr="000202B6">
        <w:rPr>
          <w:rFonts w:ascii="Arial" w:hAnsi="Arial" w:cs="Arial"/>
          <w:sz w:val="22"/>
          <w:szCs w:val="22"/>
        </w:rPr>
        <w:t xml:space="preserve"> [Accessed 12 Nov. 2024].</w:t>
      </w:r>
    </w:p>
    <w:p w14:paraId="43ED3A2B" w14:textId="77777777" w:rsidR="000202B6" w:rsidRDefault="000202B6" w:rsidP="000202B6">
      <w:pPr>
        <w:jc w:val="both"/>
        <w:rPr>
          <w:rFonts w:ascii="Arial" w:hAnsi="Arial" w:cs="Arial"/>
          <w:sz w:val="22"/>
          <w:szCs w:val="22"/>
        </w:rPr>
      </w:pPr>
    </w:p>
    <w:p w14:paraId="43CC020F" w14:textId="77777777" w:rsidR="000202B6" w:rsidRPr="000202B6" w:rsidRDefault="000202B6" w:rsidP="000202B6">
      <w:pPr>
        <w:jc w:val="both"/>
        <w:rPr>
          <w:rFonts w:ascii="Arial" w:hAnsi="Arial" w:cs="Arial"/>
          <w:sz w:val="22"/>
          <w:szCs w:val="22"/>
        </w:rPr>
      </w:pPr>
    </w:p>
    <w:p w14:paraId="0477CECC" w14:textId="38FDA068" w:rsidR="000202B6" w:rsidRPr="000202B6" w:rsidRDefault="000202B6" w:rsidP="000202B6">
      <w:pPr>
        <w:jc w:val="both"/>
        <w:rPr>
          <w:rFonts w:ascii="Arial" w:hAnsi="Arial" w:cs="Arial"/>
          <w:sz w:val="22"/>
          <w:szCs w:val="22"/>
        </w:rPr>
      </w:pPr>
      <w:r w:rsidRPr="000202B6">
        <w:rPr>
          <w:rFonts w:ascii="Arial" w:hAnsi="Arial" w:cs="Arial"/>
          <w:sz w:val="22"/>
          <w:szCs w:val="22"/>
        </w:rPr>
        <w:t> Fox,</w:t>
      </w:r>
      <w:r w:rsidR="00167ABC">
        <w:rPr>
          <w:rFonts w:ascii="Arial" w:hAnsi="Arial" w:cs="Arial"/>
          <w:sz w:val="22"/>
          <w:szCs w:val="22"/>
        </w:rPr>
        <w:t xml:space="preserve"> J.,</w:t>
      </w:r>
      <w:r w:rsidRPr="000202B6">
        <w:rPr>
          <w:rFonts w:ascii="Arial" w:hAnsi="Arial" w:cs="Arial"/>
          <w:sz w:val="22"/>
          <w:szCs w:val="22"/>
        </w:rPr>
        <w:t> Desai, </w:t>
      </w:r>
      <w:r w:rsidR="00167ABC">
        <w:rPr>
          <w:rFonts w:ascii="Arial" w:hAnsi="Arial" w:cs="Arial"/>
          <w:sz w:val="22"/>
          <w:szCs w:val="22"/>
        </w:rPr>
        <w:t xml:space="preserve">M., </w:t>
      </w:r>
      <w:r w:rsidRPr="000202B6">
        <w:rPr>
          <w:rFonts w:ascii="Arial" w:hAnsi="Arial" w:cs="Arial"/>
          <w:sz w:val="22"/>
          <w:szCs w:val="22"/>
        </w:rPr>
        <w:t>Britten, </w:t>
      </w:r>
      <w:r w:rsidR="00167ABC">
        <w:rPr>
          <w:rFonts w:ascii="Arial" w:hAnsi="Arial" w:cs="Arial"/>
          <w:sz w:val="22"/>
          <w:szCs w:val="22"/>
        </w:rPr>
        <w:t xml:space="preserve">K., </w:t>
      </w:r>
      <w:r w:rsidRPr="000202B6">
        <w:rPr>
          <w:rFonts w:ascii="Arial" w:hAnsi="Arial" w:cs="Arial"/>
          <w:sz w:val="22"/>
          <w:szCs w:val="22"/>
        </w:rPr>
        <w:t> Lucas,</w:t>
      </w:r>
      <w:r w:rsidR="00167ABC">
        <w:rPr>
          <w:rFonts w:ascii="Arial" w:hAnsi="Arial" w:cs="Arial"/>
          <w:sz w:val="22"/>
          <w:szCs w:val="22"/>
        </w:rPr>
        <w:t xml:space="preserve"> G., </w:t>
      </w:r>
      <w:r w:rsidRPr="000202B6">
        <w:rPr>
          <w:rFonts w:ascii="Arial" w:hAnsi="Arial" w:cs="Arial"/>
          <w:sz w:val="22"/>
          <w:szCs w:val="22"/>
        </w:rPr>
        <w:t>Luneau,</w:t>
      </w:r>
      <w:r w:rsidR="00167ABC">
        <w:rPr>
          <w:rFonts w:ascii="Arial" w:hAnsi="Arial" w:cs="Arial"/>
          <w:sz w:val="22"/>
          <w:szCs w:val="22"/>
        </w:rPr>
        <w:t xml:space="preserve"> N.,</w:t>
      </w:r>
      <w:r w:rsidRPr="000202B6">
        <w:rPr>
          <w:rFonts w:ascii="Arial" w:hAnsi="Arial" w:cs="Arial"/>
          <w:sz w:val="22"/>
          <w:szCs w:val="22"/>
        </w:rPr>
        <w:t> Rosenthal</w:t>
      </w:r>
      <w:r w:rsidR="00167ABC">
        <w:rPr>
          <w:rFonts w:ascii="Arial" w:hAnsi="Arial" w:cs="Arial"/>
          <w:sz w:val="22"/>
          <w:szCs w:val="22"/>
        </w:rPr>
        <w:t>, M.,</w:t>
      </w:r>
      <w:r w:rsidRPr="000202B6">
        <w:rPr>
          <w:rFonts w:ascii="Arial" w:hAnsi="Arial" w:cs="Arial"/>
          <w:sz w:val="22"/>
          <w:szCs w:val="22"/>
        </w:rPr>
        <w:t>, (2012), </w:t>
      </w:r>
    </w:p>
    <w:p w14:paraId="03451751" w14:textId="77777777" w:rsidR="000202B6" w:rsidRPr="000202B6" w:rsidRDefault="000202B6" w:rsidP="000202B6">
      <w:pPr>
        <w:jc w:val="both"/>
        <w:rPr>
          <w:rFonts w:ascii="Arial" w:hAnsi="Arial" w:cs="Arial"/>
          <w:sz w:val="22"/>
          <w:szCs w:val="22"/>
        </w:rPr>
      </w:pPr>
      <w:r w:rsidRPr="000202B6">
        <w:rPr>
          <w:rFonts w:ascii="Arial" w:hAnsi="Arial" w:cs="Arial"/>
          <w:sz w:val="22"/>
          <w:szCs w:val="22"/>
        </w:rPr>
        <w:t>Mental-health conditions, barriers to care, and productivity loss among officers in an urban police department</w:t>
      </w:r>
    </w:p>
    <w:p w14:paraId="0C9C428A" w14:textId="77777777" w:rsidR="000202B6" w:rsidRPr="000202B6" w:rsidRDefault="000202B6" w:rsidP="000202B6">
      <w:pPr>
        <w:jc w:val="both"/>
        <w:rPr>
          <w:rFonts w:ascii="Arial" w:hAnsi="Arial" w:cs="Arial"/>
          <w:sz w:val="22"/>
          <w:szCs w:val="22"/>
        </w:rPr>
      </w:pPr>
      <w:r w:rsidRPr="000202B6">
        <w:rPr>
          <w:rFonts w:ascii="Arial" w:hAnsi="Arial" w:cs="Arial"/>
          <w:sz w:val="22"/>
          <w:szCs w:val="22"/>
        </w:rPr>
        <w:t>Conn. Med., 76 (9), pp. 525-531</w:t>
      </w:r>
    </w:p>
    <w:p w14:paraId="2553BB6D" w14:textId="77777777" w:rsidR="000202B6" w:rsidRDefault="000202B6" w:rsidP="000202B6">
      <w:pPr>
        <w:jc w:val="both"/>
        <w:rPr>
          <w:rFonts w:ascii="Arial" w:hAnsi="Arial" w:cs="Arial"/>
          <w:sz w:val="22"/>
          <w:szCs w:val="22"/>
        </w:rPr>
      </w:pPr>
    </w:p>
    <w:p w14:paraId="4C62A48F" w14:textId="77777777" w:rsidR="000202B6" w:rsidRPr="00753EE0" w:rsidRDefault="000202B6" w:rsidP="000202B6">
      <w:pPr>
        <w:rPr>
          <w:b/>
          <w:bCs/>
          <w:color w:val="FF0000"/>
          <w:sz w:val="28"/>
          <w:szCs w:val="28"/>
        </w:rPr>
      </w:pPr>
    </w:p>
    <w:p w14:paraId="7F4FDCE9" w14:textId="77777777" w:rsidR="000202B6" w:rsidRDefault="000202B6" w:rsidP="000202B6">
      <w:pPr>
        <w:rPr>
          <w:rFonts w:cstheme="minorHAnsi"/>
          <w:color w:val="414141"/>
          <w:sz w:val="24"/>
          <w:szCs w:val="24"/>
          <w:shd w:val="clear" w:color="auto" w:fill="F0F7FB"/>
        </w:rPr>
      </w:pPr>
      <w:r w:rsidRPr="00F92ED4">
        <w:rPr>
          <w:rFonts w:cstheme="minorHAnsi"/>
          <w:color w:val="414141"/>
          <w:sz w:val="24"/>
          <w:szCs w:val="24"/>
          <w:shd w:val="clear" w:color="auto" w:fill="FFFFFF"/>
        </w:rPr>
        <w:t xml:space="preserve">Galanis, P., Fragkou, D., and Katsoulas,T.A. (2021), ‘Risk Factors for Stress Among Police Officers: A Systematic Literature Review’. </w:t>
      </w:r>
      <w:hyperlink r:id="rId21" w:history="1">
        <w:r w:rsidRPr="00F92ED4">
          <w:rPr>
            <w:rStyle w:val="Hyperlink"/>
            <w:rFonts w:cstheme="minorHAnsi"/>
            <w:i/>
            <w:iCs/>
            <w:color w:val="000000" w:themeColor="text1"/>
            <w:sz w:val="24"/>
            <w:szCs w:val="24"/>
            <w:shd w:val="clear" w:color="auto" w:fill="F0F7FB"/>
          </w:rPr>
          <w:t>Work</w:t>
        </w:r>
      </w:hyperlink>
      <w:r w:rsidRPr="00F92ED4">
        <w:rPr>
          <w:rFonts w:cstheme="minorHAnsi"/>
          <w:i/>
          <w:iCs/>
          <w:color w:val="000000" w:themeColor="text1"/>
          <w:sz w:val="24"/>
          <w:szCs w:val="24"/>
          <w:shd w:val="clear" w:color="auto" w:fill="F0F7FB"/>
        </w:rPr>
        <w:t>,</w:t>
      </w:r>
      <w:r w:rsidRPr="00F92ED4">
        <w:rPr>
          <w:rFonts w:cstheme="minorHAnsi"/>
          <w:color w:val="000000" w:themeColor="text1"/>
          <w:sz w:val="24"/>
          <w:szCs w:val="24"/>
          <w:shd w:val="clear" w:color="auto" w:fill="F0F7FB"/>
        </w:rPr>
        <w:t xml:space="preserve"> </w:t>
      </w:r>
      <w:r w:rsidRPr="00F92ED4">
        <w:rPr>
          <w:rFonts w:cstheme="minorHAnsi"/>
          <w:color w:val="414141"/>
          <w:sz w:val="24"/>
          <w:szCs w:val="24"/>
          <w:shd w:val="clear" w:color="auto" w:fill="F0F7FB"/>
        </w:rPr>
        <w:t>vol. 68, no. 4, pp. 1255-1272, 2021</w:t>
      </w:r>
    </w:p>
    <w:p w14:paraId="1DAFBDAE" w14:textId="77777777" w:rsidR="000202B6" w:rsidRDefault="000202B6" w:rsidP="000202B6">
      <w:pPr>
        <w:rPr>
          <w:rFonts w:cstheme="minorHAnsi"/>
          <w:color w:val="414141"/>
          <w:sz w:val="24"/>
          <w:szCs w:val="24"/>
          <w:shd w:val="clear" w:color="auto" w:fill="F0F7FB"/>
        </w:rPr>
      </w:pPr>
    </w:p>
    <w:p w14:paraId="23248DDA" w14:textId="77777777" w:rsidR="000202B6" w:rsidRDefault="000202B6" w:rsidP="000202B6">
      <w:pPr>
        <w:jc w:val="both"/>
        <w:rPr>
          <w:rFonts w:ascii="Arial" w:hAnsi="Arial" w:cs="Arial"/>
          <w:sz w:val="22"/>
          <w:szCs w:val="22"/>
        </w:rPr>
      </w:pPr>
    </w:p>
    <w:p w14:paraId="7FA54E64" w14:textId="77777777" w:rsidR="000202B6" w:rsidRPr="000202B6" w:rsidRDefault="000202B6" w:rsidP="000202B6">
      <w:pPr>
        <w:jc w:val="both"/>
        <w:rPr>
          <w:rFonts w:ascii="Arial" w:hAnsi="Arial" w:cs="Arial"/>
          <w:sz w:val="22"/>
          <w:szCs w:val="22"/>
        </w:rPr>
      </w:pPr>
      <w:r w:rsidRPr="000202B6">
        <w:rPr>
          <w:rFonts w:ascii="Arial" w:hAnsi="Arial" w:cs="Arial"/>
          <w:sz w:val="22"/>
          <w:szCs w:val="22"/>
        </w:rPr>
        <w:t xml:space="preserve">Gershon, R. R. M., Barocas, B., Canton, A. N., Xianbin Li, &amp; Vlahov, D. (2009). Mental, Physical, and Behavioral Outcomes Associated With Perceived Work Stress in Police Officers. Criminal Justice and Behavior, 36(3), 275-289. </w:t>
      </w:r>
      <w:hyperlink r:id="rId22" w:history="1">
        <w:r w:rsidRPr="000202B6">
          <w:rPr>
            <w:rStyle w:val="Hyperlink"/>
            <w:rFonts w:ascii="Arial" w:hAnsi="Arial" w:cs="Arial"/>
            <w:sz w:val="22"/>
            <w:szCs w:val="22"/>
          </w:rPr>
          <w:t>https://doi.org/10.1177/0093854808330015</w:t>
        </w:r>
      </w:hyperlink>
    </w:p>
    <w:p w14:paraId="16308135" w14:textId="77777777" w:rsidR="000202B6" w:rsidRDefault="000202B6" w:rsidP="000202B6">
      <w:pPr>
        <w:jc w:val="both"/>
        <w:rPr>
          <w:rFonts w:ascii="Arial" w:hAnsi="Arial" w:cs="Arial"/>
          <w:sz w:val="22"/>
          <w:szCs w:val="22"/>
        </w:rPr>
      </w:pPr>
    </w:p>
    <w:p w14:paraId="0BD69132" w14:textId="77777777" w:rsidR="00167ABC" w:rsidRDefault="00167ABC" w:rsidP="000202B6">
      <w:pPr>
        <w:jc w:val="both"/>
        <w:rPr>
          <w:rFonts w:ascii="Arial" w:hAnsi="Arial" w:cs="Arial"/>
          <w:sz w:val="22"/>
          <w:szCs w:val="22"/>
        </w:rPr>
      </w:pPr>
    </w:p>
    <w:p w14:paraId="6089C636"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Hamilton-Smith N (2018) How organised crime affects the most vulnerable communities. The Conversation. </w:t>
      </w:r>
    </w:p>
    <w:p w14:paraId="2085E9A6" w14:textId="77777777" w:rsidR="00167ABC" w:rsidRPr="00167ABC" w:rsidRDefault="00167ABC" w:rsidP="00167ABC">
      <w:pPr>
        <w:jc w:val="both"/>
        <w:rPr>
          <w:rFonts w:ascii="Arial" w:hAnsi="Arial" w:cs="Arial"/>
          <w:sz w:val="22"/>
          <w:szCs w:val="22"/>
        </w:rPr>
      </w:pPr>
      <w:hyperlink r:id="rId23" w:history="1">
        <w:r w:rsidRPr="00167ABC">
          <w:rPr>
            <w:rStyle w:val="Hyperlink"/>
            <w:rFonts w:ascii="Arial" w:hAnsi="Arial" w:cs="Arial"/>
            <w:sz w:val="22"/>
            <w:szCs w:val="22"/>
          </w:rPr>
          <w:t>http://hdl.handle.net/1893/27382</w:t>
        </w:r>
      </w:hyperlink>
    </w:p>
    <w:p w14:paraId="54238CCD" w14:textId="77777777" w:rsidR="00167ABC" w:rsidRDefault="00167ABC" w:rsidP="000202B6">
      <w:pPr>
        <w:jc w:val="both"/>
        <w:rPr>
          <w:rFonts w:ascii="Arial" w:hAnsi="Arial" w:cs="Arial"/>
          <w:sz w:val="22"/>
          <w:szCs w:val="22"/>
        </w:rPr>
      </w:pPr>
    </w:p>
    <w:p w14:paraId="61E0D9F9" w14:textId="3B54B222" w:rsidR="000202B6" w:rsidRPr="000202B6" w:rsidRDefault="000202B6" w:rsidP="000202B6">
      <w:pPr>
        <w:jc w:val="both"/>
        <w:rPr>
          <w:rFonts w:ascii="Arial" w:hAnsi="Arial" w:cs="Arial"/>
          <w:sz w:val="22"/>
          <w:szCs w:val="22"/>
        </w:rPr>
      </w:pPr>
      <w:r w:rsidRPr="000202B6">
        <w:rPr>
          <w:rFonts w:ascii="Arial" w:hAnsi="Arial" w:cs="Arial"/>
          <w:sz w:val="22"/>
          <w:szCs w:val="22"/>
        </w:rPr>
        <w:t>Javidi H, Yadollahie M.</w:t>
      </w:r>
      <w:r>
        <w:rPr>
          <w:rFonts w:ascii="Arial" w:hAnsi="Arial" w:cs="Arial"/>
          <w:sz w:val="22"/>
          <w:szCs w:val="22"/>
        </w:rPr>
        <w:t xml:space="preserve"> (2012),</w:t>
      </w:r>
      <w:r w:rsidRPr="000202B6">
        <w:rPr>
          <w:rFonts w:ascii="Arial" w:hAnsi="Arial" w:cs="Arial"/>
          <w:sz w:val="22"/>
          <w:szCs w:val="22"/>
        </w:rPr>
        <w:t xml:space="preserve"> Post-traumatic Stress Disorder. International Journal of Occupational &amp; Environmental Medicine</w:t>
      </w:r>
      <w:r>
        <w:rPr>
          <w:rFonts w:ascii="Arial" w:hAnsi="Arial" w:cs="Arial"/>
          <w:sz w:val="22"/>
          <w:szCs w:val="22"/>
        </w:rPr>
        <w:t xml:space="preserve"> 3(1):2-9</w:t>
      </w:r>
    </w:p>
    <w:p w14:paraId="7EEE9361" w14:textId="77777777" w:rsidR="000202B6" w:rsidRDefault="000202B6" w:rsidP="000202B6">
      <w:pPr>
        <w:jc w:val="both"/>
        <w:rPr>
          <w:rFonts w:ascii="Arial" w:hAnsi="Arial" w:cs="Arial"/>
          <w:sz w:val="22"/>
          <w:szCs w:val="22"/>
        </w:rPr>
      </w:pPr>
    </w:p>
    <w:p w14:paraId="5BD2A0A0" w14:textId="77777777" w:rsidR="000202B6" w:rsidRDefault="000202B6" w:rsidP="000202B6">
      <w:pPr>
        <w:pStyle w:val="NormalWeb"/>
        <w:ind w:left="567" w:hanging="567"/>
        <w:rPr>
          <w:rFonts w:asciiTheme="minorHAnsi" w:hAnsiTheme="minorHAnsi" w:cstheme="minorHAnsi"/>
        </w:rPr>
      </w:pPr>
      <w:r w:rsidRPr="00F92ED4">
        <w:rPr>
          <w:rFonts w:asciiTheme="minorHAnsi" w:hAnsiTheme="minorHAnsi" w:cstheme="minorHAnsi"/>
        </w:rPr>
        <w:t xml:space="preserve">Larzelere, M.M,  Jones.G.N, (2008),‘Stress and Health’, </w:t>
      </w:r>
      <w:r w:rsidRPr="00F92ED4">
        <w:rPr>
          <w:rFonts w:asciiTheme="minorHAnsi" w:hAnsiTheme="minorHAnsi" w:cstheme="minorHAnsi"/>
          <w:i/>
          <w:iCs/>
        </w:rPr>
        <w:t>Primary Care: Clinics in Office Practice,</w:t>
      </w:r>
      <w:r w:rsidRPr="00F92ED4">
        <w:rPr>
          <w:rFonts w:asciiTheme="minorHAnsi" w:hAnsiTheme="minorHAnsi" w:cstheme="minorHAnsi"/>
        </w:rPr>
        <w:t xml:space="preserve"> Volume 35, Issue 4, Pages 839-856, </w:t>
      </w:r>
      <w:hyperlink r:id="rId24" w:history="1">
        <w:r w:rsidRPr="00F92ED4">
          <w:rPr>
            <w:rStyle w:val="Hyperlink"/>
            <w:rFonts w:asciiTheme="minorHAnsi" w:hAnsiTheme="minorHAnsi" w:cstheme="minorHAnsi"/>
          </w:rPr>
          <w:t>https://doi.org/10.1016/j.pop.2008.07.011</w:t>
        </w:r>
      </w:hyperlink>
      <w:r w:rsidRPr="00F92ED4">
        <w:rPr>
          <w:rFonts w:asciiTheme="minorHAnsi" w:hAnsiTheme="minorHAnsi" w:cstheme="minorHAnsi"/>
        </w:rPr>
        <w:t>.</w:t>
      </w:r>
    </w:p>
    <w:p w14:paraId="55208672" w14:textId="77777777" w:rsidR="000202B6" w:rsidRDefault="000202B6" w:rsidP="000202B6">
      <w:pPr>
        <w:jc w:val="both"/>
        <w:rPr>
          <w:rFonts w:ascii="Arial" w:hAnsi="Arial" w:cs="Arial"/>
          <w:sz w:val="22"/>
          <w:szCs w:val="22"/>
        </w:rPr>
      </w:pPr>
    </w:p>
    <w:p w14:paraId="60F2631E" w14:textId="77777777" w:rsidR="000202B6" w:rsidRDefault="000202B6" w:rsidP="000202B6">
      <w:pPr>
        <w:jc w:val="both"/>
        <w:rPr>
          <w:rFonts w:ascii="Arial" w:hAnsi="Arial" w:cs="Arial"/>
          <w:sz w:val="22"/>
          <w:szCs w:val="22"/>
        </w:rPr>
      </w:pPr>
    </w:p>
    <w:p w14:paraId="74373CF2" w14:textId="7C543D2B" w:rsidR="000202B6" w:rsidRDefault="000202B6" w:rsidP="000202B6">
      <w:pPr>
        <w:jc w:val="both"/>
        <w:rPr>
          <w:rFonts w:ascii="Arial" w:hAnsi="Arial" w:cs="Arial"/>
          <w:sz w:val="22"/>
          <w:szCs w:val="22"/>
        </w:rPr>
      </w:pPr>
      <w:r w:rsidRPr="000202B6">
        <w:rPr>
          <w:rFonts w:ascii="Arial" w:hAnsi="Arial" w:cs="Arial"/>
          <w:sz w:val="22"/>
          <w:szCs w:val="22"/>
        </w:rPr>
        <w:t>Martin D. L. (2002). Lessons about justice from the “laboratory” of wrongful convictions: Tunnel vision, the construction of guilt and informer evidence. </w:t>
      </w:r>
      <w:r w:rsidRPr="000202B6">
        <w:rPr>
          <w:rFonts w:ascii="Arial" w:hAnsi="Arial" w:cs="Arial"/>
          <w:i/>
          <w:iCs/>
          <w:sz w:val="22"/>
          <w:szCs w:val="22"/>
        </w:rPr>
        <w:t>University of Missouri-Kansas City Law Review</w:t>
      </w:r>
      <w:r w:rsidRPr="000202B6">
        <w:rPr>
          <w:rFonts w:ascii="Arial" w:hAnsi="Arial" w:cs="Arial"/>
          <w:sz w:val="22"/>
          <w:szCs w:val="22"/>
        </w:rPr>
        <w:t>, 70, 847–864.</w:t>
      </w:r>
    </w:p>
    <w:p w14:paraId="08AF9AE3" w14:textId="77777777" w:rsidR="00691A14" w:rsidRDefault="00691A14" w:rsidP="000202B6">
      <w:pPr>
        <w:jc w:val="both"/>
        <w:rPr>
          <w:rFonts w:ascii="Arial" w:hAnsi="Arial" w:cs="Arial"/>
          <w:sz w:val="22"/>
          <w:szCs w:val="22"/>
        </w:rPr>
      </w:pPr>
    </w:p>
    <w:p w14:paraId="0F9E69E4" w14:textId="77777777" w:rsidR="00691A14" w:rsidRDefault="00691A14" w:rsidP="000202B6">
      <w:pPr>
        <w:jc w:val="both"/>
        <w:rPr>
          <w:rFonts w:ascii="Arial" w:hAnsi="Arial" w:cs="Arial"/>
          <w:sz w:val="22"/>
          <w:szCs w:val="22"/>
        </w:rPr>
      </w:pPr>
    </w:p>
    <w:p w14:paraId="52709A65" w14:textId="77777777" w:rsidR="00691A14" w:rsidRPr="00691A14" w:rsidRDefault="00691A14" w:rsidP="00691A14">
      <w:pPr>
        <w:jc w:val="both"/>
        <w:rPr>
          <w:rFonts w:ascii="Arial" w:hAnsi="Arial" w:cs="Arial"/>
          <w:sz w:val="22"/>
          <w:szCs w:val="22"/>
        </w:rPr>
      </w:pPr>
      <w:r w:rsidRPr="00691A14">
        <w:rPr>
          <w:rFonts w:ascii="Arial" w:hAnsi="Arial" w:cs="Arial"/>
          <w:sz w:val="22"/>
          <w:szCs w:val="22"/>
        </w:rPr>
        <w:t>Miller L. (2005). Police suicide: Causes, prevention and practical intervention strategies. </w:t>
      </w:r>
      <w:r w:rsidRPr="00691A14">
        <w:rPr>
          <w:rFonts w:ascii="Arial" w:hAnsi="Arial" w:cs="Arial"/>
          <w:i/>
          <w:iCs/>
          <w:sz w:val="22"/>
          <w:szCs w:val="22"/>
        </w:rPr>
        <w:t>International Journal of Emergency Mental Health and Human Resilience</w:t>
      </w:r>
      <w:r w:rsidRPr="00691A14">
        <w:rPr>
          <w:rFonts w:ascii="Arial" w:hAnsi="Arial" w:cs="Arial"/>
          <w:sz w:val="22"/>
          <w:szCs w:val="22"/>
        </w:rPr>
        <w:t>, 7, 101-114.</w:t>
      </w:r>
    </w:p>
    <w:p w14:paraId="7D3AE18A" w14:textId="77777777" w:rsidR="00691A14" w:rsidRDefault="00691A14" w:rsidP="000202B6">
      <w:pPr>
        <w:jc w:val="both"/>
        <w:rPr>
          <w:rFonts w:ascii="Arial" w:hAnsi="Arial" w:cs="Arial"/>
          <w:sz w:val="22"/>
          <w:szCs w:val="22"/>
        </w:rPr>
      </w:pPr>
    </w:p>
    <w:p w14:paraId="7291078C" w14:textId="77777777" w:rsidR="000202B6" w:rsidRDefault="000202B6" w:rsidP="000202B6">
      <w:pPr>
        <w:jc w:val="both"/>
        <w:rPr>
          <w:rFonts w:ascii="Arial" w:hAnsi="Arial" w:cs="Arial"/>
          <w:sz w:val="22"/>
          <w:szCs w:val="22"/>
        </w:rPr>
      </w:pPr>
    </w:p>
    <w:p w14:paraId="41765CC4" w14:textId="5EDA25BF" w:rsidR="000202B6" w:rsidRDefault="000202B6" w:rsidP="000202B6">
      <w:pPr>
        <w:jc w:val="both"/>
        <w:rPr>
          <w:rFonts w:ascii="Arial" w:hAnsi="Arial" w:cs="Arial"/>
          <w:sz w:val="22"/>
          <w:szCs w:val="22"/>
        </w:rPr>
      </w:pPr>
      <w:r>
        <w:rPr>
          <w:rFonts w:ascii="Arial" w:hAnsi="Arial" w:cs="Arial"/>
          <w:sz w:val="22"/>
          <w:szCs w:val="22"/>
        </w:rPr>
        <w:t xml:space="preserve">National Police Chiefs’ Council. (2024) Police Race Action Plan- Progress Report- July 2024, Accessed at: </w:t>
      </w:r>
      <w:hyperlink r:id="rId25" w:history="1">
        <w:r w:rsidRPr="000202B6">
          <w:rPr>
            <w:rStyle w:val="Hyperlink"/>
            <w:rFonts w:ascii="Arial" w:hAnsi="Arial" w:cs="Arial"/>
            <w:sz w:val="22"/>
            <w:szCs w:val="22"/>
          </w:rPr>
          <w:t>https://www.npcc.police.uk/our-work/police-race-action-plan/police-race-action-plan---progress-report/</w:t>
        </w:r>
      </w:hyperlink>
    </w:p>
    <w:p w14:paraId="39B3729A" w14:textId="7A5DD442" w:rsidR="000202B6" w:rsidRDefault="000202B6" w:rsidP="000202B6">
      <w:pPr>
        <w:jc w:val="both"/>
        <w:rPr>
          <w:rFonts w:ascii="Arial" w:hAnsi="Arial" w:cs="Arial"/>
          <w:sz w:val="22"/>
          <w:szCs w:val="22"/>
        </w:rPr>
      </w:pPr>
      <w:r>
        <w:rPr>
          <w:rFonts w:ascii="Arial" w:hAnsi="Arial" w:cs="Arial"/>
          <w:sz w:val="22"/>
          <w:szCs w:val="22"/>
        </w:rPr>
        <w:t>On: 22</w:t>
      </w:r>
      <w:r w:rsidRPr="000202B6">
        <w:rPr>
          <w:rFonts w:ascii="Arial" w:hAnsi="Arial" w:cs="Arial"/>
          <w:sz w:val="22"/>
          <w:szCs w:val="22"/>
          <w:vertAlign w:val="superscript"/>
        </w:rPr>
        <w:t>nd</w:t>
      </w:r>
      <w:r>
        <w:rPr>
          <w:rFonts w:ascii="Arial" w:hAnsi="Arial" w:cs="Arial"/>
          <w:sz w:val="22"/>
          <w:szCs w:val="22"/>
        </w:rPr>
        <w:t xml:space="preserve"> November 2024</w:t>
      </w:r>
    </w:p>
    <w:p w14:paraId="382E32F8" w14:textId="77777777" w:rsidR="000202B6" w:rsidRDefault="000202B6" w:rsidP="000202B6">
      <w:pPr>
        <w:jc w:val="both"/>
        <w:rPr>
          <w:rFonts w:ascii="Arial" w:hAnsi="Arial" w:cs="Arial"/>
          <w:sz w:val="22"/>
          <w:szCs w:val="22"/>
        </w:rPr>
      </w:pPr>
    </w:p>
    <w:p w14:paraId="76F568E3" w14:textId="49334256" w:rsidR="000202B6" w:rsidRPr="000202B6" w:rsidRDefault="000202B6" w:rsidP="000202B6">
      <w:pPr>
        <w:jc w:val="both"/>
        <w:rPr>
          <w:rFonts w:ascii="Arial" w:hAnsi="Arial" w:cs="Arial"/>
          <w:sz w:val="22"/>
          <w:szCs w:val="22"/>
        </w:rPr>
      </w:pPr>
      <w:r>
        <w:rPr>
          <w:rFonts w:ascii="Arial" w:hAnsi="Arial" w:cs="Arial"/>
          <w:sz w:val="22"/>
          <w:szCs w:val="22"/>
        </w:rPr>
        <w:t xml:space="preserve">Office For National Statistics, (2021), </w:t>
      </w:r>
      <w:r w:rsidRPr="000202B6">
        <w:rPr>
          <w:rFonts w:ascii="Arial" w:hAnsi="Arial" w:cs="Arial"/>
          <w:i/>
          <w:iCs/>
          <w:sz w:val="22"/>
          <w:szCs w:val="22"/>
        </w:rPr>
        <w:t>Ethnic Group, England and Wales:Census 2021</w:t>
      </w:r>
      <w:r>
        <w:rPr>
          <w:rFonts w:ascii="Arial" w:hAnsi="Arial" w:cs="Arial"/>
          <w:i/>
          <w:iCs/>
          <w:sz w:val="22"/>
          <w:szCs w:val="22"/>
        </w:rPr>
        <w:t xml:space="preserve"> </w:t>
      </w:r>
      <w:r w:rsidRPr="000202B6">
        <w:rPr>
          <w:rFonts w:ascii="Arial" w:hAnsi="Arial" w:cs="Arial"/>
          <w:sz w:val="22"/>
          <w:szCs w:val="22"/>
        </w:rPr>
        <w:t xml:space="preserve">Accessed at: </w:t>
      </w:r>
      <w:hyperlink r:id="rId26" w:history="1">
        <w:r w:rsidRPr="000202B6">
          <w:rPr>
            <w:rStyle w:val="Hyperlink"/>
            <w:rFonts w:ascii="Arial" w:hAnsi="Arial" w:cs="Arial"/>
            <w:sz w:val="22"/>
            <w:szCs w:val="22"/>
          </w:rPr>
          <w:t>https://www.ons.gov.uk/peoplepopulationandcommunity/culturalidentity/ethnicity/bulletins/ethnicgroupenglandandwales/census2021</w:t>
        </w:r>
      </w:hyperlink>
    </w:p>
    <w:p w14:paraId="3FC5D476" w14:textId="4EC2C778" w:rsidR="000202B6" w:rsidRDefault="000202B6" w:rsidP="000202B6">
      <w:pPr>
        <w:jc w:val="both"/>
        <w:rPr>
          <w:rFonts w:ascii="Arial" w:hAnsi="Arial" w:cs="Arial"/>
          <w:sz w:val="22"/>
          <w:szCs w:val="22"/>
        </w:rPr>
      </w:pPr>
      <w:r>
        <w:rPr>
          <w:rFonts w:ascii="Arial" w:hAnsi="Arial" w:cs="Arial"/>
          <w:sz w:val="22"/>
          <w:szCs w:val="22"/>
        </w:rPr>
        <w:t>On: 23</w:t>
      </w:r>
      <w:r w:rsidRPr="000202B6">
        <w:rPr>
          <w:rFonts w:ascii="Arial" w:hAnsi="Arial" w:cs="Arial"/>
          <w:sz w:val="22"/>
          <w:szCs w:val="22"/>
          <w:vertAlign w:val="superscript"/>
        </w:rPr>
        <w:t>rd</w:t>
      </w:r>
      <w:r>
        <w:rPr>
          <w:rFonts w:ascii="Arial" w:hAnsi="Arial" w:cs="Arial"/>
          <w:sz w:val="22"/>
          <w:szCs w:val="22"/>
        </w:rPr>
        <w:t xml:space="preserve"> November 2024</w:t>
      </w:r>
    </w:p>
    <w:p w14:paraId="36393FFB" w14:textId="77777777" w:rsidR="00167ABC" w:rsidRDefault="00167ABC" w:rsidP="000202B6">
      <w:pPr>
        <w:jc w:val="both"/>
        <w:rPr>
          <w:rFonts w:ascii="Arial" w:hAnsi="Arial" w:cs="Arial"/>
          <w:sz w:val="22"/>
          <w:szCs w:val="22"/>
        </w:rPr>
      </w:pPr>
    </w:p>
    <w:p w14:paraId="02AAFABA"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O'Hagan, A., EDdmundson, C.J., 2021. County lines: the exploitation of vulnerable members of society. </w:t>
      </w:r>
      <w:r w:rsidRPr="00167ABC">
        <w:rPr>
          <w:rFonts w:ascii="Arial" w:hAnsi="Arial" w:cs="Arial"/>
          <w:i/>
          <w:iCs/>
          <w:sz w:val="22"/>
          <w:szCs w:val="22"/>
        </w:rPr>
        <w:t>Forensic Research &amp; Criminology International Journal</w:t>
      </w:r>
      <w:r w:rsidRPr="00167ABC">
        <w:rPr>
          <w:rFonts w:ascii="Arial" w:hAnsi="Arial" w:cs="Arial"/>
          <w:sz w:val="22"/>
          <w:szCs w:val="22"/>
        </w:rPr>
        <w:t>, 9 (2): 1, pp. 47-57. ISSN 2469-2794</w:t>
      </w:r>
    </w:p>
    <w:p w14:paraId="4DAB5615" w14:textId="77777777" w:rsidR="00167ABC" w:rsidRPr="000202B6" w:rsidRDefault="00167ABC" w:rsidP="000202B6">
      <w:pPr>
        <w:jc w:val="both"/>
        <w:rPr>
          <w:rFonts w:ascii="Arial" w:hAnsi="Arial" w:cs="Arial"/>
          <w:sz w:val="22"/>
          <w:szCs w:val="22"/>
        </w:rPr>
      </w:pPr>
    </w:p>
    <w:p w14:paraId="6BE6538C" w14:textId="2374806C" w:rsidR="000202B6" w:rsidRDefault="000202B6" w:rsidP="000202B6">
      <w:pPr>
        <w:jc w:val="both"/>
        <w:rPr>
          <w:rFonts w:ascii="Arial" w:hAnsi="Arial" w:cs="Arial"/>
          <w:sz w:val="22"/>
          <w:szCs w:val="22"/>
        </w:rPr>
      </w:pPr>
    </w:p>
    <w:p w14:paraId="73A45F7D" w14:textId="45B89DE7" w:rsidR="000202B6" w:rsidRDefault="000202B6" w:rsidP="000202B6">
      <w:pPr>
        <w:jc w:val="both"/>
        <w:rPr>
          <w:rFonts w:ascii="Arial" w:hAnsi="Arial" w:cs="Arial"/>
          <w:sz w:val="22"/>
          <w:szCs w:val="22"/>
        </w:rPr>
      </w:pPr>
      <w:r>
        <w:rPr>
          <w:rFonts w:ascii="Arial" w:hAnsi="Arial" w:cs="Arial"/>
          <w:sz w:val="22"/>
          <w:szCs w:val="22"/>
        </w:rPr>
        <w:t xml:space="preserve">Owens. D., (1995) ETHIC MINORITIES IN GREAT BRITAIN: Patterns of population change, 1981-91. </w:t>
      </w:r>
      <w:r>
        <w:rPr>
          <w:rFonts w:ascii="Arial" w:hAnsi="Arial" w:cs="Arial"/>
          <w:i/>
          <w:iCs/>
          <w:sz w:val="22"/>
          <w:szCs w:val="22"/>
        </w:rPr>
        <w:t xml:space="preserve">University of Warwick, Pp1-10. Accessed at: </w:t>
      </w:r>
    </w:p>
    <w:p w14:paraId="5591574F" w14:textId="77777777" w:rsidR="000202B6" w:rsidRPr="000202B6" w:rsidRDefault="000202B6" w:rsidP="000202B6">
      <w:pPr>
        <w:jc w:val="both"/>
        <w:rPr>
          <w:rFonts w:ascii="Arial" w:hAnsi="Arial" w:cs="Arial"/>
          <w:sz w:val="22"/>
          <w:szCs w:val="22"/>
        </w:rPr>
      </w:pPr>
      <w:hyperlink r:id="rId27" w:history="1">
        <w:r w:rsidRPr="000202B6">
          <w:rPr>
            <w:rStyle w:val="Hyperlink"/>
            <w:rFonts w:ascii="Arial" w:hAnsi="Arial" w:cs="Arial"/>
            <w:sz w:val="22"/>
            <w:szCs w:val="22"/>
          </w:rPr>
          <w:t>https://warwick.ac.uk/fac/soc/crer/research/publications/nemda/nemda1991sp10.pdf</w:t>
        </w:r>
      </w:hyperlink>
    </w:p>
    <w:p w14:paraId="1FD1F33F" w14:textId="67166103" w:rsidR="000202B6" w:rsidRDefault="000202B6" w:rsidP="000202B6">
      <w:pPr>
        <w:jc w:val="both"/>
        <w:rPr>
          <w:rFonts w:ascii="Arial" w:hAnsi="Arial" w:cs="Arial"/>
          <w:sz w:val="22"/>
          <w:szCs w:val="22"/>
        </w:rPr>
      </w:pPr>
      <w:r>
        <w:rPr>
          <w:rFonts w:ascii="Arial" w:hAnsi="Arial" w:cs="Arial"/>
          <w:sz w:val="22"/>
          <w:szCs w:val="22"/>
        </w:rPr>
        <w:t>On: 23</w:t>
      </w:r>
      <w:r w:rsidRPr="000202B6">
        <w:rPr>
          <w:rFonts w:ascii="Arial" w:hAnsi="Arial" w:cs="Arial"/>
          <w:sz w:val="22"/>
          <w:szCs w:val="22"/>
          <w:vertAlign w:val="superscript"/>
        </w:rPr>
        <w:t>rd</w:t>
      </w:r>
      <w:r>
        <w:rPr>
          <w:rFonts w:ascii="Arial" w:hAnsi="Arial" w:cs="Arial"/>
          <w:sz w:val="22"/>
          <w:szCs w:val="22"/>
        </w:rPr>
        <w:t>November 2024</w:t>
      </w:r>
    </w:p>
    <w:p w14:paraId="7FA971B5" w14:textId="77777777" w:rsidR="000202B6" w:rsidRDefault="000202B6" w:rsidP="000202B6">
      <w:pPr>
        <w:jc w:val="both"/>
        <w:rPr>
          <w:rFonts w:ascii="Arial" w:hAnsi="Arial" w:cs="Arial"/>
          <w:sz w:val="22"/>
          <w:szCs w:val="22"/>
        </w:rPr>
      </w:pPr>
    </w:p>
    <w:p w14:paraId="7AB14398" w14:textId="0FA74535" w:rsidR="000202B6" w:rsidRDefault="000202B6" w:rsidP="000202B6">
      <w:pPr>
        <w:jc w:val="both"/>
        <w:rPr>
          <w:rFonts w:ascii="Arial" w:hAnsi="Arial" w:cs="Arial"/>
          <w:sz w:val="22"/>
          <w:szCs w:val="22"/>
        </w:rPr>
      </w:pPr>
      <w:r w:rsidRPr="000202B6">
        <w:rPr>
          <w:rFonts w:ascii="Arial" w:hAnsi="Arial" w:cs="Arial"/>
          <w:sz w:val="22"/>
          <w:szCs w:val="22"/>
        </w:rPr>
        <w:t>Pacella ML, Hruska B, Delahanty DL.</w:t>
      </w:r>
      <w:r>
        <w:rPr>
          <w:rFonts w:ascii="Arial" w:hAnsi="Arial" w:cs="Arial"/>
          <w:sz w:val="22"/>
          <w:szCs w:val="22"/>
        </w:rPr>
        <w:t>, (2013),</w:t>
      </w:r>
      <w:r w:rsidRPr="000202B6">
        <w:rPr>
          <w:rFonts w:ascii="Arial" w:hAnsi="Arial" w:cs="Arial"/>
          <w:sz w:val="22"/>
          <w:szCs w:val="22"/>
        </w:rPr>
        <w:t xml:space="preserve">The physical health consequences of PTSD and PTSD symptoms: a meta-analytic review. Journal of Anxiety Disorders. </w:t>
      </w:r>
      <w:r>
        <w:rPr>
          <w:rFonts w:ascii="Arial" w:hAnsi="Arial" w:cs="Arial"/>
          <w:sz w:val="22"/>
          <w:szCs w:val="22"/>
        </w:rPr>
        <w:t xml:space="preserve"> </w:t>
      </w:r>
      <w:r w:rsidRPr="000202B6">
        <w:rPr>
          <w:rFonts w:ascii="Arial" w:hAnsi="Arial" w:cs="Arial"/>
          <w:sz w:val="22"/>
          <w:szCs w:val="22"/>
        </w:rPr>
        <w:t>27(1):33–46. doi: 10.1016/j.janxdis.2012.08.004. </w:t>
      </w:r>
    </w:p>
    <w:p w14:paraId="4599F4DB" w14:textId="77777777" w:rsidR="000202B6" w:rsidRDefault="000202B6" w:rsidP="000202B6">
      <w:pPr>
        <w:jc w:val="both"/>
        <w:rPr>
          <w:rFonts w:ascii="Arial" w:hAnsi="Arial" w:cs="Arial"/>
          <w:sz w:val="22"/>
          <w:szCs w:val="22"/>
        </w:rPr>
      </w:pPr>
    </w:p>
    <w:p w14:paraId="2E16F707" w14:textId="4A0F4F0B" w:rsidR="000202B6" w:rsidRDefault="000202B6" w:rsidP="000202B6">
      <w:pPr>
        <w:jc w:val="both"/>
        <w:rPr>
          <w:rFonts w:ascii="Arial" w:hAnsi="Arial" w:cs="Arial"/>
          <w:sz w:val="22"/>
          <w:szCs w:val="22"/>
        </w:rPr>
      </w:pPr>
      <w:r w:rsidRPr="000202B6">
        <w:rPr>
          <w:rFonts w:ascii="Arial" w:hAnsi="Arial" w:cs="Arial"/>
          <w:sz w:val="22"/>
          <w:szCs w:val="22"/>
        </w:rPr>
        <w:t>Patterson GT.</w:t>
      </w:r>
      <w:r>
        <w:rPr>
          <w:rFonts w:ascii="Arial" w:hAnsi="Arial" w:cs="Arial"/>
          <w:sz w:val="22"/>
          <w:szCs w:val="22"/>
        </w:rPr>
        <w:t xml:space="preserve">, (2001), </w:t>
      </w:r>
      <w:r w:rsidRPr="000202B6">
        <w:rPr>
          <w:rFonts w:ascii="Arial" w:hAnsi="Arial" w:cs="Arial"/>
          <w:sz w:val="22"/>
          <w:szCs w:val="22"/>
        </w:rPr>
        <w:t xml:space="preserve">The relationship between demographic variables and exposure to traumatic incidents among police officers. Australian Journal of Disaster &amp; Trauma Studies. </w:t>
      </w:r>
      <w:r>
        <w:rPr>
          <w:rFonts w:ascii="Arial" w:hAnsi="Arial" w:cs="Arial"/>
          <w:sz w:val="22"/>
          <w:szCs w:val="22"/>
        </w:rPr>
        <w:t>Accessed at:</w:t>
      </w:r>
      <w:hyperlink r:id="rId28" w:tgtFrame="_blank" w:history="1">
        <w:r w:rsidRPr="000202B6">
          <w:rPr>
            <w:rStyle w:val="Hyperlink"/>
            <w:rFonts w:ascii="Arial" w:hAnsi="Arial" w:cs="Arial"/>
            <w:sz w:val="22"/>
            <w:szCs w:val="22"/>
          </w:rPr>
          <w:t>http://www.massey.ac.nz/~trauma/issues/2001-2/patterson2.htm</w:t>
        </w:r>
      </w:hyperlink>
      <w:r w:rsidRPr="000202B6">
        <w:rPr>
          <w:rFonts w:ascii="Arial" w:hAnsi="Arial" w:cs="Arial"/>
          <w:sz w:val="22"/>
          <w:szCs w:val="22"/>
        </w:rPr>
        <w:t>.</w:t>
      </w:r>
      <w:r>
        <w:rPr>
          <w:rFonts w:ascii="Arial" w:hAnsi="Arial" w:cs="Arial"/>
          <w:sz w:val="22"/>
          <w:szCs w:val="22"/>
        </w:rPr>
        <w:t xml:space="preserve"> on: 22</w:t>
      </w:r>
      <w:r w:rsidRPr="000202B6">
        <w:rPr>
          <w:rFonts w:ascii="Arial" w:hAnsi="Arial" w:cs="Arial"/>
          <w:sz w:val="22"/>
          <w:szCs w:val="22"/>
          <w:vertAlign w:val="superscript"/>
        </w:rPr>
        <w:t>nd</w:t>
      </w:r>
      <w:r>
        <w:rPr>
          <w:rFonts w:ascii="Arial" w:hAnsi="Arial" w:cs="Arial"/>
          <w:sz w:val="22"/>
          <w:szCs w:val="22"/>
        </w:rPr>
        <w:t xml:space="preserve"> November 2024</w:t>
      </w:r>
    </w:p>
    <w:p w14:paraId="5FE36499" w14:textId="77777777" w:rsidR="00167ABC" w:rsidRPr="000202B6" w:rsidRDefault="00167ABC" w:rsidP="000202B6">
      <w:pPr>
        <w:jc w:val="both"/>
        <w:rPr>
          <w:rFonts w:ascii="Arial" w:hAnsi="Arial" w:cs="Arial"/>
          <w:sz w:val="22"/>
          <w:szCs w:val="22"/>
        </w:rPr>
      </w:pPr>
    </w:p>
    <w:p w14:paraId="1C5EF623" w14:textId="77777777" w:rsidR="000202B6" w:rsidRDefault="000202B6" w:rsidP="000202B6">
      <w:pPr>
        <w:jc w:val="both"/>
        <w:rPr>
          <w:rFonts w:ascii="Arial" w:hAnsi="Arial" w:cs="Arial"/>
          <w:sz w:val="22"/>
          <w:szCs w:val="22"/>
        </w:rPr>
      </w:pPr>
    </w:p>
    <w:p w14:paraId="147F9D12"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 xml:space="preserve">Reid, J. A. (2018). Sex Trafficking of Girls With Intellectual Disabilities: An Exploratory Mixed Methods Study. Sexual Abuse, 30(2), 107-131. </w:t>
      </w:r>
      <w:hyperlink r:id="rId29" w:history="1">
        <w:r w:rsidRPr="00167ABC">
          <w:rPr>
            <w:rStyle w:val="Hyperlink"/>
            <w:rFonts w:ascii="Arial" w:hAnsi="Arial" w:cs="Arial"/>
            <w:sz w:val="22"/>
            <w:szCs w:val="22"/>
          </w:rPr>
          <w:t>https://doi.org/10.1177/1079063216630981</w:t>
        </w:r>
      </w:hyperlink>
    </w:p>
    <w:p w14:paraId="05F3EF53" w14:textId="77777777" w:rsidR="00167ABC" w:rsidRDefault="00167ABC" w:rsidP="000202B6">
      <w:pPr>
        <w:jc w:val="both"/>
        <w:rPr>
          <w:rFonts w:ascii="Arial" w:hAnsi="Arial" w:cs="Arial"/>
          <w:sz w:val="22"/>
          <w:szCs w:val="22"/>
        </w:rPr>
      </w:pPr>
    </w:p>
    <w:p w14:paraId="652A99EE" w14:textId="77777777" w:rsidR="000202B6" w:rsidRPr="000202B6" w:rsidRDefault="000202B6" w:rsidP="000202B6">
      <w:pPr>
        <w:jc w:val="both"/>
        <w:rPr>
          <w:rFonts w:ascii="Arial" w:hAnsi="Arial" w:cs="Arial"/>
          <w:sz w:val="22"/>
          <w:szCs w:val="22"/>
        </w:rPr>
      </w:pPr>
    </w:p>
    <w:p w14:paraId="0CF9E880" w14:textId="7662FB24" w:rsidR="000202B6" w:rsidRPr="000202B6" w:rsidRDefault="000202B6" w:rsidP="000202B6">
      <w:pPr>
        <w:jc w:val="both"/>
        <w:rPr>
          <w:rFonts w:ascii="Arial" w:hAnsi="Arial" w:cs="Arial"/>
          <w:sz w:val="22"/>
          <w:szCs w:val="22"/>
        </w:rPr>
      </w:pPr>
      <w:r w:rsidRPr="000202B6">
        <w:rPr>
          <w:rFonts w:ascii="Arial" w:hAnsi="Arial" w:cs="Arial"/>
          <w:sz w:val="22"/>
          <w:szCs w:val="22"/>
        </w:rPr>
        <w:t>Ryan</w:t>
      </w:r>
      <w:r>
        <w:rPr>
          <w:rFonts w:ascii="Arial" w:hAnsi="Arial" w:cs="Arial"/>
          <w:sz w:val="22"/>
          <w:szCs w:val="22"/>
        </w:rPr>
        <w:t>.</w:t>
      </w:r>
      <w:r w:rsidRPr="000202B6">
        <w:rPr>
          <w:rFonts w:ascii="Arial" w:hAnsi="Arial" w:cs="Arial"/>
          <w:sz w:val="22"/>
          <w:szCs w:val="22"/>
        </w:rPr>
        <w:t xml:space="preserve"> RM</w:t>
      </w:r>
      <w:r>
        <w:rPr>
          <w:rFonts w:ascii="Arial" w:hAnsi="Arial" w:cs="Arial"/>
          <w:sz w:val="22"/>
          <w:szCs w:val="22"/>
        </w:rPr>
        <w:t>, (2001),</w:t>
      </w:r>
      <w:r w:rsidRPr="000202B6">
        <w:rPr>
          <w:rFonts w:ascii="Arial" w:hAnsi="Arial" w:cs="Arial"/>
          <w:sz w:val="22"/>
          <w:szCs w:val="22"/>
        </w:rPr>
        <w:t xml:space="preserve"> Deci EL: On happiness and human potential: a review</w:t>
      </w:r>
      <w:r>
        <w:rPr>
          <w:rFonts w:ascii="Arial" w:hAnsi="Arial" w:cs="Arial"/>
          <w:sz w:val="22"/>
          <w:szCs w:val="22"/>
        </w:rPr>
        <w:t xml:space="preserve"> </w:t>
      </w:r>
      <w:r w:rsidRPr="000202B6">
        <w:rPr>
          <w:rFonts w:ascii="Arial" w:hAnsi="Arial" w:cs="Arial"/>
          <w:sz w:val="22"/>
          <w:szCs w:val="22"/>
        </w:rPr>
        <w:t>of research on hedonic and eudaimonic well-being. Annu</w:t>
      </w:r>
      <w:r>
        <w:rPr>
          <w:rFonts w:ascii="Arial" w:hAnsi="Arial" w:cs="Arial"/>
          <w:sz w:val="22"/>
          <w:szCs w:val="22"/>
        </w:rPr>
        <w:t>al</w:t>
      </w:r>
      <w:r w:rsidRPr="000202B6">
        <w:rPr>
          <w:rFonts w:ascii="Arial" w:hAnsi="Arial" w:cs="Arial"/>
          <w:sz w:val="22"/>
          <w:szCs w:val="22"/>
        </w:rPr>
        <w:t xml:space="preserve"> Rev</w:t>
      </w:r>
      <w:r>
        <w:rPr>
          <w:rFonts w:ascii="Arial" w:hAnsi="Arial" w:cs="Arial"/>
          <w:sz w:val="22"/>
          <w:szCs w:val="22"/>
        </w:rPr>
        <w:t xml:space="preserve">iew </w:t>
      </w:r>
      <w:r w:rsidRPr="000202B6">
        <w:rPr>
          <w:rFonts w:ascii="Arial" w:hAnsi="Arial" w:cs="Arial"/>
          <w:sz w:val="22"/>
          <w:szCs w:val="22"/>
        </w:rPr>
        <w:t>Psychol</w:t>
      </w:r>
      <w:r>
        <w:rPr>
          <w:rFonts w:ascii="Arial" w:hAnsi="Arial" w:cs="Arial"/>
          <w:sz w:val="22"/>
          <w:szCs w:val="22"/>
        </w:rPr>
        <w:t>ogy</w:t>
      </w:r>
      <w:r w:rsidRPr="000202B6">
        <w:rPr>
          <w:rFonts w:ascii="Arial" w:hAnsi="Arial" w:cs="Arial"/>
          <w:sz w:val="22"/>
          <w:szCs w:val="22"/>
        </w:rPr>
        <w:t xml:space="preserve"> 2001, 52:141-166.</w:t>
      </w:r>
    </w:p>
    <w:p w14:paraId="41C36FDC" w14:textId="77777777" w:rsidR="000202B6" w:rsidRDefault="000202B6" w:rsidP="000202B6">
      <w:pPr>
        <w:jc w:val="both"/>
        <w:rPr>
          <w:rFonts w:ascii="Arial" w:hAnsi="Arial" w:cs="Arial"/>
          <w:sz w:val="22"/>
          <w:szCs w:val="22"/>
        </w:rPr>
      </w:pPr>
    </w:p>
    <w:p w14:paraId="515D4081" w14:textId="7509EAE3" w:rsidR="000202B6" w:rsidRDefault="000202B6" w:rsidP="000202B6">
      <w:pPr>
        <w:jc w:val="both"/>
        <w:rPr>
          <w:rFonts w:ascii="Arial" w:hAnsi="Arial" w:cs="Arial"/>
          <w:sz w:val="22"/>
          <w:szCs w:val="22"/>
        </w:rPr>
      </w:pPr>
      <w:r w:rsidRPr="000202B6">
        <w:rPr>
          <w:rFonts w:ascii="Arial" w:hAnsi="Arial" w:cs="Arial"/>
          <w:sz w:val="22"/>
          <w:szCs w:val="22"/>
        </w:rPr>
        <w:t>Scherr K. C., Redlich A. D., Kassin S. M. (2020). Cumulative disadvantage: A psychological framework for understanding how innocence can lead to confession, wrongful conviction, and beyond. </w:t>
      </w:r>
      <w:r w:rsidRPr="000202B6">
        <w:rPr>
          <w:rFonts w:ascii="Arial" w:hAnsi="Arial" w:cs="Arial"/>
          <w:i/>
          <w:iCs/>
          <w:sz w:val="22"/>
          <w:szCs w:val="22"/>
        </w:rPr>
        <w:t>Perspectives on Psychological Science</w:t>
      </w:r>
      <w:r w:rsidRPr="000202B6">
        <w:rPr>
          <w:rFonts w:ascii="Arial" w:hAnsi="Arial" w:cs="Arial"/>
          <w:sz w:val="22"/>
          <w:szCs w:val="22"/>
        </w:rPr>
        <w:t>, 15, 353–383. </w:t>
      </w:r>
      <w:hyperlink r:id="rId30" w:history="1">
        <w:r w:rsidRPr="000202B6">
          <w:rPr>
            <w:rStyle w:val="Hyperlink"/>
            <w:rFonts w:ascii="Arial" w:hAnsi="Arial" w:cs="Arial"/>
            <w:sz w:val="22"/>
            <w:szCs w:val="22"/>
          </w:rPr>
          <w:t>https://doi.org/10.1177/1745691619896608</w:t>
        </w:r>
      </w:hyperlink>
    </w:p>
    <w:p w14:paraId="63287253" w14:textId="77777777" w:rsidR="000202B6" w:rsidRDefault="000202B6" w:rsidP="000202B6">
      <w:pPr>
        <w:jc w:val="both"/>
        <w:rPr>
          <w:rFonts w:ascii="Arial" w:hAnsi="Arial" w:cs="Arial"/>
          <w:sz w:val="22"/>
          <w:szCs w:val="22"/>
        </w:rPr>
      </w:pPr>
    </w:p>
    <w:p w14:paraId="36B28180" w14:textId="77777777" w:rsidR="000202B6" w:rsidRDefault="000202B6" w:rsidP="000202B6">
      <w:pPr>
        <w:rPr>
          <w:rFonts w:cstheme="minorHAnsi"/>
          <w:color w:val="212121"/>
          <w:sz w:val="24"/>
          <w:szCs w:val="24"/>
          <w:shd w:val="clear" w:color="auto" w:fill="FFFFFF"/>
        </w:rPr>
      </w:pPr>
      <w:r w:rsidRPr="0035123D">
        <w:rPr>
          <w:rFonts w:cstheme="minorHAnsi"/>
          <w:color w:val="212121"/>
          <w:sz w:val="24"/>
          <w:szCs w:val="24"/>
          <w:shd w:val="clear" w:color="auto" w:fill="FFFFFF"/>
        </w:rPr>
        <w:t>Shatté A, Perlman A, Smith B, Lynch WD. ( 2017), The Positive Effect of Resilience on Stress and Business Outcomes in Difficult Work Environments. J Occup Environ Med. 2017 Feb;59(2):135-140. doi: 10.1097/JOM.0000000000000914. PMID: 28002352; PMCID: PMC5287440.</w:t>
      </w:r>
    </w:p>
    <w:p w14:paraId="7E904A7A" w14:textId="77777777" w:rsidR="000202B6" w:rsidRDefault="000202B6" w:rsidP="000202B6">
      <w:pPr>
        <w:jc w:val="both"/>
        <w:rPr>
          <w:rFonts w:ascii="Arial" w:hAnsi="Arial" w:cs="Arial"/>
          <w:sz w:val="22"/>
          <w:szCs w:val="22"/>
        </w:rPr>
      </w:pPr>
    </w:p>
    <w:p w14:paraId="70D24E79" w14:textId="77777777" w:rsidR="00167ABC" w:rsidRDefault="00167ABC" w:rsidP="000202B6">
      <w:pPr>
        <w:jc w:val="both"/>
        <w:rPr>
          <w:rFonts w:ascii="Arial" w:hAnsi="Arial" w:cs="Arial"/>
          <w:sz w:val="22"/>
          <w:szCs w:val="22"/>
        </w:rPr>
      </w:pPr>
    </w:p>
    <w:p w14:paraId="60D172E4"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 xml:space="preserve">Stone, N. (2018). Child Criminal Exploitation: ‘County Lines’, Trafficking and Cuckooing. Youth Justice, 18(3), 285-293. </w:t>
      </w:r>
      <w:hyperlink r:id="rId31" w:history="1">
        <w:r w:rsidRPr="00167ABC">
          <w:rPr>
            <w:rStyle w:val="Hyperlink"/>
            <w:rFonts w:ascii="Arial" w:hAnsi="Arial" w:cs="Arial"/>
            <w:sz w:val="22"/>
            <w:szCs w:val="22"/>
          </w:rPr>
          <w:t>https://doi.org/10.1177/1473225418810833</w:t>
        </w:r>
      </w:hyperlink>
    </w:p>
    <w:p w14:paraId="1CD36949" w14:textId="77777777" w:rsidR="00167ABC" w:rsidRDefault="00167ABC" w:rsidP="000202B6">
      <w:pPr>
        <w:jc w:val="both"/>
        <w:rPr>
          <w:rFonts w:ascii="Arial" w:hAnsi="Arial" w:cs="Arial"/>
          <w:sz w:val="22"/>
          <w:szCs w:val="22"/>
        </w:rPr>
      </w:pPr>
    </w:p>
    <w:p w14:paraId="034FF949" w14:textId="77777777" w:rsidR="00167ABC" w:rsidRDefault="00167ABC" w:rsidP="000202B6">
      <w:pPr>
        <w:jc w:val="both"/>
        <w:rPr>
          <w:rFonts w:ascii="Arial" w:hAnsi="Arial" w:cs="Arial"/>
          <w:sz w:val="22"/>
          <w:szCs w:val="22"/>
        </w:rPr>
      </w:pPr>
    </w:p>
    <w:p w14:paraId="1D582CA1" w14:textId="5BF21718" w:rsidR="000202B6" w:rsidRPr="000202B6" w:rsidRDefault="000202B6" w:rsidP="000202B6">
      <w:pPr>
        <w:jc w:val="both"/>
        <w:rPr>
          <w:rFonts w:ascii="Arial" w:hAnsi="Arial" w:cs="Arial"/>
          <w:sz w:val="22"/>
          <w:szCs w:val="22"/>
        </w:rPr>
      </w:pPr>
      <w:r w:rsidRPr="000202B6">
        <w:rPr>
          <w:rFonts w:ascii="Arial" w:hAnsi="Arial" w:cs="Arial"/>
          <w:sz w:val="22"/>
          <w:szCs w:val="22"/>
        </w:rPr>
        <w:t>Stuart H.</w:t>
      </w:r>
      <w:r>
        <w:rPr>
          <w:rFonts w:ascii="Arial" w:hAnsi="Arial" w:cs="Arial"/>
          <w:sz w:val="22"/>
          <w:szCs w:val="22"/>
        </w:rPr>
        <w:t>, (2008)</w:t>
      </w:r>
      <w:r w:rsidRPr="000202B6">
        <w:rPr>
          <w:rFonts w:ascii="Arial" w:hAnsi="Arial" w:cs="Arial"/>
          <w:sz w:val="22"/>
          <w:szCs w:val="22"/>
        </w:rPr>
        <w:t xml:space="preserve"> Suicidality among police. Current Opinions Psychiatry.</w:t>
      </w:r>
      <w:r>
        <w:rPr>
          <w:rFonts w:ascii="Arial" w:hAnsi="Arial" w:cs="Arial"/>
          <w:sz w:val="22"/>
          <w:szCs w:val="22"/>
        </w:rPr>
        <w:t xml:space="preserve"> </w:t>
      </w:r>
      <w:r w:rsidRPr="000202B6">
        <w:rPr>
          <w:rFonts w:ascii="Arial" w:hAnsi="Arial" w:cs="Arial"/>
          <w:sz w:val="22"/>
          <w:szCs w:val="22"/>
        </w:rPr>
        <w:t>21(5):505–509. doi: 10.1097/YCO.0b013e328305e4c1</w:t>
      </w:r>
    </w:p>
    <w:p w14:paraId="0629AD12" w14:textId="77777777" w:rsidR="000202B6" w:rsidRDefault="000202B6" w:rsidP="000202B6">
      <w:pPr>
        <w:jc w:val="both"/>
        <w:rPr>
          <w:rFonts w:ascii="Arial" w:hAnsi="Arial" w:cs="Arial"/>
          <w:sz w:val="22"/>
          <w:szCs w:val="22"/>
        </w:rPr>
      </w:pPr>
    </w:p>
    <w:p w14:paraId="3E31B213"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 xml:space="preserve">Thompson, N. (2019). ‘It’s a No-Win Scenario, either the Police or the Gang Will Get You’: Young People and Organised Crime – Vulnerable or Criminal? Youth Justice, 19(2), 102-119. </w:t>
      </w:r>
      <w:hyperlink r:id="rId32" w:history="1">
        <w:r w:rsidRPr="00167ABC">
          <w:rPr>
            <w:rStyle w:val="Hyperlink"/>
            <w:rFonts w:ascii="Arial" w:hAnsi="Arial" w:cs="Arial"/>
            <w:sz w:val="22"/>
            <w:szCs w:val="22"/>
          </w:rPr>
          <w:t>https://doi.org/10.1177/1473225419843353</w:t>
        </w:r>
      </w:hyperlink>
    </w:p>
    <w:p w14:paraId="3F76F663" w14:textId="77777777" w:rsidR="00167ABC" w:rsidRDefault="00167ABC" w:rsidP="000202B6">
      <w:pPr>
        <w:jc w:val="both"/>
        <w:rPr>
          <w:rFonts w:ascii="Arial" w:hAnsi="Arial" w:cs="Arial"/>
          <w:sz w:val="22"/>
          <w:szCs w:val="22"/>
        </w:rPr>
      </w:pPr>
    </w:p>
    <w:p w14:paraId="6786BA29" w14:textId="77777777" w:rsidR="000202B6" w:rsidRDefault="000202B6" w:rsidP="000202B6">
      <w:pPr>
        <w:jc w:val="both"/>
        <w:rPr>
          <w:rFonts w:ascii="Arial" w:hAnsi="Arial" w:cs="Arial"/>
          <w:sz w:val="22"/>
          <w:szCs w:val="22"/>
        </w:rPr>
      </w:pPr>
    </w:p>
    <w:p w14:paraId="005CF76D" w14:textId="1E54D519" w:rsidR="000202B6" w:rsidRDefault="000202B6" w:rsidP="000202B6">
      <w:pPr>
        <w:jc w:val="both"/>
        <w:rPr>
          <w:rFonts w:ascii="Arial" w:hAnsi="Arial" w:cs="Arial"/>
          <w:sz w:val="22"/>
          <w:szCs w:val="22"/>
        </w:rPr>
      </w:pPr>
      <w:r w:rsidRPr="000202B6">
        <w:rPr>
          <w:rFonts w:ascii="Arial" w:hAnsi="Arial" w:cs="Arial"/>
          <w:sz w:val="22"/>
          <w:szCs w:val="22"/>
        </w:rPr>
        <w:t>Tyler T. R. (2006). Psychological perspectives on legitimacy and legitimation. </w:t>
      </w:r>
      <w:r w:rsidRPr="000202B6">
        <w:rPr>
          <w:rFonts w:ascii="Arial" w:hAnsi="Arial" w:cs="Arial"/>
          <w:i/>
          <w:iCs/>
          <w:sz w:val="22"/>
          <w:szCs w:val="22"/>
        </w:rPr>
        <w:t>Annual Review of Psychology</w:t>
      </w:r>
      <w:r w:rsidRPr="000202B6">
        <w:rPr>
          <w:rFonts w:ascii="Arial" w:hAnsi="Arial" w:cs="Arial"/>
          <w:sz w:val="22"/>
          <w:szCs w:val="22"/>
        </w:rPr>
        <w:t>, 57, 375–400. </w:t>
      </w:r>
      <w:hyperlink r:id="rId33" w:history="1">
        <w:r w:rsidRPr="000202B6">
          <w:rPr>
            <w:rStyle w:val="Hyperlink"/>
            <w:rFonts w:ascii="Arial" w:hAnsi="Arial" w:cs="Arial"/>
            <w:sz w:val="22"/>
            <w:szCs w:val="22"/>
          </w:rPr>
          <w:t>https://doi.org/10.1146/annurev.psych.57.102904.190038</w:t>
        </w:r>
      </w:hyperlink>
    </w:p>
    <w:p w14:paraId="02C196F1" w14:textId="77777777" w:rsidR="000202B6" w:rsidRDefault="000202B6" w:rsidP="000202B6">
      <w:pPr>
        <w:jc w:val="both"/>
        <w:rPr>
          <w:rFonts w:ascii="Arial" w:hAnsi="Arial" w:cs="Arial"/>
          <w:sz w:val="22"/>
          <w:szCs w:val="22"/>
        </w:rPr>
      </w:pPr>
    </w:p>
    <w:p w14:paraId="3CB75842" w14:textId="4071BE58" w:rsidR="000202B6" w:rsidRDefault="000202B6" w:rsidP="000202B6">
      <w:pPr>
        <w:jc w:val="both"/>
        <w:rPr>
          <w:rFonts w:ascii="Arial" w:hAnsi="Arial" w:cs="Arial"/>
          <w:sz w:val="22"/>
          <w:szCs w:val="22"/>
        </w:rPr>
      </w:pPr>
      <w:r w:rsidRPr="000202B6">
        <w:rPr>
          <w:rFonts w:ascii="Arial" w:hAnsi="Arial" w:cs="Arial"/>
          <w:sz w:val="22"/>
          <w:szCs w:val="22"/>
        </w:rPr>
        <w:t>Tyler T. R., Jackson J. (2014). Popular legitimacy and the exercise of legal authority: Motivating compliance, cooperation, and engagement. </w:t>
      </w:r>
      <w:r w:rsidRPr="000202B6">
        <w:rPr>
          <w:rFonts w:ascii="Arial" w:hAnsi="Arial" w:cs="Arial"/>
          <w:i/>
          <w:iCs/>
          <w:sz w:val="22"/>
          <w:szCs w:val="22"/>
        </w:rPr>
        <w:t>Psychology, Public Policy, and Law</w:t>
      </w:r>
      <w:r w:rsidRPr="000202B6">
        <w:rPr>
          <w:rFonts w:ascii="Arial" w:hAnsi="Arial" w:cs="Arial"/>
          <w:sz w:val="22"/>
          <w:szCs w:val="22"/>
        </w:rPr>
        <w:t>, 20, 78–95. </w:t>
      </w:r>
      <w:hyperlink r:id="rId34" w:history="1">
        <w:r w:rsidRPr="000202B6">
          <w:rPr>
            <w:rStyle w:val="Hyperlink"/>
            <w:rFonts w:ascii="Arial" w:hAnsi="Arial" w:cs="Arial"/>
            <w:sz w:val="22"/>
            <w:szCs w:val="22"/>
          </w:rPr>
          <w:t>https://doi.org/10.1037/a0034</w:t>
        </w:r>
      </w:hyperlink>
    </w:p>
    <w:p w14:paraId="4213BB18" w14:textId="77777777" w:rsidR="00167ABC" w:rsidRDefault="00167ABC" w:rsidP="000202B6">
      <w:pPr>
        <w:jc w:val="both"/>
        <w:rPr>
          <w:rFonts w:ascii="Arial" w:hAnsi="Arial" w:cs="Arial"/>
          <w:sz w:val="22"/>
          <w:szCs w:val="22"/>
        </w:rPr>
      </w:pPr>
    </w:p>
    <w:p w14:paraId="06468EB3" w14:textId="77777777" w:rsidR="00167ABC" w:rsidRPr="00167ABC" w:rsidRDefault="00167ABC" w:rsidP="00167ABC">
      <w:pPr>
        <w:jc w:val="both"/>
        <w:rPr>
          <w:rFonts w:ascii="Arial" w:hAnsi="Arial" w:cs="Arial"/>
          <w:sz w:val="22"/>
          <w:szCs w:val="22"/>
        </w:rPr>
      </w:pPr>
      <w:r w:rsidRPr="00167ABC">
        <w:rPr>
          <w:rFonts w:ascii="Arial" w:hAnsi="Arial" w:cs="Arial"/>
          <w:sz w:val="22"/>
          <w:szCs w:val="22"/>
        </w:rPr>
        <w:t>Vredeveldt, A., Given-Wilson, Z. and Memon, A. (2023) ‘Culture, trauma, and memory in investigative interviews’, </w:t>
      </w:r>
      <w:r w:rsidRPr="00167ABC">
        <w:rPr>
          <w:rFonts w:ascii="Arial" w:hAnsi="Arial" w:cs="Arial"/>
          <w:i/>
          <w:iCs/>
          <w:sz w:val="22"/>
          <w:szCs w:val="22"/>
        </w:rPr>
        <w:t>Psychology, Crime &amp; Law</w:t>
      </w:r>
      <w:r w:rsidRPr="00167ABC">
        <w:rPr>
          <w:rFonts w:ascii="Arial" w:hAnsi="Arial" w:cs="Arial"/>
          <w:sz w:val="22"/>
          <w:szCs w:val="22"/>
        </w:rPr>
        <w:t>, pp. 1–21. doi: 10.1080/1068316X.2023.2209262.</w:t>
      </w:r>
    </w:p>
    <w:p w14:paraId="5974B288" w14:textId="77777777" w:rsidR="00167ABC" w:rsidRDefault="00167ABC" w:rsidP="000202B6">
      <w:pPr>
        <w:jc w:val="both"/>
        <w:rPr>
          <w:rFonts w:ascii="Arial" w:hAnsi="Arial" w:cs="Arial"/>
          <w:sz w:val="22"/>
          <w:szCs w:val="22"/>
        </w:rPr>
      </w:pPr>
    </w:p>
    <w:p w14:paraId="6A181AD6" w14:textId="77777777" w:rsidR="000202B6" w:rsidRDefault="000202B6" w:rsidP="000202B6">
      <w:pPr>
        <w:jc w:val="both"/>
        <w:rPr>
          <w:rFonts w:ascii="Arial" w:hAnsi="Arial" w:cs="Arial"/>
          <w:sz w:val="22"/>
          <w:szCs w:val="22"/>
        </w:rPr>
      </w:pPr>
    </w:p>
    <w:p w14:paraId="17F91455" w14:textId="77777777" w:rsidR="000202B6" w:rsidRDefault="000202B6" w:rsidP="000202B6">
      <w:pPr>
        <w:jc w:val="both"/>
        <w:rPr>
          <w:rFonts w:ascii="Arial" w:hAnsi="Arial" w:cs="Arial"/>
          <w:sz w:val="22"/>
          <w:szCs w:val="22"/>
        </w:rPr>
      </w:pPr>
      <w:r w:rsidRPr="000202B6">
        <w:rPr>
          <w:rFonts w:ascii="Arial" w:hAnsi="Arial" w:cs="Arial"/>
          <w:sz w:val="22"/>
          <w:szCs w:val="22"/>
        </w:rPr>
        <w:t xml:space="preserve">Wood, W. (1982). Retrieval of attitude-relevant information from memory: Effects on susceptibility to persuasion and intrinsic motivation. </w:t>
      </w:r>
      <w:r w:rsidRPr="000202B6">
        <w:rPr>
          <w:rFonts w:ascii="Arial" w:hAnsi="Arial" w:cs="Arial"/>
          <w:i/>
          <w:iCs/>
          <w:sz w:val="22"/>
          <w:szCs w:val="22"/>
        </w:rPr>
        <w:t>Journal of Personality and Social Psychology, 42</w:t>
      </w:r>
      <w:r w:rsidRPr="000202B6">
        <w:rPr>
          <w:rFonts w:ascii="Arial" w:hAnsi="Arial" w:cs="Arial"/>
          <w:sz w:val="22"/>
          <w:szCs w:val="22"/>
        </w:rPr>
        <w:t xml:space="preserve">(5) 798-810. </w:t>
      </w:r>
    </w:p>
    <w:p w14:paraId="4A7EC5E2" w14:textId="77777777" w:rsidR="000202B6" w:rsidRDefault="000202B6" w:rsidP="000202B6">
      <w:pPr>
        <w:jc w:val="both"/>
        <w:rPr>
          <w:rFonts w:ascii="Arial" w:hAnsi="Arial" w:cs="Arial"/>
          <w:sz w:val="22"/>
          <w:szCs w:val="22"/>
        </w:rPr>
      </w:pPr>
    </w:p>
    <w:p w14:paraId="57D60E19" w14:textId="77777777" w:rsidR="000202B6" w:rsidRPr="000202B6" w:rsidRDefault="000202B6" w:rsidP="000202B6">
      <w:pPr>
        <w:jc w:val="both"/>
        <w:rPr>
          <w:rFonts w:ascii="Arial" w:hAnsi="Arial" w:cs="Arial"/>
          <w:sz w:val="22"/>
          <w:szCs w:val="22"/>
        </w:rPr>
      </w:pPr>
    </w:p>
    <w:p w14:paraId="79530279" w14:textId="37B55E6A" w:rsidR="000202B6" w:rsidRPr="000202B6" w:rsidRDefault="000202B6" w:rsidP="000202B6">
      <w:pPr>
        <w:jc w:val="both"/>
        <w:rPr>
          <w:rFonts w:ascii="Arial" w:hAnsi="Arial" w:cs="Arial"/>
          <w:sz w:val="22"/>
          <w:szCs w:val="22"/>
        </w:rPr>
      </w:pPr>
      <w:r w:rsidRPr="000202B6">
        <w:rPr>
          <w:rFonts w:ascii="Arial" w:hAnsi="Arial" w:cs="Arial"/>
          <w:sz w:val="22"/>
          <w:szCs w:val="22"/>
        </w:rPr>
        <w:lastRenderedPageBreak/>
        <w:t xml:space="preserve"> World Health Organisation</w:t>
      </w:r>
      <w:r>
        <w:rPr>
          <w:rFonts w:ascii="Arial" w:hAnsi="Arial" w:cs="Arial"/>
          <w:sz w:val="22"/>
          <w:szCs w:val="22"/>
        </w:rPr>
        <w:t xml:space="preserve"> (2004),</w:t>
      </w:r>
      <w:r w:rsidRPr="000202B6">
        <w:rPr>
          <w:rFonts w:ascii="Arial" w:hAnsi="Arial" w:cs="Arial"/>
          <w:sz w:val="22"/>
          <w:szCs w:val="22"/>
        </w:rPr>
        <w:t xml:space="preserve"> Promoting Mental Health; Concepts emerging evidence and practice. Summary report Geneva; World Health</w:t>
      </w:r>
      <w:r>
        <w:rPr>
          <w:rFonts w:ascii="Arial" w:hAnsi="Arial" w:cs="Arial"/>
          <w:sz w:val="22"/>
          <w:szCs w:val="22"/>
        </w:rPr>
        <w:t xml:space="preserve"> </w:t>
      </w:r>
      <w:r w:rsidRPr="000202B6">
        <w:rPr>
          <w:rFonts w:ascii="Arial" w:hAnsi="Arial" w:cs="Arial"/>
          <w:sz w:val="22"/>
          <w:szCs w:val="22"/>
        </w:rPr>
        <w:t>Organisation</w:t>
      </w:r>
    </w:p>
    <w:p w14:paraId="212F3FEA" w14:textId="77777777" w:rsidR="000202B6" w:rsidRPr="00A406E5" w:rsidRDefault="000202B6"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55EBF790" w14:textId="77777777" w:rsidR="00C073F1" w:rsidRDefault="00C073F1" w:rsidP="00152E9D">
      <w:pPr>
        <w:rPr>
          <w:rFonts w:ascii="Arial" w:hAnsi="Arial" w:cs="Arial"/>
          <w:vanish/>
        </w:rPr>
        <w:sectPr w:rsidR="00C073F1" w:rsidSect="00F61A20">
          <w:footerReference w:type="default" r:id="rId35"/>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C4061B" w14:textId="77777777" w:rsidR="00BB448C" w:rsidRDefault="00BB448C">
      <w:r>
        <w:separator/>
      </w:r>
    </w:p>
  </w:endnote>
  <w:endnote w:type="continuationSeparator" w:id="0">
    <w:p w14:paraId="5C0BAD9C" w14:textId="77777777" w:rsidR="00BB448C" w:rsidRDefault="00BB44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DDB0D5" w14:textId="77777777" w:rsidR="00BB448C" w:rsidRDefault="00BB448C">
      <w:r>
        <w:separator/>
      </w:r>
    </w:p>
  </w:footnote>
  <w:footnote w:type="continuationSeparator" w:id="0">
    <w:p w14:paraId="3BF1707F" w14:textId="77777777" w:rsidR="00BB448C" w:rsidRDefault="00BB44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8E5D89"/>
    <w:multiLevelType w:val="hybridMultilevel"/>
    <w:tmpl w:val="4CA6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5" w15:restartNumberingAfterBreak="0">
    <w:nsid w:val="30A26716"/>
    <w:multiLevelType w:val="multilevel"/>
    <w:tmpl w:val="0AD288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14C7935"/>
    <w:multiLevelType w:val="hybridMultilevel"/>
    <w:tmpl w:val="5A10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8C2E34"/>
    <w:multiLevelType w:val="multilevel"/>
    <w:tmpl w:val="7094558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5"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31"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A85BB6"/>
    <w:multiLevelType w:val="hybridMultilevel"/>
    <w:tmpl w:val="27BC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1"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4"/>
  </w:num>
  <w:num w:numId="2" w16cid:durableId="1596599165">
    <w:abstractNumId w:val="24"/>
  </w:num>
  <w:num w:numId="3" w16cid:durableId="1578175724">
    <w:abstractNumId w:val="5"/>
  </w:num>
  <w:num w:numId="4" w16cid:durableId="53552124">
    <w:abstractNumId w:val="22"/>
  </w:num>
  <w:num w:numId="5" w16cid:durableId="2119255154">
    <w:abstractNumId w:val="39"/>
  </w:num>
  <w:num w:numId="6" w16cid:durableId="1725450029">
    <w:abstractNumId w:val="26"/>
  </w:num>
  <w:num w:numId="7" w16cid:durableId="1983003840">
    <w:abstractNumId w:val="16"/>
  </w:num>
  <w:num w:numId="8" w16cid:durableId="10373656">
    <w:abstractNumId w:val="38"/>
  </w:num>
  <w:num w:numId="9" w16cid:durableId="755319704">
    <w:abstractNumId w:val="8"/>
  </w:num>
  <w:num w:numId="10" w16cid:durableId="1424179786">
    <w:abstractNumId w:val="34"/>
  </w:num>
  <w:num w:numId="11" w16cid:durableId="831943490">
    <w:abstractNumId w:val="23"/>
  </w:num>
  <w:num w:numId="12" w16cid:durableId="1302154255">
    <w:abstractNumId w:val="10"/>
  </w:num>
  <w:num w:numId="13" w16cid:durableId="414934436">
    <w:abstractNumId w:val="11"/>
  </w:num>
  <w:num w:numId="14" w16cid:durableId="362249956">
    <w:abstractNumId w:val="20"/>
  </w:num>
  <w:num w:numId="15" w16cid:durableId="1183713407">
    <w:abstractNumId w:val="32"/>
  </w:num>
  <w:num w:numId="16" w16cid:durableId="1627194498">
    <w:abstractNumId w:val="9"/>
  </w:num>
  <w:num w:numId="17" w16cid:durableId="1840580208">
    <w:abstractNumId w:val="0"/>
  </w:num>
  <w:num w:numId="18" w16cid:durableId="29573890">
    <w:abstractNumId w:val="13"/>
  </w:num>
  <w:num w:numId="19" w16cid:durableId="764182036">
    <w:abstractNumId w:val="33"/>
  </w:num>
  <w:num w:numId="20" w16cid:durableId="1856722043">
    <w:abstractNumId w:val="6"/>
  </w:num>
  <w:num w:numId="21" w16cid:durableId="138884581">
    <w:abstractNumId w:val="21"/>
  </w:num>
  <w:num w:numId="22" w16cid:durableId="1695691322">
    <w:abstractNumId w:val="4"/>
  </w:num>
  <w:num w:numId="23" w16cid:durableId="2016614535">
    <w:abstractNumId w:val="25"/>
  </w:num>
  <w:num w:numId="24" w16cid:durableId="374278965">
    <w:abstractNumId w:val="30"/>
  </w:num>
  <w:num w:numId="25" w16cid:durableId="1630548914">
    <w:abstractNumId w:val="2"/>
  </w:num>
  <w:num w:numId="26" w16cid:durableId="1702318394">
    <w:abstractNumId w:val="37"/>
  </w:num>
  <w:num w:numId="27" w16cid:durableId="833841872">
    <w:abstractNumId w:val="7"/>
  </w:num>
  <w:num w:numId="28" w16cid:durableId="1983078696">
    <w:abstractNumId w:val="31"/>
  </w:num>
  <w:num w:numId="29" w16cid:durableId="904031192">
    <w:abstractNumId w:val="36"/>
  </w:num>
  <w:num w:numId="30" w16cid:durableId="1235048318">
    <w:abstractNumId w:val="28"/>
  </w:num>
  <w:num w:numId="31" w16cid:durableId="883755496">
    <w:abstractNumId w:val="18"/>
  </w:num>
  <w:num w:numId="32" w16cid:durableId="1992632995">
    <w:abstractNumId w:val="3"/>
  </w:num>
  <w:num w:numId="33" w16cid:durableId="778715602">
    <w:abstractNumId w:val="1"/>
  </w:num>
  <w:num w:numId="34" w16cid:durableId="241918611">
    <w:abstractNumId w:val="41"/>
  </w:num>
  <w:num w:numId="35" w16cid:durableId="205528449">
    <w:abstractNumId w:val="29"/>
  </w:num>
  <w:num w:numId="36" w16cid:durableId="2128575002">
    <w:abstractNumId w:val="27"/>
  </w:num>
  <w:num w:numId="37" w16cid:durableId="2136756521">
    <w:abstractNumId w:val="17"/>
  </w:num>
  <w:num w:numId="38" w16cid:durableId="1278441867">
    <w:abstractNumId w:val="12"/>
  </w:num>
  <w:num w:numId="39" w16cid:durableId="714550515">
    <w:abstractNumId w:val="35"/>
  </w:num>
  <w:num w:numId="40" w16cid:durableId="1079910369">
    <w:abstractNumId w:val="40"/>
  </w:num>
  <w:num w:numId="41" w16cid:durableId="18224295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163047495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92"/>
    <w:rsid w:val="00011666"/>
    <w:rsid w:val="00011ECF"/>
    <w:rsid w:val="00012A7C"/>
    <w:rsid w:val="000202B6"/>
    <w:rsid w:val="00026B02"/>
    <w:rsid w:val="00043DA5"/>
    <w:rsid w:val="00045D04"/>
    <w:rsid w:val="00061672"/>
    <w:rsid w:val="000704A8"/>
    <w:rsid w:val="000709AF"/>
    <w:rsid w:val="00072FB4"/>
    <w:rsid w:val="00076DAB"/>
    <w:rsid w:val="00080DAD"/>
    <w:rsid w:val="00080E5A"/>
    <w:rsid w:val="000822E5"/>
    <w:rsid w:val="00094B54"/>
    <w:rsid w:val="000971FC"/>
    <w:rsid w:val="000A2A3A"/>
    <w:rsid w:val="000A492A"/>
    <w:rsid w:val="000A5E72"/>
    <w:rsid w:val="000D2D4F"/>
    <w:rsid w:val="000D2F80"/>
    <w:rsid w:val="000D6464"/>
    <w:rsid w:val="000E1A24"/>
    <w:rsid w:val="000E2D4B"/>
    <w:rsid w:val="000E413A"/>
    <w:rsid w:val="000F2C03"/>
    <w:rsid w:val="000F3D24"/>
    <w:rsid w:val="000F5AA3"/>
    <w:rsid w:val="000F6AB4"/>
    <w:rsid w:val="00100396"/>
    <w:rsid w:val="00100B5C"/>
    <w:rsid w:val="00103507"/>
    <w:rsid w:val="001106E9"/>
    <w:rsid w:val="001112DA"/>
    <w:rsid w:val="00116072"/>
    <w:rsid w:val="00121308"/>
    <w:rsid w:val="001229A7"/>
    <w:rsid w:val="00123B45"/>
    <w:rsid w:val="00124CA5"/>
    <w:rsid w:val="00130080"/>
    <w:rsid w:val="00133F86"/>
    <w:rsid w:val="00134F77"/>
    <w:rsid w:val="00140825"/>
    <w:rsid w:val="00147EAD"/>
    <w:rsid w:val="00152E9D"/>
    <w:rsid w:val="00154487"/>
    <w:rsid w:val="00162C6C"/>
    <w:rsid w:val="00164CA3"/>
    <w:rsid w:val="00164D2A"/>
    <w:rsid w:val="00167487"/>
    <w:rsid w:val="00167ABC"/>
    <w:rsid w:val="00172BBC"/>
    <w:rsid w:val="00174A08"/>
    <w:rsid w:val="0017512A"/>
    <w:rsid w:val="00183FF3"/>
    <w:rsid w:val="00190C4C"/>
    <w:rsid w:val="0019506F"/>
    <w:rsid w:val="00196958"/>
    <w:rsid w:val="001A1E39"/>
    <w:rsid w:val="001A24F3"/>
    <w:rsid w:val="001A3190"/>
    <w:rsid w:val="001A3262"/>
    <w:rsid w:val="001A3E6C"/>
    <w:rsid w:val="001A7193"/>
    <w:rsid w:val="001B186C"/>
    <w:rsid w:val="001B1C1F"/>
    <w:rsid w:val="001B25DB"/>
    <w:rsid w:val="001B405C"/>
    <w:rsid w:val="001B4CA3"/>
    <w:rsid w:val="001B5F45"/>
    <w:rsid w:val="001C4588"/>
    <w:rsid w:val="001C5822"/>
    <w:rsid w:val="001C7253"/>
    <w:rsid w:val="001D660F"/>
    <w:rsid w:val="001E1050"/>
    <w:rsid w:val="001E1E1F"/>
    <w:rsid w:val="001E2007"/>
    <w:rsid w:val="001E3624"/>
    <w:rsid w:val="001E57C1"/>
    <w:rsid w:val="001E6AF7"/>
    <w:rsid w:val="001F07EF"/>
    <w:rsid w:val="001F50B6"/>
    <w:rsid w:val="001F5C7C"/>
    <w:rsid w:val="001F6D7A"/>
    <w:rsid w:val="00201814"/>
    <w:rsid w:val="0020515B"/>
    <w:rsid w:val="00210000"/>
    <w:rsid w:val="00223997"/>
    <w:rsid w:val="0022746E"/>
    <w:rsid w:val="00234EDC"/>
    <w:rsid w:val="00235F71"/>
    <w:rsid w:val="00241C89"/>
    <w:rsid w:val="002444CA"/>
    <w:rsid w:val="00253E4A"/>
    <w:rsid w:val="00260DE6"/>
    <w:rsid w:val="00261D08"/>
    <w:rsid w:val="00263A71"/>
    <w:rsid w:val="002701BF"/>
    <w:rsid w:val="00270A8E"/>
    <w:rsid w:val="00273FEE"/>
    <w:rsid w:val="00277185"/>
    <w:rsid w:val="0028204E"/>
    <w:rsid w:val="002857F7"/>
    <w:rsid w:val="0028591B"/>
    <w:rsid w:val="00291841"/>
    <w:rsid w:val="002A26FE"/>
    <w:rsid w:val="002A79C7"/>
    <w:rsid w:val="002C449B"/>
    <w:rsid w:val="002C4E2C"/>
    <w:rsid w:val="002C6040"/>
    <w:rsid w:val="002D225E"/>
    <w:rsid w:val="002D3AD9"/>
    <w:rsid w:val="002D4A3E"/>
    <w:rsid w:val="002D5B3F"/>
    <w:rsid w:val="002E272E"/>
    <w:rsid w:val="002F4D69"/>
    <w:rsid w:val="002F5778"/>
    <w:rsid w:val="002F6215"/>
    <w:rsid w:val="00312C05"/>
    <w:rsid w:val="003207B4"/>
    <w:rsid w:val="003223E0"/>
    <w:rsid w:val="00322E3E"/>
    <w:rsid w:val="003248B0"/>
    <w:rsid w:val="003321E1"/>
    <w:rsid w:val="00352C25"/>
    <w:rsid w:val="00352C4A"/>
    <w:rsid w:val="00362560"/>
    <w:rsid w:val="003632DD"/>
    <w:rsid w:val="00370D34"/>
    <w:rsid w:val="003732FD"/>
    <w:rsid w:val="003753B2"/>
    <w:rsid w:val="00376559"/>
    <w:rsid w:val="00376C04"/>
    <w:rsid w:val="00377A30"/>
    <w:rsid w:val="00382491"/>
    <w:rsid w:val="00382BAA"/>
    <w:rsid w:val="003837D9"/>
    <w:rsid w:val="00384D73"/>
    <w:rsid w:val="00393EB6"/>
    <w:rsid w:val="003A0805"/>
    <w:rsid w:val="003A3CE5"/>
    <w:rsid w:val="003A4CC3"/>
    <w:rsid w:val="003A5637"/>
    <w:rsid w:val="003A6881"/>
    <w:rsid w:val="003B1076"/>
    <w:rsid w:val="003B366F"/>
    <w:rsid w:val="003B3F9D"/>
    <w:rsid w:val="003B6BFF"/>
    <w:rsid w:val="003B6C6B"/>
    <w:rsid w:val="003B6C95"/>
    <w:rsid w:val="003B70DD"/>
    <w:rsid w:val="003D3112"/>
    <w:rsid w:val="003E0662"/>
    <w:rsid w:val="003E5751"/>
    <w:rsid w:val="003F4901"/>
    <w:rsid w:val="003F7874"/>
    <w:rsid w:val="00404289"/>
    <w:rsid w:val="004046A9"/>
    <w:rsid w:val="00404C50"/>
    <w:rsid w:val="00414961"/>
    <w:rsid w:val="0041542A"/>
    <w:rsid w:val="0042193C"/>
    <w:rsid w:val="00423934"/>
    <w:rsid w:val="00423A72"/>
    <w:rsid w:val="00426244"/>
    <w:rsid w:val="00426350"/>
    <w:rsid w:val="00454735"/>
    <w:rsid w:val="004548E5"/>
    <w:rsid w:val="0045760F"/>
    <w:rsid w:val="00470A38"/>
    <w:rsid w:val="00474229"/>
    <w:rsid w:val="004820D2"/>
    <w:rsid w:val="00482DD5"/>
    <w:rsid w:val="004874DE"/>
    <w:rsid w:val="004A706A"/>
    <w:rsid w:val="004B5334"/>
    <w:rsid w:val="004B6C14"/>
    <w:rsid w:val="004B6C61"/>
    <w:rsid w:val="004C4F19"/>
    <w:rsid w:val="004C6546"/>
    <w:rsid w:val="004D5E9B"/>
    <w:rsid w:val="004D63D9"/>
    <w:rsid w:val="004E6585"/>
    <w:rsid w:val="004F2B19"/>
    <w:rsid w:val="0050249F"/>
    <w:rsid w:val="0050615D"/>
    <w:rsid w:val="005178CF"/>
    <w:rsid w:val="00524566"/>
    <w:rsid w:val="00524789"/>
    <w:rsid w:val="00524DB6"/>
    <w:rsid w:val="00530BEF"/>
    <w:rsid w:val="00531BDD"/>
    <w:rsid w:val="005329F1"/>
    <w:rsid w:val="00534BAE"/>
    <w:rsid w:val="00543B72"/>
    <w:rsid w:val="00547018"/>
    <w:rsid w:val="00550080"/>
    <w:rsid w:val="00552351"/>
    <w:rsid w:val="00555D46"/>
    <w:rsid w:val="00561CD4"/>
    <w:rsid w:val="00561F00"/>
    <w:rsid w:val="00562C4E"/>
    <w:rsid w:val="00562DEC"/>
    <w:rsid w:val="00562F69"/>
    <w:rsid w:val="005649E8"/>
    <w:rsid w:val="00566456"/>
    <w:rsid w:val="00571A71"/>
    <w:rsid w:val="00576AB4"/>
    <w:rsid w:val="00577917"/>
    <w:rsid w:val="00584BDE"/>
    <w:rsid w:val="00590667"/>
    <w:rsid w:val="00591084"/>
    <w:rsid w:val="00592635"/>
    <w:rsid w:val="00596779"/>
    <w:rsid w:val="005969E2"/>
    <w:rsid w:val="00597718"/>
    <w:rsid w:val="00597B17"/>
    <w:rsid w:val="005A1689"/>
    <w:rsid w:val="005A3BF7"/>
    <w:rsid w:val="005B61CD"/>
    <w:rsid w:val="005C569E"/>
    <w:rsid w:val="005D1D58"/>
    <w:rsid w:val="005D432C"/>
    <w:rsid w:val="005D4A9E"/>
    <w:rsid w:val="005D6D15"/>
    <w:rsid w:val="005E285E"/>
    <w:rsid w:val="005E352B"/>
    <w:rsid w:val="005E56E8"/>
    <w:rsid w:val="005E6688"/>
    <w:rsid w:val="005E72F8"/>
    <w:rsid w:val="005F0579"/>
    <w:rsid w:val="005F258F"/>
    <w:rsid w:val="005F3A53"/>
    <w:rsid w:val="00604D46"/>
    <w:rsid w:val="006062A3"/>
    <w:rsid w:val="00610E08"/>
    <w:rsid w:val="0061163D"/>
    <w:rsid w:val="00611777"/>
    <w:rsid w:val="00613938"/>
    <w:rsid w:val="006140BF"/>
    <w:rsid w:val="00615C3F"/>
    <w:rsid w:val="006161BE"/>
    <w:rsid w:val="006161FA"/>
    <w:rsid w:val="00617965"/>
    <w:rsid w:val="00620787"/>
    <w:rsid w:val="00623492"/>
    <w:rsid w:val="00625ADB"/>
    <w:rsid w:val="00631E40"/>
    <w:rsid w:val="00632434"/>
    <w:rsid w:val="0063478F"/>
    <w:rsid w:val="00644256"/>
    <w:rsid w:val="00647BFB"/>
    <w:rsid w:val="00650B32"/>
    <w:rsid w:val="00651BC4"/>
    <w:rsid w:val="006561B9"/>
    <w:rsid w:val="00661D6F"/>
    <w:rsid w:val="006628E9"/>
    <w:rsid w:val="00666727"/>
    <w:rsid w:val="0066725E"/>
    <w:rsid w:val="006716C7"/>
    <w:rsid w:val="0067212B"/>
    <w:rsid w:val="00673F98"/>
    <w:rsid w:val="00681208"/>
    <w:rsid w:val="00681FA9"/>
    <w:rsid w:val="00687E8A"/>
    <w:rsid w:val="00691A14"/>
    <w:rsid w:val="00691EA9"/>
    <w:rsid w:val="00691FBA"/>
    <w:rsid w:val="00692CA0"/>
    <w:rsid w:val="006934D4"/>
    <w:rsid w:val="00693B87"/>
    <w:rsid w:val="006A6DC3"/>
    <w:rsid w:val="006A713B"/>
    <w:rsid w:val="006C1480"/>
    <w:rsid w:val="006D49ED"/>
    <w:rsid w:val="006D55CE"/>
    <w:rsid w:val="006D637A"/>
    <w:rsid w:val="006D6B5E"/>
    <w:rsid w:val="006D6F24"/>
    <w:rsid w:val="006E3E4E"/>
    <w:rsid w:val="006E77AE"/>
    <w:rsid w:val="006F45BF"/>
    <w:rsid w:val="006F60E0"/>
    <w:rsid w:val="00702F71"/>
    <w:rsid w:val="00714182"/>
    <w:rsid w:val="007366DF"/>
    <w:rsid w:val="0074375B"/>
    <w:rsid w:val="0074546A"/>
    <w:rsid w:val="00751F64"/>
    <w:rsid w:val="00757839"/>
    <w:rsid w:val="0076406B"/>
    <w:rsid w:val="00764425"/>
    <w:rsid w:val="0076671F"/>
    <w:rsid w:val="00770C81"/>
    <w:rsid w:val="007750C6"/>
    <w:rsid w:val="007752A8"/>
    <w:rsid w:val="007756F0"/>
    <w:rsid w:val="00776A6A"/>
    <w:rsid w:val="00776D23"/>
    <w:rsid w:val="00791024"/>
    <w:rsid w:val="00793F0A"/>
    <w:rsid w:val="00795507"/>
    <w:rsid w:val="007A1425"/>
    <w:rsid w:val="007A1B92"/>
    <w:rsid w:val="007A2657"/>
    <w:rsid w:val="007A4580"/>
    <w:rsid w:val="007C0EF8"/>
    <w:rsid w:val="007C5122"/>
    <w:rsid w:val="007C682C"/>
    <w:rsid w:val="007D2385"/>
    <w:rsid w:val="007D67AC"/>
    <w:rsid w:val="007E2089"/>
    <w:rsid w:val="007E6F99"/>
    <w:rsid w:val="007F214F"/>
    <w:rsid w:val="007F301D"/>
    <w:rsid w:val="00800069"/>
    <w:rsid w:val="008042F0"/>
    <w:rsid w:val="00813752"/>
    <w:rsid w:val="0081729E"/>
    <w:rsid w:val="008310A0"/>
    <w:rsid w:val="008356A7"/>
    <w:rsid w:val="00835D29"/>
    <w:rsid w:val="00842E7F"/>
    <w:rsid w:val="008510CE"/>
    <w:rsid w:val="00852933"/>
    <w:rsid w:val="00852F63"/>
    <w:rsid w:val="00854D2B"/>
    <w:rsid w:val="008566E5"/>
    <w:rsid w:val="008566FE"/>
    <w:rsid w:val="00856C7F"/>
    <w:rsid w:val="00865B46"/>
    <w:rsid w:val="008668AA"/>
    <w:rsid w:val="0088736B"/>
    <w:rsid w:val="008912A8"/>
    <w:rsid w:val="00891489"/>
    <w:rsid w:val="00894D56"/>
    <w:rsid w:val="00896134"/>
    <w:rsid w:val="008A1754"/>
    <w:rsid w:val="008A244C"/>
    <w:rsid w:val="008A3E07"/>
    <w:rsid w:val="008A62BC"/>
    <w:rsid w:val="008B43E7"/>
    <w:rsid w:val="008D4DD7"/>
    <w:rsid w:val="008D763F"/>
    <w:rsid w:val="008E171E"/>
    <w:rsid w:val="008F036F"/>
    <w:rsid w:val="008F1308"/>
    <w:rsid w:val="008F78C2"/>
    <w:rsid w:val="008F7BFC"/>
    <w:rsid w:val="00902341"/>
    <w:rsid w:val="00904568"/>
    <w:rsid w:val="00904599"/>
    <w:rsid w:val="00911394"/>
    <w:rsid w:val="009127E8"/>
    <w:rsid w:val="00917351"/>
    <w:rsid w:val="00920212"/>
    <w:rsid w:val="00923EF2"/>
    <w:rsid w:val="009266AF"/>
    <w:rsid w:val="00926D25"/>
    <w:rsid w:val="00926E9D"/>
    <w:rsid w:val="00932C6E"/>
    <w:rsid w:val="00933F10"/>
    <w:rsid w:val="009433C5"/>
    <w:rsid w:val="009457F6"/>
    <w:rsid w:val="00945C34"/>
    <w:rsid w:val="00945D23"/>
    <w:rsid w:val="009601B8"/>
    <w:rsid w:val="00965881"/>
    <w:rsid w:val="00976C4E"/>
    <w:rsid w:val="00977E57"/>
    <w:rsid w:val="0098358B"/>
    <w:rsid w:val="009838F2"/>
    <w:rsid w:val="009871FF"/>
    <w:rsid w:val="00990799"/>
    <w:rsid w:val="00991A4B"/>
    <w:rsid w:val="0099236D"/>
    <w:rsid w:val="00995D51"/>
    <w:rsid w:val="0099685E"/>
    <w:rsid w:val="009A0631"/>
    <w:rsid w:val="009A3FE8"/>
    <w:rsid w:val="009A4B66"/>
    <w:rsid w:val="009B10ED"/>
    <w:rsid w:val="009B5A04"/>
    <w:rsid w:val="009C5069"/>
    <w:rsid w:val="009C7067"/>
    <w:rsid w:val="009D236A"/>
    <w:rsid w:val="009D33B7"/>
    <w:rsid w:val="009D3EA4"/>
    <w:rsid w:val="009D649C"/>
    <w:rsid w:val="009E3DAB"/>
    <w:rsid w:val="009E4BC1"/>
    <w:rsid w:val="009F29A9"/>
    <w:rsid w:val="009F2D56"/>
    <w:rsid w:val="009F35F1"/>
    <w:rsid w:val="009F5CB2"/>
    <w:rsid w:val="00A0223F"/>
    <w:rsid w:val="00A03BB8"/>
    <w:rsid w:val="00A042D5"/>
    <w:rsid w:val="00A17FD5"/>
    <w:rsid w:val="00A22F7E"/>
    <w:rsid w:val="00A24221"/>
    <w:rsid w:val="00A3505D"/>
    <w:rsid w:val="00A376E7"/>
    <w:rsid w:val="00A4036F"/>
    <w:rsid w:val="00A406E5"/>
    <w:rsid w:val="00A40CC9"/>
    <w:rsid w:val="00A4641C"/>
    <w:rsid w:val="00A50A26"/>
    <w:rsid w:val="00A55876"/>
    <w:rsid w:val="00A601B3"/>
    <w:rsid w:val="00A610E5"/>
    <w:rsid w:val="00A67FB1"/>
    <w:rsid w:val="00A8170F"/>
    <w:rsid w:val="00A85BFE"/>
    <w:rsid w:val="00AB2260"/>
    <w:rsid w:val="00AB6FE7"/>
    <w:rsid w:val="00AB7AD7"/>
    <w:rsid w:val="00AC5F32"/>
    <w:rsid w:val="00AC7970"/>
    <w:rsid w:val="00AD2430"/>
    <w:rsid w:val="00AE41A6"/>
    <w:rsid w:val="00AE7EF9"/>
    <w:rsid w:val="00AF0E34"/>
    <w:rsid w:val="00AF22A7"/>
    <w:rsid w:val="00AF2518"/>
    <w:rsid w:val="00AF271D"/>
    <w:rsid w:val="00AF56C2"/>
    <w:rsid w:val="00B004E6"/>
    <w:rsid w:val="00B03B2E"/>
    <w:rsid w:val="00B03B80"/>
    <w:rsid w:val="00B06408"/>
    <w:rsid w:val="00B0744D"/>
    <w:rsid w:val="00B12AAA"/>
    <w:rsid w:val="00B134B7"/>
    <w:rsid w:val="00B14E6D"/>
    <w:rsid w:val="00B1589A"/>
    <w:rsid w:val="00B27D09"/>
    <w:rsid w:val="00B431D9"/>
    <w:rsid w:val="00B50EA8"/>
    <w:rsid w:val="00B5206B"/>
    <w:rsid w:val="00B52895"/>
    <w:rsid w:val="00B64082"/>
    <w:rsid w:val="00B705AA"/>
    <w:rsid w:val="00B71132"/>
    <w:rsid w:val="00B72325"/>
    <w:rsid w:val="00B75BF2"/>
    <w:rsid w:val="00B81AD3"/>
    <w:rsid w:val="00B829D8"/>
    <w:rsid w:val="00B84B5B"/>
    <w:rsid w:val="00B86446"/>
    <w:rsid w:val="00B87922"/>
    <w:rsid w:val="00B904EF"/>
    <w:rsid w:val="00BA1176"/>
    <w:rsid w:val="00BA5A9C"/>
    <w:rsid w:val="00BB33F1"/>
    <w:rsid w:val="00BB448C"/>
    <w:rsid w:val="00BB5B3E"/>
    <w:rsid w:val="00BC09E9"/>
    <w:rsid w:val="00BC65BF"/>
    <w:rsid w:val="00BD178A"/>
    <w:rsid w:val="00BD30F1"/>
    <w:rsid w:val="00BD3646"/>
    <w:rsid w:val="00BE0B01"/>
    <w:rsid w:val="00BE568B"/>
    <w:rsid w:val="00BE6F22"/>
    <w:rsid w:val="00BE79C7"/>
    <w:rsid w:val="00BF1177"/>
    <w:rsid w:val="00BF3CB5"/>
    <w:rsid w:val="00C01A3F"/>
    <w:rsid w:val="00C04DA8"/>
    <w:rsid w:val="00C073F1"/>
    <w:rsid w:val="00C1285B"/>
    <w:rsid w:val="00C13242"/>
    <w:rsid w:val="00C1361B"/>
    <w:rsid w:val="00C14E1F"/>
    <w:rsid w:val="00C21745"/>
    <w:rsid w:val="00C21D0B"/>
    <w:rsid w:val="00C256F4"/>
    <w:rsid w:val="00C315AF"/>
    <w:rsid w:val="00C34B73"/>
    <w:rsid w:val="00C36D9A"/>
    <w:rsid w:val="00C409CC"/>
    <w:rsid w:val="00C43046"/>
    <w:rsid w:val="00C44A72"/>
    <w:rsid w:val="00C46618"/>
    <w:rsid w:val="00C46BF9"/>
    <w:rsid w:val="00C53223"/>
    <w:rsid w:val="00C57F4C"/>
    <w:rsid w:val="00C606B3"/>
    <w:rsid w:val="00C61FC2"/>
    <w:rsid w:val="00C64DA0"/>
    <w:rsid w:val="00C6758F"/>
    <w:rsid w:val="00C705F9"/>
    <w:rsid w:val="00C7159A"/>
    <w:rsid w:val="00C80F0F"/>
    <w:rsid w:val="00C810CA"/>
    <w:rsid w:val="00C83851"/>
    <w:rsid w:val="00C8667A"/>
    <w:rsid w:val="00C86E67"/>
    <w:rsid w:val="00C93BCB"/>
    <w:rsid w:val="00C96F6D"/>
    <w:rsid w:val="00C970D0"/>
    <w:rsid w:val="00CA2D9C"/>
    <w:rsid w:val="00CA7CB2"/>
    <w:rsid w:val="00CB662C"/>
    <w:rsid w:val="00CC103C"/>
    <w:rsid w:val="00CC241A"/>
    <w:rsid w:val="00CC64A6"/>
    <w:rsid w:val="00CD1C26"/>
    <w:rsid w:val="00CE3F38"/>
    <w:rsid w:val="00CE4035"/>
    <w:rsid w:val="00CE65AB"/>
    <w:rsid w:val="00CF0E95"/>
    <w:rsid w:val="00CF4266"/>
    <w:rsid w:val="00D07335"/>
    <w:rsid w:val="00D11A80"/>
    <w:rsid w:val="00D22BAE"/>
    <w:rsid w:val="00D22D9C"/>
    <w:rsid w:val="00D241F1"/>
    <w:rsid w:val="00D275CB"/>
    <w:rsid w:val="00D30DFA"/>
    <w:rsid w:val="00D45F03"/>
    <w:rsid w:val="00D463A5"/>
    <w:rsid w:val="00D4710D"/>
    <w:rsid w:val="00D47D25"/>
    <w:rsid w:val="00D62ACD"/>
    <w:rsid w:val="00D87F93"/>
    <w:rsid w:val="00D933E1"/>
    <w:rsid w:val="00DA0548"/>
    <w:rsid w:val="00DA25B6"/>
    <w:rsid w:val="00DA2637"/>
    <w:rsid w:val="00DA36EE"/>
    <w:rsid w:val="00DB116D"/>
    <w:rsid w:val="00DB4FBC"/>
    <w:rsid w:val="00DB5B54"/>
    <w:rsid w:val="00DC64CF"/>
    <w:rsid w:val="00DD17CC"/>
    <w:rsid w:val="00DD49A1"/>
    <w:rsid w:val="00DD72D8"/>
    <w:rsid w:val="00DE217A"/>
    <w:rsid w:val="00DE34B0"/>
    <w:rsid w:val="00DE368B"/>
    <w:rsid w:val="00DE447B"/>
    <w:rsid w:val="00DE4747"/>
    <w:rsid w:val="00DE7F2B"/>
    <w:rsid w:val="00DF00D3"/>
    <w:rsid w:val="00DF20F4"/>
    <w:rsid w:val="00DF321B"/>
    <w:rsid w:val="00DF6E62"/>
    <w:rsid w:val="00E05287"/>
    <w:rsid w:val="00E073F4"/>
    <w:rsid w:val="00E13A5B"/>
    <w:rsid w:val="00E230E0"/>
    <w:rsid w:val="00E51AAC"/>
    <w:rsid w:val="00E64572"/>
    <w:rsid w:val="00E66CC0"/>
    <w:rsid w:val="00E70312"/>
    <w:rsid w:val="00E728A9"/>
    <w:rsid w:val="00E7483E"/>
    <w:rsid w:val="00E807D9"/>
    <w:rsid w:val="00E80819"/>
    <w:rsid w:val="00E87502"/>
    <w:rsid w:val="00E92B9A"/>
    <w:rsid w:val="00E94261"/>
    <w:rsid w:val="00EA05D0"/>
    <w:rsid w:val="00EA0F4E"/>
    <w:rsid w:val="00EA295B"/>
    <w:rsid w:val="00EA3B9B"/>
    <w:rsid w:val="00EA51AC"/>
    <w:rsid w:val="00EA6801"/>
    <w:rsid w:val="00EB0611"/>
    <w:rsid w:val="00EB33CD"/>
    <w:rsid w:val="00EB4F96"/>
    <w:rsid w:val="00EC0F5F"/>
    <w:rsid w:val="00EC1CDA"/>
    <w:rsid w:val="00EC4B77"/>
    <w:rsid w:val="00ED6EF8"/>
    <w:rsid w:val="00ED7072"/>
    <w:rsid w:val="00ED794E"/>
    <w:rsid w:val="00EE3132"/>
    <w:rsid w:val="00EE3B22"/>
    <w:rsid w:val="00EE3D9D"/>
    <w:rsid w:val="00EE45ED"/>
    <w:rsid w:val="00EE4A8D"/>
    <w:rsid w:val="00EE6F25"/>
    <w:rsid w:val="00F003D9"/>
    <w:rsid w:val="00F02126"/>
    <w:rsid w:val="00F03656"/>
    <w:rsid w:val="00F03D85"/>
    <w:rsid w:val="00F05201"/>
    <w:rsid w:val="00F07C8C"/>
    <w:rsid w:val="00F13B91"/>
    <w:rsid w:val="00F16AED"/>
    <w:rsid w:val="00F171F6"/>
    <w:rsid w:val="00F249F1"/>
    <w:rsid w:val="00F25B9D"/>
    <w:rsid w:val="00F2664E"/>
    <w:rsid w:val="00F31163"/>
    <w:rsid w:val="00F31C04"/>
    <w:rsid w:val="00F33377"/>
    <w:rsid w:val="00F442A7"/>
    <w:rsid w:val="00F53D85"/>
    <w:rsid w:val="00F57A89"/>
    <w:rsid w:val="00F61A20"/>
    <w:rsid w:val="00F63DD9"/>
    <w:rsid w:val="00F666B5"/>
    <w:rsid w:val="00F67644"/>
    <w:rsid w:val="00F75A60"/>
    <w:rsid w:val="00F80261"/>
    <w:rsid w:val="00F82D58"/>
    <w:rsid w:val="00F8381F"/>
    <w:rsid w:val="00F85C4A"/>
    <w:rsid w:val="00F9016B"/>
    <w:rsid w:val="00F90BD8"/>
    <w:rsid w:val="00F937D9"/>
    <w:rsid w:val="00F952E9"/>
    <w:rsid w:val="00FA04CD"/>
    <w:rsid w:val="00FA25F5"/>
    <w:rsid w:val="00FA2810"/>
    <w:rsid w:val="00FA68F8"/>
    <w:rsid w:val="00FB1DC0"/>
    <w:rsid w:val="00FB3B4E"/>
    <w:rsid w:val="00FB4521"/>
    <w:rsid w:val="00FB4F84"/>
    <w:rsid w:val="00FB5CF8"/>
    <w:rsid w:val="00FD34A3"/>
    <w:rsid w:val="00FD482A"/>
    <w:rsid w:val="00FD7AD6"/>
    <w:rsid w:val="00FE5651"/>
    <w:rsid w:val="00FE68CC"/>
    <w:rsid w:val="00FE7CE0"/>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A892B6F"/>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 w:type="paragraph" w:styleId="HTMLPreformatted">
    <w:name w:val="HTML Preformatted"/>
    <w:basedOn w:val="Normal"/>
    <w:link w:val="HTMLPreformattedChar"/>
    <w:semiHidden/>
    <w:unhideWhenUsed/>
    <w:rsid w:val="000202B6"/>
    <w:rPr>
      <w:rFonts w:ascii="Consolas" w:hAnsi="Consolas"/>
    </w:rPr>
  </w:style>
  <w:style w:type="character" w:customStyle="1" w:styleId="HTMLPreformattedChar">
    <w:name w:val="HTML Preformatted Char"/>
    <w:basedOn w:val="DefaultParagraphFont"/>
    <w:link w:val="HTMLPreformatted"/>
    <w:semiHidden/>
    <w:rsid w:val="000202B6"/>
    <w:rPr>
      <w:rFonts w:ascii="Consolas" w:hAnsi="Consola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0769">
      <w:bodyDiv w:val="1"/>
      <w:marLeft w:val="0"/>
      <w:marRight w:val="0"/>
      <w:marTop w:val="0"/>
      <w:marBottom w:val="0"/>
      <w:divBdr>
        <w:top w:val="none" w:sz="0" w:space="0" w:color="auto"/>
        <w:left w:val="none" w:sz="0" w:space="0" w:color="auto"/>
        <w:bottom w:val="none" w:sz="0" w:space="0" w:color="auto"/>
        <w:right w:val="none" w:sz="0" w:space="0" w:color="auto"/>
      </w:divBdr>
    </w:div>
    <w:div w:id="8607024">
      <w:bodyDiv w:val="1"/>
      <w:marLeft w:val="0"/>
      <w:marRight w:val="0"/>
      <w:marTop w:val="0"/>
      <w:marBottom w:val="0"/>
      <w:divBdr>
        <w:top w:val="none" w:sz="0" w:space="0" w:color="auto"/>
        <w:left w:val="none" w:sz="0" w:space="0" w:color="auto"/>
        <w:bottom w:val="none" w:sz="0" w:space="0" w:color="auto"/>
        <w:right w:val="none" w:sz="0" w:space="0" w:color="auto"/>
      </w:divBdr>
    </w:div>
    <w:div w:id="18434290">
      <w:bodyDiv w:val="1"/>
      <w:marLeft w:val="0"/>
      <w:marRight w:val="0"/>
      <w:marTop w:val="0"/>
      <w:marBottom w:val="0"/>
      <w:divBdr>
        <w:top w:val="none" w:sz="0" w:space="0" w:color="auto"/>
        <w:left w:val="none" w:sz="0" w:space="0" w:color="auto"/>
        <w:bottom w:val="none" w:sz="0" w:space="0" w:color="auto"/>
        <w:right w:val="none" w:sz="0" w:space="0" w:color="auto"/>
      </w:divBdr>
    </w:div>
    <w:div w:id="22169412">
      <w:bodyDiv w:val="1"/>
      <w:marLeft w:val="0"/>
      <w:marRight w:val="0"/>
      <w:marTop w:val="0"/>
      <w:marBottom w:val="0"/>
      <w:divBdr>
        <w:top w:val="none" w:sz="0" w:space="0" w:color="auto"/>
        <w:left w:val="none" w:sz="0" w:space="0" w:color="auto"/>
        <w:bottom w:val="none" w:sz="0" w:space="0" w:color="auto"/>
        <w:right w:val="none" w:sz="0" w:space="0" w:color="auto"/>
      </w:divBdr>
    </w:div>
    <w:div w:id="116876537">
      <w:bodyDiv w:val="1"/>
      <w:marLeft w:val="0"/>
      <w:marRight w:val="0"/>
      <w:marTop w:val="0"/>
      <w:marBottom w:val="0"/>
      <w:divBdr>
        <w:top w:val="none" w:sz="0" w:space="0" w:color="auto"/>
        <w:left w:val="none" w:sz="0" w:space="0" w:color="auto"/>
        <w:bottom w:val="none" w:sz="0" w:space="0" w:color="auto"/>
        <w:right w:val="none" w:sz="0" w:space="0" w:color="auto"/>
      </w:divBdr>
    </w:div>
    <w:div w:id="148837108">
      <w:bodyDiv w:val="1"/>
      <w:marLeft w:val="0"/>
      <w:marRight w:val="0"/>
      <w:marTop w:val="0"/>
      <w:marBottom w:val="0"/>
      <w:divBdr>
        <w:top w:val="none" w:sz="0" w:space="0" w:color="auto"/>
        <w:left w:val="none" w:sz="0" w:space="0" w:color="auto"/>
        <w:bottom w:val="none" w:sz="0" w:space="0" w:color="auto"/>
        <w:right w:val="none" w:sz="0" w:space="0" w:color="auto"/>
      </w:divBdr>
    </w:div>
    <w:div w:id="180633184">
      <w:bodyDiv w:val="1"/>
      <w:marLeft w:val="0"/>
      <w:marRight w:val="0"/>
      <w:marTop w:val="0"/>
      <w:marBottom w:val="0"/>
      <w:divBdr>
        <w:top w:val="none" w:sz="0" w:space="0" w:color="auto"/>
        <w:left w:val="none" w:sz="0" w:space="0" w:color="auto"/>
        <w:bottom w:val="none" w:sz="0" w:space="0" w:color="auto"/>
        <w:right w:val="none" w:sz="0" w:space="0" w:color="auto"/>
      </w:divBdr>
    </w:div>
    <w:div w:id="201409832">
      <w:bodyDiv w:val="1"/>
      <w:marLeft w:val="0"/>
      <w:marRight w:val="0"/>
      <w:marTop w:val="0"/>
      <w:marBottom w:val="0"/>
      <w:divBdr>
        <w:top w:val="none" w:sz="0" w:space="0" w:color="auto"/>
        <w:left w:val="none" w:sz="0" w:space="0" w:color="auto"/>
        <w:bottom w:val="none" w:sz="0" w:space="0" w:color="auto"/>
        <w:right w:val="none" w:sz="0" w:space="0" w:color="auto"/>
      </w:divBdr>
    </w:div>
    <w:div w:id="205914895">
      <w:bodyDiv w:val="1"/>
      <w:marLeft w:val="0"/>
      <w:marRight w:val="0"/>
      <w:marTop w:val="0"/>
      <w:marBottom w:val="0"/>
      <w:divBdr>
        <w:top w:val="none" w:sz="0" w:space="0" w:color="auto"/>
        <w:left w:val="none" w:sz="0" w:space="0" w:color="auto"/>
        <w:bottom w:val="none" w:sz="0" w:space="0" w:color="auto"/>
        <w:right w:val="none" w:sz="0" w:space="0" w:color="auto"/>
      </w:divBdr>
    </w:div>
    <w:div w:id="232857874">
      <w:bodyDiv w:val="1"/>
      <w:marLeft w:val="0"/>
      <w:marRight w:val="0"/>
      <w:marTop w:val="0"/>
      <w:marBottom w:val="0"/>
      <w:divBdr>
        <w:top w:val="none" w:sz="0" w:space="0" w:color="auto"/>
        <w:left w:val="none" w:sz="0" w:space="0" w:color="auto"/>
        <w:bottom w:val="none" w:sz="0" w:space="0" w:color="auto"/>
        <w:right w:val="none" w:sz="0" w:space="0" w:color="auto"/>
      </w:divBdr>
    </w:div>
    <w:div w:id="241721667">
      <w:bodyDiv w:val="1"/>
      <w:marLeft w:val="0"/>
      <w:marRight w:val="0"/>
      <w:marTop w:val="0"/>
      <w:marBottom w:val="0"/>
      <w:divBdr>
        <w:top w:val="none" w:sz="0" w:space="0" w:color="auto"/>
        <w:left w:val="none" w:sz="0" w:space="0" w:color="auto"/>
        <w:bottom w:val="none" w:sz="0" w:space="0" w:color="auto"/>
        <w:right w:val="none" w:sz="0" w:space="0" w:color="auto"/>
      </w:divBdr>
    </w:div>
    <w:div w:id="281158416">
      <w:bodyDiv w:val="1"/>
      <w:marLeft w:val="0"/>
      <w:marRight w:val="0"/>
      <w:marTop w:val="0"/>
      <w:marBottom w:val="0"/>
      <w:divBdr>
        <w:top w:val="none" w:sz="0" w:space="0" w:color="auto"/>
        <w:left w:val="none" w:sz="0" w:space="0" w:color="auto"/>
        <w:bottom w:val="none" w:sz="0" w:space="0" w:color="auto"/>
        <w:right w:val="none" w:sz="0" w:space="0" w:color="auto"/>
      </w:divBdr>
    </w:div>
    <w:div w:id="318121318">
      <w:bodyDiv w:val="1"/>
      <w:marLeft w:val="0"/>
      <w:marRight w:val="0"/>
      <w:marTop w:val="0"/>
      <w:marBottom w:val="0"/>
      <w:divBdr>
        <w:top w:val="none" w:sz="0" w:space="0" w:color="auto"/>
        <w:left w:val="none" w:sz="0" w:space="0" w:color="auto"/>
        <w:bottom w:val="none" w:sz="0" w:space="0" w:color="auto"/>
        <w:right w:val="none" w:sz="0" w:space="0" w:color="auto"/>
      </w:divBdr>
    </w:div>
    <w:div w:id="321323806">
      <w:bodyDiv w:val="1"/>
      <w:marLeft w:val="0"/>
      <w:marRight w:val="0"/>
      <w:marTop w:val="0"/>
      <w:marBottom w:val="0"/>
      <w:divBdr>
        <w:top w:val="none" w:sz="0" w:space="0" w:color="auto"/>
        <w:left w:val="none" w:sz="0" w:space="0" w:color="auto"/>
        <w:bottom w:val="none" w:sz="0" w:space="0" w:color="auto"/>
        <w:right w:val="none" w:sz="0" w:space="0" w:color="auto"/>
      </w:divBdr>
    </w:div>
    <w:div w:id="33496671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519260">
      <w:bodyDiv w:val="1"/>
      <w:marLeft w:val="0"/>
      <w:marRight w:val="0"/>
      <w:marTop w:val="0"/>
      <w:marBottom w:val="0"/>
      <w:divBdr>
        <w:top w:val="none" w:sz="0" w:space="0" w:color="auto"/>
        <w:left w:val="none" w:sz="0" w:space="0" w:color="auto"/>
        <w:bottom w:val="none" w:sz="0" w:space="0" w:color="auto"/>
        <w:right w:val="none" w:sz="0" w:space="0" w:color="auto"/>
      </w:divBdr>
    </w:div>
    <w:div w:id="363948913">
      <w:bodyDiv w:val="1"/>
      <w:marLeft w:val="0"/>
      <w:marRight w:val="0"/>
      <w:marTop w:val="0"/>
      <w:marBottom w:val="0"/>
      <w:divBdr>
        <w:top w:val="none" w:sz="0" w:space="0" w:color="auto"/>
        <w:left w:val="none" w:sz="0" w:space="0" w:color="auto"/>
        <w:bottom w:val="none" w:sz="0" w:space="0" w:color="auto"/>
        <w:right w:val="none" w:sz="0" w:space="0" w:color="auto"/>
      </w:divBdr>
    </w:div>
    <w:div w:id="384331815">
      <w:bodyDiv w:val="1"/>
      <w:marLeft w:val="0"/>
      <w:marRight w:val="0"/>
      <w:marTop w:val="0"/>
      <w:marBottom w:val="0"/>
      <w:divBdr>
        <w:top w:val="none" w:sz="0" w:space="0" w:color="auto"/>
        <w:left w:val="none" w:sz="0" w:space="0" w:color="auto"/>
        <w:bottom w:val="none" w:sz="0" w:space="0" w:color="auto"/>
        <w:right w:val="none" w:sz="0" w:space="0" w:color="auto"/>
      </w:divBdr>
    </w:div>
    <w:div w:id="384911618">
      <w:bodyDiv w:val="1"/>
      <w:marLeft w:val="0"/>
      <w:marRight w:val="0"/>
      <w:marTop w:val="0"/>
      <w:marBottom w:val="0"/>
      <w:divBdr>
        <w:top w:val="none" w:sz="0" w:space="0" w:color="auto"/>
        <w:left w:val="none" w:sz="0" w:space="0" w:color="auto"/>
        <w:bottom w:val="none" w:sz="0" w:space="0" w:color="auto"/>
        <w:right w:val="none" w:sz="0" w:space="0" w:color="auto"/>
      </w:divBdr>
    </w:div>
    <w:div w:id="418405749">
      <w:bodyDiv w:val="1"/>
      <w:marLeft w:val="0"/>
      <w:marRight w:val="0"/>
      <w:marTop w:val="0"/>
      <w:marBottom w:val="0"/>
      <w:divBdr>
        <w:top w:val="none" w:sz="0" w:space="0" w:color="auto"/>
        <w:left w:val="none" w:sz="0" w:space="0" w:color="auto"/>
        <w:bottom w:val="none" w:sz="0" w:space="0" w:color="auto"/>
        <w:right w:val="none" w:sz="0" w:space="0" w:color="auto"/>
      </w:divBdr>
    </w:div>
    <w:div w:id="499850395">
      <w:bodyDiv w:val="1"/>
      <w:marLeft w:val="0"/>
      <w:marRight w:val="0"/>
      <w:marTop w:val="0"/>
      <w:marBottom w:val="0"/>
      <w:divBdr>
        <w:top w:val="none" w:sz="0" w:space="0" w:color="auto"/>
        <w:left w:val="none" w:sz="0" w:space="0" w:color="auto"/>
        <w:bottom w:val="none" w:sz="0" w:space="0" w:color="auto"/>
        <w:right w:val="none" w:sz="0" w:space="0" w:color="auto"/>
      </w:divBdr>
    </w:div>
    <w:div w:id="527714731">
      <w:bodyDiv w:val="1"/>
      <w:marLeft w:val="0"/>
      <w:marRight w:val="0"/>
      <w:marTop w:val="0"/>
      <w:marBottom w:val="0"/>
      <w:divBdr>
        <w:top w:val="none" w:sz="0" w:space="0" w:color="auto"/>
        <w:left w:val="none" w:sz="0" w:space="0" w:color="auto"/>
        <w:bottom w:val="none" w:sz="0" w:space="0" w:color="auto"/>
        <w:right w:val="none" w:sz="0" w:space="0" w:color="auto"/>
      </w:divBdr>
    </w:div>
    <w:div w:id="550657524">
      <w:bodyDiv w:val="1"/>
      <w:marLeft w:val="0"/>
      <w:marRight w:val="0"/>
      <w:marTop w:val="0"/>
      <w:marBottom w:val="0"/>
      <w:divBdr>
        <w:top w:val="none" w:sz="0" w:space="0" w:color="auto"/>
        <w:left w:val="none" w:sz="0" w:space="0" w:color="auto"/>
        <w:bottom w:val="none" w:sz="0" w:space="0" w:color="auto"/>
        <w:right w:val="none" w:sz="0" w:space="0" w:color="auto"/>
      </w:divBdr>
    </w:div>
    <w:div w:id="580338086">
      <w:bodyDiv w:val="1"/>
      <w:marLeft w:val="0"/>
      <w:marRight w:val="0"/>
      <w:marTop w:val="0"/>
      <w:marBottom w:val="0"/>
      <w:divBdr>
        <w:top w:val="none" w:sz="0" w:space="0" w:color="auto"/>
        <w:left w:val="none" w:sz="0" w:space="0" w:color="auto"/>
        <w:bottom w:val="none" w:sz="0" w:space="0" w:color="auto"/>
        <w:right w:val="none" w:sz="0" w:space="0" w:color="auto"/>
      </w:divBdr>
    </w:div>
    <w:div w:id="664670650">
      <w:bodyDiv w:val="1"/>
      <w:marLeft w:val="0"/>
      <w:marRight w:val="0"/>
      <w:marTop w:val="0"/>
      <w:marBottom w:val="0"/>
      <w:divBdr>
        <w:top w:val="none" w:sz="0" w:space="0" w:color="auto"/>
        <w:left w:val="none" w:sz="0" w:space="0" w:color="auto"/>
        <w:bottom w:val="none" w:sz="0" w:space="0" w:color="auto"/>
        <w:right w:val="none" w:sz="0" w:space="0" w:color="auto"/>
      </w:divBdr>
    </w:div>
    <w:div w:id="671957424">
      <w:bodyDiv w:val="1"/>
      <w:marLeft w:val="0"/>
      <w:marRight w:val="0"/>
      <w:marTop w:val="0"/>
      <w:marBottom w:val="0"/>
      <w:divBdr>
        <w:top w:val="none" w:sz="0" w:space="0" w:color="auto"/>
        <w:left w:val="none" w:sz="0" w:space="0" w:color="auto"/>
        <w:bottom w:val="none" w:sz="0" w:space="0" w:color="auto"/>
        <w:right w:val="none" w:sz="0" w:space="0" w:color="auto"/>
      </w:divBdr>
    </w:div>
    <w:div w:id="691960422">
      <w:bodyDiv w:val="1"/>
      <w:marLeft w:val="0"/>
      <w:marRight w:val="0"/>
      <w:marTop w:val="0"/>
      <w:marBottom w:val="0"/>
      <w:divBdr>
        <w:top w:val="none" w:sz="0" w:space="0" w:color="auto"/>
        <w:left w:val="none" w:sz="0" w:space="0" w:color="auto"/>
        <w:bottom w:val="none" w:sz="0" w:space="0" w:color="auto"/>
        <w:right w:val="none" w:sz="0" w:space="0" w:color="auto"/>
      </w:divBdr>
    </w:div>
    <w:div w:id="712270073">
      <w:bodyDiv w:val="1"/>
      <w:marLeft w:val="0"/>
      <w:marRight w:val="0"/>
      <w:marTop w:val="0"/>
      <w:marBottom w:val="0"/>
      <w:divBdr>
        <w:top w:val="none" w:sz="0" w:space="0" w:color="auto"/>
        <w:left w:val="none" w:sz="0" w:space="0" w:color="auto"/>
        <w:bottom w:val="none" w:sz="0" w:space="0" w:color="auto"/>
        <w:right w:val="none" w:sz="0" w:space="0" w:color="auto"/>
      </w:divBdr>
    </w:div>
    <w:div w:id="733432120">
      <w:bodyDiv w:val="1"/>
      <w:marLeft w:val="0"/>
      <w:marRight w:val="0"/>
      <w:marTop w:val="0"/>
      <w:marBottom w:val="0"/>
      <w:divBdr>
        <w:top w:val="none" w:sz="0" w:space="0" w:color="auto"/>
        <w:left w:val="none" w:sz="0" w:space="0" w:color="auto"/>
        <w:bottom w:val="none" w:sz="0" w:space="0" w:color="auto"/>
        <w:right w:val="none" w:sz="0" w:space="0" w:color="auto"/>
      </w:divBdr>
    </w:div>
    <w:div w:id="872620288">
      <w:bodyDiv w:val="1"/>
      <w:marLeft w:val="0"/>
      <w:marRight w:val="0"/>
      <w:marTop w:val="0"/>
      <w:marBottom w:val="0"/>
      <w:divBdr>
        <w:top w:val="none" w:sz="0" w:space="0" w:color="auto"/>
        <w:left w:val="none" w:sz="0" w:space="0" w:color="auto"/>
        <w:bottom w:val="none" w:sz="0" w:space="0" w:color="auto"/>
        <w:right w:val="none" w:sz="0" w:space="0" w:color="auto"/>
      </w:divBdr>
    </w:div>
    <w:div w:id="904024507">
      <w:bodyDiv w:val="1"/>
      <w:marLeft w:val="0"/>
      <w:marRight w:val="0"/>
      <w:marTop w:val="0"/>
      <w:marBottom w:val="0"/>
      <w:divBdr>
        <w:top w:val="none" w:sz="0" w:space="0" w:color="auto"/>
        <w:left w:val="none" w:sz="0" w:space="0" w:color="auto"/>
        <w:bottom w:val="none" w:sz="0" w:space="0" w:color="auto"/>
        <w:right w:val="none" w:sz="0" w:space="0" w:color="auto"/>
      </w:divBdr>
    </w:div>
    <w:div w:id="930235579">
      <w:bodyDiv w:val="1"/>
      <w:marLeft w:val="0"/>
      <w:marRight w:val="0"/>
      <w:marTop w:val="0"/>
      <w:marBottom w:val="0"/>
      <w:divBdr>
        <w:top w:val="none" w:sz="0" w:space="0" w:color="auto"/>
        <w:left w:val="none" w:sz="0" w:space="0" w:color="auto"/>
        <w:bottom w:val="none" w:sz="0" w:space="0" w:color="auto"/>
        <w:right w:val="none" w:sz="0" w:space="0" w:color="auto"/>
      </w:divBdr>
    </w:div>
    <w:div w:id="967315691">
      <w:bodyDiv w:val="1"/>
      <w:marLeft w:val="0"/>
      <w:marRight w:val="0"/>
      <w:marTop w:val="0"/>
      <w:marBottom w:val="0"/>
      <w:divBdr>
        <w:top w:val="none" w:sz="0" w:space="0" w:color="auto"/>
        <w:left w:val="none" w:sz="0" w:space="0" w:color="auto"/>
        <w:bottom w:val="none" w:sz="0" w:space="0" w:color="auto"/>
        <w:right w:val="none" w:sz="0" w:space="0" w:color="auto"/>
      </w:divBdr>
    </w:div>
    <w:div w:id="972249739">
      <w:bodyDiv w:val="1"/>
      <w:marLeft w:val="0"/>
      <w:marRight w:val="0"/>
      <w:marTop w:val="0"/>
      <w:marBottom w:val="0"/>
      <w:divBdr>
        <w:top w:val="none" w:sz="0" w:space="0" w:color="auto"/>
        <w:left w:val="none" w:sz="0" w:space="0" w:color="auto"/>
        <w:bottom w:val="none" w:sz="0" w:space="0" w:color="auto"/>
        <w:right w:val="none" w:sz="0" w:space="0" w:color="auto"/>
      </w:divBdr>
    </w:div>
    <w:div w:id="1036353085">
      <w:bodyDiv w:val="1"/>
      <w:marLeft w:val="0"/>
      <w:marRight w:val="0"/>
      <w:marTop w:val="0"/>
      <w:marBottom w:val="0"/>
      <w:divBdr>
        <w:top w:val="none" w:sz="0" w:space="0" w:color="auto"/>
        <w:left w:val="none" w:sz="0" w:space="0" w:color="auto"/>
        <w:bottom w:val="none" w:sz="0" w:space="0" w:color="auto"/>
        <w:right w:val="none" w:sz="0" w:space="0" w:color="auto"/>
      </w:divBdr>
    </w:div>
    <w:div w:id="1049643291">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46968827">
      <w:bodyDiv w:val="1"/>
      <w:marLeft w:val="0"/>
      <w:marRight w:val="0"/>
      <w:marTop w:val="0"/>
      <w:marBottom w:val="0"/>
      <w:divBdr>
        <w:top w:val="none" w:sz="0" w:space="0" w:color="auto"/>
        <w:left w:val="none" w:sz="0" w:space="0" w:color="auto"/>
        <w:bottom w:val="none" w:sz="0" w:space="0" w:color="auto"/>
        <w:right w:val="none" w:sz="0" w:space="0" w:color="auto"/>
      </w:divBdr>
    </w:div>
    <w:div w:id="1208882975">
      <w:bodyDiv w:val="1"/>
      <w:marLeft w:val="0"/>
      <w:marRight w:val="0"/>
      <w:marTop w:val="0"/>
      <w:marBottom w:val="0"/>
      <w:divBdr>
        <w:top w:val="none" w:sz="0" w:space="0" w:color="auto"/>
        <w:left w:val="none" w:sz="0" w:space="0" w:color="auto"/>
        <w:bottom w:val="none" w:sz="0" w:space="0" w:color="auto"/>
        <w:right w:val="none" w:sz="0" w:space="0" w:color="auto"/>
      </w:divBdr>
    </w:div>
    <w:div w:id="1215389320">
      <w:bodyDiv w:val="1"/>
      <w:marLeft w:val="0"/>
      <w:marRight w:val="0"/>
      <w:marTop w:val="0"/>
      <w:marBottom w:val="0"/>
      <w:divBdr>
        <w:top w:val="none" w:sz="0" w:space="0" w:color="auto"/>
        <w:left w:val="none" w:sz="0" w:space="0" w:color="auto"/>
        <w:bottom w:val="none" w:sz="0" w:space="0" w:color="auto"/>
        <w:right w:val="none" w:sz="0" w:space="0" w:color="auto"/>
      </w:divBdr>
    </w:div>
    <w:div w:id="1250777018">
      <w:bodyDiv w:val="1"/>
      <w:marLeft w:val="0"/>
      <w:marRight w:val="0"/>
      <w:marTop w:val="0"/>
      <w:marBottom w:val="0"/>
      <w:divBdr>
        <w:top w:val="none" w:sz="0" w:space="0" w:color="auto"/>
        <w:left w:val="none" w:sz="0" w:space="0" w:color="auto"/>
        <w:bottom w:val="none" w:sz="0" w:space="0" w:color="auto"/>
        <w:right w:val="none" w:sz="0" w:space="0" w:color="auto"/>
      </w:divBdr>
    </w:div>
    <w:div w:id="1271356781">
      <w:bodyDiv w:val="1"/>
      <w:marLeft w:val="0"/>
      <w:marRight w:val="0"/>
      <w:marTop w:val="0"/>
      <w:marBottom w:val="0"/>
      <w:divBdr>
        <w:top w:val="none" w:sz="0" w:space="0" w:color="auto"/>
        <w:left w:val="none" w:sz="0" w:space="0" w:color="auto"/>
        <w:bottom w:val="none" w:sz="0" w:space="0" w:color="auto"/>
        <w:right w:val="none" w:sz="0" w:space="0" w:color="auto"/>
      </w:divBdr>
    </w:div>
    <w:div w:id="1306861943">
      <w:bodyDiv w:val="1"/>
      <w:marLeft w:val="0"/>
      <w:marRight w:val="0"/>
      <w:marTop w:val="0"/>
      <w:marBottom w:val="0"/>
      <w:divBdr>
        <w:top w:val="none" w:sz="0" w:space="0" w:color="auto"/>
        <w:left w:val="none" w:sz="0" w:space="0" w:color="auto"/>
        <w:bottom w:val="none" w:sz="0" w:space="0" w:color="auto"/>
        <w:right w:val="none" w:sz="0" w:space="0" w:color="auto"/>
      </w:divBdr>
    </w:div>
    <w:div w:id="1362776740">
      <w:bodyDiv w:val="1"/>
      <w:marLeft w:val="0"/>
      <w:marRight w:val="0"/>
      <w:marTop w:val="0"/>
      <w:marBottom w:val="0"/>
      <w:divBdr>
        <w:top w:val="none" w:sz="0" w:space="0" w:color="auto"/>
        <w:left w:val="none" w:sz="0" w:space="0" w:color="auto"/>
        <w:bottom w:val="none" w:sz="0" w:space="0" w:color="auto"/>
        <w:right w:val="none" w:sz="0" w:space="0" w:color="auto"/>
      </w:divBdr>
    </w:div>
    <w:div w:id="1412655689">
      <w:bodyDiv w:val="1"/>
      <w:marLeft w:val="0"/>
      <w:marRight w:val="0"/>
      <w:marTop w:val="0"/>
      <w:marBottom w:val="0"/>
      <w:divBdr>
        <w:top w:val="none" w:sz="0" w:space="0" w:color="auto"/>
        <w:left w:val="none" w:sz="0" w:space="0" w:color="auto"/>
        <w:bottom w:val="none" w:sz="0" w:space="0" w:color="auto"/>
        <w:right w:val="none" w:sz="0" w:space="0" w:color="auto"/>
      </w:divBdr>
    </w:div>
    <w:div w:id="141427528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764343">
      <w:bodyDiv w:val="1"/>
      <w:marLeft w:val="0"/>
      <w:marRight w:val="0"/>
      <w:marTop w:val="0"/>
      <w:marBottom w:val="0"/>
      <w:divBdr>
        <w:top w:val="none" w:sz="0" w:space="0" w:color="auto"/>
        <w:left w:val="none" w:sz="0" w:space="0" w:color="auto"/>
        <w:bottom w:val="none" w:sz="0" w:space="0" w:color="auto"/>
        <w:right w:val="none" w:sz="0" w:space="0" w:color="auto"/>
      </w:divBdr>
    </w:div>
    <w:div w:id="1476989949">
      <w:bodyDiv w:val="1"/>
      <w:marLeft w:val="0"/>
      <w:marRight w:val="0"/>
      <w:marTop w:val="0"/>
      <w:marBottom w:val="0"/>
      <w:divBdr>
        <w:top w:val="none" w:sz="0" w:space="0" w:color="auto"/>
        <w:left w:val="none" w:sz="0" w:space="0" w:color="auto"/>
        <w:bottom w:val="none" w:sz="0" w:space="0" w:color="auto"/>
        <w:right w:val="none" w:sz="0" w:space="0" w:color="auto"/>
      </w:divBdr>
    </w:div>
    <w:div w:id="1493595075">
      <w:bodyDiv w:val="1"/>
      <w:marLeft w:val="0"/>
      <w:marRight w:val="0"/>
      <w:marTop w:val="0"/>
      <w:marBottom w:val="0"/>
      <w:divBdr>
        <w:top w:val="none" w:sz="0" w:space="0" w:color="auto"/>
        <w:left w:val="none" w:sz="0" w:space="0" w:color="auto"/>
        <w:bottom w:val="none" w:sz="0" w:space="0" w:color="auto"/>
        <w:right w:val="none" w:sz="0" w:space="0" w:color="auto"/>
      </w:divBdr>
    </w:div>
    <w:div w:id="1511484197">
      <w:bodyDiv w:val="1"/>
      <w:marLeft w:val="0"/>
      <w:marRight w:val="0"/>
      <w:marTop w:val="0"/>
      <w:marBottom w:val="0"/>
      <w:divBdr>
        <w:top w:val="none" w:sz="0" w:space="0" w:color="auto"/>
        <w:left w:val="none" w:sz="0" w:space="0" w:color="auto"/>
        <w:bottom w:val="none" w:sz="0" w:space="0" w:color="auto"/>
        <w:right w:val="none" w:sz="0" w:space="0" w:color="auto"/>
      </w:divBdr>
    </w:div>
    <w:div w:id="15831049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395619">
      <w:bodyDiv w:val="1"/>
      <w:marLeft w:val="0"/>
      <w:marRight w:val="0"/>
      <w:marTop w:val="0"/>
      <w:marBottom w:val="0"/>
      <w:divBdr>
        <w:top w:val="none" w:sz="0" w:space="0" w:color="auto"/>
        <w:left w:val="none" w:sz="0" w:space="0" w:color="auto"/>
        <w:bottom w:val="none" w:sz="0" w:space="0" w:color="auto"/>
        <w:right w:val="none" w:sz="0" w:space="0" w:color="auto"/>
      </w:divBdr>
    </w:div>
    <w:div w:id="1628858038">
      <w:bodyDiv w:val="1"/>
      <w:marLeft w:val="0"/>
      <w:marRight w:val="0"/>
      <w:marTop w:val="0"/>
      <w:marBottom w:val="0"/>
      <w:divBdr>
        <w:top w:val="none" w:sz="0" w:space="0" w:color="auto"/>
        <w:left w:val="none" w:sz="0" w:space="0" w:color="auto"/>
        <w:bottom w:val="none" w:sz="0" w:space="0" w:color="auto"/>
        <w:right w:val="none" w:sz="0" w:space="0" w:color="auto"/>
      </w:divBdr>
    </w:div>
    <w:div w:id="1640961889">
      <w:bodyDiv w:val="1"/>
      <w:marLeft w:val="0"/>
      <w:marRight w:val="0"/>
      <w:marTop w:val="0"/>
      <w:marBottom w:val="0"/>
      <w:divBdr>
        <w:top w:val="none" w:sz="0" w:space="0" w:color="auto"/>
        <w:left w:val="none" w:sz="0" w:space="0" w:color="auto"/>
        <w:bottom w:val="none" w:sz="0" w:space="0" w:color="auto"/>
        <w:right w:val="none" w:sz="0" w:space="0" w:color="auto"/>
      </w:divBdr>
    </w:div>
    <w:div w:id="1707682395">
      <w:bodyDiv w:val="1"/>
      <w:marLeft w:val="0"/>
      <w:marRight w:val="0"/>
      <w:marTop w:val="0"/>
      <w:marBottom w:val="0"/>
      <w:divBdr>
        <w:top w:val="none" w:sz="0" w:space="0" w:color="auto"/>
        <w:left w:val="none" w:sz="0" w:space="0" w:color="auto"/>
        <w:bottom w:val="none" w:sz="0" w:space="0" w:color="auto"/>
        <w:right w:val="none" w:sz="0" w:space="0" w:color="auto"/>
      </w:divBdr>
    </w:div>
    <w:div w:id="1717315498">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6444115">
      <w:bodyDiv w:val="1"/>
      <w:marLeft w:val="0"/>
      <w:marRight w:val="0"/>
      <w:marTop w:val="0"/>
      <w:marBottom w:val="0"/>
      <w:divBdr>
        <w:top w:val="none" w:sz="0" w:space="0" w:color="auto"/>
        <w:left w:val="none" w:sz="0" w:space="0" w:color="auto"/>
        <w:bottom w:val="none" w:sz="0" w:space="0" w:color="auto"/>
        <w:right w:val="none" w:sz="0" w:space="0" w:color="auto"/>
      </w:divBdr>
    </w:div>
    <w:div w:id="1889806005">
      <w:bodyDiv w:val="1"/>
      <w:marLeft w:val="0"/>
      <w:marRight w:val="0"/>
      <w:marTop w:val="0"/>
      <w:marBottom w:val="0"/>
      <w:divBdr>
        <w:top w:val="none" w:sz="0" w:space="0" w:color="auto"/>
        <w:left w:val="none" w:sz="0" w:space="0" w:color="auto"/>
        <w:bottom w:val="none" w:sz="0" w:space="0" w:color="auto"/>
        <w:right w:val="none" w:sz="0" w:space="0" w:color="auto"/>
      </w:divBdr>
    </w:div>
    <w:div w:id="1945258895">
      <w:bodyDiv w:val="1"/>
      <w:marLeft w:val="0"/>
      <w:marRight w:val="0"/>
      <w:marTop w:val="0"/>
      <w:marBottom w:val="0"/>
      <w:divBdr>
        <w:top w:val="none" w:sz="0" w:space="0" w:color="auto"/>
        <w:left w:val="none" w:sz="0" w:space="0" w:color="auto"/>
        <w:bottom w:val="none" w:sz="0" w:space="0" w:color="auto"/>
        <w:right w:val="none" w:sz="0" w:space="0" w:color="auto"/>
      </w:divBdr>
    </w:div>
    <w:div w:id="2096238948">
      <w:bodyDiv w:val="1"/>
      <w:marLeft w:val="0"/>
      <w:marRight w:val="0"/>
      <w:marTop w:val="0"/>
      <w:marBottom w:val="0"/>
      <w:divBdr>
        <w:top w:val="none" w:sz="0" w:space="0" w:color="auto"/>
        <w:left w:val="none" w:sz="0" w:space="0" w:color="auto"/>
        <w:bottom w:val="none" w:sz="0" w:space="0" w:color="auto"/>
        <w:right w:val="none" w:sz="0" w:space="0" w:color="auto"/>
      </w:divBdr>
    </w:div>
    <w:div w:id="21386409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br01.safelinks.protection.outlook.com/?url=http%3A%2F%2Fwww.crimepreventionottawa.ca%2Fen%2Fpublications%2Fneighbourhoods&amp;data=05%7C02%7Ckelly.smith%40gwent.police.uk%7C0554a591fb004a1e249f08dd0d0ba799%7Ce46c8472ef5d4b63bc744a60db42c371%7C0%7C0%7C638681065894554856%7CUnknown%7CTWFpbGZsb3d8eyJFbXB0eU1hcGkiOnRydWUsIlYiOiIwLjAuMDAwMCIsIlAiOiJXaW4zMiIsIkFOIjoiTWFpbCIsIldUIjoyfQ%3D%3D%7C0%7C%7C%7C&amp;sdata=ZO8zUavJ66y4meeEhC2sB7nTOpD3Phybxs2rVf5GCZE%3D&amp;reserved=0" TargetMode="External"/><Relationship Id="rId18" Type="http://schemas.openxmlformats.org/officeDocument/2006/relationships/hyperlink" Target="https://doi.org/10.1177/21582440221095022" TargetMode="External"/><Relationship Id="rId26" Type="http://schemas.openxmlformats.org/officeDocument/2006/relationships/hyperlink" Target="https://gbr01.safelinks.protection.outlook.com/?url=https%3A%2F%2Fwww.ons.gov.uk%2Fpeoplepopulationandcommunity%2Fculturalidentity%2Fethnicity%2Fbulletins%2Fethnicgroupenglandandwales%2Fcensus2021&amp;data=05%7C02%7Ckelly.smith%40gwent.police.uk%7C62b4c18621334a263aef08dd0cd9e1c7%7Ce46c8472ef5d4b63bc744a60db42c371%7C0%7C0%7C638680852112742252%7CUnknown%7CTWFpbGZsb3d8eyJFbXB0eU1hcGkiOnRydWUsIlYiOiIwLjAuMDAwMCIsIlAiOiJXaW4zMiIsIkFOIjoiTWFpbCIsIldUIjoyfQ%3D%3D%7C0%7C%7C%7C&amp;sdata=1vAv1T1uX%2Bv4N3hfecazNpJXyZOUlWB9BcA%2BhY0X1zU%3D&amp;reserved=0" TargetMode="External"/><Relationship Id="rId3" Type="http://schemas.openxmlformats.org/officeDocument/2006/relationships/customXml" Target="../customXml/item3.xml"/><Relationship Id="rId21" Type="http://schemas.openxmlformats.org/officeDocument/2006/relationships/hyperlink" Target="https://content.iospress.com/journals/work" TargetMode="External"/><Relationship Id="rId34" Type="http://schemas.openxmlformats.org/officeDocument/2006/relationships/hyperlink" Target="https://doi.org/10.1037/a0034514" TargetMode="External"/><Relationship Id="rId7" Type="http://schemas.openxmlformats.org/officeDocument/2006/relationships/webSettings" Target="webSettings.xml"/><Relationship Id="rId12" Type="http://schemas.openxmlformats.org/officeDocument/2006/relationships/hyperlink" Target="https://gbr01.safelinks.protection.outlook.com/?url=http%3A%2F%2Feprints.lse.ac.uk%2F9576%2F1%2FPolicing_ethnic_minority_communities_(LSERO).pdf&amp;data=05%7C02%7CKelly.Smith%40gwent.police.uk%7Cc5bdc070e9b0472ee66608dd0cd6da16%7Ce46c8472ef5d4b63bc744a60db42c371%7C0%7C1%7C638680839105899740%7CUnknown%7CTWFpbGZsb3d8eyJFbXB0eU1hcGkiOnRydWUsIlYiOiIwLjAuMDAwMCIsIlAiOiJXaW4zMiIsIkFOIjoiTWFpbCIsIldUIjoyfQ%3D%3D%7C0%7C%7C%7C&amp;sdata=p3dcJ0g3gBI55SDpIJR3q5clRC2d7eqS67Tf6vKB0Aw%3D&amp;reserved=0" TargetMode="External"/><Relationship Id="rId17" Type="http://schemas.openxmlformats.org/officeDocument/2006/relationships/hyperlink" Target="https://gbr01.safelinks.protection.outlook.com/?url=https%3A%2F%2Fwww.college.police.uk%2Fsupport-forces%2Fpractices%2Fwellbeing-intervention-police-officers-and-staff-pause-point&amp;data=05%7C02%7CKelly.Smith%40gwent.police.uk%7Cc70f79163e37493a8a4a08dd0d96f754%7Ce46c8472ef5d4b63bc744a60db42c371%7C0%7C0%7C638681664227064390%7CUnknown%7CTWFpbGZsb3d8eyJFbXB0eU1hcGkiOnRydWUsIlYiOiIwLjAuMDAwMCIsIlAiOiJXaW4zMiIsIkFOIjoiTWFpbCIsIldUIjoyfQ%3D%3D%7C0%7C%7C%7C&amp;sdata=DGtpAL3vyYfxK9pJsrWw04K1%2F7cW8BFDptO9lR3OdD0%3D&amp;reserved=0" TargetMode="External"/><Relationship Id="rId25" Type="http://schemas.openxmlformats.org/officeDocument/2006/relationships/hyperlink" Target="https://gbr01.safelinks.protection.outlook.com/?url=https%3A%2F%2Fwww.npcc.police.uk%2Four-work%2Fpolice-race-action-plan%2Fpolice-race-action-plan---progress-report%2F&amp;data=05%7C02%7Ckelly.smith%40gwent.police.uk%7Ccd97a9e054f047c0979408dd0ce5726f%7Ce46c8472ef5d4b63bc744a60db42c371%7C0%7C0%7C638680901791976322%7CUnknown%7CTWFpbGZsb3d8eyJFbXB0eU1hcGkiOnRydWUsIlYiOiIwLjAuMDAwMCIsIlAiOiJXaW4zMiIsIkFOIjoiTWFpbCIsIldUIjoyfQ%3D%3D%7C0%7C%7C%7C&amp;sdata=TZWlnSiUPrl6UfsFVS7LJKL8CQDOxlCTuXwQP%2FuI12g%3D&amp;reserved=0" TargetMode="External"/><Relationship Id="rId33" Type="http://schemas.openxmlformats.org/officeDocument/2006/relationships/hyperlink" Target="https://doi.org/10.1146/annurev.psych.57.102904.190038" TargetMode="External"/><Relationship Id="rId2" Type="http://schemas.openxmlformats.org/officeDocument/2006/relationships/customXml" Target="../customXml/item2.xml"/><Relationship Id="rId16" Type="http://schemas.openxmlformats.org/officeDocument/2006/relationships/hyperlink" Target="https://gbr01.safelinks.protection.outlook.com/?url=https%3A%2F%2Fwww.college.police.uk%2Farticle%2Fdiversity-and-inclusion-cpd-in-focus%23%3A&amp;data=05%7C02%7Ckelly.smith%40gwent.police.uk%7C2efbb6a5f2a142611d8408dd0ce791ba%7Ce46c8472ef5d4b63bc744a60db42c371%7C0%7C0%7C638680910900328405%7CUnknown%7CTWFpbGZsb3d8eyJFbXB0eU1hcGkiOnRydWUsIlYiOiIwLjAuMDAwMCIsIlAiOiJXaW4zMiIsIkFOIjoiTWFpbCIsIldUIjoyfQ%3D%3D%7C0%7C%7C%7C&amp;sdata=CUQymbXd%2FeAE3hyQV75XKbJkHiO1FAG0SwgitxoX%2Fh8%3D&amp;reserved=0" TargetMode="External"/><Relationship Id="rId20" Type="http://schemas.openxmlformats.org/officeDocument/2006/relationships/hyperlink" Target="https://www.rasmussen.edu/degrees/justice-studies/blog/diversity-in-law-enforcement/" TargetMode="External"/><Relationship Id="rId29" Type="http://schemas.openxmlformats.org/officeDocument/2006/relationships/hyperlink" Target="https://doi.org/10.1177/107906321663098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br01.safelinks.protection.outlook.com/?url=https%3A%2F%2Fdoi.org%2F10.4000%2Fmimmoc.1340&amp;data=05%7C02%7Ckelly.smith%40gwent.police.uk%7Cc6534b9c8cf44040c06908dd0cd842b6%7Ce46c8472ef5d4b63bc744a60db42c371%7C0%7C0%7C638680845149842460%7CUnknown%7CTWFpbGZsb3d8eyJFbXB0eU1hcGkiOnRydWUsIlYiOiIwLjAuMDAwMCIsIlAiOiJXaW4zMiIsIkFOIjoiTWFpbCIsIldUIjoyfQ%3D%3D%7C0%7C%7C%7C&amp;sdata=RslVI%2FA6DDvL1GIrwvuKmoO2njWw1td1H7Ke5JcqC8E%3D&amp;reserved=0" TargetMode="External"/><Relationship Id="rId24" Type="http://schemas.openxmlformats.org/officeDocument/2006/relationships/hyperlink" Target="https://doi.org/10.1016/j.pop.2008.07.011" TargetMode="External"/><Relationship Id="rId32" Type="http://schemas.openxmlformats.org/officeDocument/2006/relationships/hyperlink" Target="https://doi.org/10.1177/1473225419843353"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ollege.police.uk/guidance/conducting-effective-investigations/making-good-decisions" TargetMode="External"/><Relationship Id="rId23" Type="http://schemas.openxmlformats.org/officeDocument/2006/relationships/hyperlink" Target="http://hdl.handle.net/1893/27382" TargetMode="External"/><Relationship Id="rId28" Type="http://schemas.openxmlformats.org/officeDocument/2006/relationships/hyperlink" Target="https://gbr01.safelinks.protection.outlook.com/?url=http%3A%2F%2Fwww.massey.ac.nz%2F~trauma%2Fissues%2F2001-2%2Fpatterson2.htm&amp;data=05%7C02%7Ckelly.smith%40gwent.police.uk%7C8cf7b586cde948e860f308dd0cf78092%7Ce46c8472ef5d4b63bc744a60db42c371%7C0%7C0%7C638680979328784308%7CUnknown%7CTWFpbGZsb3d8eyJFbXB0eU1hcGkiOnRydWUsIlYiOiIwLjAuMDAwMCIsIlAiOiJXaW4zMiIsIkFOIjoiTWFpbCIsIldUIjoyfQ%3D%3D%7C0%7C%7C%7C&amp;sdata=KT%2FPg4s2ZRrlJK%2FfAYzobI7%2BM2AkXEEA4DGHRLKfbcI%3D&amp;reserved=0" TargetMode="External"/><Relationship Id="rId36" Type="http://schemas.openxmlformats.org/officeDocument/2006/relationships/fontTable" Target="fontTable.xml"/><Relationship Id="rId10" Type="http://schemas.openxmlformats.org/officeDocument/2006/relationships/hyperlink" Target="https://doi.org/10.1007/s10935-014-0338-3"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doi.org/10.1177/147322541881083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br01.safelinks.protection.outlook.com/?url=https%3A%2F%2Fwww.college.police.uk%2Fguidance%2Fvulnerability-related-risks%2Fintroduction-vulnerability-related-risk%23%3A&amp;data=05%7C02%7Ckelly.smith%40gwent.police.uk%7Cc112039f404f468f522c08dd0d0f14f5%7Ce46c8472ef5d4b63bc744a60db42c371%7C0%7C0%7C638681080607339173%7CUnknown%7CTWFpbGZsb3d8eyJFbXB0eU1hcGkiOnRydWUsIlYiOiIwLjAuMDAwMCIsIlAiOiJXaW4zMiIsIkFOIjoiTWFpbCIsIldUIjoyfQ%3D%3D%7C0%7C%7C%7C&amp;sdata=Y%2FYd6EQhX6o4fVErxXo2E%2BLw6xG5BWEOx3M%2Fr2Acd3g%3D&amp;reserved=0" TargetMode="External"/><Relationship Id="rId22" Type="http://schemas.openxmlformats.org/officeDocument/2006/relationships/hyperlink" Target="https://doi.org/10.1177/0093854808330015" TargetMode="External"/><Relationship Id="rId27" Type="http://schemas.openxmlformats.org/officeDocument/2006/relationships/hyperlink" Target="https://gbr01.safelinks.protection.outlook.com/?url=https%3A%2F%2Fwarwick.ac.uk%2Ffac%2Fsoc%2Fcrer%2Fresearch%2Fpublications%2Fnemda%2Fnemda1991sp10.pdf&amp;data=05%7C02%7Ckelly.smith%40gwent.police.uk%7C05b6074dce524243bc3208dd0ce0d7c5%7Ce46c8472ef5d4b63bc744a60db42c371%7C0%7C1%7C638680882009905390%7CUnknown%7CTWFpbGZsb3d8eyJFbXB0eU1hcGkiOnRydWUsIlYiOiIwLjAuMDAwMCIsIlAiOiJXaW4zMiIsIkFOIjoiTWFpbCIsIldUIjoyfQ%3D%3D%7C60000%7C%7C%7C&amp;sdata=elRgd%2B3NCH4f%2FBAJbk5KqowjqFFjkNanyuyZfYhnVrc%3D&amp;reserved=0" TargetMode="External"/><Relationship Id="rId30" Type="http://schemas.openxmlformats.org/officeDocument/2006/relationships/hyperlink" Target="https://doi.org/10.1177/1745691619896608" TargetMode="External"/><Relationship Id="rId35"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36</TotalTime>
  <Pages>11</Pages>
  <Words>5966</Words>
  <Characters>34010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Smith, Kelly</cp:lastModifiedBy>
  <cp:revision>5</cp:revision>
  <cp:lastPrinted>2014-10-10T07:42:00Z</cp:lastPrinted>
  <dcterms:created xsi:type="dcterms:W3CDTF">2024-11-25T21:26:00Z</dcterms:created>
  <dcterms:modified xsi:type="dcterms:W3CDTF">2024-11-25T22:01:00Z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f2acd28b-79a3-4a0f-b0ff-4b75658b1549_Enabled">
    <vt:lpwstr>true</vt:lpwstr>
  </property>
  <property fmtid="{D5CDD505-2E9C-101B-9397-08002B2CF9AE}" pid="7" name="MSIP_Label_f2acd28b-79a3-4a0f-b0ff-4b75658b1549_SetDate">
    <vt:lpwstr>2024-11-20T05:43:51Z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b833e3a8-1993-421d-a22b-cb852d1abab1</vt:lpwstr>
  </property>
  <property fmtid="{D5CDD505-2E9C-101B-9397-08002B2CF9AE}" pid="12" name="MSIP_Label_f2acd28b-79a3-4a0f-b0ff-4b75658b1549_ContentBits">
    <vt:lpwstr>0</vt:lpwstr>
  </property>
</Properties>
</file>