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17BBB" w:rsidRDefault="00000000">
      <w:pPr>
        <w:pStyle w:val="Title"/>
        <w:jc w:val="center"/>
        <w:rPr>
          <w:b/>
          <w:bCs/>
          <w:color w:val="000000"/>
          <w:sz w:val="22"/>
          <w:szCs w:val="22"/>
        </w:rPr>
      </w:pPr>
      <w:r>
        <w:rPr>
          <w:b/>
          <w:bCs/>
          <w:color w:val="000000"/>
          <w:sz w:val="22"/>
          <w:szCs w:val="22"/>
        </w:rPr>
        <w:t>Professional Career Development in Health and Social Care (LCHS 4009)</w:t>
      </w:r>
    </w:p>
    <w:p w14:paraId="00000002" w14:textId="77777777" w:rsidR="00217BBB" w:rsidRDefault="00000000">
      <w:pPr>
        <w:rPr>
          <w:color w:val="000000"/>
        </w:rPr>
      </w:pPr>
      <w:r>
        <w:rPr>
          <w:color w:val="000000"/>
        </w:rPr>
        <w:t xml:space="preserve">                                                      </w:t>
      </w:r>
    </w:p>
    <w:p w14:paraId="00000003" w14:textId="77777777" w:rsidR="00217BBB" w:rsidRDefault="00000000">
      <w:pPr>
        <w:jc w:val="center"/>
        <w:rPr>
          <w:color w:val="000000"/>
        </w:rPr>
      </w:pPr>
      <w:r>
        <w:rPr>
          <w:b/>
          <w:bCs/>
          <w:color w:val="000000"/>
          <w:u w:val="single"/>
        </w:rPr>
        <w:t>ASSIGNMENT 2</w:t>
      </w:r>
    </w:p>
    <w:p w14:paraId="00000004" w14:textId="77777777" w:rsidR="00217BBB" w:rsidRDefault="00217BBB">
      <w:pPr>
        <w:rPr>
          <w:b/>
          <w:bCs/>
          <w:color w:val="000000"/>
          <w:u w:val="single"/>
        </w:rPr>
      </w:pPr>
    </w:p>
    <w:p w14:paraId="00000005" w14:textId="77777777" w:rsidR="00217BBB" w:rsidRDefault="00217BBB">
      <w:pPr>
        <w:rPr>
          <w:b/>
          <w:bCs/>
          <w:color w:val="000000"/>
          <w:u w:val="single"/>
        </w:rPr>
      </w:pPr>
    </w:p>
    <w:p w14:paraId="00000006" w14:textId="77777777" w:rsidR="00217BBB" w:rsidRDefault="00217BBB">
      <w:pPr>
        <w:rPr>
          <w:b/>
          <w:bCs/>
          <w:color w:val="000000"/>
          <w:u w:val="single"/>
        </w:rPr>
      </w:pPr>
    </w:p>
    <w:p w14:paraId="00000007" w14:textId="77777777" w:rsidR="00217BBB" w:rsidRDefault="00217BBB">
      <w:pPr>
        <w:rPr>
          <w:b/>
          <w:bCs/>
          <w:color w:val="000000"/>
          <w:u w:val="single"/>
        </w:rPr>
      </w:pPr>
    </w:p>
    <w:p w14:paraId="00000008" w14:textId="77777777" w:rsidR="00217BBB" w:rsidRDefault="00217BBB">
      <w:pPr>
        <w:rPr>
          <w:b/>
          <w:bCs/>
          <w:color w:val="000000"/>
          <w:u w:val="single"/>
        </w:rPr>
      </w:pPr>
    </w:p>
    <w:p w14:paraId="00000009" w14:textId="77777777" w:rsidR="00217BBB" w:rsidRDefault="00217BBB">
      <w:pPr>
        <w:rPr>
          <w:b/>
          <w:bCs/>
          <w:color w:val="000000"/>
          <w:u w:val="single"/>
        </w:rPr>
      </w:pPr>
    </w:p>
    <w:p w14:paraId="0000000A" w14:textId="77777777" w:rsidR="00217BBB" w:rsidRDefault="00217BBB">
      <w:pPr>
        <w:rPr>
          <w:b/>
          <w:bCs/>
          <w:color w:val="000000"/>
          <w:u w:val="single"/>
        </w:rPr>
      </w:pPr>
    </w:p>
    <w:p w14:paraId="0000000B" w14:textId="77777777" w:rsidR="00217BBB" w:rsidRDefault="00217BBB">
      <w:pPr>
        <w:rPr>
          <w:b/>
          <w:bCs/>
          <w:color w:val="000000"/>
          <w:u w:val="single"/>
        </w:rPr>
      </w:pPr>
    </w:p>
    <w:p w14:paraId="0000000C" w14:textId="77777777" w:rsidR="00217BBB" w:rsidRDefault="00217BBB">
      <w:pPr>
        <w:rPr>
          <w:b/>
          <w:bCs/>
          <w:color w:val="000000"/>
          <w:u w:val="single"/>
        </w:rPr>
      </w:pPr>
    </w:p>
    <w:p w14:paraId="0000000D" w14:textId="77777777" w:rsidR="00217BBB" w:rsidRDefault="00000000">
      <w:pPr>
        <w:rPr>
          <w:b/>
          <w:bCs/>
          <w:color w:val="000000"/>
        </w:rPr>
      </w:pPr>
      <w:r>
        <w:rPr>
          <w:b/>
          <w:bCs/>
          <w:color w:val="000000"/>
          <w:u w:val="single"/>
        </w:rPr>
        <w:t>Name of Student:</w:t>
      </w:r>
      <w:r>
        <w:rPr>
          <w:b/>
          <w:bCs/>
        </w:rPr>
        <w:t xml:space="preserve">   </w:t>
      </w:r>
      <w:r>
        <w:rPr>
          <w:b/>
          <w:bCs/>
          <w:color w:val="000000"/>
        </w:rPr>
        <w:t>Fred Ninsiima</w:t>
      </w:r>
    </w:p>
    <w:p w14:paraId="0000000E" w14:textId="77777777" w:rsidR="00217BBB" w:rsidRDefault="00217BBB">
      <w:pPr>
        <w:rPr>
          <w:b/>
          <w:bCs/>
          <w:color w:val="000000"/>
          <w:u w:val="single"/>
        </w:rPr>
      </w:pPr>
    </w:p>
    <w:p w14:paraId="0000000F" w14:textId="77777777" w:rsidR="00217BBB" w:rsidRDefault="00217BBB">
      <w:pPr>
        <w:rPr>
          <w:b/>
          <w:bCs/>
          <w:color w:val="000000"/>
          <w:u w:val="single"/>
        </w:rPr>
      </w:pPr>
    </w:p>
    <w:p w14:paraId="00000010" w14:textId="77777777" w:rsidR="00217BBB" w:rsidRDefault="00217BBB">
      <w:pPr>
        <w:rPr>
          <w:b/>
          <w:bCs/>
          <w:color w:val="000000"/>
          <w:u w:val="single"/>
        </w:rPr>
      </w:pPr>
    </w:p>
    <w:p w14:paraId="00000011" w14:textId="4705E5F5" w:rsidR="00217BBB" w:rsidRDefault="00C75C22">
      <w:pPr>
        <w:rPr>
          <w:b/>
          <w:bCs/>
          <w:color w:val="000000"/>
        </w:rPr>
      </w:pPr>
      <w:r>
        <w:rPr>
          <w:b/>
          <w:bCs/>
          <w:color w:val="000000"/>
          <w:u w:val="single"/>
        </w:rPr>
        <w:t xml:space="preserve">Student </w:t>
      </w:r>
      <w:r w:rsidR="00000000">
        <w:rPr>
          <w:b/>
          <w:bCs/>
          <w:color w:val="000000"/>
          <w:u w:val="single"/>
        </w:rPr>
        <w:t>I.D. Number:</w:t>
      </w:r>
      <w:r w:rsidR="00000000">
        <w:rPr>
          <w:b/>
          <w:bCs/>
          <w:color w:val="000000"/>
        </w:rPr>
        <w:t xml:space="preserve">  2419430</w:t>
      </w:r>
    </w:p>
    <w:p w14:paraId="00000012" w14:textId="77777777" w:rsidR="00217BBB" w:rsidRDefault="00217BBB">
      <w:pPr>
        <w:rPr>
          <w:b/>
          <w:bCs/>
          <w:color w:val="000000"/>
          <w:u w:val="single"/>
        </w:rPr>
      </w:pPr>
    </w:p>
    <w:p w14:paraId="00000013" w14:textId="77777777" w:rsidR="00217BBB" w:rsidRDefault="00217BBB">
      <w:pPr>
        <w:rPr>
          <w:b/>
          <w:bCs/>
          <w:color w:val="000000"/>
          <w:u w:val="single"/>
        </w:rPr>
      </w:pPr>
    </w:p>
    <w:p w14:paraId="00000014" w14:textId="77777777" w:rsidR="00217BBB" w:rsidRDefault="00217BBB">
      <w:pPr>
        <w:rPr>
          <w:b/>
          <w:bCs/>
          <w:color w:val="000000"/>
          <w:u w:val="single"/>
        </w:rPr>
      </w:pPr>
    </w:p>
    <w:p w14:paraId="00000015" w14:textId="51E63795" w:rsidR="00217BBB" w:rsidRDefault="00000000">
      <w:pPr>
        <w:rPr>
          <w:b/>
          <w:bCs/>
          <w:color w:val="000000"/>
          <w:u w:val="single"/>
        </w:rPr>
      </w:pPr>
      <w:r>
        <w:rPr>
          <w:b/>
          <w:bCs/>
          <w:color w:val="000000"/>
          <w:u w:val="single"/>
        </w:rPr>
        <w:t xml:space="preserve">Name of Tutor: </w:t>
      </w:r>
      <w:r w:rsidR="00C75C22">
        <w:rPr>
          <w:b/>
          <w:bCs/>
          <w:color w:val="000000"/>
          <w:u w:val="single"/>
        </w:rPr>
        <w:t xml:space="preserve">  </w:t>
      </w:r>
      <w:r w:rsidR="00346EA4">
        <w:rPr>
          <w:b/>
          <w:bCs/>
          <w:color w:val="000000"/>
          <w:u w:val="single"/>
        </w:rPr>
        <w:t>Odette Jack</w:t>
      </w:r>
    </w:p>
    <w:p w14:paraId="00000016" w14:textId="77777777" w:rsidR="00217BBB" w:rsidRDefault="00217BBB">
      <w:pPr>
        <w:rPr>
          <w:b/>
          <w:bCs/>
          <w:color w:val="000000"/>
          <w:u w:val="single"/>
        </w:rPr>
      </w:pPr>
    </w:p>
    <w:p w14:paraId="00000017" w14:textId="77777777" w:rsidR="00217BBB" w:rsidRDefault="00217BBB">
      <w:pPr>
        <w:rPr>
          <w:b/>
          <w:bCs/>
          <w:color w:val="000000"/>
          <w:u w:val="single"/>
        </w:rPr>
      </w:pPr>
    </w:p>
    <w:p w14:paraId="00000018" w14:textId="77777777" w:rsidR="00217BBB" w:rsidRDefault="00217BBB">
      <w:pPr>
        <w:rPr>
          <w:b/>
          <w:bCs/>
          <w:color w:val="000000"/>
          <w:u w:val="single"/>
        </w:rPr>
      </w:pPr>
    </w:p>
    <w:p w14:paraId="00000019" w14:textId="77777777" w:rsidR="00217BBB" w:rsidRDefault="00000000">
      <w:pPr>
        <w:rPr>
          <w:color w:val="000000"/>
        </w:rPr>
      </w:pPr>
      <w:r>
        <w:rPr>
          <w:b/>
          <w:bCs/>
          <w:color w:val="000000"/>
          <w:u w:val="single"/>
        </w:rPr>
        <w:t>Acknowledgement of AI use:</w:t>
      </w:r>
      <w:r>
        <w:rPr>
          <w:color w:val="000000"/>
        </w:rPr>
        <w:t xml:space="preserve"> I confirm that I have / have not used AI to complete my work. (IF YES, ALSO WRITE I USED THIS SOURCE……. </w:t>
      </w:r>
      <w:r>
        <w:rPr>
          <w:i/>
          <w:iCs/>
          <w:color w:val="000000"/>
        </w:rPr>
        <w:t>GIVE REFERENCE SUCH AS GRAMMERLY FOR EXAMPLE</w:t>
      </w:r>
      <w:r>
        <w:rPr>
          <w:color w:val="000000"/>
        </w:rPr>
        <w:t>……TO………</w:t>
      </w:r>
      <w:r>
        <w:rPr>
          <w:i/>
          <w:iCs/>
          <w:color w:val="000000"/>
        </w:rPr>
        <w:t>PROOF READ FOR EXAMPLE).</w:t>
      </w:r>
    </w:p>
    <w:p w14:paraId="0000001A" w14:textId="77777777" w:rsidR="00217BBB" w:rsidRDefault="00217BBB">
      <w:pPr>
        <w:pStyle w:val="Title"/>
        <w:rPr>
          <w:b/>
          <w:bCs/>
          <w:sz w:val="22"/>
          <w:szCs w:val="22"/>
          <w:u w:val="single"/>
        </w:rPr>
      </w:pPr>
    </w:p>
    <w:p w14:paraId="0000001B" w14:textId="77777777" w:rsidR="00217BBB" w:rsidRDefault="00217BBB">
      <w:pPr>
        <w:pStyle w:val="Title"/>
        <w:rPr>
          <w:b/>
          <w:bCs/>
          <w:sz w:val="22"/>
          <w:szCs w:val="22"/>
          <w:u w:val="single"/>
        </w:rPr>
      </w:pPr>
    </w:p>
    <w:p w14:paraId="0000001C" w14:textId="77777777" w:rsidR="00217BBB" w:rsidRDefault="00217BBB">
      <w:pPr>
        <w:pStyle w:val="Title"/>
        <w:rPr>
          <w:b/>
          <w:bCs/>
          <w:sz w:val="22"/>
          <w:szCs w:val="22"/>
          <w:u w:val="single"/>
        </w:rPr>
      </w:pPr>
    </w:p>
    <w:p w14:paraId="0000001D" w14:textId="77777777" w:rsidR="00217BBB" w:rsidRDefault="00217BBB">
      <w:pPr>
        <w:pStyle w:val="Title"/>
        <w:rPr>
          <w:b/>
          <w:bCs/>
          <w:sz w:val="22"/>
          <w:szCs w:val="22"/>
          <w:u w:val="single"/>
        </w:rPr>
      </w:pPr>
    </w:p>
    <w:p w14:paraId="0000001E" w14:textId="77777777" w:rsidR="00217BBB" w:rsidRDefault="00217BBB">
      <w:pPr>
        <w:pStyle w:val="Title"/>
        <w:rPr>
          <w:b/>
          <w:bCs/>
          <w:sz w:val="22"/>
          <w:szCs w:val="22"/>
          <w:u w:val="single"/>
        </w:rPr>
      </w:pPr>
    </w:p>
    <w:p w14:paraId="0000001F" w14:textId="77777777" w:rsidR="00217BBB" w:rsidRDefault="00217BBB">
      <w:pPr>
        <w:pStyle w:val="Title"/>
        <w:rPr>
          <w:b/>
          <w:bCs/>
          <w:sz w:val="22"/>
          <w:szCs w:val="22"/>
          <w:u w:val="single"/>
        </w:rPr>
      </w:pPr>
    </w:p>
    <w:p w14:paraId="00000020" w14:textId="77777777" w:rsidR="00217BBB" w:rsidRDefault="00217BBB"/>
    <w:p w14:paraId="00000021" w14:textId="77777777" w:rsidR="00217BBB" w:rsidRDefault="00217BBB"/>
    <w:p w14:paraId="00000022" w14:textId="77777777" w:rsidR="00217BBB" w:rsidRDefault="00217BBB"/>
    <w:p w14:paraId="00000023" w14:textId="77777777" w:rsidR="00217BBB" w:rsidRDefault="00217BBB"/>
    <w:p w14:paraId="00000024" w14:textId="77777777" w:rsidR="00217BBB" w:rsidRDefault="00217BBB"/>
    <w:p w14:paraId="00000025" w14:textId="77777777" w:rsidR="00217BBB" w:rsidRDefault="00217BBB"/>
    <w:p w14:paraId="00000026" w14:textId="77777777" w:rsidR="00217BBB" w:rsidRDefault="00217BBB"/>
    <w:p w14:paraId="00000027" w14:textId="77777777" w:rsidR="00217BBB" w:rsidRDefault="00217BBB"/>
    <w:p w14:paraId="00000028" w14:textId="77777777" w:rsidR="00217BBB" w:rsidRDefault="00217BBB"/>
    <w:p w14:paraId="00000029" w14:textId="77777777" w:rsidR="00217BBB" w:rsidRDefault="00217BBB"/>
    <w:p w14:paraId="0000002A" w14:textId="77777777" w:rsidR="00217BBB" w:rsidRDefault="00217BBB">
      <w:pPr>
        <w:pStyle w:val="Title"/>
        <w:rPr>
          <w:b/>
          <w:bCs/>
          <w:sz w:val="22"/>
          <w:szCs w:val="22"/>
          <w:u w:val="single"/>
        </w:rPr>
      </w:pPr>
    </w:p>
    <w:p w14:paraId="0000002B" w14:textId="77777777" w:rsidR="00217BBB" w:rsidRDefault="00217BBB">
      <w:pPr>
        <w:pStyle w:val="Title"/>
        <w:rPr>
          <w:b/>
          <w:bCs/>
          <w:sz w:val="22"/>
          <w:szCs w:val="22"/>
          <w:u w:val="single"/>
        </w:rPr>
      </w:pPr>
    </w:p>
    <w:p w14:paraId="0000002C" w14:textId="77777777" w:rsidR="00217BBB" w:rsidRDefault="00217BBB"/>
    <w:p w14:paraId="0000002D" w14:textId="77777777" w:rsidR="00217BBB" w:rsidRDefault="00000000">
      <w:pPr>
        <w:pStyle w:val="Title"/>
        <w:rPr>
          <w:color w:val="000000"/>
          <w:sz w:val="22"/>
          <w:szCs w:val="22"/>
        </w:rPr>
      </w:pPr>
      <w:r>
        <w:rPr>
          <w:b/>
          <w:bCs/>
          <w:color w:val="000000"/>
          <w:sz w:val="22"/>
          <w:szCs w:val="22"/>
          <w:u w:val="single"/>
        </w:rPr>
        <w:lastRenderedPageBreak/>
        <w:t xml:space="preserve">Table of Contents  </w:t>
      </w:r>
      <w:r>
        <w:rPr>
          <w:b/>
          <w:bCs/>
          <w:color w:val="000000"/>
          <w:sz w:val="22"/>
          <w:szCs w:val="22"/>
        </w:rPr>
        <w:t xml:space="preserve">                                                        </w:t>
      </w:r>
      <w:r>
        <w:rPr>
          <w:b/>
          <w:bCs/>
          <w:color w:val="000000"/>
          <w:sz w:val="22"/>
          <w:szCs w:val="22"/>
          <w:u w:val="single"/>
        </w:rPr>
        <w:t>Page Number</w:t>
      </w:r>
    </w:p>
    <w:p w14:paraId="0000002E" w14:textId="77777777" w:rsidR="00217BBB" w:rsidRDefault="00217BBB">
      <w:pPr>
        <w:pStyle w:val="Title"/>
        <w:rPr>
          <w:color w:val="000000"/>
          <w:sz w:val="22"/>
          <w:szCs w:val="22"/>
        </w:rPr>
      </w:pPr>
    </w:p>
    <w:p w14:paraId="0000002F" w14:textId="77777777" w:rsidR="00217BBB" w:rsidRDefault="00000000">
      <w:pPr>
        <w:pStyle w:val="Title"/>
        <w:rPr>
          <w:sz w:val="22"/>
          <w:szCs w:val="22"/>
        </w:rPr>
      </w:pPr>
      <w:r>
        <w:rPr>
          <w:sz w:val="22"/>
          <w:szCs w:val="22"/>
        </w:rPr>
        <w:t>Introduction</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3</w:t>
      </w:r>
    </w:p>
    <w:p w14:paraId="00000030" w14:textId="77777777" w:rsidR="00217BBB" w:rsidRDefault="00000000">
      <w:r>
        <w:t>Task One</w:t>
      </w:r>
      <w:r>
        <w:tab/>
      </w:r>
      <w:r>
        <w:tab/>
      </w:r>
      <w:r>
        <w:tab/>
      </w:r>
      <w:r>
        <w:tab/>
      </w:r>
      <w:r>
        <w:tab/>
      </w:r>
      <w:r>
        <w:tab/>
      </w:r>
      <w:r>
        <w:tab/>
        <w:t>3</w:t>
      </w:r>
    </w:p>
    <w:p w14:paraId="00000031" w14:textId="77777777" w:rsidR="00217BBB" w:rsidRDefault="00000000">
      <w:r>
        <w:t>Task Two</w:t>
      </w:r>
      <w:r>
        <w:tab/>
      </w:r>
      <w:r>
        <w:tab/>
      </w:r>
      <w:r>
        <w:tab/>
      </w:r>
      <w:r>
        <w:tab/>
      </w:r>
      <w:r>
        <w:tab/>
      </w:r>
      <w:r>
        <w:tab/>
      </w:r>
      <w:r>
        <w:tab/>
        <w:t>5</w:t>
      </w:r>
    </w:p>
    <w:p w14:paraId="1F1F497D" w14:textId="77777777" w:rsidR="00C75C22" w:rsidRDefault="00000000">
      <w:r>
        <w:t>Task Three</w:t>
      </w:r>
      <w:r>
        <w:tab/>
      </w:r>
      <w:r>
        <w:tab/>
      </w:r>
      <w:r>
        <w:tab/>
      </w:r>
      <w:r>
        <w:tab/>
      </w:r>
      <w:r>
        <w:tab/>
      </w:r>
      <w:r>
        <w:tab/>
      </w:r>
      <w:r>
        <w:tab/>
        <w:t>7</w:t>
      </w:r>
    </w:p>
    <w:p w14:paraId="00000032" w14:textId="7074DE74" w:rsidR="00217BBB" w:rsidRDefault="00C75C22">
      <w:r>
        <w:t>Conclusion</w:t>
      </w:r>
      <w:r w:rsidR="00000000">
        <w:tab/>
      </w:r>
      <w:r w:rsidR="00000000">
        <w:tab/>
      </w:r>
      <w:r w:rsidR="00000000">
        <w:tab/>
      </w:r>
      <w:r w:rsidR="00000000">
        <w:tab/>
      </w:r>
      <w:r w:rsidR="00000000">
        <w:tab/>
      </w:r>
      <w:r>
        <w:tab/>
      </w:r>
      <w:r>
        <w:tab/>
        <w:t>9</w:t>
      </w:r>
    </w:p>
    <w:p w14:paraId="00000033" w14:textId="77777777" w:rsidR="00217BBB" w:rsidRDefault="00000000">
      <w:r>
        <w:t>References</w:t>
      </w:r>
      <w:r>
        <w:tab/>
      </w:r>
      <w:r>
        <w:tab/>
      </w:r>
      <w:r>
        <w:tab/>
      </w:r>
      <w:r>
        <w:tab/>
      </w:r>
      <w:r>
        <w:tab/>
      </w:r>
      <w:r>
        <w:tab/>
      </w:r>
      <w:r>
        <w:tab/>
        <w:t>10</w:t>
      </w:r>
    </w:p>
    <w:p w14:paraId="00000034" w14:textId="77777777" w:rsidR="00217BBB" w:rsidRDefault="00217BBB">
      <w:pPr>
        <w:pStyle w:val="Title"/>
        <w:rPr>
          <w:color w:val="000000"/>
          <w:sz w:val="22"/>
          <w:szCs w:val="22"/>
        </w:rPr>
      </w:pPr>
    </w:p>
    <w:p w14:paraId="00000035" w14:textId="77777777" w:rsidR="00217BBB" w:rsidRDefault="00217BBB">
      <w:pPr>
        <w:pStyle w:val="Title"/>
        <w:rPr>
          <w:color w:val="000000"/>
          <w:sz w:val="22"/>
          <w:szCs w:val="22"/>
        </w:rPr>
      </w:pPr>
    </w:p>
    <w:p w14:paraId="00000036" w14:textId="77777777" w:rsidR="00217BBB" w:rsidRDefault="00217BBB">
      <w:pPr>
        <w:pStyle w:val="Title"/>
        <w:rPr>
          <w:color w:val="000000"/>
          <w:sz w:val="22"/>
          <w:szCs w:val="22"/>
        </w:rPr>
      </w:pPr>
    </w:p>
    <w:p w14:paraId="00000037" w14:textId="77777777" w:rsidR="00217BBB" w:rsidRDefault="00217BBB">
      <w:pPr>
        <w:pStyle w:val="Title"/>
        <w:rPr>
          <w:color w:val="000000"/>
          <w:sz w:val="22"/>
          <w:szCs w:val="22"/>
        </w:rPr>
      </w:pPr>
    </w:p>
    <w:p w14:paraId="00000038" w14:textId="77777777" w:rsidR="00217BBB" w:rsidRDefault="00217BBB">
      <w:pPr>
        <w:pStyle w:val="Title"/>
        <w:rPr>
          <w:color w:val="000000"/>
          <w:sz w:val="22"/>
          <w:szCs w:val="22"/>
        </w:rPr>
      </w:pPr>
    </w:p>
    <w:p w14:paraId="00000039" w14:textId="77777777" w:rsidR="00217BBB" w:rsidRDefault="00217BBB">
      <w:pPr>
        <w:pStyle w:val="Title"/>
        <w:rPr>
          <w:color w:val="000000"/>
          <w:sz w:val="22"/>
          <w:szCs w:val="22"/>
        </w:rPr>
      </w:pPr>
    </w:p>
    <w:p w14:paraId="0000003A" w14:textId="77777777" w:rsidR="00217BBB" w:rsidRDefault="00217BBB">
      <w:pPr>
        <w:pStyle w:val="Title"/>
        <w:rPr>
          <w:color w:val="000000"/>
          <w:sz w:val="22"/>
          <w:szCs w:val="22"/>
        </w:rPr>
      </w:pPr>
    </w:p>
    <w:p w14:paraId="0000003B" w14:textId="77777777" w:rsidR="00217BBB" w:rsidRDefault="00217BBB">
      <w:pPr>
        <w:pStyle w:val="Title"/>
        <w:rPr>
          <w:color w:val="000000"/>
          <w:sz w:val="22"/>
          <w:szCs w:val="22"/>
        </w:rPr>
      </w:pPr>
    </w:p>
    <w:p w14:paraId="0000003C" w14:textId="77777777" w:rsidR="00217BBB" w:rsidRDefault="00217BBB">
      <w:pPr>
        <w:pStyle w:val="Title"/>
        <w:rPr>
          <w:color w:val="000000"/>
          <w:sz w:val="22"/>
          <w:szCs w:val="22"/>
        </w:rPr>
      </w:pPr>
    </w:p>
    <w:p w14:paraId="0000003D" w14:textId="77777777" w:rsidR="00217BBB" w:rsidRDefault="00217BBB">
      <w:pPr>
        <w:pStyle w:val="Title"/>
        <w:rPr>
          <w:color w:val="000000"/>
          <w:sz w:val="22"/>
          <w:szCs w:val="22"/>
        </w:rPr>
      </w:pPr>
    </w:p>
    <w:p w14:paraId="0000003E" w14:textId="77777777" w:rsidR="00217BBB" w:rsidRDefault="00217BBB">
      <w:pPr>
        <w:pStyle w:val="Title"/>
        <w:rPr>
          <w:color w:val="000000"/>
          <w:sz w:val="22"/>
          <w:szCs w:val="22"/>
        </w:rPr>
      </w:pPr>
    </w:p>
    <w:p w14:paraId="0000003F" w14:textId="77777777" w:rsidR="00217BBB" w:rsidRDefault="00217BBB">
      <w:pPr>
        <w:pStyle w:val="Title"/>
        <w:rPr>
          <w:color w:val="000000"/>
          <w:sz w:val="22"/>
          <w:szCs w:val="22"/>
        </w:rPr>
      </w:pPr>
    </w:p>
    <w:p w14:paraId="00000040" w14:textId="77777777" w:rsidR="00217BBB" w:rsidRDefault="00217BBB">
      <w:pPr>
        <w:pStyle w:val="Title"/>
        <w:rPr>
          <w:color w:val="000000"/>
          <w:sz w:val="22"/>
          <w:szCs w:val="22"/>
        </w:rPr>
      </w:pPr>
    </w:p>
    <w:p w14:paraId="00000041" w14:textId="77777777" w:rsidR="00217BBB" w:rsidRDefault="00217BBB">
      <w:pPr>
        <w:pStyle w:val="Title"/>
        <w:rPr>
          <w:color w:val="000000"/>
          <w:sz w:val="22"/>
          <w:szCs w:val="22"/>
        </w:rPr>
      </w:pPr>
    </w:p>
    <w:p w14:paraId="00000042" w14:textId="77777777" w:rsidR="00217BBB" w:rsidRDefault="00217BBB">
      <w:pPr>
        <w:pStyle w:val="Title"/>
        <w:rPr>
          <w:color w:val="000000"/>
          <w:sz w:val="22"/>
          <w:szCs w:val="22"/>
        </w:rPr>
      </w:pPr>
    </w:p>
    <w:p w14:paraId="00000043" w14:textId="77777777" w:rsidR="00217BBB" w:rsidRDefault="00217BBB">
      <w:pPr>
        <w:pStyle w:val="Title"/>
        <w:rPr>
          <w:color w:val="000000"/>
          <w:sz w:val="22"/>
          <w:szCs w:val="22"/>
        </w:rPr>
      </w:pPr>
    </w:p>
    <w:p w14:paraId="00000044" w14:textId="77777777" w:rsidR="00217BBB" w:rsidRDefault="00217BBB">
      <w:pPr>
        <w:pStyle w:val="Title"/>
        <w:rPr>
          <w:color w:val="000000"/>
          <w:sz w:val="22"/>
          <w:szCs w:val="22"/>
        </w:rPr>
      </w:pPr>
    </w:p>
    <w:p w14:paraId="00000045" w14:textId="77777777" w:rsidR="00217BBB" w:rsidRDefault="00217BBB">
      <w:pPr>
        <w:pStyle w:val="Title"/>
        <w:rPr>
          <w:color w:val="000000"/>
          <w:sz w:val="22"/>
          <w:szCs w:val="22"/>
        </w:rPr>
      </w:pPr>
    </w:p>
    <w:p w14:paraId="00000046" w14:textId="77777777" w:rsidR="00217BBB" w:rsidRDefault="00217BBB">
      <w:pPr>
        <w:pStyle w:val="Title"/>
        <w:rPr>
          <w:color w:val="000000"/>
          <w:sz w:val="22"/>
          <w:szCs w:val="22"/>
        </w:rPr>
      </w:pPr>
    </w:p>
    <w:p w14:paraId="00000047" w14:textId="77777777" w:rsidR="00217BBB" w:rsidRDefault="00217BBB">
      <w:pPr>
        <w:pStyle w:val="Title"/>
        <w:rPr>
          <w:color w:val="000000"/>
          <w:sz w:val="22"/>
          <w:szCs w:val="22"/>
        </w:rPr>
      </w:pPr>
    </w:p>
    <w:p w14:paraId="00000048" w14:textId="77777777" w:rsidR="00217BBB" w:rsidRDefault="00217BBB">
      <w:pPr>
        <w:pStyle w:val="Title"/>
        <w:rPr>
          <w:color w:val="000000"/>
          <w:sz w:val="22"/>
          <w:szCs w:val="22"/>
        </w:rPr>
      </w:pPr>
    </w:p>
    <w:p w14:paraId="00000049" w14:textId="77777777" w:rsidR="00217BBB" w:rsidRDefault="00217BBB">
      <w:pPr>
        <w:pStyle w:val="Title"/>
        <w:rPr>
          <w:color w:val="000000"/>
          <w:sz w:val="22"/>
          <w:szCs w:val="22"/>
        </w:rPr>
      </w:pPr>
    </w:p>
    <w:p w14:paraId="0000004A" w14:textId="77777777" w:rsidR="00217BBB" w:rsidRDefault="00217BBB">
      <w:pPr>
        <w:pStyle w:val="Title"/>
        <w:rPr>
          <w:color w:val="000000"/>
          <w:sz w:val="22"/>
          <w:szCs w:val="22"/>
        </w:rPr>
      </w:pPr>
    </w:p>
    <w:p w14:paraId="0000004B" w14:textId="77777777" w:rsidR="00217BBB" w:rsidRDefault="00217BBB">
      <w:pPr>
        <w:pStyle w:val="Title"/>
        <w:rPr>
          <w:color w:val="000000"/>
          <w:sz w:val="22"/>
          <w:szCs w:val="22"/>
        </w:rPr>
      </w:pPr>
    </w:p>
    <w:p w14:paraId="0000004C" w14:textId="77777777" w:rsidR="00217BBB" w:rsidRDefault="00217BBB">
      <w:pPr>
        <w:pStyle w:val="Title"/>
        <w:rPr>
          <w:color w:val="000000"/>
          <w:sz w:val="22"/>
          <w:szCs w:val="22"/>
        </w:rPr>
      </w:pPr>
    </w:p>
    <w:p w14:paraId="0000004D" w14:textId="77777777" w:rsidR="00217BBB" w:rsidRDefault="00217BBB">
      <w:pPr>
        <w:pStyle w:val="Title"/>
        <w:rPr>
          <w:color w:val="000000"/>
          <w:sz w:val="22"/>
          <w:szCs w:val="22"/>
        </w:rPr>
      </w:pPr>
    </w:p>
    <w:p w14:paraId="0000004E" w14:textId="77777777" w:rsidR="00217BBB" w:rsidRDefault="00217BBB">
      <w:pPr>
        <w:rPr>
          <w:color w:val="000000"/>
        </w:rPr>
      </w:pPr>
    </w:p>
    <w:p w14:paraId="0000004F" w14:textId="77777777" w:rsidR="00217BBB" w:rsidRDefault="00217BBB">
      <w:pPr>
        <w:rPr>
          <w:color w:val="000000"/>
        </w:rPr>
      </w:pPr>
    </w:p>
    <w:p w14:paraId="00000050" w14:textId="77777777" w:rsidR="00217BBB" w:rsidRDefault="00217BBB">
      <w:pPr>
        <w:rPr>
          <w:color w:val="000000"/>
        </w:rPr>
      </w:pPr>
    </w:p>
    <w:p w14:paraId="00000051" w14:textId="77777777" w:rsidR="00217BBB" w:rsidRDefault="00217BBB">
      <w:pPr>
        <w:rPr>
          <w:color w:val="000000"/>
        </w:rPr>
      </w:pPr>
    </w:p>
    <w:p w14:paraId="00000052" w14:textId="77777777" w:rsidR="00217BBB" w:rsidRDefault="00217BBB">
      <w:pPr>
        <w:rPr>
          <w:color w:val="000000"/>
        </w:rPr>
      </w:pPr>
    </w:p>
    <w:p w14:paraId="00000053" w14:textId="77777777" w:rsidR="00217BBB" w:rsidRDefault="00217BBB">
      <w:pPr>
        <w:rPr>
          <w:color w:val="000000"/>
        </w:rPr>
      </w:pPr>
    </w:p>
    <w:p w14:paraId="00000054" w14:textId="77777777" w:rsidR="00217BBB" w:rsidRDefault="00217BBB"/>
    <w:p w14:paraId="00000055" w14:textId="77777777" w:rsidR="00217BBB" w:rsidRDefault="00217BBB"/>
    <w:p w14:paraId="00000056" w14:textId="77777777" w:rsidR="00217BBB" w:rsidRDefault="00000000">
      <w:pPr>
        <w:spacing w:line="360" w:lineRule="auto"/>
        <w:rPr>
          <w:b/>
          <w:bCs/>
          <w:u w:val="single"/>
        </w:rPr>
      </w:pPr>
      <w:r>
        <w:rPr>
          <w:b/>
          <w:bCs/>
          <w:u w:val="single"/>
        </w:rPr>
        <w:lastRenderedPageBreak/>
        <w:t xml:space="preserve">Practical Portfolio </w:t>
      </w:r>
    </w:p>
    <w:p w14:paraId="00000057" w14:textId="77777777" w:rsidR="00217BBB" w:rsidRDefault="00217BBB">
      <w:pPr>
        <w:spacing w:line="360" w:lineRule="auto"/>
        <w:rPr>
          <w:b/>
          <w:bCs/>
        </w:rPr>
      </w:pPr>
    </w:p>
    <w:p w14:paraId="00000058" w14:textId="77777777" w:rsidR="00217BBB" w:rsidRDefault="00000000">
      <w:pPr>
        <w:spacing w:line="360" w:lineRule="auto"/>
        <w:rPr>
          <w:b/>
          <w:bCs/>
        </w:rPr>
      </w:pPr>
      <w:r>
        <w:rPr>
          <w:b/>
          <w:bCs/>
        </w:rPr>
        <w:t xml:space="preserve">Introduction: </w:t>
      </w:r>
    </w:p>
    <w:p w14:paraId="00000059" w14:textId="77777777" w:rsidR="00217BBB" w:rsidRDefault="00000000">
      <w:pPr>
        <w:spacing w:line="360" w:lineRule="auto"/>
        <w:jc w:val="both"/>
      </w:pPr>
      <w:r>
        <w:t>A portfolio is a structured collection of evidence that demonstrates an individual’s learning, competencies and reflective development over time. It is commonly used in professional education to document growth, showcase achievements and support career progression (Tosh et al., 2005). This portfolio presents key elements of my development as I prepare to pursue a role as a Social Worker, a profession requiring strong interpersonal skills, critical analysis, reflective practice and a commitment to social justice.</w:t>
      </w:r>
    </w:p>
    <w:p w14:paraId="0000005A" w14:textId="77777777" w:rsidR="00217BBB" w:rsidRDefault="00217BBB">
      <w:pPr>
        <w:spacing w:line="360" w:lineRule="auto"/>
        <w:jc w:val="both"/>
      </w:pPr>
    </w:p>
    <w:p w14:paraId="0000005B" w14:textId="77777777" w:rsidR="00217BBB" w:rsidRDefault="00000000">
      <w:pPr>
        <w:spacing w:line="360" w:lineRule="auto"/>
        <w:jc w:val="both"/>
        <w:rPr>
          <w:b/>
          <w:bCs/>
        </w:rPr>
      </w:pPr>
      <w:r>
        <w:t>The portfolio is organised into three sections; a personal action plan outlining the steps I will take to prepare for applying and interviewing for a social work position; an academic report analysing a key skill essential within health and social care practice and a critical reflection, using Gibbs’ Reflective Model, on my LCHS4009 Component 1. Together, these sections provide evidence of my readiness to progress toward a professional career in social work.</w:t>
      </w:r>
    </w:p>
    <w:p w14:paraId="0000005C" w14:textId="77777777" w:rsidR="00217BBB" w:rsidRDefault="00217BBB">
      <w:pPr>
        <w:spacing w:line="360" w:lineRule="auto"/>
        <w:jc w:val="both"/>
        <w:rPr>
          <w:b/>
          <w:bCs/>
        </w:rPr>
      </w:pPr>
    </w:p>
    <w:p w14:paraId="0000005D" w14:textId="77777777" w:rsidR="00217BBB" w:rsidRDefault="00000000">
      <w:pPr>
        <w:spacing w:line="360" w:lineRule="auto"/>
        <w:jc w:val="both"/>
      </w:pPr>
      <w:r>
        <w:rPr>
          <w:b/>
          <w:bCs/>
        </w:rPr>
        <w:t>TASK 1: (800 words)</w:t>
      </w:r>
      <w:r>
        <w:t xml:space="preserve"> </w:t>
      </w:r>
    </w:p>
    <w:p w14:paraId="0000005E" w14:textId="77777777" w:rsidR="00217BBB" w:rsidRDefault="00000000">
      <w:pPr>
        <w:spacing w:line="360" w:lineRule="auto"/>
        <w:jc w:val="both"/>
        <w:rPr>
          <w:b/>
          <w:bCs/>
        </w:rPr>
      </w:pPr>
      <w:r>
        <w:rPr>
          <w:b/>
          <w:bCs/>
        </w:rPr>
        <w:t>Job Role I Intend to Apply for, Person Specification Required and How I would Handle my Interview</w:t>
      </w:r>
    </w:p>
    <w:p w14:paraId="0000005F" w14:textId="77777777" w:rsidR="00217BBB" w:rsidRDefault="00217BBB">
      <w:pPr>
        <w:spacing w:line="360" w:lineRule="auto"/>
        <w:jc w:val="both"/>
        <w:rPr>
          <w:b/>
          <w:bCs/>
        </w:rPr>
      </w:pPr>
    </w:p>
    <w:p w14:paraId="00000060" w14:textId="77777777" w:rsidR="00217BBB" w:rsidRDefault="00000000">
      <w:pPr>
        <w:spacing w:line="360" w:lineRule="auto"/>
        <w:jc w:val="both"/>
      </w:pPr>
      <w:r>
        <w:t>The job role I intend to apply for is that of a Social Worker within a local NHS Trust, advertised through the NHS Job website (NHS Jobs,2025). Social workers play a critical role in supporting individuals, families and communities by promoting wellbeing, safeguarding vulnerable adults and children and enabling people to live independently. According to NHS recruitment guidance, key skills required for this role include communication, empathy, problem-solving, resilience, teamwork, record keeping and an understanding of legislation and policy frameworks that underpin social care practice (NHS Jobs,2025). Reflecting on these required competencies, I believe I demonstrate strong verbal and written communication skills, supported by previous academic work and positive feedback received during presentations and written assignments. Effective communication is essential in social work to build trust, gather accurate information and advocate for service users and studies highlight that communication is one of the most significant predictors of quality social care practice (Reith-Hall, 2022). I also possess a high level of empathy, allowing me to understand the emotional experiences of others and respond sensitively; an ability supported by research identifying empathy as a core professional capability for developing service user centred interventions (Moudatsou et., 2020).</w:t>
      </w:r>
    </w:p>
    <w:p w14:paraId="00000061" w14:textId="77777777" w:rsidR="00217BBB" w:rsidRDefault="00217BBB">
      <w:pPr>
        <w:spacing w:line="360" w:lineRule="auto"/>
        <w:jc w:val="both"/>
      </w:pPr>
    </w:p>
    <w:p w14:paraId="00000062" w14:textId="23C864DF" w:rsidR="00217BBB" w:rsidRDefault="00000000">
      <w:pPr>
        <w:spacing w:line="360" w:lineRule="auto"/>
        <w:jc w:val="both"/>
      </w:pPr>
      <w:r>
        <w:lastRenderedPageBreak/>
        <w:t xml:space="preserve">In addition, I have demonstrated problem-solving skills during academic and placement activities, particularly when analysing case scenarios, planning care and evaluating professional responses. Problem-solving is considered essential in social work due to the complex and unpredictable nature of social issues (Killick,2011). I also possess a strong sense of resilience, sustained by my ability to manage academic deadlines while balancing other responsibilities. Resilience helps social workers cope with emotional demands and prevent burnout and contemporary literature emphasises that reflective practice enhances resilience and supports emotional regulation (Mangolele and Calitz,2025). </w:t>
      </w:r>
      <w:r w:rsidR="00346EA4">
        <w:t>Furthermore,</w:t>
      </w:r>
      <w:r>
        <w:t xml:space="preserve"> I have strong teamwork and collaboration skills, gained through group projects and class discussions. Social work relies heavily on multi-agency working, requiring professionals to engage with healthcare teams, local authorities and voluntary services (Murray et al.,2025). I also have developing knowledge of safeguarding frameworks, ethical practice, person-centred support and the importance of promoting equality and diversity.</w:t>
      </w:r>
    </w:p>
    <w:p w14:paraId="00000063" w14:textId="77777777" w:rsidR="00217BBB" w:rsidRDefault="00217BBB">
      <w:pPr>
        <w:spacing w:line="360" w:lineRule="auto"/>
        <w:jc w:val="both"/>
      </w:pPr>
    </w:p>
    <w:p w14:paraId="00000064" w14:textId="77777777" w:rsidR="00217BBB" w:rsidRDefault="00000000">
      <w:pPr>
        <w:spacing w:line="360" w:lineRule="auto"/>
        <w:jc w:val="both"/>
      </w:pPr>
      <w:r>
        <w:t>Despite possessing many of the required competencies, I have identified several skill gaps that I must address to improve my readiness for the role. Firstly, although I have foundational knowledge of social care legislation, I recognise the need for a deeper understanding of the Care Act 2014, Mental Capacity Act 2025, and current safeguarding procedures. Evidence shows that legal literacy directly influences the quality and consistency of decision making in social work (Braye &amp; Preston-shoot,2021). Secondly, I need to strengthen my confidence in challenging conversations such as delivering difficult news or discussing sensitive topics with service users and families. Research indicates that confidence develops through experience, feedback and reflective practice (Gardner and Blake,2023). Thirdly, I aim to improve my organisational and time-management skills, ensuring I can balance caseload demands effectively. This is particularly important because high caseload pressures in health and social care affect service quality (MacLochlainn et al., 2025).</w:t>
      </w:r>
    </w:p>
    <w:p w14:paraId="00000065" w14:textId="77777777" w:rsidR="00217BBB" w:rsidRDefault="00217BBB">
      <w:pPr>
        <w:spacing w:line="360" w:lineRule="auto"/>
        <w:jc w:val="both"/>
      </w:pPr>
    </w:p>
    <w:p w14:paraId="00000066" w14:textId="3FA9F939" w:rsidR="00217BBB" w:rsidRDefault="00000000">
      <w:pPr>
        <w:spacing w:line="360" w:lineRule="auto"/>
        <w:jc w:val="both"/>
      </w:pPr>
      <w:r>
        <w:t xml:space="preserve">To address these gaps, I have developed the following Personal Development Plan (PDP). To improve my legal literacy, I will complete NHS e-Learning for Healthcare modules on safeguarding and legal frameworks by February 2026, supplementing this with weekly reading of policy guidance from the Department of Health and Social Care. To develop confidence in challenging conversations, I will engage in simulated role plays with peers and attend communication workshops </w:t>
      </w:r>
      <w:r w:rsidR="00C75C22">
        <w:t>offered by</w:t>
      </w:r>
      <w:r>
        <w:t xml:space="preserve"> my University by April 2026, using reflective journals to evaluate my progress. To strengthen my organisational skills, I will adopt digital planning tools such as Outlook calendar and Trello, to review my weekly tasks every Sunday evening and attend a time management seminar before May 2026. This structured PDP aims to support the acquisition of essential competencies required for a successful career in social work.</w:t>
      </w:r>
    </w:p>
    <w:p w14:paraId="00000067" w14:textId="77777777" w:rsidR="00217BBB" w:rsidRDefault="00217BBB">
      <w:pPr>
        <w:spacing w:line="360" w:lineRule="auto"/>
        <w:jc w:val="both"/>
      </w:pPr>
    </w:p>
    <w:p w14:paraId="00000068" w14:textId="30E33718" w:rsidR="00217BBB" w:rsidRDefault="00000000">
      <w:pPr>
        <w:spacing w:line="360" w:lineRule="auto"/>
        <w:jc w:val="both"/>
      </w:pPr>
      <w:r>
        <w:t xml:space="preserve">In preparation for the interview, I have identified three potential questions and developed reflective responses. The first likely question </w:t>
      </w:r>
      <w:r w:rsidR="00C75C22">
        <w:t>is:</w:t>
      </w:r>
      <w:r>
        <w:t xml:space="preserve"> “Why do you want to work as a social worker?” In response, I would highlight my commitment to promoting social justice, supporting vulnerable individuals and making meaningful contributions to community wellbeing. I would explain how my academic studies, placement experiences and values align with core principles of social work, emphasising compassion, empowerment and anti-oppressive practice. The second possible question is: “How would you manage a difficult or distressed service user?” I would explain that I would remain calm, use active listening, assess their concerns and communicate clearly while maintaining professional boundaries. I would reference the importance of trauma informed practice, emotional regulation and de-escalation approaches supported by current research (Knight,2015). I would also highlight the need to seek supervision if required. The third potential question </w:t>
      </w:r>
      <w:r w:rsidR="00C75C22">
        <w:t>is:</w:t>
      </w:r>
      <w:r>
        <w:t xml:space="preserve"> “How do you prioritise your workload?” I would explain that I would start by assessing risk and urgency, followed by organising tasks using scheduling tools and maintaining accurate records and communicating effectively with colleagues. I would emphasise the role of supervision, reflective practice and organisational strategies in managing caseload demands safely.</w:t>
      </w:r>
    </w:p>
    <w:p w14:paraId="00000069" w14:textId="77777777" w:rsidR="00217BBB" w:rsidRDefault="00217BBB">
      <w:pPr>
        <w:rPr>
          <w:b/>
          <w:bCs/>
        </w:rPr>
      </w:pPr>
    </w:p>
    <w:p w14:paraId="0000006A" w14:textId="77777777" w:rsidR="00217BBB" w:rsidRDefault="00000000">
      <w:pPr>
        <w:spacing w:line="360" w:lineRule="auto"/>
        <w:rPr>
          <w:b/>
          <w:bCs/>
        </w:rPr>
      </w:pPr>
      <w:r>
        <w:rPr>
          <w:b/>
          <w:bCs/>
        </w:rPr>
        <w:t>Task 2 (600 words)</w:t>
      </w:r>
    </w:p>
    <w:p w14:paraId="0000006B" w14:textId="77777777" w:rsidR="00217BBB" w:rsidRDefault="00000000">
      <w:pPr>
        <w:spacing w:line="360" w:lineRule="auto"/>
        <w:rPr>
          <w:b/>
          <w:bCs/>
        </w:rPr>
      </w:pPr>
      <w:r>
        <w:rPr>
          <w:b/>
          <w:bCs/>
        </w:rPr>
        <w:t>An academic report focusing on Time management as a key skill needed for a Social Worker job in health and social care.</w:t>
      </w:r>
    </w:p>
    <w:p w14:paraId="0000006C" w14:textId="77777777" w:rsidR="00217BBB" w:rsidRDefault="00000000">
      <w:pPr>
        <w:spacing w:line="360" w:lineRule="auto"/>
        <w:jc w:val="both"/>
      </w:pPr>
      <w:r>
        <w:t>Time management is an essential competency for social workers operating within the health and social care sector. According to the Key Skills Statement for social workers working with adults, effective time management and caseload management are explicitly required: social workers must “demonstrate effective time management…reconciling demands” in their organisational context (Department of Health,2015). This requirement reflects how social workers juggle diverse and often competing responsibilities, such as crisis intervention, documentation, multi-agency coordination and safeguarding.</w:t>
      </w:r>
    </w:p>
    <w:p w14:paraId="0000006D" w14:textId="77777777" w:rsidR="00217BBB" w:rsidRDefault="00217BBB">
      <w:pPr>
        <w:spacing w:line="360" w:lineRule="auto"/>
        <w:jc w:val="both"/>
      </w:pPr>
    </w:p>
    <w:p w14:paraId="0000006E" w14:textId="77777777" w:rsidR="00217BBB" w:rsidRDefault="00000000">
      <w:pPr>
        <w:spacing w:line="360" w:lineRule="auto"/>
        <w:jc w:val="both"/>
      </w:pPr>
      <w:r>
        <w:t>Poor time management in social work has been linked to increased stress, burnout and reduced quality of service. A longitudinal study during the COVID-19 pandemic highlighted that social workers employed coping strategies such as planning and time-management to maintain resilience and sustain performance under pressure (Ben-Ezra and Hamama-Raz, 2020). The authors reported that time management ranked among the most frequently used coping strategies, emphasising its importance for professional wellbeing.</w:t>
      </w:r>
    </w:p>
    <w:p w14:paraId="0000006F" w14:textId="77777777" w:rsidR="00217BBB" w:rsidRDefault="00217BBB">
      <w:pPr>
        <w:spacing w:line="360" w:lineRule="auto"/>
        <w:jc w:val="both"/>
      </w:pPr>
    </w:p>
    <w:p w14:paraId="00000070" w14:textId="77777777" w:rsidR="00217BBB" w:rsidRDefault="00000000">
      <w:pPr>
        <w:spacing w:line="360" w:lineRule="auto"/>
        <w:jc w:val="both"/>
      </w:pPr>
      <w:r>
        <w:lastRenderedPageBreak/>
        <w:t>Empirical research from public health contexts further underscores the consequences of inadequate time management. For instance, a mixed methods study conducted in public health centres in Northwest Ethiopia found that poor time management practices among staff led to job dissatisfaction, reduced punctuality and inefficiencies that undermined the overall productivity of the organisation (Terefe et al., 2023). Although this study was not conducted in social work specifically, its findings are directly relevant: health and social care professionals operate in fast-paced environments where failure to manage time effectively can compromise service delivery, responsiveness and client outcomes.</w:t>
      </w:r>
    </w:p>
    <w:p w14:paraId="00000071" w14:textId="77777777" w:rsidR="00217BBB" w:rsidRDefault="00217BBB">
      <w:pPr>
        <w:spacing w:line="360" w:lineRule="auto"/>
        <w:jc w:val="both"/>
      </w:pPr>
    </w:p>
    <w:p w14:paraId="00000072" w14:textId="7D9827E0" w:rsidR="00217BBB" w:rsidRDefault="00000000">
      <w:pPr>
        <w:spacing w:line="360" w:lineRule="auto"/>
        <w:jc w:val="both"/>
      </w:pPr>
      <w:r>
        <w:t xml:space="preserve">Time management helps social workers prioritise workload, allocate attention to </w:t>
      </w:r>
      <w:r w:rsidR="00346EA4">
        <w:t>high-risk</w:t>
      </w:r>
      <w:r>
        <w:t xml:space="preserve"> tasks and balance reactive demands with long-term planning. In practice, effective time management enables the scheduling of client visits, preparation of case notes, coordination with partner agencies and participation in supervision, all within constrained working hours. Historical literature in healthcare social work illustrates this point; early research from the profession identified that social workers struggle to control their time due to rising caseloads, concurrent crisis coverage and organisational pressures (Sheridan,1988).</w:t>
      </w:r>
    </w:p>
    <w:p w14:paraId="00000073" w14:textId="77777777" w:rsidR="00217BBB" w:rsidRDefault="00217BBB">
      <w:pPr>
        <w:spacing w:line="360" w:lineRule="auto"/>
      </w:pPr>
    </w:p>
    <w:p w14:paraId="00000074" w14:textId="106BC8A5" w:rsidR="00217BBB" w:rsidRDefault="00000000">
      <w:pPr>
        <w:spacing w:line="360" w:lineRule="auto"/>
        <w:jc w:val="both"/>
      </w:pPr>
      <w:r>
        <w:t xml:space="preserve">Strategic time management is also a protective factor against occupational stress. In social work education and practice, </w:t>
      </w:r>
      <w:r w:rsidR="00346EA4">
        <w:t>self-care</w:t>
      </w:r>
      <w:r>
        <w:t xml:space="preserve"> frameworks emphasise planning as a preventive </w:t>
      </w:r>
      <w:r w:rsidR="00346EA4">
        <w:t>strategy:</w:t>
      </w:r>
      <w:r>
        <w:t xml:space="preserve"> goal-setting and structure help practitioners maintain boundaries and reduce emotional exhaustion (Rose et al., 2025). Given the emotionally demanding nature of social work, the ability to organise one’s time is not simply an administrative task, it supports professional sustainability.</w:t>
      </w:r>
    </w:p>
    <w:p w14:paraId="00000075" w14:textId="77777777" w:rsidR="00217BBB" w:rsidRDefault="00217BBB">
      <w:pPr>
        <w:spacing w:line="360" w:lineRule="auto"/>
        <w:jc w:val="both"/>
      </w:pPr>
    </w:p>
    <w:p w14:paraId="00000076" w14:textId="404C0777" w:rsidR="00217BBB" w:rsidRDefault="00000000">
      <w:pPr>
        <w:spacing w:line="360" w:lineRule="auto"/>
        <w:jc w:val="both"/>
      </w:pPr>
      <w:r>
        <w:t xml:space="preserve">To cultivate effective time management, social workers can adopt several </w:t>
      </w:r>
      <w:r w:rsidR="00346EA4">
        <w:t>evidence-based</w:t>
      </w:r>
      <w:r>
        <w:t xml:space="preserve"> strategies. These include the use of digital tools such as calendar applications and task management </w:t>
      </w:r>
      <w:r w:rsidR="00346EA4">
        <w:t>software’s</w:t>
      </w:r>
      <w:r>
        <w:t>, time blocking techniques and weekly planning sessions. Research in organisational behaviour suggests that scheduling using time-blocking, allocating specific time slots for documentation, client work, meetings and breaks improve productivity and prevents task overload (Hashim and Fakhruddin, 2025). For social workers, this structured scheduling means lower risk of burnout and clearer prioritisation between urgent and non-urgent tasks.</w:t>
      </w:r>
    </w:p>
    <w:p w14:paraId="00000077" w14:textId="77777777" w:rsidR="00217BBB" w:rsidRDefault="00217BBB">
      <w:pPr>
        <w:spacing w:line="360" w:lineRule="auto"/>
        <w:jc w:val="both"/>
      </w:pPr>
    </w:p>
    <w:p w14:paraId="00000078" w14:textId="77777777" w:rsidR="00217BBB" w:rsidRDefault="00000000">
      <w:pPr>
        <w:spacing w:line="360" w:lineRule="auto"/>
        <w:jc w:val="both"/>
      </w:pPr>
      <w:r>
        <w:t xml:space="preserve">Moreover, organisational support is vital. The British Journal of Social Work study found that one of the principal barriers to effective time management was a lack of protected time: many social workers reported that insufficient organisational support prevented them from dedicating time to professional development, research or reflective activities (Sumpter et al., </w:t>
      </w:r>
      <w:r>
        <w:lastRenderedPageBreak/>
        <w:t>2025). Agencies must therefore embed policies that allow protected administrative time, regular supervision and manageable caseloads, thereby enabling practitioners to plan and reflect.</w:t>
      </w:r>
    </w:p>
    <w:p w14:paraId="00000079" w14:textId="77777777" w:rsidR="00217BBB" w:rsidRDefault="00217BBB">
      <w:pPr>
        <w:spacing w:line="360" w:lineRule="auto"/>
        <w:jc w:val="both"/>
      </w:pPr>
    </w:p>
    <w:p w14:paraId="0000007A" w14:textId="77777777" w:rsidR="00217BBB" w:rsidRDefault="00000000">
      <w:pPr>
        <w:spacing w:line="360" w:lineRule="auto"/>
        <w:jc w:val="both"/>
      </w:pPr>
      <w:r>
        <w:t>In addition, training in time management should be an integral part of social work induction and continuous professional development. By equipping social workers with tools and techniques early in their careers, employers can reduce stress, increase retention and improve outcomes for service users. Embedding time management training also aligns with the requirement in the Key Skills Statement for social workers to operate efficiently and adapt to competing demands (Department of Health, 2020).</w:t>
      </w:r>
    </w:p>
    <w:p w14:paraId="0000007B" w14:textId="77777777" w:rsidR="00217BBB" w:rsidRDefault="00217BBB">
      <w:pPr>
        <w:spacing w:line="360" w:lineRule="auto"/>
        <w:jc w:val="both"/>
      </w:pPr>
    </w:p>
    <w:p w14:paraId="0000007C" w14:textId="77777777" w:rsidR="00217BBB" w:rsidRDefault="00000000">
      <w:pPr>
        <w:spacing w:line="360" w:lineRule="auto"/>
        <w:jc w:val="both"/>
        <w:rPr>
          <w:b/>
          <w:bCs/>
        </w:rPr>
      </w:pPr>
      <w:r>
        <w:rPr>
          <w:b/>
          <w:bCs/>
        </w:rPr>
        <w:t>Task 3 (600 words)</w:t>
      </w:r>
      <w:r>
        <w:t xml:space="preserve">        </w:t>
      </w:r>
    </w:p>
    <w:p w14:paraId="0000007D" w14:textId="77777777" w:rsidR="00217BBB" w:rsidRDefault="00000000">
      <w:pPr>
        <w:spacing w:line="360" w:lineRule="auto"/>
        <w:jc w:val="both"/>
        <w:rPr>
          <w:b/>
          <w:bCs/>
        </w:rPr>
      </w:pPr>
      <w:r>
        <w:rPr>
          <w:b/>
          <w:bCs/>
        </w:rPr>
        <w:t>Description</w:t>
      </w:r>
    </w:p>
    <w:p w14:paraId="0000007E" w14:textId="77777777" w:rsidR="00217BBB" w:rsidRDefault="00000000">
      <w:pPr>
        <w:spacing w:line="360" w:lineRule="auto"/>
        <w:jc w:val="both"/>
      </w:pPr>
      <w:r>
        <w:t>For the LCHS4009 Component 1 assessment, I delivered a group presentation focusing on professional development in health and social care. During the assessment, I completed my part of the presentation but I was aware I struggled with pacing, verbal clarity and maintaining the audience’s attention. After the presentation, my lecturers provided verbal feedback highlighting three key areas for improvement: time management, public speaking and overall presentation skills. This reflection uses Gibbs’. Reflective Model (1988) to explore my performance, the feedback received and the actions I will take to improve in future assessments.</w:t>
      </w:r>
    </w:p>
    <w:p w14:paraId="0000007F" w14:textId="77777777" w:rsidR="00217BBB" w:rsidRDefault="00217BBB">
      <w:pPr>
        <w:spacing w:line="360" w:lineRule="auto"/>
        <w:jc w:val="both"/>
      </w:pPr>
    </w:p>
    <w:p w14:paraId="00000080" w14:textId="77777777" w:rsidR="00217BBB" w:rsidRDefault="00000000">
      <w:pPr>
        <w:spacing w:line="360" w:lineRule="auto"/>
        <w:jc w:val="both"/>
        <w:rPr>
          <w:b/>
          <w:bCs/>
        </w:rPr>
      </w:pPr>
      <w:r>
        <w:rPr>
          <w:b/>
          <w:bCs/>
        </w:rPr>
        <w:t>Feelings</w:t>
      </w:r>
    </w:p>
    <w:p w14:paraId="00000081" w14:textId="77777777" w:rsidR="00217BBB" w:rsidRDefault="00000000">
      <w:pPr>
        <w:spacing w:line="360" w:lineRule="auto"/>
        <w:jc w:val="both"/>
      </w:pPr>
      <w:r>
        <w:t>Before delivering the presentation, I felt a mixture of confidence and anxiety. I felt confident about the content I had prepared as I understood the material well. However, I felt anxious about speaking in front of an audience, which is a common concern for many students in higher education (Grieve et al., 2021). Once the presentation began, my nervousness increased which affected my pacing, causing me to rush through some parts. I felt disappointed afterwards because I knew I could have presented more effectively with better preparation. Despite this, I also felt relieved that I completed the task and appreciative of the constructive feedback received from my lecturers.</w:t>
      </w:r>
    </w:p>
    <w:p w14:paraId="00000082" w14:textId="77777777" w:rsidR="00217BBB" w:rsidRDefault="00217BBB">
      <w:pPr>
        <w:spacing w:line="360" w:lineRule="auto"/>
        <w:jc w:val="both"/>
      </w:pPr>
    </w:p>
    <w:p w14:paraId="00000083" w14:textId="77777777" w:rsidR="00217BBB" w:rsidRDefault="00217BBB">
      <w:pPr>
        <w:spacing w:line="360" w:lineRule="auto"/>
        <w:jc w:val="both"/>
        <w:rPr>
          <w:b/>
          <w:bCs/>
        </w:rPr>
      </w:pPr>
    </w:p>
    <w:p w14:paraId="00000084" w14:textId="77777777" w:rsidR="00217BBB" w:rsidRDefault="00000000">
      <w:pPr>
        <w:spacing w:line="360" w:lineRule="auto"/>
        <w:jc w:val="both"/>
        <w:rPr>
          <w:b/>
          <w:bCs/>
        </w:rPr>
      </w:pPr>
      <w:r>
        <w:rPr>
          <w:b/>
          <w:bCs/>
        </w:rPr>
        <w:t>Evaluation</w:t>
      </w:r>
    </w:p>
    <w:p w14:paraId="00000085" w14:textId="77777777" w:rsidR="00217BBB" w:rsidRDefault="00000000">
      <w:pPr>
        <w:spacing w:line="360" w:lineRule="auto"/>
        <w:jc w:val="both"/>
      </w:pPr>
      <w:r>
        <w:t xml:space="preserve">There were both positive and negative aspects of my performance. On the positive side, I effectively did my content development and my lecturers acknowledged the clarity of the information presented. Working well on previous group works also helped ensure that my </w:t>
      </w:r>
      <w:r>
        <w:lastRenderedPageBreak/>
        <w:t xml:space="preserve">slides were structured logically. However, several challenges affected the overall quality of my delivery. My time management during the presentation was poor as I exceeded my time limit and had to shorten key explanations. Research suggests that poor time management during presentations can reduce clarity and audience engagement (Hashim and Fakhruddin, 2025). Another challenge was public speaking, specifically maintaining eye contact and speaking clearly. When nervous, I looked at the slides too often which reduced my connection with the audience. This reflects findings by Rizaldy and Rahimah (2018) who highlight that presentation anxiety affects vocal delivery and non-verbal communication. </w:t>
      </w:r>
    </w:p>
    <w:p w14:paraId="00000086" w14:textId="77777777" w:rsidR="00217BBB" w:rsidRDefault="00217BBB">
      <w:pPr>
        <w:spacing w:line="360" w:lineRule="auto"/>
        <w:jc w:val="both"/>
      </w:pPr>
    </w:p>
    <w:p w14:paraId="00000087" w14:textId="77777777" w:rsidR="00217BBB" w:rsidRDefault="00000000">
      <w:pPr>
        <w:spacing w:line="360" w:lineRule="auto"/>
        <w:jc w:val="both"/>
        <w:rPr>
          <w:b/>
          <w:bCs/>
        </w:rPr>
      </w:pPr>
      <w:r>
        <w:rPr>
          <w:b/>
          <w:bCs/>
        </w:rPr>
        <w:t>Analysis</w:t>
      </w:r>
    </w:p>
    <w:p w14:paraId="00000088" w14:textId="77777777" w:rsidR="00217BBB" w:rsidRDefault="00000000">
      <w:pPr>
        <w:spacing w:line="360" w:lineRule="auto"/>
        <w:jc w:val="both"/>
      </w:pPr>
      <w:r>
        <w:t>The challenge I experienced can be linked to gaps in preparation and practice. According to research on student presentations, rehearsing aloud significantly reduces anxiety and improves pacing (LeFebvre et al., 2015). My difficulties with public speaking highlight a need for further development of communication skills which are essential in health and social care professions, including social work (Reith-Hall, E., 2022). The feedback I received aligns with wider evidence showing that reflective practice and targeted skill development improve presentation performance which included that I need to engage in more structured preparation and use reflection as a tool for growth.</w:t>
      </w:r>
    </w:p>
    <w:p w14:paraId="00000089" w14:textId="77777777" w:rsidR="00217BBB" w:rsidRDefault="00217BBB">
      <w:pPr>
        <w:spacing w:line="360" w:lineRule="auto"/>
        <w:jc w:val="both"/>
      </w:pPr>
    </w:p>
    <w:p w14:paraId="0000008A" w14:textId="77777777" w:rsidR="00217BBB" w:rsidRDefault="00000000">
      <w:pPr>
        <w:spacing w:line="360" w:lineRule="auto"/>
        <w:jc w:val="both"/>
        <w:rPr>
          <w:b/>
          <w:bCs/>
        </w:rPr>
      </w:pPr>
      <w:r>
        <w:rPr>
          <w:b/>
          <w:bCs/>
        </w:rPr>
        <w:t>Conclusion</w:t>
      </w:r>
    </w:p>
    <w:p w14:paraId="0000008B" w14:textId="77777777" w:rsidR="00217BBB" w:rsidRDefault="00000000">
      <w:pPr>
        <w:spacing w:line="360" w:lineRule="auto"/>
        <w:jc w:val="both"/>
      </w:pPr>
      <w:r>
        <w:t>Reflecting on the presentation using Gibbs’ cycle has helped me understand the reasons behind my difficulties and identify practical strategies for improvement. While the content of my presentation was strong, my delivery was affected by anxiety, inadequate rehearsal and a lack of confidence in public speaking. The feedback I received was constructive and appropriate and it has motivated me to improve these areas before my next academic or professional presentation.</w:t>
      </w:r>
    </w:p>
    <w:p w14:paraId="0000008C" w14:textId="77777777" w:rsidR="00217BBB" w:rsidRDefault="00217BBB">
      <w:pPr>
        <w:spacing w:line="360" w:lineRule="auto"/>
        <w:jc w:val="both"/>
      </w:pPr>
    </w:p>
    <w:p w14:paraId="0000008D" w14:textId="77777777" w:rsidR="00217BBB" w:rsidRDefault="00000000">
      <w:pPr>
        <w:spacing w:line="360" w:lineRule="auto"/>
        <w:jc w:val="both"/>
        <w:rPr>
          <w:b/>
          <w:bCs/>
        </w:rPr>
      </w:pPr>
      <w:r>
        <w:rPr>
          <w:b/>
          <w:bCs/>
        </w:rPr>
        <w:t>Action Plan</w:t>
      </w:r>
    </w:p>
    <w:p w14:paraId="0000008E" w14:textId="56FAAE01" w:rsidR="00217BBB" w:rsidRDefault="00000000">
      <w:pPr>
        <w:spacing w:line="360" w:lineRule="auto"/>
        <w:jc w:val="both"/>
      </w:pPr>
      <w:r>
        <w:t xml:space="preserve">To improve my time management, I will rehearse future presentations with a timer and practice delivering key points within set timeframes. I will also adopt time blocking strategies recommended in recent research on effective presentation planning (Chase et al., 2013). To develop my public speaking skills, I will participate in university workshops on communication skills and practise speaking in front of peers to build confidence. I will also use breathing techniques and grounding strategies shown to reduce presentation anxiety (Grieve et al., 2021). To enhance my presentation skills, I will review online tutorials, practise using </w:t>
      </w:r>
      <w:r w:rsidR="00346EA4">
        <w:t>PowerPoint</w:t>
      </w:r>
      <w:r>
        <w:t xml:space="preserve"> more efficiently and request feedback from peers during practice sessions. </w:t>
      </w:r>
      <w:proofErr w:type="gramStart"/>
      <w:r>
        <w:t xml:space="preserve">By  </w:t>
      </w:r>
      <w:r>
        <w:lastRenderedPageBreak/>
        <w:t>implementing</w:t>
      </w:r>
      <w:proofErr w:type="gramEnd"/>
      <w:r>
        <w:t xml:space="preserve"> these actions, I aim to deliver more confident, structured and engaging presentations in future.</w:t>
      </w:r>
    </w:p>
    <w:p w14:paraId="0000008F" w14:textId="77777777" w:rsidR="00217BBB" w:rsidRDefault="00217BBB">
      <w:pPr>
        <w:spacing w:line="360" w:lineRule="auto"/>
        <w:jc w:val="both"/>
        <w:rPr>
          <w:b/>
          <w:bCs/>
        </w:rPr>
      </w:pPr>
    </w:p>
    <w:p w14:paraId="00000090" w14:textId="77777777" w:rsidR="00217BBB" w:rsidRDefault="00000000">
      <w:pPr>
        <w:spacing w:line="360" w:lineRule="auto"/>
        <w:jc w:val="both"/>
      </w:pPr>
      <w:r>
        <w:rPr>
          <w:b/>
          <w:bCs/>
        </w:rPr>
        <w:t xml:space="preserve">Conclusion: </w:t>
      </w:r>
      <w:r>
        <w:t xml:space="preserve"> </w:t>
      </w:r>
    </w:p>
    <w:p w14:paraId="00000091" w14:textId="77777777" w:rsidR="00217BBB" w:rsidRDefault="00000000">
      <w:pPr>
        <w:spacing w:line="360" w:lineRule="auto"/>
        <w:jc w:val="both"/>
      </w:pPr>
      <w:r>
        <w:t>This portfolio has demonstrated my understanding of the requirements for developing professionally within health and social care, particularly in preparing to apply for a social work role. Through the personal action plan, skills analysis, academic exploration of time management and critical reflection on my presentation, I have identified both my strengths and areas for growth. Engaging with relevant literature and feedback has allowed me to develop clear strategies for improving my competence and confidence. Overall, this portfolio reflects my commitment to continuous learning and professional development as I progress toward a career in social work.</w:t>
      </w:r>
    </w:p>
    <w:p w14:paraId="00000092" w14:textId="77777777" w:rsidR="00217BBB" w:rsidRDefault="00217BBB">
      <w:pPr>
        <w:spacing w:line="360" w:lineRule="auto"/>
        <w:jc w:val="both"/>
        <w:rPr>
          <w:b/>
          <w:bCs/>
        </w:rPr>
      </w:pPr>
    </w:p>
    <w:p w14:paraId="00000093" w14:textId="77777777" w:rsidR="00217BBB" w:rsidRDefault="00217BBB">
      <w:pPr>
        <w:spacing w:line="360" w:lineRule="auto"/>
        <w:jc w:val="both"/>
        <w:rPr>
          <w:b/>
          <w:bCs/>
        </w:rPr>
      </w:pPr>
    </w:p>
    <w:p w14:paraId="00000094" w14:textId="77777777" w:rsidR="00217BBB" w:rsidRDefault="00217BBB">
      <w:pPr>
        <w:spacing w:line="360" w:lineRule="auto"/>
        <w:jc w:val="both"/>
        <w:rPr>
          <w:b/>
          <w:bCs/>
        </w:rPr>
      </w:pPr>
    </w:p>
    <w:p w14:paraId="00000095" w14:textId="77777777" w:rsidR="00217BBB" w:rsidRDefault="00217BBB">
      <w:pPr>
        <w:spacing w:line="360" w:lineRule="auto"/>
        <w:jc w:val="both"/>
        <w:rPr>
          <w:b/>
          <w:bCs/>
        </w:rPr>
      </w:pPr>
    </w:p>
    <w:p w14:paraId="00000096" w14:textId="77777777" w:rsidR="00217BBB" w:rsidRDefault="00217BBB">
      <w:pPr>
        <w:spacing w:line="360" w:lineRule="auto"/>
        <w:jc w:val="both"/>
        <w:rPr>
          <w:b/>
          <w:bCs/>
        </w:rPr>
      </w:pPr>
    </w:p>
    <w:p w14:paraId="00000097" w14:textId="77777777" w:rsidR="00217BBB" w:rsidRDefault="00217BBB">
      <w:pPr>
        <w:spacing w:line="360" w:lineRule="auto"/>
        <w:jc w:val="both"/>
        <w:rPr>
          <w:b/>
          <w:bCs/>
        </w:rPr>
      </w:pPr>
    </w:p>
    <w:p w14:paraId="00000098" w14:textId="77777777" w:rsidR="00217BBB" w:rsidRDefault="00217BBB">
      <w:pPr>
        <w:spacing w:line="360" w:lineRule="auto"/>
        <w:jc w:val="both"/>
        <w:rPr>
          <w:b/>
          <w:bCs/>
        </w:rPr>
      </w:pPr>
    </w:p>
    <w:p w14:paraId="00000099" w14:textId="77777777" w:rsidR="00217BBB" w:rsidRDefault="00217BBB">
      <w:pPr>
        <w:spacing w:line="360" w:lineRule="auto"/>
        <w:jc w:val="both"/>
        <w:rPr>
          <w:b/>
          <w:bCs/>
        </w:rPr>
      </w:pPr>
    </w:p>
    <w:p w14:paraId="0000009A" w14:textId="77777777" w:rsidR="00217BBB" w:rsidRDefault="00217BBB">
      <w:pPr>
        <w:spacing w:line="360" w:lineRule="auto"/>
        <w:jc w:val="both"/>
        <w:rPr>
          <w:b/>
          <w:bCs/>
        </w:rPr>
      </w:pPr>
    </w:p>
    <w:p w14:paraId="0000009B" w14:textId="77777777" w:rsidR="00217BBB" w:rsidRDefault="00217BBB">
      <w:pPr>
        <w:spacing w:line="360" w:lineRule="auto"/>
        <w:jc w:val="both"/>
        <w:rPr>
          <w:b/>
          <w:bCs/>
        </w:rPr>
      </w:pPr>
    </w:p>
    <w:p w14:paraId="0000009C" w14:textId="77777777" w:rsidR="00217BBB" w:rsidRDefault="00217BBB">
      <w:pPr>
        <w:spacing w:line="360" w:lineRule="auto"/>
        <w:jc w:val="both"/>
        <w:rPr>
          <w:b/>
          <w:bCs/>
        </w:rPr>
      </w:pPr>
    </w:p>
    <w:p w14:paraId="0000009D" w14:textId="77777777" w:rsidR="00217BBB" w:rsidRDefault="00217BBB">
      <w:pPr>
        <w:spacing w:line="360" w:lineRule="auto"/>
        <w:jc w:val="both"/>
        <w:rPr>
          <w:b/>
          <w:bCs/>
        </w:rPr>
      </w:pPr>
    </w:p>
    <w:p w14:paraId="0000009E" w14:textId="77777777" w:rsidR="00217BBB" w:rsidRDefault="00217BBB">
      <w:pPr>
        <w:spacing w:line="360" w:lineRule="auto"/>
        <w:jc w:val="both"/>
        <w:rPr>
          <w:b/>
          <w:bCs/>
        </w:rPr>
      </w:pPr>
    </w:p>
    <w:p w14:paraId="0000009F" w14:textId="77777777" w:rsidR="00217BBB" w:rsidRDefault="00217BBB">
      <w:pPr>
        <w:spacing w:line="360" w:lineRule="auto"/>
        <w:jc w:val="both"/>
        <w:rPr>
          <w:b/>
          <w:bCs/>
        </w:rPr>
      </w:pPr>
    </w:p>
    <w:p w14:paraId="000000A0" w14:textId="77777777" w:rsidR="00217BBB" w:rsidRDefault="00217BBB">
      <w:pPr>
        <w:spacing w:line="360" w:lineRule="auto"/>
        <w:jc w:val="both"/>
        <w:rPr>
          <w:b/>
          <w:bCs/>
        </w:rPr>
      </w:pPr>
    </w:p>
    <w:p w14:paraId="000000A1" w14:textId="77777777" w:rsidR="00217BBB" w:rsidRDefault="00217BBB">
      <w:pPr>
        <w:spacing w:line="360" w:lineRule="auto"/>
        <w:jc w:val="both"/>
        <w:rPr>
          <w:b/>
          <w:bCs/>
        </w:rPr>
      </w:pPr>
    </w:p>
    <w:p w14:paraId="000000A2" w14:textId="77777777" w:rsidR="00217BBB" w:rsidRDefault="00217BBB">
      <w:pPr>
        <w:spacing w:line="360" w:lineRule="auto"/>
        <w:jc w:val="both"/>
        <w:rPr>
          <w:b/>
          <w:bCs/>
        </w:rPr>
      </w:pPr>
    </w:p>
    <w:p w14:paraId="000000A3" w14:textId="77777777" w:rsidR="00217BBB" w:rsidRDefault="00217BBB">
      <w:pPr>
        <w:spacing w:line="360" w:lineRule="auto"/>
        <w:jc w:val="both"/>
        <w:rPr>
          <w:b/>
          <w:bCs/>
        </w:rPr>
      </w:pPr>
    </w:p>
    <w:p w14:paraId="000000A4" w14:textId="77777777" w:rsidR="00217BBB" w:rsidRDefault="00217BBB">
      <w:pPr>
        <w:spacing w:line="360" w:lineRule="auto"/>
        <w:jc w:val="both"/>
        <w:rPr>
          <w:b/>
          <w:bCs/>
        </w:rPr>
      </w:pPr>
    </w:p>
    <w:p w14:paraId="000000A5" w14:textId="77777777" w:rsidR="00217BBB" w:rsidRDefault="00217BBB">
      <w:pPr>
        <w:spacing w:line="360" w:lineRule="auto"/>
        <w:jc w:val="both"/>
        <w:rPr>
          <w:b/>
          <w:bCs/>
        </w:rPr>
      </w:pPr>
    </w:p>
    <w:p w14:paraId="000000A6" w14:textId="77777777" w:rsidR="00217BBB" w:rsidRDefault="00217BBB">
      <w:pPr>
        <w:spacing w:line="360" w:lineRule="auto"/>
        <w:jc w:val="both"/>
        <w:rPr>
          <w:b/>
          <w:bCs/>
        </w:rPr>
      </w:pPr>
    </w:p>
    <w:p w14:paraId="000000A7" w14:textId="77777777" w:rsidR="00217BBB" w:rsidRDefault="00217BBB">
      <w:pPr>
        <w:spacing w:line="360" w:lineRule="auto"/>
        <w:jc w:val="both"/>
        <w:rPr>
          <w:b/>
          <w:bCs/>
        </w:rPr>
      </w:pPr>
    </w:p>
    <w:p w14:paraId="000000A8" w14:textId="77777777" w:rsidR="00217BBB" w:rsidRDefault="00000000">
      <w:pPr>
        <w:spacing w:line="360" w:lineRule="auto"/>
        <w:jc w:val="both"/>
        <w:rPr>
          <w:b/>
          <w:bCs/>
        </w:rPr>
      </w:pPr>
      <w:r>
        <w:rPr>
          <w:b/>
          <w:bCs/>
        </w:rPr>
        <w:t xml:space="preserve">Reference List: </w:t>
      </w:r>
    </w:p>
    <w:p w14:paraId="000000A9" w14:textId="77777777" w:rsidR="00217BBB" w:rsidRDefault="00000000">
      <w:pPr>
        <w:spacing w:line="360" w:lineRule="auto"/>
        <w:jc w:val="both"/>
      </w:pPr>
      <w:r>
        <w:lastRenderedPageBreak/>
        <w:t xml:space="preserve">Ali Gardner and Luciann Blake (2023) </w:t>
      </w:r>
      <w:r>
        <w:rPr>
          <w:i/>
          <w:iCs/>
        </w:rPr>
        <w:t>Difficult conversations in social care</w:t>
      </w:r>
      <w:r>
        <w:t xml:space="preserve">. Available at: </w:t>
      </w:r>
      <w:hyperlink r:id="rId7">
        <w:r>
          <w:rPr>
            <w:color w:val="1155CC"/>
            <w:u w:val="single"/>
          </w:rPr>
          <w:t>https://www.researchinpractice.org.uk/media/vumnnbpy/adults_difficult_conversations_social_care_fb_web.pdf</w:t>
        </w:r>
      </w:hyperlink>
      <w:r>
        <w:t xml:space="preserve">  [Accessed 24 November 2025]</w:t>
      </w:r>
    </w:p>
    <w:p w14:paraId="000000AA" w14:textId="77777777" w:rsidR="00217BBB" w:rsidRDefault="00217BBB">
      <w:pPr>
        <w:spacing w:line="360" w:lineRule="auto"/>
        <w:jc w:val="both"/>
      </w:pPr>
    </w:p>
    <w:p w14:paraId="000000AB" w14:textId="77777777" w:rsidR="00217BBB" w:rsidRDefault="00000000">
      <w:pPr>
        <w:spacing w:line="360" w:lineRule="auto"/>
        <w:jc w:val="both"/>
      </w:pPr>
      <w:r>
        <w:t xml:space="preserve">Braye and Michael Preston-Shoot (2021) </w:t>
      </w:r>
      <w:r>
        <w:rPr>
          <w:i/>
          <w:iCs/>
        </w:rPr>
        <w:t>Managing and supervising legal literacy in adult social work: An Evidence Scope.</w:t>
      </w:r>
      <w:r>
        <w:t xml:space="preserve"> Available at: </w:t>
      </w:r>
      <w:hyperlink r:id="rId8">
        <w:r>
          <w:rPr>
            <w:color w:val="1155CC"/>
            <w:u w:val="single"/>
          </w:rPr>
          <w:t>https://www.researchinpractice.org.uk/media/5wje2shb/ll-evidence-scope_final.pdf</w:t>
        </w:r>
      </w:hyperlink>
      <w:r>
        <w:t xml:space="preserve"> [Accessed 24 November 2025] </w:t>
      </w:r>
    </w:p>
    <w:p w14:paraId="000000AC" w14:textId="77777777" w:rsidR="00217BBB" w:rsidRDefault="00217BBB">
      <w:pPr>
        <w:spacing w:line="360" w:lineRule="auto"/>
        <w:jc w:val="both"/>
      </w:pPr>
    </w:p>
    <w:p w14:paraId="000000AD" w14:textId="77777777" w:rsidR="00217BBB" w:rsidRDefault="00000000">
      <w:pPr>
        <w:spacing w:line="360" w:lineRule="auto"/>
        <w:jc w:val="both"/>
      </w:pPr>
      <w:r>
        <w:t>Chase JA, Topp R, Smith CE, Cohen MZ, Fahrenwald N, Zerwic JJ, Benefield LE, Anderson CM, Conn VS. (2013) Time management strategies for research productivity. West J Nurs Res. 35(2):155-76. doi: 10.1177/0193945912451163. Epub 2012 Aug 6. PMID: 22868990. [Accessed 27 November 2025]</w:t>
      </w:r>
    </w:p>
    <w:p w14:paraId="000000AE" w14:textId="77777777" w:rsidR="00217BBB" w:rsidRDefault="00217BBB">
      <w:pPr>
        <w:spacing w:line="360" w:lineRule="auto"/>
        <w:jc w:val="both"/>
      </w:pPr>
    </w:p>
    <w:p w14:paraId="000000AF" w14:textId="77777777" w:rsidR="00217BBB" w:rsidRDefault="00000000">
      <w:pPr>
        <w:spacing w:line="360" w:lineRule="auto"/>
        <w:jc w:val="both"/>
      </w:pPr>
      <w:r>
        <w:t xml:space="preserve">Department of Health (2015) </w:t>
      </w:r>
      <w:r>
        <w:rPr>
          <w:i/>
          <w:iCs/>
        </w:rPr>
        <w:t>Knowledge and Skills Statement for Social Workers in Adult Services.</w:t>
      </w:r>
      <w:r>
        <w:t xml:space="preserve"> Available at: </w:t>
      </w:r>
      <w:hyperlink r:id="rId9">
        <w:r>
          <w:rPr>
            <w:color w:val="1155CC"/>
            <w:u w:val="single"/>
          </w:rPr>
          <w:t>https://assets.publishing.service.gov.uk/media/5a808324ed915d74e622ee26/KSS.pdf</w:t>
        </w:r>
      </w:hyperlink>
      <w:r>
        <w:t xml:space="preserve"> [Accessed 24 November 2025]</w:t>
      </w:r>
    </w:p>
    <w:p w14:paraId="000000B0" w14:textId="77777777" w:rsidR="00217BBB" w:rsidRDefault="00217BBB">
      <w:pPr>
        <w:spacing w:line="360" w:lineRule="auto"/>
        <w:jc w:val="both"/>
      </w:pPr>
    </w:p>
    <w:p w14:paraId="000000B1" w14:textId="77777777" w:rsidR="00217BBB" w:rsidRDefault="00000000">
      <w:pPr>
        <w:spacing w:line="360" w:lineRule="auto"/>
        <w:jc w:val="both"/>
      </w:pPr>
      <w:r>
        <w:t>Grieve, R. &amp; Woodley, Julie &amp; Hunt, Stephen &amp; McKay, Alison. (2021) Student fears of oral presentations and public speaking in higher education: a qualitative survey. Journal of Further and Higher Education. 45. 1-13. 10.1080/0309877X.2021.1948509. [Accessed 27 November 2025]</w:t>
      </w:r>
    </w:p>
    <w:p w14:paraId="000000B2" w14:textId="77777777" w:rsidR="00217BBB" w:rsidRDefault="00217BBB">
      <w:pPr>
        <w:spacing w:line="360" w:lineRule="auto"/>
        <w:jc w:val="both"/>
      </w:pPr>
    </w:p>
    <w:p w14:paraId="000000B3" w14:textId="77777777" w:rsidR="00217BBB" w:rsidRDefault="00000000">
      <w:pPr>
        <w:spacing w:line="360" w:lineRule="auto"/>
        <w:jc w:val="both"/>
      </w:pPr>
      <w:r>
        <w:t xml:space="preserve">Hanifa, Rizaldy &amp; Yusra, Siti Rahimah. (2018) Insight on Delivering Oral Presentation: Preparations, Problems, and Solutions. </w:t>
      </w:r>
      <w:r>
        <w:rPr>
          <w:i/>
          <w:iCs/>
        </w:rPr>
        <w:t>International Journal of Learning and Teaching.</w:t>
      </w:r>
      <w:r>
        <w:t xml:space="preserve"> 4. 318. 10.18178/ijlt.4.4.318-325. [Accessed 27 November 2025]</w:t>
      </w:r>
    </w:p>
    <w:p w14:paraId="000000B4" w14:textId="77777777" w:rsidR="00217BBB" w:rsidRDefault="00217BBB">
      <w:pPr>
        <w:spacing w:line="360" w:lineRule="auto"/>
        <w:jc w:val="both"/>
      </w:pPr>
    </w:p>
    <w:p w14:paraId="000000B5" w14:textId="77777777" w:rsidR="00217BBB" w:rsidRDefault="00000000">
      <w:pPr>
        <w:spacing w:line="360" w:lineRule="auto"/>
        <w:jc w:val="both"/>
      </w:pPr>
      <w:r>
        <w:t>Justin MacLochlainn, Paula McFadden, Mary McColgan, Rachel Naylor, Heike Schroder, Susan McGrory, Patricia Nicholl, Denise Currie, Karen Kirby, John Mallett (2025) Children’s Social Work Safe Staffing Supply and Workforce Demands Analysis: A Case Study from Northern Ireland, The British Journal of Social Work, Volume 55, Issue 3, April 2025, Pages 993–1014, https://doi.org/10.1093/bjsw/bcae163 [Accessed 23 November 2025]</w:t>
      </w:r>
    </w:p>
    <w:p w14:paraId="000000B6" w14:textId="77777777" w:rsidR="00217BBB" w:rsidRDefault="00217BBB">
      <w:pPr>
        <w:spacing w:line="360" w:lineRule="auto"/>
        <w:jc w:val="both"/>
      </w:pPr>
    </w:p>
    <w:p w14:paraId="000000B7" w14:textId="77777777" w:rsidR="00217BBB" w:rsidRDefault="00000000">
      <w:pPr>
        <w:spacing w:line="360" w:lineRule="auto"/>
        <w:jc w:val="both"/>
      </w:pPr>
      <w:r>
        <w:t xml:space="preserve">Killick, campbell. (2011) </w:t>
      </w:r>
      <w:r>
        <w:rPr>
          <w:i/>
          <w:iCs/>
        </w:rPr>
        <w:t>Decision Making in Social Work. Child &amp; Family Social Work.</w:t>
      </w:r>
      <w:r>
        <w:t xml:space="preserve"> 16. 10.1111/j.1365-2206.2011.00785.x. Available at: </w:t>
      </w:r>
      <w:hyperlink r:id="rId10">
        <w:r>
          <w:rPr>
            <w:color w:val="1155CC"/>
            <w:u w:val="single"/>
          </w:rPr>
          <w:t>https://www.researchgate.net/publication/264617732_Decision_Making_in_Social_Work</w:t>
        </w:r>
      </w:hyperlink>
      <w:r>
        <w:t xml:space="preserve">  [Accessed 23 November 2025]</w:t>
      </w:r>
    </w:p>
    <w:p w14:paraId="000000B8" w14:textId="77777777" w:rsidR="00217BBB" w:rsidRDefault="00217BBB">
      <w:pPr>
        <w:spacing w:line="360" w:lineRule="auto"/>
        <w:jc w:val="both"/>
      </w:pPr>
    </w:p>
    <w:p w14:paraId="000000B9" w14:textId="77777777" w:rsidR="00217BBB" w:rsidRDefault="00000000">
      <w:pPr>
        <w:spacing w:line="360" w:lineRule="auto"/>
        <w:jc w:val="both"/>
      </w:pPr>
      <w:r>
        <w:t>Knight, Carolyn. (2015) Trauma-Informed Social Work Practice: Practice Considerations and Challenges. Clinical Social Work Journal. 43. 10.1007/s10615-014-0481-6. [Accessed 24 November 2025]</w:t>
      </w:r>
    </w:p>
    <w:p w14:paraId="000000BA" w14:textId="77777777" w:rsidR="00217BBB" w:rsidRDefault="00217BBB">
      <w:pPr>
        <w:spacing w:line="360" w:lineRule="auto"/>
        <w:jc w:val="both"/>
      </w:pPr>
    </w:p>
    <w:p w14:paraId="000000BB" w14:textId="77777777" w:rsidR="00217BBB" w:rsidRDefault="00000000">
      <w:pPr>
        <w:spacing w:line="360" w:lineRule="auto"/>
        <w:jc w:val="both"/>
      </w:pPr>
      <w:r>
        <w:t>LeFebvre, Luke &amp; LeFebvre, Leah &amp; Blackburn, Kate &amp; Boyd, Ryan. (2015) Student Estimates of Public Speaking Competency: The Meaning Extraction Helper and Video Self-evaluation. Communication Education. 10.1080/03634523.2015.1014384. [Accessed 27 November 2025]</w:t>
      </w:r>
    </w:p>
    <w:p w14:paraId="000000BC" w14:textId="77777777" w:rsidR="00217BBB" w:rsidRDefault="00217BBB">
      <w:pPr>
        <w:spacing w:line="360" w:lineRule="auto"/>
        <w:jc w:val="both"/>
      </w:pPr>
    </w:p>
    <w:p w14:paraId="000000BD" w14:textId="77777777" w:rsidR="00217BBB" w:rsidRDefault="00000000">
      <w:pPr>
        <w:spacing w:line="360" w:lineRule="auto"/>
        <w:jc w:val="both"/>
      </w:pPr>
      <w:r>
        <w:t xml:space="preserve">Linda Sumpter, Paul Willis, Ailsa Cameron, Lisa Dibsdall, Karen Gray, Mat Jones, Hugh McLeod, Jon Symonds, Christie Cabral, Geraldine Macdonald (2025) What Influences the Use of Research by the Adult Social Care Workforce?, The British Journal of Social Work, Volume 55, Issue 1, Pages 453–471, </w:t>
      </w:r>
      <w:hyperlink r:id="rId11">
        <w:r>
          <w:rPr>
            <w:color w:val="1155CC"/>
            <w:u w:val="single"/>
          </w:rPr>
          <w:t>https://doi.org/10.1093/bjsw/bcae152</w:t>
        </w:r>
      </w:hyperlink>
      <w:r>
        <w:t xml:space="preserve">  [Accessed 25 November 2025]</w:t>
      </w:r>
    </w:p>
    <w:p w14:paraId="000000BE" w14:textId="77777777" w:rsidR="00217BBB" w:rsidRDefault="00217BBB">
      <w:pPr>
        <w:spacing w:line="360" w:lineRule="auto"/>
        <w:jc w:val="both"/>
      </w:pPr>
    </w:p>
    <w:p w14:paraId="000000BF" w14:textId="77777777" w:rsidR="00217BBB" w:rsidRDefault="00000000">
      <w:pPr>
        <w:spacing w:line="360" w:lineRule="auto"/>
        <w:jc w:val="both"/>
      </w:pPr>
      <w:r>
        <w:t>Mangolele LR, Calitz TM. (2025) Exploring the resilience skills and strategies of social workers. Health SA. 2025 May 30;30:2795. doi: 10.4102/hsag.v30i0.2795. PMID: 40469499; PMCID: PMC12135163. [Accessed 23 November 2025]</w:t>
      </w:r>
    </w:p>
    <w:p w14:paraId="000000C0" w14:textId="77777777" w:rsidR="00217BBB" w:rsidRDefault="00217BBB">
      <w:pPr>
        <w:spacing w:line="360" w:lineRule="auto"/>
        <w:jc w:val="both"/>
      </w:pPr>
    </w:p>
    <w:p w14:paraId="000000C1" w14:textId="77777777" w:rsidR="00217BBB" w:rsidRDefault="00000000">
      <w:pPr>
        <w:spacing w:line="360" w:lineRule="auto"/>
        <w:jc w:val="both"/>
      </w:pPr>
      <w:r>
        <w:t>Menachem Ben-Ezra and Yaira Hamama-Raz (2020) Social Workers during COVID-19: Do</w:t>
      </w:r>
    </w:p>
    <w:p w14:paraId="000000C2" w14:textId="77777777" w:rsidR="00217BBB" w:rsidRDefault="00000000">
      <w:pPr>
        <w:spacing w:line="360" w:lineRule="auto"/>
        <w:jc w:val="both"/>
      </w:pPr>
      <w:r>
        <w:t>Coping Strategies Differentially Mediate the Relationship between Job Demand and Psychological Distress? British Journal of Social Work 51, 1551–1567. Available at: doi: 10.1093/bjsw/bcaa210  [Accessed 25 November 2025]</w:t>
      </w:r>
    </w:p>
    <w:p w14:paraId="000000C3" w14:textId="77777777" w:rsidR="00217BBB" w:rsidRDefault="00217BBB">
      <w:pPr>
        <w:spacing w:line="360" w:lineRule="auto"/>
        <w:jc w:val="both"/>
      </w:pPr>
    </w:p>
    <w:p w14:paraId="000000C4" w14:textId="77777777" w:rsidR="00217BBB" w:rsidRDefault="00000000">
      <w:pPr>
        <w:spacing w:line="360" w:lineRule="auto"/>
        <w:jc w:val="both"/>
      </w:pPr>
      <w:r>
        <w:t xml:space="preserve">Moudatsou, Maria, Stavropoulou, Areti, Philalithis, &amp; Koukouli, Sofia. (2020) The Role of Empathy in Health and Social Care Professionals. Healthcare. 8. 26. 10.3390/healthcare8010026. [Accessed 24 November 2025] </w:t>
      </w:r>
    </w:p>
    <w:p w14:paraId="000000C5" w14:textId="77777777" w:rsidR="00217BBB" w:rsidRDefault="00217BBB">
      <w:pPr>
        <w:spacing w:line="360" w:lineRule="auto"/>
        <w:jc w:val="both"/>
      </w:pPr>
    </w:p>
    <w:p w14:paraId="000000C6" w14:textId="77777777" w:rsidR="00217BBB" w:rsidRDefault="00000000">
      <w:pPr>
        <w:spacing w:line="360" w:lineRule="auto"/>
        <w:jc w:val="both"/>
      </w:pPr>
      <w:r>
        <w:t xml:space="preserve">Murray, JL.K., Hernandez-Santiago, V., Sullivan, F. et al. (2025) Interprofessional collaborative practice in health and social care for people living with multimorbidity: a scoping review protocol. Syst Rev 14, 3 (2025). </w:t>
      </w:r>
      <w:hyperlink r:id="rId12">
        <w:r>
          <w:rPr>
            <w:color w:val="1155CC"/>
            <w:u w:val="single"/>
          </w:rPr>
          <w:t>https://doi.org/10.1186/s13643-024-02730-x</w:t>
        </w:r>
      </w:hyperlink>
      <w:r>
        <w:t xml:space="preserve">  [Accessed 23 November 2025]</w:t>
      </w:r>
    </w:p>
    <w:p w14:paraId="000000C7" w14:textId="77777777" w:rsidR="00217BBB" w:rsidRDefault="00217BBB">
      <w:pPr>
        <w:spacing w:line="360" w:lineRule="auto"/>
        <w:jc w:val="both"/>
      </w:pPr>
    </w:p>
    <w:p w14:paraId="000000C8" w14:textId="77777777" w:rsidR="00217BBB" w:rsidRDefault="00000000">
      <w:pPr>
        <w:spacing w:line="360" w:lineRule="auto"/>
        <w:jc w:val="both"/>
      </w:pPr>
      <w:r>
        <w:lastRenderedPageBreak/>
        <w:t xml:space="preserve">NHS Jobs (2025) </w:t>
      </w:r>
      <w:r>
        <w:rPr>
          <w:i/>
          <w:iCs/>
        </w:rPr>
        <w:t>Social Worker-Job Description Person Specification.</w:t>
      </w:r>
      <w:r>
        <w:t xml:space="preserve"> Available at: </w:t>
      </w:r>
      <w:hyperlink r:id="rId13">
        <w:r>
          <w:rPr>
            <w:color w:val="1155CC"/>
            <w:u w:val="single"/>
          </w:rPr>
          <w:t>https://www.jobs.nhs.uk/candidate</w:t>
        </w:r>
      </w:hyperlink>
      <w:r>
        <w:t xml:space="preserve"> [Accessed 24 November 2025]</w:t>
      </w:r>
    </w:p>
    <w:p w14:paraId="000000C9" w14:textId="77777777" w:rsidR="00217BBB" w:rsidRDefault="00217BBB">
      <w:pPr>
        <w:spacing w:line="360" w:lineRule="auto"/>
        <w:jc w:val="both"/>
      </w:pPr>
    </w:p>
    <w:p w14:paraId="000000CA" w14:textId="77777777" w:rsidR="00217BBB" w:rsidRDefault="00000000">
      <w:pPr>
        <w:spacing w:line="360" w:lineRule="auto"/>
        <w:jc w:val="both"/>
      </w:pPr>
      <w:r>
        <w:t xml:space="preserve">Nurin Aisyah Hashim, Faizah Mohd Fakhruddin (2025) Work-Life Balance in the Workplace: A Case of S Company in Beranang, Selangor, Malaysia. International Journal of Research and Innovation in Social Science (IJRISS), 9(02), pp. 4012-4026. Available at: </w:t>
      </w:r>
      <w:hyperlink r:id="rId14">
        <w:r>
          <w:rPr>
            <w:color w:val="1155CC"/>
            <w:u w:val="single"/>
          </w:rPr>
          <w:t>https://doi.org/https://dx.doi.org/10.47772/IJRISS.2025.9020313</w:t>
        </w:r>
      </w:hyperlink>
      <w:r>
        <w:t xml:space="preserve">  [Accessed 25 November 2025]</w:t>
      </w:r>
    </w:p>
    <w:p w14:paraId="000000CB" w14:textId="77777777" w:rsidR="00217BBB" w:rsidRDefault="00217BBB">
      <w:pPr>
        <w:spacing w:line="360" w:lineRule="auto"/>
        <w:jc w:val="both"/>
      </w:pPr>
    </w:p>
    <w:p w14:paraId="000000CC" w14:textId="77777777" w:rsidR="00217BBB" w:rsidRDefault="00000000">
      <w:pPr>
        <w:spacing w:line="360" w:lineRule="auto"/>
        <w:jc w:val="both"/>
      </w:pPr>
      <w:r>
        <w:t xml:space="preserve">Reith-Hall, </w:t>
      </w:r>
      <w:proofErr w:type="gramStart"/>
      <w:r>
        <w:t>E.(</w:t>
      </w:r>
      <w:proofErr w:type="gramEnd"/>
      <w:r>
        <w:t xml:space="preserve">2022) The teaching and learning of communication skills for social work students: a realist synthesis protocol. Syst Rev 11, 266 (2022). </w:t>
      </w:r>
      <w:hyperlink r:id="rId15">
        <w:r>
          <w:rPr>
            <w:color w:val="1155CC"/>
            <w:u w:val="single"/>
          </w:rPr>
          <w:t>https://doi.org/10.1186/s13643-022-02125-w</w:t>
        </w:r>
      </w:hyperlink>
      <w:r>
        <w:t xml:space="preserve">  [Accessed 24 November 2025]</w:t>
      </w:r>
    </w:p>
    <w:p w14:paraId="000000CD" w14:textId="77777777" w:rsidR="00217BBB" w:rsidRDefault="00217BBB">
      <w:pPr>
        <w:spacing w:line="360" w:lineRule="auto"/>
        <w:jc w:val="both"/>
      </w:pPr>
    </w:p>
    <w:p w14:paraId="000000CE" w14:textId="77777777" w:rsidR="00217BBB" w:rsidRDefault="00000000">
      <w:pPr>
        <w:spacing w:line="360" w:lineRule="auto"/>
        <w:jc w:val="both"/>
      </w:pPr>
      <w:r>
        <w:t xml:space="preserve">Sarah Rose, Pearse McCusker, Mary Mitchell, Autumn Roesch-Marsh, Miao Jian, Lora Petrova (2025) Self-care in social work: An imperative or beyond reach?, The British Journal of Social Work, Volume 55, Issue 3, Pages 1455–1473, </w:t>
      </w:r>
      <w:hyperlink r:id="rId16">
        <w:r>
          <w:rPr>
            <w:color w:val="1155CC"/>
            <w:u w:val="single"/>
          </w:rPr>
          <w:t>https://doi.org/10.1093/bjsw/bcae204</w:t>
        </w:r>
      </w:hyperlink>
      <w:r>
        <w:t xml:space="preserve">  [Accessed 25 November 2025]</w:t>
      </w:r>
    </w:p>
    <w:p w14:paraId="000000CF" w14:textId="77777777" w:rsidR="00217BBB" w:rsidRDefault="00217BBB">
      <w:pPr>
        <w:spacing w:line="360" w:lineRule="auto"/>
        <w:jc w:val="both"/>
      </w:pPr>
    </w:p>
    <w:p w14:paraId="000000D0" w14:textId="77777777" w:rsidR="00217BBB" w:rsidRDefault="00000000">
      <w:pPr>
        <w:spacing w:line="360" w:lineRule="auto"/>
        <w:jc w:val="both"/>
      </w:pPr>
      <w:r>
        <w:t>Sheridan MS (1988) Time management in health care social work. Soc Work Health Care. 1988;13(3):91-9. doi: 10.1300/J010v13n03_08. PMID: 3232095. [Accessed 25 November 2025]</w:t>
      </w:r>
    </w:p>
    <w:p w14:paraId="000000D1" w14:textId="77777777" w:rsidR="00217BBB" w:rsidRDefault="00217BBB">
      <w:pPr>
        <w:spacing w:line="360" w:lineRule="auto"/>
        <w:jc w:val="both"/>
      </w:pPr>
    </w:p>
    <w:p w14:paraId="000000D2" w14:textId="77777777" w:rsidR="00217BBB" w:rsidRDefault="00000000">
      <w:pPr>
        <w:spacing w:line="360" w:lineRule="auto"/>
        <w:jc w:val="both"/>
      </w:pPr>
      <w:r>
        <w:t>Terefe, S., Yazachew, L., Asmamaw, D.B. et al. (2023) Time management practice and associated factors among employees working in public health centers, Northwest Ethiopia: a mixed method study. BMC Health Serv Res 23, 1145. https://doi.org/10.1186/s12913-023-10004-w [Accessed 25 November 2025]</w:t>
      </w:r>
    </w:p>
    <w:p w14:paraId="000000D3" w14:textId="77777777" w:rsidR="00217BBB" w:rsidRDefault="00217BBB">
      <w:pPr>
        <w:spacing w:line="360" w:lineRule="auto"/>
        <w:jc w:val="both"/>
      </w:pPr>
    </w:p>
    <w:p w14:paraId="000000D4" w14:textId="77777777" w:rsidR="00217BBB" w:rsidRDefault="00000000">
      <w:pPr>
        <w:spacing w:line="360" w:lineRule="auto"/>
        <w:jc w:val="both"/>
      </w:pPr>
      <w:r>
        <w:t xml:space="preserve">Tosh, David &amp; Penny Light, Tracy &amp; Fleming, Kele &amp; Haywood, Jeff (2005). </w:t>
      </w:r>
      <w:r>
        <w:rPr>
          <w:i/>
          <w:iCs/>
        </w:rPr>
        <w:t>Engagement with Electronic Portfolios: Challenges from the Student Perspective.</w:t>
      </w:r>
      <w:r>
        <w:t xml:space="preserve"> Canadian Journal of Learning and Technology. 31. 10.21432/T23W31. Available at: </w:t>
      </w:r>
      <w:hyperlink r:id="rId17">
        <w:r>
          <w:rPr>
            <w:color w:val="1155CC"/>
            <w:u w:val="single"/>
          </w:rPr>
          <w:t>https://www.researchgate.net/publication/253981691_Engagement_with_Electronic_Portfolios_Challenges_from_the_Student_Perspective</w:t>
        </w:r>
      </w:hyperlink>
      <w:r>
        <w:t xml:space="preserve">  [Accessed 21 November 2025] </w:t>
      </w:r>
    </w:p>
    <w:p w14:paraId="000000D5" w14:textId="77777777" w:rsidR="00217BBB" w:rsidRDefault="00217BBB">
      <w:pPr>
        <w:spacing w:line="360" w:lineRule="auto"/>
        <w:jc w:val="both"/>
        <w:rPr>
          <w:b/>
          <w:bCs/>
        </w:rPr>
      </w:pPr>
    </w:p>
    <w:p w14:paraId="000000D6" w14:textId="77777777" w:rsidR="00217BBB" w:rsidRDefault="00000000">
      <w:pPr>
        <w:spacing w:line="360" w:lineRule="auto"/>
        <w:jc w:val="both"/>
        <w:rPr>
          <w:b/>
          <w:bCs/>
          <w:color w:val="000000"/>
        </w:rPr>
      </w:pPr>
      <w:r>
        <w:rPr>
          <w:b/>
          <w:bCs/>
          <w:i/>
          <w:iCs/>
        </w:rPr>
        <w:t xml:space="preserve">Word Count: Total 2050 or 2100 will be acceptable    </w:t>
      </w:r>
    </w:p>
    <w:sectPr w:rsidR="00217BBB">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8D463" w14:textId="77777777" w:rsidR="003D0D47" w:rsidRDefault="003D0D47">
      <w:pPr>
        <w:spacing w:line="240" w:lineRule="auto"/>
      </w:pPr>
      <w:r>
        <w:separator/>
      </w:r>
    </w:p>
  </w:endnote>
  <w:endnote w:type="continuationSeparator" w:id="0">
    <w:p w14:paraId="0927FB10" w14:textId="77777777" w:rsidR="003D0D47" w:rsidRDefault="003D0D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1" w:fontKey="{03C61ADB-B768-445E-8F25-DA13743061D5}"/>
  </w:font>
  <w:font w:name="Aptos">
    <w:charset w:val="00"/>
    <w:family w:val="swiss"/>
    <w:pitch w:val="variable"/>
    <w:sig w:usb0="20000287" w:usb1="00000003" w:usb2="00000000" w:usb3="00000000" w:csb0="0000019F" w:csb1="00000000"/>
    <w:embedRegular r:id="rId2" w:fontKey="{2A2CF98C-F3AB-463C-B256-26BFDAD15A8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D7" w14:textId="5134206F" w:rsidR="00217BBB"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75C22">
      <w:rPr>
        <w:noProof/>
        <w:color w:val="000000"/>
      </w:rPr>
      <w:t>1</w:t>
    </w:r>
    <w:r>
      <w:rPr>
        <w:color w:val="000000"/>
      </w:rPr>
      <w:fldChar w:fldCharType="end"/>
    </w:r>
  </w:p>
  <w:p w14:paraId="000000D8" w14:textId="77777777" w:rsidR="00217BBB" w:rsidRDefault="00217BB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501BD" w14:textId="77777777" w:rsidR="003D0D47" w:rsidRDefault="003D0D47">
      <w:pPr>
        <w:spacing w:line="240" w:lineRule="auto"/>
      </w:pPr>
      <w:r>
        <w:separator/>
      </w:r>
    </w:p>
  </w:footnote>
  <w:footnote w:type="continuationSeparator" w:id="0">
    <w:p w14:paraId="5F75D3A8" w14:textId="77777777" w:rsidR="003D0D47" w:rsidRDefault="003D0D4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7BBB"/>
    <w:rsid w:val="00217BBB"/>
    <w:rsid w:val="00346EA4"/>
    <w:rsid w:val="003D0D47"/>
    <w:rsid w:val="00AF1047"/>
    <w:rsid w:val="00C75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35A88"/>
  <w15:docId w15:val="{A02A3585-9B07-47DD-A556-6547812E3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pacing w:line="240" w:lineRule="auto"/>
      <w:ind w:left="720"/>
      <w:contextualSpacing/>
    </w:pPr>
    <w:rPr>
      <w:rFonts w:ascii="Times New Roman" w:eastAsia="Times New Roman" w:hAnsi="Times New Roman" w:cs="Times New Roman"/>
      <w:sz w:val="24"/>
      <w:szCs w:val="24"/>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inpractice.org.uk/media/5wje2shb/ll-evidence-scope_final.pdf" TargetMode="External"/><Relationship Id="rId13" Type="http://schemas.openxmlformats.org/officeDocument/2006/relationships/hyperlink" Target="https://www.jobs.nhs.uk/candidat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searchinpractice.org.uk/media/vumnnbpy/adults_difficult_conversations_social_care_fb_web.pdf" TargetMode="External"/><Relationship Id="rId12" Type="http://schemas.openxmlformats.org/officeDocument/2006/relationships/hyperlink" Target="https://doi.org/10.1186/s13643-024-02730-x" TargetMode="External"/><Relationship Id="rId17" Type="http://schemas.openxmlformats.org/officeDocument/2006/relationships/hyperlink" Target="https://www.researchgate.net/publication/253981691_Engagement_with_Electronic_Portfolios_Challenges_from_the_Student_Perspective" TargetMode="External"/><Relationship Id="rId2" Type="http://schemas.openxmlformats.org/officeDocument/2006/relationships/styles" Target="styles.xml"/><Relationship Id="rId16" Type="http://schemas.openxmlformats.org/officeDocument/2006/relationships/hyperlink" Target="https://doi.org/10.1093/bjsw/bcae20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93/bjsw/bcae152" TargetMode="External"/><Relationship Id="rId5" Type="http://schemas.openxmlformats.org/officeDocument/2006/relationships/footnotes" Target="footnotes.xml"/><Relationship Id="rId15" Type="http://schemas.openxmlformats.org/officeDocument/2006/relationships/hyperlink" Target="https://doi.org/10.1186/s13643-022-02125-w" TargetMode="External"/><Relationship Id="rId10" Type="http://schemas.openxmlformats.org/officeDocument/2006/relationships/hyperlink" Target="https://www.researchgate.net/publication/264617732_Decision_Making_in_Social_Wor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media/5a808324ed915d74e622ee26/KSS.pdf" TargetMode="External"/><Relationship Id="rId14" Type="http://schemas.openxmlformats.org/officeDocument/2006/relationships/hyperlink" Target="https://doi.org/https://dx.doi.org/10.47772/IJRISS.2025.9020313"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Hyzfw77NjKxOShydTzuRqNY3wQ==">CgMxLjA4AHIhMVN2M0xwa1RMdHlTel91eDBMN25uMDJ0N250bmlxM2pq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3653</Words>
  <Characters>20828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Frank Fitzgerald</dc:creator>
  <cp:lastModifiedBy>ARACHCHIGE, Ruwini Ackmeemana (EPSOM AND ST HELIER UNIVERSITY HOSPITALS NHS TRUST)</cp:lastModifiedBy>
  <cp:revision>2</cp:revision>
  <dcterms:created xsi:type="dcterms:W3CDTF">2025-12-04T12:55:00Z</dcterms:created>
  <dcterms:modified xsi:type="dcterms:W3CDTF">2025-12-04T12:55:00Z</dcterms:modified>
</cp:coreProperties>
</file>