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B767899" wp14:paraId="4F4BF656" wp14:textId="0BFA12A8">
      <w:pPr>
        <w:spacing w:before="240" w:after="240" w:line="279" w:lineRule="auto"/>
        <w:rPr>
          <w:rFonts w:ascii="Calibri" w:hAnsi="Calibri" w:eastAsia="Calibri" w:cs="Calibri"/>
          <w:noProof w:val="0"/>
          <w:sz w:val="24"/>
          <w:szCs w:val="24"/>
          <w:lang w:val="en-US"/>
        </w:rPr>
      </w:pPr>
      <w:r w:rsidRPr="7B767899" w:rsidR="0497BD3E">
        <w:rPr>
          <w:rFonts w:ascii="Calibri" w:hAnsi="Calibri" w:eastAsia="Calibri" w:cs="Calibri"/>
          <w:i w:val="1"/>
          <w:iCs w:val="1"/>
          <w:strike w:val="0"/>
          <w:dstrike w:val="0"/>
          <w:noProof w:val="0"/>
          <w:sz w:val="24"/>
          <w:szCs w:val="24"/>
          <w:u w:val="single"/>
          <w:lang w:val="en-GB"/>
        </w:rPr>
        <w:t>Proposal form</w:t>
      </w:r>
    </w:p>
    <w:p xmlns:wp14="http://schemas.microsoft.com/office/word/2010/wordml" w:rsidP="7B767899" wp14:paraId="38271FD8" wp14:textId="565408A8">
      <w:pPr>
        <w:spacing w:before="240" w:after="240" w:line="279" w:lineRule="auto"/>
        <w:rPr>
          <w:rFonts w:ascii="Calibri" w:hAnsi="Calibri" w:eastAsia="Calibri" w:cs="Calibri"/>
          <w:noProof w:val="0"/>
          <w:sz w:val="24"/>
          <w:szCs w:val="24"/>
          <w:lang w:val="en-US"/>
        </w:rPr>
      </w:pPr>
      <w:r w:rsidRPr="7B767899" w:rsidR="0497BD3E">
        <w:rPr>
          <w:rFonts w:ascii="Calibri" w:hAnsi="Calibri" w:eastAsia="Calibri" w:cs="Calibri"/>
          <w:i w:val="1"/>
          <w:iCs w:val="1"/>
          <w:strike w:val="0"/>
          <w:dstrike w:val="0"/>
          <w:noProof w:val="0"/>
          <w:sz w:val="24"/>
          <w:szCs w:val="24"/>
          <w:u w:val="single"/>
          <w:lang w:val="en-GB"/>
        </w:rPr>
        <w:t>Title- explore how important gender equality is for the police force and explain the issues in the 21</w:t>
      </w:r>
      <w:r w:rsidRPr="7B767899" w:rsidR="0497BD3E">
        <w:rPr>
          <w:rFonts w:ascii="Calibri" w:hAnsi="Calibri" w:eastAsia="Calibri" w:cs="Calibri"/>
          <w:i w:val="1"/>
          <w:iCs w:val="1"/>
          <w:strike w:val="0"/>
          <w:dstrike w:val="0"/>
          <w:noProof w:val="0"/>
          <w:sz w:val="24"/>
          <w:szCs w:val="24"/>
          <w:u w:val="single"/>
          <w:vertAlign w:val="superscript"/>
          <w:lang w:val="en-GB"/>
        </w:rPr>
        <w:t>st</w:t>
      </w:r>
      <w:r w:rsidRPr="7B767899" w:rsidR="0497BD3E">
        <w:rPr>
          <w:rFonts w:ascii="Calibri" w:hAnsi="Calibri" w:eastAsia="Calibri" w:cs="Calibri"/>
          <w:i w:val="1"/>
          <w:iCs w:val="1"/>
          <w:strike w:val="0"/>
          <w:dstrike w:val="0"/>
          <w:noProof w:val="0"/>
          <w:sz w:val="24"/>
          <w:szCs w:val="24"/>
          <w:u w:val="single"/>
          <w:lang w:val="en-GB"/>
        </w:rPr>
        <w:t xml:space="preserve"> century?</w:t>
      </w:r>
    </w:p>
    <w:p xmlns:wp14="http://schemas.microsoft.com/office/word/2010/wordml" w:rsidP="7B767899" wp14:paraId="68A4532E" wp14:textId="1FB479D4">
      <w:pPr>
        <w:spacing w:before="240" w:after="240" w:line="279" w:lineRule="auto"/>
        <w:rPr>
          <w:rFonts w:ascii="Calibri" w:hAnsi="Calibri" w:eastAsia="Calibri" w:cs="Calibri"/>
          <w:noProof w:val="0"/>
          <w:color w:val="000000" w:themeColor="text1" w:themeTint="FF" w:themeShade="FF"/>
          <w:sz w:val="24"/>
          <w:szCs w:val="24"/>
          <w:lang w:val="en-US"/>
        </w:rPr>
      </w:pPr>
      <w:r w:rsidRPr="7B767899" w:rsidR="0497BD3E">
        <w:rPr>
          <w:rFonts w:ascii="Calibri" w:hAnsi="Calibri" w:eastAsia="Calibri" w:cs="Calibri"/>
          <w:noProof w:val="0"/>
          <w:sz w:val="24"/>
          <w:szCs w:val="24"/>
          <w:lang w:val="en-GB"/>
        </w:rPr>
        <w:t xml:space="preserve">Gender equality in the workplace is important because it ensures fairness and equal opportunities for everyone </w:t>
      </w:r>
      <w:r w:rsidRPr="7B767899" w:rsidR="0497BD3E">
        <w:rPr>
          <w:rFonts w:ascii="Calibri" w:hAnsi="Calibri" w:eastAsia="Calibri" w:cs="Calibri"/>
          <w:noProof w:val="0"/>
          <w:color w:val="000000" w:themeColor="text1" w:themeTint="FF" w:themeShade="FF"/>
          <w:sz w:val="24"/>
          <w:szCs w:val="24"/>
          <w:lang w:val="en-GB"/>
        </w:rPr>
        <w:t>(Natarajan,2016).</w:t>
      </w:r>
      <w:r w:rsidRPr="7B767899" w:rsidR="0497BD3E">
        <w:rPr>
          <w:rFonts w:ascii="Calibri" w:hAnsi="Calibri" w:eastAsia="Calibri" w:cs="Calibri"/>
          <w:noProof w:val="0"/>
          <w:sz w:val="24"/>
          <w:szCs w:val="24"/>
          <w:lang w:val="en-GB"/>
        </w:rPr>
        <w:t xml:space="preserve"> It allows individuals, regardless of their gender, to contribute their skills and talents to the fullest. Plus, diverse perspectives lead to better decision-making and innovation </w:t>
      </w:r>
      <w:r w:rsidRPr="7B767899" w:rsidR="0497BD3E">
        <w:rPr>
          <w:rFonts w:ascii="Calibri" w:hAnsi="Calibri" w:eastAsia="Calibri" w:cs="Calibri"/>
          <w:noProof w:val="0"/>
          <w:color w:val="000000" w:themeColor="text1" w:themeTint="FF" w:themeShade="FF"/>
          <w:sz w:val="24"/>
          <w:szCs w:val="24"/>
          <w:lang w:val="en-GB"/>
        </w:rPr>
        <w:t>(McCarthy, 2010)</w:t>
      </w:r>
      <w:r w:rsidRPr="7B767899" w:rsidR="0497BD3E">
        <w:rPr>
          <w:rFonts w:ascii="Calibri" w:hAnsi="Calibri" w:eastAsia="Calibri" w:cs="Calibri"/>
          <w:noProof w:val="0"/>
          <w:sz w:val="24"/>
          <w:szCs w:val="24"/>
          <w:lang w:val="en-GB"/>
        </w:rPr>
        <w:t xml:space="preserve">. When there is gender equality in the workplace, decision-making improves because diverse perspectives are considered. Different experiences and viewpoints lead to more well-rounded and inclusive decisions. Martienz (2019) stated that it helps to avoid biases and promotes a more balanced and fair working environment </w:t>
      </w:r>
      <w:r w:rsidRPr="7B767899" w:rsidR="0497BD3E">
        <w:rPr>
          <w:rFonts w:ascii="Calibri" w:hAnsi="Calibri" w:eastAsia="Calibri" w:cs="Calibri"/>
          <w:noProof w:val="0"/>
          <w:color w:val="000000" w:themeColor="text1" w:themeTint="FF" w:themeShade="FF"/>
          <w:sz w:val="24"/>
          <w:szCs w:val="24"/>
          <w:lang w:val="en-GB"/>
        </w:rPr>
        <w:t>(Guth,2008).</w:t>
      </w:r>
    </w:p>
    <w:p xmlns:wp14="http://schemas.microsoft.com/office/word/2010/wordml" w:rsidP="7B767899" wp14:paraId="5D245C16" wp14:textId="22169526">
      <w:pPr>
        <w:spacing w:before="240" w:after="240" w:line="279" w:lineRule="auto"/>
        <w:rPr>
          <w:rFonts w:ascii="Calibri" w:hAnsi="Calibri" w:eastAsia="Calibri" w:cs="Calibri"/>
          <w:noProof w:val="0"/>
          <w:sz w:val="24"/>
          <w:szCs w:val="24"/>
          <w:lang w:val="en-US"/>
        </w:rPr>
      </w:pPr>
      <w:r w:rsidRPr="7B767899" w:rsidR="0497BD3E">
        <w:rPr>
          <w:rFonts w:ascii="Calibri" w:hAnsi="Calibri" w:eastAsia="Calibri" w:cs="Calibri"/>
          <w:noProof w:val="0"/>
          <w:sz w:val="24"/>
          <w:szCs w:val="24"/>
          <w:lang w:val="en-GB"/>
        </w:rPr>
        <w:t>Some challenges in achieving gender equality in the workplace include unconscious biases, stereotypes, and gender-based discrimination (</w:t>
      </w:r>
      <w:r w:rsidRPr="7B767899" w:rsidR="0497BD3E">
        <w:rPr>
          <w:rFonts w:ascii="Calibri" w:hAnsi="Calibri" w:eastAsia="Calibri" w:cs="Calibri"/>
          <w:noProof w:val="0"/>
          <w:color w:val="000000" w:themeColor="text1" w:themeTint="FF" w:themeShade="FF"/>
          <w:sz w:val="24"/>
          <w:szCs w:val="24"/>
          <w:lang w:val="en-GB"/>
        </w:rPr>
        <w:t>O'cinneide,2005).</w:t>
      </w:r>
      <w:r w:rsidRPr="7B767899" w:rsidR="0497BD3E">
        <w:rPr>
          <w:rFonts w:ascii="Calibri" w:hAnsi="Calibri" w:eastAsia="Calibri" w:cs="Calibri"/>
          <w:noProof w:val="0"/>
          <w:sz w:val="24"/>
          <w:szCs w:val="24"/>
          <w:lang w:val="en-GB"/>
        </w:rPr>
        <w:t xml:space="preserve"> Additionally, there may be limited access to leadership positions and unequal pay. It is important to raise awareness, promote inclusive policies, and foster a supportive work culture to overcome these challenges (</w:t>
      </w:r>
      <w:r w:rsidRPr="7B767899" w:rsidR="0497BD3E">
        <w:rPr>
          <w:rFonts w:ascii="Calibri" w:hAnsi="Calibri" w:eastAsia="Calibri" w:cs="Calibri"/>
          <w:noProof w:val="0"/>
          <w:color w:val="000000" w:themeColor="text1" w:themeTint="FF" w:themeShade="FF"/>
          <w:sz w:val="24"/>
          <w:szCs w:val="24"/>
          <w:lang w:val="en-GB"/>
        </w:rPr>
        <w:t>Boswell, 2016)</w:t>
      </w:r>
      <w:r w:rsidRPr="7B767899" w:rsidR="0497BD3E">
        <w:rPr>
          <w:rFonts w:ascii="Calibri" w:hAnsi="Calibri" w:eastAsia="Calibri" w:cs="Calibri"/>
          <w:noProof w:val="0"/>
          <w:sz w:val="24"/>
          <w:szCs w:val="24"/>
          <w:lang w:val="en-GB"/>
        </w:rPr>
        <w:t xml:space="preserve">. Gender equality in the police force is crucial for creating a more inclusive and effective law enforcement system </w:t>
      </w:r>
      <w:r w:rsidRPr="7B767899" w:rsidR="0497BD3E">
        <w:rPr>
          <w:rFonts w:ascii="Calibri" w:hAnsi="Calibri" w:eastAsia="Calibri" w:cs="Calibri"/>
          <w:noProof w:val="0"/>
          <w:color w:val="000000" w:themeColor="text1" w:themeTint="FF" w:themeShade="FF"/>
          <w:sz w:val="24"/>
          <w:szCs w:val="24"/>
          <w:lang w:val="en-GB"/>
        </w:rPr>
        <w:t>(Westmarland,2002).</w:t>
      </w:r>
      <w:r w:rsidRPr="7B767899" w:rsidR="0497BD3E">
        <w:rPr>
          <w:rFonts w:ascii="Calibri" w:hAnsi="Calibri" w:eastAsia="Calibri" w:cs="Calibri"/>
          <w:noProof w:val="0"/>
          <w:sz w:val="24"/>
          <w:szCs w:val="24"/>
          <w:lang w:val="en-GB"/>
        </w:rPr>
        <w:t xml:space="preserve"> Smith (2022) further said It ensures that both men and women have equal opportunities to serve and protect their communities. By promoting diversity and breaking down gender barriers.</w:t>
      </w:r>
    </w:p>
    <w:p xmlns:wp14="http://schemas.microsoft.com/office/word/2010/wordml" w:rsidP="7B767899" wp14:paraId="3D6BDCF3" wp14:textId="0A1A8685">
      <w:pPr>
        <w:spacing w:before="240" w:after="240" w:line="279" w:lineRule="auto"/>
        <w:rPr>
          <w:rFonts w:ascii="Calibri" w:hAnsi="Calibri" w:eastAsia="Calibri" w:cs="Calibri"/>
          <w:noProof w:val="0"/>
          <w:color w:val="000000" w:themeColor="text1" w:themeTint="FF" w:themeShade="FF"/>
          <w:sz w:val="24"/>
          <w:szCs w:val="24"/>
          <w:lang w:val="en-US"/>
        </w:rPr>
      </w:pPr>
      <w:r w:rsidRPr="7B767899" w:rsidR="0497BD3E">
        <w:rPr>
          <w:rFonts w:ascii="Calibri" w:hAnsi="Calibri" w:eastAsia="Calibri" w:cs="Calibri"/>
          <w:noProof w:val="0"/>
          <w:sz w:val="24"/>
          <w:szCs w:val="24"/>
          <w:lang w:val="en-GB"/>
        </w:rPr>
        <w:t xml:space="preserve">To encourage more women to join the police force, we can take several steps </w:t>
      </w:r>
      <w:r w:rsidRPr="7B767899" w:rsidR="0497BD3E">
        <w:rPr>
          <w:rFonts w:ascii="Calibri" w:hAnsi="Calibri" w:eastAsia="Calibri" w:cs="Calibri"/>
          <w:noProof w:val="0"/>
          <w:color w:val="000000" w:themeColor="text1" w:themeTint="FF" w:themeShade="FF"/>
          <w:sz w:val="24"/>
          <w:szCs w:val="24"/>
          <w:lang w:val="en-GB"/>
        </w:rPr>
        <w:t>(Lowndes,2014).</w:t>
      </w:r>
      <w:r w:rsidRPr="7B767899" w:rsidR="0497BD3E">
        <w:rPr>
          <w:rFonts w:ascii="Calibri" w:hAnsi="Calibri" w:eastAsia="Calibri" w:cs="Calibri"/>
          <w:noProof w:val="0"/>
          <w:sz w:val="24"/>
          <w:szCs w:val="24"/>
          <w:lang w:val="en-GB"/>
        </w:rPr>
        <w:t xml:space="preserve"> Firstly, we can actively promote the benefits and opportunities that a career in law enforcement offers. Secondly, we can provide mentorship and support programs specifically tailored to women who are interested in joining the force </w:t>
      </w:r>
      <w:r w:rsidRPr="7B767899" w:rsidR="0497BD3E">
        <w:rPr>
          <w:rFonts w:ascii="Calibri" w:hAnsi="Calibri" w:eastAsia="Calibri" w:cs="Calibri"/>
          <w:noProof w:val="0"/>
          <w:color w:val="000000" w:themeColor="text1" w:themeTint="FF" w:themeShade="FF"/>
          <w:sz w:val="24"/>
          <w:szCs w:val="24"/>
          <w:lang w:val="en-GB"/>
        </w:rPr>
        <w:t>(Huppatz, 2020)</w:t>
      </w:r>
      <w:r w:rsidRPr="7B767899" w:rsidR="0497BD3E">
        <w:rPr>
          <w:rFonts w:ascii="Calibri" w:hAnsi="Calibri" w:eastAsia="Calibri" w:cs="Calibri"/>
          <w:noProof w:val="0"/>
          <w:sz w:val="24"/>
          <w:szCs w:val="24"/>
          <w:lang w:val="en-GB"/>
        </w:rPr>
        <w:t xml:space="preserve">. Additionally, it is important to address any barriers or biases that may exist and create a more inclusive and welcoming environment for women in law enforcement. Southworth (2014) implemented having women in the police force is incredibly important for several reasons. First, it helps to foster a sense of trust and confidence within the community. Women officers can provide a unique perspective and approach to policing, which can lead to better outcomes in various situations. Second, having a diverse police force ensures that the needs and concerns of all community members, regardless of gender, are understood and addressed </w:t>
      </w:r>
      <w:r w:rsidRPr="7B767899" w:rsidR="0497BD3E">
        <w:rPr>
          <w:rFonts w:ascii="Calibri" w:hAnsi="Calibri" w:eastAsia="Calibri" w:cs="Calibri"/>
          <w:noProof w:val="0"/>
          <w:color w:val="000000" w:themeColor="text1" w:themeTint="FF" w:themeShade="FF"/>
          <w:sz w:val="24"/>
          <w:szCs w:val="24"/>
          <w:lang w:val="en-GB"/>
        </w:rPr>
        <w:t>(Sun, 2009)</w:t>
      </w:r>
      <w:r w:rsidRPr="7B767899" w:rsidR="0497BD3E">
        <w:rPr>
          <w:rFonts w:ascii="Calibri" w:hAnsi="Calibri" w:eastAsia="Calibri" w:cs="Calibri"/>
          <w:noProof w:val="0"/>
          <w:sz w:val="24"/>
          <w:szCs w:val="24"/>
          <w:lang w:val="en-GB"/>
        </w:rPr>
        <w:t xml:space="preserve">. Lastly, women officers serve as role models for aspiring female officers, inspiring them to pursue careers in law enforcement. Overall, gender diversity in the police force strengthens its effectiveness and promotes a more inclusive society </w:t>
      </w:r>
      <w:r w:rsidRPr="7B767899" w:rsidR="0497BD3E">
        <w:rPr>
          <w:rFonts w:ascii="Calibri" w:hAnsi="Calibri" w:eastAsia="Calibri" w:cs="Calibri"/>
          <w:noProof w:val="0"/>
          <w:color w:val="000000" w:themeColor="text1" w:themeTint="FF" w:themeShade="FF"/>
          <w:sz w:val="24"/>
          <w:szCs w:val="24"/>
          <w:lang w:val="en-GB"/>
        </w:rPr>
        <w:t>(Cain, 2019).</w:t>
      </w:r>
    </w:p>
    <w:p xmlns:wp14="http://schemas.microsoft.com/office/word/2010/wordml" w:rsidP="7B767899" wp14:paraId="48BD3830" wp14:textId="79AA0BE5">
      <w:pPr>
        <w:spacing w:before="240" w:after="240" w:line="279" w:lineRule="auto"/>
        <w:rPr>
          <w:rFonts w:ascii="Calibri" w:hAnsi="Calibri" w:eastAsia="Calibri" w:cs="Calibri"/>
          <w:noProof w:val="0"/>
          <w:sz w:val="24"/>
          <w:szCs w:val="24"/>
          <w:lang w:val="en-US"/>
        </w:rPr>
      </w:pPr>
      <w:r w:rsidRPr="7B767899" w:rsidR="0497BD3E">
        <w:rPr>
          <w:rFonts w:ascii="Calibri" w:hAnsi="Calibri" w:eastAsia="Calibri" w:cs="Calibri"/>
          <w:noProof w:val="0"/>
          <w:sz w:val="24"/>
          <w:szCs w:val="24"/>
          <w:lang w:val="en-GB"/>
        </w:rPr>
        <w:t xml:space="preserve">Gender equality is important to me because it ensures that everyone, regardless of their gender, has equal opportunities, rights, and treatment </w:t>
      </w:r>
      <w:r w:rsidRPr="7B767899" w:rsidR="0497BD3E">
        <w:rPr>
          <w:rFonts w:ascii="Calibri" w:hAnsi="Calibri" w:eastAsia="Calibri" w:cs="Calibri"/>
          <w:noProof w:val="0"/>
          <w:color w:val="000000" w:themeColor="text1" w:themeTint="FF" w:themeShade="FF"/>
          <w:sz w:val="24"/>
          <w:szCs w:val="24"/>
          <w:lang w:val="en-GB"/>
        </w:rPr>
        <w:t>(Miller,2013)</w:t>
      </w:r>
      <w:r w:rsidRPr="7B767899" w:rsidR="0497BD3E">
        <w:rPr>
          <w:rFonts w:ascii="Calibri" w:hAnsi="Calibri" w:eastAsia="Calibri" w:cs="Calibri"/>
          <w:noProof w:val="0"/>
          <w:sz w:val="24"/>
          <w:szCs w:val="24"/>
          <w:lang w:val="en-GB"/>
        </w:rPr>
        <w:t xml:space="preserve">. It means that no one should be limited, or face discrimination based on their gender. Chung (2021) said that Gender equality promotes fairness, inclusivity, and a more balanced society where everyone can thrive and reach their full potential. It is about creating a world where everyone is valued and respected, regardless of their gender </w:t>
      </w:r>
      <w:r w:rsidRPr="7B767899" w:rsidR="0497BD3E">
        <w:rPr>
          <w:rFonts w:ascii="Calibri" w:hAnsi="Calibri" w:eastAsia="Calibri" w:cs="Calibri"/>
          <w:noProof w:val="0"/>
          <w:color w:val="000000" w:themeColor="text1" w:themeTint="FF" w:themeShade="FF"/>
          <w:sz w:val="24"/>
          <w:szCs w:val="24"/>
          <w:lang w:val="en-GB"/>
        </w:rPr>
        <w:t>(Cowan, 2016).</w:t>
      </w:r>
      <w:r w:rsidRPr="7B767899" w:rsidR="0497BD3E">
        <w:rPr>
          <w:rFonts w:ascii="Calibri" w:hAnsi="Calibri" w:eastAsia="Calibri" w:cs="Calibri"/>
          <w:noProof w:val="0"/>
          <w:sz w:val="24"/>
          <w:szCs w:val="24"/>
          <w:lang w:val="en-GB"/>
        </w:rPr>
        <w:t xml:space="preserve"> This topic is worthy of discussion because gender equality affects all of us. By talking about it, we can raise awareness, challenge biases, and work towards creating a more inclusive and equitable society. With Brown (2023) input it is important to have conversations about gender equality to foster understanding, promote change, and ensure that everyone has the same opportunities and rights, regardless of their gender. </w:t>
      </w:r>
    </w:p>
    <w:p xmlns:wp14="http://schemas.microsoft.com/office/word/2010/wordml" w:rsidP="7B767899" wp14:paraId="62D448CC" wp14:textId="66274560">
      <w:pPr>
        <w:spacing w:before="240" w:after="240" w:line="279" w:lineRule="auto"/>
        <w:rPr>
          <w:rFonts w:ascii="Calibri" w:hAnsi="Calibri" w:eastAsia="Calibri" w:cs="Calibri"/>
          <w:noProof w:val="0"/>
          <w:color w:val="000000" w:themeColor="text1" w:themeTint="FF" w:themeShade="FF"/>
          <w:sz w:val="24"/>
          <w:szCs w:val="24"/>
          <w:lang w:val="en-US"/>
        </w:rPr>
      </w:pPr>
      <w:r w:rsidRPr="7B767899" w:rsidR="0497BD3E">
        <w:rPr>
          <w:rFonts w:ascii="Calibri" w:hAnsi="Calibri" w:eastAsia="Calibri" w:cs="Calibri"/>
          <w:noProof w:val="0"/>
          <w:sz w:val="24"/>
          <w:szCs w:val="24"/>
          <w:lang w:val="en-GB"/>
        </w:rPr>
        <w:t>A perfect society may be an ideal, but it is important for the police force because their role is to serve and protect the community. In a perfect society, there would be harmony, safety, and fairness for all. According to Haake (2018) the police force plays a crucial role in maintaining law and order, upholding justice, and ensuring the well-being of all individuals. By striving for a perfect society, the police force can work towards creating a safer and more inclusive environment for everyone (</w:t>
      </w:r>
      <w:r w:rsidRPr="7B767899" w:rsidR="0497BD3E">
        <w:rPr>
          <w:rFonts w:ascii="Calibri" w:hAnsi="Calibri" w:eastAsia="Calibri" w:cs="Calibri"/>
          <w:noProof w:val="0"/>
          <w:color w:val="000000" w:themeColor="text1" w:themeTint="FF" w:themeShade="FF"/>
          <w:sz w:val="24"/>
          <w:szCs w:val="24"/>
          <w:lang w:val="en-GB"/>
        </w:rPr>
        <w:t>Martin,1999).</w:t>
      </w:r>
      <w:r w:rsidRPr="7B767899" w:rsidR="0497BD3E">
        <w:rPr>
          <w:rFonts w:ascii="Calibri" w:hAnsi="Calibri" w:eastAsia="Calibri" w:cs="Calibri"/>
          <w:noProof w:val="0"/>
          <w:sz w:val="24"/>
          <w:szCs w:val="24"/>
          <w:lang w:val="en-GB"/>
        </w:rPr>
        <w:t xml:space="preserve"> However, Women officers in the police force may face specific challenges such as gender bias, stereotypes, and discrimination. They might encounter resistance or scepticism from colleagues or the community, which can make it harder for them to be taken seriously or advance in their careers </w:t>
      </w:r>
      <w:r w:rsidRPr="7B767899" w:rsidR="0497BD3E">
        <w:rPr>
          <w:rFonts w:ascii="Calibri" w:hAnsi="Calibri" w:eastAsia="Calibri" w:cs="Calibri"/>
          <w:noProof w:val="0"/>
          <w:color w:val="000000" w:themeColor="text1" w:themeTint="FF" w:themeShade="FF"/>
          <w:sz w:val="24"/>
          <w:szCs w:val="24"/>
          <w:lang w:val="en-GB"/>
        </w:rPr>
        <w:t>(Seo,2021)</w:t>
      </w:r>
      <w:r w:rsidRPr="7B767899" w:rsidR="0497BD3E">
        <w:rPr>
          <w:rFonts w:ascii="Calibri" w:hAnsi="Calibri" w:eastAsia="Calibri" w:cs="Calibri"/>
          <w:noProof w:val="0"/>
          <w:sz w:val="24"/>
          <w:szCs w:val="24"/>
          <w:lang w:val="en-GB"/>
        </w:rPr>
        <w:t xml:space="preserve">. Additionally, there may be physical demands and safety concerns that can affect women officers differently. However, it is important to note that these challenges are not insurmountable, and many women officers have overcome them to excel in their roles. The police force is working towards creating a more inclusive and supportive environment for all officers </w:t>
      </w:r>
      <w:r w:rsidRPr="7B767899" w:rsidR="0497BD3E">
        <w:rPr>
          <w:rFonts w:ascii="Calibri" w:hAnsi="Calibri" w:eastAsia="Calibri" w:cs="Calibri"/>
          <w:noProof w:val="0"/>
          <w:color w:val="000000" w:themeColor="text1" w:themeTint="FF" w:themeShade="FF"/>
          <w:sz w:val="24"/>
          <w:szCs w:val="24"/>
          <w:lang w:val="en-GB"/>
        </w:rPr>
        <w:t>(Silvestri, 2013).</w:t>
      </w:r>
    </w:p>
    <w:p xmlns:wp14="http://schemas.microsoft.com/office/word/2010/wordml" w:rsidP="7B767899" wp14:paraId="623D7FE7" wp14:textId="5E03B88C">
      <w:pPr>
        <w:spacing w:before="240" w:after="240" w:line="279" w:lineRule="auto"/>
        <w:rPr>
          <w:rFonts w:ascii="Calibri" w:hAnsi="Calibri" w:eastAsia="Calibri" w:cs="Calibri"/>
          <w:noProof w:val="0"/>
          <w:sz w:val="24"/>
          <w:szCs w:val="24"/>
          <w:lang w:val="en-US"/>
        </w:rPr>
      </w:pPr>
      <w:r w:rsidRPr="7B767899" w:rsidR="0497BD3E">
        <w:rPr>
          <w:rFonts w:ascii="Calibri" w:hAnsi="Calibri" w:eastAsia="Calibri" w:cs="Calibri"/>
          <w:noProof w:val="0"/>
          <w:sz w:val="24"/>
          <w:szCs w:val="24"/>
          <w:lang w:val="en-GB"/>
        </w:rPr>
        <w:t xml:space="preserve">It is difficult to give an exact number as opinions can vary among individuals. However, it is important to note that many men support and believe that women should be working in the police force </w:t>
      </w:r>
      <w:r w:rsidRPr="7B767899" w:rsidR="0497BD3E">
        <w:rPr>
          <w:rFonts w:ascii="Calibri" w:hAnsi="Calibri" w:eastAsia="Calibri" w:cs="Calibri"/>
          <w:noProof w:val="0"/>
          <w:color w:val="000000" w:themeColor="text1" w:themeTint="FF" w:themeShade="FF"/>
          <w:sz w:val="24"/>
          <w:szCs w:val="24"/>
          <w:lang w:val="en-GB"/>
        </w:rPr>
        <w:t>(Hudson, 2009).</w:t>
      </w:r>
      <w:r w:rsidRPr="7B767899" w:rsidR="0497BD3E">
        <w:rPr>
          <w:rFonts w:ascii="Calibri" w:hAnsi="Calibri" w:eastAsia="Calibri" w:cs="Calibri"/>
          <w:noProof w:val="0"/>
          <w:sz w:val="24"/>
          <w:szCs w:val="24"/>
          <w:lang w:val="en-GB"/>
        </w:rPr>
        <w:t xml:space="preserve"> Over time, there has been a growing recognition of the valuable contributions that women officers bring to law enforcement. According to Parker (1998) Many men understand the importance of diversity and gender equality in creating a more effective and representative police force. It is encouraging to see a shift in attitudes and increased support for women pursuing careers in law enforcement.</w:t>
      </w:r>
    </w:p>
    <w:p xmlns:wp14="http://schemas.microsoft.com/office/word/2010/wordml" w:rsidP="7B767899" wp14:paraId="33B4A48A" wp14:textId="17B0E794">
      <w:pPr>
        <w:spacing w:before="240" w:after="240" w:line="279" w:lineRule="auto"/>
        <w:rPr>
          <w:rFonts w:ascii="Calibri" w:hAnsi="Calibri" w:eastAsia="Calibri" w:cs="Calibri"/>
          <w:noProof w:val="0"/>
          <w:color w:val="000000" w:themeColor="text1" w:themeTint="FF" w:themeShade="FF"/>
          <w:sz w:val="24"/>
          <w:szCs w:val="24"/>
          <w:lang w:val="en-US"/>
        </w:rPr>
      </w:pPr>
      <w:r w:rsidRPr="7B767899" w:rsidR="0497BD3E">
        <w:rPr>
          <w:rFonts w:ascii="Calibri" w:hAnsi="Calibri" w:eastAsia="Calibri" w:cs="Calibri"/>
          <w:noProof w:val="0"/>
          <w:sz w:val="24"/>
          <w:szCs w:val="24"/>
          <w:lang w:val="en-GB"/>
        </w:rPr>
        <w:t xml:space="preserve">Gender equality is a controversial topic today because it challenges long-held beliefs, traditions, and power dynamics. Keddie (2023) shared that some people may feel threatened by the idea of change or view gender equality as a threat to their own privileges or status quo. Additionally, cultural, and societal norms can perpetuate gender stereotypes and reinforce inequality </w:t>
      </w:r>
      <w:r w:rsidRPr="7B767899" w:rsidR="0497BD3E">
        <w:rPr>
          <w:rFonts w:ascii="Calibri" w:hAnsi="Calibri" w:eastAsia="Calibri" w:cs="Calibri"/>
          <w:noProof w:val="0"/>
          <w:color w:val="000000" w:themeColor="text1" w:themeTint="FF" w:themeShade="FF"/>
          <w:sz w:val="24"/>
          <w:szCs w:val="24"/>
          <w:lang w:val="en-GB"/>
        </w:rPr>
        <w:t>(Phillips,2004).</w:t>
      </w:r>
    </w:p>
    <w:p xmlns:wp14="http://schemas.microsoft.com/office/word/2010/wordml" w:rsidP="7B767899" wp14:paraId="4B813A58" wp14:textId="7C94CD7E">
      <w:pPr>
        <w:spacing w:before="240" w:after="240" w:line="279" w:lineRule="auto"/>
        <w:rPr>
          <w:rFonts w:ascii="Calibri" w:hAnsi="Calibri" w:eastAsia="Calibri" w:cs="Calibri"/>
          <w:noProof w:val="0"/>
          <w:color w:val="000000" w:themeColor="text1" w:themeTint="FF" w:themeShade="FF"/>
          <w:sz w:val="24"/>
          <w:szCs w:val="24"/>
          <w:lang w:val="en-US"/>
        </w:rPr>
      </w:pPr>
      <w:r w:rsidRPr="7B767899" w:rsidR="0497BD3E">
        <w:rPr>
          <w:rFonts w:ascii="Calibri" w:hAnsi="Calibri" w:eastAsia="Calibri" w:cs="Calibri"/>
          <w:noProof w:val="0"/>
          <w:sz w:val="24"/>
          <w:szCs w:val="24"/>
          <w:lang w:val="en-GB"/>
        </w:rPr>
        <w:t xml:space="preserve">Gender bias in the police force can manifest in many ways. For example, women officers may face stereotypes that they are not as physically capable as their male counterparts, leading to limited opportunities for certain roles or assignments. Heilman (2012) said that there may also be instances where their opinions or contributions are undervalued or dismissed. Additionally, women officers might experience challenges in balancing work and family responsibilities due to inflexible schedules or lack of support </w:t>
      </w:r>
      <w:r w:rsidRPr="7B767899" w:rsidR="0497BD3E">
        <w:rPr>
          <w:rFonts w:ascii="Calibri" w:hAnsi="Calibri" w:eastAsia="Calibri" w:cs="Calibri"/>
          <w:noProof w:val="0"/>
          <w:color w:val="000000" w:themeColor="text1" w:themeTint="FF" w:themeShade="FF"/>
          <w:sz w:val="24"/>
          <w:szCs w:val="24"/>
          <w:lang w:val="en-GB"/>
        </w:rPr>
        <w:t>(Yarrow, 2021).</w:t>
      </w:r>
      <w:r w:rsidRPr="7B767899" w:rsidR="0497BD3E">
        <w:rPr>
          <w:rFonts w:ascii="Calibri" w:hAnsi="Calibri" w:eastAsia="Calibri" w:cs="Calibri"/>
          <w:noProof w:val="0"/>
          <w:sz w:val="24"/>
          <w:szCs w:val="24"/>
          <w:lang w:val="en-GB"/>
        </w:rPr>
        <w:t xml:space="preserve"> There are many success stories of gender equality in the police force. For example, some police departments have implemented policies and initiatives to actively recruit and promote more women officers. In addition, Correll (2018) said this has resulted in increased representation of women in leadership positions within the force. Additionally, there have been instances where women officers have excelled in their roles, demonstrating their capabilities, and breaking down gender stereotypes. These success stories serve as inspiration and motivation for others, highlighting the positive impact of gender equality in the police force </w:t>
      </w:r>
      <w:r w:rsidRPr="7B767899" w:rsidR="0497BD3E">
        <w:rPr>
          <w:rFonts w:ascii="Calibri" w:hAnsi="Calibri" w:eastAsia="Calibri" w:cs="Calibri"/>
          <w:noProof w:val="0"/>
          <w:color w:val="000000" w:themeColor="text1" w:themeTint="FF" w:themeShade="FF"/>
          <w:sz w:val="24"/>
          <w:szCs w:val="24"/>
          <w:lang w:val="en-GB"/>
        </w:rPr>
        <w:t>(Hearn, 2004).</w:t>
      </w:r>
    </w:p>
    <w:p xmlns:wp14="http://schemas.microsoft.com/office/word/2010/wordml" w:rsidP="7B767899" wp14:paraId="3DC9300B" wp14:textId="73468031">
      <w:pPr>
        <w:spacing w:before="240" w:after="240" w:line="279" w:lineRule="auto"/>
        <w:rPr>
          <w:rFonts w:ascii="Calibri" w:hAnsi="Calibri" w:eastAsia="Calibri" w:cs="Calibri"/>
          <w:noProof w:val="0"/>
          <w:sz w:val="24"/>
          <w:szCs w:val="24"/>
          <w:lang w:val="en-US"/>
        </w:rPr>
      </w:pPr>
      <w:r w:rsidRPr="7B767899" w:rsidR="0497BD3E">
        <w:rPr>
          <w:rFonts w:ascii="Calibri" w:hAnsi="Calibri" w:eastAsia="Calibri" w:cs="Calibri"/>
          <w:noProof w:val="0"/>
          <w:sz w:val="24"/>
          <w:szCs w:val="24"/>
          <w:lang w:val="en-GB"/>
        </w:rPr>
        <w:t xml:space="preserve">Gender equality in the police force is a fascinating and important topic that would make for a great dissertation in university. According to Badgett (2012) It allows for in-depth exploration of the challenges, progress, and impact of gender equality initiatives within law enforcement. You can examine the experiences of women officers, analyse policies and practices, and propose recommendations for further improvement </w:t>
      </w:r>
      <w:r w:rsidRPr="7B767899" w:rsidR="0497BD3E">
        <w:rPr>
          <w:rFonts w:ascii="Calibri" w:hAnsi="Calibri" w:eastAsia="Calibri" w:cs="Calibri"/>
          <w:noProof w:val="0"/>
          <w:color w:val="000000" w:themeColor="text1" w:themeTint="FF" w:themeShade="FF"/>
          <w:sz w:val="24"/>
          <w:szCs w:val="24"/>
          <w:lang w:val="en-GB"/>
        </w:rPr>
        <w:t xml:space="preserve">(Skeet,2013). </w:t>
      </w:r>
      <w:r w:rsidRPr="7B767899" w:rsidR="0497BD3E">
        <w:rPr>
          <w:rFonts w:ascii="Calibri" w:hAnsi="Calibri" w:eastAsia="Calibri" w:cs="Calibri"/>
          <w:noProof w:val="0"/>
          <w:sz w:val="24"/>
          <w:szCs w:val="24"/>
          <w:lang w:val="en-GB"/>
        </w:rPr>
        <w:t xml:space="preserve">It is a timely and relevant subject that contributes to the ongoing dialogue on gender equality in society. </w:t>
      </w:r>
    </w:p>
    <w:p xmlns:wp14="http://schemas.microsoft.com/office/word/2010/wordml" w:rsidP="7B767899" wp14:paraId="2D46ED11" wp14:textId="0429F879">
      <w:pPr>
        <w:spacing w:before="240" w:after="240" w:line="279" w:lineRule="auto"/>
        <w:rPr>
          <w:rFonts w:ascii="Calibri" w:hAnsi="Calibri" w:eastAsia="Calibri" w:cs="Calibri"/>
          <w:noProof w:val="0"/>
          <w:color w:val="000000" w:themeColor="text1" w:themeTint="FF" w:themeShade="FF"/>
          <w:sz w:val="24"/>
          <w:szCs w:val="24"/>
          <w:lang w:val="en-US"/>
        </w:rPr>
      </w:pPr>
      <w:r w:rsidRPr="7B767899" w:rsidR="0497BD3E">
        <w:rPr>
          <w:rFonts w:ascii="Calibri" w:hAnsi="Calibri" w:eastAsia="Calibri" w:cs="Calibri"/>
          <w:noProof w:val="0"/>
          <w:color w:val="000000" w:themeColor="text1" w:themeTint="FF" w:themeShade="FF"/>
          <w:sz w:val="24"/>
          <w:szCs w:val="24"/>
          <w:lang w:val="en-GB"/>
        </w:rPr>
        <w:t>Presenting a dissertation on gender equality in the police force would be beneficial for several reasons. Firstly, it allows you to contribute to the existing body of knowledge on this important topic (Bennett,2006). By conducting research and analysis, you can provide valuable insights and recommendations for enhancing gender equality within law enforcement. Secondly, it highlights your expertise and passion for social justice and equality, which can be attractive to potential employers or academic institutions (Baines,2021). Lastly, it offers an opportunity for personal growth and learning as you delve deep into the subject matter and develop critical thinking and research skills. Overall, presenting a dissertation on gender equality in the police force is a meaningful and impactful topic (Webb, 2002).</w:t>
      </w:r>
    </w:p>
    <w:p xmlns:wp14="http://schemas.microsoft.com/office/word/2010/wordml" w:rsidP="7B767899" wp14:paraId="10DD5042" wp14:textId="4894A56E">
      <w:pPr>
        <w:spacing w:before="240" w:after="240" w:line="279" w:lineRule="auto"/>
        <w:rPr>
          <w:rFonts w:ascii="Calibri" w:hAnsi="Calibri" w:eastAsia="Calibri" w:cs="Calibri"/>
          <w:noProof w:val="0"/>
          <w:color w:val="000000" w:themeColor="text1" w:themeTint="FF" w:themeShade="FF"/>
          <w:sz w:val="24"/>
          <w:szCs w:val="24"/>
          <w:lang w:val="en-US"/>
        </w:rPr>
      </w:pPr>
      <w:r w:rsidRPr="7B767899" w:rsidR="0497BD3E">
        <w:rPr>
          <w:rFonts w:ascii="Calibri" w:hAnsi="Calibri" w:eastAsia="Calibri" w:cs="Calibri"/>
          <w:noProof w:val="0"/>
          <w:color w:val="000000" w:themeColor="text1" w:themeTint="FF" w:themeShade="FF"/>
          <w:sz w:val="24"/>
          <w:szCs w:val="24"/>
          <w:lang w:val="en-GB"/>
        </w:rPr>
        <w:t>Gender equality in the police force is incredibly important. It ensures that all individuals, regardless of gender, have equal opportunities, representation, and treatment within law enforcement (Macleod, J., 2009). By addressing gender biases and promoting inclusivity, we can create a more effective and equitable police force. A dissertation on this topic is crucial because it allows for a deeper understanding of the challenges and progress in achieving gender equality in law enforcement (Rivers,2007). It provides an opportunity to explore the impact of gender stereotypes, examine policies and practices, and propose strategies for fostering a more inclusive and diverse police force. Ultimately, studying gender equality in the police through a dissertation contributes to the larger goal of creating a fair and just society for everyone (Burrell,2020).</w:t>
      </w:r>
    </w:p>
    <w:p xmlns:wp14="http://schemas.microsoft.com/office/word/2010/wordml" w:rsidP="7B767899" wp14:paraId="2C078E63" wp14:textId="439BF5F4">
      <w:pPr>
        <w:rPr>
          <w:b w:val="1"/>
          <w:bCs w:val="1"/>
          <w:u w:val="single"/>
        </w:rPr>
      </w:pPr>
      <w:r w:rsidRPr="7B767899" w:rsidR="75439775">
        <w:rPr>
          <w:b w:val="1"/>
          <w:bCs w:val="1"/>
          <w:u w:val="single"/>
        </w:rPr>
        <w:t>References</w:t>
      </w:r>
    </w:p>
    <w:p w:rsidR="75439775" w:rsidP="7B767899" w:rsidRDefault="75439775" w14:paraId="7A2CB3BA" w14:textId="4E9C8E7C">
      <w:pPr>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Adams, A. and Cox, A.L., 2008. </w:t>
      </w:r>
      <w:r w:rsidRPr="7B767899" w:rsidR="75439775">
        <w:rPr>
          <w:rFonts w:ascii="Calibri" w:hAnsi="Calibri" w:eastAsia="Calibri" w:cs="Calibri"/>
          <w:i w:val="1"/>
          <w:iCs w:val="1"/>
          <w:noProof w:val="0"/>
          <w:color w:val="000000" w:themeColor="text1" w:themeTint="FF" w:themeShade="FF"/>
          <w:sz w:val="24"/>
          <w:szCs w:val="24"/>
          <w:lang w:val="en-GB"/>
        </w:rPr>
        <w:t>Questionnaires, in-depth interviews and focus groups</w:t>
      </w:r>
      <w:r w:rsidRPr="7B767899" w:rsidR="75439775">
        <w:rPr>
          <w:rFonts w:ascii="Calibri" w:hAnsi="Calibri" w:eastAsia="Calibri" w:cs="Calibri"/>
          <w:noProof w:val="0"/>
          <w:color w:val="000000" w:themeColor="text1" w:themeTint="FF" w:themeShade="FF"/>
          <w:sz w:val="24"/>
          <w:szCs w:val="24"/>
          <w:lang w:val="en-GB"/>
        </w:rPr>
        <w:t xml:space="preserve"> (pp. 17-34). Cambridge University Press.</w:t>
      </w:r>
    </w:p>
    <w:p w:rsidR="75439775" w:rsidP="7B767899" w:rsidRDefault="75439775" w14:paraId="51EC876B" w14:textId="46EF8E24">
      <w:pPr>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Andrews, R. and Johnston Miller, K., 2013. Representative bureaucracy, gender, and policing: The case of domestic violence arrests in England. </w:t>
      </w:r>
      <w:r w:rsidRPr="7B767899" w:rsidR="75439775">
        <w:rPr>
          <w:rFonts w:ascii="Calibri" w:hAnsi="Calibri" w:eastAsia="Calibri" w:cs="Calibri"/>
          <w:i w:val="1"/>
          <w:iCs w:val="1"/>
          <w:noProof w:val="0"/>
          <w:color w:val="000000" w:themeColor="text1" w:themeTint="FF" w:themeShade="FF"/>
          <w:sz w:val="24"/>
          <w:szCs w:val="24"/>
          <w:lang w:val="en-GB"/>
        </w:rPr>
        <w:t>Public Administration</w:t>
      </w:r>
      <w:r w:rsidRPr="7B767899" w:rsidR="75439775">
        <w:rPr>
          <w:rFonts w:ascii="Calibri" w:hAnsi="Calibri" w:eastAsia="Calibri" w:cs="Calibri"/>
          <w:noProof w:val="0"/>
          <w:color w:val="000000" w:themeColor="text1" w:themeTint="FF" w:themeShade="FF"/>
          <w:sz w:val="24"/>
          <w:szCs w:val="24"/>
          <w:lang w:val="en-GB"/>
        </w:rPr>
        <w:t xml:space="preserve">, </w:t>
      </w:r>
      <w:r w:rsidRPr="7B767899" w:rsidR="75439775">
        <w:rPr>
          <w:rFonts w:ascii="Calibri" w:hAnsi="Calibri" w:eastAsia="Calibri" w:cs="Calibri"/>
          <w:i w:val="1"/>
          <w:iCs w:val="1"/>
          <w:noProof w:val="0"/>
          <w:color w:val="000000" w:themeColor="text1" w:themeTint="FF" w:themeShade="FF"/>
          <w:sz w:val="24"/>
          <w:szCs w:val="24"/>
          <w:lang w:val="en-GB"/>
        </w:rPr>
        <w:t>91</w:t>
      </w:r>
      <w:r w:rsidRPr="7B767899" w:rsidR="75439775">
        <w:rPr>
          <w:rFonts w:ascii="Calibri" w:hAnsi="Calibri" w:eastAsia="Calibri" w:cs="Calibri"/>
          <w:noProof w:val="0"/>
          <w:color w:val="000000" w:themeColor="text1" w:themeTint="FF" w:themeShade="FF"/>
          <w:sz w:val="24"/>
          <w:szCs w:val="24"/>
          <w:lang w:val="en-GB"/>
        </w:rPr>
        <w:t>(4), pp.998-1014</w:t>
      </w:r>
    </w:p>
    <w:p w:rsidR="75439775" w:rsidP="7B767899" w:rsidRDefault="75439775" w14:paraId="3AF5A3DA" w14:textId="4884450D">
      <w:pPr>
        <w:spacing w:after="0"/>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Badgett, M.V., 2009. Bias in the workplace: Consistent evidence of sexual orientation and gender identity discrimination 1998-2008. </w:t>
      </w:r>
      <w:r w:rsidRPr="7B767899" w:rsidR="75439775">
        <w:rPr>
          <w:rFonts w:ascii="Calibri" w:hAnsi="Calibri" w:eastAsia="Calibri" w:cs="Calibri"/>
          <w:i w:val="1"/>
          <w:iCs w:val="1"/>
          <w:noProof w:val="0"/>
          <w:color w:val="000000" w:themeColor="text1" w:themeTint="FF" w:themeShade="FF"/>
          <w:sz w:val="24"/>
          <w:szCs w:val="24"/>
          <w:lang w:val="en-GB"/>
        </w:rPr>
        <w:t>Chi.-Kent L. Rev.</w:t>
      </w:r>
      <w:r w:rsidRPr="7B767899" w:rsidR="75439775">
        <w:rPr>
          <w:rFonts w:ascii="Calibri" w:hAnsi="Calibri" w:eastAsia="Calibri" w:cs="Calibri"/>
          <w:noProof w:val="0"/>
          <w:color w:val="000000" w:themeColor="text1" w:themeTint="FF" w:themeShade="FF"/>
          <w:sz w:val="24"/>
          <w:szCs w:val="24"/>
          <w:lang w:val="en-GB"/>
        </w:rPr>
        <w:t xml:space="preserve">, </w:t>
      </w:r>
      <w:r w:rsidRPr="7B767899" w:rsidR="75439775">
        <w:rPr>
          <w:rFonts w:ascii="Calibri" w:hAnsi="Calibri" w:eastAsia="Calibri" w:cs="Calibri"/>
          <w:i w:val="1"/>
          <w:iCs w:val="1"/>
          <w:noProof w:val="0"/>
          <w:color w:val="000000" w:themeColor="text1" w:themeTint="FF" w:themeShade="FF"/>
          <w:sz w:val="24"/>
          <w:szCs w:val="24"/>
          <w:lang w:val="en-GB"/>
        </w:rPr>
        <w:t>84</w:t>
      </w:r>
      <w:r w:rsidRPr="7B767899" w:rsidR="75439775">
        <w:rPr>
          <w:rFonts w:ascii="Calibri" w:hAnsi="Calibri" w:eastAsia="Calibri" w:cs="Calibri"/>
          <w:noProof w:val="0"/>
          <w:color w:val="000000" w:themeColor="text1" w:themeTint="FF" w:themeShade="FF"/>
          <w:sz w:val="24"/>
          <w:szCs w:val="24"/>
          <w:lang w:val="en-GB"/>
        </w:rPr>
        <w:t xml:space="preserve">, p.559. </w:t>
      </w:r>
    </w:p>
    <w:p w:rsidR="75439775" w:rsidP="7B767899" w:rsidRDefault="75439775" w14:paraId="5703A1FB" w14:textId="02A00FD0">
      <w:pPr>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Bennett, J., 2006. Achieving race equality through training: a review of approaches in the UK. </w:t>
      </w:r>
      <w:r w:rsidRPr="7B767899" w:rsidR="75439775">
        <w:rPr>
          <w:rFonts w:ascii="Calibri" w:hAnsi="Calibri" w:eastAsia="Calibri" w:cs="Calibri"/>
          <w:i w:val="1"/>
          <w:iCs w:val="1"/>
          <w:noProof w:val="0"/>
          <w:color w:val="000000" w:themeColor="text1" w:themeTint="FF" w:themeShade="FF"/>
          <w:sz w:val="24"/>
          <w:szCs w:val="24"/>
          <w:lang w:val="en-GB"/>
        </w:rPr>
        <w:t>The Journal of Mental Health Training, Education and Practice</w:t>
      </w:r>
      <w:r w:rsidRPr="7B767899" w:rsidR="75439775">
        <w:rPr>
          <w:rFonts w:ascii="Calibri" w:hAnsi="Calibri" w:eastAsia="Calibri" w:cs="Calibri"/>
          <w:noProof w:val="0"/>
          <w:color w:val="000000" w:themeColor="text1" w:themeTint="FF" w:themeShade="FF"/>
          <w:sz w:val="24"/>
          <w:szCs w:val="24"/>
          <w:lang w:val="en-GB"/>
        </w:rPr>
        <w:t xml:space="preserve">, </w:t>
      </w:r>
      <w:r w:rsidRPr="7B767899" w:rsidR="75439775">
        <w:rPr>
          <w:rFonts w:ascii="Calibri" w:hAnsi="Calibri" w:eastAsia="Calibri" w:cs="Calibri"/>
          <w:i w:val="1"/>
          <w:iCs w:val="1"/>
          <w:noProof w:val="0"/>
          <w:color w:val="000000" w:themeColor="text1" w:themeTint="FF" w:themeShade="FF"/>
          <w:sz w:val="24"/>
          <w:szCs w:val="24"/>
          <w:lang w:val="en-GB"/>
        </w:rPr>
        <w:t>1</w:t>
      </w:r>
      <w:r w:rsidRPr="7B767899" w:rsidR="75439775">
        <w:rPr>
          <w:rFonts w:ascii="Calibri" w:hAnsi="Calibri" w:eastAsia="Calibri" w:cs="Calibri"/>
          <w:noProof w:val="0"/>
          <w:color w:val="000000" w:themeColor="text1" w:themeTint="FF" w:themeShade="FF"/>
          <w:sz w:val="24"/>
          <w:szCs w:val="24"/>
          <w:lang w:val="en-GB"/>
        </w:rPr>
        <w:t>(1), pp.5-11.</w:t>
      </w:r>
    </w:p>
    <w:p w:rsidR="75439775" w:rsidP="7B767899" w:rsidRDefault="75439775" w14:paraId="1A257E95" w14:textId="2A60047D">
      <w:pPr>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Bernard, H.R., 1996. Qualitative data, quantitative analysis. </w:t>
      </w:r>
      <w:r w:rsidRPr="7B767899" w:rsidR="75439775">
        <w:rPr>
          <w:rFonts w:ascii="Calibri" w:hAnsi="Calibri" w:eastAsia="Calibri" w:cs="Calibri"/>
          <w:i w:val="1"/>
          <w:iCs w:val="1"/>
          <w:noProof w:val="0"/>
          <w:color w:val="000000" w:themeColor="text1" w:themeTint="FF" w:themeShade="FF"/>
          <w:sz w:val="24"/>
          <w:szCs w:val="24"/>
          <w:lang w:val="en-GB"/>
        </w:rPr>
        <w:t>CAM Journal</w:t>
      </w:r>
      <w:r w:rsidRPr="7B767899" w:rsidR="75439775">
        <w:rPr>
          <w:rFonts w:ascii="Calibri" w:hAnsi="Calibri" w:eastAsia="Calibri" w:cs="Calibri"/>
          <w:noProof w:val="0"/>
          <w:color w:val="000000" w:themeColor="text1" w:themeTint="FF" w:themeShade="FF"/>
          <w:sz w:val="24"/>
          <w:szCs w:val="24"/>
          <w:lang w:val="en-GB"/>
        </w:rPr>
        <w:t xml:space="preserve">, </w:t>
      </w:r>
      <w:r w:rsidRPr="7B767899" w:rsidR="75439775">
        <w:rPr>
          <w:rFonts w:ascii="Calibri" w:hAnsi="Calibri" w:eastAsia="Calibri" w:cs="Calibri"/>
          <w:i w:val="1"/>
          <w:iCs w:val="1"/>
          <w:noProof w:val="0"/>
          <w:color w:val="000000" w:themeColor="text1" w:themeTint="FF" w:themeShade="FF"/>
          <w:sz w:val="24"/>
          <w:szCs w:val="24"/>
          <w:lang w:val="en-GB"/>
        </w:rPr>
        <w:t>8</w:t>
      </w:r>
      <w:r w:rsidRPr="7B767899" w:rsidR="75439775">
        <w:rPr>
          <w:rFonts w:ascii="Calibri" w:hAnsi="Calibri" w:eastAsia="Calibri" w:cs="Calibri"/>
          <w:noProof w:val="0"/>
          <w:color w:val="000000" w:themeColor="text1" w:themeTint="FF" w:themeShade="FF"/>
          <w:sz w:val="24"/>
          <w:szCs w:val="24"/>
          <w:lang w:val="en-GB"/>
        </w:rPr>
        <w:t>(1), pp.9-11.</w:t>
      </w:r>
    </w:p>
    <w:p w:rsidR="75439775" w:rsidP="7B767899" w:rsidRDefault="75439775" w14:paraId="2A0F673E" w14:textId="639C173B">
      <w:pPr>
        <w:spacing w:after="0"/>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Borgo Bello, A., Perella, M.P. and Pozzo, M.I., 2019. Using questionnaires in research on universities: analysis of experiences from a situated perspective.  </w:t>
      </w:r>
    </w:p>
    <w:p w:rsidR="75439775" w:rsidP="7B767899" w:rsidRDefault="75439775" w14:paraId="3C91EB2E" w14:textId="047A596A">
      <w:pPr>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Boswell, G., 2016. EQUALITY AND DIVERSITY IN POLICING. </w:t>
      </w:r>
      <w:r w:rsidRPr="7B767899" w:rsidR="75439775">
        <w:rPr>
          <w:rFonts w:ascii="Calibri" w:hAnsi="Calibri" w:eastAsia="Calibri" w:cs="Calibri"/>
          <w:i w:val="1"/>
          <w:iCs w:val="1"/>
          <w:noProof w:val="0"/>
          <w:color w:val="000000" w:themeColor="text1" w:themeTint="FF" w:themeShade="FF"/>
          <w:sz w:val="24"/>
          <w:szCs w:val="24"/>
          <w:lang w:val="en-GB"/>
        </w:rPr>
        <w:t>Pakistan Journal of Criminology</w:t>
      </w:r>
      <w:r w:rsidRPr="7B767899" w:rsidR="75439775">
        <w:rPr>
          <w:rFonts w:ascii="Calibri" w:hAnsi="Calibri" w:eastAsia="Calibri" w:cs="Calibri"/>
          <w:noProof w:val="0"/>
          <w:color w:val="000000" w:themeColor="text1" w:themeTint="FF" w:themeShade="FF"/>
          <w:sz w:val="24"/>
          <w:szCs w:val="24"/>
          <w:lang w:val="en-GB"/>
        </w:rPr>
        <w:t xml:space="preserve">, </w:t>
      </w:r>
      <w:r w:rsidRPr="7B767899" w:rsidR="75439775">
        <w:rPr>
          <w:rFonts w:ascii="Calibri" w:hAnsi="Calibri" w:eastAsia="Calibri" w:cs="Calibri"/>
          <w:i w:val="1"/>
          <w:iCs w:val="1"/>
          <w:noProof w:val="0"/>
          <w:color w:val="000000" w:themeColor="text1" w:themeTint="FF" w:themeShade="FF"/>
          <w:sz w:val="24"/>
          <w:szCs w:val="24"/>
          <w:lang w:val="en-GB"/>
        </w:rPr>
        <w:t>8</w:t>
      </w:r>
      <w:r w:rsidRPr="7B767899" w:rsidR="75439775">
        <w:rPr>
          <w:rFonts w:ascii="Calibri" w:hAnsi="Calibri" w:eastAsia="Calibri" w:cs="Calibri"/>
          <w:noProof w:val="0"/>
          <w:color w:val="000000" w:themeColor="text1" w:themeTint="FF" w:themeShade="FF"/>
          <w:sz w:val="24"/>
          <w:szCs w:val="24"/>
          <w:lang w:val="en-GB"/>
        </w:rPr>
        <w:t>(4), p.104.</w:t>
      </w:r>
    </w:p>
    <w:p w:rsidR="75439775" w:rsidP="7B767899" w:rsidRDefault="75439775" w14:paraId="243A74F4" w14:textId="15F7F84F">
      <w:pPr>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Breitenbach, E., Brown, A., Mackay, F. and Webb, J., 2002. Introduction: The changing politics of gender equality. In </w:t>
      </w:r>
      <w:r w:rsidRPr="7B767899" w:rsidR="75439775">
        <w:rPr>
          <w:rFonts w:ascii="Calibri" w:hAnsi="Calibri" w:eastAsia="Calibri" w:cs="Calibri"/>
          <w:i w:val="1"/>
          <w:iCs w:val="1"/>
          <w:noProof w:val="0"/>
          <w:color w:val="000000" w:themeColor="text1" w:themeTint="FF" w:themeShade="FF"/>
          <w:sz w:val="24"/>
          <w:szCs w:val="24"/>
          <w:lang w:val="en-GB"/>
        </w:rPr>
        <w:t>The Changing Politics of Gender Equality in Britain</w:t>
      </w:r>
      <w:r w:rsidRPr="7B767899" w:rsidR="75439775">
        <w:rPr>
          <w:rFonts w:ascii="Calibri" w:hAnsi="Calibri" w:eastAsia="Calibri" w:cs="Calibri"/>
          <w:noProof w:val="0"/>
          <w:color w:val="000000" w:themeColor="text1" w:themeTint="FF" w:themeShade="FF"/>
          <w:sz w:val="24"/>
          <w:szCs w:val="24"/>
          <w:lang w:val="en-GB"/>
        </w:rPr>
        <w:t xml:space="preserve"> (pp. 1-19). London: Palgrave Macmillan UK.</w:t>
      </w:r>
    </w:p>
    <w:p w:rsidR="75439775" w:rsidP="7B767899" w:rsidRDefault="75439775" w14:paraId="63EC5D85" w14:textId="5E0E4444">
      <w:pPr>
        <w:spacing w:after="0"/>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Brown, J., 2017. Researching Equality: The Case of Women Police. In </w:t>
      </w:r>
      <w:r w:rsidRPr="7B767899" w:rsidR="75439775">
        <w:rPr>
          <w:rFonts w:ascii="Calibri" w:hAnsi="Calibri" w:eastAsia="Calibri" w:cs="Calibri"/>
          <w:i w:val="1"/>
          <w:iCs w:val="1"/>
          <w:noProof w:val="0"/>
          <w:color w:val="000000" w:themeColor="text1" w:themeTint="FF" w:themeShade="FF"/>
          <w:sz w:val="24"/>
          <w:szCs w:val="24"/>
          <w:lang w:val="en-GB"/>
        </w:rPr>
        <w:t>Criminal Justice Research: Inspiration Influence and Ideation</w:t>
      </w:r>
      <w:r w:rsidRPr="7B767899" w:rsidR="75439775">
        <w:rPr>
          <w:rFonts w:ascii="Calibri" w:hAnsi="Calibri" w:eastAsia="Calibri" w:cs="Calibri"/>
          <w:noProof w:val="0"/>
          <w:color w:val="000000" w:themeColor="text1" w:themeTint="FF" w:themeShade="FF"/>
          <w:sz w:val="24"/>
          <w:szCs w:val="24"/>
          <w:lang w:val="en-GB"/>
        </w:rPr>
        <w:t xml:space="preserve"> (pp. 79-97). Routledge. </w:t>
      </w:r>
    </w:p>
    <w:p w:rsidR="7B767899" w:rsidP="7B767899" w:rsidRDefault="7B767899" w14:paraId="19834250" w14:textId="7E4FAEA1">
      <w:pPr>
        <w:spacing w:after="0"/>
        <w:rPr>
          <w:rFonts w:ascii="Calibri" w:hAnsi="Calibri" w:eastAsia="Calibri" w:cs="Calibri"/>
          <w:noProof w:val="0"/>
          <w:color w:val="000000" w:themeColor="text1" w:themeTint="FF" w:themeShade="FF"/>
          <w:sz w:val="24"/>
          <w:szCs w:val="24"/>
          <w:lang w:val="en-US"/>
        </w:rPr>
      </w:pPr>
    </w:p>
    <w:p w:rsidR="75439775" w:rsidP="7B767899" w:rsidRDefault="75439775" w14:paraId="0F2BAE48" w14:textId="7668D389">
      <w:pPr>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Burman, M., Johnstone, J., de Haan, J. and Macleod, J., 2009. Responding to Gender-based Violence in Scotland: The Scope of the Gender Equality Duty to Drive Cultural and Practical Change.</w:t>
      </w:r>
    </w:p>
    <w:p w:rsidR="75439775" w:rsidP="7B767899" w:rsidRDefault="75439775" w14:paraId="7156152E" w14:textId="10353957">
      <w:pPr>
        <w:spacing w:after="0"/>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Cavero-Rubio, J.A., Collazo-Mazón, A. and Amorós-Martínez, A., 2019, September. Public recognition of gender equality in the workplace and its influence on firms' performance. In </w:t>
      </w:r>
      <w:r w:rsidRPr="7B767899" w:rsidR="75439775">
        <w:rPr>
          <w:rFonts w:ascii="Calibri" w:hAnsi="Calibri" w:eastAsia="Calibri" w:cs="Calibri"/>
          <w:i w:val="1"/>
          <w:iCs w:val="1"/>
          <w:noProof w:val="0"/>
          <w:color w:val="000000" w:themeColor="text1" w:themeTint="FF" w:themeShade="FF"/>
          <w:sz w:val="24"/>
          <w:szCs w:val="24"/>
          <w:lang w:val="en-GB"/>
        </w:rPr>
        <w:t>Women's studies international forum</w:t>
      </w:r>
      <w:r w:rsidRPr="7B767899" w:rsidR="75439775">
        <w:rPr>
          <w:rFonts w:ascii="Calibri" w:hAnsi="Calibri" w:eastAsia="Calibri" w:cs="Calibri"/>
          <w:noProof w:val="0"/>
          <w:color w:val="000000" w:themeColor="text1" w:themeTint="FF" w:themeShade="FF"/>
          <w:sz w:val="24"/>
          <w:szCs w:val="24"/>
          <w:lang w:val="en-GB"/>
        </w:rPr>
        <w:t xml:space="preserve"> (Vol. 76, p. 102273). Pergamon. </w:t>
      </w:r>
    </w:p>
    <w:p w:rsidR="7B767899" w:rsidP="7B767899" w:rsidRDefault="7B767899" w14:paraId="16012674" w14:textId="33EE58B6">
      <w:pPr>
        <w:spacing w:after="0"/>
        <w:rPr>
          <w:rFonts w:ascii="Calibri" w:hAnsi="Calibri" w:eastAsia="Calibri" w:cs="Calibri"/>
          <w:noProof w:val="0"/>
          <w:color w:val="000000" w:themeColor="text1" w:themeTint="FF" w:themeShade="FF"/>
          <w:sz w:val="24"/>
          <w:szCs w:val="24"/>
          <w:lang w:val="en-US"/>
        </w:rPr>
      </w:pPr>
    </w:p>
    <w:p w:rsidR="75439775" w:rsidP="7B767899" w:rsidRDefault="75439775" w14:paraId="6FA3DC8B" w14:textId="40E6DADC">
      <w:pPr>
        <w:spacing w:after="0"/>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Chen, D.H., 2004. Gender equality and economic development. </w:t>
      </w:r>
      <w:r w:rsidRPr="7B767899" w:rsidR="75439775">
        <w:rPr>
          <w:rFonts w:ascii="Calibri" w:hAnsi="Calibri" w:eastAsia="Calibri" w:cs="Calibri"/>
          <w:i w:val="1"/>
          <w:iCs w:val="1"/>
          <w:noProof w:val="0"/>
          <w:color w:val="000000" w:themeColor="text1" w:themeTint="FF" w:themeShade="FF"/>
          <w:sz w:val="24"/>
          <w:szCs w:val="24"/>
          <w:lang w:val="en-GB"/>
        </w:rPr>
        <w:t>World Bank policy research working paper</w:t>
      </w:r>
      <w:r w:rsidRPr="7B767899" w:rsidR="75439775">
        <w:rPr>
          <w:rFonts w:ascii="Calibri" w:hAnsi="Calibri" w:eastAsia="Calibri" w:cs="Calibri"/>
          <w:noProof w:val="0"/>
          <w:color w:val="000000" w:themeColor="text1" w:themeTint="FF" w:themeShade="FF"/>
          <w:sz w:val="24"/>
          <w:szCs w:val="24"/>
          <w:lang w:val="en-GB"/>
        </w:rPr>
        <w:t xml:space="preserve">, </w:t>
      </w:r>
      <w:r w:rsidRPr="7B767899" w:rsidR="75439775">
        <w:rPr>
          <w:rFonts w:ascii="Calibri" w:hAnsi="Calibri" w:eastAsia="Calibri" w:cs="Calibri"/>
          <w:i w:val="1"/>
          <w:iCs w:val="1"/>
          <w:noProof w:val="0"/>
          <w:color w:val="000000" w:themeColor="text1" w:themeTint="FF" w:themeShade="FF"/>
          <w:sz w:val="24"/>
          <w:szCs w:val="24"/>
          <w:lang w:val="en-GB"/>
        </w:rPr>
        <w:t>3285</w:t>
      </w:r>
      <w:r w:rsidRPr="7B767899" w:rsidR="75439775">
        <w:rPr>
          <w:rFonts w:ascii="Calibri" w:hAnsi="Calibri" w:eastAsia="Calibri" w:cs="Calibri"/>
          <w:noProof w:val="0"/>
          <w:color w:val="000000" w:themeColor="text1" w:themeTint="FF" w:themeShade="FF"/>
          <w:sz w:val="24"/>
          <w:szCs w:val="24"/>
          <w:lang w:val="en-GB"/>
        </w:rPr>
        <w:t xml:space="preserve">. </w:t>
      </w:r>
    </w:p>
    <w:p w:rsidR="75439775" w:rsidP="7B767899" w:rsidRDefault="75439775" w14:paraId="2CA7735F" w14:textId="35382D74">
      <w:pPr>
        <w:spacing w:after="0"/>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Cheung, A.K.L., 2021. Structured questionnaires. In </w:t>
      </w:r>
      <w:r w:rsidRPr="7B767899" w:rsidR="75439775">
        <w:rPr>
          <w:rFonts w:ascii="Calibri" w:hAnsi="Calibri" w:eastAsia="Calibri" w:cs="Calibri"/>
          <w:i w:val="1"/>
          <w:iCs w:val="1"/>
          <w:noProof w:val="0"/>
          <w:color w:val="000000" w:themeColor="text1" w:themeTint="FF" w:themeShade="FF"/>
          <w:sz w:val="24"/>
          <w:szCs w:val="24"/>
          <w:lang w:val="en-GB"/>
        </w:rPr>
        <w:t>Encyclopaedia of quality of life and well-being research</w:t>
      </w:r>
      <w:r w:rsidRPr="7B767899" w:rsidR="75439775">
        <w:rPr>
          <w:rFonts w:ascii="Calibri" w:hAnsi="Calibri" w:eastAsia="Calibri" w:cs="Calibri"/>
          <w:noProof w:val="0"/>
          <w:color w:val="000000" w:themeColor="text1" w:themeTint="FF" w:themeShade="FF"/>
          <w:sz w:val="24"/>
          <w:szCs w:val="24"/>
          <w:lang w:val="en-GB"/>
        </w:rPr>
        <w:t xml:space="preserve"> (pp. 1-3). Cham: Springer International Publishing. </w:t>
      </w:r>
    </w:p>
    <w:p w:rsidR="7B767899" w:rsidP="7B767899" w:rsidRDefault="7B767899" w14:paraId="1CA13E26" w14:textId="34D2D4FA">
      <w:pPr>
        <w:spacing w:after="0"/>
        <w:rPr>
          <w:rFonts w:ascii="Calibri" w:hAnsi="Calibri" w:eastAsia="Calibri" w:cs="Calibri"/>
          <w:noProof w:val="0"/>
          <w:color w:val="000000" w:themeColor="text1" w:themeTint="FF" w:themeShade="FF"/>
          <w:sz w:val="24"/>
          <w:szCs w:val="24"/>
          <w:lang w:val="en-US"/>
        </w:rPr>
      </w:pPr>
    </w:p>
    <w:p w:rsidR="75439775" w:rsidP="7B767899" w:rsidRDefault="75439775" w14:paraId="7B55E271" w14:textId="16D9ECD0">
      <w:pPr>
        <w:spacing w:after="0"/>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Chung, H., Birkett, H., Forbes, S. and Seo, H., 2021. Covid-19, flexible working, and implications for gender equality in the United Kingdom. </w:t>
      </w:r>
      <w:r w:rsidRPr="7B767899" w:rsidR="75439775">
        <w:rPr>
          <w:rFonts w:ascii="Calibri" w:hAnsi="Calibri" w:eastAsia="Calibri" w:cs="Calibri"/>
          <w:i w:val="1"/>
          <w:iCs w:val="1"/>
          <w:noProof w:val="0"/>
          <w:color w:val="000000" w:themeColor="text1" w:themeTint="FF" w:themeShade="FF"/>
          <w:sz w:val="24"/>
          <w:szCs w:val="24"/>
          <w:lang w:val="en-GB"/>
        </w:rPr>
        <w:t>Gender &amp; Society</w:t>
      </w:r>
      <w:r w:rsidRPr="7B767899" w:rsidR="75439775">
        <w:rPr>
          <w:rFonts w:ascii="Calibri" w:hAnsi="Calibri" w:eastAsia="Calibri" w:cs="Calibri"/>
          <w:noProof w:val="0"/>
          <w:color w:val="000000" w:themeColor="text1" w:themeTint="FF" w:themeShade="FF"/>
          <w:sz w:val="24"/>
          <w:szCs w:val="24"/>
          <w:lang w:val="en-GB"/>
        </w:rPr>
        <w:t xml:space="preserve">, </w:t>
      </w:r>
      <w:r w:rsidRPr="7B767899" w:rsidR="75439775">
        <w:rPr>
          <w:rFonts w:ascii="Calibri" w:hAnsi="Calibri" w:eastAsia="Calibri" w:cs="Calibri"/>
          <w:i w:val="1"/>
          <w:iCs w:val="1"/>
          <w:noProof w:val="0"/>
          <w:color w:val="000000" w:themeColor="text1" w:themeTint="FF" w:themeShade="FF"/>
          <w:sz w:val="24"/>
          <w:szCs w:val="24"/>
          <w:lang w:val="en-GB"/>
        </w:rPr>
        <w:t>35</w:t>
      </w:r>
      <w:r w:rsidRPr="7B767899" w:rsidR="75439775">
        <w:rPr>
          <w:rFonts w:ascii="Calibri" w:hAnsi="Calibri" w:eastAsia="Calibri" w:cs="Calibri"/>
          <w:noProof w:val="0"/>
          <w:color w:val="000000" w:themeColor="text1" w:themeTint="FF" w:themeShade="FF"/>
          <w:sz w:val="24"/>
          <w:szCs w:val="24"/>
          <w:lang w:val="en-GB"/>
        </w:rPr>
        <w:t xml:space="preserve">(2), pp.218-232. </w:t>
      </w:r>
    </w:p>
    <w:p w:rsidR="7B767899" w:rsidP="7B767899" w:rsidRDefault="7B767899" w14:paraId="33087460" w14:textId="2F0121A2">
      <w:pPr>
        <w:spacing w:after="0"/>
        <w:rPr>
          <w:rFonts w:ascii="Calibri" w:hAnsi="Calibri" w:eastAsia="Calibri" w:cs="Calibri"/>
          <w:noProof w:val="0"/>
          <w:color w:val="000000" w:themeColor="text1" w:themeTint="FF" w:themeShade="FF"/>
          <w:sz w:val="24"/>
          <w:szCs w:val="24"/>
          <w:lang w:val="en-US"/>
        </w:rPr>
      </w:pPr>
    </w:p>
    <w:p w:rsidR="75439775" w:rsidP="7B767899" w:rsidRDefault="75439775" w14:paraId="5D7C7A23" w14:textId="2A1B39B0">
      <w:pPr>
        <w:rPr>
          <w:rFonts w:ascii="Calibri" w:hAnsi="Calibri" w:eastAsia="Calibri" w:cs="Calibri"/>
          <w:noProof w:val="0"/>
          <w:color w:val="000000" w:themeColor="text1" w:themeTint="FF" w:themeShade="FF"/>
          <w:sz w:val="24"/>
          <w:szCs w:val="24"/>
          <w:lang w:val="en-US"/>
        </w:rPr>
      </w:pPr>
      <w:r w:rsidRPr="7B767899" w:rsidR="75439775">
        <w:rPr>
          <w:rFonts w:ascii="Calibri" w:hAnsi="Calibri" w:eastAsia="Calibri" w:cs="Calibri"/>
          <w:noProof w:val="0"/>
          <w:color w:val="000000" w:themeColor="text1" w:themeTint="FF" w:themeShade="FF"/>
          <w:sz w:val="24"/>
          <w:szCs w:val="24"/>
          <w:lang w:val="en-GB"/>
        </w:rPr>
        <w:t xml:space="preserve">Clinkinbeard, S.S. and Rief, R.M., 2022. Police reform needs women: Gender equity as cultural change. </w:t>
      </w:r>
      <w:r w:rsidRPr="7B767899" w:rsidR="75439775">
        <w:rPr>
          <w:rFonts w:ascii="Calibri" w:hAnsi="Calibri" w:eastAsia="Calibri" w:cs="Calibri"/>
          <w:i w:val="1"/>
          <w:iCs w:val="1"/>
          <w:noProof w:val="0"/>
          <w:color w:val="000000" w:themeColor="text1" w:themeTint="FF" w:themeShade="FF"/>
          <w:sz w:val="24"/>
          <w:szCs w:val="24"/>
          <w:lang w:val="en-GB"/>
        </w:rPr>
        <w:t>Rethinking and reforming American policing: Leadership challenges and future opportunities</w:t>
      </w:r>
      <w:r w:rsidRPr="7B767899" w:rsidR="75439775">
        <w:rPr>
          <w:rFonts w:ascii="Calibri" w:hAnsi="Calibri" w:eastAsia="Calibri" w:cs="Calibri"/>
          <w:noProof w:val="0"/>
          <w:color w:val="000000" w:themeColor="text1" w:themeTint="FF" w:themeShade="FF"/>
          <w:sz w:val="24"/>
          <w:szCs w:val="24"/>
          <w:lang w:val="en-GB"/>
        </w:rPr>
        <w:t>, pp.143-174.</w:t>
      </w:r>
    </w:p>
    <w:p w:rsidR="7B767899" w:rsidRDefault="7B767899" w14:paraId="40E00A46" w14:textId="214A7A1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9E783A"/>
    <w:rsid w:val="0497BD3E"/>
    <w:rsid w:val="4254C196"/>
    <w:rsid w:val="589E783A"/>
    <w:rsid w:val="6F85D06B"/>
    <w:rsid w:val="75439775"/>
    <w:rsid w:val="7B7678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E783A"/>
  <w15:chartTrackingRefBased/>
  <w15:docId w15:val="{0552AA18-0AFC-4B55-BBB8-681D30377E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2024-10-10T16:17:23.8644806Z</dcterms:created>
  <dcterms:modified xsi:type="dcterms:W3CDTF">2024-10-10T16:39:01.9274137Z</dcterms:modified>
  <dc:creator>Hari Cannon (2206703)</dc:creator>
  <lastModifiedBy>Hari Cannon (2206703)</lastModifiedBy>
</coreProperties>
</file>