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00F" w:rsidRDefault="003A000F" w:rsidP="003A000F">
      <w:pPr>
        <w:spacing w:after="240"/>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026220" cy="1514902"/>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034884" cy="1518162"/>
                    </a:xfrm>
                    <a:prstGeom prst="rect">
                      <a:avLst/>
                    </a:prstGeom>
                    <a:noFill/>
                    <a:ln w="9525">
                      <a:noFill/>
                      <a:miter lim="800000"/>
                      <a:headEnd/>
                      <a:tailEnd/>
                    </a:ln>
                  </pic:spPr>
                </pic:pic>
              </a:graphicData>
            </a:graphic>
          </wp:inline>
        </w:drawing>
      </w:r>
    </w:p>
    <w:p w:rsidR="003A000F" w:rsidRDefault="003A000F" w:rsidP="003A000F">
      <w:pPr>
        <w:spacing w:after="240"/>
        <w:jc w:val="both"/>
        <w:rPr>
          <w:rFonts w:ascii="Times New Roman" w:hAnsi="Times New Roman" w:cs="Times New Roman"/>
          <w:sz w:val="24"/>
          <w:szCs w:val="24"/>
        </w:rPr>
      </w:pPr>
    </w:p>
    <w:p w:rsidR="00425C51" w:rsidRDefault="00425C51" w:rsidP="003A000F">
      <w:pPr>
        <w:spacing w:after="240"/>
        <w:jc w:val="both"/>
        <w:rPr>
          <w:rFonts w:ascii="Times New Roman" w:hAnsi="Times New Roman" w:cs="Times New Roman"/>
          <w:sz w:val="24"/>
          <w:szCs w:val="24"/>
        </w:rPr>
      </w:pPr>
    </w:p>
    <w:p w:rsidR="00425C51" w:rsidRDefault="00425C51" w:rsidP="003A000F">
      <w:pPr>
        <w:spacing w:after="240"/>
        <w:jc w:val="both"/>
        <w:rPr>
          <w:rFonts w:ascii="Times New Roman" w:hAnsi="Times New Roman" w:cs="Times New Roman"/>
          <w:sz w:val="24"/>
          <w:szCs w:val="24"/>
        </w:rPr>
      </w:pPr>
    </w:p>
    <w:p w:rsidR="00425C51" w:rsidRDefault="00425C51" w:rsidP="003A000F">
      <w:pPr>
        <w:spacing w:after="240"/>
        <w:jc w:val="both"/>
        <w:rPr>
          <w:rFonts w:ascii="Times New Roman" w:hAnsi="Times New Roman" w:cs="Times New Roman"/>
          <w:sz w:val="24"/>
          <w:szCs w:val="24"/>
        </w:rPr>
      </w:pPr>
    </w:p>
    <w:p w:rsidR="00425C51" w:rsidRDefault="00425C51" w:rsidP="003A000F">
      <w:pPr>
        <w:spacing w:after="240"/>
        <w:jc w:val="both"/>
        <w:rPr>
          <w:rFonts w:ascii="Times New Roman" w:hAnsi="Times New Roman" w:cs="Times New Roman"/>
          <w:sz w:val="24"/>
          <w:szCs w:val="24"/>
        </w:rPr>
      </w:pPr>
    </w:p>
    <w:p w:rsidR="00425C51" w:rsidRPr="00475ADD" w:rsidRDefault="00425C51" w:rsidP="003A000F">
      <w:pPr>
        <w:spacing w:after="240"/>
        <w:jc w:val="both"/>
        <w:rPr>
          <w:rFonts w:ascii="Times New Roman" w:hAnsi="Times New Roman" w:cs="Times New Roman"/>
          <w:sz w:val="24"/>
          <w:szCs w:val="24"/>
        </w:rPr>
      </w:pPr>
    </w:p>
    <w:p w:rsidR="003A000F" w:rsidRPr="00425C51" w:rsidRDefault="003A000F" w:rsidP="00425C51">
      <w:pPr>
        <w:spacing w:after="240" w:line="360" w:lineRule="auto"/>
        <w:jc w:val="both"/>
        <w:rPr>
          <w:rFonts w:ascii="Arial" w:hAnsi="Arial" w:cs="Arial"/>
          <w:sz w:val="24"/>
          <w:szCs w:val="24"/>
        </w:rPr>
      </w:pPr>
      <w:r w:rsidRPr="00425C51">
        <w:rPr>
          <w:rFonts w:ascii="Arial" w:hAnsi="Arial" w:cs="Arial"/>
          <w:sz w:val="24"/>
          <w:szCs w:val="24"/>
        </w:rPr>
        <w:t>TERM 1 GROUP 2</w:t>
      </w:r>
      <w:bookmarkStart w:id="0" w:name="_GoBack"/>
      <w:bookmarkEnd w:id="0"/>
    </w:p>
    <w:p w:rsidR="003A000F" w:rsidRPr="00425C51" w:rsidRDefault="003A000F" w:rsidP="00425C51">
      <w:pPr>
        <w:spacing w:after="240" w:line="360" w:lineRule="auto"/>
        <w:jc w:val="both"/>
        <w:rPr>
          <w:rFonts w:ascii="Arial" w:hAnsi="Arial" w:cs="Arial"/>
          <w:sz w:val="24"/>
          <w:szCs w:val="24"/>
        </w:rPr>
      </w:pPr>
      <w:r w:rsidRPr="00425C51">
        <w:rPr>
          <w:rFonts w:ascii="Arial" w:hAnsi="Arial" w:cs="Arial"/>
          <w:sz w:val="24"/>
          <w:szCs w:val="24"/>
        </w:rPr>
        <w:t>STUDENT NAME: PAVEL BODUSHKI</w:t>
      </w:r>
    </w:p>
    <w:p w:rsidR="003A000F" w:rsidRPr="00425C51" w:rsidRDefault="003A000F" w:rsidP="00425C51">
      <w:pPr>
        <w:spacing w:after="240" w:line="360" w:lineRule="auto"/>
        <w:jc w:val="both"/>
        <w:rPr>
          <w:rFonts w:ascii="Arial" w:hAnsi="Arial" w:cs="Arial"/>
          <w:sz w:val="24"/>
          <w:szCs w:val="24"/>
        </w:rPr>
      </w:pPr>
      <w:r w:rsidRPr="00425C51">
        <w:rPr>
          <w:rFonts w:ascii="Arial" w:hAnsi="Arial" w:cs="Arial"/>
          <w:sz w:val="24"/>
          <w:szCs w:val="24"/>
        </w:rPr>
        <w:t>STUDENT NUMBER: 2023711</w:t>
      </w:r>
    </w:p>
    <w:p w:rsidR="003A000F" w:rsidRPr="00425C51" w:rsidRDefault="003A000F" w:rsidP="00425C51">
      <w:pPr>
        <w:spacing w:after="240" w:line="360" w:lineRule="auto"/>
        <w:jc w:val="both"/>
        <w:rPr>
          <w:rFonts w:ascii="Arial" w:hAnsi="Arial" w:cs="Arial"/>
          <w:sz w:val="24"/>
          <w:szCs w:val="24"/>
        </w:rPr>
      </w:pPr>
      <w:r w:rsidRPr="00425C51">
        <w:rPr>
          <w:rFonts w:ascii="Arial" w:hAnsi="Arial" w:cs="Arial"/>
          <w:sz w:val="24"/>
          <w:szCs w:val="24"/>
        </w:rPr>
        <w:t xml:space="preserve">MODULE NAME: </w:t>
      </w:r>
      <w:r w:rsidR="00425C51" w:rsidRPr="00425C51">
        <w:rPr>
          <w:rFonts w:ascii="Arial" w:hAnsi="Arial" w:cs="Arial"/>
          <w:sz w:val="24"/>
          <w:szCs w:val="24"/>
        </w:rPr>
        <w:t xml:space="preserve">MANAGING PEOPLE ASSESSMENT 2 </w:t>
      </w:r>
    </w:p>
    <w:p w:rsidR="003A000F" w:rsidRPr="00425C51" w:rsidRDefault="00425C51" w:rsidP="00425C51">
      <w:pPr>
        <w:spacing w:after="240" w:line="360" w:lineRule="auto"/>
        <w:jc w:val="both"/>
        <w:rPr>
          <w:rFonts w:ascii="Arial" w:hAnsi="Arial" w:cs="Arial"/>
          <w:sz w:val="24"/>
          <w:szCs w:val="24"/>
          <w:lang w:val="en-US"/>
        </w:rPr>
      </w:pPr>
      <w:r w:rsidRPr="00425C51">
        <w:rPr>
          <w:rFonts w:ascii="Arial" w:hAnsi="Arial" w:cs="Arial"/>
          <w:sz w:val="24"/>
          <w:szCs w:val="24"/>
        </w:rPr>
        <w:t>MODULE CODE: LCBB5004</w:t>
      </w:r>
    </w:p>
    <w:p w:rsidR="003A000F" w:rsidRPr="00425C51" w:rsidRDefault="003A000F" w:rsidP="00425C51">
      <w:pPr>
        <w:spacing w:after="240" w:line="360" w:lineRule="auto"/>
        <w:jc w:val="both"/>
        <w:rPr>
          <w:rFonts w:ascii="Arial" w:hAnsi="Arial" w:cs="Arial"/>
          <w:sz w:val="24"/>
          <w:szCs w:val="24"/>
        </w:rPr>
      </w:pPr>
      <w:r w:rsidRPr="00425C51">
        <w:rPr>
          <w:rFonts w:ascii="Arial" w:hAnsi="Arial" w:cs="Arial"/>
          <w:sz w:val="24"/>
          <w:szCs w:val="24"/>
        </w:rPr>
        <w:t xml:space="preserve">NAME OF LECTURER: </w:t>
      </w:r>
      <w:r w:rsidR="004F28C3">
        <w:rPr>
          <w:rFonts w:ascii="Arial" w:hAnsi="Arial" w:cs="Arial"/>
          <w:sz w:val="24"/>
          <w:szCs w:val="24"/>
        </w:rPr>
        <w:t>NISHI RAMSURRUN</w:t>
      </w:r>
    </w:p>
    <w:p w:rsidR="003A000F" w:rsidRPr="00425C51" w:rsidRDefault="003A000F" w:rsidP="00425C51">
      <w:pPr>
        <w:spacing w:after="240" w:line="360" w:lineRule="auto"/>
        <w:jc w:val="both"/>
        <w:rPr>
          <w:rFonts w:ascii="Arial" w:hAnsi="Arial" w:cs="Arial"/>
          <w:sz w:val="24"/>
          <w:szCs w:val="24"/>
        </w:rPr>
      </w:pPr>
      <w:r w:rsidRPr="00425C51">
        <w:rPr>
          <w:rFonts w:ascii="Arial" w:hAnsi="Arial" w:cs="Arial"/>
          <w:sz w:val="24"/>
          <w:szCs w:val="24"/>
        </w:rPr>
        <w:t>WORD COUNT: 2,</w:t>
      </w:r>
      <w:r w:rsidR="00AC7278">
        <w:rPr>
          <w:rFonts w:ascii="Arial" w:hAnsi="Arial" w:cs="Arial"/>
          <w:sz w:val="24"/>
          <w:szCs w:val="24"/>
        </w:rPr>
        <w:t>200</w:t>
      </w:r>
    </w:p>
    <w:p w:rsidR="003A000F" w:rsidRPr="00425C51" w:rsidRDefault="003A000F" w:rsidP="00425C51">
      <w:pPr>
        <w:spacing w:after="240" w:line="360" w:lineRule="auto"/>
        <w:jc w:val="both"/>
        <w:rPr>
          <w:rFonts w:ascii="Arial" w:hAnsi="Arial" w:cs="Arial"/>
          <w:sz w:val="24"/>
          <w:szCs w:val="24"/>
        </w:rPr>
      </w:pPr>
      <w:r w:rsidRPr="00425C51">
        <w:rPr>
          <w:rFonts w:ascii="Arial" w:hAnsi="Arial" w:cs="Arial"/>
          <w:sz w:val="24"/>
          <w:szCs w:val="24"/>
        </w:rPr>
        <w:t xml:space="preserve">SUBMISSION DATE: </w:t>
      </w:r>
      <w:r w:rsidR="008712F1">
        <w:rPr>
          <w:rFonts w:ascii="Arial" w:hAnsi="Arial" w:cs="Arial"/>
          <w:sz w:val="24"/>
          <w:szCs w:val="24"/>
        </w:rPr>
        <w:t>5.5.2022</w:t>
      </w: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sdt>
      <w:sdtPr>
        <w:rPr>
          <w:rFonts w:asciiTheme="minorHAnsi" w:eastAsiaTheme="minorHAnsi" w:hAnsiTheme="minorHAnsi" w:cstheme="minorBidi"/>
          <w:b w:val="0"/>
          <w:bCs w:val="0"/>
          <w:color w:val="auto"/>
          <w:sz w:val="22"/>
          <w:szCs w:val="22"/>
          <w:lang w:val="en-GB"/>
        </w:rPr>
        <w:id w:val="1644779470"/>
        <w:docPartObj>
          <w:docPartGallery w:val="Table of Contents"/>
          <w:docPartUnique/>
        </w:docPartObj>
      </w:sdtPr>
      <w:sdtEndPr/>
      <w:sdtContent>
        <w:p w:rsidR="003A000F" w:rsidRPr="003A000F" w:rsidRDefault="003A000F" w:rsidP="003A000F">
          <w:pPr>
            <w:pStyle w:val="TOCHeading"/>
            <w:spacing w:line="480" w:lineRule="auto"/>
            <w:jc w:val="both"/>
            <w:rPr>
              <w:rFonts w:ascii="Arial" w:hAnsi="Arial" w:cs="Arial"/>
            </w:rPr>
          </w:pPr>
          <w:r w:rsidRPr="003A000F">
            <w:rPr>
              <w:rFonts w:ascii="Arial" w:hAnsi="Arial" w:cs="Arial"/>
            </w:rPr>
            <w:t>Table of Contents</w:t>
          </w:r>
        </w:p>
        <w:p w:rsidR="003A000F" w:rsidRPr="003A000F" w:rsidRDefault="00C20ECA" w:rsidP="003A000F">
          <w:pPr>
            <w:pStyle w:val="TOC1"/>
            <w:tabs>
              <w:tab w:val="right" w:leader="dot" w:pos="8602"/>
            </w:tabs>
            <w:spacing w:line="480" w:lineRule="auto"/>
            <w:jc w:val="both"/>
            <w:rPr>
              <w:rFonts w:ascii="Arial" w:hAnsi="Arial" w:cs="Arial"/>
              <w:noProof/>
            </w:rPr>
          </w:pPr>
          <w:r w:rsidRPr="003A000F">
            <w:rPr>
              <w:rFonts w:ascii="Arial" w:hAnsi="Arial" w:cs="Arial"/>
            </w:rPr>
            <w:fldChar w:fldCharType="begin"/>
          </w:r>
          <w:r w:rsidR="003A000F" w:rsidRPr="003A000F">
            <w:rPr>
              <w:rFonts w:ascii="Arial" w:hAnsi="Arial" w:cs="Arial"/>
            </w:rPr>
            <w:instrText xml:space="preserve"> TOC \o "1-3" \h \z \u </w:instrText>
          </w:r>
          <w:r w:rsidRPr="003A000F">
            <w:rPr>
              <w:rFonts w:ascii="Arial" w:hAnsi="Arial" w:cs="Arial"/>
            </w:rPr>
            <w:fldChar w:fldCharType="separate"/>
          </w:r>
          <w:hyperlink w:anchor="_Toc102581500" w:history="1">
            <w:r w:rsidR="003A000F" w:rsidRPr="003A000F">
              <w:rPr>
                <w:rStyle w:val="Hyperlink"/>
                <w:rFonts w:ascii="Arial" w:hAnsi="Arial" w:cs="Arial"/>
                <w:noProof/>
              </w:rPr>
              <w:t>Introduction</w:t>
            </w:r>
            <w:r w:rsidR="003A000F" w:rsidRPr="003A000F">
              <w:rPr>
                <w:rFonts w:ascii="Arial" w:hAnsi="Arial" w:cs="Arial"/>
                <w:noProof/>
                <w:webHidden/>
              </w:rPr>
              <w:tab/>
            </w:r>
            <w:r w:rsidRPr="003A000F">
              <w:rPr>
                <w:rFonts w:ascii="Arial" w:hAnsi="Arial" w:cs="Arial"/>
                <w:noProof/>
                <w:webHidden/>
              </w:rPr>
              <w:fldChar w:fldCharType="begin"/>
            </w:r>
            <w:r w:rsidR="003A000F" w:rsidRPr="003A000F">
              <w:rPr>
                <w:rFonts w:ascii="Arial" w:hAnsi="Arial" w:cs="Arial"/>
                <w:noProof/>
                <w:webHidden/>
              </w:rPr>
              <w:instrText xml:space="preserve"> PAGEREF _Toc102581500 \h </w:instrText>
            </w:r>
            <w:r w:rsidRPr="003A000F">
              <w:rPr>
                <w:rFonts w:ascii="Arial" w:hAnsi="Arial" w:cs="Arial"/>
                <w:noProof/>
                <w:webHidden/>
              </w:rPr>
            </w:r>
            <w:r w:rsidRPr="003A000F">
              <w:rPr>
                <w:rFonts w:ascii="Arial" w:hAnsi="Arial" w:cs="Arial"/>
                <w:noProof/>
                <w:webHidden/>
              </w:rPr>
              <w:fldChar w:fldCharType="separate"/>
            </w:r>
            <w:r w:rsidR="00AC7278">
              <w:rPr>
                <w:rFonts w:ascii="Arial" w:hAnsi="Arial" w:cs="Arial"/>
                <w:noProof/>
                <w:webHidden/>
              </w:rPr>
              <w:t>3</w:t>
            </w:r>
            <w:r w:rsidRPr="003A000F">
              <w:rPr>
                <w:rFonts w:ascii="Arial" w:hAnsi="Arial" w:cs="Arial"/>
                <w:noProof/>
                <w:webHidden/>
              </w:rPr>
              <w:fldChar w:fldCharType="end"/>
            </w:r>
          </w:hyperlink>
        </w:p>
        <w:p w:rsidR="003A000F" w:rsidRPr="003A000F" w:rsidRDefault="005F77B3" w:rsidP="003A000F">
          <w:pPr>
            <w:pStyle w:val="TOC1"/>
            <w:tabs>
              <w:tab w:val="right" w:leader="dot" w:pos="8602"/>
            </w:tabs>
            <w:spacing w:line="480" w:lineRule="auto"/>
            <w:jc w:val="both"/>
            <w:rPr>
              <w:rFonts w:ascii="Arial" w:hAnsi="Arial" w:cs="Arial"/>
              <w:noProof/>
            </w:rPr>
          </w:pPr>
          <w:hyperlink w:anchor="_Toc102581501" w:history="1">
            <w:r w:rsidR="003A000F" w:rsidRPr="003A000F">
              <w:rPr>
                <w:rStyle w:val="Hyperlink"/>
                <w:rFonts w:ascii="Arial" w:hAnsi="Arial" w:cs="Arial"/>
                <w:noProof/>
              </w:rPr>
              <w:t>Employee engagement and impact on performance</w:t>
            </w:r>
            <w:r w:rsidR="003A000F" w:rsidRPr="003A000F">
              <w:rPr>
                <w:rFonts w:ascii="Arial" w:hAnsi="Arial" w:cs="Arial"/>
                <w:noProof/>
                <w:webHidden/>
              </w:rPr>
              <w:tab/>
            </w:r>
            <w:r w:rsidR="00C20ECA" w:rsidRPr="003A000F">
              <w:rPr>
                <w:rFonts w:ascii="Arial" w:hAnsi="Arial" w:cs="Arial"/>
                <w:noProof/>
                <w:webHidden/>
              </w:rPr>
              <w:fldChar w:fldCharType="begin"/>
            </w:r>
            <w:r w:rsidR="003A000F" w:rsidRPr="003A000F">
              <w:rPr>
                <w:rFonts w:ascii="Arial" w:hAnsi="Arial" w:cs="Arial"/>
                <w:noProof/>
                <w:webHidden/>
              </w:rPr>
              <w:instrText xml:space="preserve"> PAGEREF _Toc102581501 \h </w:instrText>
            </w:r>
            <w:r w:rsidR="00C20ECA" w:rsidRPr="003A000F">
              <w:rPr>
                <w:rFonts w:ascii="Arial" w:hAnsi="Arial" w:cs="Arial"/>
                <w:noProof/>
                <w:webHidden/>
              </w:rPr>
            </w:r>
            <w:r w:rsidR="00C20ECA" w:rsidRPr="003A000F">
              <w:rPr>
                <w:rFonts w:ascii="Arial" w:hAnsi="Arial" w:cs="Arial"/>
                <w:noProof/>
                <w:webHidden/>
              </w:rPr>
              <w:fldChar w:fldCharType="separate"/>
            </w:r>
            <w:r w:rsidR="00AC7278">
              <w:rPr>
                <w:rFonts w:ascii="Arial" w:hAnsi="Arial" w:cs="Arial"/>
                <w:noProof/>
                <w:webHidden/>
              </w:rPr>
              <w:t>3</w:t>
            </w:r>
            <w:r w:rsidR="00C20ECA" w:rsidRPr="003A000F">
              <w:rPr>
                <w:rFonts w:ascii="Arial" w:hAnsi="Arial" w:cs="Arial"/>
                <w:noProof/>
                <w:webHidden/>
              </w:rPr>
              <w:fldChar w:fldCharType="end"/>
            </w:r>
          </w:hyperlink>
        </w:p>
        <w:p w:rsidR="003A000F" w:rsidRPr="003A000F" w:rsidRDefault="005F77B3" w:rsidP="003A000F">
          <w:pPr>
            <w:pStyle w:val="TOC1"/>
            <w:tabs>
              <w:tab w:val="right" w:leader="dot" w:pos="8602"/>
            </w:tabs>
            <w:spacing w:line="480" w:lineRule="auto"/>
            <w:jc w:val="both"/>
            <w:rPr>
              <w:rFonts w:ascii="Arial" w:hAnsi="Arial" w:cs="Arial"/>
              <w:noProof/>
            </w:rPr>
          </w:pPr>
          <w:hyperlink w:anchor="_Toc102581502" w:history="1">
            <w:r w:rsidR="003A000F" w:rsidRPr="003A000F">
              <w:rPr>
                <w:rStyle w:val="Hyperlink"/>
                <w:rFonts w:ascii="Arial" w:hAnsi="Arial" w:cs="Arial"/>
                <w:noProof/>
              </w:rPr>
              <w:t>Drivers of engagement</w:t>
            </w:r>
            <w:r w:rsidR="003A000F" w:rsidRPr="003A000F">
              <w:rPr>
                <w:rFonts w:ascii="Arial" w:hAnsi="Arial" w:cs="Arial"/>
                <w:noProof/>
                <w:webHidden/>
              </w:rPr>
              <w:tab/>
            </w:r>
            <w:r w:rsidR="00C20ECA" w:rsidRPr="003A000F">
              <w:rPr>
                <w:rFonts w:ascii="Arial" w:hAnsi="Arial" w:cs="Arial"/>
                <w:noProof/>
                <w:webHidden/>
              </w:rPr>
              <w:fldChar w:fldCharType="begin"/>
            </w:r>
            <w:r w:rsidR="003A000F" w:rsidRPr="003A000F">
              <w:rPr>
                <w:rFonts w:ascii="Arial" w:hAnsi="Arial" w:cs="Arial"/>
                <w:noProof/>
                <w:webHidden/>
              </w:rPr>
              <w:instrText xml:space="preserve"> PAGEREF _Toc102581502 \h </w:instrText>
            </w:r>
            <w:r w:rsidR="00C20ECA" w:rsidRPr="003A000F">
              <w:rPr>
                <w:rFonts w:ascii="Arial" w:hAnsi="Arial" w:cs="Arial"/>
                <w:noProof/>
                <w:webHidden/>
              </w:rPr>
            </w:r>
            <w:r w:rsidR="00C20ECA" w:rsidRPr="003A000F">
              <w:rPr>
                <w:rFonts w:ascii="Arial" w:hAnsi="Arial" w:cs="Arial"/>
                <w:noProof/>
                <w:webHidden/>
              </w:rPr>
              <w:fldChar w:fldCharType="separate"/>
            </w:r>
            <w:r w:rsidR="00AC7278">
              <w:rPr>
                <w:rFonts w:ascii="Arial" w:hAnsi="Arial" w:cs="Arial"/>
                <w:noProof/>
                <w:webHidden/>
              </w:rPr>
              <w:t>4</w:t>
            </w:r>
            <w:r w:rsidR="00C20ECA" w:rsidRPr="003A000F">
              <w:rPr>
                <w:rFonts w:ascii="Arial" w:hAnsi="Arial" w:cs="Arial"/>
                <w:noProof/>
                <w:webHidden/>
              </w:rPr>
              <w:fldChar w:fldCharType="end"/>
            </w:r>
          </w:hyperlink>
        </w:p>
        <w:p w:rsidR="003A000F" w:rsidRPr="003A000F" w:rsidRDefault="005F77B3" w:rsidP="003A000F">
          <w:pPr>
            <w:pStyle w:val="TOC1"/>
            <w:tabs>
              <w:tab w:val="right" w:leader="dot" w:pos="8602"/>
            </w:tabs>
            <w:spacing w:line="480" w:lineRule="auto"/>
            <w:jc w:val="both"/>
            <w:rPr>
              <w:rFonts w:ascii="Arial" w:hAnsi="Arial" w:cs="Arial"/>
              <w:noProof/>
            </w:rPr>
          </w:pPr>
          <w:hyperlink w:anchor="_Toc102581503" w:history="1">
            <w:r w:rsidR="003A000F" w:rsidRPr="003A000F">
              <w:rPr>
                <w:rStyle w:val="Hyperlink"/>
                <w:rFonts w:ascii="Arial" w:hAnsi="Arial" w:cs="Arial"/>
                <w:noProof/>
              </w:rPr>
              <w:t>Diagnostic tools for engagement measurement</w:t>
            </w:r>
            <w:r w:rsidR="003A000F" w:rsidRPr="003A000F">
              <w:rPr>
                <w:rFonts w:ascii="Arial" w:hAnsi="Arial" w:cs="Arial"/>
                <w:noProof/>
                <w:webHidden/>
              </w:rPr>
              <w:tab/>
            </w:r>
            <w:r w:rsidR="00C20ECA" w:rsidRPr="003A000F">
              <w:rPr>
                <w:rFonts w:ascii="Arial" w:hAnsi="Arial" w:cs="Arial"/>
                <w:noProof/>
                <w:webHidden/>
              </w:rPr>
              <w:fldChar w:fldCharType="begin"/>
            </w:r>
            <w:r w:rsidR="003A000F" w:rsidRPr="003A000F">
              <w:rPr>
                <w:rFonts w:ascii="Arial" w:hAnsi="Arial" w:cs="Arial"/>
                <w:noProof/>
                <w:webHidden/>
              </w:rPr>
              <w:instrText xml:space="preserve"> PAGEREF _Toc102581503 \h </w:instrText>
            </w:r>
            <w:r w:rsidR="00C20ECA" w:rsidRPr="003A000F">
              <w:rPr>
                <w:rFonts w:ascii="Arial" w:hAnsi="Arial" w:cs="Arial"/>
                <w:noProof/>
                <w:webHidden/>
              </w:rPr>
            </w:r>
            <w:r w:rsidR="00C20ECA" w:rsidRPr="003A000F">
              <w:rPr>
                <w:rFonts w:ascii="Arial" w:hAnsi="Arial" w:cs="Arial"/>
                <w:noProof/>
                <w:webHidden/>
              </w:rPr>
              <w:fldChar w:fldCharType="separate"/>
            </w:r>
            <w:r w:rsidR="00AC7278">
              <w:rPr>
                <w:rFonts w:ascii="Arial" w:hAnsi="Arial" w:cs="Arial"/>
                <w:noProof/>
                <w:webHidden/>
              </w:rPr>
              <w:t>7</w:t>
            </w:r>
            <w:r w:rsidR="00C20ECA" w:rsidRPr="003A000F">
              <w:rPr>
                <w:rFonts w:ascii="Arial" w:hAnsi="Arial" w:cs="Arial"/>
                <w:noProof/>
                <w:webHidden/>
              </w:rPr>
              <w:fldChar w:fldCharType="end"/>
            </w:r>
          </w:hyperlink>
        </w:p>
        <w:p w:rsidR="003A000F" w:rsidRPr="003A000F" w:rsidRDefault="005F77B3" w:rsidP="003A000F">
          <w:pPr>
            <w:pStyle w:val="TOC1"/>
            <w:tabs>
              <w:tab w:val="right" w:leader="dot" w:pos="8602"/>
            </w:tabs>
            <w:spacing w:line="480" w:lineRule="auto"/>
            <w:jc w:val="both"/>
            <w:rPr>
              <w:rFonts w:ascii="Arial" w:hAnsi="Arial" w:cs="Arial"/>
              <w:noProof/>
            </w:rPr>
          </w:pPr>
          <w:hyperlink w:anchor="_Toc102581504" w:history="1">
            <w:r w:rsidR="003A000F" w:rsidRPr="003A000F">
              <w:rPr>
                <w:rStyle w:val="Hyperlink"/>
                <w:rFonts w:ascii="Arial" w:hAnsi="Arial" w:cs="Arial"/>
                <w:noProof/>
              </w:rPr>
              <w:t>Strategies to raise engagement</w:t>
            </w:r>
            <w:r w:rsidR="003A000F" w:rsidRPr="003A000F">
              <w:rPr>
                <w:rFonts w:ascii="Arial" w:hAnsi="Arial" w:cs="Arial"/>
                <w:noProof/>
                <w:webHidden/>
              </w:rPr>
              <w:tab/>
            </w:r>
            <w:r w:rsidR="00C20ECA" w:rsidRPr="003A000F">
              <w:rPr>
                <w:rFonts w:ascii="Arial" w:hAnsi="Arial" w:cs="Arial"/>
                <w:noProof/>
                <w:webHidden/>
              </w:rPr>
              <w:fldChar w:fldCharType="begin"/>
            </w:r>
            <w:r w:rsidR="003A000F" w:rsidRPr="003A000F">
              <w:rPr>
                <w:rFonts w:ascii="Arial" w:hAnsi="Arial" w:cs="Arial"/>
                <w:noProof/>
                <w:webHidden/>
              </w:rPr>
              <w:instrText xml:space="preserve"> PAGEREF _Toc102581504 \h </w:instrText>
            </w:r>
            <w:r w:rsidR="00C20ECA" w:rsidRPr="003A000F">
              <w:rPr>
                <w:rFonts w:ascii="Arial" w:hAnsi="Arial" w:cs="Arial"/>
                <w:noProof/>
                <w:webHidden/>
              </w:rPr>
            </w:r>
            <w:r w:rsidR="00C20ECA" w:rsidRPr="003A000F">
              <w:rPr>
                <w:rFonts w:ascii="Arial" w:hAnsi="Arial" w:cs="Arial"/>
                <w:noProof/>
                <w:webHidden/>
              </w:rPr>
              <w:fldChar w:fldCharType="separate"/>
            </w:r>
            <w:r w:rsidR="00AC7278">
              <w:rPr>
                <w:rFonts w:ascii="Arial" w:hAnsi="Arial" w:cs="Arial"/>
                <w:noProof/>
                <w:webHidden/>
              </w:rPr>
              <w:t>9</w:t>
            </w:r>
            <w:r w:rsidR="00C20ECA" w:rsidRPr="003A000F">
              <w:rPr>
                <w:rFonts w:ascii="Arial" w:hAnsi="Arial" w:cs="Arial"/>
                <w:noProof/>
                <w:webHidden/>
              </w:rPr>
              <w:fldChar w:fldCharType="end"/>
            </w:r>
          </w:hyperlink>
        </w:p>
        <w:p w:rsidR="003A000F" w:rsidRPr="003A000F" w:rsidRDefault="005F77B3" w:rsidP="003A000F">
          <w:pPr>
            <w:pStyle w:val="TOC1"/>
            <w:tabs>
              <w:tab w:val="right" w:leader="dot" w:pos="8602"/>
            </w:tabs>
            <w:spacing w:line="480" w:lineRule="auto"/>
            <w:jc w:val="both"/>
            <w:rPr>
              <w:rFonts w:ascii="Arial" w:hAnsi="Arial" w:cs="Arial"/>
              <w:noProof/>
            </w:rPr>
          </w:pPr>
          <w:hyperlink w:anchor="_Toc102581505" w:history="1">
            <w:r w:rsidR="003A000F" w:rsidRPr="003A000F">
              <w:rPr>
                <w:rStyle w:val="Hyperlink"/>
                <w:rFonts w:ascii="Arial" w:hAnsi="Arial" w:cs="Arial"/>
                <w:noProof/>
              </w:rPr>
              <w:t>Conclusions</w:t>
            </w:r>
            <w:r w:rsidR="003A000F" w:rsidRPr="003A000F">
              <w:rPr>
                <w:rFonts w:ascii="Arial" w:hAnsi="Arial" w:cs="Arial"/>
                <w:noProof/>
                <w:webHidden/>
              </w:rPr>
              <w:tab/>
            </w:r>
            <w:r w:rsidR="00C20ECA" w:rsidRPr="003A000F">
              <w:rPr>
                <w:rFonts w:ascii="Arial" w:hAnsi="Arial" w:cs="Arial"/>
                <w:noProof/>
                <w:webHidden/>
              </w:rPr>
              <w:fldChar w:fldCharType="begin"/>
            </w:r>
            <w:r w:rsidR="003A000F" w:rsidRPr="003A000F">
              <w:rPr>
                <w:rFonts w:ascii="Arial" w:hAnsi="Arial" w:cs="Arial"/>
                <w:noProof/>
                <w:webHidden/>
              </w:rPr>
              <w:instrText xml:space="preserve"> PAGEREF _Toc102581505 \h </w:instrText>
            </w:r>
            <w:r w:rsidR="00C20ECA" w:rsidRPr="003A000F">
              <w:rPr>
                <w:rFonts w:ascii="Arial" w:hAnsi="Arial" w:cs="Arial"/>
                <w:noProof/>
                <w:webHidden/>
              </w:rPr>
            </w:r>
            <w:r w:rsidR="00C20ECA" w:rsidRPr="003A000F">
              <w:rPr>
                <w:rFonts w:ascii="Arial" w:hAnsi="Arial" w:cs="Arial"/>
                <w:noProof/>
                <w:webHidden/>
              </w:rPr>
              <w:fldChar w:fldCharType="separate"/>
            </w:r>
            <w:r w:rsidR="00AC7278">
              <w:rPr>
                <w:rFonts w:ascii="Arial" w:hAnsi="Arial" w:cs="Arial"/>
                <w:noProof/>
                <w:webHidden/>
              </w:rPr>
              <w:t>10</w:t>
            </w:r>
            <w:r w:rsidR="00C20ECA" w:rsidRPr="003A000F">
              <w:rPr>
                <w:rFonts w:ascii="Arial" w:hAnsi="Arial" w:cs="Arial"/>
                <w:noProof/>
                <w:webHidden/>
              </w:rPr>
              <w:fldChar w:fldCharType="end"/>
            </w:r>
          </w:hyperlink>
        </w:p>
        <w:p w:rsidR="003A000F" w:rsidRPr="003A000F" w:rsidRDefault="005F77B3" w:rsidP="003A000F">
          <w:pPr>
            <w:pStyle w:val="TOC1"/>
            <w:tabs>
              <w:tab w:val="right" w:leader="dot" w:pos="8602"/>
            </w:tabs>
            <w:spacing w:line="480" w:lineRule="auto"/>
            <w:jc w:val="both"/>
            <w:rPr>
              <w:rFonts w:ascii="Arial" w:hAnsi="Arial" w:cs="Arial"/>
              <w:noProof/>
            </w:rPr>
          </w:pPr>
          <w:hyperlink w:anchor="_Toc102581506" w:history="1">
            <w:r w:rsidR="003A000F" w:rsidRPr="003A000F">
              <w:rPr>
                <w:rStyle w:val="Hyperlink"/>
                <w:rFonts w:ascii="Arial" w:hAnsi="Arial" w:cs="Arial"/>
                <w:noProof/>
              </w:rPr>
              <w:t>Reference list</w:t>
            </w:r>
            <w:r w:rsidR="003A000F" w:rsidRPr="003A000F">
              <w:rPr>
                <w:rFonts w:ascii="Arial" w:hAnsi="Arial" w:cs="Arial"/>
                <w:noProof/>
                <w:webHidden/>
              </w:rPr>
              <w:tab/>
            </w:r>
            <w:r w:rsidR="00C20ECA" w:rsidRPr="003A000F">
              <w:rPr>
                <w:rFonts w:ascii="Arial" w:hAnsi="Arial" w:cs="Arial"/>
                <w:noProof/>
                <w:webHidden/>
              </w:rPr>
              <w:fldChar w:fldCharType="begin"/>
            </w:r>
            <w:r w:rsidR="003A000F" w:rsidRPr="003A000F">
              <w:rPr>
                <w:rFonts w:ascii="Arial" w:hAnsi="Arial" w:cs="Arial"/>
                <w:noProof/>
                <w:webHidden/>
              </w:rPr>
              <w:instrText xml:space="preserve"> PAGEREF _Toc102581506 \h </w:instrText>
            </w:r>
            <w:r w:rsidR="00C20ECA" w:rsidRPr="003A000F">
              <w:rPr>
                <w:rFonts w:ascii="Arial" w:hAnsi="Arial" w:cs="Arial"/>
                <w:noProof/>
                <w:webHidden/>
              </w:rPr>
            </w:r>
            <w:r w:rsidR="00C20ECA" w:rsidRPr="003A000F">
              <w:rPr>
                <w:rFonts w:ascii="Arial" w:hAnsi="Arial" w:cs="Arial"/>
                <w:noProof/>
                <w:webHidden/>
              </w:rPr>
              <w:fldChar w:fldCharType="separate"/>
            </w:r>
            <w:r w:rsidR="00AC7278">
              <w:rPr>
                <w:rFonts w:ascii="Arial" w:hAnsi="Arial" w:cs="Arial"/>
                <w:noProof/>
                <w:webHidden/>
              </w:rPr>
              <w:t>11</w:t>
            </w:r>
            <w:r w:rsidR="00C20ECA" w:rsidRPr="003A000F">
              <w:rPr>
                <w:rFonts w:ascii="Arial" w:hAnsi="Arial" w:cs="Arial"/>
                <w:noProof/>
                <w:webHidden/>
              </w:rPr>
              <w:fldChar w:fldCharType="end"/>
            </w:r>
          </w:hyperlink>
        </w:p>
        <w:p w:rsidR="003A000F" w:rsidRDefault="00C20ECA" w:rsidP="003A000F">
          <w:pPr>
            <w:spacing w:line="480" w:lineRule="auto"/>
            <w:jc w:val="both"/>
          </w:pPr>
          <w:r w:rsidRPr="003A000F">
            <w:rPr>
              <w:rFonts w:ascii="Arial" w:hAnsi="Arial" w:cs="Arial"/>
            </w:rPr>
            <w:fldChar w:fldCharType="end"/>
          </w:r>
        </w:p>
      </w:sdtContent>
    </w:sdt>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414C17" w:rsidRDefault="00414C17" w:rsidP="00414C17">
      <w:pPr>
        <w:spacing w:line="360" w:lineRule="auto"/>
        <w:jc w:val="both"/>
        <w:rPr>
          <w:b/>
          <w:sz w:val="24"/>
          <w:szCs w:val="24"/>
          <w:lang w:val="en-US"/>
        </w:rPr>
      </w:pPr>
    </w:p>
    <w:p w:rsidR="0037790D" w:rsidRPr="00414C17" w:rsidRDefault="00256927" w:rsidP="00414C17">
      <w:pPr>
        <w:pStyle w:val="Heading1"/>
      </w:pPr>
      <w:bookmarkStart w:id="1" w:name="_Toc102581500"/>
      <w:r w:rsidRPr="00414C17">
        <w:lastRenderedPageBreak/>
        <w:t>Introduction</w:t>
      </w:r>
      <w:bookmarkEnd w:id="1"/>
      <w:r w:rsidRPr="00414C17">
        <w:t xml:space="preserve"> </w:t>
      </w:r>
    </w:p>
    <w:p w:rsidR="00256927" w:rsidRPr="00414C17" w:rsidRDefault="006B5EBF" w:rsidP="00414C17">
      <w:pPr>
        <w:spacing w:line="360" w:lineRule="auto"/>
        <w:jc w:val="both"/>
        <w:rPr>
          <w:rFonts w:ascii="Arial" w:hAnsi="Arial" w:cs="Arial"/>
          <w:lang w:val="en-US"/>
        </w:rPr>
      </w:pPr>
      <w:r w:rsidRPr="00414C17">
        <w:rPr>
          <w:rFonts w:ascii="Arial" w:hAnsi="Arial" w:cs="Arial"/>
          <w:lang w:val="en-US"/>
        </w:rPr>
        <w:t xml:space="preserve">The report considers the role of employee engagement in determining the effectiveness of human resource management (HRM) policies and practices. The drivers and impact of employee engagement are discussed by incorporating theoretical knowledge, background information and specifics insights from the company under consideration – Asda. </w:t>
      </w:r>
      <w:r w:rsidR="00EE6E8D" w:rsidRPr="00414C17">
        <w:rPr>
          <w:rFonts w:ascii="Arial" w:hAnsi="Arial" w:cs="Arial"/>
          <w:lang w:val="en-US"/>
        </w:rPr>
        <w:t xml:space="preserve">The retailer employs more than 145,000 professionals with diverse roles and responsibilities and the quality of the HRM process is essential for serving more than 18 million customers per week in the best possible way (Asda, 2022a). Considering the size and importance of the HRM process, specific recommendations for improvements in the field of employee engagement are delivered on the basis of the evidence from Asda. </w:t>
      </w:r>
    </w:p>
    <w:p w:rsidR="00256927" w:rsidRPr="00414C17" w:rsidRDefault="00256927" w:rsidP="00414C17">
      <w:pPr>
        <w:pStyle w:val="Heading1"/>
        <w:spacing w:before="0"/>
      </w:pPr>
      <w:bookmarkStart w:id="2" w:name="_Toc102581501"/>
      <w:r w:rsidRPr="00414C17">
        <w:t>Employee engagement and impact on performance</w:t>
      </w:r>
      <w:bookmarkEnd w:id="2"/>
      <w:r w:rsidRPr="00414C17">
        <w:t xml:space="preserve"> </w:t>
      </w:r>
    </w:p>
    <w:p w:rsidR="006B5EBF" w:rsidRPr="00414C17" w:rsidRDefault="00E56D90" w:rsidP="00414C17">
      <w:pPr>
        <w:spacing w:after="240" w:line="360" w:lineRule="auto"/>
        <w:jc w:val="both"/>
        <w:rPr>
          <w:rFonts w:ascii="Arial" w:hAnsi="Arial" w:cs="Arial"/>
        </w:rPr>
      </w:pPr>
      <w:r w:rsidRPr="00414C17">
        <w:rPr>
          <w:rFonts w:ascii="Arial" w:hAnsi="Arial" w:cs="Arial"/>
        </w:rPr>
        <w:t xml:space="preserve">Employee engagement is a HRM concept measuring the commitment of workforce members to the organisation and its activities (Nikolic et al., 2019). Typically, employees with a high engagement level experience dedication, high productivity and willingness to be of help in challenging periods (Hook and Jenkins, 2019). In this light, engagement also has an emotional aspect, as employees are attached to the respective company and willing to invest efforts and time as a prerequisite for improved performance (Nikolic et al., 2019). </w:t>
      </w:r>
    </w:p>
    <w:p w:rsidR="006F55F8" w:rsidRPr="00414C17" w:rsidRDefault="00E56D90" w:rsidP="00414C17">
      <w:pPr>
        <w:spacing w:after="240" w:line="360" w:lineRule="auto"/>
        <w:jc w:val="both"/>
        <w:rPr>
          <w:rFonts w:ascii="Arial" w:hAnsi="Arial" w:cs="Arial"/>
        </w:rPr>
      </w:pPr>
      <w:r w:rsidRPr="00414C17">
        <w:rPr>
          <w:rFonts w:ascii="Arial" w:hAnsi="Arial" w:cs="Arial"/>
        </w:rPr>
        <w:t>The focus on achieving high levels of employee engagement is justified by the positive outcomes in the workplace. The report emphasises on several key benefits which are relevant in the case of Asda</w:t>
      </w:r>
      <w:r w:rsidR="00AC7278">
        <w:rPr>
          <w:rFonts w:ascii="Arial" w:hAnsi="Arial" w:cs="Arial"/>
        </w:rPr>
        <w:t xml:space="preserve"> (</w:t>
      </w:r>
      <w:r w:rsidRPr="00414C17">
        <w:rPr>
          <w:rFonts w:ascii="Arial" w:hAnsi="Arial" w:cs="Arial"/>
        </w:rPr>
        <w:t xml:space="preserve">Motyka (2018) </w:t>
      </w:r>
      <w:r w:rsidR="006F55F8" w:rsidRPr="00414C17">
        <w:rPr>
          <w:rFonts w:ascii="Arial" w:hAnsi="Arial" w:cs="Arial"/>
        </w:rPr>
        <w:t xml:space="preserve">suggests that high engagement of employees leads to improved commitment and productivity; thereby, supporting the accomplishment of different achievements, including improved revenue and market share. Martin (2021) explains that highly-engaged employees are on average 12% more productive than the rest. </w:t>
      </w:r>
    </w:p>
    <w:p w:rsidR="00E56D90" w:rsidRPr="00414C17" w:rsidRDefault="006F55F8" w:rsidP="00414C17">
      <w:pPr>
        <w:spacing w:after="240" w:line="360" w:lineRule="auto"/>
        <w:jc w:val="both"/>
        <w:rPr>
          <w:rFonts w:ascii="Arial" w:hAnsi="Arial" w:cs="Arial"/>
        </w:rPr>
      </w:pPr>
      <w:r w:rsidRPr="00414C17">
        <w:rPr>
          <w:rFonts w:ascii="Arial" w:hAnsi="Arial" w:cs="Arial"/>
        </w:rPr>
        <w:t xml:space="preserve">Moreover, employee engagement is also positively correlated with the levels of employee retention (Armstrong and Taylor, 2017). As a result of this, engagement is a key tool for keeping and motivating existing workforce members. This has a positive impact not only on performance, but also in terms of saving recruitment and training costs which worsen performance </w:t>
      </w:r>
      <w:r w:rsidR="00AC7278">
        <w:rPr>
          <w:rFonts w:ascii="Arial" w:hAnsi="Arial" w:cs="Arial"/>
        </w:rPr>
        <w:t>due to</w:t>
      </w:r>
      <w:r w:rsidRPr="00414C17">
        <w:rPr>
          <w:rFonts w:ascii="Arial" w:hAnsi="Arial" w:cs="Arial"/>
        </w:rPr>
        <w:t xml:space="preserve"> high employee turnover (Armstrong and Taylor, </w:t>
      </w:r>
      <w:r w:rsidRPr="00414C17">
        <w:rPr>
          <w:rFonts w:ascii="Arial" w:hAnsi="Arial" w:cs="Arial"/>
        </w:rPr>
        <w:lastRenderedPageBreak/>
        <w:t xml:space="preserve">2017). This may be quite important, as the average costs for recruiting and training range between $3,400 and $10,000 according to estimation by Martin (2021). </w:t>
      </w:r>
    </w:p>
    <w:p w:rsidR="006F55F8" w:rsidRPr="00414C17" w:rsidRDefault="006F55F8" w:rsidP="00414C17">
      <w:pPr>
        <w:spacing w:after="240" w:line="360" w:lineRule="auto"/>
        <w:jc w:val="both"/>
        <w:rPr>
          <w:rFonts w:ascii="Arial" w:hAnsi="Arial" w:cs="Arial"/>
        </w:rPr>
      </w:pPr>
      <w:r w:rsidRPr="00414C17">
        <w:rPr>
          <w:rFonts w:ascii="Arial" w:hAnsi="Arial" w:cs="Arial"/>
        </w:rPr>
        <w:t xml:space="preserve">In addition, employee engagement could also be a factor shaping the attitudes and behaviours of organisational members (Hook and Jenkins, 2019). </w:t>
      </w:r>
      <w:r w:rsidR="00745989">
        <w:rPr>
          <w:rFonts w:ascii="Arial" w:hAnsi="Arial" w:cs="Arial"/>
        </w:rPr>
        <w:t>The</w:t>
      </w:r>
      <w:r w:rsidRPr="00414C17">
        <w:rPr>
          <w:rFonts w:ascii="Arial" w:hAnsi="Arial" w:cs="Arial"/>
        </w:rPr>
        <w:t xml:space="preserve"> achievement of high engagement </w:t>
      </w:r>
      <w:r w:rsidR="00745989">
        <w:rPr>
          <w:rFonts w:ascii="Arial" w:hAnsi="Arial" w:cs="Arial"/>
        </w:rPr>
        <w:t>is</w:t>
      </w:r>
      <w:r w:rsidRPr="00414C17">
        <w:rPr>
          <w:rFonts w:ascii="Arial" w:hAnsi="Arial" w:cs="Arial"/>
        </w:rPr>
        <w:t xml:space="preserve"> seen as a key requirement for strengthening commitment of employees and their eagerness to deliver creative and innovative solutions as a part of a collaborative work-related environment (Armstrong and Taylor, 2017). </w:t>
      </w:r>
    </w:p>
    <w:p w:rsidR="00256927" w:rsidRPr="00414C17" w:rsidRDefault="00256927" w:rsidP="00414C17">
      <w:pPr>
        <w:pStyle w:val="Heading1"/>
        <w:spacing w:before="0"/>
      </w:pPr>
      <w:bookmarkStart w:id="3" w:name="_Toc102581502"/>
      <w:r w:rsidRPr="00414C17">
        <w:t>Drivers of engagement</w:t>
      </w:r>
      <w:bookmarkEnd w:id="3"/>
      <w:r w:rsidRPr="00414C17">
        <w:t xml:space="preserve"> </w:t>
      </w:r>
    </w:p>
    <w:p w:rsidR="000A047A" w:rsidRPr="00414C17" w:rsidRDefault="00751B09" w:rsidP="00414C17">
      <w:pPr>
        <w:spacing w:after="240" w:line="360" w:lineRule="auto"/>
        <w:jc w:val="both"/>
        <w:rPr>
          <w:rFonts w:ascii="Arial" w:hAnsi="Arial" w:cs="Arial"/>
          <w:bCs/>
          <w:lang w:val="en-US"/>
        </w:rPr>
      </w:pPr>
      <w:r w:rsidRPr="00414C17">
        <w:rPr>
          <w:rFonts w:ascii="Arial" w:hAnsi="Arial" w:cs="Arial"/>
        </w:rPr>
        <w:t xml:space="preserve">According to </w:t>
      </w:r>
      <w:r w:rsidRPr="00414C17">
        <w:rPr>
          <w:rFonts w:ascii="Arial" w:hAnsi="Arial" w:cs="Arial"/>
          <w:bCs/>
          <w:lang w:val="en-US"/>
        </w:rPr>
        <w:t xml:space="preserve">Torrington et al. (2014), employee engagement is a complex phenomenon which is influenced by different factors. Typically, engagement depends on a series of background factors, including type of organisations, workplace specifics, profiles of employees and others; therefore, it is important to deliver extensive and more personalised HRM in the field (Torrington et al., 2014). The sole focus on employee engagement per se may also be unproductive, if not leading to improved motivation and commitment in the workplace. </w:t>
      </w:r>
      <w:r w:rsidR="00917290" w:rsidRPr="00414C17">
        <w:rPr>
          <w:rFonts w:ascii="Arial" w:hAnsi="Arial" w:cs="Arial"/>
          <w:bCs/>
          <w:lang w:val="en-US"/>
        </w:rPr>
        <w:t xml:space="preserve">Hence, HRM specialists often focus on achieving specific improvements in motivation and well-being of employees as manifestations of effective engagement (Nikolic et al., 2019). Given these considerations, it can be suggested that engagement is primarily driven by the factors which also influence motivation and well-being. </w:t>
      </w:r>
    </w:p>
    <w:p w:rsidR="00917290" w:rsidRPr="00414C17" w:rsidRDefault="00917290" w:rsidP="00414C17">
      <w:pPr>
        <w:spacing w:after="240" w:line="360" w:lineRule="auto"/>
        <w:jc w:val="both"/>
        <w:rPr>
          <w:rFonts w:ascii="Arial" w:hAnsi="Arial" w:cs="Arial"/>
          <w:bCs/>
          <w:lang w:val="en-US"/>
        </w:rPr>
      </w:pPr>
      <w:r w:rsidRPr="00414C17">
        <w:rPr>
          <w:rFonts w:ascii="Arial" w:hAnsi="Arial" w:cs="Arial"/>
          <w:bCs/>
          <w:lang w:val="en-US"/>
        </w:rPr>
        <w:t>In this context, the Hierarchy of Needs by Maslow is used as a theoretical model explaining the drivers of motivation and well-being in the workplace which are also proxies of engagement. The model belongs to the group of content frameworks of motivation, as it identifies a series of factors determining the specific needs of employees (Torrington et al., 2014). There are five groups, which are organised in a hierarchical order, according to their priority (Armstrong and Taylor, 2019). These needs h</w:t>
      </w:r>
      <w:r w:rsidR="00AC7278">
        <w:rPr>
          <w:rFonts w:ascii="Arial" w:hAnsi="Arial" w:cs="Arial"/>
          <w:bCs/>
          <w:lang w:val="en-US"/>
        </w:rPr>
        <w:t>ave to be consistently addressed</w:t>
      </w:r>
      <w:r w:rsidRPr="00414C17">
        <w:rPr>
          <w:rFonts w:ascii="Arial" w:hAnsi="Arial" w:cs="Arial"/>
          <w:bCs/>
          <w:lang w:val="en-US"/>
        </w:rPr>
        <w:t xml:space="preserve"> because progress to the top of the pyramid is impossible, if having any performance gaps. The </w:t>
      </w:r>
      <w:r w:rsidR="00AC7278">
        <w:rPr>
          <w:rFonts w:ascii="Arial" w:hAnsi="Arial" w:cs="Arial"/>
          <w:bCs/>
          <w:lang w:val="en-US"/>
        </w:rPr>
        <w:t>optimal</w:t>
      </w:r>
      <w:r w:rsidRPr="00414C17">
        <w:rPr>
          <w:rFonts w:ascii="Arial" w:hAnsi="Arial" w:cs="Arial"/>
          <w:bCs/>
          <w:lang w:val="en-US"/>
        </w:rPr>
        <w:t xml:space="preserve"> motivation and engagement is achieved</w:t>
      </w:r>
      <w:r w:rsidR="00AC7278">
        <w:rPr>
          <w:rFonts w:ascii="Arial" w:hAnsi="Arial" w:cs="Arial"/>
          <w:bCs/>
          <w:lang w:val="en-US"/>
        </w:rPr>
        <w:t>,</w:t>
      </w:r>
      <w:r w:rsidRPr="00414C17">
        <w:rPr>
          <w:rFonts w:ascii="Arial" w:hAnsi="Arial" w:cs="Arial"/>
          <w:bCs/>
          <w:lang w:val="en-US"/>
        </w:rPr>
        <w:t xml:space="preserve"> if accomplishing all needs (Armstrong and Taylor, 2019).</w:t>
      </w:r>
      <w:r w:rsidR="009F3C7F" w:rsidRPr="00414C17">
        <w:rPr>
          <w:rFonts w:ascii="Arial" w:hAnsi="Arial" w:cs="Arial"/>
          <w:bCs/>
          <w:lang w:val="en-US"/>
        </w:rPr>
        <w:t xml:space="preserve"> </w:t>
      </w:r>
    </w:p>
    <w:p w:rsidR="009F3C7F" w:rsidRPr="00414C17" w:rsidRDefault="009F3C7F" w:rsidP="00414C17">
      <w:pPr>
        <w:spacing w:after="240" w:line="360" w:lineRule="auto"/>
        <w:jc w:val="both"/>
        <w:rPr>
          <w:rFonts w:ascii="Arial" w:hAnsi="Arial" w:cs="Arial"/>
        </w:rPr>
      </w:pPr>
      <w:r w:rsidRPr="00414C17">
        <w:rPr>
          <w:rFonts w:ascii="Arial" w:hAnsi="Arial" w:cs="Arial"/>
          <w:bCs/>
          <w:lang w:val="en-US"/>
        </w:rPr>
        <w:t xml:space="preserve">Asda has to address five groups of needs in an attempt to achieve maximum engagement of employees – physiological, safety, belonging, esteem and self-actualisation, as shown below (Jerome, 2013). Physiological needs are basic and they </w:t>
      </w:r>
      <w:r w:rsidRPr="00414C17">
        <w:rPr>
          <w:rFonts w:ascii="Arial" w:hAnsi="Arial" w:cs="Arial"/>
          <w:bCs/>
          <w:lang w:val="en-US"/>
        </w:rPr>
        <w:lastRenderedPageBreak/>
        <w:t xml:space="preserve">refer to delivering food, water and other basic necessities in the workplace, whereas safety needs focus on safety at work, </w:t>
      </w:r>
      <w:r w:rsidR="004F6E43" w:rsidRPr="00414C17">
        <w:rPr>
          <w:rFonts w:ascii="Arial" w:hAnsi="Arial" w:cs="Arial"/>
          <w:bCs/>
          <w:lang w:val="en-US"/>
        </w:rPr>
        <w:t xml:space="preserve">reasonable pay level, </w:t>
      </w:r>
      <w:r w:rsidRPr="00414C17">
        <w:rPr>
          <w:rFonts w:ascii="Arial" w:hAnsi="Arial" w:cs="Arial"/>
          <w:bCs/>
          <w:lang w:val="en-US"/>
        </w:rPr>
        <w:t>as well as secure employment (Jerome, 2013). Belonging needs prioritise the development of strong teamwork, coherence</w:t>
      </w:r>
      <w:r w:rsidR="004F6E43" w:rsidRPr="00414C17">
        <w:rPr>
          <w:rFonts w:ascii="Arial" w:hAnsi="Arial" w:cs="Arial"/>
          <w:bCs/>
          <w:lang w:val="en-US"/>
        </w:rPr>
        <w:t>, managerial support</w:t>
      </w:r>
      <w:r w:rsidRPr="00414C17">
        <w:rPr>
          <w:rFonts w:ascii="Arial" w:hAnsi="Arial" w:cs="Arial"/>
          <w:bCs/>
          <w:lang w:val="en-US"/>
        </w:rPr>
        <w:t xml:space="preserve"> and a</w:t>
      </w:r>
      <w:r w:rsidR="004F6E43" w:rsidRPr="00414C17">
        <w:rPr>
          <w:rFonts w:ascii="Arial" w:hAnsi="Arial" w:cs="Arial"/>
          <w:bCs/>
          <w:lang w:val="en-US"/>
        </w:rPr>
        <w:t>n overall</w:t>
      </w:r>
      <w:r w:rsidRPr="00414C17">
        <w:rPr>
          <w:rFonts w:ascii="Arial" w:hAnsi="Arial" w:cs="Arial"/>
          <w:bCs/>
          <w:lang w:val="en-US"/>
        </w:rPr>
        <w:t xml:space="preserve"> sense of belonging to the organisation (Jerome, 2013). Once these three basic levels of addressed, the needs for recognition through praise, rewards </w:t>
      </w:r>
      <w:r w:rsidR="004F6E43" w:rsidRPr="00414C17">
        <w:rPr>
          <w:rFonts w:ascii="Arial" w:hAnsi="Arial" w:cs="Arial"/>
          <w:bCs/>
          <w:lang w:val="en-US"/>
        </w:rPr>
        <w:t xml:space="preserve">and other stimuli takes place under the esteem group of needs (Jerome, 2013). The maximum motivation and engagement in the workplace is achieved when reaching and addressing the highest-order self-actualisation needs (Torrington et al., 2014). This is a wide area reflecting the importance of professional growth and development through promotion, job challenges, training and development, responsibility and others (Jerome, 2013). </w:t>
      </w:r>
    </w:p>
    <w:p w:rsidR="00256927" w:rsidRPr="00414C17" w:rsidRDefault="00256927" w:rsidP="003A000F">
      <w:pPr>
        <w:pStyle w:val="Caption"/>
        <w:spacing w:after="0" w:line="360" w:lineRule="auto"/>
        <w:jc w:val="both"/>
        <w:rPr>
          <w:rFonts w:ascii="Arial" w:hAnsi="Arial" w:cs="Arial"/>
          <w:b/>
          <w:i w:val="0"/>
          <w:color w:val="000000" w:themeColor="text1"/>
          <w:sz w:val="22"/>
          <w:szCs w:val="22"/>
        </w:rPr>
      </w:pPr>
      <w:r w:rsidRPr="00414C17">
        <w:rPr>
          <w:rFonts w:ascii="Arial" w:hAnsi="Arial" w:cs="Arial"/>
          <w:b/>
          <w:i w:val="0"/>
          <w:color w:val="000000" w:themeColor="text1"/>
          <w:sz w:val="22"/>
          <w:szCs w:val="22"/>
        </w:rPr>
        <w:t xml:space="preserve">Figure </w:t>
      </w:r>
      <w:r w:rsidR="00C20ECA" w:rsidRPr="00414C17">
        <w:rPr>
          <w:rFonts w:ascii="Arial" w:hAnsi="Arial" w:cs="Arial"/>
          <w:b/>
          <w:i w:val="0"/>
          <w:color w:val="000000" w:themeColor="text1"/>
          <w:sz w:val="22"/>
          <w:szCs w:val="22"/>
        </w:rPr>
        <w:fldChar w:fldCharType="begin"/>
      </w:r>
      <w:r w:rsidRPr="00414C17">
        <w:rPr>
          <w:rFonts w:ascii="Arial" w:hAnsi="Arial" w:cs="Arial"/>
          <w:b/>
          <w:i w:val="0"/>
          <w:color w:val="000000" w:themeColor="text1"/>
          <w:sz w:val="22"/>
          <w:szCs w:val="22"/>
        </w:rPr>
        <w:instrText xml:space="preserve"> SEQ Figure \* ARABIC </w:instrText>
      </w:r>
      <w:r w:rsidR="00C20ECA" w:rsidRPr="00414C17">
        <w:rPr>
          <w:rFonts w:ascii="Arial" w:hAnsi="Arial" w:cs="Arial"/>
          <w:b/>
          <w:i w:val="0"/>
          <w:color w:val="000000" w:themeColor="text1"/>
          <w:sz w:val="22"/>
          <w:szCs w:val="22"/>
        </w:rPr>
        <w:fldChar w:fldCharType="separate"/>
      </w:r>
      <w:r w:rsidRPr="00414C17">
        <w:rPr>
          <w:rFonts w:ascii="Arial" w:hAnsi="Arial" w:cs="Arial"/>
          <w:b/>
          <w:i w:val="0"/>
          <w:noProof/>
          <w:color w:val="000000" w:themeColor="text1"/>
          <w:sz w:val="22"/>
          <w:szCs w:val="22"/>
        </w:rPr>
        <w:t>1</w:t>
      </w:r>
      <w:r w:rsidR="00C20ECA" w:rsidRPr="00414C17">
        <w:rPr>
          <w:rFonts w:ascii="Arial" w:hAnsi="Arial" w:cs="Arial"/>
          <w:b/>
          <w:i w:val="0"/>
          <w:color w:val="000000" w:themeColor="text1"/>
          <w:sz w:val="22"/>
          <w:szCs w:val="22"/>
        </w:rPr>
        <w:fldChar w:fldCharType="end"/>
      </w:r>
      <w:r w:rsidRPr="00414C17">
        <w:rPr>
          <w:rFonts w:ascii="Arial" w:hAnsi="Arial" w:cs="Arial"/>
          <w:b/>
          <w:i w:val="0"/>
          <w:color w:val="000000" w:themeColor="text1"/>
          <w:sz w:val="22"/>
          <w:szCs w:val="22"/>
        </w:rPr>
        <w:t xml:space="preserve"> – Maslow's hierarchy of needs</w:t>
      </w:r>
    </w:p>
    <w:p w:rsidR="00256927" w:rsidRPr="00414C17" w:rsidRDefault="00256927" w:rsidP="003A000F">
      <w:pPr>
        <w:spacing w:after="0" w:line="360" w:lineRule="auto"/>
        <w:jc w:val="both"/>
        <w:rPr>
          <w:rFonts w:ascii="Arial" w:hAnsi="Arial" w:cs="Arial"/>
        </w:rPr>
      </w:pPr>
      <w:r w:rsidRPr="00414C17">
        <w:rPr>
          <w:rFonts w:ascii="Arial" w:hAnsi="Arial" w:cs="Arial"/>
          <w:noProof/>
          <w:lang w:eastAsia="en-GB"/>
        </w:rPr>
        <w:drawing>
          <wp:inline distT="0" distB="0" distL="0" distR="0">
            <wp:extent cx="5317225" cy="337099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43592" cy="3387713"/>
                    </a:xfrm>
                    <a:prstGeom prst="rect">
                      <a:avLst/>
                    </a:prstGeom>
                  </pic:spPr>
                </pic:pic>
              </a:graphicData>
            </a:graphic>
          </wp:inline>
        </w:drawing>
      </w:r>
    </w:p>
    <w:p w:rsidR="00256927" w:rsidRPr="00414C17" w:rsidRDefault="00256927" w:rsidP="00414C17">
      <w:pPr>
        <w:spacing w:after="240" w:line="360" w:lineRule="auto"/>
        <w:jc w:val="both"/>
        <w:rPr>
          <w:rFonts w:ascii="Arial" w:hAnsi="Arial" w:cs="Arial"/>
          <w:i/>
        </w:rPr>
      </w:pPr>
      <w:r w:rsidRPr="00414C17">
        <w:rPr>
          <w:rFonts w:ascii="Arial" w:hAnsi="Arial" w:cs="Arial"/>
          <w:i/>
        </w:rPr>
        <w:t>Source: Jerome (2013)</w:t>
      </w:r>
    </w:p>
    <w:p w:rsidR="00256927" w:rsidRPr="00414C17" w:rsidRDefault="00283806" w:rsidP="00414C17">
      <w:pPr>
        <w:spacing w:line="360" w:lineRule="auto"/>
        <w:jc w:val="both"/>
        <w:rPr>
          <w:rFonts w:ascii="Arial" w:hAnsi="Arial" w:cs="Arial"/>
          <w:lang w:val="en-US"/>
        </w:rPr>
      </w:pPr>
      <w:r w:rsidRPr="00414C17">
        <w:rPr>
          <w:rFonts w:ascii="Arial" w:hAnsi="Arial" w:cs="Arial"/>
          <w:lang w:val="en-US"/>
        </w:rPr>
        <w:t xml:space="preserve">Considering these theoretical insights, it is also important to analyse the case of Asda in an attempt to measure its performance in the field of employee engagement and motivation. </w:t>
      </w:r>
      <w:r w:rsidR="00106345" w:rsidRPr="00414C17">
        <w:rPr>
          <w:rFonts w:ascii="Arial" w:hAnsi="Arial" w:cs="Arial"/>
          <w:lang w:val="en-US"/>
        </w:rPr>
        <w:t xml:space="preserve">Physiological needs are addressed by providing the necessary basic necessities; however, it is possible to extent the duration of the rest time, as some employees consider breaks as being too short (Glassdoor, 2022). </w:t>
      </w:r>
      <w:r w:rsidR="00245A60" w:rsidRPr="00414C17">
        <w:rPr>
          <w:rFonts w:ascii="Arial" w:hAnsi="Arial" w:cs="Arial"/>
          <w:lang w:val="en-US"/>
        </w:rPr>
        <w:t xml:space="preserve">Long working hours is </w:t>
      </w:r>
      <w:r w:rsidR="00245A60" w:rsidRPr="00414C17">
        <w:rPr>
          <w:rFonts w:ascii="Arial" w:hAnsi="Arial" w:cs="Arial"/>
          <w:lang w:val="en-US"/>
        </w:rPr>
        <w:lastRenderedPageBreak/>
        <w:t xml:space="preserve">another performance drawback which may cause attrition and discontent among employees (Glassdoor, 2022). </w:t>
      </w:r>
    </w:p>
    <w:p w:rsidR="00106345" w:rsidRPr="00414C17" w:rsidRDefault="00106345" w:rsidP="00414C17">
      <w:pPr>
        <w:spacing w:line="360" w:lineRule="auto"/>
        <w:jc w:val="both"/>
        <w:rPr>
          <w:rFonts w:ascii="Arial" w:hAnsi="Arial" w:cs="Arial"/>
          <w:lang w:val="en-US"/>
        </w:rPr>
      </w:pPr>
      <w:r w:rsidRPr="00414C17">
        <w:rPr>
          <w:rFonts w:ascii="Arial" w:hAnsi="Arial" w:cs="Arial"/>
          <w:lang w:val="en-US"/>
        </w:rPr>
        <w:t xml:space="preserve">In terms of safety needs, Asda has implemented a hybrid working model for many of its employees recently. Thus, workforce members could benefit from positive job design changes and improved safety and well-being features which reflect individual preferences </w:t>
      </w:r>
      <w:r w:rsidR="004C2925" w:rsidRPr="00414C17">
        <w:rPr>
          <w:rFonts w:ascii="Arial" w:hAnsi="Arial" w:cs="Arial"/>
          <w:lang w:val="en-US"/>
        </w:rPr>
        <w:t xml:space="preserve">(Wickens, 2021). Moreover, Asda demonstrated commitment to the health and safety of its workforce during the most severe episodes of the pandemic which strongly contributed to meeting the safety needs of employees (Asda, 2022b). In addition, the pay rate at Asda is considered as generally good given the industry specifics (Glassdoor, 2022). Similarly, employees receive good benefits and a balance between work and life – a key for improved well-being in the workplace (Glassdoor, 2022). </w:t>
      </w:r>
    </w:p>
    <w:p w:rsidR="004C2925" w:rsidRPr="00414C17" w:rsidRDefault="004C2925" w:rsidP="00414C17">
      <w:pPr>
        <w:spacing w:line="360" w:lineRule="auto"/>
        <w:jc w:val="both"/>
        <w:rPr>
          <w:rFonts w:ascii="Arial" w:hAnsi="Arial" w:cs="Arial"/>
          <w:lang w:val="en-US"/>
        </w:rPr>
      </w:pPr>
      <w:r w:rsidRPr="00414C17">
        <w:rPr>
          <w:rFonts w:ascii="Arial" w:hAnsi="Arial" w:cs="Arial"/>
          <w:lang w:val="en-US"/>
        </w:rPr>
        <w:t xml:space="preserve">Belonging needs is one of the strongest areas of performance for Asda. In general, the company has developed a culture of diversity and inclusion (Asda, 2022b). Employees are treated equally regardless of their specifics and diversity is welcome, especially when considering LGBT members and employees with disabilities (Asda, 2022b). </w:t>
      </w:r>
      <w:r w:rsidR="00CE3E23" w:rsidRPr="00414C17">
        <w:rPr>
          <w:rFonts w:ascii="Arial" w:hAnsi="Arial" w:cs="Arial"/>
          <w:lang w:val="en-US"/>
        </w:rPr>
        <w:t xml:space="preserve">It is important to note that the gender pay gap at Asda is just 5.5% - significantly lower than the average UK value of 15.5% (Asda, 2022b). This clearly demonstrates the commitment of the organisation in establish a fair and inclusive working environment by avoiding discrimination. </w:t>
      </w:r>
      <w:r w:rsidRPr="00414C17">
        <w:rPr>
          <w:rFonts w:ascii="Arial" w:hAnsi="Arial" w:cs="Arial"/>
          <w:lang w:val="en-US"/>
        </w:rPr>
        <w:t xml:space="preserve">The company is also actively listening in the ideas and feedback of its employees which strengthens teamwork and commitment of employees (Asda, 2022b). </w:t>
      </w:r>
      <w:r w:rsidR="00245A60" w:rsidRPr="00414C17">
        <w:rPr>
          <w:rFonts w:ascii="Arial" w:hAnsi="Arial" w:cs="Arial"/>
          <w:lang w:val="en-US"/>
        </w:rPr>
        <w:t xml:space="preserve">Despite its commitment to creating coherence and teamwork, employees often complain from receiving little support by managers (Glassdoor, 2022). Moreover, it is reported that managers lack trust in employees in try to micro manage even ordinary tasks (Glassdoor, 2022). Such attitude is seen as problematic in terms of belonging needs. </w:t>
      </w:r>
    </w:p>
    <w:p w:rsidR="00245A60" w:rsidRPr="00414C17" w:rsidRDefault="00A332E2" w:rsidP="00414C17">
      <w:pPr>
        <w:spacing w:line="360" w:lineRule="auto"/>
        <w:jc w:val="both"/>
        <w:rPr>
          <w:rFonts w:ascii="Arial" w:hAnsi="Arial" w:cs="Arial"/>
          <w:lang w:val="en-US"/>
        </w:rPr>
      </w:pPr>
      <w:r w:rsidRPr="00414C17">
        <w:rPr>
          <w:rFonts w:ascii="Arial" w:hAnsi="Arial" w:cs="Arial"/>
          <w:lang w:val="en-US"/>
        </w:rPr>
        <w:t xml:space="preserve">There is scarce information regarding the rewards delivered by Asda to its employees. The existence of bonuses is the only form of reward meeting esteem needs of workforce members (Glassdoor, 2022). </w:t>
      </w:r>
    </w:p>
    <w:p w:rsidR="004F6E43" w:rsidRPr="00414C17" w:rsidRDefault="00A332E2" w:rsidP="00414C17">
      <w:pPr>
        <w:spacing w:line="360" w:lineRule="auto"/>
        <w:jc w:val="both"/>
        <w:rPr>
          <w:rFonts w:ascii="Arial" w:hAnsi="Arial" w:cs="Arial"/>
          <w:lang w:val="en-US"/>
        </w:rPr>
      </w:pPr>
      <w:r w:rsidRPr="00414C17">
        <w:rPr>
          <w:rFonts w:ascii="Arial" w:hAnsi="Arial" w:cs="Arial"/>
          <w:lang w:val="en-US"/>
        </w:rPr>
        <w:t xml:space="preserve">Self-actualisation needs are addressed by delivering apprenticeship programs and other forms of employee training in the workplace (Asda, 2022b). There are also managerial programs which also develop leadership skills among top performers. </w:t>
      </w:r>
      <w:r w:rsidR="00966799" w:rsidRPr="00414C17">
        <w:rPr>
          <w:rFonts w:ascii="Arial" w:hAnsi="Arial" w:cs="Arial"/>
          <w:lang w:val="en-US"/>
        </w:rPr>
        <w:t xml:space="preserve">Professional </w:t>
      </w:r>
      <w:r w:rsidR="00966799" w:rsidRPr="00414C17">
        <w:rPr>
          <w:rFonts w:ascii="Arial" w:hAnsi="Arial" w:cs="Arial"/>
          <w:lang w:val="en-US"/>
        </w:rPr>
        <w:lastRenderedPageBreak/>
        <w:t xml:space="preserve">growth is also supported by delivering extensive promotional opportunities (Asda, 2022b). </w:t>
      </w:r>
      <w:r w:rsidRPr="00414C17">
        <w:rPr>
          <w:rFonts w:ascii="Arial" w:hAnsi="Arial" w:cs="Arial"/>
          <w:lang w:val="en-US"/>
        </w:rPr>
        <w:t xml:space="preserve">The company purposefully invests in the upskilling of its employees in order to achieve better performance and the fullest professional potential (Asda, 2022b). </w:t>
      </w:r>
      <w:r w:rsidR="00966799" w:rsidRPr="00414C17">
        <w:rPr>
          <w:rFonts w:ascii="Arial" w:hAnsi="Arial" w:cs="Arial"/>
          <w:lang w:val="en-US"/>
        </w:rPr>
        <w:t xml:space="preserve">Asda has also expressed commitment to delivering more personalised learning programs which better fit the specific needs of every employee; however, the scope of the personalised training appears to be limited, as fewer than 2,000 employees were enrolled in such training in 2020 (Asda, 2022b). </w:t>
      </w:r>
    </w:p>
    <w:p w:rsidR="00256927" w:rsidRPr="00414C17" w:rsidRDefault="00256927" w:rsidP="00414C17">
      <w:pPr>
        <w:pStyle w:val="Heading1"/>
        <w:spacing w:before="0"/>
      </w:pPr>
      <w:bookmarkStart w:id="4" w:name="_Toc102581503"/>
      <w:r w:rsidRPr="00414C17">
        <w:t>Diagnostic tools for engagement measurement</w:t>
      </w:r>
      <w:bookmarkEnd w:id="4"/>
    </w:p>
    <w:p w:rsidR="00256927" w:rsidRPr="00414C17" w:rsidRDefault="00966799" w:rsidP="00414C17">
      <w:pPr>
        <w:spacing w:line="360" w:lineRule="auto"/>
        <w:jc w:val="both"/>
        <w:rPr>
          <w:rFonts w:ascii="Arial" w:hAnsi="Arial" w:cs="Arial"/>
          <w:lang w:val="en-US"/>
        </w:rPr>
      </w:pPr>
      <w:r w:rsidRPr="00414C17">
        <w:rPr>
          <w:rFonts w:ascii="Arial" w:hAnsi="Arial" w:cs="Arial"/>
          <w:lang w:val="en-US"/>
        </w:rPr>
        <w:t xml:space="preserve">The measurement of employee engagement is critically important for identifying performance level and potential areas of improvement. As suggested by van Vulpen (2016), there are ten possible ways of directly or indirectly assessing engagement at work. Some of the methods include turnover and retention – key areas of performance, as earlier discussed (Armstrong and Taylor, 2017). Together with retention and turnover, engagement may also influence absenteeism (van Vulpen, 2016). </w:t>
      </w:r>
    </w:p>
    <w:p w:rsidR="00966799" w:rsidRDefault="001C0F90" w:rsidP="00414C17">
      <w:pPr>
        <w:spacing w:line="360" w:lineRule="auto"/>
        <w:jc w:val="both"/>
        <w:rPr>
          <w:rFonts w:ascii="Arial" w:hAnsi="Arial" w:cs="Arial"/>
          <w:lang w:val="en-US"/>
        </w:rPr>
      </w:pPr>
      <w:r w:rsidRPr="00414C17">
        <w:rPr>
          <w:rFonts w:ascii="Arial" w:hAnsi="Arial" w:cs="Arial"/>
          <w:lang w:val="en-US"/>
        </w:rPr>
        <w:t xml:space="preserve">Another set of metrics include various employee- and customer-related measures (van Vulpen, 2016). This approach aligns with the propositions of the Balanced Scorecard method by Kaplan and Norton (1992). In an attempt to holistically measure performance, the balanced scorecard focuses not only on financial performance, but also on employee and customer performance (Kaplan and Norton, 1992). In the case of employee engagement, it is possible to measure employee performance in terms of productivity, return on investment (ROI) and output, as well as employee satisfaction and motivation level (van Vulpen, 2016). Asda may also consider customer-related metrics, such as satisfaction with the service level (van Vulpen, 2016). </w:t>
      </w:r>
    </w:p>
    <w:p w:rsidR="00745989" w:rsidRDefault="00745989" w:rsidP="00414C17">
      <w:pPr>
        <w:spacing w:line="360" w:lineRule="auto"/>
        <w:jc w:val="both"/>
        <w:rPr>
          <w:rFonts w:ascii="Arial" w:hAnsi="Arial" w:cs="Arial"/>
          <w:lang w:val="en-US"/>
        </w:rPr>
      </w:pPr>
    </w:p>
    <w:p w:rsidR="00745989" w:rsidRDefault="00745989" w:rsidP="00414C17">
      <w:pPr>
        <w:spacing w:line="360" w:lineRule="auto"/>
        <w:jc w:val="both"/>
        <w:rPr>
          <w:rFonts w:ascii="Arial" w:hAnsi="Arial" w:cs="Arial"/>
          <w:lang w:val="en-US"/>
        </w:rPr>
      </w:pPr>
    </w:p>
    <w:p w:rsidR="00AC7278" w:rsidRDefault="00AC7278" w:rsidP="00414C17">
      <w:pPr>
        <w:spacing w:line="360" w:lineRule="auto"/>
        <w:jc w:val="both"/>
        <w:rPr>
          <w:rFonts w:ascii="Arial" w:hAnsi="Arial" w:cs="Arial"/>
          <w:lang w:val="en-US"/>
        </w:rPr>
      </w:pPr>
    </w:p>
    <w:p w:rsidR="00AC7278" w:rsidRDefault="00AC7278" w:rsidP="00414C17">
      <w:pPr>
        <w:spacing w:line="360" w:lineRule="auto"/>
        <w:jc w:val="both"/>
        <w:rPr>
          <w:rFonts w:ascii="Arial" w:hAnsi="Arial" w:cs="Arial"/>
          <w:lang w:val="en-US"/>
        </w:rPr>
      </w:pPr>
    </w:p>
    <w:p w:rsidR="00745989" w:rsidRDefault="00745989" w:rsidP="00414C17">
      <w:pPr>
        <w:spacing w:line="360" w:lineRule="auto"/>
        <w:jc w:val="both"/>
        <w:rPr>
          <w:rFonts w:ascii="Arial" w:hAnsi="Arial" w:cs="Arial"/>
          <w:lang w:val="en-US"/>
        </w:rPr>
      </w:pPr>
    </w:p>
    <w:p w:rsidR="00745989" w:rsidRPr="00414C17" w:rsidRDefault="00745989" w:rsidP="00414C17">
      <w:pPr>
        <w:spacing w:line="360" w:lineRule="auto"/>
        <w:jc w:val="both"/>
        <w:rPr>
          <w:rFonts w:ascii="Arial" w:hAnsi="Arial" w:cs="Arial"/>
          <w:lang w:val="en-US"/>
        </w:rPr>
      </w:pPr>
    </w:p>
    <w:p w:rsidR="00637E44" w:rsidRPr="00414C17" w:rsidRDefault="003C71C7" w:rsidP="00414C17">
      <w:pPr>
        <w:spacing w:line="360" w:lineRule="auto"/>
        <w:jc w:val="both"/>
        <w:rPr>
          <w:rFonts w:ascii="Arial" w:hAnsi="Arial" w:cs="Arial"/>
          <w:b/>
          <w:lang w:val="en-US"/>
        </w:rPr>
      </w:pPr>
      <w:r w:rsidRPr="00414C17">
        <w:rPr>
          <w:rFonts w:ascii="Arial" w:hAnsi="Arial" w:cs="Arial"/>
          <w:b/>
          <w:lang w:val="en-US"/>
        </w:rPr>
        <w:lastRenderedPageBreak/>
        <w:t>Figure 2</w:t>
      </w:r>
      <w:r w:rsidR="00637E44" w:rsidRPr="00414C17">
        <w:rPr>
          <w:rFonts w:ascii="Arial" w:hAnsi="Arial" w:cs="Arial"/>
          <w:b/>
          <w:lang w:val="en-US"/>
        </w:rPr>
        <w:t xml:space="preserve"> – Key metrics of employee engagement</w:t>
      </w:r>
    </w:p>
    <w:p w:rsidR="00256927" w:rsidRPr="00414C17" w:rsidRDefault="00256927" w:rsidP="00414C17">
      <w:pPr>
        <w:spacing w:line="360" w:lineRule="auto"/>
        <w:jc w:val="both"/>
        <w:rPr>
          <w:rFonts w:ascii="Arial" w:hAnsi="Arial" w:cs="Arial"/>
          <w:lang w:val="en-US"/>
        </w:rPr>
      </w:pPr>
      <w:r w:rsidRPr="00414C17">
        <w:rPr>
          <w:rFonts w:ascii="Arial" w:hAnsi="Arial" w:cs="Arial"/>
          <w:noProof/>
          <w:lang w:eastAsia="en-GB"/>
        </w:rPr>
        <w:drawing>
          <wp:inline distT="0" distB="0" distL="0" distR="0">
            <wp:extent cx="5521941" cy="3179928"/>
            <wp:effectExtent l="19050" t="0" r="255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518520" cy="3177958"/>
                    </a:xfrm>
                    <a:prstGeom prst="rect">
                      <a:avLst/>
                    </a:prstGeom>
                    <a:noFill/>
                    <a:ln w="9525">
                      <a:noFill/>
                      <a:miter lim="800000"/>
                      <a:headEnd/>
                      <a:tailEnd/>
                    </a:ln>
                  </pic:spPr>
                </pic:pic>
              </a:graphicData>
            </a:graphic>
          </wp:inline>
        </w:drawing>
      </w:r>
    </w:p>
    <w:p w:rsidR="00256927" w:rsidRPr="00414C17" w:rsidRDefault="00637E44" w:rsidP="00414C17">
      <w:pPr>
        <w:spacing w:line="360" w:lineRule="auto"/>
        <w:jc w:val="both"/>
        <w:rPr>
          <w:rFonts w:ascii="Arial" w:hAnsi="Arial" w:cs="Arial"/>
          <w:i/>
          <w:lang w:val="en-US"/>
        </w:rPr>
      </w:pPr>
      <w:r w:rsidRPr="00414C17">
        <w:rPr>
          <w:rFonts w:ascii="Arial" w:hAnsi="Arial" w:cs="Arial"/>
          <w:i/>
          <w:lang w:val="en-US"/>
        </w:rPr>
        <w:t>Source: van Vulpen (2016)</w:t>
      </w:r>
    </w:p>
    <w:p w:rsidR="001C0F90" w:rsidRPr="00414C17" w:rsidRDefault="001C0F90" w:rsidP="00414C17">
      <w:pPr>
        <w:spacing w:line="360" w:lineRule="auto"/>
        <w:jc w:val="both"/>
        <w:rPr>
          <w:rFonts w:ascii="Arial" w:hAnsi="Arial" w:cs="Arial"/>
          <w:lang w:val="en-US"/>
        </w:rPr>
      </w:pPr>
      <w:r w:rsidRPr="00414C17">
        <w:rPr>
          <w:rFonts w:ascii="Arial" w:hAnsi="Arial" w:cs="Arial"/>
          <w:lang w:val="en-US"/>
        </w:rPr>
        <w:t xml:space="preserve">There are also some external approaches of assessment, such as rating and comments left on Glassdoor and other specialised platforms (van Vulpen, 2016). Often, such information is qualitative in nature, as the comments left by employees deliver more detailed information allowing for a better understanding of performance and potential issues (Saunders et al., 2009). Hence, it could be of help in collecting more evidence for performance in the field of engagement by Asda. Moreover, such comments are easy to be reached on the internet and do not require the conduct of interviews, but they may lack reliability. </w:t>
      </w:r>
    </w:p>
    <w:p w:rsidR="00256927" w:rsidRPr="00414C17" w:rsidRDefault="001C0F90" w:rsidP="00414C17">
      <w:pPr>
        <w:spacing w:line="360" w:lineRule="auto"/>
        <w:jc w:val="both"/>
        <w:rPr>
          <w:rFonts w:ascii="Arial" w:hAnsi="Arial" w:cs="Arial"/>
          <w:lang w:val="en-US"/>
        </w:rPr>
      </w:pPr>
      <w:r w:rsidRPr="00414C17">
        <w:rPr>
          <w:rFonts w:ascii="Arial" w:hAnsi="Arial" w:cs="Arial"/>
          <w:lang w:val="en-US"/>
        </w:rPr>
        <w:t>As evidenced, the potential ways of measuring employee engagement are extensive. In general, Asda should consider a diverse pool of information sources in order to improve the reliability and validity of findings. In this light, the retailer should incorporate large scale quantitative metrics, such as surveys, financial performance data, employee data about turnover</w:t>
      </w:r>
      <w:r w:rsidR="003C71C7" w:rsidRPr="00414C17">
        <w:rPr>
          <w:rFonts w:ascii="Arial" w:hAnsi="Arial" w:cs="Arial"/>
          <w:lang w:val="en-US"/>
        </w:rPr>
        <w:t>/retention/</w:t>
      </w:r>
      <w:r w:rsidRPr="00414C17">
        <w:rPr>
          <w:rFonts w:ascii="Arial" w:hAnsi="Arial" w:cs="Arial"/>
          <w:lang w:val="en-US"/>
        </w:rPr>
        <w:t xml:space="preserve">absenteeism, as well as in-depth qualitative sources of feedback and personal opinions (Saunders et al., 2009). </w:t>
      </w:r>
    </w:p>
    <w:p w:rsidR="00966799" w:rsidRPr="00414C17" w:rsidRDefault="001434E1" w:rsidP="00414C17">
      <w:pPr>
        <w:pStyle w:val="Heading1"/>
        <w:spacing w:before="0"/>
      </w:pPr>
      <w:bookmarkStart w:id="5" w:name="_Toc102581504"/>
      <w:r w:rsidRPr="00414C17">
        <w:lastRenderedPageBreak/>
        <w:t>Strategies to raise engagement</w:t>
      </w:r>
      <w:bookmarkEnd w:id="5"/>
    </w:p>
    <w:p w:rsidR="003F72BB" w:rsidRPr="00414C17" w:rsidRDefault="003F72BB" w:rsidP="00414C17">
      <w:pPr>
        <w:spacing w:line="360" w:lineRule="auto"/>
        <w:jc w:val="both"/>
        <w:rPr>
          <w:rFonts w:ascii="Arial" w:hAnsi="Arial" w:cs="Arial"/>
          <w:lang w:val="en-US"/>
        </w:rPr>
      </w:pPr>
      <w:r w:rsidRPr="00414C17">
        <w:rPr>
          <w:rFonts w:ascii="Arial" w:hAnsi="Arial" w:cs="Arial"/>
          <w:lang w:val="en-US"/>
        </w:rPr>
        <w:t xml:space="preserve">The most problematic area refers to the lack of extensive policies in the field of esteem needs. If the area is not appropriately addressed, it may worsen the performance in the higher-order self-actualisation field. Hence, Asda has to deliver consistent efforts by delivering more extensive rewards going beyond pay-based bonuses. Rewards should also include non-financial benefits, as well as private and public praise. These are quite effective methods of boosting employee morale and engagement, as they reflect the contribution of every employee in the workplace (Taylor, 2010). </w:t>
      </w:r>
    </w:p>
    <w:p w:rsidR="001434E1" w:rsidRPr="00414C17" w:rsidRDefault="003F72BB" w:rsidP="00414C17">
      <w:pPr>
        <w:spacing w:line="360" w:lineRule="auto"/>
        <w:jc w:val="both"/>
        <w:rPr>
          <w:rFonts w:ascii="Arial" w:hAnsi="Arial" w:cs="Arial"/>
          <w:lang w:val="en-US"/>
        </w:rPr>
      </w:pPr>
      <w:r w:rsidRPr="00414C17">
        <w:rPr>
          <w:rFonts w:ascii="Arial" w:hAnsi="Arial" w:cs="Arial"/>
          <w:lang w:val="en-US"/>
        </w:rPr>
        <w:t xml:space="preserve">In addition to focusing on rewards, Asda has to develop and apply an objective performance appraisal system which is able to accurately measure the contribution of every employee and deliver fair rewards. The existence of performance appraisal mechanism is of key role for large organisations with numerous employees where the contribution of every employee cannot be directly detected due to the complex and interrelated activities. Despite the difficulties, Asda has to implement performance appraisal system in order to deliver rewards accordingly; thereby, maximising engagement and reducing the risk of discontent, if employees feel that they are not rewarded in a fair manner (Taylor, 2010; Torrington et al., 2014). </w:t>
      </w:r>
    </w:p>
    <w:p w:rsidR="001434E1" w:rsidRPr="00414C17" w:rsidRDefault="003F72BB" w:rsidP="00414C17">
      <w:pPr>
        <w:spacing w:line="360" w:lineRule="auto"/>
        <w:jc w:val="both"/>
        <w:rPr>
          <w:rFonts w:ascii="Arial" w:hAnsi="Arial" w:cs="Arial"/>
          <w:lang w:val="en-US"/>
        </w:rPr>
      </w:pPr>
      <w:r w:rsidRPr="00414C17">
        <w:rPr>
          <w:rFonts w:ascii="Arial" w:hAnsi="Arial" w:cs="Arial"/>
          <w:lang w:val="en-US"/>
        </w:rPr>
        <w:t xml:space="preserve">Asda should also better train its managers, as they often fail to deliver support and assistance to employees. Training in managerial and leadership skills can be of significant importance for strengthening the support to employees, if necessary; thereby, contributing to a stronger sense of belonging and overall performance improvement (Armstrong and Taylor, 2019). </w:t>
      </w:r>
      <w:r w:rsidR="00414C17" w:rsidRPr="00414C17">
        <w:rPr>
          <w:rFonts w:ascii="Arial" w:hAnsi="Arial" w:cs="Arial"/>
          <w:lang w:val="en-US"/>
        </w:rPr>
        <w:t xml:space="preserve">Adequate support and assistance also contributes to the development of a psychological contract – a key factor for stronger engagement. </w:t>
      </w:r>
    </w:p>
    <w:p w:rsidR="001434E1" w:rsidRPr="00414C17" w:rsidRDefault="00414C17" w:rsidP="00414C17">
      <w:pPr>
        <w:spacing w:line="360" w:lineRule="auto"/>
        <w:jc w:val="both"/>
        <w:rPr>
          <w:rFonts w:ascii="Arial" w:hAnsi="Arial" w:cs="Arial"/>
          <w:lang w:val="en-US"/>
        </w:rPr>
      </w:pPr>
      <w:r w:rsidRPr="00414C17">
        <w:rPr>
          <w:rFonts w:ascii="Arial" w:hAnsi="Arial" w:cs="Arial"/>
          <w:lang w:val="en-US"/>
        </w:rPr>
        <w:t xml:space="preserve">Asda has to consider some minor job design changes in order to cope with marginal issues which worsen the overall quality of the HRM process. Some ideas include improvements in the working conditions, longer breaks, etc. The demonstrated efforts in the field of training and development are encouraging; however, it could be help in expanding the scope of policies. This is also quite important, as training and development address the highest-order needs of self-actualisation and demonstrate the commitment of Asda in supporting the professional development of its employees which in turn supports stronger employee engagement.  </w:t>
      </w:r>
    </w:p>
    <w:p w:rsidR="00414C17" w:rsidRPr="00414C17" w:rsidRDefault="00414C17" w:rsidP="00414C17">
      <w:pPr>
        <w:pStyle w:val="Heading1"/>
        <w:spacing w:before="0"/>
      </w:pPr>
      <w:bookmarkStart w:id="6" w:name="_Toc102581505"/>
      <w:r w:rsidRPr="00414C17">
        <w:lastRenderedPageBreak/>
        <w:t>Conclusions</w:t>
      </w:r>
      <w:bookmarkEnd w:id="6"/>
    </w:p>
    <w:p w:rsidR="00414C17" w:rsidRPr="00414C17" w:rsidRDefault="00414C17" w:rsidP="00414C17">
      <w:pPr>
        <w:spacing w:line="360" w:lineRule="auto"/>
        <w:jc w:val="both"/>
        <w:rPr>
          <w:rFonts w:ascii="Arial" w:hAnsi="Arial" w:cs="Arial"/>
          <w:lang w:val="en-US"/>
        </w:rPr>
      </w:pPr>
      <w:r w:rsidRPr="00414C17">
        <w:rPr>
          <w:rFonts w:ascii="Arial" w:hAnsi="Arial" w:cs="Arial"/>
          <w:lang w:val="en-US"/>
        </w:rPr>
        <w:t>In conclusion, the accessed research findings clearly show the importance of the employee engagement concept</w:t>
      </w:r>
      <w:r w:rsidR="00745989">
        <w:rPr>
          <w:rFonts w:ascii="Arial" w:hAnsi="Arial" w:cs="Arial"/>
          <w:lang w:val="en-US"/>
        </w:rPr>
        <w:t xml:space="preserve"> in the studied case of Asda</w:t>
      </w:r>
      <w:r w:rsidRPr="00414C17">
        <w:rPr>
          <w:rFonts w:ascii="Arial" w:hAnsi="Arial" w:cs="Arial"/>
          <w:lang w:val="en-US"/>
        </w:rPr>
        <w:t xml:space="preserve">. </w:t>
      </w:r>
      <w:r w:rsidR="00745989">
        <w:rPr>
          <w:rFonts w:ascii="Arial" w:hAnsi="Arial" w:cs="Arial"/>
          <w:lang w:val="en-US"/>
        </w:rPr>
        <w:t>Employee engagement</w:t>
      </w:r>
      <w:r w:rsidRPr="00414C17">
        <w:rPr>
          <w:rFonts w:ascii="Arial" w:hAnsi="Arial" w:cs="Arial"/>
          <w:lang w:val="en-US"/>
        </w:rPr>
        <w:t xml:space="preserve"> largely determines many performance areas and Asda</w:t>
      </w:r>
      <w:r w:rsidR="00745989">
        <w:rPr>
          <w:rFonts w:ascii="Arial" w:hAnsi="Arial" w:cs="Arial"/>
          <w:lang w:val="en-US"/>
        </w:rPr>
        <w:t>. Respectively, the retailer should</w:t>
      </w:r>
      <w:r w:rsidRPr="00414C17">
        <w:rPr>
          <w:rFonts w:ascii="Arial" w:hAnsi="Arial" w:cs="Arial"/>
          <w:lang w:val="en-US"/>
        </w:rPr>
        <w:t xml:space="preserve"> deliver extensive </w:t>
      </w:r>
      <w:r w:rsidR="00745989">
        <w:rPr>
          <w:rFonts w:ascii="Arial" w:hAnsi="Arial" w:cs="Arial"/>
          <w:lang w:val="en-US"/>
        </w:rPr>
        <w:t xml:space="preserve">resources in order to design and implement appropriate </w:t>
      </w:r>
      <w:r w:rsidRPr="00414C17">
        <w:rPr>
          <w:rFonts w:ascii="Arial" w:hAnsi="Arial" w:cs="Arial"/>
          <w:lang w:val="en-US"/>
        </w:rPr>
        <w:t xml:space="preserve">HRM policies </w:t>
      </w:r>
      <w:r w:rsidR="00745989">
        <w:rPr>
          <w:rFonts w:ascii="Arial" w:hAnsi="Arial" w:cs="Arial"/>
          <w:lang w:val="en-US"/>
        </w:rPr>
        <w:t xml:space="preserve">for achieving performance improvement. In order to maximise the outcomes of the investments in employee engagement, Asda has to be consistent and able to meet individual needs which may differ across employee groups. In this relation, there are no single solutions and success depends on being flexible and responsive to information and developments related to employees. A culture of change, innovativeness and data-driven decision-making could strengthen the prospects of achieving improved engagement in the long-term. The company should also identify its main priorities in terms of performance areas, so that they are reflected in the indicators of measuring employee engagement. </w:t>
      </w:r>
    </w:p>
    <w:p w:rsidR="00256927" w:rsidRPr="00414C17" w:rsidRDefault="00256927">
      <w:pPr>
        <w:rPr>
          <w:rFonts w:ascii="Arial" w:hAnsi="Arial" w:cs="Arial"/>
          <w:noProof/>
          <w:lang w:val="en-US"/>
        </w:rPr>
      </w:pPr>
    </w:p>
    <w:p w:rsidR="00414C17" w:rsidRPr="00414C17" w:rsidRDefault="00414C17">
      <w:pPr>
        <w:rPr>
          <w:rFonts w:ascii="Arial" w:hAnsi="Arial" w:cs="Arial"/>
          <w:noProof/>
          <w:lang w:val="en-US"/>
        </w:rPr>
      </w:pPr>
    </w:p>
    <w:p w:rsidR="00414C17" w:rsidRPr="00414C17" w:rsidRDefault="00414C17">
      <w:pPr>
        <w:rPr>
          <w:rFonts w:ascii="Arial" w:hAnsi="Arial" w:cs="Arial"/>
          <w:noProof/>
          <w:lang w:val="en-US"/>
        </w:rPr>
      </w:pPr>
    </w:p>
    <w:p w:rsidR="00414C17" w:rsidRPr="00414C17" w:rsidRDefault="00414C17">
      <w:pPr>
        <w:rPr>
          <w:rFonts w:ascii="Arial" w:hAnsi="Arial" w:cs="Arial"/>
          <w:noProof/>
          <w:lang w:val="en-US"/>
        </w:rPr>
      </w:pPr>
    </w:p>
    <w:p w:rsidR="00414C17" w:rsidRPr="00414C17" w:rsidRDefault="00414C17">
      <w:pPr>
        <w:rPr>
          <w:rFonts w:ascii="Arial" w:hAnsi="Arial" w:cs="Arial"/>
          <w:noProof/>
          <w:lang w:val="en-US"/>
        </w:rPr>
      </w:pPr>
    </w:p>
    <w:p w:rsidR="00414C17" w:rsidRPr="00414C17" w:rsidRDefault="00414C17">
      <w:pPr>
        <w:rPr>
          <w:rFonts w:ascii="Arial" w:hAnsi="Arial" w:cs="Arial"/>
          <w:noProof/>
          <w:lang w:val="en-US"/>
        </w:rPr>
      </w:pPr>
    </w:p>
    <w:p w:rsidR="00414C17" w:rsidRPr="00414C17" w:rsidRDefault="00414C17">
      <w:pPr>
        <w:rPr>
          <w:rFonts w:ascii="Arial" w:hAnsi="Arial" w:cs="Arial"/>
          <w:noProof/>
          <w:lang w:val="en-US"/>
        </w:rPr>
      </w:pPr>
    </w:p>
    <w:p w:rsidR="00414C17" w:rsidRPr="00414C17" w:rsidRDefault="00414C17">
      <w:pPr>
        <w:rPr>
          <w:rFonts w:ascii="Arial" w:hAnsi="Arial" w:cs="Arial"/>
          <w:noProof/>
          <w:lang w:val="en-US"/>
        </w:rPr>
      </w:pPr>
    </w:p>
    <w:p w:rsidR="00414C17" w:rsidRDefault="00414C17">
      <w:pPr>
        <w:rPr>
          <w:rFonts w:ascii="Arial" w:hAnsi="Arial" w:cs="Arial"/>
          <w:lang w:val="en-US"/>
        </w:rPr>
      </w:pPr>
    </w:p>
    <w:p w:rsidR="003A000F" w:rsidRDefault="003A000F">
      <w:pPr>
        <w:rPr>
          <w:rFonts w:ascii="Arial" w:hAnsi="Arial" w:cs="Arial"/>
          <w:lang w:val="en-US"/>
        </w:rPr>
      </w:pPr>
    </w:p>
    <w:p w:rsidR="003A000F" w:rsidRDefault="003A000F">
      <w:pPr>
        <w:rPr>
          <w:rFonts w:ascii="Arial" w:hAnsi="Arial" w:cs="Arial"/>
          <w:lang w:val="en-US"/>
        </w:rPr>
      </w:pPr>
    </w:p>
    <w:p w:rsidR="003A000F" w:rsidRDefault="003A000F">
      <w:pPr>
        <w:rPr>
          <w:rFonts w:ascii="Arial" w:hAnsi="Arial" w:cs="Arial"/>
          <w:lang w:val="en-US"/>
        </w:rPr>
      </w:pPr>
    </w:p>
    <w:p w:rsidR="003A000F" w:rsidRDefault="003A000F">
      <w:pPr>
        <w:rPr>
          <w:rFonts w:ascii="Arial" w:hAnsi="Arial" w:cs="Arial"/>
          <w:lang w:val="en-US"/>
        </w:rPr>
      </w:pPr>
    </w:p>
    <w:p w:rsidR="003A000F" w:rsidRDefault="003A000F">
      <w:pPr>
        <w:rPr>
          <w:rFonts w:ascii="Arial" w:hAnsi="Arial" w:cs="Arial"/>
          <w:lang w:val="en-US"/>
        </w:rPr>
      </w:pPr>
    </w:p>
    <w:p w:rsidR="003A000F" w:rsidRDefault="003A000F">
      <w:pPr>
        <w:rPr>
          <w:rFonts w:ascii="Arial" w:hAnsi="Arial" w:cs="Arial"/>
          <w:lang w:val="en-US"/>
        </w:rPr>
      </w:pPr>
    </w:p>
    <w:p w:rsidR="00637E44" w:rsidRPr="00414C17" w:rsidRDefault="00637E44">
      <w:pPr>
        <w:rPr>
          <w:rFonts w:ascii="Arial" w:hAnsi="Arial" w:cs="Arial"/>
          <w:lang w:val="en-US"/>
        </w:rPr>
      </w:pPr>
    </w:p>
    <w:p w:rsidR="00637E44" w:rsidRPr="00414C17" w:rsidRDefault="00637E44" w:rsidP="00414C17">
      <w:pPr>
        <w:pStyle w:val="Heading1"/>
        <w:spacing w:before="0"/>
      </w:pPr>
      <w:bookmarkStart w:id="7" w:name="_Toc102581506"/>
      <w:r w:rsidRPr="00414C17">
        <w:lastRenderedPageBreak/>
        <w:t>Reference list</w:t>
      </w:r>
      <w:bookmarkEnd w:id="7"/>
    </w:p>
    <w:p w:rsidR="003C71C7" w:rsidRPr="00414C17" w:rsidRDefault="003C71C7" w:rsidP="001434E1">
      <w:pPr>
        <w:spacing w:line="360" w:lineRule="auto"/>
        <w:rPr>
          <w:rFonts w:ascii="Arial" w:hAnsi="Arial" w:cs="Arial"/>
          <w:bCs/>
          <w:lang w:val="en-US"/>
        </w:rPr>
      </w:pPr>
      <w:r w:rsidRPr="00414C17">
        <w:rPr>
          <w:rFonts w:ascii="Arial" w:hAnsi="Arial" w:cs="Arial"/>
          <w:bCs/>
          <w:lang w:val="en-US"/>
        </w:rPr>
        <w:t xml:space="preserve">Armstrong, M. and Taylor, S. (2017) </w:t>
      </w:r>
      <w:r w:rsidRPr="00414C17">
        <w:rPr>
          <w:rFonts w:ascii="Arial" w:hAnsi="Arial" w:cs="Arial"/>
          <w:bCs/>
          <w:i/>
          <w:lang w:val="en-US"/>
        </w:rPr>
        <w:t>Armstrong’s Handbook of Human Resource Management Practice</w:t>
      </w:r>
      <w:r w:rsidRPr="00414C17">
        <w:rPr>
          <w:rFonts w:ascii="Arial" w:hAnsi="Arial" w:cs="Arial"/>
          <w:bCs/>
          <w:lang w:val="en-US"/>
        </w:rPr>
        <w:t>. 14</w:t>
      </w:r>
      <w:r w:rsidRPr="00414C17">
        <w:rPr>
          <w:rFonts w:ascii="Arial" w:hAnsi="Arial" w:cs="Arial"/>
          <w:bCs/>
          <w:vertAlign w:val="superscript"/>
          <w:lang w:val="en-US"/>
        </w:rPr>
        <w:t>th</w:t>
      </w:r>
      <w:r w:rsidRPr="00414C17">
        <w:rPr>
          <w:rFonts w:ascii="Arial" w:hAnsi="Arial" w:cs="Arial"/>
          <w:bCs/>
          <w:lang w:val="en-US"/>
        </w:rPr>
        <w:t xml:space="preserve"> edition, Kogan Page</w:t>
      </w:r>
    </w:p>
    <w:p w:rsidR="003C71C7" w:rsidRPr="00414C17" w:rsidRDefault="003C71C7" w:rsidP="001434E1">
      <w:pPr>
        <w:spacing w:line="360" w:lineRule="auto"/>
        <w:rPr>
          <w:rFonts w:ascii="Arial" w:hAnsi="Arial" w:cs="Arial"/>
          <w:bCs/>
          <w:lang w:val="en-US"/>
        </w:rPr>
      </w:pPr>
      <w:r w:rsidRPr="00414C17">
        <w:rPr>
          <w:rFonts w:ascii="Arial" w:hAnsi="Arial" w:cs="Arial"/>
          <w:bCs/>
          <w:lang w:val="en-US"/>
        </w:rPr>
        <w:t xml:space="preserve">Asda (2022a) </w:t>
      </w:r>
      <w:r w:rsidRPr="00414C17">
        <w:rPr>
          <w:rFonts w:ascii="Arial" w:hAnsi="Arial" w:cs="Arial"/>
          <w:bCs/>
          <w:i/>
          <w:lang w:val="en-US"/>
        </w:rPr>
        <w:t>Company facts</w:t>
      </w:r>
      <w:r w:rsidRPr="00414C17">
        <w:rPr>
          <w:rFonts w:ascii="Arial" w:hAnsi="Arial" w:cs="Arial"/>
          <w:bCs/>
          <w:lang w:val="en-US"/>
        </w:rPr>
        <w:t xml:space="preserve">, [online] Available: </w:t>
      </w:r>
      <w:hyperlink r:id="rId11" w:anchor=":~:text=At%20Asda%2C%20we%20have%20more,in%20our%20stores%20every%20week" w:history="1">
        <w:r w:rsidRPr="00414C17">
          <w:rPr>
            <w:rStyle w:val="Hyperlink"/>
            <w:rFonts w:ascii="Arial" w:hAnsi="Arial" w:cs="Arial"/>
            <w:bCs/>
            <w:lang w:val="en-US"/>
          </w:rPr>
          <w:t>https://corporate.asda.com/our-story/company-facts#:~:text=At%20Asda%2C%20we%20have%20more,in%20our%20stores%20every%20week</w:t>
        </w:r>
      </w:hyperlink>
      <w:r w:rsidRPr="00414C17">
        <w:rPr>
          <w:rFonts w:ascii="Arial" w:hAnsi="Arial" w:cs="Arial"/>
          <w:bCs/>
          <w:lang w:val="en-US"/>
        </w:rPr>
        <w:t xml:space="preserve"> [Accessed: 24 April 2022]</w:t>
      </w:r>
    </w:p>
    <w:p w:rsidR="003C71C7" w:rsidRPr="00414C17" w:rsidRDefault="003C71C7" w:rsidP="001434E1">
      <w:pPr>
        <w:spacing w:line="360" w:lineRule="auto"/>
        <w:rPr>
          <w:rFonts w:ascii="Arial" w:hAnsi="Arial" w:cs="Arial"/>
          <w:bCs/>
          <w:lang w:val="en-US"/>
        </w:rPr>
      </w:pPr>
      <w:r w:rsidRPr="00414C17">
        <w:rPr>
          <w:rFonts w:ascii="Arial" w:hAnsi="Arial" w:cs="Arial"/>
          <w:bCs/>
          <w:lang w:val="en-US"/>
        </w:rPr>
        <w:t xml:space="preserve">Asda (2022b) </w:t>
      </w:r>
      <w:r w:rsidRPr="00414C17">
        <w:rPr>
          <w:rFonts w:ascii="Arial" w:hAnsi="Arial" w:cs="Arial"/>
          <w:bCs/>
          <w:i/>
          <w:lang w:val="en-US"/>
        </w:rPr>
        <w:t>Great Place to Work</w:t>
      </w:r>
      <w:r w:rsidRPr="00414C17">
        <w:rPr>
          <w:rFonts w:ascii="Arial" w:hAnsi="Arial" w:cs="Arial"/>
          <w:bCs/>
          <w:lang w:val="en-US"/>
        </w:rPr>
        <w:t xml:space="preserve">, [online] Available: </w:t>
      </w:r>
      <w:hyperlink r:id="rId12" w:history="1">
        <w:r w:rsidRPr="00414C17">
          <w:rPr>
            <w:rStyle w:val="Hyperlink"/>
            <w:rFonts w:ascii="Arial" w:hAnsi="Arial" w:cs="Arial"/>
            <w:bCs/>
            <w:lang w:val="en-US"/>
          </w:rPr>
          <w:t>https://www.asda.com/creating-change-for-better/better-business/great-place-to-work</w:t>
        </w:r>
      </w:hyperlink>
      <w:r w:rsidRPr="00414C17">
        <w:rPr>
          <w:rFonts w:ascii="Arial" w:hAnsi="Arial" w:cs="Arial"/>
          <w:bCs/>
          <w:lang w:val="en-US"/>
        </w:rPr>
        <w:t xml:space="preserve"> [Accessed: 28 April 2022]</w:t>
      </w:r>
    </w:p>
    <w:p w:rsidR="003C71C7" w:rsidRPr="00414C17" w:rsidRDefault="003C71C7" w:rsidP="001434E1">
      <w:pPr>
        <w:spacing w:line="360" w:lineRule="auto"/>
        <w:rPr>
          <w:rFonts w:ascii="Arial" w:hAnsi="Arial" w:cs="Arial"/>
          <w:lang w:val="en-US"/>
        </w:rPr>
      </w:pPr>
      <w:r w:rsidRPr="00414C17">
        <w:rPr>
          <w:rFonts w:ascii="Arial" w:hAnsi="Arial" w:cs="Arial"/>
          <w:lang w:val="en-US"/>
        </w:rPr>
        <w:t xml:space="preserve">Glassdoor (2022) </w:t>
      </w:r>
      <w:r w:rsidRPr="00414C17">
        <w:rPr>
          <w:rFonts w:ascii="Arial" w:hAnsi="Arial" w:cs="Arial"/>
          <w:i/>
          <w:lang w:val="en-US"/>
        </w:rPr>
        <w:t>ASDA Review</w:t>
      </w:r>
      <w:r w:rsidRPr="00414C17">
        <w:rPr>
          <w:rFonts w:ascii="Arial" w:hAnsi="Arial" w:cs="Arial"/>
          <w:lang w:val="en-US"/>
        </w:rPr>
        <w:t xml:space="preserve">s, [online] Available: </w:t>
      </w:r>
      <w:hyperlink r:id="rId13" w:history="1">
        <w:r w:rsidRPr="00414C17">
          <w:rPr>
            <w:rStyle w:val="Hyperlink"/>
            <w:rFonts w:ascii="Arial" w:hAnsi="Arial" w:cs="Arial"/>
            <w:lang w:val="en-US"/>
          </w:rPr>
          <w:t>https://www.glassdoor.com/Reviews/ASDA-Reviews-E10108.htm</w:t>
        </w:r>
      </w:hyperlink>
      <w:r w:rsidRPr="00414C17">
        <w:rPr>
          <w:rFonts w:ascii="Arial" w:hAnsi="Arial" w:cs="Arial"/>
          <w:lang w:val="en-US"/>
        </w:rPr>
        <w:t xml:space="preserve"> [Accessed: 27 April 2022]</w:t>
      </w:r>
    </w:p>
    <w:p w:rsidR="003C71C7" w:rsidRPr="00414C17" w:rsidRDefault="003C71C7" w:rsidP="001434E1">
      <w:pPr>
        <w:spacing w:after="240" w:line="360" w:lineRule="auto"/>
        <w:rPr>
          <w:rFonts w:ascii="Arial" w:hAnsi="Arial" w:cs="Arial"/>
        </w:rPr>
      </w:pPr>
      <w:r w:rsidRPr="00414C17">
        <w:rPr>
          <w:rFonts w:ascii="Arial" w:hAnsi="Arial" w:cs="Arial"/>
        </w:rPr>
        <w:t xml:space="preserve">Hook, C. and Jenkins, A. (2019) </w:t>
      </w:r>
      <w:r w:rsidRPr="00414C17">
        <w:rPr>
          <w:rFonts w:ascii="Arial" w:hAnsi="Arial" w:cs="Arial"/>
          <w:i/>
          <w:iCs/>
        </w:rPr>
        <w:t>Introducing Human Resource Management</w:t>
      </w:r>
      <w:r w:rsidRPr="00414C17">
        <w:rPr>
          <w:rFonts w:ascii="Arial" w:hAnsi="Arial" w:cs="Arial"/>
        </w:rPr>
        <w:t>. 8</w:t>
      </w:r>
      <w:r w:rsidRPr="00414C17">
        <w:rPr>
          <w:rFonts w:ascii="Arial" w:hAnsi="Arial" w:cs="Arial"/>
          <w:vertAlign w:val="superscript"/>
        </w:rPr>
        <w:t>th</w:t>
      </w:r>
      <w:r w:rsidRPr="00414C17">
        <w:rPr>
          <w:rFonts w:ascii="Arial" w:hAnsi="Arial" w:cs="Arial"/>
        </w:rPr>
        <w:t xml:space="preserve"> edition, Pearson Education</w:t>
      </w:r>
    </w:p>
    <w:p w:rsidR="003C71C7" w:rsidRPr="00414C17" w:rsidRDefault="003C71C7" w:rsidP="001434E1">
      <w:pPr>
        <w:spacing w:line="360" w:lineRule="auto"/>
        <w:rPr>
          <w:rFonts w:ascii="Arial" w:hAnsi="Arial" w:cs="Arial"/>
          <w:bCs/>
        </w:rPr>
      </w:pPr>
      <w:r w:rsidRPr="00414C17">
        <w:rPr>
          <w:rFonts w:ascii="Arial" w:hAnsi="Arial" w:cs="Arial"/>
          <w:bCs/>
        </w:rPr>
        <w:t xml:space="preserve">Jerome, N. (2013) </w:t>
      </w:r>
      <w:r w:rsidRPr="00414C17">
        <w:rPr>
          <w:rFonts w:ascii="Arial" w:hAnsi="Arial" w:cs="Arial"/>
          <w:bCs/>
          <w:i/>
          <w:iCs/>
        </w:rPr>
        <w:t>Application of the Maslow’s Hierarchy of Need Theory</w:t>
      </w:r>
      <w:r w:rsidRPr="00414C17">
        <w:rPr>
          <w:rFonts w:ascii="Arial" w:hAnsi="Arial" w:cs="Arial"/>
          <w:bCs/>
        </w:rPr>
        <w:t xml:space="preserve">, [online] Available: </w:t>
      </w:r>
      <w:hyperlink r:id="rId14" w:history="1">
        <w:r w:rsidRPr="00414C17">
          <w:rPr>
            <w:rStyle w:val="Hyperlink"/>
            <w:rFonts w:ascii="Arial" w:hAnsi="Arial" w:cs="Arial"/>
            <w:bCs/>
          </w:rPr>
          <w:t>https://www.semanticscholar.org/paper/Application-of-the-Maslow-%E2%80%99-s-hierarchy-of-need-%3B-%2C-Jerome/b0bcc8ca45193eaf700350a8ac2ddfc09a093be8</w:t>
        </w:r>
      </w:hyperlink>
      <w:r w:rsidRPr="00414C17">
        <w:rPr>
          <w:rFonts w:ascii="Arial" w:hAnsi="Arial" w:cs="Arial"/>
          <w:bCs/>
        </w:rPr>
        <w:t xml:space="preserve"> [Accessed: 28 April 2022]</w:t>
      </w:r>
    </w:p>
    <w:p w:rsidR="003C71C7" w:rsidRPr="00414C17" w:rsidRDefault="003C71C7" w:rsidP="001434E1">
      <w:pPr>
        <w:spacing w:line="360" w:lineRule="auto"/>
        <w:rPr>
          <w:rFonts w:ascii="Arial" w:hAnsi="Arial" w:cs="Arial"/>
          <w:bCs/>
        </w:rPr>
      </w:pPr>
      <w:r w:rsidRPr="00414C17">
        <w:rPr>
          <w:rFonts w:ascii="Arial" w:hAnsi="Arial" w:cs="Arial"/>
          <w:bCs/>
        </w:rPr>
        <w:t xml:space="preserve">Kaplan, R. and Norton, D. (1992) The Balanced Scorecard: Measures that Drive Performance, </w:t>
      </w:r>
      <w:r w:rsidRPr="00414C17">
        <w:rPr>
          <w:rFonts w:ascii="Arial" w:hAnsi="Arial" w:cs="Arial"/>
          <w:bCs/>
          <w:i/>
          <w:iCs/>
        </w:rPr>
        <w:t>Harvard Business Review</w:t>
      </w:r>
      <w:r w:rsidRPr="00414C17">
        <w:rPr>
          <w:rFonts w:ascii="Arial" w:hAnsi="Arial" w:cs="Arial"/>
          <w:bCs/>
        </w:rPr>
        <w:t>, Vol. 70(1), pp. 71–79.</w:t>
      </w:r>
    </w:p>
    <w:p w:rsidR="003C71C7" w:rsidRPr="00414C17" w:rsidRDefault="003C71C7" w:rsidP="001434E1">
      <w:pPr>
        <w:spacing w:after="240" w:line="360" w:lineRule="auto"/>
        <w:rPr>
          <w:rFonts w:ascii="Arial" w:hAnsi="Arial" w:cs="Arial"/>
        </w:rPr>
      </w:pPr>
      <w:r w:rsidRPr="00414C17">
        <w:rPr>
          <w:rFonts w:ascii="Arial" w:hAnsi="Arial" w:cs="Arial"/>
        </w:rPr>
        <w:t xml:space="preserve">Martin, M. (2021) </w:t>
      </w:r>
      <w:r w:rsidRPr="00414C17">
        <w:rPr>
          <w:rFonts w:ascii="Arial" w:hAnsi="Arial" w:cs="Arial"/>
          <w:i/>
          <w:iCs/>
        </w:rPr>
        <w:t>22 Valuable Employee Engagement Statistics in 2021</w:t>
      </w:r>
      <w:r w:rsidRPr="00414C17">
        <w:rPr>
          <w:rFonts w:ascii="Arial" w:hAnsi="Arial" w:cs="Arial"/>
        </w:rPr>
        <w:t xml:space="preserve">, [online] Available: </w:t>
      </w:r>
      <w:hyperlink r:id="rId15" w:anchor=":~:text=73%25%20of%20UK%20employees%20are,in%20their%20company's%20feedback%20programme" w:history="1">
        <w:r w:rsidRPr="00414C17">
          <w:rPr>
            <w:rStyle w:val="Hyperlink"/>
            <w:rFonts w:ascii="Arial" w:hAnsi="Arial" w:cs="Arial"/>
          </w:rPr>
          <w:t>https://thecircularboard.com/employee-engagement-statistics/#:~:text=73%25%20of%20UK%20employees%20are,in%20their%20company's%20feedback%20programme</w:t>
        </w:r>
      </w:hyperlink>
      <w:r w:rsidRPr="00414C17">
        <w:rPr>
          <w:rFonts w:ascii="Arial" w:hAnsi="Arial" w:cs="Arial"/>
        </w:rPr>
        <w:t xml:space="preserve"> [Accessed: 30 April 2022]</w:t>
      </w:r>
    </w:p>
    <w:p w:rsidR="003C71C7" w:rsidRPr="00414C17" w:rsidRDefault="003C71C7" w:rsidP="001434E1">
      <w:pPr>
        <w:spacing w:after="240" w:line="360" w:lineRule="auto"/>
        <w:rPr>
          <w:rFonts w:ascii="Arial" w:hAnsi="Arial" w:cs="Arial"/>
        </w:rPr>
      </w:pPr>
      <w:r w:rsidRPr="00414C17">
        <w:rPr>
          <w:rFonts w:ascii="Arial" w:hAnsi="Arial" w:cs="Arial"/>
        </w:rPr>
        <w:t xml:space="preserve">Motyka, B. (2018) Employee Engagement and Performance: a Systematic Literature Review, </w:t>
      </w:r>
      <w:r w:rsidRPr="00414C17">
        <w:rPr>
          <w:rFonts w:ascii="Arial" w:hAnsi="Arial" w:cs="Arial"/>
          <w:i/>
          <w:iCs/>
        </w:rPr>
        <w:t>International Journal of Management and Economics</w:t>
      </w:r>
      <w:r w:rsidRPr="00414C17">
        <w:rPr>
          <w:rFonts w:ascii="Arial" w:hAnsi="Arial" w:cs="Arial"/>
        </w:rPr>
        <w:t>, Vol. 54(3), pp. 227-244.</w:t>
      </w:r>
    </w:p>
    <w:p w:rsidR="003C71C7" w:rsidRPr="00414C17" w:rsidRDefault="003C71C7" w:rsidP="001434E1">
      <w:pPr>
        <w:spacing w:after="240" w:line="360" w:lineRule="auto"/>
        <w:rPr>
          <w:rFonts w:ascii="Arial" w:hAnsi="Arial" w:cs="Arial"/>
        </w:rPr>
      </w:pPr>
      <w:r w:rsidRPr="00414C17">
        <w:rPr>
          <w:rFonts w:ascii="Arial" w:hAnsi="Arial" w:cs="Arial"/>
        </w:rPr>
        <w:t xml:space="preserve">Nikolic, T., Necak, M. and Peric, N. (2019) The Role of Employee Engagement in Performance Management, </w:t>
      </w:r>
      <w:r w:rsidRPr="00414C17">
        <w:rPr>
          <w:rFonts w:ascii="Arial" w:hAnsi="Arial" w:cs="Arial"/>
          <w:i/>
          <w:iCs/>
        </w:rPr>
        <w:t>World Applied Sciences Journal</w:t>
      </w:r>
      <w:r w:rsidRPr="00414C17">
        <w:rPr>
          <w:rFonts w:ascii="Arial" w:hAnsi="Arial" w:cs="Arial"/>
        </w:rPr>
        <w:t>, Vol. 37(7), pp. 609-616.</w:t>
      </w:r>
    </w:p>
    <w:p w:rsidR="003C71C7" w:rsidRPr="00414C17" w:rsidRDefault="003C71C7" w:rsidP="001434E1">
      <w:pPr>
        <w:spacing w:line="360" w:lineRule="auto"/>
        <w:rPr>
          <w:rFonts w:ascii="Arial" w:hAnsi="Arial" w:cs="Arial"/>
          <w:bCs/>
          <w:iCs/>
        </w:rPr>
      </w:pPr>
      <w:r w:rsidRPr="00414C17">
        <w:rPr>
          <w:rFonts w:ascii="Arial" w:hAnsi="Arial" w:cs="Arial"/>
          <w:bCs/>
          <w:iCs/>
        </w:rPr>
        <w:lastRenderedPageBreak/>
        <w:t xml:space="preserve">Saunders, M., Lewis, P. and Thornhill, A. (2009) </w:t>
      </w:r>
      <w:r w:rsidRPr="00414C17">
        <w:rPr>
          <w:rFonts w:ascii="Arial" w:hAnsi="Arial" w:cs="Arial"/>
          <w:bCs/>
          <w:i/>
          <w:iCs/>
        </w:rPr>
        <w:t>Research Methods for Business Students</w:t>
      </w:r>
      <w:r w:rsidRPr="00414C17">
        <w:rPr>
          <w:rFonts w:ascii="Arial" w:hAnsi="Arial" w:cs="Arial"/>
          <w:bCs/>
          <w:iCs/>
        </w:rPr>
        <w:t>. 5</w:t>
      </w:r>
      <w:r w:rsidRPr="00414C17">
        <w:rPr>
          <w:rFonts w:ascii="Arial" w:hAnsi="Arial" w:cs="Arial"/>
          <w:bCs/>
          <w:iCs/>
          <w:vertAlign w:val="superscript"/>
        </w:rPr>
        <w:t>th</w:t>
      </w:r>
      <w:r w:rsidRPr="00414C17">
        <w:rPr>
          <w:rFonts w:ascii="Arial" w:hAnsi="Arial" w:cs="Arial"/>
          <w:bCs/>
          <w:iCs/>
        </w:rPr>
        <w:t xml:space="preserve"> edition, Pearson: New York</w:t>
      </w:r>
    </w:p>
    <w:p w:rsidR="003C71C7" w:rsidRPr="00414C17" w:rsidRDefault="003C71C7" w:rsidP="001434E1">
      <w:pPr>
        <w:spacing w:line="360" w:lineRule="auto"/>
        <w:rPr>
          <w:rFonts w:ascii="Arial" w:hAnsi="Arial" w:cs="Arial"/>
          <w:bCs/>
          <w:lang w:val="en-US"/>
        </w:rPr>
      </w:pPr>
      <w:r w:rsidRPr="00414C17">
        <w:rPr>
          <w:rFonts w:ascii="Arial" w:hAnsi="Arial" w:cs="Arial"/>
          <w:bCs/>
          <w:lang w:val="en-US"/>
        </w:rPr>
        <w:t xml:space="preserve">Taylor, S. (2010) </w:t>
      </w:r>
      <w:r w:rsidRPr="00414C17">
        <w:rPr>
          <w:rFonts w:ascii="Arial" w:hAnsi="Arial" w:cs="Arial"/>
          <w:bCs/>
          <w:i/>
          <w:lang w:val="en-US"/>
        </w:rPr>
        <w:t>Resourcing and talent management</w:t>
      </w:r>
      <w:r w:rsidRPr="00414C17">
        <w:rPr>
          <w:rFonts w:ascii="Arial" w:hAnsi="Arial" w:cs="Arial"/>
          <w:bCs/>
          <w:lang w:val="en-US"/>
        </w:rPr>
        <w:t>. 5</w:t>
      </w:r>
      <w:r w:rsidRPr="00414C17">
        <w:rPr>
          <w:rFonts w:ascii="Arial" w:hAnsi="Arial" w:cs="Arial"/>
          <w:bCs/>
          <w:vertAlign w:val="superscript"/>
          <w:lang w:val="en-US"/>
        </w:rPr>
        <w:t>th</w:t>
      </w:r>
      <w:r w:rsidRPr="00414C17">
        <w:rPr>
          <w:rFonts w:ascii="Arial" w:hAnsi="Arial" w:cs="Arial"/>
          <w:bCs/>
          <w:lang w:val="en-US"/>
        </w:rPr>
        <w:t xml:space="preserve"> edition, London: Chartered Institute of Personnel and Development </w:t>
      </w:r>
    </w:p>
    <w:p w:rsidR="003C71C7" w:rsidRPr="00414C17" w:rsidRDefault="003C71C7" w:rsidP="001434E1">
      <w:pPr>
        <w:spacing w:line="360" w:lineRule="auto"/>
        <w:rPr>
          <w:rFonts w:ascii="Arial" w:hAnsi="Arial" w:cs="Arial"/>
          <w:bCs/>
          <w:lang w:val="en-US"/>
        </w:rPr>
      </w:pPr>
      <w:r w:rsidRPr="00414C17">
        <w:rPr>
          <w:rFonts w:ascii="Arial" w:hAnsi="Arial" w:cs="Arial"/>
          <w:bCs/>
          <w:lang w:val="en-US"/>
        </w:rPr>
        <w:t xml:space="preserve">Torrington, D., Hall, L., Taylor, S. and Atkinson, C. (2014) </w:t>
      </w:r>
      <w:r w:rsidRPr="00414C17">
        <w:rPr>
          <w:rFonts w:ascii="Arial" w:hAnsi="Arial" w:cs="Arial"/>
          <w:bCs/>
          <w:i/>
          <w:lang w:val="en-US"/>
        </w:rPr>
        <w:t>Human Resource Management</w:t>
      </w:r>
      <w:r w:rsidRPr="00414C17">
        <w:rPr>
          <w:rFonts w:ascii="Arial" w:hAnsi="Arial" w:cs="Arial"/>
          <w:bCs/>
          <w:lang w:val="en-US"/>
        </w:rPr>
        <w:t>. 9</w:t>
      </w:r>
      <w:r w:rsidRPr="00414C17">
        <w:rPr>
          <w:rFonts w:ascii="Arial" w:hAnsi="Arial" w:cs="Arial"/>
          <w:bCs/>
          <w:vertAlign w:val="superscript"/>
          <w:lang w:val="en-US"/>
        </w:rPr>
        <w:t>th</w:t>
      </w:r>
      <w:r w:rsidRPr="00414C17">
        <w:rPr>
          <w:rFonts w:ascii="Arial" w:hAnsi="Arial" w:cs="Arial"/>
          <w:bCs/>
          <w:lang w:val="en-US"/>
        </w:rPr>
        <w:t xml:space="preserve"> edition, Pearson</w:t>
      </w:r>
    </w:p>
    <w:p w:rsidR="003C71C7" w:rsidRPr="00414C17" w:rsidRDefault="003C71C7" w:rsidP="001434E1">
      <w:pPr>
        <w:spacing w:line="360" w:lineRule="auto"/>
        <w:rPr>
          <w:rFonts w:ascii="Arial" w:hAnsi="Arial" w:cs="Arial"/>
          <w:bCs/>
          <w:lang w:val="en-US"/>
        </w:rPr>
      </w:pPr>
      <w:r w:rsidRPr="00414C17">
        <w:rPr>
          <w:rFonts w:ascii="Arial" w:hAnsi="Arial" w:cs="Arial"/>
          <w:lang w:val="en-US"/>
        </w:rPr>
        <w:t xml:space="preserve">van Vulpen, E. (2016) </w:t>
      </w:r>
      <w:r w:rsidRPr="00414C17">
        <w:rPr>
          <w:rFonts w:ascii="Arial" w:hAnsi="Arial" w:cs="Arial"/>
          <w:bCs/>
          <w:i/>
          <w:lang w:val="en-US"/>
        </w:rPr>
        <w:t>10 Employee Engagement Metrics to Track at Your Organization</w:t>
      </w:r>
      <w:r w:rsidRPr="00414C17">
        <w:rPr>
          <w:rFonts w:ascii="Arial" w:hAnsi="Arial" w:cs="Arial"/>
          <w:bCs/>
          <w:lang w:val="en-US"/>
        </w:rPr>
        <w:t xml:space="preserve">, [online] Available: </w:t>
      </w:r>
      <w:hyperlink r:id="rId16" w:anchor=":~:text=4.-,Employee%20Net%20Promoter%20Score%20(eNPS),through%20an%20employee%20engagement%20survey" w:history="1">
        <w:r w:rsidRPr="00414C17">
          <w:rPr>
            <w:rStyle w:val="Hyperlink"/>
            <w:rFonts w:ascii="Arial" w:hAnsi="Arial" w:cs="Arial"/>
            <w:bCs/>
            <w:lang w:val="en-US"/>
          </w:rPr>
          <w:t>https://www.aihr.com/blog/employee-engagement-metrics/#:~:text=4.-,Employee%20Net%20Promoter%20Score%20(eNPS),through%20an%20employee%20engagement%20survey</w:t>
        </w:r>
      </w:hyperlink>
      <w:r w:rsidRPr="00414C17">
        <w:rPr>
          <w:rFonts w:ascii="Arial" w:hAnsi="Arial" w:cs="Arial"/>
          <w:bCs/>
          <w:lang w:val="en-US"/>
        </w:rPr>
        <w:t xml:space="preserve"> [Accessed: 27 April 2022]</w:t>
      </w:r>
    </w:p>
    <w:p w:rsidR="003C71C7" w:rsidRPr="00414C17" w:rsidRDefault="003C71C7" w:rsidP="001434E1">
      <w:pPr>
        <w:spacing w:line="360" w:lineRule="auto"/>
        <w:rPr>
          <w:rFonts w:ascii="Arial" w:hAnsi="Arial" w:cs="Arial"/>
          <w:bCs/>
          <w:lang w:val="en-US"/>
        </w:rPr>
      </w:pPr>
      <w:r w:rsidRPr="00414C17">
        <w:rPr>
          <w:rFonts w:ascii="Arial" w:hAnsi="Arial" w:cs="Arial"/>
          <w:bCs/>
          <w:lang w:val="en-US"/>
        </w:rPr>
        <w:t xml:space="preserve">Wickens, Z. (2021) </w:t>
      </w:r>
      <w:r w:rsidRPr="00414C17">
        <w:rPr>
          <w:rFonts w:ascii="Arial" w:hAnsi="Arial" w:cs="Arial"/>
          <w:bCs/>
          <w:i/>
          <w:lang w:val="en-US"/>
        </w:rPr>
        <w:t>Asda unveils hybrid working model</w:t>
      </w:r>
      <w:r w:rsidRPr="00414C17">
        <w:rPr>
          <w:rFonts w:ascii="Arial" w:hAnsi="Arial" w:cs="Arial"/>
          <w:bCs/>
          <w:lang w:val="en-US"/>
        </w:rPr>
        <w:t xml:space="preserve">, [online] Available: </w:t>
      </w:r>
      <w:hyperlink r:id="rId17" w:history="1">
        <w:r w:rsidRPr="00414C17">
          <w:rPr>
            <w:rStyle w:val="Hyperlink"/>
            <w:rFonts w:ascii="Arial" w:hAnsi="Arial" w:cs="Arial"/>
            <w:bCs/>
            <w:lang w:val="en-US"/>
          </w:rPr>
          <w:t>https://employeebenefits.co.uk/asda-unveils-hybrid-working-model/</w:t>
        </w:r>
      </w:hyperlink>
      <w:r w:rsidRPr="00414C17">
        <w:rPr>
          <w:rFonts w:ascii="Arial" w:hAnsi="Arial" w:cs="Arial"/>
          <w:bCs/>
          <w:lang w:val="en-US"/>
        </w:rPr>
        <w:t xml:space="preserve"> [Accessed: 28 April 2022]</w:t>
      </w:r>
    </w:p>
    <w:p w:rsidR="006B5EBF" w:rsidRPr="00414C17" w:rsidRDefault="006B5EBF" w:rsidP="003F53C5">
      <w:pPr>
        <w:spacing w:line="360" w:lineRule="auto"/>
        <w:rPr>
          <w:rFonts w:ascii="Arial" w:hAnsi="Arial" w:cs="Arial"/>
          <w:bCs/>
          <w:lang w:val="en-US"/>
        </w:rPr>
      </w:pPr>
    </w:p>
    <w:p w:rsidR="004D7EE5" w:rsidRPr="00414C17" w:rsidRDefault="004D7EE5" w:rsidP="003F53C5">
      <w:pPr>
        <w:spacing w:line="360" w:lineRule="auto"/>
        <w:rPr>
          <w:rFonts w:ascii="Arial" w:hAnsi="Arial" w:cs="Arial"/>
          <w:bCs/>
          <w:lang w:val="en-US"/>
        </w:rPr>
      </w:pPr>
    </w:p>
    <w:p w:rsidR="00637E44" w:rsidRPr="00414C17" w:rsidRDefault="00637E44" w:rsidP="00637E44">
      <w:pPr>
        <w:spacing w:line="360" w:lineRule="auto"/>
        <w:rPr>
          <w:rFonts w:ascii="Arial" w:hAnsi="Arial" w:cs="Arial"/>
          <w:bCs/>
          <w:lang w:val="en-US"/>
        </w:rPr>
      </w:pPr>
    </w:p>
    <w:p w:rsidR="00637E44" w:rsidRPr="00414C17" w:rsidRDefault="00637E44" w:rsidP="00637E44">
      <w:pPr>
        <w:spacing w:line="360" w:lineRule="auto"/>
        <w:rPr>
          <w:rFonts w:ascii="Arial" w:hAnsi="Arial" w:cs="Arial"/>
          <w:lang w:val="en-US"/>
        </w:rPr>
      </w:pPr>
    </w:p>
    <w:sectPr w:rsidR="00637E44" w:rsidRPr="00414C17" w:rsidSect="003A000F">
      <w:footerReference w:type="default" r:id="rId18"/>
      <w:pgSz w:w="12240" w:h="15840"/>
      <w:pgMar w:top="1418" w:right="181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77B3" w:rsidRDefault="005F77B3" w:rsidP="008D2C1B">
      <w:pPr>
        <w:spacing w:after="0" w:line="240" w:lineRule="auto"/>
      </w:pPr>
      <w:r>
        <w:separator/>
      </w:r>
    </w:p>
  </w:endnote>
  <w:endnote w:type="continuationSeparator" w:id="0">
    <w:p w:rsidR="005F77B3" w:rsidRDefault="005F77B3" w:rsidP="008D2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779469"/>
      <w:docPartObj>
        <w:docPartGallery w:val="Page Numbers (Bottom of Page)"/>
        <w:docPartUnique/>
      </w:docPartObj>
    </w:sdtPr>
    <w:sdtEndPr/>
    <w:sdtContent>
      <w:p w:rsidR="00745989" w:rsidRDefault="00052F9B">
        <w:pPr>
          <w:pStyle w:val="Footer"/>
          <w:jc w:val="right"/>
        </w:pPr>
        <w:r>
          <w:fldChar w:fldCharType="begin"/>
        </w:r>
        <w:r>
          <w:instrText xml:space="preserve"> PAGE   \* MERGEFORMAT </w:instrText>
        </w:r>
        <w:r>
          <w:fldChar w:fldCharType="separate"/>
        </w:r>
        <w:r w:rsidR="008712F1">
          <w:rPr>
            <w:noProof/>
          </w:rPr>
          <w:t>1</w:t>
        </w:r>
        <w:r>
          <w:rPr>
            <w:noProof/>
          </w:rPr>
          <w:fldChar w:fldCharType="end"/>
        </w:r>
      </w:p>
    </w:sdtContent>
  </w:sdt>
  <w:p w:rsidR="00745989" w:rsidRDefault="007459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77B3" w:rsidRDefault="005F77B3" w:rsidP="008D2C1B">
      <w:pPr>
        <w:spacing w:after="0" w:line="240" w:lineRule="auto"/>
      </w:pPr>
      <w:r>
        <w:separator/>
      </w:r>
    </w:p>
  </w:footnote>
  <w:footnote w:type="continuationSeparator" w:id="0">
    <w:p w:rsidR="005F77B3" w:rsidRDefault="005F77B3" w:rsidP="008D2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53367E"/>
    <w:multiLevelType w:val="hybridMultilevel"/>
    <w:tmpl w:val="624ED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76C58"/>
    <w:rsid w:val="00052F9B"/>
    <w:rsid w:val="000A047A"/>
    <w:rsid w:val="000D0023"/>
    <w:rsid w:val="00106345"/>
    <w:rsid w:val="001434E1"/>
    <w:rsid w:val="001472F4"/>
    <w:rsid w:val="0015043E"/>
    <w:rsid w:val="00176C58"/>
    <w:rsid w:val="001B2F1E"/>
    <w:rsid w:val="001C0F90"/>
    <w:rsid w:val="00245A60"/>
    <w:rsid w:val="0025630F"/>
    <w:rsid w:val="00256927"/>
    <w:rsid w:val="00283806"/>
    <w:rsid w:val="002C4F74"/>
    <w:rsid w:val="002F6B01"/>
    <w:rsid w:val="0037790D"/>
    <w:rsid w:val="003A000F"/>
    <w:rsid w:val="003C71C7"/>
    <w:rsid w:val="003F53C5"/>
    <w:rsid w:val="003F72BB"/>
    <w:rsid w:val="00414C17"/>
    <w:rsid w:val="00425C51"/>
    <w:rsid w:val="00426023"/>
    <w:rsid w:val="004A5687"/>
    <w:rsid w:val="004B17BE"/>
    <w:rsid w:val="004C2925"/>
    <w:rsid w:val="004D7EE5"/>
    <w:rsid w:val="004F28C3"/>
    <w:rsid w:val="004F6E43"/>
    <w:rsid w:val="00507E2A"/>
    <w:rsid w:val="005F77B3"/>
    <w:rsid w:val="00626C7F"/>
    <w:rsid w:val="00637E44"/>
    <w:rsid w:val="006B5EBF"/>
    <w:rsid w:val="006F55F8"/>
    <w:rsid w:val="00745989"/>
    <w:rsid w:val="00751B09"/>
    <w:rsid w:val="00776253"/>
    <w:rsid w:val="007B65F2"/>
    <w:rsid w:val="008712F1"/>
    <w:rsid w:val="008C3EE1"/>
    <w:rsid w:val="008D2C1B"/>
    <w:rsid w:val="00907B0E"/>
    <w:rsid w:val="00917290"/>
    <w:rsid w:val="00966799"/>
    <w:rsid w:val="009C0014"/>
    <w:rsid w:val="009F3C7F"/>
    <w:rsid w:val="00A332E2"/>
    <w:rsid w:val="00A730CD"/>
    <w:rsid w:val="00AC2C64"/>
    <w:rsid w:val="00AC7278"/>
    <w:rsid w:val="00B72D10"/>
    <w:rsid w:val="00C20ECA"/>
    <w:rsid w:val="00CE3E23"/>
    <w:rsid w:val="00D61D47"/>
    <w:rsid w:val="00DC20DD"/>
    <w:rsid w:val="00DD465F"/>
    <w:rsid w:val="00E56D90"/>
    <w:rsid w:val="00EE6E8D"/>
    <w:rsid w:val="00F40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7D88"/>
  <w15:docId w15:val="{595CCD44-ADA3-4881-8F3E-B2C4E2D7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927"/>
    <w:pPr>
      <w:suppressAutoHyphens w:val="0"/>
      <w:spacing w:after="160" w:line="259" w:lineRule="auto"/>
    </w:pPr>
    <w:rPr>
      <w:lang w:val="en-GB"/>
    </w:rPr>
  </w:style>
  <w:style w:type="paragraph" w:styleId="Heading1">
    <w:name w:val="heading 1"/>
    <w:basedOn w:val="Normal"/>
    <w:next w:val="Normal"/>
    <w:link w:val="Heading1Char"/>
    <w:uiPriority w:val="9"/>
    <w:qFormat/>
    <w:rsid w:val="00414C17"/>
    <w:pPr>
      <w:keepNext/>
      <w:keepLines/>
      <w:spacing w:before="600" w:after="280" w:line="360" w:lineRule="auto"/>
      <w:jc w:val="both"/>
      <w:outlineLvl w:val="0"/>
    </w:pPr>
    <w:rPr>
      <w:rFonts w:ascii="Arial" w:eastAsiaTheme="majorEastAsia" w:hAnsi="Arial"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14C17"/>
    <w:rPr>
      <w:rFonts w:ascii="Arial" w:eastAsiaTheme="majorEastAsia" w:hAnsi="Arial"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uiPriority w:val="35"/>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ind w:left="720"/>
      <w:contextualSpacing/>
    </w:pPr>
  </w:style>
  <w:style w:type="paragraph" w:styleId="TOCHeading">
    <w:name w:val="TOC Heading"/>
    <w:basedOn w:val="Heading1"/>
    <w:next w:val="Normal"/>
    <w:uiPriority w:val="39"/>
    <w:semiHidden/>
    <w:unhideWhenUsed/>
    <w:qFormat/>
    <w:rsid w:val="008C3EE1"/>
    <w:pPr>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8D2C1B"/>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8D2C1B"/>
    <w:rPr>
      <w:lang w:val="en-GB"/>
    </w:rPr>
  </w:style>
  <w:style w:type="paragraph" w:styleId="Footer">
    <w:name w:val="footer"/>
    <w:basedOn w:val="Normal"/>
    <w:link w:val="FooterChar"/>
    <w:uiPriority w:val="99"/>
    <w:unhideWhenUsed/>
    <w:rsid w:val="008D2C1B"/>
    <w:pPr>
      <w:tabs>
        <w:tab w:val="center" w:pos="4703"/>
        <w:tab w:val="right" w:pos="9406"/>
      </w:tabs>
      <w:spacing w:after="0" w:line="240" w:lineRule="auto"/>
    </w:pPr>
  </w:style>
  <w:style w:type="character" w:customStyle="1" w:styleId="FooterChar">
    <w:name w:val="Footer Char"/>
    <w:basedOn w:val="DefaultParagraphFont"/>
    <w:link w:val="Footer"/>
    <w:uiPriority w:val="99"/>
    <w:rsid w:val="008D2C1B"/>
    <w:rPr>
      <w:lang w:val="en-GB"/>
    </w:rPr>
  </w:style>
  <w:style w:type="character" w:styleId="Hyperlink">
    <w:name w:val="Hyperlink"/>
    <w:basedOn w:val="DefaultParagraphFont"/>
    <w:uiPriority w:val="99"/>
    <w:unhideWhenUsed/>
    <w:rsid w:val="00637E44"/>
    <w:rPr>
      <w:color w:val="0000FF" w:themeColor="hyperlink"/>
      <w:u w:val="single"/>
    </w:rPr>
  </w:style>
  <w:style w:type="paragraph" w:styleId="TOC1">
    <w:name w:val="toc 1"/>
    <w:basedOn w:val="Normal"/>
    <w:next w:val="Normal"/>
    <w:autoRedefine/>
    <w:uiPriority w:val="39"/>
    <w:unhideWhenUsed/>
    <w:rsid w:val="003A00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4489">
      <w:bodyDiv w:val="1"/>
      <w:marLeft w:val="0"/>
      <w:marRight w:val="0"/>
      <w:marTop w:val="0"/>
      <w:marBottom w:val="0"/>
      <w:divBdr>
        <w:top w:val="none" w:sz="0" w:space="0" w:color="auto"/>
        <w:left w:val="none" w:sz="0" w:space="0" w:color="auto"/>
        <w:bottom w:val="none" w:sz="0" w:space="0" w:color="auto"/>
        <w:right w:val="none" w:sz="0" w:space="0" w:color="auto"/>
      </w:divBdr>
    </w:div>
    <w:div w:id="1096514128">
      <w:bodyDiv w:val="1"/>
      <w:marLeft w:val="0"/>
      <w:marRight w:val="0"/>
      <w:marTop w:val="0"/>
      <w:marBottom w:val="0"/>
      <w:divBdr>
        <w:top w:val="none" w:sz="0" w:space="0" w:color="auto"/>
        <w:left w:val="none" w:sz="0" w:space="0" w:color="auto"/>
        <w:bottom w:val="none" w:sz="0" w:space="0" w:color="auto"/>
        <w:right w:val="none" w:sz="0" w:space="0" w:color="auto"/>
      </w:divBdr>
    </w:div>
    <w:div w:id="1573853618">
      <w:bodyDiv w:val="1"/>
      <w:marLeft w:val="0"/>
      <w:marRight w:val="0"/>
      <w:marTop w:val="0"/>
      <w:marBottom w:val="0"/>
      <w:divBdr>
        <w:top w:val="none" w:sz="0" w:space="0" w:color="auto"/>
        <w:left w:val="none" w:sz="0" w:space="0" w:color="auto"/>
        <w:bottom w:val="none" w:sz="0" w:space="0" w:color="auto"/>
        <w:right w:val="none" w:sz="0" w:space="0" w:color="auto"/>
      </w:divBdr>
    </w:div>
    <w:div w:id="197540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assdoor.com/Reviews/ASDA-Reviews-E10108.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da.com/creating-change-for-better/better-business/great-place-to-work" TargetMode="External"/><Relationship Id="rId17" Type="http://schemas.openxmlformats.org/officeDocument/2006/relationships/hyperlink" Target="https://employeebenefits.co.uk/asda-unveils-hybrid-working-model/" TargetMode="External"/><Relationship Id="rId2" Type="http://schemas.openxmlformats.org/officeDocument/2006/relationships/numbering" Target="numbering.xml"/><Relationship Id="rId16" Type="http://schemas.openxmlformats.org/officeDocument/2006/relationships/hyperlink" Target="https://www.aihr.com/blog/employee-engagement-metr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asda.com/our-story/company-facts" TargetMode="External"/><Relationship Id="rId5" Type="http://schemas.openxmlformats.org/officeDocument/2006/relationships/webSettings" Target="webSettings.xml"/><Relationship Id="rId15" Type="http://schemas.openxmlformats.org/officeDocument/2006/relationships/hyperlink" Target="https://thecircularboard.com/employee-engagement-statistic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emanticscholar.org/paper/Application-of-the-Maslow-%E2%80%99-s-hierarchy-of-need-%3B-%2C-Jerome/b0bcc8ca45193eaf700350a8ac2ddfc09a093be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05D14-8960-4B87-923B-D7A0D794A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12</Pages>
  <Words>2894</Words>
  <Characters>16499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2022-05-04T10:38:00Z</dcterms:created>
  <dcterms:modified xsi:type="dcterms:W3CDTF">2022-05-05T15:10:00Z</dcterms:modified>
</cp:coreProperties>
</file>