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78CB9" w14:textId="77777777" w:rsidR="00F0571A" w:rsidRPr="00307E0E" w:rsidRDefault="00F0571A" w:rsidP="00307E0E">
      <w:pPr>
        <w:spacing w:line="360" w:lineRule="auto"/>
        <w:jc w:val="center"/>
        <w:rPr>
          <w:rFonts w:ascii="Times New Roman" w:hAnsi="Times New Roman" w:cs="Times New Roman"/>
          <w:b/>
          <w:bCs/>
          <w:sz w:val="36"/>
          <w:szCs w:val="36"/>
        </w:rPr>
      </w:pPr>
      <w:r w:rsidRPr="00307E0E">
        <w:rPr>
          <w:rFonts w:ascii="Times New Roman" w:hAnsi="Times New Roman" w:cs="Times New Roman"/>
          <w:b/>
          <w:bCs/>
          <w:sz w:val="36"/>
          <w:szCs w:val="36"/>
        </w:rPr>
        <w:t xml:space="preserve">Critique of Kachru’s Concentric Circles Model of World </w:t>
      </w:r>
      <w:proofErr w:type="spellStart"/>
      <w:r w:rsidRPr="00307E0E">
        <w:rPr>
          <w:rFonts w:ascii="Times New Roman" w:hAnsi="Times New Roman" w:cs="Times New Roman"/>
          <w:b/>
          <w:bCs/>
          <w:sz w:val="36"/>
          <w:szCs w:val="36"/>
        </w:rPr>
        <w:t>Englishes</w:t>
      </w:r>
      <w:proofErr w:type="spellEnd"/>
      <w:r w:rsidRPr="00307E0E">
        <w:rPr>
          <w:rFonts w:ascii="Times New Roman" w:hAnsi="Times New Roman" w:cs="Times New Roman"/>
          <w:b/>
          <w:bCs/>
          <w:sz w:val="36"/>
          <w:szCs w:val="36"/>
        </w:rPr>
        <w:t>: From Power Structure to Variety Autonomy</w:t>
      </w:r>
    </w:p>
    <w:p w14:paraId="61C407A0" w14:textId="77777777" w:rsidR="00307E0E" w:rsidRDefault="00307E0E" w:rsidP="00307E0E">
      <w:pPr>
        <w:spacing w:line="360" w:lineRule="auto"/>
        <w:rPr>
          <w:rFonts w:ascii="Times New Roman" w:hAnsi="Times New Roman" w:cs="Times New Roman"/>
          <w:b/>
          <w:bCs/>
        </w:rPr>
      </w:pPr>
    </w:p>
    <w:p w14:paraId="3835CCCD" w14:textId="77777777" w:rsidR="00307E0E" w:rsidRDefault="00307E0E" w:rsidP="00307E0E">
      <w:pPr>
        <w:spacing w:line="360" w:lineRule="auto"/>
        <w:rPr>
          <w:rFonts w:ascii="Times New Roman" w:hAnsi="Times New Roman" w:cs="Times New Roman"/>
          <w:b/>
          <w:bCs/>
        </w:rPr>
      </w:pPr>
    </w:p>
    <w:p w14:paraId="7D445DD2" w14:textId="77777777" w:rsidR="00307E0E" w:rsidRDefault="00307E0E" w:rsidP="00307E0E">
      <w:pPr>
        <w:spacing w:line="360" w:lineRule="auto"/>
        <w:rPr>
          <w:rFonts w:ascii="Times New Roman" w:hAnsi="Times New Roman" w:cs="Times New Roman"/>
          <w:b/>
          <w:bCs/>
        </w:rPr>
      </w:pPr>
    </w:p>
    <w:p w14:paraId="497072D4" w14:textId="77777777" w:rsidR="00307E0E" w:rsidRDefault="00307E0E" w:rsidP="00307E0E">
      <w:pPr>
        <w:spacing w:line="360" w:lineRule="auto"/>
        <w:rPr>
          <w:rFonts w:ascii="Times New Roman" w:hAnsi="Times New Roman" w:cs="Times New Roman"/>
          <w:b/>
          <w:bCs/>
        </w:rPr>
      </w:pPr>
    </w:p>
    <w:p w14:paraId="172C6E92" w14:textId="77C10023" w:rsidR="00027710"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1 Introduction</w:t>
      </w:r>
    </w:p>
    <w:p w14:paraId="1A524945" w14:textId="48B3F116" w:rsidR="00B84FCB" w:rsidRDefault="00B84FCB" w:rsidP="00B84FCB">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It </w:t>
      </w:r>
      <w:r w:rsidRPr="00B84FCB">
        <w:rPr>
          <w:rFonts w:ascii="Times New Roman" w:hAnsi="Times New Roman" w:cs="Times New Roman"/>
          <w:sz w:val="28"/>
          <w:szCs w:val="28"/>
        </w:rPr>
        <w:t xml:space="preserve">first introduces Braj B. Kachru’s Concentric Circles Model of World </w:t>
      </w:r>
      <w:proofErr w:type="spellStart"/>
      <w:r w:rsidRPr="00B84FCB">
        <w:rPr>
          <w:rFonts w:ascii="Times New Roman" w:hAnsi="Times New Roman" w:cs="Times New Roman"/>
          <w:sz w:val="28"/>
          <w:szCs w:val="28"/>
        </w:rPr>
        <w:t>Englishes</w:t>
      </w:r>
      <w:proofErr w:type="spellEnd"/>
      <w:r w:rsidRPr="00B84FCB">
        <w:rPr>
          <w:rFonts w:ascii="Times New Roman" w:hAnsi="Times New Roman" w:cs="Times New Roman"/>
          <w:sz w:val="28"/>
          <w:szCs w:val="28"/>
        </w:rPr>
        <w:t>, a foundational theoretical framework for systematically classifying global English varieties, which greatly advanced understanding of English globalization. It also notes that as a typical EC representative, China’s English is labeled an “instrumental foreign language” in the model, conflicting with its autonomous development into a legitimate variety with unique lexical, syntactic and pragmatic features over two decades.</w:t>
      </w:r>
    </w:p>
    <w:p w14:paraId="13C8BB07" w14:textId="77777777" w:rsidR="00B84FCB" w:rsidRPr="00B84FCB" w:rsidRDefault="00B84FCB" w:rsidP="00307E0E">
      <w:pPr>
        <w:spacing w:line="360" w:lineRule="auto"/>
        <w:rPr>
          <w:rFonts w:ascii="Times New Roman" w:hAnsi="Times New Roman" w:cs="Times New Roman"/>
          <w:sz w:val="28"/>
          <w:szCs w:val="28"/>
        </w:rPr>
      </w:pPr>
    </w:p>
    <w:p w14:paraId="16158C74" w14:textId="77777777"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1.1 Research Background and Model Positioning</w:t>
      </w:r>
    </w:p>
    <w:p w14:paraId="53B9E879" w14:textId="17667112" w:rsidR="00F0571A" w:rsidRDefault="00F0571A" w:rsidP="00027710">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Braj B. Kachru’s Concentric Circles Model of World </w:t>
      </w:r>
      <w:proofErr w:type="spellStart"/>
      <w:r w:rsidRPr="00307E0E">
        <w:rPr>
          <w:rFonts w:ascii="Times New Roman" w:hAnsi="Times New Roman" w:cs="Times New Roman"/>
          <w:sz w:val="28"/>
          <w:szCs w:val="28"/>
        </w:rPr>
        <w:t>Englishes</w:t>
      </w:r>
      <w:proofErr w:type="spellEnd"/>
      <w:r w:rsidRPr="00307E0E">
        <w:rPr>
          <w:rFonts w:ascii="Times New Roman" w:hAnsi="Times New Roman" w:cs="Times New Roman"/>
          <w:sz w:val="28"/>
          <w:szCs w:val="28"/>
        </w:rPr>
        <w:t xml:space="preserve"> </w:t>
      </w:r>
      <w:r w:rsidR="004073F3" w:rsidRPr="004073F3">
        <w:rPr>
          <w:rFonts w:ascii="Times New Roman" w:hAnsi="Times New Roman" w:cs="Times New Roman"/>
          <w:sz w:val="28"/>
          <w:szCs w:val="28"/>
        </w:rPr>
        <w:t>is of foundational significance</w:t>
      </w:r>
      <w:r w:rsidR="004073F3">
        <w:rPr>
          <w:rFonts w:ascii="Times New Roman" w:hAnsi="Times New Roman" w:cs="Times New Roman"/>
          <w:sz w:val="28"/>
          <w:szCs w:val="28"/>
        </w:rPr>
        <w:t xml:space="preserve"> </w:t>
      </w:r>
      <w:r w:rsidRPr="00307E0E">
        <w:rPr>
          <w:rFonts w:ascii="Times New Roman" w:hAnsi="Times New Roman" w:cs="Times New Roman"/>
          <w:sz w:val="28"/>
          <w:szCs w:val="28"/>
        </w:rPr>
        <w:t xml:space="preserve">as the first theoretical framework to systematically classify global English varieties (Kachru, 1992). It divides English into three concentric circles: the Inner Circle (IC), comprising ENL (English as a Native Language) countries such as the UK, the US, and Australia, where English is used as a mother tongue; the Outer Circle (OC), </w:t>
      </w:r>
      <w:r w:rsidRPr="00307E0E">
        <w:rPr>
          <w:rFonts w:ascii="Times New Roman" w:hAnsi="Times New Roman" w:cs="Times New Roman"/>
          <w:sz w:val="28"/>
          <w:szCs w:val="28"/>
        </w:rPr>
        <w:lastRenderedPageBreak/>
        <w:t>including ESL (English as a Second Language) nations like India and Nigeria, whose English varieties emerged from colonial history; and the Expanding Circle (EC), referring to EFL (English as a Foreign Language) contexts such as China and Japan (Kachru, 1992). This trichotomy has greatly advanced academic understanding of English globalization by mapping its global distribution and laying the groundwork for discussions on linguistic diversity (Crystal, 2003).</w:t>
      </w:r>
    </w:p>
    <w:p w14:paraId="1E185BDA" w14:textId="56745459" w:rsidR="00F0571A" w:rsidRDefault="00F0571A" w:rsidP="00027710">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As a typical EC representative, </w:t>
      </w:r>
      <w:r w:rsidR="000C18EB" w:rsidRPr="000C18EB">
        <w:rPr>
          <w:rFonts w:ascii="Times New Roman" w:hAnsi="Times New Roman" w:cs="Times New Roman"/>
          <w:sz w:val="28"/>
          <w:szCs w:val="28"/>
        </w:rPr>
        <w:t>China has found that English has more uses in education, business, and international communication.</w:t>
      </w:r>
      <w:r w:rsidRPr="00307E0E">
        <w:rPr>
          <w:rFonts w:ascii="Times New Roman" w:hAnsi="Times New Roman" w:cs="Times New Roman"/>
          <w:sz w:val="28"/>
          <w:szCs w:val="28"/>
        </w:rPr>
        <w:t xml:space="preserve"> However, the model’s positioning of Chinese English as a </w:t>
      </w:r>
      <w:r w:rsidR="00F66223">
        <w:rPr>
          <w:rFonts w:ascii="Times New Roman" w:hAnsi="Times New Roman" w:cs="Times New Roman"/>
          <w:sz w:val="28"/>
          <w:szCs w:val="28"/>
        </w:rPr>
        <w:t>“</w:t>
      </w:r>
      <w:r w:rsidRPr="00307E0E">
        <w:rPr>
          <w:rFonts w:ascii="Times New Roman" w:hAnsi="Times New Roman" w:cs="Times New Roman"/>
          <w:sz w:val="28"/>
          <w:szCs w:val="28"/>
        </w:rPr>
        <w:t>instrumental foreign language</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fails to reflect its autonomous development over the past two decades (Li, 2024). In reality, Chinese English has evolved into a legitimate variety with unique lexical, syntactic, and pragmatic features, shaped by cultural contact between English and Chinese (Li, W.Z., 1993; Wang et al., 2025). This discrepancy highlights the model’s inadequacy in capturing the dynamic evolution of non-IC varieties.</w:t>
      </w:r>
    </w:p>
    <w:p w14:paraId="58D4B379" w14:textId="77777777" w:rsidR="00027710" w:rsidRPr="00307E0E" w:rsidRDefault="00027710" w:rsidP="00307E0E">
      <w:pPr>
        <w:spacing w:line="360" w:lineRule="auto"/>
        <w:rPr>
          <w:rFonts w:ascii="Times New Roman" w:hAnsi="Times New Roman" w:cs="Times New Roman"/>
          <w:sz w:val="28"/>
          <w:szCs w:val="28"/>
        </w:rPr>
      </w:pPr>
    </w:p>
    <w:p w14:paraId="27887145" w14:textId="77777777"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1.2 Critical Focus and Research Questions</w:t>
      </w:r>
    </w:p>
    <w:p w14:paraId="75727FAB" w14:textId="5F1BD3A4" w:rsidR="00F0571A" w:rsidRPr="00307E0E" w:rsidRDefault="00F0571A" w:rsidP="008E1815">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This paper centers on two core critiques of the model: first, its implicit power structure of </w:t>
      </w:r>
      <w:r w:rsidR="00F66223">
        <w:rPr>
          <w:rFonts w:ascii="Times New Roman" w:hAnsi="Times New Roman" w:cs="Times New Roman"/>
          <w:sz w:val="28"/>
          <w:szCs w:val="28"/>
        </w:rPr>
        <w:t>“</w:t>
      </w:r>
      <w:r w:rsidRPr="00307E0E">
        <w:rPr>
          <w:rFonts w:ascii="Times New Roman" w:hAnsi="Times New Roman" w:cs="Times New Roman"/>
          <w:sz w:val="28"/>
          <w:szCs w:val="28"/>
        </w:rPr>
        <w:t>IC centrality and OC/EC dependence,</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which consolidates linguistic inequality; second, its static hierarchical framework, which neglects the fluidity and autonomy of non-IC varieties. Two research </w:t>
      </w:r>
      <w:r w:rsidRPr="00307E0E">
        <w:rPr>
          <w:rFonts w:ascii="Times New Roman" w:hAnsi="Times New Roman" w:cs="Times New Roman"/>
          <w:sz w:val="28"/>
          <w:szCs w:val="28"/>
        </w:rPr>
        <w:lastRenderedPageBreak/>
        <w:t>questions guide the analysis: (1) How does the model’s power hierarchy legitimize unequal relations among English varieties? (2) Have the developmental practices of non-IC varieties transcended the model’s theoretical boundaries?</w:t>
      </w:r>
    </w:p>
    <w:p w14:paraId="7DB3C487" w14:textId="77777777" w:rsidR="00BD43B9" w:rsidRDefault="00BD43B9" w:rsidP="00307E0E">
      <w:pPr>
        <w:spacing w:line="360" w:lineRule="auto"/>
        <w:rPr>
          <w:rFonts w:ascii="Times New Roman" w:hAnsi="Times New Roman" w:cs="Times New Roman"/>
          <w:b/>
          <w:bCs/>
          <w:sz w:val="28"/>
          <w:szCs w:val="28"/>
        </w:rPr>
      </w:pPr>
    </w:p>
    <w:p w14:paraId="0CA37C9C" w14:textId="77777777" w:rsidR="008E7EAE" w:rsidRDefault="008E7EAE" w:rsidP="00307E0E">
      <w:pPr>
        <w:spacing w:line="360" w:lineRule="auto"/>
        <w:rPr>
          <w:rFonts w:ascii="Times New Roman" w:hAnsi="Times New Roman" w:cs="Times New Roman"/>
          <w:b/>
          <w:bCs/>
          <w:sz w:val="28"/>
          <w:szCs w:val="28"/>
        </w:rPr>
      </w:pPr>
    </w:p>
    <w:p w14:paraId="78471E5B" w14:textId="77777777" w:rsidR="008E7EAE" w:rsidRDefault="008E7EAE" w:rsidP="00307E0E">
      <w:pPr>
        <w:spacing w:line="360" w:lineRule="auto"/>
        <w:rPr>
          <w:rFonts w:ascii="Times New Roman" w:hAnsi="Times New Roman" w:cs="Times New Roman"/>
          <w:b/>
          <w:bCs/>
          <w:sz w:val="28"/>
          <w:szCs w:val="28"/>
        </w:rPr>
      </w:pPr>
    </w:p>
    <w:p w14:paraId="3BDE567C" w14:textId="77777777" w:rsidR="008E7EAE" w:rsidRDefault="008E7EAE" w:rsidP="00307E0E">
      <w:pPr>
        <w:spacing w:line="360" w:lineRule="auto"/>
        <w:rPr>
          <w:rFonts w:ascii="Times New Roman" w:hAnsi="Times New Roman" w:cs="Times New Roman"/>
          <w:b/>
          <w:bCs/>
          <w:sz w:val="28"/>
          <w:szCs w:val="28"/>
        </w:rPr>
      </w:pPr>
    </w:p>
    <w:p w14:paraId="6D515C6C" w14:textId="77777777" w:rsidR="008E7EAE" w:rsidRDefault="008E7EAE" w:rsidP="00307E0E">
      <w:pPr>
        <w:spacing w:line="360" w:lineRule="auto"/>
        <w:rPr>
          <w:rFonts w:ascii="Times New Roman" w:hAnsi="Times New Roman" w:cs="Times New Roman"/>
          <w:b/>
          <w:bCs/>
          <w:sz w:val="28"/>
          <w:szCs w:val="28"/>
        </w:rPr>
      </w:pPr>
    </w:p>
    <w:p w14:paraId="4498C9B1" w14:textId="15F1F0E8" w:rsidR="00F0571A"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2 Literature Review</w:t>
      </w:r>
    </w:p>
    <w:p w14:paraId="081A545D" w14:textId="3C57F467" w:rsidR="00BD43B9" w:rsidRDefault="00DC0414" w:rsidP="00DC0414">
      <w:pPr>
        <w:spacing w:line="360" w:lineRule="auto"/>
        <w:ind w:firstLineChars="200" w:firstLine="560"/>
        <w:rPr>
          <w:rFonts w:ascii="Times New Roman" w:hAnsi="Times New Roman" w:cs="Times New Roman"/>
          <w:sz w:val="28"/>
          <w:szCs w:val="28"/>
        </w:rPr>
      </w:pPr>
      <w:r w:rsidRPr="00DC0414">
        <w:rPr>
          <w:rFonts w:ascii="Times New Roman" w:hAnsi="Times New Roman" w:cs="Times New Roman"/>
          <w:sz w:val="28"/>
          <w:szCs w:val="28"/>
        </w:rPr>
        <w:t xml:space="preserve">It first expounds the core claims (e.g., the Inner Circle as </w:t>
      </w:r>
      <w:r w:rsidR="00F66223">
        <w:rPr>
          <w:rFonts w:ascii="Times New Roman" w:hAnsi="Times New Roman" w:cs="Times New Roman"/>
          <w:sz w:val="28"/>
          <w:szCs w:val="28"/>
        </w:rPr>
        <w:t>“</w:t>
      </w:r>
      <w:r w:rsidRPr="00DC0414">
        <w:rPr>
          <w:rFonts w:ascii="Times New Roman" w:hAnsi="Times New Roman" w:cs="Times New Roman"/>
          <w:sz w:val="28"/>
          <w:szCs w:val="28"/>
        </w:rPr>
        <w:t>norm-providing</w:t>
      </w:r>
      <w:r w:rsidR="00E72019">
        <w:rPr>
          <w:rFonts w:ascii="Times New Roman" w:hAnsi="Times New Roman" w:cs="Times New Roman"/>
          <w:sz w:val="28"/>
          <w:szCs w:val="28"/>
        </w:rPr>
        <w:t>”</w:t>
      </w:r>
      <w:r w:rsidRPr="00DC0414">
        <w:rPr>
          <w:rFonts w:ascii="Times New Roman" w:hAnsi="Times New Roman" w:cs="Times New Roman"/>
          <w:sz w:val="28"/>
          <w:szCs w:val="28"/>
        </w:rPr>
        <w:t xml:space="preserve">, promoting the de-monopolization of World </w:t>
      </w:r>
      <w:proofErr w:type="spellStart"/>
      <w:r w:rsidRPr="00DC0414">
        <w:rPr>
          <w:rFonts w:ascii="Times New Roman" w:hAnsi="Times New Roman" w:cs="Times New Roman"/>
          <w:sz w:val="28"/>
          <w:szCs w:val="28"/>
        </w:rPr>
        <w:t>Englishes</w:t>
      </w:r>
      <w:proofErr w:type="spellEnd"/>
      <w:r w:rsidRPr="00DC0414">
        <w:rPr>
          <w:rFonts w:ascii="Times New Roman" w:hAnsi="Times New Roman" w:cs="Times New Roman"/>
          <w:sz w:val="28"/>
          <w:szCs w:val="28"/>
        </w:rPr>
        <w:t xml:space="preserve"> research) and contributions of Kachru’s </w:t>
      </w:r>
      <w:r w:rsidR="00E72019" w:rsidRPr="00DC0414">
        <w:rPr>
          <w:rFonts w:ascii="Times New Roman" w:hAnsi="Times New Roman" w:cs="Times New Roman"/>
          <w:sz w:val="28"/>
          <w:szCs w:val="28"/>
        </w:rPr>
        <w:t>model</w:t>
      </w:r>
      <w:r w:rsidRPr="00DC0414">
        <w:rPr>
          <w:rFonts w:ascii="Times New Roman" w:hAnsi="Times New Roman" w:cs="Times New Roman"/>
          <w:sz w:val="28"/>
          <w:szCs w:val="28"/>
        </w:rPr>
        <w:t xml:space="preserve">. Then it focuses on key controversies and theoretical dialogues (critiques of power structure, revisions of static hierarchy, ELF Theory, and Kachru’s late reflections). Finally, it takes Chinese English as the empirical foundation to demonstrate its characteristics as a legitimate variety (distinguishing from Chinglish, lexical innovations, </w:t>
      </w:r>
      <w:proofErr w:type="spellStart"/>
      <w:r w:rsidRPr="00DC0414">
        <w:rPr>
          <w:rFonts w:ascii="Times New Roman" w:hAnsi="Times New Roman" w:cs="Times New Roman"/>
          <w:sz w:val="28"/>
          <w:szCs w:val="28"/>
        </w:rPr>
        <w:t>etc</w:t>
      </w:r>
      <w:proofErr w:type="spellEnd"/>
      <w:r w:rsidRPr="00DC0414">
        <w:rPr>
          <w:rFonts w:ascii="Times New Roman" w:hAnsi="Times New Roman" w:cs="Times New Roman"/>
          <w:sz w:val="28"/>
          <w:szCs w:val="28"/>
        </w:rPr>
        <w:t>).</w:t>
      </w:r>
    </w:p>
    <w:p w14:paraId="09528069" w14:textId="77777777" w:rsidR="00DC0414" w:rsidRPr="00DC0414" w:rsidRDefault="00DC0414" w:rsidP="00307E0E">
      <w:pPr>
        <w:spacing w:line="360" w:lineRule="auto"/>
        <w:rPr>
          <w:rFonts w:ascii="Times New Roman" w:hAnsi="Times New Roman" w:cs="Times New Roman"/>
          <w:sz w:val="28"/>
          <w:szCs w:val="28"/>
        </w:rPr>
      </w:pPr>
    </w:p>
    <w:p w14:paraId="347E6DD5" w14:textId="77777777"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2.1 Core Claims and Contributions of Kachru’s Model</w:t>
      </w:r>
    </w:p>
    <w:p w14:paraId="714858BF" w14:textId="34117697" w:rsidR="00F0571A" w:rsidRPr="00307E0E" w:rsidRDefault="00F0571A" w:rsidP="00BD43B9">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Kachru (1992) defines the IC as </w:t>
      </w:r>
      <w:r w:rsidR="00F66223">
        <w:rPr>
          <w:rFonts w:ascii="Times New Roman" w:hAnsi="Times New Roman" w:cs="Times New Roman"/>
          <w:sz w:val="28"/>
          <w:szCs w:val="28"/>
        </w:rPr>
        <w:t>“</w:t>
      </w:r>
      <w:r w:rsidRPr="00307E0E">
        <w:rPr>
          <w:rFonts w:ascii="Times New Roman" w:hAnsi="Times New Roman" w:cs="Times New Roman"/>
          <w:sz w:val="28"/>
          <w:szCs w:val="28"/>
        </w:rPr>
        <w:t>norm-providing,</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emphasizing its dual role as the birthplace of traditional English norms and the dominant </w:t>
      </w:r>
      <w:r w:rsidRPr="00307E0E">
        <w:rPr>
          <w:rFonts w:ascii="Times New Roman" w:hAnsi="Times New Roman" w:cs="Times New Roman"/>
          <w:sz w:val="28"/>
          <w:szCs w:val="28"/>
        </w:rPr>
        <w:lastRenderedPageBreak/>
        <w:t xml:space="preserve">source of global ELT (English Language Teaching) standards. Through education systems, media, and colonial expansion, IC countries (notably the UK and the US) have constructed </w:t>
      </w:r>
      <w:r w:rsidR="00F66223">
        <w:rPr>
          <w:rFonts w:ascii="Times New Roman" w:hAnsi="Times New Roman" w:cs="Times New Roman"/>
          <w:sz w:val="28"/>
          <w:szCs w:val="28"/>
        </w:rPr>
        <w:t>“</w:t>
      </w:r>
      <w:r w:rsidRPr="00307E0E">
        <w:rPr>
          <w:rFonts w:ascii="Times New Roman" w:hAnsi="Times New Roman" w:cs="Times New Roman"/>
          <w:sz w:val="28"/>
          <w:szCs w:val="28"/>
        </w:rPr>
        <w:t>standard varieties</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(e.g., Standard British English, Standard American English) that shape textbook compilation, language tests (e.g., TOEFL, IELTS), and assessment systems worldwide (Kachru, 1992). This positioning is rooted in historical, political, and economic factors rather than inherent linguistic superiority (Kachru, 1992).</w:t>
      </w:r>
    </w:p>
    <w:p w14:paraId="7F818574" w14:textId="07BBBBB7" w:rsidR="00F0571A" w:rsidRPr="00307E0E" w:rsidRDefault="00F0571A" w:rsidP="00BD43B9">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Crystal (2003) commends the model for dismantling the monolithic view of English by highlighting its diverse manifestations across circles and its integration with local cultures. It provided crucial theoretical support for recognizing the legitimacy of </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World </w:t>
      </w:r>
      <w:proofErr w:type="spellStart"/>
      <w:r w:rsidRPr="00307E0E">
        <w:rPr>
          <w:rFonts w:ascii="Times New Roman" w:hAnsi="Times New Roman" w:cs="Times New Roman"/>
          <w:sz w:val="28"/>
          <w:szCs w:val="28"/>
        </w:rPr>
        <w:t>Englishes</w:t>
      </w:r>
      <w:proofErr w:type="spellEnd"/>
      <w:r w:rsidR="00F66223">
        <w:rPr>
          <w:rFonts w:ascii="Times New Roman" w:hAnsi="Times New Roman" w:cs="Times New Roman"/>
          <w:sz w:val="28"/>
          <w:szCs w:val="28"/>
        </w:rPr>
        <w:t>”</w:t>
      </w:r>
      <w:r w:rsidRPr="00307E0E">
        <w:rPr>
          <w:rFonts w:ascii="Times New Roman" w:hAnsi="Times New Roman" w:cs="Times New Roman"/>
          <w:sz w:val="28"/>
          <w:szCs w:val="28"/>
        </w:rPr>
        <w:t xml:space="preserve"> and promoted the de-monopolization of English studies (Crystal, 2003).</w:t>
      </w:r>
    </w:p>
    <w:p w14:paraId="294F766D" w14:textId="77777777" w:rsidR="00BD43B9" w:rsidRDefault="00BD43B9" w:rsidP="00307E0E">
      <w:pPr>
        <w:spacing w:line="360" w:lineRule="auto"/>
        <w:rPr>
          <w:rFonts w:ascii="Times New Roman" w:hAnsi="Times New Roman" w:cs="Times New Roman"/>
          <w:b/>
          <w:bCs/>
          <w:sz w:val="28"/>
          <w:szCs w:val="28"/>
        </w:rPr>
      </w:pPr>
    </w:p>
    <w:p w14:paraId="26E9ACE7" w14:textId="20E5C1FB"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2.2 Key Controversies and Theoretical Dialogues</w:t>
      </w:r>
    </w:p>
    <w:p w14:paraId="4C6FAC80" w14:textId="4C76AF8F" w:rsidR="00A358E2" w:rsidRDefault="00BD43B9" w:rsidP="00BD43B9">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It </w:t>
      </w:r>
      <w:r w:rsidRPr="00BD43B9">
        <w:rPr>
          <w:rFonts w:ascii="Times New Roman" w:hAnsi="Times New Roman" w:cs="Times New Roman"/>
          <w:sz w:val="28"/>
          <w:szCs w:val="28"/>
        </w:rPr>
        <w:t xml:space="preserve">focuses on the controversies surrounding Kachru’s model and relevant theoretical discussions. It covers four core dimensions: critiques of power structure (exposing the model’s role in naturalizing colonial history and solidifying linguistic hegemony), critiques of static hierarchy and revisions (highlighting the fluidity of English varieties via cases like Singlish), ELF </w:t>
      </w:r>
      <w:r w:rsidR="00320E38">
        <w:rPr>
          <w:rFonts w:ascii="Times New Roman" w:hAnsi="Times New Roman" w:cs="Times New Roman" w:hint="eastAsia"/>
          <w:sz w:val="28"/>
          <w:szCs w:val="28"/>
        </w:rPr>
        <w:t>T</w:t>
      </w:r>
      <w:r w:rsidRPr="00BD43B9">
        <w:rPr>
          <w:rFonts w:ascii="Times New Roman" w:hAnsi="Times New Roman" w:cs="Times New Roman"/>
          <w:sz w:val="28"/>
          <w:szCs w:val="28"/>
        </w:rPr>
        <w:t xml:space="preserve">heory (going beyond native speaker norms with the Lingua Franca Core to prioritize communicative intelligibility), and </w:t>
      </w:r>
      <w:r w:rsidRPr="00BD43B9">
        <w:rPr>
          <w:rFonts w:ascii="Times New Roman" w:hAnsi="Times New Roman" w:cs="Times New Roman"/>
          <w:sz w:val="28"/>
          <w:szCs w:val="28"/>
        </w:rPr>
        <w:lastRenderedPageBreak/>
        <w:t>Kachru’s late reflections (acknowledging the model’s limitations and advocating a linguistic ecological perspective). It addresses the model’s core flaws through diverse theoretical dialogues.</w:t>
      </w:r>
    </w:p>
    <w:p w14:paraId="1ECC35D9" w14:textId="77777777" w:rsidR="00BD43B9" w:rsidRPr="00BD43B9" w:rsidRDefault="00BD43B9" w:rsidP="008E7EAE">
      <w:pPr>
        <w:spacing w:line="360" w:lineRule="auto"/>
        <w:rPr>
          <w:rFonts w:ascii="Times New Roman" w:hAnsi="Times New Roman" w:cs="Times New Roman"/>
          <w:sz w:val="28"/>
          <w:szCs w:val="28"/>
        </w:rPr>
      </w:pPr>
    </w:p>
    <w:p w14:paraId="6D9AD3D6" w14:textId="57F42657"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2.2.1 Critiques of Power Structure</w:t>
      </w:r>
    </w:p>
    <w:p w14:paraId="67BDA23D" w14:textId="1E047C7B" w:rsidR="00F0571A" w:rsidRPr="00307E0E" w:rsidRDefault="00F0571A" w:rsidP="00A358E2">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Pennycook (2017) criticizes the model for </w:t>
      </w:r>
      <w:r w:rsidR="00F66223">
        <w:rPr>
          <w:rFonts w:ascii="Times New Roman" w:hAnsi="Times New Roman" w:cs="Times New Roman"/>
          <w:sz w:val="28"/>
          <w:szCs w:val="28"/>
        </w:rPr>
        <w:t>“</w:t>
      </w:r>
      <w:r w:rsidRPr="00307E0E">
        <w:rPr>
          <w:rFonts w:ascii="Times New Roman" w:hAnsi="Times New Roman" w:cs="Times New Roman"/>
          <w:sz w:val="28"/>
          <w:szCs w:val="28"/>
        </w:rPr>
        <w:t>naturalizing colonial history and legitimizing power hierarchies,</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arguing that its three-circle classification obscures the unequal power relations behind English’s global spread. He identifies three limitations: depoliticization (ignoring IC linguistic hegemony), hierarchy solidification (marginalizing OC/EC varieties), and the absence of resistance mechanisms (failing to account for localized innovations like Singlish) (Pennycook, 2017, pp.75-78).</w:t>
      </w:r>
    </w:p>
    <w:p w14:paraId="7105F4C5" w14:textId="258F2B3C" w:rsidR="00F0571A" w:rsidRDefault="00F0571A" w:rsidP="00A358E2">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Phillipson’s (1992; 2009) linguistic imperialism theory further explains this power dynamic: IC countries maintain cultural and political dominance by exporting ELT standards, framing Anglo-American expertise as </w:t>
      </w:r>
      <w:r w:rsidR="00F66223">
        <w:rPr>
          <w:rFonts w:ascii="Times New Roman" w:hAnsi="Times New Roman" w:cs="Times New Roman"/>
          <w:sz w:val="28"/>
          <w:szCs w:val="28"/>
        </w:rPr>
        <w:t>“</w:t>
      </w:r>
      <w:r w:rsidRPr="00307E0E">
        <w:rPr>
          <w:rFonts w:ascii="Times New Roman" w:hAnsi="Times New Roman" w:cs="Times New Roman"/>
          <w:sz w:val="28"/>
          <w:szCs w:val="28"/>
        </w:rPr>
        <w:t>global norms</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and marginalizing local linguistic traditions. Through institutions like the British Council and transnational publishers, a unidirectional </w:t>
      </w:r>
      <w:r w:rsidR="00F66223">
        <w:rPr>
          <w:rFonts w:ascii="Times New Roman" w:hAnsi="Times New Roman" w:cs="Times New Roman"/>
          <w:sz w:val="28"/>
          <w:szCs w:val="28"/>
        </w:rPr>
        <w:t>“</w:t>
      </w:r>
      <w:r w:rsidRPr="00307E0E">
        <w:rPr>
          <w:rFonts w:ascii="Times New Roman" w:hAnsi="Times New Roman" w:cs="Times New Roman"/>
          <w:sz w:val="28"/>
          <w:szCs w:val="28"/>
        </w:rPr>
        <w:t>core-periphery</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knowledge flow is constructed, reinforcing linguicism (</w:t>
      </w:r>
      <w:proofErr w:type="spellStart"/>
      <w:r w:rsidRPr="00307E0E">
        <w:rPr>
          <w:rFonts w:ascii="Times New Roman" w:hAnsi="Times New Roman" w:cs="Times New Roman"/>
          <w:sz w:val="28"/>
          <w:szCs w:val="28"/>
        </w:rPr>
        <w:t>Skutnabb</w:t>
      </w:r>
      <w:proofErr w:type="spellEnd"/>
      <w:r w:rsidRPr="00307E0E">
        <w:rPr>
          <w:rFonts w:ascii="Times New Roman" w:hAnsi="Times New Roman" w:cs="Times New Roman"/>
          <w:sz w:val="28"/>
          <w:szCs w:val="28"/>
        </w:rPr>
        <w:t>-Kangas, 1988) and consolidating IC hegemony (Gray, 2010).</w:t>
      </w:r>
    </w:p>
    <w:p w14:paraId="7D12A33E" w14:textId="77777777" w:rsidR="00A358E2" w:rsidRDefault="00A358E2" w:rsidP="00307E0E">
      <w:pPr>
        <w:spacing w:line="360" w:lineRule="auto"/>
        <w:rPr>
          <w:rFonts w:ascii="Times New Roman" w:hAnsi="Times New Roman" w:cs="Times New Roman"/>
          <w:sz w:val="28"/>
          <w:szCs w:val="28"/>
        </w:rPr>
      </w:pPr>
    </w:p>
    <w:p w14:paraId="29EBF2AD" w14:textId="77777777" w:rsidR="000546AE" w:rsidRPr="00307E0E" w:rsidRDefault="000546AE" w:rsidP="00307E0E">
      <w:pPr>
        <w:spacing w:line="360" w:lineRule="auto"/>
        <w:rPr>
          <w:rFonts w:ascii="Times New Roman" w:hAnsi="Times New Roman" w:cs="Times New Roman"/>
          <w:sz w:val="28"/>
          <w:szCs w:val="28"/>
        </w:rPr>
      </w:pPr>
    </w:p>
    <w:p w14:paraId="0C8C1804" w14:textId="77777777"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lastRenderedPageBreak/>
        <w:t>2.2.2 Critiques of Static Hierarchy and Revisions</w:t>
      </w:r>
    </w:p>
    <w:p w14:paraId="7581FB09" w14:textId="399082BB" w:rsidR="00F0571A" w:rsidRPr="00307E0E" w:rsidRDefault="00F0571A" w:rsidP="00A358E2">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Later research challenges the model’s static nature by emphasizing the fluidity of English varieties. Wee’s (2018) model frames Singlish as a dynamic </w:t>
      </w:r>
      <w:r w:rsidR="00F66223">
        <w:rPr>
          <w:rFonts w:ascii="Times New Roman" w:hAnsi="Times New Roman" w:cs="Times New Roman"/>
          <w:sz w:val="28"/>
          <w:szCs w:val="28"/>
        </w:rPr>
        <w:t>“</w:t>
      </w:r>
      <w:r w:rsidRPr="00307E0E">
        <w:rPr>
          <w:rFonts w:ascii="Times New Roman" w:hAnsi="Times New Roman" w:cs="Times New Roman"/>
          <w:sz w:val="28"/>
          <w:szCs w:val="28"/>
        </w:rPr>
        <w:t>multiplicity</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shaped by social context and identity negotiation. Empirical studies confirm this fluidity: Bolton and Botha (2017; 2019) find that 48%-51% of Singaporean university students’ social interactions involve code-switching, demonstrating seamless shifts between linguistic varieties.</w:t>
      </w:r>
    </w:p>
    <w:p w14:paraId="16888135" w14:textId="0C94170C" w:rsidR="00F0571A" w:rsidRDefault="00F0571A" w:rsidP="00A358E2">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For Chinese English, Li (2024) notes its nomenclatural shift from </w:t>
      </w:r>
      <w:r w:rsidR="00F66223">
        <w:rPr>
          <w:rFonts w:ascii="Times New Roman" w:hAnsi="Times New Roman" w:cs="Times New Roman"/>
          <w:sz w:val="28"/>
          <w:szCs w:val="28"/>
        </w:rPr>
        <w:t>“</w:t>
      </w:r>
      <w:r w:rsidRPr="00307E0E">
        <w:rPr>
          <w:rFonts w:ascii="Times New Roman" w:hAnsi="Times New Roman" w:cs="Times New Roman"/>
          <w:sz w:val="28"/>
          <w:szCs w:val="28"/>
        </w:rPr>
        <w:t>China English</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to </w:t>
      </w:r>
      <w:r w:rsidR="00F66223">
        <w:rPr>
          <w:rFonts w:ascii="Times New Roman" w:hAnsi="Times New Roman" w:cs="Times New Roman"/>
          <w:sz w:val="28"/>
          <w:szCs w:val="28"/>
        </w:rPr>
        <w:t>“</w:t>
      </w:r>
      <w:r w:rsidRPr="00307E0E">
        <w:rPr>
          <w:rFonts w:ascii="Times New Roman" w:hAnsi="Times New Roman" w:cs="Times New Roman"/>
          <w:sz w:val="28"/>
          <w:szCs w:val="28"/>
        </w:rPr>
        <w:t>Chinese English,</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aligning with global conventions for naming English varieties. Lexically, it integrates cultural-specific expressions via transliteration (e.g., </w:t>
      </w:r>
      <w:r w:rsidR="00F66223">
        <w:rPr>
          <w:rFonts w:ascii="Times New Roman" w:hAnsi="Times New Roman" w:cs="Times New Roman"/>
          <w:sz w:val="28"/>
          <w:szCs w:val="28"/>
        </w:rPr>
        <w:t>“</w:t>
      </w:r>
      <w:r w:rsidRPr="00307E0E">
        <w:rPr>
          <w:rFonts w:ascii="Times New Roman" w:hAnsi="Times New Roman" w:cs="Times New Roman"/>
          <w:sz w:val="28"/>
          <w:szCs w:val="28"/>
        </w:rPr>
        <w:t>litchi</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and </w:t>
      </w:r>
      <w:r w:rsidR="000546AE" w:rsidRPr="000546AE">
        <w:rPr>
          <w:rFonts w:ascii="Times New Roman" w:hAnsi="Times New Roman" w:cs="Times New Roman"/>
          <w:sz w:val="28"/>
          <w:szCs w:val="28"/>
        </w:rPr>
        <w:t>literal translation</w:t>
      </w:r>
      <w:r w:rsidRPr="00307E0E">
        <w:rPr>
          <w:rFonts w:ascii="Times New Roman" w:hAnsi="Times New Roman" w:cs="Times New Roman"/>
          <w:sz w:val="28"/>
          <w:szCs w:val="28"/>
        </w:rPr>
        <w:t xml:space="preserve"> (e.g., </w:t>
      </w:r>
      <w:r w:rsidR="00F66223">
        <w:rPr>
          <w:rFonts w:ascii="Times New Roman" w:hAnsi="Times New Roman" w:cs="Times New Roman"/>
          <w:sz w:val="28"/>
          <w:szCs w:val="28"/>
        </w:rPr>
        <w:t>“</w:t>
      </w:r>
      <w:r w:rsidRPr="00307E0E">
        <w:rPr>
          <w:rFonts w:ascii="Times New Roman" w:hAnsi="Times New Roman" w:cs="Times New Roman"/>
          <w:sz w:val="28"/>
          <w:szCs w:val="28"/>
        </w:rPr>
        <w:t>one country two systems</w:t>
      </w:r>
      <w:r w:rsidR="00F66223">
        <w:rPr>
          <w:rFonts w:ascii="Times New Roman" w:hAnsi="Times New Roman" w:cs="Times New Roman"/>
          <w:sz w:val="28"/>
          <w:szCs w:val="28"/>
        </w:rPr>
        <w:t>”</w:t>
      </w:r>
      <w:r w:rsidRPr="00307E0E">
        <w:rPr>
          <w:rFonts w:ascii="Times New Roman" w:hAnsi="Times New Roman" w:cs="Times New Roman"/>
          <w:sz w:val="28"/>
          <w:szCs w:val="28"/>
        </w:rPr>
        <w:t>) (Li, W.Z., 1993), while syntactic features evolve with educational systems and extracurricular activities (Wang et al., 2025). These phenomena confirm that non-IC varieties are dynamic entities rather than fixed constructs.</w:t>
      </w:r>
    </w:p>
    <w:p w14:paraId="4ADAB325" w14:textId="77777777" w:rsidR="00A358E2" w:rsidRPr="00307E0E" w:rsidRDefault="00A358E2" w:rsidP="00307E0E">
      <w:pPr>
        <w:spacing w:line="360" w:lineRule="auto"/>
        <w:rPr>
          <w:rFonts w:ascii="Times New Roman" w:hAnsi="Times New Roman" w:cs="Times New Roman"/>
          <w:sz w:val="28"/>
          <w:szCs w:val="28"/>
        </w:rPr>
      </w:pPr>
    </w:p>
    <w:p w14:paraId="0DD18854" w14:textId="77777777"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2.2.3 ELF Theory: Beyond Native Speaker Norms</w:t>
      </w:r>
    </w:p>
    <w:p w14:paraId="3A67A93A" w14:textId="62AE2BA9" w:rsidR="00F0571A" w:rsidRDefault="00F0571A" w:rsidP="00A358E2">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Jenkins’ (2000; 2007) ELF (English as a Lingua Franca) research provides a critical alternative to the model’s IC-centric norms. Her Lingua Franca Core (LFC) theory identifies key phonological features (e.g., vowel length contrast, core stress) that ensure intelligibility, excluding non-</w:t>
      </w:r>
      <w:r w:rsidRPr="00307E0E">
        <w:rPr>
          <w:rFonts w:ascii="Times New Roman" w:hAnsi="Times New Roman" w:cs="Times New Roman"/>
          <w:sz w:val="28"/>
          <w:szCs w:val="28"/>
        </w:rPr>
        <w:lastRenderedPageBreak/>
        <w:t xml:space="preserve">essential IC-specific features (e.g., liaison, weak forms). An empirical study by Jenkins (2000) shows that non-native speakers using LFC achieve a 92% communication success rate, proving that IC standards are functionally redundant for cross-cultural communication. Jenkins (2007) advocates redefining English as a shared global resource, with </w:t>
      </w:r>
      <w:r w:rsidR="00F66223">
        <w:rPr>
          <w:rFonts w:ascii="Times New Roman" w:hAnsi="Times New Roman" w:cs="Times New Roman"/>
          <w:sz w:val="28"/>
          <w:szCs w:val="28"/>
        </w:rPr>
        <w:t>“</w:t>
      </w:r>
      <w:r w:rsidRPr="00307E0E">
        <w:rPr>
          <w:rFonts w:ascii="Times New Roman" w:hAnsi="Times New Roman" w:cs="Times New Roman"/>
          <w:sz w:val="28"/>
          <w:szCs w:val="28"/>
        </w:rPr>
        <w:t>communicative intelligibility</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replacing native speaker norms as the core evaluation criterion.</w:t>
      </w:r>
    </w:p>
    <w:p w14:paraId="76F100B2" w14:textId="77777777" w:rsidR="00A358E2" w:rsidRPr="00307E0E" w:rsidRDefault="00A358E2" w:rsidP="00307E0E">
      <w:pPr>
        <w:spacing w:line="360" w:lineRule="auto"/>
        <w:rPr>
          <w:rFonts w:ascii="Times New Roman" w:hAnsi="Times New Roman" w:cs="Times New Roman"/>
          <w:sz w:val="28"/>
          <w:szCs w:val="28"/>
        </w:rPr>
      </w:pPr>
    </w:p>
    <w:p w14:paraId="35D3DE14" w14:textId="77777777"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2.2.4 Kachru’s Late Reflections</w:t>
      </w:r>
    </w:p>
    <w:p w14:paraId="1BFB6E19" w14:textId="77777777" w:rsidR="00F0571A" w:rsidRDefault="00F0571A" w:rsidP="00A358E2">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Kachru (2005) later acknowledged the model’s limitations, admitting that its hierarchical framework failed to capture the dynamic evolution of non-IC varieties. Using Indian English (with distinct phonetic and lexical innovations) and Chinese English (shaped by Mandarin influence) as examples, he emphasized the need to reconstruct understanding of English diversity from a linguistic ecological perspective, rather than relying on rigid classification (Kachru, 2005, Chapter 5).</w:t>
      </w:r>
    </w:p>
    <w:p w14:paraId="082DFF1E" w14:textId="77777777" w:rsidR="00A358E2" w:rsidRPr="00307E0E" w:rsidRDefault="00A358E2" w:rsidP="00307E0E">
      <w:pPr>
        <w:spacing w:line="360" w:lineRule="auto"/>
        <w:rPr>
          <w:rFonts w:ascii="Times New Roman" w:hAnsi="Times New Roman" w:cs="Times New Roman"/>
          <w:sz w:val="28"/>
          <w:szCs w:val="28"/>
        </w:rPr>
      </w:pPr>
    </w:p>
    <w:p w14:paraId="17BB7DD7" w14:textId="77777777"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2.3 Empirical Foundation: Chinese English as a Legitimate Variety</w:t>
      </w:r>
    </w:p>
    <w:p w14:paraId="0ED762E5" w14:textId="0B8239F2" w:rsidR="00F0571A" w:rsidRPr="00307E0E" w:rsidRDefault="00F0571A" w:rsidP="00A358E2">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Li, W.Z. (1993) first distinguished </w:t>
      </w:r>
      <w:r w:rsidR="00F66223">
        <w:rPr>
          <w:rFonts w:ascii="Times New Roman" w:hAnsi="Times New Roman" w:cs="Times New Roman"/>
          <w:sz w:val="28"/>
          <w:szCs w:val="28"/>
        </w:rPr>
        <w:t>“</w:t>
      </w:r>
      <w:r w:rsidRPr="00307E0E">
        <w:rPr>
          <w:rFonts w:ascii="Times New Roman" w:hAnsi="Times New Roman" w:cs="Times New Roman"/>
          <w:sz w:val="28"/>
          <w:szCs w:val="28"/>
        </w:rPr>
        <w:t>Chinese English</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from </w:t>
      </w:r>
      <w:r w:rsidR="00F66223">
        <w:rPr>
          <w:rFonts w:ascii="Times New Roman" w:hAnsi="Times New Roman" w:cs="Times New Roman"/>
          <w:sz w:val="28"/>
          <w:szCs w:val="28"/>
        </w:rPr>
        <w:t>“</w:t>
      </w:r>
      <w:r w:rsidRPr="00307E0E">
        <w:rPr>
          <w:rFonts w:ascii="Times New Roman" w:hAnsi="Times New Roman" w:cs="Times New Roman"/>
          <w:sz w:val="28"/>
          <w:szCs w:val="28"/>
        </w:rPr>
        <w:t>Chinglish</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the former is a legitimate variety based on standard English, used to convey Chinese cultural concepts (e.g., </w:t>
      </w:r>
      <w:r w:rsidR="00F66223">
        <w:rPr>
          <w:rFonts w:ascii="Times New Roman" w:hAnsi="Times New Roman" w:cs="Times New Roman"/>
          <w:sz w:val="28"/>
          <w:szCs w:val="28"/>
        </w:rPr>
        <w:t>“</w:t>
      </w:r>
      <w:r w:rsidRPr="00307E0E">
        <w:rPr>
          <w:rFonts w:ascii="Times New Roman" w:hAnsi="Times New Roman" w:cs="Times New Roman"/>
          <w:sz w:val="28"/>
          <w:szCs w:val="28"/>
        </w:rPr>
        <w:t>Four Modernizations</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while the latter refers to non-standard errors caused by mother tongue </w:t>
      </w:r>
      <w:r w:rsidRPr="00307E0E">
        <w:rPr>
          <w:rFonts w:ascii="Times New Roman" w:hAnsi="Times New Roman" w:cs="Times New Roman"/>
          <w:sz w:val="28"/>
          <w:szCs w:val="28"/>
        </w:rPr>
        <w:lastRenderedPageBreak/>
        <w:t xml:space="preserve">interference. Xu and Tian (2016) confirm that over 5,000 Chinese-specific terms (e.g., </w:t>
      </w:r>
      <w:r w:rsidR="00F66223">
        <w:rPr>
          <w:rFonts w:ascii="Times New Roman" w:hAnsi="Times New Roman" w:cs="Times New Roman"/>
          <w:sz w:val="28"/>
          <w:szCs w:val="28"/>
        </w:rPr>
        <w:t>“</w:t>
      </w:r>
      <w:proofErr w:type="spellStart"/>
      <w:r w:rsidRPr="00307E0E">
        <w:rPr>
          <w:rFonts w:ascii="Times New Roman" w:hAnsi="Times New Roman" w:cs="Times New Roman"/>
          <w:sz w:val="28"/>
          <w:szCs w:val="28"/>
        </w:rPr>
        <w:t>tuhao</w:t>
      </w:r>
      <w:proofErr w:type="spellEnd"/>
      <w:r w:rsidRPr="00307E0E">
        <w:rPr>
          <w:rFonts w:ascii="Times New Roman" w:hAnsi="Times New Roman" w:cs="Times New Roman"/>
          <w:sz w:val="28"/>
          <w:szCs w:val="28"/>
        </w:rPr>
        <w:t>,</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w:t>
      </w:r>
      <w:r w:rsidR="00F66223">
        <w:rPr>
          <w:rFonts w:ascii="Times New Roman" w:hAnsi="Times New Roman" w:cs="Times New Roman"/>
          <w:sz w:val="28"/>
          <w:szCs w:val="28"/>
        </w:rPr>
        <w:t>“</w:t>
      </w:r>
      <w:r w:rsidRPr="00307E0E">
        <w:rPr>
          <w:rFonts w:ascii="Times New Roman" w:hAnsi="Times New Roman" w:cs="Times New Roman"/>
          <w:sz w:val="28"/>
          <w:szCs w:val="28"/>
        </w:rPr>
        <w:t>dama</w:t>
      </w:r>
      <w:r w:rsidR="00F66223">
        <w:rPr>
          <w:rFonts w:ascii="Times New Roman" w:hAnsi="Times New Roman" w:cs="Times New Roman"/>
          <w:sz w:val="28"/>
          <w:szCs w:val="28"/>
        </w:rPr>
        <w:t>”</w:t>
      </w:r>
      <w:r w:rsidRPr="00307E0E">
        <w:rPr>
          <w:rFonts w:ascii="Times New Roman" w:hAnsi="Times New Roman" w:cs="Times New Roman"/>
          <w:sz w:val="28"/>
          <w:szCs w:val="28"/>
        </w:rPr>
        <w:t>) have integrated into the global English system, demonstrating its lexical innovation vitality. Research on the Chinese Learner English Corpus (CLEC) shows that Chinese English’s localized expressions achieve effective cross-cultural communication and are increasingly accepted globally (Wang et al., 2025).</w:t>
      </w:r>
    </w:p>
    <w:p w14:paraId="6E910204" w14:textId="77777777" w:rsidR="00F0571A" w:rsidRDefault="00F0571A" w:rsidP="00307E0E">
      <w:pPr>
        <w:spacing w:line="360" w:lineRule="auto"/>
        <w:rPr>
          <w:rFonts w:ascii="Times New Roman" w:hAnsi="Times New Roman" w:cs="Times New Roman"/>
          <w:b/>
          <w:bCs/>
          <w:sz w:val="28"/>
          <w:szCs w:val="28"/>
        </w:rPr>
      </w:pPr>
    </w:p>
    <w:p w14:paraId="1000A984" w14:textId="77777777" w:rsidR="00857B5D" w:rsidRDefault="00857B5D" w:rsidP="00307E0E">
      <w:pPr>
        <w:spacing w:line="360" w:lineRule="auto"/>
        <w:rPr>
          <w:rFonts w:ascii="Times New Roman" w:hAnsi="Times New Roman" w:cs="Times New Roman"/>
          <w:b/>
          <w:bCs/>
          <w:sz w:val="28"/>
          <w:szCs w:val="28"/>
        </w:rPr>
      </w:pPr>
    </w:p>
    <w:p w14:paraId="6B6779C9" w14:textId="77777777" w:rsidR="00857B5D" w:rsidRDefault="00857B5D" w:rsidP="00307E0E">
      <w:pPr>
        <w:spacing w:line="360" w:lineRule="auto"/>
        <w:rPr>
          <w:rFonts w:ascii="Times New Roman" w:hAnsi="Times New Roman" w:cs="Times New Roman"/>
          <w:b/>
          <w:bCs/>
          <w:sz w:val="28"/>
          <w:szCs w:val="28"/>
        </w:rPr>
      </w:pPr>
    </w:p>
    <w:p w14:paraId="606B1AC3" w14:textId="77777777" w:rsidR="00857B5D" w:rsidRPr="00857B5D" w:rsidRDefault="00857B5D" w:rsidP="00307E0E">
      <w:pPr>
        <w:spacing w:line="360" w:lineRule="auto"/>
        <w:rPr>
          <w:rFonts w:ascii="Times New Roman" w:hAnsi="Times New Roman" w:cs="Times New Roman"/>
          <w:b/>
          <w:bCs/>
          <w:sz w:val="28"/>
          <w:szCs w:val="28"/>
        </w:rPr>
      </w:pPr>
    </w:p>
    <w:p w14:paraId="303AB648" w14:textId="4139B24C" w:rsidR="00A358E2"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 xml:space="preserve">3 </w:t>
      </w:r>
      <w:bookmarkStart w:id="0" w:name="OLE_LINK1"/>
      <w:r w:rsidRPr="00307E0E">
        <w:rPr>
          <w:rFonts w:ascii="Times New Roman" w:hAnsi="Times New Roman" w:cs="Times New Roman"/>
          <w:b/>
          <w:bCs/>
          <w:sz w:val="28"/>
          <w:szCs w:val="28"/>
        </w:rPr>
        <w:t>Critical Analysis</w:t>
      </w:r>
      <w:bookmarkEnd w:id="0"/>
    </w:p>
    <w:p w14:paraId="1C4EA789" w14:textId="72AFE358" w:rsidR="00A358E2" w:rsidRDefault="00DC0414" w:rsidP="00A358E2">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It</w:t>
      </w:r>
      <w:r w:rsidR="00A358E2" w:rsidRPr="00A358E2">
        <w:rPr>
          <w:rFonts w:ascii="Times New Roman" w:hAnsi="Times New Roman" w:cs="Times New Roman"/>
          <w:sz w:val="28"/>
          <w:szCs w:val="28"/>
        </w:rPr>
        <w:t xml:space="preserve"> focuses on two core critiques: first, the Inner Circle’s </w:t>
      </w:r>
      <w:r w:rsidR="00F66223">
        <w:rPr>
          <w:rFonts w:ascii="Times New Roman" w:hAnsi="Times New Roman" w:cs="Times New Roman"/>
          <w:sz w:val="28"/>
          <w:szCs w:val="28"/>
        </w:rPr>
        <w:t>“</w:t>
      </w:r>
      <w:r w:rsidR="00A358E2" w:rsidRPr="00A358E2">
        <w:rPr>
          <w:rFonts w:ascii="Times New Roman" w:hAnsi="Times New Roman" w:cs="Times New Roman"/>
          <w:sz w:val="28"/>
          <w:szCs w:val="28"/>
        </w:rPr>
        <w:t>standard hegemony</w:t>
      </w:r>
      <w:r w:rsidR="00F66223">
        <w:rPr>
          <w:rFonts w:ascii="Times New Roman" w:hAnsi="Times New Roman" w:cs="Times New Roman"/>
          <w:sz w:val="28"/>
          <w:szCs w:val="28"/>
        </w:rPr>
        <w:t>”</w:t>
      </w:r>
      <w:r w:rsidR="00A358E2" w:rsidRPr="00A358E2">
        <w:rPr>
          <w:rFonts w:ascii="Times New Roman" w:hAnsi="Times New Roman" w:cs="Times New Roman"/>
          <w:sz w:val="28"/>
          <w:szCs w:val="28"/>
        </w:rPr>
        <w:t xml:space="preserve"> causes unequal distribution of norm-making power, manifested in ELT and academic publishing, while empirical evidence proves IC standards are redundant; second, the model’s static hierarchy neglects the fluidity and autonomy of non-IC varieties, with the development of Chinese English and Singapore English transcending its theoretical boundaries.</w:t>
      </w:r>
    </w:p>
    <w:p w14:paraId="13E26C3A" w14:textId="77777777" w:rsidR="00A358E2" w:rsidRPr="00A358E2" w:rsidRDefault="00A358E2" w:rsidP="00857B5D">
      <w:pPr>
        <w:spacing w:line="360" w:lineRule="auto"/>
        <w:rPr>
          <w:rFonts w:ascii="Times New Roman" w:hAnsi="Times New Roman" w:cs="Times New Roman"/>
          <w:sz w:val="28"/>
          <w:szCs w:val="28"/>
        </w:rPr>
      </w:pPr>
    </w:p>
    <w:p w14:paraId="410BF7FB" w14:textId="1AA651E3"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 xml:space="preserve">3.1 IC </w:t>
      </w:r>
      <w:r w:rsidR="00F66223">
        <w:rPr>
          <w:rFonts w:ascii="Times New Roman" w:hAnsi="Times New Roman" w:cs="Times New Roman"/>
          <w:b/>
          <w:bCs/>
          <w:sz w:val="28"/>
          <w:szCs w:val="28"/>
        </w:rPr>
        <w:t>“</w:t>
      </w:r>
      <w:r w:rsidRPr="00307E0E">
        <w:rPr>
          <w:rFonts w:ascii="Times New Roman" w:hAnsi="Times New Roman" w:cs="Times New Roman"/>
          <w:b/>
          <w:bCs/>
          <w:sz w:val="28"/>
          <w:szCs w:val="28"/>
        </w:rPr>
        <w:t>Standard Hegemony</w:t>
      </w:r>
      <w:r w:rsidR="00F66223">
        <w:rPr>
          <w:rFonts w:ascii="Times New Roman" w:hAnsi="Times New Roman" w:cs="Times New Roman"/>
          <w:b/>
          <w:bCs/>
          <w:sz w:val="28"/>
          <w:szCs w:val="28"/>
        </w:rPr>
        <w:t>”</w:t>
      </w:r>
      <w:r w:rsidRPr="00307E0E">
        <w:rPr>
          <w:rFonts w:ascii="Times New Roman" w:hAnsi="Times New Roman" w:cs="Times New Roman"/>
          <w:b/>
          <w:bCs/>
          <w:sz w:val="28"/>
          <w:szCs w:val="28"/>
        </w:rPr>
        <w:t>: Unequal Distribution of Norm-Making Power</w:t>
      </w:r>
    </w:p>
    <w:p w14:paraId="15ABAAFC" w14:textId="14592DD0" w:rsidR="00A80748" w:rsidRPr="00307E0E" w:rsidRDefault="00A80748" w:rsidP="00307E0E">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The model’s core flaw lies in positioning the IC as the sole </w:t>
      </w:r>
      <w:r w:rsidR="00F66223">
        <w:rPr>
          <w:rFonts w:ascii="Times New Roman" w:hAnsi="Times New Roman" w:cs="Times New Roman"/>
          <w:sz w:val="28"/>
          <w:szCs w:val="28"/>
        </w:rPr>
        <w:t>“</w:t>
      </w:r>
      <w:r w:rsidRPr="00307E0E">
        <w:rPr>
          <w:rFonts w:ascii="Times New Roman" w:hAnsi="Times New Roman" w:cs="Times New Roman"/>
          <w:sz w:val="28"/>
          <w:szCs w:val="28"/>
        </w:rPr>
        <w:t>norm-</w:t>
      </w:r>
      <w:r w:rsidRPr="00307E0E">
        <w:rPr>
          <w:rFonts w:ascii="Times New Roman" w:hAnsi="Times New Roman" w:cs="Times New Roman"/>
          <w:sz w:val="28"/>
          <w:szCs w:val="28"/>
        </w:rPr>
        <w:lastRenderedPageBreak/>
        <w:t>providing</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authority, binding the legitimacy of non-IC varieties to IC native speaker practices. This hegemony manifests in education, academic publishing, and language assessment, yet empirical evidence contradicts its necessity.</w:t>
      </w:r>
    </w:p>
    <w:p w14:paraId="62F8F909" w14:textId="77777777" w:rsidR="00307E0E" w:rsidRDefault="00307E0E" w:rsidP="00307E0E">
      <w:pPr>
        <w:spacing w:line="360" w:lineRule="auto"/>
        <w:rPr>
          <w:rFonts w:ascii="Times New Roman" w:hAnsi="Times New Roman" w:cs="Times New Roman"/>
          <w:b/>
          <w:bCs/>
          <w:sz w:val="28"/>
          <w:szCs w:val="28"/>
        </w:rPr>
      </w:pPr>
    </w:p>
    <w:p w14:paraId="2848FED3" w14:textId="15B52FD7"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3.1.1 Manifestations of Standard Hegemony</w:t>
      </w:r>
    </w:p>
    <w:p w14:paraId="0CD71D5F" w14:textId="0AFC3623" w:rsidR="00A80748" w:rsidRPr="00307E0E" w:rsidRDefault="00A80748" w:rsidP="00307E0E">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In ELT, textbooks in OC/EC countries (e.g., China, South Korea, Ghana) prioritize British/American English as the </w:t>
      </w:r>
      <w:r w:rsidR="00F66223">
        <w:rPr>
          <w:rFonts w:ascii="Times New Roman" w:hAnsi="Times New Roman" w:cs="Times New Roman"/>
          <w:sz w:val="28"/>
          <w:szCs w:val="28"/>
        </w:rPr>
        <w:t>“</w:t>
      </w:r>
      <w:r w:rsidRPr="00307E0E">
        <w:rPr>
          <w:rFonts w:ascii="Times New Roman" w:hAnsi="Times New Roman" w:cs="Times New Roman"/>
          <w:sz w:val="28"/>
          <w:szCs w:val="28"/>
        </w:rPr>
        <w:t>only standard,</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framing non-IC accents and expressions as </w:t>
      </w:r>
      <w:r w:rsidR="00F66223">
        <w:rPr>
          <w:rFonts w:ascii="Times New Roman" w:hAnsi="Times New Roman" w:cs="Times New Roman"/>
          <w:sz w:val="28"/>
          <w:szCs w:val="28"/>
        </w:rPr>
        <w:t>“</w:t>
      </w:r>
      <w:r w:rsidRPr="00307E0E">
        <w:rPr>
          <w:rFonts w:ascii="Times New Roman" w:hAnsi="Times New Roman" w:cs="Times New Roman"/>
          <w:sz w:val="28"/>
          <w:szCs w:val="28"/>
        </w:rPr>
        <w:t>errors</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(Kubota, 2023). For instance, Chinese middle school English textbooks still predominantly adopt American or British pronunciation models, with exercises often marking expressions like </w:t>
      </w:r>
      <w:r w:rsidR="00F66223">
        <w:rPr>
          <w:rFonts w:ascii="Times New Roman" w:hAnsi="Times New Roman" w:cs="Times New Roman"/>
          <w:sz w:val="28"/>
          <w:szCs w:val="28"/>
        </w:rPr>
        <w:t>“</w:t>
      </w:r>
      <w:r w:rsidRPr="00307E0E">
        <w:rPr>
          <w:rFonts w:ascii="Times New Roman" w:hAnsi="Times New Roman" w:cs="Times New Roman"/>
          <w:sz w:val="28"/>
          <w:szCs w:val="28"/>
        </w:rPr>
        <w:t>long time no see</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—a widely accepted Chinese English collocation—as </w:t>
      </w:r>
      <w:r w:rsidR="00F66223">
        <w:rPr>
          <w:rFonts w:ascii="Times New Roman" w:hAnsi="Times New Roman" w:cs="Times New Roman"/>
          <w:sz w:val="28"/>
          <w:szCs w:val="28"/>
        </w:rPr>
        <w:t>“</w:t>
      </w:r>
      <w:r w:rsidRPr="00307E0E">
        <w:rPr>
          <w:rFonts w:ascii="Times New Roman" w:hAnsi="Times New Roman" w:cs="Times New Roman"/>
          <w:sz w:val="28"/>
          <w:szCs w:val="28"/>
        </w:rPr>
        <w:t>non-standard,</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ignoring its practical communicative value (Li, W.Z., 1993). Jenks (2019) finds that South Korean ELT materials marginalize non-IC varieties, reinforcing the stereotype of </w:t>
      </w:r>
      <w:r w:rsidR="00F66223">
        <w:rPr>
          <w:rFonts w:ascii="Times New Roman" w:hAnsi="Times New Roman" w:cs="Times New Roman"/>
          <w:sz w:val="28"/>
          <w:szCs w:val="28"/>
        </w:rPr>
        <w:t>“</w:t>
      </w:r>
      <w:r w:rsidRPr="00307E0E">
        <w:rPr>
          <w:rFonts w:ascii="Times New Roman" w:hAnsi="Times New Roman" w:cs="Times New Roman"/>
          <w:sz w:val="28"/>
          <w:szCs w:val="28"/>
        </w:rPr>
        <w:t>IC English superiority.</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Seo and Kubota (2023) document that Black female English teachers in South Korea face discrimination due to their non-British/American accents, as assessment systems prioritize IC norms over communicative effectiveness. Flores and Rosa (2015) argue that such practices stem from </w:t>
      </w:r>
      <w:proofErr w:type="spellStart"/>
      <w:r w:rsidRPr="00307E0E">
        <w:rPr>
          <w:rFonts w:ascii="Times New Roman" w:hAnsi="Times New Roman" w:cs="Times New Roman"/>
          <w:sz w:val="28"/>
          <w:szCs w:val="28"/>
        </w:rPr>
        <w:t>raciolinguistic</w:t>
      </w:r>
      <w:proofErr w:type="spellEnd"/>
      <w:r w:rsidRPr="00307E0E">
        <w:rPr>
          <w:rFonts w:ascii="Times New Roman" w:hAnsi="Times New Roman" w:cs="Times New Roman"/>
          <w:sz w:val="28"/>
          <w:szCs w:val="28"/>
        </w:rPr>
        <w:t xml:space="preserve"> ideologies, constructing non-IC varieties as </w:t>
      </w:r>
      <w:r w:rsidR="00F66223">
        <w:rPr>
          <w:rFonts w:ascii="Times New Roman" w:hAnsi="Times New Roman" w:cs="Times New Roman"/>
          <w:sz w:val="28"/>
          <w:szCs w:val="28"/>
        </w:rPr>
        <w:t>“</w:t>
      </w:r>
      <w:r w:rsidRPr="00307E0E">
        <w:rPr>
          <w:rFonts w:ascii="Times New Roman" w:hAnsi="Times New Roman" w:cs="Times New Roman"/>
          <w:sz w:val="28"/>
          <w:szCs w:val="28"/>
        </w:rPr>
        <w:t>linguistic deficiencies.</w:t>
      </w:r>
      <w:r w:rsidR="00F66223">
        <w:rPr>
          <w:rFonts w:ascii="Times New Roman" w:hAnsi="Times New Roman" w:cs="Times New Roman"/>
          <w:sz w:val="28"/>
          <w:szCs w:val="28"/>
        </w:rPr>
        <w:t>”</w:t>
      </w:r>
    </w:p>
    <w:p w14:paraId="338E77A4" w14:textId="0B1AD09B" w:rsidR="00A80748" w:rsidRPr="00307E0E" w:rsidRDefault="00A80748" w:rsidP="00307E0E">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In academic publishing, non-native speakers face systemic </w:t>
      </w:r>
      <w:r w:rsidRPr="00307E0E">
        <w:rPr>
          <w:rFonts w:ascii="Times New Roman" w:hAnsi="Times New Roman" w:cs="Times New Roman"/>
          <w:sz w:val="28"/>
          <w:szCs w:val="28"/>
        </w:rPr>
        <w:lastRenderedPageBreak/>
        <w:t xml:space="preserve">discrimination based on </w:t>
      </w:r>
      <w:r w:rsidR="00F66223">
        <w:rPr>
          <w:rFonts w:ascii="Times New Roman" w:hAnsi="Times New Roman" w:cs="Times New Roman"/>
          <w:sz w:val="28"/>
          <w:szCs w:val="28"/>
        </w:rPr>
        <w:t>“</w:t>
      </w:r>
      <w:r w:rsidRPr="00307E0E">
        <w:rPr>
          <w:rFonts w:ascii="Times New Roman" w:hAnsi="Times New Roman" w:cs="Times New Roman"/>
          <w:sz w:val="28"/>
          <w:szCs w:val="28"/>
        </w:rPr>
        <w:t>non-native linguistic style.</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Amano et al. (2023) surveyed 908 environmental science researchers and found that 35.9% of low-proficiency and 38.1% of moderate-proficiency non-native speakers (including Asian scholars) were rejected due to English writing issues, compared to only 14.4% of native speakers. This discrimination often manifests in vague feedback like </w:t>
      </w:r>
      <w:r w:rsidR="00F66223">
        <w:rPr>
          <w:rFonts w:ascii="Times New Roman" w:hAnsi="Times New Roman" w:cs="Times New Roman"/>
          <w:sz w:val="28"/>
          <w:szCs w:val="28"/>
        </w:rPr>
        <w:t>“</w:t>
      </w:r>
      <w:r w:rsidRPr="00307E0E">
        <w:rPr>
          <w:rFonts w:ascii="Times New Roman" w:hAnsi="Times New Roman" w:cs="Times New Roman"/>
          <w:sz w:val="28"/>
          <w:szCs w:val="28"/>
        </w:rPr>
        <w:t>unconventional expression</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or </w:t>
      </w:r>
      <w:bookmarkStart w:id="1" w:name="OLE_LINK2"/>
      <w:r w:rsidR="00F66223">
        <w:rPr>
          <w:rFonts w:ascii="Times New Roman" w:hAnsi="Times New Roman" w:cs="Times New Roman"/>
          <w:sz w:val="28"/>
          <w:szCs w:val="28"/>
        </w:rPr>
        <w:t>“</w:t>
      </w:r>
      <w:r w:rsidRPr="00307E0E">
        <w:rPr>
          <w:rFonts w:ascii="Times New Roman" w:hAnsi="Times New Roman" w:cs="Times New Roman"/>
          <w:sz w:val="28"/>
          <w:szCs w:val="28"/>
        </w:rPr>
        <w:t>non-native tone,</w:t>
      </w:r>
      <w:r w:rsidR="00F66223">
        <w:rPr>
          <w:rFonts w:ascii="Times New Roman" w:hAnsi="Times New Roman" w:cs="Times New Roman"/>
          <w:sz w:val="28"/>
          <w:szCs w:val="28"/>
        </w:rPr>
        <w:t>”</w:t>
      </w:r>
      <w:bookmarkEnd w:id="1"/>
      <w:r w:rsidRPr="00307E0E">
        <w:rPr>
          <w:rFonts w:ascii="Times New Roman" w:hAnsi="Times New Roman" w:cs="Times New Roman"/>
          <w:sz w:val="28"/>
          <w:szCs w:val="28"/>
        </w:rPr>
        <w:t xml:space="preserve"> even when research content is rigorous—creating unnecessary barriers to knowledge dissemination and perpetuating academic inequality.</w:t>
      </w:r>
    </w:p>
    <w:p w14:paraId="18231E8D" w14:textId="77777777" w:rsidR="00307E0E" w:rsidRDefault="00307E0E" w:rsidP="00307E0E">
      <w:pPr>
        <w:spacing w:line="360" w:lineRule="auto"/>
        <w:rPr>
          <w:rFonts w:ascii="Times New Roman" w:hAnsi="Times New Roman" w:cs="Times New Roman"/>
          <w:b/>
          <w:bCs/>
          <w:sz w:val="28"/>
          <w:szCs w:val="28"/>
        </w:rPr>
      </w:pPr>
    </w:p>
    <w:p w14:paraId="3058953D" w14:textId="543BE092"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3.1.2 Empirical Contradiction: The Redundancy of IC Standards</w:t>
      </w:r>
    </w:p>
    <w:p w14:paraId="6AAA9100" w14:textId="1A3EB672" w:rsidR="00A80748" w:rsidRPr="00307E0E" w:rsidRDefault="00A80748" w:rsidP="00307E0E">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Jenkins’ (2000) LFC research undermines the necessity of IC standards. Her study of non-native speakers from 12 linguistic backgrounds showed that communication relying solely on LFC features achieved a 92% success rate and 91%-93% information transmission accuracy. This proves that IC-specific features (e.g., weak forms, liaison) are </w:t>
      </w:r>
      <w:r w:rsidR="00F66223">
        <w:rPr>
          <w:rFonts w:ascii="Times New Roman" w:hAnsi="Times New Roman" w:cs="Times New Roman"/>
          <w:sz w:val="28"/>
          <w:szCs w:val="28"/>
        </w:rPr>
        <w:t>“</w:t>
      </w:r>
      <w:r w:rsidRPr="00307E0E">
        <w:rPr>
          <w:rFonts w:ascii="Times New Roman" w:hAnsi="Times New Roman" w:cs="Times New Roman"/>
          <w:sz w:val="28"/>
          <w:szCs w:val="28"/>
        </w:rPr>
        <w:t>functionally redundant</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for cross-cultural communication. ELF users can construct </w:t>
      </w:r>
      <w:r w:rsidR="00F66223">
        <w:rPr>
          <w:rFonts w:ascii="Times New Roman" w:hAnsi="Times New Roman" w:cs="Times New Roman"/>
          <w:sz w:val="28"/>
          <w:szCs w:val="28"/>
        </w:rPr>
        <w:t>“</w:t>
      </w:r>
      <w:r w:rsidRPr="00307E0E">
        <w:rPr>
          <w:rFonts w:ascii="Times New Roman" w:hAnsi="Times New Roman" w:cs="Times New Roman"/>
          <w:sz w:val="28"/>
          <w:szCs w:val="28"/>
        </w:rPr>
        <w:t>negotiated norms</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independently, as seen in international academic conferences where Chinese scholars’ use of terms like </w:t>
      </w:r>
      <w:r w:rsidR="00F66223">
        <w:rPr>
          <w:rFonts w:ascii="Times New Roman" w:hAnsi="Times New Roman" w:cs="Times New Roman"/>
          <w:sz w:val="28"/>
          <w:szCs w:val="28"/>
        </w:rPr>
        <w:t>“</w:t>
      </w:r>
      <w:r w:rsidRPr="00307E0E">
        <w:rPr>
          <w:rFonts w:ascii="Times New Roman" w:hAnsi="Times New Roman" w:cs="Times New Roman"/>
          <w:sz w:val="28"/>
          <w:szCs w:val="28"/>
        </w:rPr>
        <w:t>one country two systems</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or </w:t>
      </w:r>
      <w:r w:rsidR="00F66223">
        <w:rPr>
          <w:rFonts w:ascii="Times New Roman" w:hAnsi="Times New Roman" w:cs="Times New Roman"/>
          <w:sz w:val="28"/>
          <w:szCs w:val="28"/>
        </w:rPr>
        <w:t>“</w:t>
      </w:r>
      <w:r w:rsidRPr="00307E0E">
        <w:rPr>
          <w:rFonts w:ascii="Times New Roman" w:hAnsi="Times New Roman" w:cs="Times New Roman"/>
          <w:sz w:val="28"/>
          <w:szCs w:val="28"/>
        </w:rPr>
        <w:t>intangible cultural heritage</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is seamlessly understood without adherence to IC syntactic patterns (Wang et al., 2025). Jenkins (2007) advocates redefining English as a shared global resource, </w:t>
      </w:r>
      <w:r w:rsidRPr="00307E0E">
        <w:rPr>
          <w:rFonts w:ascii="Times New Roman" w:hAnsi="Times New Roman" w:cs="Times New Roman"/>
          <w:sz w:val="28"/>
          <w:szCs w:val="28"/>
        </w:rPr>
        <w:lastRenderedPageBreak/>
        <w:t xml:space="preserve">with </w:t>
      </w:r>
      <w:r w:rsidR="00F66223">
        <w:rPr>
          <w:rFonts w:ascii="Times New Roman" w:hAnsi="Times New Roman" w:cs="Times New Roman"/>
          <w:sz w:val="28"/>
          <w:szCs w:val="28"/>
        </w:rPr>
        <w:t>“</w:t>
      </w:r>
      <w:r w:rsidRPr="00307E0E">
        <w:rPr>
          <w:rFonts w:ascii="Times New Roman" w:hAnsi="Times New Roman" w:cs="Times New Roman"/>
          <w:sz w:val="28"/>
          <w:szCs w:val="28"/>
        </w:rPr>
        <w:t>communicative intelligibility</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replacing native speaker norms as the core evaluation criterion—an argument strongly supported by the practical communication effectiveness of non-IC varieties.</w:t>
      </w:r>
    </w:p>
    <w:p w14:paraId="2C899AC5" w14:textId="77777777" w:rsidR="00A80748" w:rsidRPr="00307E0E" w:rsidRDefault="00A80748" w:rsidP="00307E0E">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The hegemony of IC standards is thus a social construct, not a linguistic necessity. It serves to maintain IC cultural and economic dominance rather than facilitating communication. Non-IC varieties like Chinese English, with their localized innovations, fully meet communicative needs and deserve equal legitimacy.</w:t>
      </w:r>
    </w:p>
    <w:p w14:paraId="3C23D67C" w14:textId="03D04C1F" w:rsidR="00F0571A" w:rsidRPr="00307E0E" w:rsidRDefault="00F0571A" w:rsidP="00307E0E">
      <w:pPr>
        <w:spacing w:line="360" w:lineRule="auto"/>
        <w:rPr>
          <w:rFonts w:ascii="Times New Roman" w:hAnsi="Times New Roman" w:cs="Times New Roman"/>
          <w:sz w:val="28"/>
          <w:szCs w:val="28"/>
        </w:rPr>
      </w:pPr>
    </w:p>
    <w:p w14:paraId="45E81968" w14:textId="77777777"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3.2 Neglect of Static Hierarchy: Fluidity and Autonomy of Non-IC Varieties</w:t>
      </w:r>
    </w:p>
    <w:p w14:paraId="553EF3B5" w14:textId="498974CD" w:rsidR="00A80748" w:rsidRPr="00307E0E" w:rsidRDefault="00A80748" w:rsidP="00307E0E">
      <w:pPr>
        <w:spacing w:line="360" w:lineRule="auto"/>
        <w:ind w:firstLineChars="200" w:firstLine="560"/>
        <w:rPr>
          <w:rFonts w:ascii="Times New Roman" w:hAnsi="Times New Roman" w:cs="Times New Roman"/>
          <w:b/>
          <w:bCs/>
          <w:sz w:val="28"/>
          <w:szCs w:val="28"/>
        </w:rPr>
      </w:pPr>
      <w:r w:rsidRPr="00307E0E">
        <w:rPr>
          <w:rFonts w:ascii="Times New Roman" w:hAnsi="Times New Roman" w:cs="Times New Roman"/>
          <w:sz w:val="28"/>
          <w:szCs w:val="28"/>
        </w:rPr>
        <w:t xml:space="preserve">The model’s static classification freezes the development of English varieties, ignoring their inherent fluidity and autonomy. Non-IC varieties have transcended their assigned roles (OC as </w:t>
      </w:r>
      <w:r w:rsidR="00F66223">
        <w:rPr>
          <w:rFonts w:ascii="Times New Roman" w:hAnsi="Times New Roman" w:cs="Times New Roman"/>
          <w:sz w:val="28"/>
          <w:szCs w:val="28"/>
        </w:rPr>
        <w:t>“</w:t>
      </w:r>
      <w:r w:rsidRPr="00307E0E">
        <w:rPr>
          <w:rFonts w:ascii="Times New Roman" w:hAnsi="Times New Roman" w:cs="Times New Roman"/>
          <w:sz w:val="28"/>
          <w:szCs w:val="28"/>
        </w:rPr>
        <w:t>norm-following,</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EC as </w:t>
      </w:r>
      <w:r w:rsidR="00F66223">
        <w:rPr>
          <w:rFonts w:ascii="Times New Roman" w:hAnsi="Times New Roman" w:cs="Times New Roman"/>
          <w:sz w:val="28"/>
          <w:szCs w:val="28"/>
        </w:rPr>
        <w:t>“</w:t>
      </w:r>
      <w:r w:rsidRPr="00307E0E">
        <w:rPr>
          <w:rFonts w:ascii="Times New Roman" w:hAnsi="Times New Roman" w:cs="Times New Roman"/>
          <w:sz w:val="28"/>
          <w:szCs w:val="28"/>
        </w:rPr>
        <w:t>norm-dependent</w:t>
      </w:r>
      <w:r w:rsidR="00F66223">
        <w:rPr>
          <w:rFonts w:ascii="Times New Roman" w:hAnsi="Times New Roman" w:cs="Times New Roman"/>
          <w:sz w:val="28"/>
          <w:szCs w:val="28"/>
        </w:rPr>
        <w:t>”</w:t>
      </w:r>
      <w:r w:rsidRPr="00307E0E">
        <w:rPr>
          <w:rFonts w:ascii="Times New Roman" w:hAnsi="Times New Roman" w:cs="Times New Roman"/>
          <w:sz w:val="28"/>
          <w:szCs w:val="28"/>
        </w:rPr>
        <w:t>) through localized practices, challenging the model’s hierarchical boundaries.</w:t>
      </w:r>
    </w:p>
    <w:p w14:paraId="66DAB64C" w14:textId="77777777" w:rsidR="00307E0E" w:rsidRDefault="00307E0E" w:rsidP="00307E0E">
      <w:pPr>
        <w:spacing w:line="360" w:lineRule="auto"/>
        <w:rPr>
          <w:rFonts w:ascii="Times New Roman" w:hAnsi="Times New Roman" w:cs="Times New Roman"/>
          <w:b/>
          <w:bCs/>
          <w:sz w:val="28"/>
          <w:szCs w:val="28"/>
        </w:rPr>
      </w:pPr>
    </w:p>
    <w:p w14:paraId="0F1CD689" w14:textId="71D08066"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3.2.1 Normative Autonomy of Singapore English</w:t>
      </w:r>
    </w:p>
    <w:p w14:paraId="17BC4C11" w14:textId="2D3521F8" w:rsidR="00A80748" w:rsidRPr="00307E0E" w:rsidRDefault="00A80748" w:rsidP="00307E0E">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Gupta’s (1994) </w:t>
      </w:r>
      <w:r w:rsidR="00F66223">
        <w:rPr>
          <w:rFonts w:ascii="Times New Roman" w:hAnsi="Times New Roman" w:cs="Times New Roman"/>
          <w:sz w:val="28"/>
          <w:szCs w:val="28"/>
        </w:rPr>
        <w:t>“</w:t>
      </w:r>
      <w:r w:rsidRPr="00307E0E">
        <w:rPr>
          <w:rFonts w:ascii="Times New Roman" w:hAnsi="Times New Roman" w:cs="Times New Roman"/>
          <w:sz w:val="28"/>
          <w:szCs w:val="28"/>
        </w:rPr>
        <w:t>diglossia</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model reveals Singapore English’s autonomy: Standard English (high variety) and Singlish (low variety) coexist, with speakers switching dynamically based on social context. Singlish has developed a unique linguistic system: its syllable-timed </w:t>
      </w:r>
      <w:r w:rsidRPr="00307E0E">
        <w:rPr>
          <w:rFonts w:ascii="Times New Roman" w:hAnsi="Times New Roman" w:cs="Times New Roman"/>
          <w:sz w:val="28"/>
          <w:szCs w:val="28"/>
        </w:rPr>
        <w:lastRenderedPageBreak/>
        <w:t>rhythm and simplified consonant clusters reflect Chinese influence, while sentence-final particles (</w:t>
      </w:r>
      <w:r w:rsidR="00F66223">
        <w:rPr>
          <w:rFonts w:ascii="Times New Roman" w:hAnsi="Times New Roman" w:cs="Times New Roman"/>
          <w:sz w:val="28"/>
          <w:szCs w:val="28"/>
        </w:rPr>
        <w:t>“</w:t>
      </w:r>
      <w:proofErr w:type="spellStart"/>
      <w:r w:rsidRPr="00307E0E">
        <w:rPr>
          <w:rFonts w:ascii="Times New Roman" w:hAnsi="Times New Roman" w:cs="Times New Roman"/>
          <w:sz w:val="28"/>
          <w:szCs w:val="28"/>
        </w:rPr>
        <w:t>lah</w:t>
      </w:r>
      <w:proofErr w:type="spellEnd"/>
      <w:r w:rsidRPr="00307E0E">
        <w:rPr>
          <w:rFonts w:ascii="Times New Roman" w:hAnsi="Times New Roman" w:cs="Times New Roman"/>
          <w:sz w:val="28"/>
          <w:szCs w:val="28"/>
        </w:rPr>
        <w:t>,</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w:t>
      </w:r>
      <w:r w:rsidR="00F66223">
        <w:rPr>
          <w:rFonts w:ascii="Times New Roman" w:hAnsi="Times New Roman" w:cs="Times New Roman"/>
          <w:sz w:val="28"/>
          <w:szCs w:val="28"/>
        </w:rPr>
        <w:t>“</w:t>
      </w:r>
      <w:proofErr w:type="spellStart"/>
      <w:r w:rsidRPr="00307E0E">
        <w:rPr>
          <w:rFonts w:ascii="Times New Roman" w:hAnsi="Times New Roman" w:cs="Times New Roman"/>
          <w:sz w:val="28"/>
          <w:szCs w:val="28"/>
        </w:rPr>
        <w:t>hor</w:t>
      </w:r>
      <w:proofErr w:type="spellEnd"/>
      <w:r w:rsidR="00F66223">
        <w:rPr>
          <w:rFonts w:ascii="Times New Roman" w:hAnsi="Times New Roman" w:cs="Times New Roman"/>
          <w:sz w:val="28"/>
          <w:szCs w:val="28"/>
        </w:rPr>
        <w:t>”</w:t>
      </w:r>
      <w:r w:rsidRPr="00307E0E">
        <w:rPr>
          <w:rFonts w:ascii="Times New Roman" w:hAnsi="Times New Roman" w:cs="Times New Roman"/>
          <w:sz w:val="28"/>
          <w:szCs w:val="28"/>
        </w:rPr>
        <w:t xml:space="preserve">) and article omission integrate Chinese and Malay features (Gupta, 1994; Leimgruber, 2013). Notably, Gupta’s research on Singaporean children’s language acquisition shows that Singlish is not a </w:t>
      </w:r>
      <w:r w:rsidR="00F66223">
        <w:rPr>
          <w:rFonts w:ascii="Times New Roman" w:hAnsi="Times New Roman" w:cs="Times New Roman"/>
          <w:sz w:val="28"/>
          <w:szCs w:val="28"/>
        </w:rPr>
        <w:t>“</w:t>
      </w:r>
      <w:r w:rsidRPr="00307E0E">
        <w:rPr>
          <w:rFonts w:ascii="Times New Roman" w:hAnsi="Times New Roman" w:cs="Times New Roman"/>
          <w:sz w:val="28"/>
          <w:szCs w:val="28"/>
        </w:rPr>
        <w:t>degraded</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form of English but a rule-governed variety shaped by multi-ethnic socialization—children naturally integrate elements from different languages to construct a communicative system that reflects their cultural identity. As a cultural identity symbol, Singlish embodies Singapore’s multi-ethnic integration, proving that non-IC varieties can break colonial linguistic norms and form localized systems.</w:t>
      </w:r>
    </w:p>
    <w:p w14:paraId="6C577142" w14:textId="77777777" w:rsidR="00307E0E" w:rsidRDefault="00307E0E" w:rsidP="00307E0E">
      <w:pPr>
        <w:spacing w:line="360" w:lineRule="auto"/>
        <w:rPr>
          <w:rFonts w:ascii="Times New Roman" w:hAnsi="Times New Roman" w:cs="Times New Roman"/>
          <w:b/>
          <w:bCs/>
          <w:sz w:val="28"/>
          <w:szCs w:val="28"/>
        </w:rPr>
      </w:pPr>
    </w:p>
    <w:p w14:paraId="5C200275" w14:textId="46F62788"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3.2.2 Dynamic Development of Chinese English</w:t>
      </w:r>
    </w:p>
    <w:p w14:paraId="5C411DC4" w14:textId="2C53E76B" w:rsidR="00A80748" w:rsidRPr="00307E0E" w:rsidRDefault="00A80748" w:rsidP="00307E0E">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Chinese English has achieved normative autonomy across educational, business, and cross-cultural contexts. The Ministry of Education (2022) explicitly includes </w:t>
      </w:r>
      <w:r w:rsidR="00F66223">
        <w:rPr>
          <w:rFonts w:ascii="Times New Roman" w:hAnsi="Times New Roman" w:cs="Times New Roman"/>
          <w:sz w:val="28"/>
          <w:szCs w:val="28"/>
        </w:rPr>
        <w:t>“</w:t>
      </w:r>
      <w:r w:rsidRPr="00307E0E">
        <w:rPr>
          <w:rFonts w:ascii="Times New Roman" w:hAnsi="Times New Roman" w:cs="Times New Roman"/>
          <w:sz w:val="28"/>
          <w:szCs w:val="28"/>
        </w:rPr>
        <w:t>cultural communication</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as a core objective of English education, encouraging the integration of Chinese cultural terms (e.g., </w:t>
      </w:r>
      <w:r w:rsidR="00F66223">
        <w:rPr>
          <w:rFonts w:ascii="Times New Roman" w:hAnsi="Times New Roman" w:cs="Times New Roman"/>
          <w:sz w:val="28"/>
          <w:szCs w:val="28"/>
        </w:rPr>
        <w:t>“</w:t>
      </w:r>
      <w:r w:rsidRPr="00307E0E">
        <w:rPr>
          <w:rFonts w:ascii="Times New Roman" w:hAnsi="Times New Roman" w:cs="Times New Roman"/>
          <w:sz w:val="28"/>
          <w:szCs w:val="28"/>
        </w:rPr>
        <w:t>solar terms,</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w:t>
      </w:r>
      <w:r w:rsidR="00F66223">
        <w:rPr>
          <w:rFonts w:ascii="Times New Roman" w:hAnsi="Times New Roman" w:cs="Times New Roman"/>
          <w:sz w:val="28"/>
          <w:szCs w:val="28"/>
        </w:rPr>
        <w:t>“</w:t>
      </w:r>
      <w:r w:rsidRPr="00307E0E">
        <w:rPr>
          <w:rFonts w:ascii="Times New Roman" w:hAnsi="Times New Roman" w:cs="Times New Roman"/>
          <w:sz w:val="28"/>
          <w:szCs w:val="28"/>
        </w:rPr>
        <w:t>intangible cultural heritage</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into teaching. Practical teaching cases in Shanghai and Guangzhou demonstrate that students trained with this orientation can effectively convey Chinese cultural concepts like </w:t>
      </w:r>
      <w:r w:rsidR="00F66223">
        <w:rPr>
          <w:rFonts w:ascii="Times New Roman" w:hAnsi="Times New Roman" w:cs="Times New Roman"/>
          <w:sz w:val="28"/>
          <w:szCs w:val="28"/>
        </w:rPr>
        <w:t>“</w:t>
      </w:r>
      <w:r w:rsidRPr="00307E0E">
        <w:rPr>
          <w:rFonts w:ascii="Times New Roman" w:hAnsi="Times New Roman" w:cs="Times New Roman"/>
          <w:sz w:val="28"/>
          <w:szCs w:val="28"/>
        </w:rPr>
        <w:t>feng shui</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or </w:t>
      </w:r>
      <w:r w:rsidR="00F66223">
        <w:rPr>
          <w:rFonts w:ascii="Times New Roman" w:hAnsi="Times New Roman" w:cs="Times New Roman"/>
          <w:sz w:val="28"/>
          <w:szCs w:val="28"/>
        </w:rPr>
        <w:t>“</w:t>
      </w:r>
      <w:r w:rsidRPr="00307E0E">
        <w:rPr>
          <w:rFonts w:ascii="Times New Roman" w:hAnsi="Times New Roman" w:cs="Times New Roman"/>
          <w:sz w:val="28"/>
          <w:szCs w:val="28"/>
        </w:rPr>
        <w:t>red envelope</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in cross-cultural interactions, with native speakers showing high acceptance (Xu &amp; Tian, 2016). In business contexts, Chinese English as a Lingua Franca (ChELF) integrates </w:t>
      </w:r>
      <w:r w:rsidRPr="00307E0E">
        <w:rPr>
          <w:rFonts w:ascii="Times New Roman" w:hAnsi="Times New Roman" w:cs="Times New Roman"/>
          <w:sz w:val="28"/>
          <w:szCs w:val="28"/>
        </w:rPr>
        <w:lastRenderedPageBreak/>
        <w:t>Chinese pragmatic norms, such as indirect negotiation strategies expressed through English, which have proven effective in Sino-foreign trade talks by aligning with both international communication conventions and Chinese cultural values (Wang, 2023).</w:t>
      </w:r>
    </w:p>
    <w:p w14:paraId="491FC198" w14:textId="43FE490D" w:rsidR="00A80748" w:rsidRPr="00307E0E" w:rsidRDefault="00A80748" w:rsidP="00307E0E">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Li (2024) emphasizes that Chinese English follows an </w:t>
      </w:r>
      <w:r w:rsidR="00F66223">
        <w:rPr>
          <w:rFonts w:ascii="Times New Roman" w:hAnsi="Times New Roman" w:cs="Times New Roman"/>
          <w:sz w:val="28"/>
          <w:szCs w:val="28"/>
        </w:rPr>
        <w:t>“</w:t>
      </w:r>
      <w:r w:rsidRPr="00307E0E">
        <w:rPr>
          <w:rFonts w:ascii="Times New Roman" w:hAnsi="Times New Roman" w:cs="Times New Roman"/>
          <w:sz w:val="28"/>
          <w:szCs w:val="28"/>
        </w:rPr>
        <w:t>adaptability principle,</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using </w:t>
      </w:r>
      <w:r w:rsidR="00F66223">
        <w:rPr>
          <w:rFonts w:ascii="Times New Roman" w:hAnsi="Times New Roman" w:cs="Times New Roman"/>
          <w:sz w:val="28"/>
          <w:szCs w:val="28"/>
        </w:rPr>
        <w:t>“</w:t>
      </w:r>
      <w:r w:rsidRPr="00307E0E">
        <w:rPr>
          <w:rFonts w:ascii="Times New Roman" w:hAnsi="Times New Roman" w:cs="Times New Roman"/>
          <w:sz w:val="28"/>
          <w:szCs w:val="28"/>
        </w:rPr>
        <w:t>communicative effect</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as the primary criterion. Syntactically, it exhibits unique features like topic-prominent structures influenced by Mandarin (e.g., </w:t>
      </w:r>
      <w:r w:rsidR="00F66223">
        <w:rPr>
          <w:rFonts w:ascii="Times New Roman" w:hAnsi="Times New Roman" w:cs="Times New Roman"/>
          <w:sz w:val="28"/>
          <w:szCs w:val="28"/>
        </w:rPr>
        <w:t>“</w:t>
      </w:r>
      <w:r w:rsidRPr="00307E0E">
        <w:rPr>
          <w:rFonts w:ascii="Times New Roman" w:hAnsi="Times New Roman" w:cs="Times New Roman"/>
          <w:sz w:val="28"/>
          <w:szCs w:val="28"/>
        </w:rPr>
        <w:t>Confucianism, we should inherit</w:t>
      </w:r>
      <w:r w:rsidR="00F66223">
        <w:rPr>
          <w:rFonts w:ascii="Times New Roman" w:hAnsi="Times New Roman" w:cs="Times New Roman"/>
          <w:sz w:val="28"/>
          <w:szCs w:val="28"/>
        </w:rPr>
        <w:t>”</w:t>
      </w:r>
      <w:r w:rsidRPr="00307E0E">
        <w:rPr>
          <w:rFonts w:ascii="Times New Roman" w:hAnsi="Times New Roman" w:cs="Times New Roman"/>
          <w:sz w:val="28"/>
          <w:szCs w:val="28"/>
        </w:rPr>
        <w:t>)—expressions that deviate from IC norms but are highly intelligible in cross-cultural discussions of Chinese topics (</w:t>
      </w:r>
      <w:proofErr w:type="spellStart"/>
      <w:r w:rsidRPr="00307E0E">
        <w:rPr>
          <w:rFonts w:ascii="Times New Roman" w:hAnsi="Times New Roman" w:cs="Times New Roman"/>
          <w:sz w:val="28"/>
          <w:szCs w:val="28"/>
        </w:rPr>
        <w:t>Mufwene</w:t>
      </w:r>
      <w:proofErr w:type="spellEnd"/>
      <w:r w:rsidRPr="00307E0E">
        <w:rPr>
          <w:rFonts w:ascii="Times New Roman" w:hAnsi="Times New Roman" w:cs="Times New Roman"/>
          <w:sz w:val="28"/>
          <w:szCs w:val="28"/>
        </w:rPr>
        <w:t xml:space="preserve">, 2001). The Chinese Learner English Corpus (CLEC) data further confirms that such localized syntactic adjustments do not hinder information transmission; instead, they enhance cultural specificity and communicative efficiency (Wang et al., 2025). </w:t>
      </w:r>
      <w:proofErr w:type="spellStart"/>
      <w:r w:rsidRPr="00307E0E">
        <w:rPr>
          <w:rFonts w:ascii="Times New Roman" w:hAnsi="Times New Roman" w:cs="Times New Roman"/>
          <w:sz w:val="28"/>
          <w:szCs w:val="28"/>
        </w:rPr>
        <w:t>Mufwene’s</w:t>
      </w:r>
      <w:proofErr w:type="spellEnd"/>
      <w:r w:rsidRPr="00307E0E">
        <w:rPr>
          <w:rFonts w:ascii="Times New Roman" w:hAnsi="Times New Roman" w:cs="Times New Roman"/>
          <w:sz w:val="28"/>
          <w:szCs w:val="28"/>
        </w:rPr>
        <w:t xml:space="preserve"> (2001) ecological perspective explains this: Chinese English evolves by selecting features from </w:t>
      </w:r>
      <w:r w:rsidR="00F66223">
        <w:rPr>
          <w:rFonts w:ascii="Times New Roman" w:hAnsi="Times New Roman" w:cs="Times New Roman"/>
          <w:sz w:val="28"/>
          <w:szCs w:val="28"/>
        </w:rPr>
        <w:t>“</w:t>
      </w:r>
      <w:r w:rsidRPr="00307E0E">
        <w:rPr>
          <w:rFonts w:ascii="Times New Roman" w:hAnsi="Times New Roman" w:cs="Times New Roman"/>
          <w:sz w:val="28"/>
          <w:szCs w:val="28"/>
        </w:rPr>
        <w:t>feature pools</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(global English core structures </w:t>
      </w:r>
      <w:r w:rsidR="00912E1E" w:rsidRPr="00912E1E">
        <w:rPr>
          <w:rFonts w:ascii="Times New Roman" w:hAnsi="Times New Roman" w:cs="Times New Roman"/>
          <w:sz w:val="28"/>
          <w:szCs w:val="28"/>
        </w:rPr>
        <w:t>along with</w:t>
      </w:r>
      <w:r w:rsidRPr="00307E0E">
        <w:rPr>
          <w:rFonts w:ascii="Times New Roman" w:hAnsi="Times New Roman" w:cs="Times New Roman" w:hint="eastAsia"/>
          <w:sz w:val="28"/>
          <w:szCs w:val="28"/>
        </w:rPr>
        <w:t xml:space="preserve"> </w:t>
      </w:r>
      <w:r w:rsidRPr="00307E0E">
        <w:rPr>
          <w:rFonts w:ascii="Times New Roman" w:hAnsi="Times New Roman" w:cs="Times New Roman"/>
          <w:sz w:val="28"/>
          <w:szCs w:val="28"/>
        </w:rPr>
        <w:t xml:space="preserve">Chinese cultural elements), switching flexibly between </w:t>
      </w:r>
      <w:proofErr w:type="spellStart"/>
      <w:r w:rsidRPr="00307E0E">
        <w:rPr>
          <w:rFonts w:ascii="Times New Roman" w:hAnsi="Times New Roman" w:cs="Times New Roman"/>
          <w:sz w:val="28"/>
          <w:szCs w:val="28"/>
        </w:rPr>
        <w:t>exonormative</w:t>
      </w:r>
      <w:proofErr w:type="spellEnd"/>
      <w:r w:rsidRPr="00307E0E">
        <w:rPr>
          <w:rFonts w:ascii="Times New Roman" w:hAnsi="Times New Roman" w:cs="Times New Roman"/>
          <w:sz w:val="28"/>
          <w:szCs w:val="28"/>
        </w:rPr>
        <w:t xml:space="preserve"> (global) and endonormative (local) norms based on context.</w:t>
      </w:r>
    </w:p>
    <w:p w14:paraId="2F90E542" w14:textId="77777777" w:rsidR="00A80748" w:rsidRPr="00307E0E" w:rsidRDefault="00A80748" w:rsidP="00307E0E">
      <w:pPr>
        <w:spacing w:line="360" w:lineRule="auto"/>
        <w:rPr>
          <w:rFonts w:ascii="Times New Roman" w:hAnsi="Times New Roman" w:cs="Times New Roman"/>
          <w:sz w:val="28"/>
          <w:szCs w:val="28"/>
        </w:rPr>
      </w:pPr>
    </w:p>
    <w:p w14:paraId="530B2063" w14:textId="77777777"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3.2.3 Theoretical Implication: The Collapse of Static Hierarchy</w:t>
      </w:r>
    </w:p>
    <w:p w14:paraId="4F972BFC" w14:textId="00F2C260" w:rsidR="00F0571A" w:rsidRPr="00307E0E" w:rsidRDefault="00A80748" w:rsidP="00307E0E">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The fluidity and autonomy of Singapore English and Chinese English demonstrate that the model’s static hierarchy is obsolete. Non-IC varieties </w:t>
      </w:r>
      <w:r w:rsidRPr="00307E0E">
        <w:rPr>
          <w:rFonts w:ascii="Times New Roman" w:hAnsi="Times New Roman" w:cs="Times New Roman"/>
          <w:sz w:val="28"/>
          <w:szCs w:val="28"/>
        </w:rPr>
        <w:lastRenderedPageBreak/>
        <w:t>are not passive recipients of IC norms but active constructors of localized systems. Kachru’s (2005) late reflection acknowledges this, advocating a shift from hierarchical classification to linguistic ecology. The model’s failure to account for such dynamics limits its explanatory power in contemporary global English contexts—where a Chinese scholar’s English in an international journal, a Singaporean professional’s code-switching in business meetings, and a Nigerian student’s academic writing all embody the creative evolution of English beyond fixed circles.</w:t>
      </w:r>
    </w:p>
    <w:p w14:paraId="3518CDB7" w14:textId="77777777" w:rsidR="00A80748" w:rsidRDefault="00A80748" w:rsidP="00307E0E">
      <w:pPr>
        <w:spacing w:line="360" w:lineRule="auto"/>
        <w:rPr>
          <w:rFonts w:ascii="Times New Roman" w:hAnsi="Times New Roman" w:cs="Times New Roman"/>
          <w:b/>
          <w:bCs/>
          <w:sz w:val="28"/>
          <w:szCs w:val="28"/>
        </w:rPr>
      </w:pPr>
    </w:p>
    <w:p w14:paraId="66F43B65" w14:textId="77777777" w:rsidR="00857B5D" w:rsidRDefault="00857B5D" w:rsidP="00307E0E">
      <w:pPr>
        <w:spacing w:line="360" w:lineRule="auto"/>
        <w:rPr>
          <w:rFonts w:ascii="Times New Roman" w:hAnsi="Times New Roman" w:cs="Times New Roman"/>
          <w:b/>
          <w:bCs/>
          <w:sz w:val="28"/>
          <w:szCs w:val="28"/>
        </w:rPr>
      </w:pPr>
    </w:p>
    <w:p w14:paraId="48DF313B" w14:textId="77777777" w:rsidR="00857B5D" w:rsidRDefault="00857B5D" w:rsidP="00307E0E">
      <w:pPr>
        <w:spacing w:line="360" w:lineRule="auto"/>
        <w:rPr>
          <w:rFonts w:ascii="Times New Roman" w:hAnsi="Times New Roman" w:cs="Times New Roman"/>
          <w:b/>
          <w:bCs/>
          <w:sz w:val="28"/>
          <w:szCs w:val="28"/>
        </w:rPr>
      </w:pPr>
    </w:p>
    <w:p w14:paraId="2A68C426" w14:textId="77777777" w:rsidR="00857B5D" w:rsidRPr="00307E0E" w:rsidRDefault="00857B5D" w:rsidP="00307E0E">
      <w:pPr>
        <w:spacing w:line="360" w:lineRule="auto"/>
        <w:rPr>
          <w:rFonts w:ascii="Times New Roman" w:hAnsi="Times New Roman" w:cs="Times New Roman"/>
          <w:b/>
          <w:bCs/>
          <w:sz w:val="28"/>
          <w:szCs w:val="28"/>
        </w:rPr>
      </w:pPr>
    </w:p>
    <w:p w14:paraId="5DFD1C10" w14:textId="4C07500F" w:rsidR="00F0571A"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4 Conclusion</w:t>
      </w:r>
    </w:p>
    <w:p w14:paraId="49574D5E" w14:textId="32B15FE9" w:rsidR="007525AB" w:rsidRDefault="007525AB" w:rsidP="007525AB">
      <w:pPr>
        <w:spacing w:line="360" w:lineRule="auto"/>
        <w:ind w:firstLineChars="200" w:firstLine="560"/>
        <w:rPr>
          <w:rFonts w:ascii="Times New Roman" w:hAnsi="Times New Roman" w:cs="Times New Roman"/>
          <w:sz w:val="28"/>
          <w:szCs w:val="28"/>
        </w:rPr>
      </w:pPr>
      <w:r w:rsidRPr="007525AB">
        <w:rPr>
          <w:rFonts w:ascii="Times New Roman" w:hAnsi="Times New Roman" w:cs="Times New Roman"/>
          <w:sz w:val="28"/>
          <w:szCs w:val="28"/>
        </w:rPr>
        <w:t>This paper critiques the IC-centric power structure and static hierarchy of Kachru’s Concentric Circles Model, proposes a dynamic ecological framework, notes the model’s foundational contributions yet incompatibility with current realities, and suggests pluralistic standards for ELT and reduced language-based discrimination in academic publishing.</w:t>
      </w:r>
    </w:p>
    <w:p w14:paraId="1069BB47" w14:textId="77777777" w:rsidR="007525AB" w:rsidRPr="007525AB" w:rsidRDefault="007525AB" w:rsidP="007525AB">
      <w:pPr>
        <w:spacing w:line="360" w:lineRule="auto"/>
        <w:rPr>
          <w:rFonts w:ascii="Times New Roman" w:hAnsi="Times New Roman" w:cs="Times New Roman" w:hint="eastAsia"/>
          <w:sz w:val="28"/>
          <w:szCs w:val="28"/>
        </w:rPr>
      </w:pPr>
    </w:p>
    <w:p w14:paraId="522A7458" w14:textId="77777777"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4.1 Summary of Critical Arguments</w:t>
      </w:r>
    </w:p>
    <w:p w14:paraId="5C4B1254" w14:textId="101CC30B" w:rsidR="00307E0E" w:rsidRDefault="00F0571A" w:rsidP="00266CA5">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This paper critiques Kachru’s Concentric Circles Model from two perspectives: its IC-centric power structure, which consolidates linguistic </w:t>
      </w:r>
      <w:r w:rsidRPr="00307E0E">
        <w:rPr>
          <w:rFonts w:ascii="Times New Roman" w:hAnsi="Times New Roman" w:cs="Times New Roman"/>
          <w:sz w:val="28"/>
          <w:szCs w:val="28"/>
        </w:rPr>
        <w:lastRenderedPageBreak/>
        <w:t>inequality through standard hegemony; and its static hierarchy, which neglects the fluidity and autonomy of non-IC varieties. Empirical evidence from Chinese English, Singapore English, and ELT research shows that non-IC varieties have transcended the model’s boundaries, forming legitimate, functional systems that prioritize communicative effectiveness over IC norms.</w:t>
      </w:r>
    </w:p>
    <w:p w14:paraId="2795A006" w14:textId="77777777" w:rsidR="009733E4" w:rsidRPr="00266CA5" w:rsidRDefault="009733E4" w:rsidP="00266CA5">
      <w:pPr>
        <w:spacing w:line="360" w:lineRule="auto"/>
        <w:ind w:firstLineChars="200" w:firstLine="560"/>
        <w:rPr>
          <w:rFonts w:ascii="Times New Roman" w:hAnsi="Times New Roman" w:cs="Times New Roman" w:hint="eastAsia"/>
          <w:sz w:val="28"/>
          <w:szCs w:val="28"/>
        </w:rPr>
      </w:pPr>
    </w:p>
    <w:p w14:paraId="371E5950" w14:textId="42FF6ED1"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t>4.2 Constructive Reflections and Theoretical Revisions</w:t>
      </w:r>
    </w:p>
    <w:p w14:paraId="22552563" w14:textId="62213F28" w:rsidR="00F0571A" w:rsidRPr="00307E0E" w:rsidRDefault="00F0571A" w:rsidP="00307E0E">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To address the model’s limitations, this paper proposes a </w:t>
      </w:r>
      <w:r w:rsidR="00F66223">
        <w:rPr>
          <w:rFonts w:ascii="Times New Roman" w:hAnsi="Times New Roman" w:cs="Times New Roman"/>
          <w:sz w:val="28"/>
          <w:szCs w:val="28"/>
        </w:rPr>
        <w:t>“</w:t>
      </w:r>
      <w:r w:rsidRPr="00307E0E">
        <w:rPr>
          <w:rFonts w:ascii="Times New Roman" w:hAnsi="Times New Roman" w:cs="Times New Roman"/>
          <w:sz w:val="28"/>
          <w:szCs w:val="28"/>
        </w:rPr>
        <w:t>dynamic ecological framework</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for World </w:t>
      </w:r>
      <w:proofErr w:type="spellStart"/>
      <w:r w:rsidRPr="00307E0E">
        <w:rPr>
          <w:rFonts w:ascii="Times New Roman" w:hAnsi="Times New Roman" w:cs="Times New Roman"/>
          <w:sz w:val="28"/>
          <w:szCs w:val="28"/>
        </w:rPr>
        <w:t>Englishes</w:t>
      </w:r>
      <w:proofErr w:type="spellEnd"/>
      <w:r w:rsidRPr="00307E0E">
        <w:rPr>
          <w:rFonts w:ascii="Times New Roman" w:hAnsi="Times New Roman" w:cs="Times New Roman"/>
          <w:sz w:val="28"/>
          <w:szCs w:val="28"/>
        </w:rPr>
        <w:t>: (1) Abandon IC-centric norm-making power, recognizing the legitimacy of multiple norms (e.g., ELF’s intelligibility-based norms, localized norms of Chinese English); (2) Emphasize the fluidity of varieties, replacing fixed circles with a continuum of English use shaped by context, identity, and communication needs; (3) Integrate ELF theory and linguistic ecology, viewing English as a global resource co-constructed by all users.</w:t>
      </w:r>
    </w:p>
    <w:p w14:paraId="4C109E9D" w14:textId="3228D288" w:rsidR="00307E0E" w:rsidRPr="009733E4" w:rsidRDefault="00F0571A" w:rsidP="009733E4">
      <w:pPr>
        <w:spacing w:line="360" w:lineRule="auto"/>
        <w:ind w:firstLineChars="200" w:firstLine="560"/>
        <w:rPr>
          <w:rFonts w:ascii="Times New Roman" w:hAnsi="Times New Roman" w:cs="Times New Roman" w:hint="eastAsia"/>
          <w:sz w:val="28"/>
          <w:szCs w:val="28"/>
        </w:rPr>
      </w:pPr>
      <w:r w:rsidRPr="00307E0E">
        <w:rPr>
          <w:rFonts w:ascii="Times New Roman" w:hAnsi="Times New Roman" w:cs="Times New Roman"/>
          <w:sz w:val="28"/>
          <w:szCs w:val="28"/>
        </w:rPr>
        <w:t xml:space="preserve">In ELT practice, this framework advocates </w:t>
      </w:r>
      <w:r w:rsidR="00F66223">
        <w:rPr>
          <w:rFonts w:ascii="Times New Roman" w:hAnsi="Times New Roman" w:cs="Times New Roman"/>
          <w:sz w:val="28"/>
          <w:szCs w:val="28"/>
        </w:rPr>
        <w:t>“</w:t>
      </w:r>
      <w:r w:rsidRPr="00307E0E">
        <w:rPr>
          <w:rFonts w:ascii="Times New Roman" w:hAnsi="Times New Roman" w:cs="Times New Roman"/>
          <w:sz w:val="28"/>
          <w:szCs w:val="28"/>
        </w:rPr>
        <w:t>pluralistic standard education,</w:t>
      </w:r>
      <w:r w:rsidR="00F66223">
        <w:rPr>
          <w:rFonts w:ascii="Times New Roman" w:hAnsi="Times New Roman" w:cs="Times New Roman"/>
          <w:sz w:val="28"/>
          <w:szCs w:val="28"/>
        </w:rPr>
        <w:t>”</w:t>
      </w:r>
      <w:r w:rsidRPr="00307E0E">
        <w:rPr>
          <w:rFonts w:ascii="Times New Roman" w:hAnsi="Times New Roman" w:cs="Times New Roman"/>
          <w:sz w:val="28"/>
          <w:szCs w:val="28"/>
        </w:rPr>
        <w:t xml:space="preserve"> introducing diverse varieties (e.g., Chinese English, Singlish) and training learners in communicative strategies rather than IC accent imitation. In academic publishing, it calls for reducing language-based discrimination, adopting inclusive review practices that prioritize research quality over linguistic style.</w:t>
      </w:r>
    </w:p>
    <w:p w14:paraId="768893C1" w14:textId="44D21F89" w:rsidR="00F0571A" w:rsidRPr="00307E0E" w:rsidRDefault="00F0571A" w:rsidP="00307E0E">
      <w:pPr>
        <w:spacing w:line="360" w:lineRule="auto"/>
        <w:rPr>
          <w:rFonts w:ascii="Times New Roman" w:hAnsi="Times New Roman" w:cs="Times New Roman"/>
          <w:b/>
          <w:bCs/>
          <w:sz w:val="28"/>
          <w:szCs w:val="28"/>
        </w:rPr>
      </w:pPr>
      <w:r w:rsidRPr="00307E0E">
        <w:rPr>
          <w:rFonts w:ascii="Times New Roman" w:hAnsi="Times New Roman" w:cs="Times New Roman"/>
          <w:b/>
          <w:bCs/>
          <w:sz w:val="28"/>
          <w:szCs w:val="28"/>
        </w:rPr>
        <w:lastRenderedPageBreak/>
        <w:t>4.3 Research Limitations and Future Directions</w:t>
      </w:r>
    </w:p>
    <w:p w14:paraId="70994D78" w14:textId="13939162" w:rsidR="00F0571A" w:rsidRPr="00307E0E" w:rsidRDefault="00F0571A" w:rsidP="00307E0E">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This study has limitations</w:t>
      </w:r>
      <w:r w:rsidR="001D4F7B">
        <w:rPr>
          <w:rFonts w:ascii="Times New Roman" w:hAnsi="Times New Roman" w:cs="Times New Roman"/>
          <w:sz w:val="28"/>
          <w:szCs w:val="28"/>
        </w:rPr>
        <w:t>.</w:t>
      </w:r>
      <w:r w:rsidRPr="00307E0E">
        <w:rPr>
          <w:rFonts w:ascii="Times New Roman" w:hAnsi="Times New Roman" w:cs="Times New Roman"/>
          <w:sz w:val="28"/>
          <w:szCs w:val="28"/>
        </w:rPr>
        <w:t xml:space="preserve"> </w:t>
      </w:r>
      <w:r w:rsidR="001D4F7B">
        <w:rPr>
          <w:rFonts w:ascii="Times New Roman" w:hAnsi="Times New Roman" w:cs="Times New Roman"/>
          <w:sz w:val="28"/>
          <w:szCs w:val="28"/>
        </w:rPr>
        <w:t>I</w:t>
      </w:r>
      <w:r w:rsidRPr="00307E0E">
        <w:rPr>
          <w:rFonts w:ascii="Times New Roman" w:hAnsi="Times New Roman" w:cs="Times New Roman"/>
          <w:sz w:val="28"/>
          <w:szCs w:val="28"/>
        </w:rPr>
        <w:t>ts focus on Asian varieties (Chinese English, Singapore English) may limit generalizability to African or Latin American English. Future research could expand to other non-IC varieties to test the dynamic ecological framework. Additionally, qualitative studies (e.g., interviews with ELT practitioners, corpus analysis of global business English) could further explore the practical implications of abandoning static hierarchy.</w:t>
      </w:r>
    </w:p>
    <w:p w14:paraId="4E5F06E8" w14:textId="1F3D16AC" w:rsidR="00DA1EFE" w:rsidRDefault="00F0571A" w:rsidP="00857B5D">
      <w:pPr>
        <w:spacing w:line="360" w:lineRule="auto"/>
        <w:ind w:firstLineChars="200" w:firstLine="560"/>
        <w:rPr>
          <w:rFonts w:ascii="Times New Roman" w:hAnsi="Times New Roman" w:cs="Times New Roman"/>
          <w:sz w:val="28"/>
          <w:szCs w:val="28"/>
        </w:rPr>
      </w:pPr>
      <w:r w:rsidRPr="00307E0E">
        <w:rPr>
          <w:rFonts w:ascii="Times New Roman" w:hAnsi="Times New Roman" w:cs="Times New Roman"/>
          <w:sz w:val="28"/>
          <w:szCs w:val="28"/>
        </w:rPr>
        <w:t xml:space="preserve">In conclusion, Kachru’s model made foundational contributions to World </w:t>
      </w:r>
      <w:proofErr w:type="spellStart"/>
      <w:r w:rsidRPr="00307E0E">
        <w:rPr>
          <w:rFonts w:ascii="Times New Roman" w:hAnsi="Times New Roman" w:cs="Times New Roman"/>
          <w:sz w:val="28"/>
          <w:szCs w:val="28"/>
        </w:rPr>
        <w:t>Englishes</w:t>
      </w:r>
      <w:proofErr w:type="spellEnd"/>
      <w:r w:rsidRPr="00307E0E">
        <w:rPr>
          <w:rFonts w:ascii="Times New Roman" w:hAnsi="Times New Roman" w:cs="Times New Roman"/>
          <w:sz w:val="28"/>
          <w:szCs w:val="28"/>
        </w:rPr>
        <w:t xml:space="preserve"> research, but its power structure and static hierarchy are incompatible with contemporary linguistic realities. The evolution of non-IC varieties demands a more inclusive, dynamic theoretical framework that recognizes the co-construction of English by global users, promoting linguistic diversity and social justice in global</w:t>
      </w:r>
      <w:r w:rsidR="001D4F7B">
        <w:rPr>
          <w:rFonts w:ascii="Times New Roman" w:hAnsi="Times New Roman" w:cs="Times New Roman"/>
          <w:sz w:val="28"/>
          <w:szCs w:val="28"/>
        </w:rPr>
        <w:t>.</w:t>
      </w:r>
    </w:p>
    <w:p w14:paraId="04965637" w14:textId="77777777" w:rsidR="001A6A9D" w:rsidRDefault="001A6A9D" w:rsidP="001A6A9D">
      <w:pPr>
        <w:spacing w:line="360" w:lineRule="auto"/>
        <w:rPr>
          <w:rFonts w:ascii="Times New Roman" w:hAnsi="Times New Roman" w:cs="Times New Roman"/>
          <w:sz w:val="28"/>
          <w:szCs w:val="28"/>
        </w:rPr>
      </w:pPr>
    </w:p>
    <w:p w14:paraId="4F9726B5" w14:textId="77777777" w:rsidR="001A6A9D" w:rsidRDefault="001A6A9D" w:rsidP="001A6A9D">
      <w:pPr>
        <w:spacing w:line="360" w:lineRule="auto"/>
        <w:rPr>
          <w:rFonts w:ascii="Times New Roman" w:hAnsi="Times New Roman" w:cs="Times New Roman"/>
          <w:sz w:val="28"/>
          <w:szCs w:val="28"/>
        </w:rPr>
      </w:pPr>
    </w:p>
    <w:p w14:paraId="59E63B06" w14:textId="77777777" w:rsidR="001A6A9D" w:rsidRDefault="001A6A9D" w:rsidP="001A6A9D">
      <w:pPr>
        <w:spacing w:line="360" w:lineRule="auto"/>
        <w:rPr>
          <w:rFonts w:ascii="Times New Roman" w:hAnsi="Times New Roman" w:cs="Times New Roman"/>
          <w:sz w:val="28"/>
          <w:szCs w:val="28"/>
        </w:rPr>
      </w:pPr>
    </w:p>
    <w:p w14:paraId="0E24A163" w14:textId="77777777" w:rsidR="001A6A9D" w:rsidRDefault="001A6A9D" w:rsidP="001A6A9D">
      <w:pPr>
        <w:spacing w:line="360" w:lineRule="auto"/>
        <w:rPr>
          <w:rFonts w:ascii="Times New Roman" w:hAnsi="Times New Roman" w:cs="Times New Roman"/>
          <w:sz w:val="28"/>
          <w:szCs w:val="28"/>
        </w:rPr>
      </w:pPr>
    </w:p>
    <w:p w14:paraId="092D6BF3" w14:textId="54EEBBCB" w:rsidR="001A6A9D" w:rsidRPr="00307E0E" w:rsidRDefault="001A6A9D" w:rsidP="001A6A9D">
      <w:pPr>
        <w:spacing w:line="360" w:lineRule="auto"/>
        <w:rPr>
          <w:rFonts w:ascii="Times New Roman" w:hAnsi="Times New Roman" w:cs="Times New Roman"/>
          <w:b/>
          <w:bCs/>
          <w:sz w:val="28"/>
          <w:szCs w:val="28"/>
        </w:rPr>
      </w:pPr>
      <w:r>
        <w:rPr>
          <w:rFonts w:ascii="Times New Roman" w:hAnsi="Times New Roman" w:cs="Times New Roman"/>
          <w:b/>
          <w:bCs/>
          <w:sz w:val="28"/>
          <w:szCs w:val="28"/>
        </w:rPr>
        <w:t>5</w:t>
      </w:r>
      <w:r w:rsidRPr="00307E0E">
        <w:rPr>
          <w:rFonts w:ascii="Times New Roman" w:hAnsi="Times New Roman" w:cs="Times New Roman"/>
          <w:b/>
          <w:bCs/>
          <w:sz w:val="28"/>
          <w:szCs w:val="28"/>
        </w:rPr>
        <w:t xml:space="preserve"> </w:t>
      </w:r>
      <w:r>
        <w:rPr>
          <w:rFonts w:ascii="Times New Roman" w:hAnsi="Times New Roman" w:cs="Times New Roman"/>
          <w:b/>
          <w:bCs/>
          <w:sz w:val="28"/>
          <w:szCs w:val="28"/>
        </w:rPr>
        <w:t>References</w:t>
      </w:r>
    </w:p>
    <w:p w14:paraId="1936D537" w14:textId="222BD6FE" w:rsidR="00DB0703" w:rsidRDefault="00DB0703" w:rsidP="0077563C">
      <w:pPr>
        <w:spacing w:line="360" w:lineRule="auto"/>
        <w:rPr>
          <w:rFonts w:ascii="Times New Roman" w:hAnsi="Times New Roman" w:cs="Times New Roman" w:hint="eastAsia"/>
          <w:sz w:val="28"/>
          <w:szCs w:val="28"/>
        </w:rPr>
      </w:pPr>
      <w:r>
        <w:rPr>
          <w:rFonts w:ascii="Times New Roman" w:hAnsi="Times New Roman" w:cs="Times New Roman"/>
          <w:noProof/>
          <w:sz w:val="28"/>
          <w:szCs w:val="28"/>
        </w:rPr>
        <w:drawing>
          <wp:inline distT="0" distB="0" distL="0" distR="0" wp14:anchorId="30CCD7A6" wp14:editId="00C263F6">
            <wp:extent cx="5270500" cy="1034415"/>
            <wp:effectExtent l="0" t="0" r="0" b="0"/>
            <wp:docPr id="2042090330"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090330" name="图片 1" descr="文本&#10;&#10;AI 生成的内容可能不正确。"/>
                    <pic:cNvPicPr/>
                  </pic:nvPicPr>
                  <pic:blipFill>
                    <a:blip r:embed="rId5">
                      <a:extLst>
                        <a:ext uri="{28A0092B-C50C-407E-A947-70E740481C1C}">
                          <a14:useLocalDpi xmlns:a14="http://schemas.microsoft.com/office/drawing/2010/main" val="0"/>
                        </a:ext>
                      </a:extLst>
                    </a:blip>
                    <a:stretch>
                      <a:fillRect/>
                    </a:stretch>
                  </pic:blipFill>
                  <pic:spPr>
                    <a:xfrm>
                      <a:off x="0" y="0"/>
                      <a:ext cx="5270500" cy="1034415"/>
                    </a:xfrm>
                    <a:prstGeom prst="rect">
                      <a:avLst/>
                    </a:prstGeom>
                  </pic:spPr>
                </pic:pic>
              </a:graphicData>
            </a:graphic>
          </wp:inline>
        </w:drawing>
      </w:r>
    </w:p>
    <w:p w14:paraId="46BF091C" w14:textId="204265B8" w:rsidR="00DB0703" w:rsidRDefault="00DB0703" w:rsidP="0077563C">
      <w:pPr>
        <w:spacing w:line="360" w:lineRule="auto"/>
        <w:rPr>
          <w:rFonts w:ascii="Times New Roman" w:hAnsi="Times New Roman" w:cs="Times New Roman" w:hint="eastAsia"/>
          <w:sz w:val="28"/>
          <w:szCs w:val="28"/>
        </w:rPr>
      </w:pPr>
      <w:r>
        <w:rPr>
          <w:rFonts w:ascii="Times New Roman" w:hAnsi="Times New Roman" w:cs="Times New Roman"/>
          <w:noProof/>
          <w:sz w:val="28"/>
          <w:szCs w:val="28"/>
        </w:rPr>
        <w:lastRenderedPageBreak/>
        <w:drawing>
          <wp:anchor distT="0" distB="0" distL="114300" distR="114300" simplePos="0" relativeHeight="251658240" behindDoc="0" locked="0" layoutInCell="1" allowOverlap="1" wp14:anchorId="642F3F03" wp14:editId="4EF5C524">
            <wp:simplePos x="0" y="0"/>
            <wp:positionH relativeFrom="margin">
              <wp:posOffset>7620</wp:posOffset>
            </wp:positionH>
            <wp:positionV relativeFrom="margin">
              <wp:posOffset>31115</wp:posOffset>
            </wp:positionV>
            <wp:extent cx="5309870" cy="8623300"/>
            <wp:effectExtent l="0" t="0" r="0" b="0"/>
            <wp:wrapSquare wrapText="bothSides"/>
            <wp:docPr id="125792058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920584" name="图片 3"/>
                    <pic:cNvPicPr/>
                  </pic:nvPicPr>
                  <pic:blipFill>
                    <a:blip r:embed="rId6">
                      <a:extLst>
                        <a:ext uri="{28A0092B-C50C-407E-A947-70E740481C1C}">
                          <a14:useLocalDpi xmlns:a14="http://schemas.microsoft.com/office/drawing/2010/main" val="0"/>
                        </a:ext>
                      </a:extLst>
                    </a:blip>
                    <a:stretch>
                      <a:fillRect/>
                    </a:stretch>
                  </pic:blipFill>
                  <pic:spPr>
                    <a:xfrm>
                      <a:off x="0" y="0"/>
                      <a:ext cx="5309870" cy="8623300"/>
                    </a:xfrm>
                    <a:prstGeom prst="rect">
                      <a:avLst/>
                    </a:prstGeom>
                  </pic:spPr>
                </pic:pic>
              </a:graphicData>
            </a:graphic>
            <wp14:sizeRelH relativeFrom="margin">
              <wp14:pctWidth>0</wp14:pctWidth>
            </wp14:sizeRelH>
            <wp14:sizeRelV relativeFrom="margin">
              <wp14:pctHeight>0</wp14:pctHeight>
            </wp14:sizeRelV>
          </wp:anchor>
        </w:drawing>
      </w:r>
    </w:p>
    <w:p w14:paraId="79DB2C0A" w14:textId="667ECE67" w:rsidR="00DB0703" w:rsidRDefault="00DB0703" w:rsidP="0077563C">
      <w:pPr>
        <w:spacing w:line="360" w:lineRule="auto"/>
        <w:rPr>
          <w:rFonts w:ascii="Times New Roman" w:hAnsi="Times New Roman" w:cs="Times New Roman" w:hint="eastAsia"/>
          <w:sz w:val="28"/>
          <w:szCs w:val="28"/>
        </w:rPr>
      </w:pPr>
      <w:r>
        <w:rPr>
          <w:rFonts w:ascii="Times New Roman" w:hAnsi="Times New Roman" w:cs="Times New Roman"/>
          <w:noProof/>
          <w:sz w:val="28"/>
          <w:szCs w:val="28"/>
        </w:rPr>
        <w:lastRenderedPageBreak/>
        <w:drawing>
          <wp:anchor distT="0" distB="0" distL="114300" distR="114300" simplePos="0" relativeHeight="251659264" behindDoc="0" locked="0" layoutInCell="1" allowOverlap="1" wp14:anchorId="6C06D630" wp14:editId="095D9737">
            <wp:simplePos x="0" y="0"/>
            <wp:positionH relativeFrom="margin">
              <wp:posOffset>-19050</wp:posOffset>
            </wp:positionH>
            <wp:positionV relativeFrom="margin">
              <wp:posOffset>59690</wp:posOffset>
            </wp:positionV>
            <wp:extent cx="5335905" cy="8604250"/>
            <wp:effectExtent l="0" t="0" r="0" b="6350"/>
            <wp:wrapSquare wrapText="bothSides"/>
            <wp:docPr id="1329888808" name="图片 4"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888808" name="图片 4" descr="文本&#10;&#10;AI 生成的内容可能不正确。"/>
                    <pic:cNvPicPr/>
                  </pic:nvPicPr>
                  <pic:blipFill>
                    <a:blip r:embed="rId7">
                      <a:extLst>
                        <a:ext uri="{28A0092B-C50C-407E-A947-70E740481C1C}">
                          <a14:useLocalDpi xmlns:a14="http://schemas.microsoft.com/office/drawing/2010/main" val="0"/>
                        </a:ext>
                      </a:extLst>
                    </a:blip>
                    <a:stretch>
                      <a:fillRect/>
                    </a:stretch>
                  </pic:blipFill>
                  <pic:spPr>
                    <a:xfrm>
                      <a:off x="0" y="0"/>
                      <a:ext cx="5335905" cy="8604250"/>
                    </a:xfrm>
                    <a:prstGeom prst="rect">
                      <a:avLst/>
                    </a:prstGeom>
                  </pic:spPr>
                </pic:pic>
              </a:graphicData>
            </a:graphic>
            <wp14:sizeRelH relativeFrom="margin">
              <wp14:pctWidth>0</wp14:pctWidth>
            </wp14:sizeRelH>
            <wp14:sizeRelV relativeFrom="margin">
              <wp14:pctHeight>0</wp14:pctHeight>
            </wp14:sizeRelV>
          </wp:anchor>
        </w:drawing>
      </w:r>
    </w:p>
    <w:p w14:paraId="65D3B4A1" w14:textId="121288AA" w:rsidR="00DB0703" w:rsidRDefault="00DB0703" w:rsidP="0077563C">
      <w:pPr>
        <w:spacing w:line="360" w:lineRule="auto"/>
        <w:rPr>
          <w:rFonts w:ascii="Times New Roman" w:hAnsi="Times New Roman" w:cs="Times New Roman" w:hint="eastAsia"/>
          <w:sz w:val="28"/>
          <w:szCs w:val="28"/>
        </w:rPr>
      </w:pPr>
      <w:r>
        <w:rPr>
          <w:rFonts w:ascii="Times New Roman" w:hAnsi="Times New Roman" w:cs="Times New Roman"/>
          <w:noProof/>
          <w:sz w:val="28"/>
          <w:szCs w:val="28"/>
        </w:rPr>
        <w:lastRenderedPageBreak/>
        <w:drawing>
          <wp:anchor distT="0" distB="0" distL="114300" distR="114300" simplePos="0" relativeHeight="251660288" behindDoc="0" locked="0" layoutInCell="1" allowOverlap="1" wp14:anchorId="6552C5D4" wp14:editId="0A4949FC">
            <wp:simplePos x="0" y="0"/>
            <wp:positionH relativeFrom="margin">
              <wp:posOffset>5715</wp:posOffset>
            </wp:positionH>
            <wp:positionV relativeFrom="margin">
              <wp:posOffset>58420</wp:posOffset>
            </wp:positionV>
            <wp:extent cx="5321935" cy="8604250"/>
            <wp:effectExtent l="0" t="0" r="0" b="6350"/>
            <wp:wrapSquare wrapText="bothSides"/>
            <wp:docPr id="1945972467" name="图片 5" descr="手机屏幕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72467" name="图片 5" descr="手机屏幕截图&#10;&#10;AI 生成的内容可能不正确。"/>
                    <pic:cNvPicPr/>
                  </pic:nvPicPr>
                  <pic:blipFill>
                    <a:blip r:embed="rId8">
                      <a:extLst>
                        <a:ext uri="{28A0092B-C50C-407E-A947-70E740481C1C}">
                          <a14:useLocalDpi xmlns:a14="http://schemas.microsoft.com/office/drawing/2010/main" val="0"/>
                        </a:ext>
                      </a:extLst>
                    </a:blip>
                    <a:stretch>
                      <a:fillRect/>
                    </a:stretch>
                  </pic:blipFill>
                  <pic:spPr>
                    <a:xfrm>
                      <a:off x="0" y="0"/>
                      <a:ext cx="5321935" cy="8604250"/>
                    </a:xfrm>
                    <a:prstGeom prst="rect">
                      <a:avLst/>
                    </a:prstGeom>
                  </pic:spPr>
                </pic:pic>
              </a:graphicData>
            </a:graphic>
            <wp14:sizeRelH relativeFrom="margin">
              <wp14:pctWidth>0</wp14:pctWidth>
            </wp14:sizeRelH>
            <wp14:sizeRelV relativeFrom="margin">
              <wp14:pctHeight>0</wp14:pctHeight>
            </wp14:sizeRelV>
          </wp:anchor>
        </w:drawing>
      </w:r>
    </w:p>
    <w:p w14:paraId="5400FE0F" w14:textId="6988E950" w:rsidR="0077563C" w:rsidRPr="00DB0703" w:rsidRDefault="00DB0703" w:rsidP="0077563C">
      <w:pPr>
        <w:spacing w:line="360" w:lineRule="auto"/>
        <w:rPr>
          <w:rFonts w:ascii="Times New Roman" w:hAnsi="Times New Roman" w:cs="Times New Roman" w:hint="eastAsia"/>
          <w:i/>
          <w:iCs/>
          <w:sz w:val="28"/>
          <w:szCs w:val="28"/>
        </w:rPr>
      </w:pPr>
      <w:r>
        <w:rPr>
          <w:rFonts w:ascii="Times New Roman" w:hAnsi="Times New Roman" w:cs="Times New Roman"/>
          <w:i/>
          <w:iCs/>
          <w:noProof/>
          <w:sz w:val="28"/>
          <w:szCs w:val="28"/>
        </w:rPr>
        <w:lastRenderedPageBreak/>
        <w:drawing>
          <wp:anchor distT="0" distB="0" distL="114300" distR="114300" simplePos="0" relativeHeight="251661312" behindDoc="0" locked="0" layoutInCell="1" allowOverlap="1" wp14:anchorId="6D78D136" wp14:editId="784DB9DF">
            <wp:simplePos x="0" y="0"/>
            <wp:positionH relativeFrom="margin">
              <wp:posOffset>-21590</wp:posOffset>
            </wp:positionH>
            <wp:positionV relativeFrom="margin">
              <wp:posOffset>48260</wp:posOffset>
            </wp:positionV>
            <wp:extent cx="5355590" cy="5626735"/>
            <wp:effectExtent l="0" t="0" r="3810" b="0"/>
            <wp:wrapSquare wrapText="bothSides"/>
            <wp:docPr id="1608450390" name="图片 6" descr="表格&#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450390" name="图片 6" descr="表格&#10;&#10;AI 生成的内容可能不正确。"/>
                    <pic:cNvPicPr/>
                  </pic:nvPicPr>
                  <pic:blipFill>
                    <a:blip r:embed="rId9">
                      <a:extLst>
                        <a:ext uri="{28A0092B-C50C-407E-A947-70E740481C1C}">
                          <a14:useLocalDpi xmlns:a14="http://schemas.microsoft.com/office/drawing/2010/main" val="0"/>
                        </a:ext>
                      </a:extLst>
                    </a:blip>
                    <a:stretch>
                      <a:fillRect/>
                    </a:stretch>
                  </pic:blipFill>
                  <pic:spPr>
                    <a:xfrm>
                      <a:off x="0" y="0"/>
                      <a:ext cx="5355590" cy="5626735"/>
                    </a:xfrm>
                    <a:prstGeom prst="rect">
                      <a:avLst/>
                    </a:prstGeom>
                  </pic:spPr>
                </pic:pic>
              </a:graphicData>
            </a:graphic>
            <wp14:sizeRelH relativeFrom="margin">
              <wp14:pctWidth>0</wp14:pctWidth>
            </wp14:sizeRelH>
            <wp14:sizeRelV relativeFrom="margin">
              <wp14:pctHeight>0</wp14:pctHeight>
            </wp14:sizeRelV>
          </wp:anchor>
        </w:drawing>
      </w:r>
    </w:p>
    <w:sectPr w:rsidR="0077563C" w:rsidRPr="00DB0703" w:rsidSect="00AC4113">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8C60AF"/>
    <w:multiLevelType w:val="multilevel"/>
    <w:tmpl w:val="B134C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9E56919"/>
    <w:multiLevelType w:val="multilevel"/>
    <w:tmpl w:val="6C4E6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4366437">
    <w:abstractNumId w:val="0"/>
  </w:num>
  <w:num w:numId="2" w16cid:durableId="2226434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71A"/>
    <w:rsid w:val="00027710"/>
    <w:rsid w:val="000546AE"/>
    <w:rsid w:val="000C18EB"/>
    <w:rsid w:val="001A523F"/>
    <w:rsid w:val="001A6A9D"/>
    <w:rsid w:val="001D4F7B"/>
    <w:rsid w:val="00266CA5"/>
    <w:rsid w:val="00307E0E"/>
    <w:rsid w:val="00320E38"/>
    <w:rsid w:val="004073F3"/>
    <w:rsid w:val="005B5A62"/>
    <w:rsid w:val="006F085C"/>
    <w:rsid w:val="007525AB"/>
    <w:rsid w:val="0077563C"/>
    <w:rsid w:val="007D7D2D"/>
    <w:rsid w:val="00857B5D"/>
    <w:rsid w:val="008E1815"/>
    <w:rsid w:val="008E7EAE"/>
    <w:rsid w:val="00912E1E"/>
    <w:rsid w:val="009733E4"/>
    <w:rsid w:val="009A3B91"/>
    <w:rsid w:val="00A358E2"/>
    <w:rsid w:val="00A80748"/>
    <w:rsid w:val="00AC4113"/>
    <w:rsid w:val="00B3510D"/>
    <w:rsid w:val="00B84FCB"/>
    <w:rsid w:val="00BD43B9"/>
    <w:rsid w:val="00C2287E"/>
    <w:rsid w:val="00CA2829"/>
    <w:rsid w:val="00D7678C"/>
    <w:rsid w:val="00DA1EFE"/>
    <w:rsid w:val="00DB0703"/>
    <w:rsid w:val="00DC0414"/>
    <w:rsid w:val="00DC3E73"/>
    <w:rsid w:val="00E72019"/>
    <w:rsid w:val="00F0571A"/>
    <w:rsid w:val="00F662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CE0D9"/>
  <w15:chartTrackingRefBased/>
  <w15:docId w15:val="{950F9E4F-D98D-9942-9B98-91597C298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F0571A"/>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F0571A"/>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rsid w:val="00F0571A"/>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rsid w:val="00F0571A"/>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uiPriority w:val="9"/>
    <w:semiHidden/>
    <w:unhideWhenUsed/>
    <w:qFormat/>
    <w:rsid w:val="00F0571A"/>
    <w:pPr>
      <w:keepNext/>
      <w:keepLines/>
      <w:spacing w:before="80" w:after="40"/>
      <w:outlineLvl w:val="4"/>
    </w:pPr>
    <w:rPr>
      <w:rFonts w:cstheme="majorBidi"/>
      <w:color w:val="2E74B5" w:themeColor="accent1" w:themeShade="BF"/>
    </w:rPr>
  </w:style>
  <w:style w:type="paragraph" w:styleId="6">
    <w:name w:val="heading 6"/>
    <w:basedOn w:val="a"/>
    <w:next w:val="a"/>
    <w:link w:val="60"/>
    <w:uiPriority w:val="9"/>
    <w:semiHidden/>
    <w:unhideWhenUsed/>
    <w:qFormat/>
    <w:rsid w:val="00F0571A"/>
    <w:pPr>
      <w:keepNext/>
      <w:keepLines/>
      <w:spacing w:before="40"/>
      <w:outlineLvl w:val="5"/>
    </w:pPr>
    <w:rPr>
      <w:rFonts w:cstheme="majorBidi"/>
      <w:b/>
      <w:bCs/>
      <w:color w:val="2E74B5" w:themeColor="accent1" w:themeShade="BF"/>
    </w:rPr>
  </w:style>
  <w:style w:type="paragraph" w:styleId="7">
    <w:name w:val="heading 7"/>
    <w:basedOn w:val="a"/>
    <w:next w:val="a"/>
    <w:link w:val="70"/>
    <w:uiPriority w:val="9"/>
    <w:semiHidden/>
    <w:unhideWhenUsed/>
    <w:qFormat/>
    <w:rsid w:val="00F0571A"/>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F0571A"/>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F0571A"/>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0571A"/>
    <w:rPr>
      <w:rFonts w:asciiTheme="majorHAnsi" w:eastAsiaTheme="majorEastAsia" w:hAnsiTheme="majorHAnsi" w:cstheme="majorBidi"/>
      <w:color w:val="2E74B5" w:themeColor="accent1" w:themeShade="BF"/>
      <w:sz w:val="48"/>
      <w:szCs w:val="48"/>
    </w:rPr>
  </w:style>
  <w:style w:type="character" w:customStyle="1" w:styleId="20">
    <w:name w:val="标题 2 字符"/>
    <w:basedOn w:val="a0"/>
    <w:link w:val="2"/>
    <w:uiPriority w:val="9"/>
    <w:semiHidden/>
    <w:rsid w:val="00F0571A"/>
    <w:rPr>
      <w:rFonts w:asciiTheme="majorHAnsi" w:eastAsiaTheme="majorEastAsia" w:hAnsiTheme="majorHAnsi" w:cstheme="majorBidi"/>
      <w:color w:val="2E74B5" w:themeColor="accent1" w:themeShade="BF"/>
      <w:sz w:val="40"/>
      <w:szCs w:val="40"/>
    </w:rPr>
  </w:style>
  <w:style w:type="character" w:customStyle="1" w:styleId="30">
    <w:name w:val="标题 3 字符"/>
    <w:basedOn w:val="a0"/>
    <w:link w:val="3"/>
    <w:uiPriority w:val="9"/>
    <w:semiHidden/>
    <w:rsid w:val="00F0571A"/>
    <w:rPr>
      <w:rFonts w:asciiTheme="majorHAnsi" w:eastAsiaTheme="majorEastAsia" w:hAnsiTheme="majorHAnsi" w:cstheme="majorBidi"/>
      <w:color w:val="2E74B5" w:themeColor="accent1" w:themeShade="BF"/>
      <w:sz w:val="32"/>
      <w:szCs w:val="32"/>
    </w:rPr>
  </w:style>
  <w:style w:type="character" w:customStyle="1" w:styleId="40">
    <w:name w:val="标题 4 字符"/>
    <w:basedOn w:val="a0"/>
    <w:link w:val="4"/>
    <w:uiPriority w:val="9"/>
    <w:semiHidden/>
    <w:rsid w:val="00F0571A"/>
    <w:rPr>
      <w:rFonts w:cstheme="majorBidi"/>
      <w:color w:val="2E74B5" w:themeColor="accent1" w:themeShade="BF"/>
      <w:sz w:val="28"/>
      <w:szCs w:val="28"/>
    </w:rPr>
  </w:style>
  <w:style w:type="character" w:customStyle="1" w:styleId="50">
    <w:name w:val="标题 5 字符"/>
    <w:basedOn w:val="a0"/>
    <w:link w:val="5"/>
    <w:uiPriority w:val="9"/>
    <w:semiHidden/>
    <w:rsid w:val="00F0571A"/>
    <w:rPr>
      <w:rFonts w:cstheme="majorBidi"/>
      <w:color w:val="2E74B5" w:themeColor="accent1" w:themeShade="BF"/>
    </w:rPr>
  </w:style>
  <w:style w:type="character" w:customStyle="1" w:styleId="60">
    <w:name w:val="标题 6 字符"/>
    <w:basedOn w:val="a0"/>
    <w:link w:val="6"/>
    <w:uiPriority w:val="9"/>
    <w:semiHidden/>
    <w:rsid w:val="00F0571A"/>
    <w:rPr>
      <w:rFonts w:cstheme="majorBidi"/>
      <w:b/>
      <w:bCs/>
      <w:color w:val="2E74B5" w:themeColor="accent1" w:themeShade="BF"/>
    </w:rPr>
  </w:style>
  <w:style w:type="character" w:customStyle="1" w:styleId="70">
    <w:name w:val="标题 7 字符"/>
    <w:basedOn w:val="a0"/>
    <w:link w:val="7"/>
    <w:uiPriority w:val="9"/>
    <w:semiHidden/>
    <w:rsid w:val="00F0571A"/>
    <w:rPr>
      <w:rFonts w:cstheme="majorBidi"/>
      <w:b/>
      <w:bCs/>
      <w:color w:val="595959" w:themeColor="text1" w:themeTint="A6"/>
    </w:rPr>
  </w:style>
  <w:style w:type="character" w:customStyle="1" w:styleId="80">
    <w:name w:val="标题 8 字符"/>
    <w:basedOn w:val="a0"/>
    <w:link w:val="8"/>
    <w:uiPriority w:val="9"/>
    <w:semiHidden/>
    <w:rsid w:val="00F0571A"/>
    <w:rPr>
      <w:rFonts w:cstheme="majorBidi"/>
      <w:color w:val="595959" w:themeColor="text1" w:themeTint="A6"/>
    </w:rPr>
  </w:style>
  <w:style w:type="character" w:customStyle="1" w:styleId="90">
    <w:name w:val="标题 9 字符"/>
    <w:basedOn w:val="a0"/>
    <w:link w:val="9"/>
    <w:uiPriority w:val="9"/>
    <w:semiHidden/>
    <w:rsid w:val="00F0571A"/>
    <w:rPr>
      <w:rFonts w:eastAsiaTheme="majorEastAsia" w:cstheme="majorBidi"/>
      <w:color w:val="595959" w:themeColor="text1" w:themeTint="A6"/>
    </w:rPr>
  </w:style>
  <w:style w:type="paragraph" w:styleId="a3">
    <w:name w:val="Title"/>
    <w:basedOn w:val="a"/>
    <w:next w:val="a"/>
    <w:link w:val="a4"/>
    <w:uiPriority w:val="10"/>
    <w:qFormat/>
    <w:rsid w:val="00F0571A"/>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0571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0571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0571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0571A"/>
    <w:pPr>
      <w:spacing w:before="160" w:after="160"/>
      <w:jc w:val="center"/>
    </w:pPr>
    <w:rPr>
      <w:i/>
      <w:iCs/>
      <w:color w:val="404040" w:themeColor="text1" w:themeTint="BF"/>
    </w:rPr>
  </w:style>
  <w:style w:type="character" w:customStyle="1" w:styleId="a8">
    <w:name w:val="引用 字符"/>
    <w:basedOn w:val="a0"/>
    <w:link w:val="a7"/>
    <w:uiPriority w:val="29"/>
    <w:rsid w:val="00F0571A"/>
    <w:rPr>
      <w:i/>
      <w:iCs/>
      <w:color w:val="404040" w:themeColor="text1" w:themeTint="BF"/>
    </w:rPr>
  </w:style>
  <w:style w:type="paragraph" w:styleId="a9">
    <w:name w:val="List Paragraph"/>
    <w:basedOn w:val="a"/>
    <w:uiPriority w:val="34"/>
    <w:qFormat/>
    <w:rsid w:val="00F0571A"/>
    <w:pPr>
      <w:ind w:left="720"/>
      <w:contextualSpacing/>
    </w:pPr>
  </w:style>
  <w:style w:type="character" w:styleId="aa">
    <w:name w:val="Intense Emphasis"/>
    <w:basedOn w:val="a0"/>
    <w:uiPriority w:val="21"/>
    <w:qFormat/>
    <w:rsid w:val="00F0571A"/>
    <w:rPr>
      <w:i/>
      <w:iCs/>
      <w:color w:val="2E74B5" w:themeColor="accent1" w:themeShade="BF"/>
    </w:rPr>
  </w:style>
  <w:style w:type="paragraph" w:styleId="ab">
    <w:name w:val="Intense Quote"/>
    <w:basedOn w:val="a"/>
    <w:next w:val="a"/>
    <w:link w:val="ac"/>
    <w:uiPriority w:val="30"/>
    <w:qFormat/>
    <w:rsid w:val="00F0571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明显引用 字符"/>
    <w:basedOn w:val="a0"/>
    <w:link w:val="ab"/>
    <w:uiPriority w:val="30"/>
    <w:rsid w:val="00F0571A"/>
    <w:rPr>
      <w:i/>
      <w:iCs/>
      <w:color w:val="2E74B5" w:themeColor="accent1" w:themeShade="BF"/>
    </w:rPr>
  </w:style>
  <w:style w:type="character" w:styleId="ad">
    <w:name w:val="Intense Reference"/>
    <w:basedOn w:val="a0"/>
    <w:uiPriority w:val="32"/>
    <w:qFormat/>
    <w:rsid w:val="00F0571A"/>
    <w:rPr>
      <w:b/>
      <w:bCs/>
      <w:smallCaps/>
      <w:color w:val="2E74B5" w:themeColor="accent1" w:themeShade="BF"/>
      <w:spacing w:val="5"/>
    </w:rPr>
  </w:style>
  <w:style w:type="character" w:styleId="ae">
    <w:name w:val="Hyperlink"/>
    <w:basedOn w:val="a0"/>
    <w:uiPriority w:val="99"/>
    <w:unhideWhenUsed/>
    <w:rsid w:val="0077563C"/>
    <w:rPr>
      <w:color w:val="0563C1" w:themeColor="hyperlink"/>
      <w:u w:val="single"/>
    </w:rPr>
  </w:style>
  <w:style w:type="character" w:styleId="af">
    <w:name w:val="FollowedHyperlink"/>
    <w:basedOn w:val="a0"/>
    <w:uiPriority w:val="99"/>
    <w:semiHidden/>
    <w:unhideWhenUsed/>
    <w:rsid w:val="0077563C"/>
    <w:rPr>
      <w:color w:val="954F72" w:themeColor="followedHyperlink"/>
      <w:u w:val="single"/>
    </w:rPr>
  </w:style>
  <w:style w:type="character" w:styleId="af0">
    <w:name w:val="Unresolved Mention"/>
    <w:basedOn w:val="a0"/>
    <w:uiPriority w:val="99"/>
    <w:rsid w:val="007756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20</Pages>
  <Words>2994</Words>
  <Characters>17067</Characters>
  <Application>Microsoft Office Word</Application>
  <DocSecurity>0</DocSecurity>
  <Lines>142</Lines>
  <Paragraphs>40</Paragraphs>
  <ScaleCrop>false</ScaleCrop>
  <Company/>
  <LinksUpToDate>false</LinksUpToDate>
  <CharactersWithSpaces>20021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18881</dc:creator>
  <cp:keywords/>
  <dc:description/>
  <cp:lastModifiedBy>18881</cp:lastModifiedBy>
  <cp:revision>31</cp:revision>
  <dcterms:created xsi:type="dcterms:W3CDTF">2025-12-02T20:04:00Z</dcterms:created>
  <dcterms:modified xsi:type="dcterms:W3CDTF">2025-12-03T20:40:00Z</dcterms:modified>
</cp:coreProperties>
</file>