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harts/chart1.xml" ContentType="application/vnd.openxmlformats-officedocument.drawingml.chart+xml"/>
  <Override PartName="/word/charts/style1.xml" ContentType="application/vnd.ms-office.chartstyle+xml"/>
  <Override PartName="/word/charts/colors1.xml" ContentType="application/vnd.ms-office.chartcolorstyle+xml"/>
  <Override PartName="/word/charts/chart2.xml" ContentType="application/vnd.openxmlformats-officedocument.drawingml.chart+xml"/>
  <Override PartName="/word/charts/style2.xml" ContentType="application/vnd.ms-office.chartstyle+xml"/>
  <Override PartName="/word/charts/colors2.xml" ContentType="application/vnd.ms-office.chartcolorstyle+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921776" w:rsidRPr="00921776" w:rsidRDefault="00F96CC3" w:rsidP="00921776">
      <w:pPr>
        <w:pStyle w:val="Title"/>
        <w:jc w:val="center"/>
        <w:rPr>
          <w:b/>
          <w:sz w:val="36"/>
        </w:rPr>
      </w:pPr>
      <w:r>
        <w:rPr>
          <w:b/>
          <w:sz w:val="36"/>
        </w:rPr>
        <w:t>Evidence-based Practice and Analytics</w:t>
      </w:r>
    </w:p>
    <w:p w:rsidR="00921776" w:rsidRPr="00921776" w:rsidRDefault="00921776" w:rsidP="00921776">
      <w:pPr>
        <w:jc w:val="center"/>
        <w:rPr>
          <w:rFonts w:asciiTheme="majorHAnsi" w:eastAsiaTheme="majorEastAsia" w:hAnsiTheme="majorHAnsi" w:cstheme="majorBidi"/>
          <w:color w:val="850C4B" w:themeColor="accent1" w:themeShade="BF"/>
          <w:sz w:val="36"/>
          <w:szCs w:val="36"/>
        </w:rPr>
      </w:pPr>
      <w:r>
        <w:rPr>
          <w:rFonts w:asciiTheme="majorHAnsi" w:hAnsiTheme="majorHAnsi"/>
          <w:sz w:val="21"/>
          <w:szCs w:val="21"/>
        </w:rPr>
        <w:t>Briefing Paper</w:t>
      </w:r>
      <w:r w:rsidRPr="00921776">
        <w:rPr>
          <w:rFonts w:asciiTheme="majorHAnsi" w:hAnsiTheme="majorHAnsi"/>
          <w:sz w:val="21"/>
          <w:szCs w:val="21"/>
        </w:rPr>
        <w:t xml:space="preserve"> written by Jolanta Kalnina.</w:t>
      </w:r>
    </w:p>
    <w:p w:rsidR="00921776" w:rsidRPr="00921776" w:rsidRDefault="00921776" w:rsidP="00FE1506">
      <w:pPr>
        <w:rPr>
          <w:sz w:val="24"/>
        </w:rPr>
      </w:pPr>
    </w:p>
    <w:p w:rsidR="00FE1506" w:rsidRPr="00921776" w:rsidRDefault="00FD0BF9" w:rsidP="00921776">
      <w:pPr>
        <w:jc w:val="center"/>
        <w:rPr>
          <w:rFonts w:asciiTheme="minorHAnsi" w:hAnsiTheme="minorHAnsi"/>
          <w:b/>
          <w:sz w:val="24"/>
          <w:u w:val="single"/>
        </w:rPr>
      </w:pPr>
      <w:r w:rsidRPr="00921776">
        <w:rPr>
          <w:rFonts w:asciiTheme="minorHAnsi" w:hAnsiTheme="minorHAnsi"/>
          <w:b/>
          <w:sz w:val="24"/>
          <w:u w:val="single"/>
        </w:rPr>
        <w:t>Introduction:</w:t>
      </w:r>
    </w:p>
    <w:p w:rsidR="00F96CC3" w:rsidRPr="00F96CC3" w:rsidRDefault="00FD0BF9" w:rsidP="00F96CC3">
      <w:pPr>
        <w:pStyle w:val="NoSpacing"/>
        <w:rPr>
          <w:rFonts w:asciiTheme="minorHAnsi" w:hAnsiTheme="minorHAnsi"/>
        </w:rPr>
      </w:pPr>
      <w:r w:rsidRPr="00F96CC3">
        <w:rPr>
          <w:rFonts w:asciiTheme="minorHAnsi" w:hAnsiTheme="minorHAnsi"/>
        </w:rPr>
        <w:t xml:space="preserve">This briefing paper covers the ways in which the People Practice Team uses analytics and evidence-based practice to inform fair and effective decision-making, in turn creating the most value for the organisation. </w:t>
      </w:r>
    </w:p>
    <w:p w:rsidR="00FD0BF9" w:rsidRPr="00F96CC3" w:rsidRDefault="00FD0BF9" w:rsidP="00F96CC3">
      <w:pPr>
        <w:pStyle w:val="NoSpacing"/>
        <w:rPr>
          <w:rFonts w:asciiTheme="minorHAnsi" w:hAnsiTheme="minorHAnsi"/>
        </w:rPr>
      </w:pPr>
      <w:r w:rsidRPr="00F96CC3">
        <w:rPr>
          <w:rFonts w:asciiTheme="minorHAnsi" w:hAnsiTheme="minorHAnsi"/>
        </w:rPr>
        <w:t xml:space="preserve">The points covered </w:t>
      </w:r>
      <w:r w:rsidR="00F96CC3" w:rsidRPr="00F96CC3">
        <w:rPr>
          <w:rFonts w:asciiTheme="minorHAnsi" w:hAnsiTheme="minorHAnsi"/>
        </w:rPr>
        <w:t xml:space="preserve">in Section One </w:t>
      </w:r>
      <w:r w:rsidRPr="00F96CC3">
        <w:rPr>
          <w:rFonts w:asciiTheme="minorHAnsi" w:hAnsiTheme="minorHAnsi"/>
        </w:rPr>
        <w:t xml:space="preserve">include how evidence-based practice can be applied, the importance of data, the different types of data measurements used, the application of policies and procedures in decision making and the ways in which others can customer-focused and standards driven. </w:t>
      </w:r>
    </w:p>
    <w:p w:rsidR="00F96CC3" w:rsidRDefault="00F96CC3" w:rsidP="00F96CC3">
      <w:pPr>
        <w:pStyle w:val="NoSpacing"/>
        <w:rPr>
          <w:rFonts w:asciiTheme="minorHAnsi" w:hAnsiTheme="minorHAnsi"/>
        </w:rPr>
      </w:pPr>
      <w:r w:rsidRPr="00F96CC3">
        <w:rPr>
          <w:rFonts w:asciiTheme="minorHAnsi" w:hAnsiTheme="minorHAnsi"/>
        </w:rPr>
        <w:t xml:space="preserve">Following this, Section Two presents two diagrammatical formats of organisational data, the findings have been analysed and potential issues and solutions to these issues are examined and discussed. </w:t>
      </w:r>
    </w:p>
    <w:p w:rsidR="00841794" w:rsidRDefault="00841794" w:rsidP="00F96CC3">
      <w:pPr>
        <w:pStyle w:val="NoSpacing"/>
        <w:rPr>
          <w:rFonts w:asciiTheme="minorHAnsi" w:hAnsiTheme="minorHAnsi"/>
        </w:rPr>
      </w:pPr>
    </w:p>
    <w:p w:rsidR="00841794" w:rsidRPr="00841794" w:rsidRDefault="00841794" w:rsidP="00F96CC3">
      <w:pPr>
        <w:pStyle w:val="NoSpacing"/>
        <w:rPr>
          <w:rFonts w:asciiTheme="minorHAnsi" w:hAnsiTheme="minorHAnsi"/>
          <w:b/>
          <w:sz w:val="36"/>
          <w:u w:val="single"/>
        </w:rPr>
      </w:pPr>
      <w:r w:rsidRPr="00841794">
        <w:rPr>
          <w:rFonts w:asciiTheme="minorHAnsi" w:hAnsiTheme="minorHAnsi"/>
          <w:b/>
          <w:sz w:val="36"/>
          <w:u w:val="single"/>
        </w:rPr>
        <w:t>Section One:</w:t>
      </w:r>
    </w:p>
    <w:p w:rsidR="00FE1506" w:rsidRPr="00921776" w:rsidRDefault="00FE1506" w:rsidP="00921776">
      <w:pPr>
        <w:autoSpaceDE/>
        <w:autoSpaceDN/>
        <w:adjustRightInd/>
        <w:spacing w:after="0" w:line="240" w:lineRule="auto"/>
        <w:contextualSpacing/>
        <w:jc w:val="center"/>
        <w:rPr>
          <w:rFonts w:asciiTheme="minorHAnsi" w:hAnsiTheme="minorHAnsi"/>
          <w:b/>
          <w:u w:val="single"/>
        </w:rPr>
      </w:pPr>
      <w:r w:rsidRPr="00921776">
        <w:rPr>
          <w:rFonts w:asciiTheme="minorHAnsi" w:hAnsiTheme="minorHAnsi"/>
          <w:b/>
          <w:u w:val="single"/>
        </w:rPr>
        <w:t>(AC 1.1)</w:t>
      </w:r>
    </w:p>
    <w:p w:rsidR="0025011D" w:rsidRPr="00921776" w:rsidRDefault="0025011D" w:rsidP="0025011D">
      <w:pPr>
        <w:pStyle w:val="ListParagraph"/>
        <w:autoSpaceDE/>
        <w:autoSpaceDN/>
        <w:adjustRightInd/>
        <w:spacing w:before="0" w:after="0" w:line="240" w:lineRule="auto"/>
        <w:ind w:left="720" w:firstLine="0"/>
        <w:contextualSpacing/>
        <w:jc w:val="left"/>
        <w:rPr>
          <w:rFonts w:asciiTheme="minorHAnsi" w:hAnsiTheme="minorHAnsi"/>
        </w:rPr>
      </w:pPr>
    </w:p>
    <w:p w:rsidR="00FE1506" w:rsidRPr="00921776" w:rsidRDefault="00FD0BF9" w:rsidP="00921776">
      <w:pPr>
        <w:pStyle w:val="NoSpacing"/>
        <w:rPr>
          <w:rFonts w:asciiTheme="minorHAnsi" w:hAnsiTheme="minorHAnsi"/>
        </w:rPr>
      </w:pPr>
      <w:r w:rsidRPr="00921776">
        <w:rPr>
          <w:rFonts w:asciiTheme="minorHAnsi" w:hAnsiTheme="minorHAnsi"/>
        </w:rPr>
        <w:t>Ro</w:t>
      </w:r>
      <w:r w:rsidR="00C300E0" w:rsidRPr="00921776">
        <w:rPr>
          <w:rFonts w:asciiTheme="minorHAnsi" w:hAnsiTheme="minorHAnsi"/>
        </w:rPr>
        <w:t>u</w:t>
      </w:r>
      <w:r w:rsidRPr="00921776">
        <w:rPr>
          <w:rFonts w:asciiTheme="minorHAnsi" w:hAnsiTheme="minorHAnsi"/>
        </w:rPr>
        <w:t xml:space="preserve">sseau (2021) </w:t>
      </w:r>
      <w:r w:rsidR="0025011D" w:rsidRPr="00921776">
        <w:rPr>
          <w:rFonts w:asciiTheme="minorHAnsi" w:hAnsiTheme="minorHAnsi"/>
        </w:rPr>
        <w:t>define</w:t>
      </w:r>
      <w:r w:rsidRPr="00921776">
        <w:rPr>
          <w:rFonts w:asciiTheme="minorHAnsi" w:hAnsiTheme="minorHAnsi"/>
        </w:rPr>
        <w:t>s e</w:t>
      </w:r>
      <w:r w:rsidR="0025011D" w:rsidRPr="00921776">
        <w:rPr>
          <w:rFonts w:asciiTheme="minorHAnsi" w:hAnsiTheme="minorHAnsi"/>
        </w:rPr>
        <w:t xml:space="preserve">vidence-based practice as a process of making decisions through a ‘conscientious, explicit and judicious’ use of the best evidence from numerous sources, this in turn increasing the chances of a ‘favourable outcome’. </w:t>
      </w:r>
      <w:r w:rsidR="00987203" w:rsidRPr="00921776">
        <w:rPr>
          <w:rFonts w:asciiTheme="minorHAnsi" w:hAnsiTheme="minorHAnsi"/>
        </w:rPr>
        <w:t>Waite et al. (2021) present</w:t>
      </w:r>
      <w:r w:rsidR="006C6C36" w:rsidRPr="00921776">
        <w:rPr>
          <w:rFonts w:asciiTheme="minorHAnsi" w:hAnsiTheme="minorHAnsi"/>
        </w:rPr>
        <w:t xml:space="preserve"> a model of how evidence-based practice leads to decision making, it begins with </w:t>
      </w:r>
      <w:r w:rsidR="006E53A1" w:rsidRPr="00921776">
        <w:rPr>
          <w:rFonts w:asciiTheme="minorHAnsi" w:hAnsiTheme="minorHAnsi"/>
        </w:rPr>
        <w:t xml:space="preserve">a </w:t>
      </w:r>
      <w:r w:rsidR="006C6C36" w:rsidRPr="00921776">
        <w:rPr>
          <w:rFonts w:asciiTheme="minorHAnsi" w:hAnsiTheme="minorHAnsi"/>
        </w:rPr>
        <w:t>single or multiple forms of evidence, this leading to an increased awareness of the situation, use of analytics</w:t>
      </w:r>
      <w:r w:rsidR="006E53A1" w:rsidRPr="00921776">
        <w:rPr>
          <w:rFonts w:asciiTheme="minorHAnsi" w:hAnsiTheme="minorHAnsi"/>
        </w:rPr>
        <w:t xml:space="preserve"> is then included</w:t>
      </w:r>
      <w:r w:rsidR="006C6C36" w:rsidRPr="00921776">
        <w:rPr>
          <w:rFonts w:asciiTheme="minorHAnsi" w:hAnsiTheme="minorHAnsi"/>
        </w:rPr>
        <w:t xml:space="preserve">, and from this, logical judgement and rationale lead to </w:t>
      </w:r>
      <w:r w:rsidR="006E53A1" w:rsidRPr="00921776">
        <w:rPr>
          <w:rFonts w:asciiTheme="minorHAnsi" w:hAnsiTheme="minorHAnsi"/>
        </w:rPr>
        <w:t xml:space="preserve">reliable </w:t>
      </w:r>
      <w:r w:rsidR="006C6C36" w:rsidRPr="00921776">
        <w:rPr>
          <w:rFonts w:asciiTheme="minorHAnsi" w:hAnsiTheme="minorHAnsi"/>
        </w:rPr>
        <w:t xml:space="preserve">decision making. </w:t>
      </w:r>
    </w:p>
    <w:p w:rsidR="006C6C36" w:rsidRPr="00921776" w:rsidRDefault="006C6C36" w:rsidP="00921776">
      <w:pPr>
        <w:pStyle w:val="NoSpacing"/>
        <w:rPr>
          <w:rFonts w:asciiTheme="minorHAnsi" w:hAnsiTheme="minorHAnsi"/>
        </w:rPr>
      </w:pPr>
      <w:r w:rsidRPr="00921776">
        <w:rPr>
          <w:rFonts w:asciiTheme="minorHAnsi" w:hAnsiTheme="minorHAnsi"/>
        </w:rPr>
        <w:t xml:space="preserve">When applying this within an organisation, there are six ways </w:t>
      </w:r>
      <w:r w:rsidR="0075688C" w:rsidRPr="00921776">
        <w:rPr>
          <w:rFonts w:asciiTheme="minorHAnsi" w:hAnsiTheme="minorHAnsi"/>
        </w:rPr>
        <w:t xml:space="preserve">in which </w:t>
      </w:r>
      <w:r w:rsidRPr="00921776">
        <w:rPr>
          <w:rFonts w:asciiTheme="minorHAnsi" w:hAnsiTheme="minorHAnsi"/>
        </w:rPr>
        <w:t xml:space="preserve">evidence can be gathered from different sources, these are; asking, acquiring, appraising, aggregating, applying and assessing </w:t>
      </w:r>
      <w:r w:rsidR="00175AF3" w:rsidRPr="00921776">
        <w:rPr>
          <w:rFonts w:asciiTheme="minorHAnsi" w:hAnsiTheme="minorHAnsi"/>
        </w:rPr>
        <w:t xml:space="preserve">(Young, 2023). </w:t>
      </w:r>
      <w:r w:rsidR="0075688C" w:rsidRPr="00921776">
        <w:rPr>
          <w:rFonts w:asciiTheme="minorHAnsi" w:hAnsiTheme="minorHAnsi"/>
        </w:rPr>
        <w:t xml:space="preserve">These will help to support the organisation in creating a positive culture with employee engagement and satisfaction, to also create positive external and internal views of the organisation and also to help recognise issues that are present </w:t>
      </w:r>
      <w:r w:rsidR="00CB63AD" w:rsidRPr="00921776">
        <w:rPr>
          <w:rFonts w:asciiTheme="minorHAnsi" w:hAnsiTheme="minorHAnsi"/>
        </w:rPr>
        <w:t>(Waite et al. 2021, pp. 49).</w:t>
      </w:r>
    </w:p>
    <w:p w:rsidR="006C6C36" w:rsidRDefault="0075688C" w:rsidP="00921776">
      <w:pPr>
        <w:pStyle w:val="NoSpacing"/>
        <w:rPr>
          <w:rFonts w:asciiTheme="minorHAnsi" w:hAnsiTheme="minorHAnsi"/>
        </w:rPr>
      </w:pPr>
      <w:r w:rsidRPr="00921776">
        <w:rPr>
          <w:rFonts w:asciiTheme="minorHAnsi" w:hAnsiTheme="minorHAnsi"/>
        </w:rPr>
        <w:t>It is recommended by many authors that people professionals should use at least four sources of evidence before introducing a new practice or making an important decision. This includes using the judgement and expertise f</w:t>
      </w:r>
      <w:r w:rsidR="006E53A1" w:rsidRPr="00921776">
        <w:rPr>
          <w:rFonts w:asciiTheme="minorHAnsi" w:hAnsiTheme="minorHAnsi"/>
        </w:rPr>
        <w:t>rom other people professionals such as employers, managers and colleagues, using evidence from scientific literature such as peer-reviewed journals, evidence from the organisation itself such as performance indicators or financial data and finally, evidence from stakeholders such as suppliers and employees</w:t>
      </w:r>
      <w:r w:rsidR="0075118D" w:rsidRPr="00921776">
        <w:rPr>
          <w:rFonts w:asciiTheme="minorHAnsi" w:hAnsiTheme="minorHAnsi"/>
        </w:rPr>
        <w:t xml:space="preserve"> (CIPD, 2023)</w:t>
      </w:r>
      <w:r w:rsidR="006E53A1" w:rsidRPr="00921776">
        <w:rPr>
          <w:rFonts w:asciiTheme="minorHAnsi" w:hAnsiTheme="minorHAnsi"/>
        </w:rPr>
        <w:t>.</w:t>
      </w:r>
      <w:r w:rsidR="00F34032" w:rsidRPr="00921776">
        <w:rPr>
          <w:rFonts w:asciiTheme="minorHAnsi" w:hAnsiTheme="minorHAnsi"/>
        </w:rPr>
        <w:t xml:space="preserve"> Overall this will help people professionals to avoid making decisions based on outdated insights and will create a more trusted profession with an increased positive impact</w:t>
      </w:r>
      <w:r w:rsidR="003A6884" w:rsidRPr="00921776">
        <w:rPr>
          <w:rFonts w:asciiTheme="minorHAnsi" w:hAnsiTheme="minorHAnsi"/>
        </w:rPr>
        <w:t xml:space="preserve"> (Gifford, et al, 2023)</w:t>
      </w:r>
      <w:r w:rsidR="00F34032" w:rsidRPr="00921776">
        <w:rPr>
          <w:rFonts w:asciiTheme="minorHAnsi" w:hAnsiTheme="minorHAnsi"/>
        </w:rPr>
        <w:t xml:space="preserve">. </w:t>
      </w:r>
    </w:p>
    <w:p w:rsidR="00921776" w:rsidRDefault="00921776" w:rsidP="00921776">
      <w:pPr>
        <w:pStyle w:val="NoSpacing"/>
        <w:rPr>
          <w:rFonts w:asciiTheme="minorHAnsi" w:hAnsiTheme="minorHAnsi"/>
        </w:rPr>
      </w:pPr>
    </w:p>
    <w:p w:rsidR="00921776" w:rsidRDefault="00921776" w:rsidP="00921776">
      <w:pPr>
        <w:pStyle w:val="NoSpacing"/>
        <w:rPr>
          <w:rFonts w:asciiTheme="minorHAnsi" w:hAnsiTheme="minorHAnsi"/>
        </w:rPr>
      </w:pPr>
    </w:p>
    <w:p w:rsidR="00921776" w:rsidRDefault="00921776" w:rsidP="00921776">
      <w:pPr>
        <w:pStyle w:val="NoSpacing"/>
        <w:rPr>
          <w:rFonts w:asciiTheme="minorHAnsi" w:hAnsiTheme="minorHAnsi"/>
        </w:rPr>
      </w:pPr>
    </w:p>
    <w:p w:rsidR="00921776" w:rsidRDefault="00921776" w:rsidP="00921776">
      <w:pPr>
        <w:pStyle w:val="NoSpacing"/>
        <w:rPr>
          <w:rFonts w:asciiTheme="minorHAnsi" w:hAnsiTheme="minorHAnsi"/>
        </w:rPr>
      </w:pPr>
    </w:p>
    <w:p w:rsidR="00921776" w:rsidRDefault="00921776" w:rsidP="00921776">
      <w:pPr>
        <w:pStyle w:val="NoSpacing"/>
        <w:rPr>
          <w:rFonts w:asciiTheme="minorHAnsi" w:hAnsiTheme="minorHAnsi"/>
        </w:rPr>
      </w:pPr>
    </w:p>
    <w:p w:rsidR="00FC25E3" w:rsidRPr="00B81956" w:rsidRDefault="00FC25E3" w:rsidP="00B81956">
      <w:pPr>
        <w:autoSpaceDE/>
        <w:autoSpaceDN/>
        <w:adjustRightInd/>
        <w:spacing w:after="0" w:line="240" w:lineRule="auto"/>
        <w:contextualSpacing/>
        <w:jc w:val="left"/>
        <w:rPr>
          <w:rFonts w:asciiTheme="minorHAnsi" w:hAnsiTheme="minorHAnsi"/>
        </w:rPr>
      </w:pPr>
    </w:p>
    <w:p w:rsidR="006C6C36" w:rsidRPr="00921776" w:rsidRDefault="006C6C36" w:rsidP="006C6C36">
      <w:pPr>
        <w:pStyle w:val="ListParagraph"/>
        <w:autoSpaceDE/>
        <w:autoSpaceDN/>
        <w:adjustRightInd/>
        <w:spacing w:before="0" w:after="0" w:line="240" w:lineRule="auto"/>
        <w:ind w:left="720" w:firstLine="0"/>
        <w:contextualSpacing/>
        <w:jc w:val="left"/>
        <w:rPr>
          <w:rFonts w:asciiTheme="minorHAnsi" w:hAnsiTheme="minorHAnsi"/>
        </w:rPr>
      </w:pPr>
    </w:p>
    <w:p w:rsidR="00FE1506" w:rsidRPr="00921776" w:rsidRDefault="00FE1506" w:rsidP="00921776">
      <w:pPr>
        <w:autoSpaceDE/>
        <w:autoSpaceDN/>
        <w:adjustRightInd/>
        <w:spacing w:after="0" w:line="240" w:lineRule="auto"/>
        <w:contextualSpacing/>
        <w:jc w:val="center"/>
        <w:rPr>
          <w:rFonts w:asciiTheme="minorHAnsi" w:hAnsiTheme="minorHAnsi"/>
          <w:b/>
          <w:u w:val="single"/>
        </w:rPr>
      </w:pPr>
      <w:r w:rsidRPr="00921776">
        <w:rPr>
          <w:rFonts w:asciiTheme="minorHAnsi" w:hAnsiTheme="minorHAnsi"/>
          <w:b/>
          <w:u w:val="single"/>
        </w:rPr>
        <w:t>(AC 1.2)</w:t>
      </w:r>
    </w:p>
    <w:p w:rsidR="00AF7954" w:rsidRPr="00921776" w:rsidRDefault="00AF7954" w:rsidP="00AF7954">
      <w:pPr>
        <w:pStyle w:val="ListParagraph"/>
        <w:autoSpaceDE/>
        <w:autoSpaceDN/>
        <w:adjustRightInd/>
        <w:spacing w:before="0" w:after="0" w:line="240" w:lineRule="auto"/>
        <w:ind w:left="720" w:firstLine="0"/>
        <w:contextualSpacing/>
        <w:jc w:val="left"/>
        <w:rPr>
          <w:rFonts w:asciiTheme="minorHAnsi" w:hAnsiTheme="minorHAnsi"/>
        </w:rPr>
      </w:pPr>
    </w:p>
    <w:p w:rsidR="00DB685D" w:rsidRPr="00921776" w:rsidRDefault="00AF7954" w:rsidP="00921776">
      <w:pPr>
        <w:pStyle w:val="NoSpacing"/>
        <w:rPr>
          <w:rFonts w:asciiTheme="minorHAnsi" w:hAnsiTheme="minorHAnsi"/>
        </w:rPr>
      </w:pPr>
      <w:r w:rsidRPr="00921776">
        <w:rPr>
          <w:rFonts w:asciiTheme="minorHAnsi" w:hAnsiTheme="minorHAnsi"/>
        </w:rPr>
        <w:t>The importance of using data in organisations is becoming a prominent topic in emerging academic research, with research suggesting that by using business analytics and data to guide decision making, organisations are more productive and ‘experien</w:t>
      </w:r>
      <w:r w:rsidR="000805E3" w:rsidRPr="00921776">
        <w:rPr>
          <w:rFonts w:asciiTheme="minorHAnsi" w:hAnsiTheme="minorHAnsi"/>
        </w:rPr>
        <w:t>ce higher returns on equity than</w:t>
      </w:r>
      <w:r w:rsidRPr="00921776">
        <w:rPr>
          <w:rFonts w:asciiTheme="minorHAnsi" w:hAnsiTheme="minorHAnsi"/>
        </w:rPr>
        <w:t xml:space="preserve"> competitors who don’t’</w:t>
      </w:r>
      <w:r w:rsidR="00686487" w:rsidRPr="00921776">
        <w:rPr>
          <w:rFonts w:asciiTheme="minorHAnsi" w:hAnsiTheme="minorHAnsi"/>
        </w:rPr>
        <w:t xml:space="preserve"> (Brown, </w:t>
      </w:r>
      <w:r w:rsidR="00686487" w:rsidRPr="00921776">
        <w:rPr>
          <w:rFonts w:asciiTheme="minorHAnsi" w:hAnsiTheme="minorHAnsi"/>
          <w:i/>
        </w:rPr>
        <w:t>et al</w:t>
      </w:r>
      <w:r w:rsidR="00686487" w:rsidRPr="00921776">
        <w:rPr>
          <w:rFonts w:asciiTheme="minorHAnsi" w:hAnsiTheme="minorHAnsi"/>
        </w:rPr>
        <w:t>, 2011)</w:t>
      </w:r>
      <w:r w:rsidRPr="00921776">
        <w:rPr>
          <w:rFonts w:asciiTheme="minorHAnsi" w:hAnsiTheme="minorHAnsi"/>
        </w:rPr>
        <w:t>. Furthermore, people analytics is important in HR as this analyses data about people in order to solve business problems, for example, it can be used to measure workforce performance and wellbeing, it can measure the impact of HR processes and policies and it can help managers to make better hiring decisions according to</w:t>
      </w:r>
      <w:r w:rsidR="0009510E" w:rsidRPr="00921776">
        <w:rPr>
          <w:rFonts w:asciiTheme="minorHAnsi" w:hAnsiTheme="minorHAnsi"/>
        </w:rPr>
        <w:t xml:space="preserve"> the</w:t>
      </w:r>
      <w:r w:rsidRPr="00921776">
        <w:rPr>
          <w:rFonts w:asciiTheme="minorHAnsi" w:hAnsiTheme="minorHAnsi"/>
        </w:rPr>
        <w:t xml:space="preserve"> data </w:t>
      </w:r>
      <w:r w:rsidR="006C50BF" w:rsidRPr="00921776">
        <w:rPr>
          <w:rFonts w:asciiTheme="minorHAnsi" w:hAnsiTheme="minorHAnsi"/>
        </w:rPr>
        <w:t xml:space="preserve">(CIPD, 2022). </w:t>
      </w:r>
      <w:r w:rsidR="00DB685D" w:rsidRPr="00921776">
        <w:rPr>
          <w:rFonts w:asciiTheme="minorHAnsi" w:hAnsiTheme="minorHAnsi"/>
        </w:rPr>
        <w:t xml:space="preserve">The use of data in organisations can also benefit the employees as they can use the data to create learning solutions that are more tailored to their actual needs </w:t>
      </w:r>
      <w:r w:rsidR="007A12E7" w:rsidRPr="00921776">
        <w:rPr>
          <w:rFonts w:asciiTheme="minorHAnsi" w:hAnsiTheme="minorHAnsi"/>
        </w:rPr>
        <w:t xml:space="preserve">(Haak, 2019). </w:t>
      </w:r>
      <w:r w:rsidR="00E358AE" w:rsidRPr="00921776">
        <w:rPr>
          <w:rFonts w:asciiTheme="minorHAnsi" w:hAnsiTheme="minorHAnsi"/>
        </w:rPr>
        <w:t xml:space="preserve">It is important to use different types of data analytics, for example, descriptive analytics can </w:t>
      </w:r>
      <w:r w:rsidR="0089420F" w:rsidRPr="00921776">
        <w:rPr>
          <w:rFonts w:asciiTheme="minorHAnsi" w:hAnsiTheme="minorHAnsi"/>
        </w:rPr>
        <w:t xml:space="preserve">help an organisation to describe past results, such as absence days. Diagnostic analytics can help to uncover why past results have occurred, for example uncovering patterns in sickness absence. Predictive analytics helps to predict future patterns and prescriptive analytics can help to provide future solutions </w:t>
      </w:r>
      <w:r w:rsidR="007F475B" w:rsidRPr="00921776">
        <w:rPr>
          <w:rFonts w:asciiTheme="minorHAnsi" w:hAnsiTheme="minorHAnsi"/>
          <w:sz w:val="21"/>
          <w:szCs w:val="21"/>
        </w:rPr>
        <w:t>(Waite et al. 2021, pp. 51).</w:t>
      </w:r>
    </w:p>
    <w:p w:rsidR="0089420F" w:rsidRPr="00921776" w:rsidRDefault="0089420F" w:rsidP="00921776">
      <w:pPr>
        <w:pStyle w:val="NoSpacing"/>
        <w:rPr>
          <w:rFonts w:asciiTheme="minorHAnsi" w:hAnsiTheme="minorHAnsi"/>
        </w:rPr>
      </w:pPr>
      <w:r w:rsidRPr="00921776">
        <w:rPr>
          <w:rFonts w:asciiTheme="minorHAnsi" w:hAnsiTheme="minorHAnsi"/>
        </w:rPr>
        <w:t>It is also necessary to ensure that data is accurate</w:t>
      </w:r>
      <w:r w:rsidR="00414E9A" w:rsidRPr="00921776">
        <w:rPr>
          <w:rFonts w:asciiTheme="minorHAnsi" w:hAnsiTheme="minorHAnsi"/>
        </w:rPr>
        <w:t>, valid and reliable</w:t>
      </w:r>
      <w:r w:rsidRPr="00921776">
        <w:rPr>
          <w:rFonts w:asciiTheme="minorHAnsi" w:hAnsiTheme="minorHAnsi"/>
        </w:rPr>
        <w:t xml:space="preserve"> when d</w:t>
      </w:r>
      <w:r w:rsidR="00414E9A" w:rsidRPr="00921776">
        <w:rPr>
          <w:rFonts w:asciiTheme="minorHAnsi" w:hAnsiTheme="minorHAnsi"/>
        </w:rPr>
        <w:t>etermining problems and issues, this will enable better decision-making by decreasing risk and increasing the outcome of consistent results</w:t>
      </w:r>
      <w:r w:rsidR="00A55621" w:rsidRPr="00921776">
        <w:rPr>
          <w:rFonts w:asciiTheme="minorHAnsi" w:hAnsiTheme="minorHAnsi"/>
        </w:rPr>
        <w:t xml:space="preserve"> (SafeGraph, no date)</w:t>
      </w:r>
      <w:r w:rsidR="00414E9A" w:rsidRPr="00921776">
        <w:rPr>
          <w:rFonts w:asciiTheme="minorHAnsi" w:hAnsiTheme="minorHAnsi"/>
        </w:rPr>
        <w:t xml:space="preserve">. This can be done by collecting the data over different time periods and using a variety of collection methods such as written responses and data </w:t>
      </w:r>
      <w:r w:rsidR="007F475B" w:rsidRPr="00921776">
        <w:rPr>
          <w:rFonts w:asciiTheme="minorHAnsi" w:hAnsiTheme="minorHAnsi"/>
          <w:sz w:val="21"/>
          <w:szCs w:val="21"/>
        </w:rPr>
        <w:t>(Waite et al. 2021, pp. 51).</w:t>
      </w:r>
    </w:p>
    <w:p w:rsidR="00FE1506" w:rsidRPr="00921776" w:rsidRDefault="00FE1506" w:rsidP="00FE1506">
      <w:pPr>
        <w:spacing w:line="240" w:lineRule="auto"/>
        <w:rPr>
          <w:rFonts w:asciiTheme="minorHAnsi" w:hAnsiTheme="minorHAnsi"/>
        </w:rPr>
      </w:pPr>
    </w:p>
    <w:p w:rsidR="00FE1506" w:rsidRPr="00921776" w:rsidRDefault="00921776" w:rsidP="00921776">
      <w:pPr>
        <w:autoSpaceDE/>
        <w:autoSpaceDN/>
        <w:adjustRightInd/>
        <w:spacing w:after="0" w:line="240" w:lineRule="auto"/>
        <w:contextualSpacing/>
        <w:jc w:val="center"/>
        <w:rPr>
          <w:rFonts w:asciiTheme="minorHAnsi" w:hAnsiTheme="minorHAnsi"/>
          <w:b/>
          <w:u w:val="single"/>
        </w:rPr>
      </w:pPr>
      <w:r w:rsidRPr="00921776">
        <w:rPr>
          <w:rFonts w:asciiTheme="minorHAnsi" w:hAnsiTheme="minorHAnsi"/>
          <w:b/>
          <w:u w:val="single"/>
        </w:rPr>
        <w:t>(</w:t>
      </w:r>
      <w:r w:rsidR="00FE1506" w:rsidRPr="00921776">
        <w:rPr>
          <w:rFonts w:asciiTheme="minorHAnsi" w:hAnsiTheme="minorHAnsi"/>
          <w:b/>
          <w:u w:val="single"/>
        </w:rPr>
        <w:t>AC 1.3)</w:t>
      </w:r>
    </w:p>
    <w:p w:rsidR="001B665B" w:rsidRPr="00921776" w:rsidRDefault="001B665B" w:rsidP="001B665B">
      <w:pPr>
        <w:pStyle w:val="ListParagraph"/>
        <w:autoSpaceDE/>
        <w:autoSpaceDN/>
        <w:adjustRightInd/>
        <w:spacing w:before="0" w:after="0" w:line="240" w:lineRule="auto"/>
        <w:ind w:left="720" w:firstLine="0"/>
        <w:contextualSpacing/>
        <w:jc w:val="left"/>
        <w:rPr>
          <w:rFonts w:asciiTheme="minorHAnsi" w:hAnsiTheme="minorHAnsi"/>
        </w:rPr>
      </w:pPr>
    </w:p>
    <w:p w:rsidR="001B665B" w:rsidRPr="00921776" w:rsidRDefault="001B665B" w:rsidP="00921776">
      <w:pPr>
        <w:pStyle w:val="NoSpacing"/>
        <w:rPr>
          <w:rFonts w:asciiTheme="minorHAnsi" w:hAnsiTheme="minorHAnsi"/>
        </w:rPr>
      </w:pPr>
      <w:r w:rsidRPr="00921776">
        <w:rPr>
          <w:rFonts w:asciiTheme="minorHAnsi" w:hAnsiTheme="minorHAnsi"/>
        </w:rPr>
        <w:t xml:space="preserve">When informing the decision-making process, people professionals can use numerous approaches to collect and analyse data; this includes both qualitative and quantitative data which is beneficial when needing to gain insight into teams and individuals within the organisation </w:t>
      </w:r>
      <w:r w:rsidR="00126029" w:rsidRPr="00921776">
        <w:rPr>
          <w:rFonts w:asciiTheme="minorHAnsi" w:hAnsiTheme="minorHAnsi"/>
        </w:rPr>
        <w:t>(Webster, 2017).</w:t>
      </w:r>
    </w:p>
    <w:p w:rsidR="002C23CE" w:rsidRPr="00921776" w:rsidRDefault="002C23CE" w:rsidP="00921776">
      <w:pPr>
        <w:pStyle w:val="NoSpacing"/>
        <w:rPr>
          <w:rFonts w:asciiTheme="minorHAnsi" w:hAnsiTheme="minorHAnsi"/>
        </w:rPr>
      </w:pPr>
      <w:r w:rsidRPr="00921776">
        <w:rPr>
          <w:rFonts w:asciiTheme="minorHAnsi" w:hAnsiTheme="minorHAnsi"/>
        </w:rPr>
        <w:t xml:space="preserve">Qualitative date can be gathered through methods such as focus groups and interviews, for example, exit interview records, discipline and grievance interview records and written documents from appraisals and performance reviews </w:t>
      </w:r>
      <w:r w:rsidR="007F475B" w:rsidRPr="00921776">
        <w:rPr>
          <w:rFonts w:asciiTheme="minorHAnsi" w:hAnsiTheme="minorHAnsi"/>
          <w:sz w:val="21"/>
          <w:szCs w:val="21"/>
        </w:rPr>
        <w:t xml:space="preserve">(Waite et al. 2021, pp. 50). </w:t>
      </w:r>
      <w:r w:rsidRPr="00921776">
        <w:rPr>
          <w:rFonts w:asciiTheme="minorHAnsi" w:hAnsiTheme="minorHAnsi"/>
        </w:rPr>
        <w:t>This data is based on meanings from observations, images and words and there</w:t>
      </w:r>
      <w:r w:rsidR="00335F0E" w:rsidRPr="00921776">
        <w:rPr>
          <w:rFonts w:asciiTheme="minorHAnsi" w:hAnsiTheme="minorHAnsi"/>
        </w:rPr>
        <w:t>fore</w:t>
      </w:r>
      <w:r w:rsidRPr="00921776">
        <w:rPr>
          <w:rFonts w:asciiTheme="minorHAnsi" w:hAnsiTheme="minorHAnsi"/>
        </w:rPr>
        <w:t xml:space="preserve"> it is useful </w:t>
      </w:r>
      <w:r w:rsidR="00335F0E" w:rsidRPr="00921776">
        <w:rPr>
          <w:rFonts w:asciiTheme="minorHAnsi" w:hAnsiTheme="minorHAnsi"/>
        </w:rPr>
        <w:t>for u</w:t>
      </w:r>
      <w:r w:rsidRPr="00921776">
        <w:rPr>
          <w:rFonts w:asciiTheme="minorHAnsi" w:hAnsiTheme="minorHAnsi"/>
        </w:rPr>
        <w:t>nderstanding concepts such as employee emotions, perceptions and motivations, allowing people professionals to find solutions for dynamic and complex issues in the</w:t>
      </w:r>
      <w:r w:rsidR="00335F0E" w:rsidRPr="00921776">
        <w:rPr>
          <w:rFonts w:asciiTheme="minorHAnsi" w:hAnsiTheme="minorHAnsi"/>
        </w:rPr>
        <w:t>ir</w:t>
      </w:r>
      <w:r w:rsidRPr="00921776">
        <w:rPr>
          <w:rFonts w:asciiTheme="minorHAnsi" w:hAnsiTheme="minorHAnsi"/>
        </w:rPr>
        <w:t xml:space="preserve"> organisation</w:t>
      </w:r>
      <w:r w:rsidR="00581FEA" w:rsidRPr="00921776">
        <w:rPr>
          <w:rFonts w:asciiTheme="minorHAnsi" w:hAnsiTheme="minorHAnsi"/>
        </w:rPr>
        <w:t xml:space="preserve"> such as any development obstacles </w:t>
      </w:r>
      <w:r w:rsidR="0079523B" w:rsidRPr="00921776">
        <w:rPr>
          <w:rFonts w:asciiTheme="minorHAnsi" w:hAnsiTheme="minorHAnsi"/>
        </w:rPr>
        <w:t>employees</w:t>
      </w:r>
      <w:r w:rsidR="00581FEA" w:rsidRPr="00921776">
        <w:rPr>
          <w:rFonts w:asciiTheme="minorHAnsi" w:hAnsiTheme="minorHAnsi"/>
        </w:rPr>
        <w:t xml:space="preserve"> may be facing</w:t>
      </w:r>
      <w:r w:rsidR="000C60A1" w:rsidRPr="00921776">
        <w:rPr>
          <w:rFonts w:asciiTheme="minorHAnsi" w:hAnsiTheme="minorHAnsi"/>
        </w:rPr>
        <w:t xml:space="preserve"> (Linkedin, 2023).</w:t>
      </w:r>
    </w:p>
    <w:p w:rsidR="0079523B" w:rsidRPr="00921776" w:rsidRDefault="0079523B" w:rsidP="00921776">
      <w:pPr>
        <w:pStyle w:val="NoSpacing"/>
        <w:rPr>
          <w:rFonts w:asciiTheme="minorHAnsi" w:hAnsiTheme="minorHAnsi"/>
        </w:rPr>
      </w:pPr>
      <w:r w:rsidRPr="00921776">
        <w:rPr>
          <w:rFonts w:asciiTheme="minorHAnsi" w:hAnsiTheme="minorHAnsi"/>
        </w:rPr>
        <w:t xml:space="preserve">When looking at quantitative data, this can be gathered through methods such as surveys or data held on HR systems; the methods are based more on statistics and numerical measurements, helping people professionals to recognise any correlations, trends or patterns in organisational data </w:t>
      </w:r>
      <w:r w:rsidR="000C60A1" w:rsidRPr="00921776">
        <w:rPr>
          <w:rFonts w:asciiTheme="minorHAnsi" w:hAnsiTheme="minorHAnsi"/>
        </w:rPr>
        <w:t>(Linkedin, 2023).</w:t>
      </w:r>
      <w:r w:rsidRPr="00921776">
        <w:rPr>
          <w:rFonts w:asciiTheme="minorHAnsi" w:hAnsiTheme="minorHAnsi"/>
        </w:rPr>
        <w:t xml:space="preserve"> For example, it can be used to review and compare </w:t>
      </w:r>
      <w:r w:rsidR="005A1E85" w:rsidRPr="00921776">
        <w:rPr>
          <w:rFonts w:asciiTheme="minorHAnsi" w:hAnsiTheme="minorHAnsi"/>
        </w:rPr>
        <w:t xml:space="preserve">employee job satisfaction and engagement, employee absence rates, labour turnover and diversity and inclusion data, all of which will also help to forecast future scenarios </w:t>
      </w:r>
      <w:r w:rsidR="007F475B" w:rsidRPr="00921776">
        <w:rPr>
          <w:rFonts w:asciiTheme="minorHAnsi" w:hAnsiTheme="minorHAnsi"/>
          <w:sz w:val="21"/>
          <w:szCs w:val="21"/>
        </w:rPr>
        <w:t>(Waite et al. 2021, pp. 50).</w:t>
      </w:r>
    </w:p>
    <w:p w:rsidR="005A1E85" w:rsidRPr="00921776" w:rsidRDefault="005A1E85" w:rsidP="00921776">
      <w:pPr>
        <w:pStyle w:val="NoSpacing"/>
        <w:rPr>
          <w:rFonts w:asciiTheme="minorHAnsi" w:hAnsiTheme="minorHAnsi"/>
        </w:rPr>
      </w:pPr>
      <w:r w:rsidRPr="00921776">
        <w:rPr>
          <w:rFonts w:asciiTheme="minorHAnsi" w:hAnsiTheme="minorHAnsi"/>
        </w:rPr>
        <w:t xml:space="preserve">In some contexts, both qualitative and quantitative data can be used, for example when needing to analyse employee workload, quantitative methods ca be used to track if employees are meeting targets and qualitative methods can be used to gather employee perceptions on workload, including stress levels etc </w:t>
      </w:r>
      <w:r w:rsidR="000E3480" w:rsidRPr="00921776">
        <w:rPr>
          <w:rFonts w:asciiTheme="minorHAnsi" w:hAnsiTheme="minorHAnsi"/>
        </w:rPr>
        <w:t>(Webster, 2017)</w:t>
      </w:r>
      <w:r w:rsidRPr="00921776">
        <w:rPr>
          <w:rFonts w:asciiTheme="minorHAnsi" w:hAnsiTheme="minorHAnsi"/>
        </w:rPr>
        <w:t xml:space="preserve">. All of which will help people professionals to gain the best insight into the most effective solution. </w:t>
      </w:r>
    </w:p>
    <w:p w:rsidR="00FE1506" w:rsidRPr="00921776" w:rsidRDefault="00FE1506" w:rsidP="00FE1506">
      <w:pPr>
        <w:spacing w:line="240" w:lineRule="auto"/>
        <w:rPr>
          <w:rFonts w:asciiTheme="minorHAnsi" w:hAnsiTheme="minorHAnsi"/>
        </w:rPr>
      </w:pPr>
    </w:p>
    <w:p w:rsidR="00FE1506" w:rsidRPr="00921776" w:rsidRDefault="00FE1506" w:rsidP="00921776">
      <w:pPr>
        <w:autoSpaceDE/>
        <w:autoSpaceDN/>
        <w:adjustRightInd/>
        <w:spacing w:after="0" w:line="240" w:lineRule="auto"/>
        <w:contextualSpacing/>
        <w:jc w:val="center"/>
        <w:rPr>
          <w:rFonts w:asciiTheme="minorHAnsi" w:hAnsiTheme="minorHAnsi"/>
          <w:b/>
          <w:u w:val="single"/>
        </w:rPr>
      </w:pPr>
      <w:r w:rsidRPr="00921776">
        <w:rPr>
          <w:rFonts w:asciiTheme="minorHAnsi" w:hAnsiTheme="minorHAnsi"/>
          <w:b/>
          <w:u w:val="single"/>
        </w:rPr>
        <w:lastRenderedPageBreak/>
        <w:t>(AC 1.6)</w:t>
      </w:r>
    </w:p>
    <w:p w:rsidR="009F5682" w:rsidRPr="00921776" w:rsidRDefault="009F5682" w:rsidP="009F5682">
      <w:pPr>
        <w:pStyle w:val="ListParagraph"/>
        <w:autoSpaceDE/>
        <w:autoSpaceDN/>
        <w:adjustRightInd/>
        <w:spacing w:before="0" w:after="0" w:line="240" w:lineRule="auto"/>
        <w:ind w:left="720" w:firstLine="0"/>
        <w:contextualSpacing/>
        <w:jc w:val="left"/>
        <w:rPr>
          <w:rFonts w:asciiTheme="minorHAnsi" w:hAnsiTheme="minorHAnsi"/>
        </w:rPr>
      </w:pPr>
    </w:p>
    <w:p w:rsidR="009F5682" w:rsidRPr="00921776" w:rsidRDefault="009F5682" w:rsidP="00921776">
      <w:pPr>
        <w:pStyle w:val="NoSpacing"/>
        <w:rPr>
          <w:rFonts w:asciiTheme="minorHAnsi" w:hAnsiTheme="minorHAnsi"/>
        </w:rPr>
      </w:pPr>
      <w:r w:rsidRPr="00921776">
        <w:rPr>
          <w:rFonts w:asciiTheme="minorHAnsi" w:hAnsiTheme="minorHAnsi"/>
        </w:rPr>
        <w:t xml:space="preserve">The application of policies and procedures help organisations and people professionals to inform decisions as they </w:t>
      </w:r>
      <w:r w:rsidR="00E31FA2" w:rsidRPr="00921776">
        <w:rPr>
          <w:rFonts w:asciiTheme="minorHAnsi" w:hAnsiTheme="minorHAnsi"/>
        </w:rPr>
        <w:t>provide a defined framework that helps to achieve consistent decision-making</w:t>
      </w:r>
      <w:r w:rsidR="00471078" w:rsidRPr="00921776">
        <w:rPr>
          <w:rFonts w:asciiTheme="minorHAnsi" w:hAnsiTheme="minorHAnsi"/>
        </w:rPr>
        <w:t xml:space="preserve">. They </w:t>
      </w:r>
      <w:r w:rsidR="00E31FA2" w:rsidRPr="00921776">
        <w:rPr>
          <w:rFonts w:asciiTheme="minorHAnsi" w:hAnsiTheme="minorHAnsi"/>
        </w:rPr>
        <w:t xml:space="preserve">ensure that the decisions made align with the organisations goals, values and missions, </w:t>
      </w:r>
      <w:r w:rsidRPr="00921776">
        <w:rPr>
          <w:rFonts w:asciiTheme="minorHAnsi" w:hAnsiTheme="minorHAnsi"/>
        </w:rPr>
        <w:t>as well as ensuring that regulatory and legal requirements are also adhered to during the process</w:t>
      </w:r>
      <w:r w:rsidR="00AB7DEE" w:rsidRPr="00921776">
        <w:rPr>
          <w:rFonts w:asciiTheme="minorHAnsi" w:hAnsiTheme="minorHAnsi"/>
        </w:rPr>
        <w:t xml:space="preserve"> (Indeed, 2023)</w:t>
      </w:r>
      <w:r w:rsidRPr="00921776">
        <w:rPr>
          <w:rFonts w:asciiTheme="minorHAnsi" w:hAnsiTheme="minorHAnsi"/>
        </w:rPr>
        <w:t xml:space="preserve">. </w:t>
      </w:r>
    </w:p>
    <w:p w:rsidR="00471078" w:rsidRPr="00921776" w:rsidRDefault="00471078" w:rsidP="00921776">
      <w:pPr>
        <w:pStyle w:val="NoSpacing"/>
        <w:rPr>
          <w:rFonts w:asciiTheme="minorHAnsi" w:hAnsiTheme="minorHAnsi"/>
        </w:rPr>
      </w:pPr>
      <w:r w:rsidRPr="00921776">
        <w:rPr>
          <w:rFonts w:asciiTheme="minorHAnsi" w:hAnsiTheme="minorHAnsi"/>
        </w:rPr>
        <w:t xml:space="preserve">Policies and procedures help to provide a clear </w:t>
      </w:r>
      <w:r w:rsidR="00D855EA" w:rsidRPr="00921776">
        <w:rPr>
          <w:rFonts w:asciiTheme="minorHAnsi" w:hAnsiTheme="minorHAnsi"/>
        </w:rPr>
        <w:t>view on an organisations stance on a particular subject, for example there are a variety of policies throughout the employee lifecycle such as policies on selection, induction, reward, health, safety and well-bei</w:t>
      </w:r>
      <w:r w:rsidR="001C117A" w:rsidRPr="00921776">
        <w:rPr>
          <w:rFonts w:asciiTheme="minorHAnsi" w:hAnsiTheme="minorHAnsi"/>
        </w:rPr>
        <w:t>ng and learning and development (George, 2023)</w:t>
      </w:r>
      <w:r w:rsidR="00D855EA" w:rsidRPr="00921776">
        <w:rPr>
          <w:rFonts w:asciiTheme="minorHAnsi" w:hAnsiTheme="minorHAnsi"/>
        </w:rPr>
        <w:t>.</w:t>
      </w:r>
      <w:r w:rsidR="00395763" w:rsidRPr="00921776">
        <w:rPr>
          <w:rFonts w:asciiTheme="minorHAnsi" w:hAnsiTheme="minorHAnsi"/>
        </w:rPr>
        <w:t xml:space="preserve"> </w:t>
      </w:r>
    </w:p>
    <w:p w:rsidR="00395763" w:rsidRPr="00921776" w:rsidRDefault="0009510E" w:rsidP="00921776">
      <w:pPr>
        <w:pStyle w:val="NoSpacing"/>
        <w:rPr>
          <w:rFonts w:asciiTheme="minorHAnsi" w:hAnsiTheme="minorHAnsi"/>
        </w:rPr>
      </w:pPr>
      <w:r w:rsidRPr="00921776">
        <w:rPr>
          <w:rFonts w:asciiTheme="minorHAnsi" w:hAnsiTheme="minorHAnsi"/>
        </w:rPr>
        <w:t>D</w:t>
      </w:r>
      <w:r w:rsidR="00395763" w:rsidRPr="00921776">
        <w:rPr>
          <w:rFonts w:asciiTheme="minorHAnsi" w:hAnsiTheme="minorHAnsi"/>
        </w:rPr>
        <w:t>isciplinary and grievance policies and procedures help employers to ensure that both theirs and the</w:t>
      </w:r>
      <w:r w:rsidR="0027423B" w:rsidRPr="00921776">
        <w:rPr>
          <w:rFonts w:asciiTheme="minorHAnsi" w:hAnsiTheme="minorHAnsi"/>
        </w:rPr>
        <w:t>ir</w:t>
      </w:r>
      <w:r w:rsidR="00395763" w:rsidRPr="00921776">
        <w:rPr>
          <w:rFonts w:asciiTheme="minorHAnsi" w:hAnsiTheme="minorHAnsi"/>
        </w:rPr>
        <w:t xml:space="preserve"> employee’s perspectives are treated</w:t>
      </w:r>
      <w:r w:rsidR="0027423B" w:rsidRPr="00921776">
        <w:rPr>
          <w:rFonts w:asciiTheme="minorHAnsi" w:hAnsiTheme="minorHAnsi"/>
        </w:rPr>
        <w:t xml:space="preserve"> with fairness and consistency, that time-scales are adhered to and that the correct points of contact are used</w:t>
      </w:r>
      <w:r w:rsidR="00F34D7E" w:rsidRPr="00921776">
        <w:rPr>
          <w:rFonts w:asciiTheme="minorHAnsi" w:hAnsiTheme="minorHAnsi"/>
        </w:rPr>
        <w:t>. Furthermore it ensures that employers adhere to the legal requirem</w:t>
      </w:r>
      <w:r w:rsidR="00820509" w:rsidRPr="00921776">
        <w:rPr>
          <w:rFonts w:asciiTheme="minorHAnsi" w:hAnsiTheme="minorHAnsi"/>
        </w:rPr>
        <w:t>ents under unfair dismissal law (Suff, 2023)</w:t>
      </w:r>
      <w:r w:rsidR="0027423B" w:rsidRPr="00921776">
        <w:rPr>
          <w:rFonts w:asciiTheme="minorHAnsi" w:hAnsiTheme="minorHAnsi"/>
        </w:rPr>
        <w:t xml:space="preserve">. </w:t>
      </w:r>
      <w:r w:rsidR="00F34D7E" w:rsidRPr="00921776">
        <w:rPr>
          <w:rFonts w:asciiTheme="minorHAnsi" w:hAnsiTheme="minorHAnsi"/>
        </w:rPr>
        <w:t>Other legal requirements that can inform decision making include the Data Protection Act 2018, the Human Rights Act 1998 and the Freedom of Inf</w:t>
      </w:r>
      <w:r w:rsidR="004667CE" w:rsidRPr="00921776">
        <w:rPr>
          <w:rFonts w:asciiTheme="minorHAnsi" w:hAnsiTheme="minorHAnsi"/>
        </w:rPr>
        <w:t xml:space="preserve">ormation Act 2000. These acts, along with policies and procedures, also focus greatly on ensuring that employers take ethical and transparent approaches when decision making, for example by helping to avoid backdoor recruitment, biased selections and unequal pay matters </w:t>
      </w:r>
      <w:r w:rsidR="006634E8" w:rsidRPr="00921776">
        <w:rPr>
          <w:rFonts w:asciiTheme="minorHAnsi" w:hAnsiTheme="minorHAnsi"/>
          <w:sz w:val="21"/>
          <w:szCs w:val="21"/>
        </w:rPr>
        <w:t>(Waite et al. 2021, pp. 5</w:t>
      </w:r>
      <w:r w:rsidR="00AA4A08" w:rsidRPr="00921776">
        <w:rPr>
          <w:rFonts w:asciiTheme="minorHAnsi" w:hAnsiTheme="minorHAnsi"/>
          <w:sz w:val="21"/>
          <w:szCs w:val="21"/>
        </w:rPr>
        <w:t>9).</w:t>
      </w:r>
    </w:p>
    <w:p w:rsidR="009F5682" w:rsidRDefault="009F5682" w:rsidP="009F5682">
      <w:pPr>
        <w:autoSpaceDE/>
        <w:autoSpaceDN/>
        <w:adjustRightInd/>
        <w:spacing w:after="0" w:line="240" w:lineRule="auto"/>
        <w:contextualSpacing/>
        <w:jc w:val="left"/>
        <w:rPr>
          <w:rFonts w:asciiTheme="minorHAnsi" w:hAnsiTheme="minorHAnsi"/>
        </w:rPr>
      </w:pPr>
    </w:p>
    <w:p w:rsidR="00C61367" w:rsidRPr="00921776" w:rsidRDefault="00C61367" w:rsidP="009F5682">
      <w:pPr>
        <w:autoSpaceDE/>
        <w:autoSpaceDN/>
        <w:adjustRightInd/>
        <w:spacing w:after="0" w:line="240" w:lineRule="auto"/>
        <w:contextualSpacing/>
        <w:jc w:val="left"/>
        <w:rPr>
          <w:rFonts w:asciiTheme="minorHAnsi" w:hAnsiTheme="minorHAnsi"/>
        </w:rPr>
      </w:pPr>
    </w:p>
    <w:p w:rsidR="00FE1506" w:rsidRPr="00921776" w:rsidRDefault="00FE1506" w:rsidP="00921776">
      <w:pPr>
        <w:autoSpaceDE/>
        <w:autoSpaceDN/>
        <w:adjustRightInd/>
        <w:spacing w:after="0" w:line="240" w:lineRule="auto"/>
        <w:contextualSpacing/>
        <w:jc w:val="center"/>
        <w:rPr>
          <w:rFonts w:asciiTheme="minorHAnsi" w:hAnsiTheme="minorHAnsi"/>
          <w:b/>
          <w:u w:val="single"/>
        </w:rPr>
      </w:pPr>
      <w:r w:rsidRPr="00921776">
        <w:rPr>
          <w:rFonts w:asciiTheme="minorHAnsi" w:hAnsiTheme="minorHAnsi"/>
          <w:b/>
          <w:u w:val="single"/>
        </w:rPr>
        <w:t>(AC 2.1)</w:t>
      </w:r>
    </w:p>
    <w:p w:rsidR="003F4FC2" w:rsidRPr="00921776" w:rsidRDefault="003F4FC2" w:rsidP="003F4FC2">
      <w:pPr>
        <w:pStyle w:val="ListParagraph"/>
        <w:autoSpaceDE/>
        <w:autoSpaceDN/>
        <w:adjustRightInd/>
        <w:spacing w:before="0" w:after="0" w:line="240" w:lineRule="auto"/>
        <w:ind w:left="720" w:firstLine="0"/>
        <w:contextualSpacing/>
        <w:jc w:val="left"/>
        <w:rPr>
          <w:rFonts w:asciiTheme="minorHAnsi" w:hAnsiTheme="minorHAnsi"/>
        </w:rPr>
      </w:pPr>
    </w:p>
    <w:p w:rsidR="00CD28C4" w:rsidRPr="00C61367" w:rsidRDefault="003F4FC2" w:rsidP="00C61367">
      <w:pPr>
        <w:pStyle w:val="NoSpacing"/>
        <w:rPr>
          <w:rFonts w:asciiTheme="minorHAnsi" w:hAnsiTheme="minorHAnsi" w:cstheme="minorHAnsi"/>
        </w:rPr>
      </w:pPr>
      <w:r w:rsidRPr="00C61367">
        <w:rPr>
          <w:rFonts w:asciiTheme="minorHAnsi" w:hAnsiTheme="minorHAnsi"/>
        </w:rPr>
        <w:t xml:space="preserve">In the simplest term, people professionals create value when the work that they do helps someone to reach their goals and to create optimum value, </w:t>
      </w:r>
      <w:r w:rsidR="002F1E76" w:rsidRPr="00C61367">
        <w:rPr>
          <w:rFonts w:asciiTheme="minorHAnsi" w:hAnsiTheme="minorHAnsi"/>
        </w:rPr>
        <w:t xml:space="preserve">to achieve this, </w:t>
      </w:r>
      <w:r w:rsidRPr="00C61367">
        <w:rPr>
          <w:rFonts w:asciiTheme="minorHAnsi" w:hAnsiTheme="minorHAnsi"/>
        </w:rPr>
        <w:t>the development of both human capital and structural capital must be focused on</w:t>
      </w:r>
      <w:r w:rsidR="00307257" w:rsidRPr="00C61367">
        <w:rPr>
          <w:rFonts w:asciiTheme="minorHAnsi" w:hAnsiTheme="minorHAnsi"/>
        </w:rPr>
        <w:t xml:space="preserve"> (Mallick, 2021)</w:t>
      </w:r>
      <w:r w:rsidRPr="00C61367">
        <w:rPr>
          <w:rFonts w:asciiTheme="minorHAnsi" w:hAnsiTheme="minorHAnsi"/>
        </w:rPr>
        <w:t xml:space="preserve">. </w:t>
      </w:r>
      <w:r w:rsidR="00F90A37" w:rsidRPr="00C61367">
        <w:rPr>
          <w:rFonts w:asciiTheme="minorHAnsi" w:hAnsiTheme="minorHAnsi"/>
        </w:rPr>
        <w:t>When looking at creating value through human capital, people professionals do this by persuading leaders to train and develop employees, by rewarding efficient performance and by effectively managing the employee lifecycle through recruitmen</w:t>
      </w:r>
      <w:r w:rsidR="00CD28C4" w:rsidRPr="00C61367">
        <w:rPr>
          <w:rFonts w:asciiTheme="minorHAnsi" w:hAnsiTheme="minorHAnsi"/>
        </w:rPr>
        <w:t>t, attraction, training and the retaining of the organisations best employees</w:t>
      </w:r>
      <w:r w:rsidR="00307257" w:rsidRPr="00C61367">
        <w:rPr>
          <w:rFonts w:asciiTheme="minorHAnsi" w:hAnsiTheme="minorHAnsi"/>
        </w:rPr>
        <w:t xml:space="preserve"> (Kokemuller, 2019)</w:t>
      </w:r>
      <w:r w:rsidR="00CD28C4" w:rsidRPr="00C61367">
        <w:rPr>
          <w:rFonts w:asciiTheme="minorHAnsi" w:hAnsiTheme="minorHAnsi" w:cstheme="minorHAnsi"/>
        </w:rPr>
        <w:t>. For example, to create value in learning and development, people professionals will determine the most critical resources, produce</w:t>
      </w:r>
      <w:r w:rsidR="005618C1" w:rsidRPr="00C61367">
        <w:rPr>
          <w:rFonts w:asciiTheme="minorHAnsi" w:hAnsiTheme="minorHAnsi" w:cstheme="minorHAnsi"/>
        </w:rPr>
        <w:t xml:space="preserve"> tailored programs and prioritise the criteria that best aligns with the organisations strategies </w:t>
      </w:r>
      <w:r w:rsidR="00D9562C" w:rsidRPr="00C61367">
        <w:rPr>
          <w:rFonts w:asciiTheme="minorHAnsi" w:hAnsiTheme="minorHAnsi"/>
        </w:rPr>
        <w:t>(Mallick, 2021)</w:t>
      </w:r>
      <w:r w:rsidR="005618C1" w:rsidRPr="00C61367">
        <w:rPr>
          <w:rFonts w:asciiTheme="minorHAnsi" w:hAnsiTheme="minorHAnsi"/>
        </w:rPr>
        <w:t>.</w:t>
      </w:r>
      <w:r w:rsidR="009E6079" w:rsidRPr="00C61367">
        <w:rPr>
          <w:rFonts w:asciiTheme="minorHAnsi" w:hAnsiTheme="minorHAnsi"/>
        </w:rPr>
        <w:t xml:space="preserve"> When looking at structural capital, people professionals create value by effectively managing the software systems used, the databases and the supply chains </w:t>
      </w:r>
      <w:r w:rsidR="00A55621" w:rsidRPr="00C61367">
        <w:rPr>
          <w:rFonts w:asciiTheme="minorHAnsi" w:hAnsiTheme="minorHAnsi"/>
          <w:sz w:val="21"/>
          <w:szCs w:val="21"/>
        </w:rPr>
        <w:t>(Wait</w:t>
      </w:r>
      <w:r w:rsidR="00A55621" w:rsidRPr="00C61367">
        <w:rPr>
          <w:rFonts w:asciiTheme="minorHAnsi" w:hAnsiTheme="minorHAnsi"/>
          <w:sz w:val="21"/>
          <w:szCs w:val="21"/>
        </w:rPr>
        <w:t>e et al. 2021, pp. 62</w:t>
      </w:r>
      <w:r w:rsidR="00A55621" w:rsidRPr="00C61367">
        <w:rPr>
          <w:rFonts w:asciiTheme="minorHAnsi" w:hAnsiTheme="minorHAnsi"/>
          <w:sz w:val="21"/>
          <w:szCs w:val="21"/>
        </w:rPr>
        <w:t>)</w:t>
      </w:r>
      <w:r w:rsidR="00A55621" w:rsidRPr="00C61367">
        <w:rPr>
          <w:rFonts w:asciiTheme="minorHAnsi" w:hAnsiTheme="minorHAnsi"/>
          <w:sz w:val="21"/>
          <w:szCs w:val="21"/>
        </w:rPr>
        <w:t xml:space="preserve">. </w:t>
      </w:r>
      <w:r w:rsidR="00434070" w:rsidRPr="00C61367">
        <w:rPr>
          <w:rFonts w:asciiTheme="minorHAnsi" w:hAnsiTheme="minorHAnsi"/>
        </w:rPr>
        <w:t>Furthermore, value can be created by using social media to enhance the working practices, overall bringing increased and better communication into the organisation which provides a variety of</w:t>
      </w:r>
      <w:r w:rsidR="00A55621" w:rsidRPr="00C61367">
        <w:rPr>
          <w:rFonts w:asciiTheme="minorHAnsi" w:hAnsiTheme="minorHAnsi"/>
        </w:rPr>
        <w:t xml:space="preserve"> benefits to all those involved</w:t>
      </w:r>
      <w:r w:rsidR="007D5CBB" w:rsidRPr="00C61367">
        <w:rPr>
          <w:rFonts w:asciiTheme="minorHAnsi" w:hAnsiTheme="minorHAnsi"/>
        </w:rPr>
        <w:t xml:space="preserve">. Some benefits include increased collaborative working, increased support of inclusion of teams and individuals, increased employee morale and increased well-being </w:t>
      </w:r>
      <w:r w:rsidR="00A55621" w:rsidRPr="00C61367">
        <w:rPr>
          <w:rFonts w:asciiTheme="minorHAnsi" w:hAnsiTheme="minorHAnsi"/>
          <w:sz w:val="21"/>
          <w:szCs w:val="21"/>
        </w:rPr>
        <w:t>(Wait</w:t>
      </w:r>
      <w:r w:rsidR="00A55621" w:rsidRPr="00C61367">
        <w:rPr>
          <w:rFonts w:asciiTheme="minorHAnsi" w:hAnsiTheme="minorHAnsi"/>
          <w:sz w:val="21"/>
          <w:szCs w:val="21"/>
        </w:rPr>
        <w:t>e et al. 2021, pp. 64</w:t>
      </w:r>
      <w:r w:rsidR="007D5CBB" w:rsidRPr="00C61367">
        <w:rPr>
          <w:rFonts w:asciiTheme="minorHAnsi" w:hAnsiTheme="minorHAnsi"/>
          <w:sz w:val="21"/>
          <w:szCs w:val="21"/>
        </w:rPr>
        <w:t>).</w:t>
      </w:r>
    </w:p>
    <w:p w:rsidR="00FE1506" w:rsidRDefault="00FE1506" w:rsidP="00FE1506">
      <w:pPr>
        <w:spacing w:line="240" w:lineRule="auto"/>
        <w:rPr>
          <w:rFonts w:asciiTheme="minorHAnsi" w:hAnsiTheme="minorHAnsi"/>
        </w:rPr>
      </w:pPr>
    </w:p>
    <w:p w:rsidR="00921776" w:rsidRDefault="00921776" w:rsidP="00FE1506">
      <w:pPr>
        <w:spacing w:line="240" w:lineRule="auto"/>
        <w:rPr>
          <w:rFonts w:asciiTheme="minorHAnsi" w:hAnsiTheme="minorHAnsi"/>
        </w:rPr>
      </w:pPr>
    </w:p>
    <w:p w:rsidR="00921776" w:rsidRDefault="00921776" w:rsidP="00FE1506">
      <w:pPr>
        <w:spacing w:line="240" w:lineRule="auto"/>
        <w:rPr>
          <w:rFonts w:asciiTheme="minorHAnsi" w:hAnsiTheme="minorHAnsi"/>
        </w:rPr>
      </w:pPr>
    </w:p>
    <w:p w:rsidR="00921776" w:rsidRDefault="00921776" w:rsidP="00FE1506">
      <w:pPr>
        <w:spacing w:line="240" w:lineRule="auto"/>
        <w:rPr>
          <w:rFonts w:asciiTheme="minorHAnsi" w:hAnsiTheme="minorHAnsi"/>
        </w:rPr>
      </w:pPr>
    </w:p>
    <w:p w:rsidR="00921776" w:rsidRDefault="00921776" w:rsidP="00FE1506">
      <w:pPr>
        <w:spacing w:line="240" w:lineRule="auto"/>
        <w:rPr>
          <w:rFonts w:asciiTheme="minorHAnsi" w:hAnsiTheme="minorHAnsi"/>
        </w:rPr>
      </w:pPr>
    </w:p>
    <w:p w:rsidR="00921776" w:rsidRPr="00921776" w:rsidRDefault="00921776" w:rsidP="00FE1506">
      <w:pPr>
        <w:spacing w:line="240" w:lineRule="auto"/>
        <w:rPr>
          <w:rFonts w:asciiTheme="minorHAnsi" w:hAnsiTheme="minorHAnsi"/>
        </w:rPr>
      </w:pPr>
    </w:p>
    <w:p w:rsidR="00C61367" w:rsidRDefault="00C61367" w:rsidP="00C61367">
      <w:pPr>
        <w:autoSpaceDE/>
        <w:autoSpaceDN/>
        <w:adjustRightInd/>
        <w:spacing w:after="0" w:line="240" w:lineRule="auto"/>
        <w:contextualSpacing/>
        <w:jc w:val="center"/>
        <w:rPr>
          <w:rFonts w:asciiTheme="minorHAnsi" w:hAnsiTheme="minorHAnsi"/>
          <w:b/>
          <w:u w:val="single"/>
        </w:rPr>
      </w:pPr>
    </w:p>
    <w:p w:rsidR="00C61367" w:rsidRDefault="00C61367" w:rsidP="00C61367">
      <w:pPr>
        <w:autoSpaceDE/>
        <w:autoSpaceDN/>
        <w:adjustRightInd/>
        <w:spacing w:after="0" w:line="240" w:lineRule="auto"/>
        <w:contextualSpacing/>
        <w:jc w:val="center"/>
        <w:rPr>
          <w:rFonts w:asciiTheme="minorHAnsi" w:hAnsiTheme="minorHAnsi"/>
          <w:b/>
          <w:u w:val="single"/>
        </w:rPr>
      </w:pPr>
    </w:p>
    <w:p w:rsidR="00231BC8" w:rsidRPr="00C61367" w:rsidRDefault="00FE1506" w:rsidP="00C61367">
      <w:pPr>
        <w:autoSpaceDE/>
        <w:autoSpaceDN/>
        <w:adjustRightInd/>
        <w:spacing w:after="0" w:line="240" w:lineRule="auto"/>
        <w:contextualSpacing/>
        <w:jc w:val="center"/>
        <w:rPr>
          <w:rFonts w:asciiTheme="minorHAnsi" w:hAnsiTheme="minorHAnsi"/>
          <w:b/>
          <w:u w:val="single"/>
        </w:rPr>
      </w:pPr>
      <w:r w:rsidRPr="00921776">
        <w:rPr>
          <w:rFonts w:asciiTheme="minorHAnsi" w:hAnsiTheme="minorHAnsi"/>
          <w:b/>
          <w:u w:val="single"/>
        </w:rPr>
        <w:t>(AC 2.2)</w:t>
      </w:r>
    </w:p>
    <w:p w:rsidR="00C1547B" w:rsidRPr="00921776" w:rsidRDefault="00231BC8" w:rsidP="00C1547B">
      <w:pPr>
        <w:spacing w:before="240" w:after="240" w:line="240" w:lineRule="auto"/>
        <w:rPr>
          <w:rFonts w:asciiTheme="minorHAnsi" w:hAnsiTheme="minorHAnsi"/>
        </w:rPr>
      </w:pPr>
      <w:r w:rsidRPr="00921776">
        <w:rPr>
          <w:rFonts w:asciiTheme="minorHAnsi" w:hAnsiTheme="minorHAnsi"/>
        </w:rPr>
        <w:t>As peo</w:t>
      </w:r>
      <w:r w:rsidR="008D0FDB" w:rsidRPr="00921776">
        <w:rPr>
          <w:rFonts w:asciiTheme="minorHAnsi" w:hAnsiTheme="minorHAnsi"/>
        </w:rPr>
        <w:t xml:space="preserve">ple professionals we must have the </w:t>
      </w:r>
      <w:r w:rsidR="00C61367">
        <w:rPr>
          <w:rFonts w:asciiTheme="minorHAnsi" w:hAnsiTheme="minorHAnsi"/>
        </w:rPr>
        <w:t>com</w:t>
      </w:r>
      <w:r w:rsidR="008D0FDB" w:rsidRPr="00921776">
        <w:rPr>
          <w:rFonts w:asciiTheme="minorHAnsi" w:hAnsiTheme="minorHAnsi"/>
        </w:rPr>
        <w:t>mercial drive of creating value by focusing on people and business, as well as demonstrating our own personal commitment to stay resilient in delivering the results that create</w:t>
      </w:r>
      <w:r w:rsidR="00B33D7A" w:rsidRPr="00921776">
        <w:rPr>
          <w:rFonts w:asciiTheme="minorHAnsi" w:hAnsiTheme="minorHAnsi"/>
        </w:rPr>
        <w:t xml:space="preserve"> value</w:t>
      </w:r>
      <w:r w:rsidR="008D0FDB" w:rsidRPr="00921776">
        <w:rPr>
          <w:rFonts w:asciiTheme="minorHAnsi" w:hAnsiTheme="minorHAnsi"/>
        </w:rPr>
        <w:t xml:space="preserve"> for organisations</w:t>
      </w:r>
      <w:r w:rsidR="005A2F07" w:rsidRPr="00921776">
        <w:rPr>
          <w:rFonts w:asciiTheme="minorHAnsi" w:hAnsiTheme="minorHAnsi"/>
        </w:rPr>
        <w:t xml:space="preserve"> (CIPD, 2023)</w:t>
      </w:r>
      <w:r w:rsidR="008D0FDB" w:rsidRPr="00921776">
        <w:rPr>
          <w:rFonts w:asciiTheme="minorHAnsi" w:hAnsiTheme="minorHAnsi"/>
        </w:rPr>
        <w:t>.</w:t>
      </w:r>
      <w:r w:rsidR="00B33D7A" w:rsidRPr="00921776">
        <w:rPr>
          <w:rFonts w:asciiTheme="minorHAnsi" w:hAnsiTheme="minorHAnsi"/>
        </w:rPr>
        <w:t xml:space="preserve"> Ways in which </w:t>
      </w:r>
      <w:r w:rsidR="001F683F" w:rsidRPr="00921776">
        <w:rPr>
          <w:rFonts w:asciiTheme="minorHAnsi" w:hAnsiTheme="minorHAnsi"/>
        </w:rPr>
        <w:t xml:space="preserve">we can become more customer-focused is by carrying </w:t>
      </w:r>
      <w:r w:rsidR="00C4034D" w:rsidRPr="00921776">
        <w:rPr>
          <w:rFonts w:asciiTheme="minorHAnsi" w:hAnsiTheme="minorHAnsi"/>
        </w:rPr>
        <w:t xml:space="preserve">out </w:t>
      </w:r>
      <w:r w:rsidR="001F683F" w:rsidRPr="00921776">
        <w:rPr>
          <w:rFonts w:asciiTheme="minorHAnsi" w:hAnsiTheme="minorHAnsi"/>
        </w:rPr>
        <w:t>customer and market research, specifically finding out the customers perceptions on how our HR team is delivering its services</w:t>
      </w:r>
      <w:r w:rsidR="000A7A05" w:rsidRPr="00921776">
        <w:rPr>
          <w:rFonts w:asciiTheme="minorHAnsi" w:hAnsiTheme="minorHAnsi"/>
        </w:rPr>
        <w:t xml:space="preserve"> (Gibson, 2017)</w:t>
      </w:r>
      <w:r w:rsidR="001F683F" w:rsidRPr="00921776">
        <w:rPr>
          <w:rFonts w:asciiTheme="minorHAnsi" w:hAnsiTheme="minorHAnsi"/>
        </w:rPr>
        <w:t xml:space="preserve">. These findings can then be shared with stakeholders and used </w:t>
      </w:r>
      <w:r w:rsidR="00C1547B" w:rsidRPr="00921776">
        <w:rPr>
          <w:rFonts w:asciiTheme="minorHAnsi" w:hAnsiTheme="minorHAnsi"/>
        </w:rPr>
        <w:t>to develop strategy, vision and values</w:t>
      </w:r>
      <w:r w:rsidR="0009510E" w:rsidRPr="00921776">
        <w:rPr>
          <w:rFonts w:asciiTheme="minorHAnsi" w:hAnsiTheme="minorHAnsi"/>
        </w:rPr>
        <w:t xml:space="preserve"> that are customer-centred, which</w:t>
      </w:r>
      <w:r w:rsidR="00C1547B" w:rsidRPr="00921776">
        <w:rPr>
          <w:rFonts w:asciiTheme="minorHAnsi" w:hAnsiTheme="minorHAnsi"/>
        </w:rPr>
        <w:t xml:space="preserve"> can then be turned into future action</w:t>
      </w:r>
      <w:r w:rsidR="00337E8C" w:rsidRPr="00921776">
        <w:rPr>
          <w:rFonts w:asciiTheme="minorHAnsi" w:hAnsiTheme="minorHAnsi"/>
        </w:rPr>
        <w:t xml:space="preserve"> (InsideHR, 2023)</w:t>
      </w:r>
      <w:r w:rsidR="00C1547B" w:rsidRPr="00921776">
        <w:rPr>
          <w:rFonts w:asciiTheme="minorHAnsi" w:hAnsiTheme="minorHAnsi"/>
        </w:rPr>
        <w:t>.</w:t>
      </w:r>
      <w:r w:rsidR="00F36AC2" w:rsidRPr="00921776">
        <w:rPr>
          <w:rFonts w:asciiTheme="minorHAnsi" w:hAnsiTheme="minorHAnsi"/>
        </w:rPr>
        <w:t xml:space="preserve"> </w:t>
      </w:r>
      <w:r w:rsidR="0093114D" w:rsidRPr="00921776">
        <w:rPr>
          <w:rFonts w:asciiTheme="minorHAnsi" w:hAnsiTheme="minorHAnsi"/>
        </w:rPr>
        <w:t>To be standards-driven, we can put more focus into understanding the economic, environmental and political trends that can affect our organisation, as well as understanding behavioural science and putting a focus on ethical concerns, this bringing back the importance of using data and evidence-based decision making</w:t>
      </w:r>
      <w:r w:rsidR="003B46A2" w:rsidRPr="00921776">
        <w:rPr>
          <w:rFonts w:asciiTheme="minorHAnsi" w:hAnsiTheme="minorHAnsi"/>
        </w:rPr>
        <w:t xml:space="preserve"> (Woolnough, 2017)</w:t>
      </w:r>
      <w:r w:rsidR="0093114D" w:rsidRPr="00921776">
        <w:rPr>
          <w:rFonts w:asciiTheme="minorHAnsi" w:hAnsiTheme="minorHAnsi"/>
        </w:rPr>
        <w:t xml:space="preserve">. </w:t>
      </w:r>
      <w:r w:rsidR="000C5C3A" w:rsidRPr="00921776">
        <w:rPr>
          <w:rFonts w:asciiTheme="minorHAnsi" w:hAnsiTheme="minorHAnsi"/>
        </w:rPr>
        <w:t>By making decisions in a principled and sustainable way through data and evidence, we can help build an organisational culture that supports good work and values the people in it</w:t>
      </w:r>
      <w:r w:rsidR="00304503" w:rsidRPr="00921776">
        <w:rPr>
          <w:rFonts w:asciiTheme="minorHAnsi" w:hAnsiTheme="minorHAnsi"/>
        </w:rPr>
        <w:t xml:space="preserve"> (Bond, 2022)</w:t>
      </w:r>
      <w:r w:rsidR="000C5C3A" w:rsidRPr="00921776">
        <w:rPr>
          <w:rFonts w:asciiTheme="minorHAnsi" w:hAnsiTheme="minorHAnsi"/>
        </w:rPr>
        <w:t xml:space="preserve">. </w:t>
      </w:r>
      <w:r w:rsidR="0093114D" w:rsidRPr="00921776">
        <w:rPr>
          <w:rFonts w:asciiTheme="minorHAnsi" w:hAnsiTheme="minorHAnsi"/>
        </w:rPr>
        <w:t xml:space="preserve">The CIPD Profession Map further emphasises this by stating the three key principles that people professionals should follow; ‘work matters, people matter and professionalism matters’ </w:t>
      </w:r>
      <w:r w:rsidR="0021462E" w:rsidRPr="00921776">
        <w:rPr>
          <w:rFonts w:asciiTheme="minorHAnsi" w:hAnsiTheme="minorHAnsi"/>
        </w:rPr>
        <w:t>(CIPD, 2023).</w:t>
      </w:r>
    </w:p>
    <w:p w:rsidR="0093114D" w:rsidRDefault="0093114D" w:rsidP="00C1547B">
      <w:pPr>
        <w:spacing w:before="240" w:after="240" w:line="240" w:lineRule="auto"/>
      </w:pPr>
    </w:p>
    <w:p w:rsidR="00231BC8" w:rsidRDefault="00231BC8" w:rsidP="00D03D5E">
      <w:pPr>
        <w:spacing w:before="240" w:after="240" w:line="240" w:lineRule="auto"/>
      </w:pPr>
    </w:p>
    <w:p w:rsidR="001F683F" w:rsidRDefault="001F683F" w:rsidP="00231BC8">
      <w:pPr>
        <w:pStyle w:val="ListParagraph"/>
        <w:autoSpaceDE/>
        <w:autoSpaceDN/>
        <w:adjustRightInd/>
        <w:spacing w:before="0" w:after="0" w:line="240" w:lineRule="auto"/>
        <w:ind w:left="720" w:firstLine="0"/>
        <w:contextualSpacing/>
        <w:jc w:val="left"/>
      </w:pPr>
    </w:p>
    <w:p w:rsidR="00231BC8" w:rsidRDefault="00231BC8" w:rsidP="00231BC8">
      <w:pPr>
        <w:autoSpaceDE/>
        <w:autoSpaceDN/>
        <w:adjustRightInd/>
        <w:spacing w:after="0" w:line="240" w:lineRule="auto"/>
        <w:contextualSpacing/>
        <w:jc w:val="left"/>
      </w:pPr>
    </w:p>
    <w:p w:rsidR="00FE1506" w:rsidRDefault="00FE1506" w:rsidP="00FE1506">
      <w:pPr>
        <w:spacing w:line="240" w:lineRule="auto"/>
      </w:pPr>
    </w:p>
    <w:p w:rsidR="00FE1506" w:rsidRDefault="00FE1506" w:rsidP="00FE1506">
      <w:pPr>
        <w:widowControl w:val="0"/>
        <w:adjustRightInd/>
        <w:spacing w:after="0" w:line="240" w:lineRule="auto"/>
        <w:jc w:val="left"/>
      </w:pPr>
      <w:r>
        <w:br w:type="page"/>
      </w:r>
    </w:p>
    <w:p w:rsidR="000805E3" w:rsidRPr="00841794" w:rsidRDefault="00FE1506" w:rsidP="00841794">
      <w:pPr>
        <w:pStyle w:val="Heading1"/>
        <w:jc w:val="left"/>
        <w:rPr>
          <w:rFonts w:asciiTheme="minorHAnsi" w:hAnsiTheme="minorHAnsi"/>
          <w:b/>
          <w:i w:val="0"/>
          <w:iCs w:val="0"/>
          <w:color w:val="000000" w:themeColor="text1"/>
          <w:sz w:val="36"/>
          <w:szCs w:val="22"/>
          <w:u w:val="single"/>
        </w:rPr>
      </w:pPr>
      <w:r w:rsidRPr="00841794">
        <w:rPr>
          <w:rFonts w:asciiTheme="minorHAnsi" w:hAnsiTheme="minorHAnsi"/>
          <w:b/>
          <w:i w:val="0"/>
          <w:iCs w:val="0"/>
          <w:color w:val="000000" w:themeColor="text1"/>
          <w:sz w:val="36"/>
          <w:szCs w:val="22"/>
          <w:u w:val="single"/>
        </w:rPr>
        <w:lastRenderedPageBreak/>
        <w:t>Section Two</w:t>
      </w:r>
    </w:p>
    <w:p w:rsidR="0006218B" w:rsidRPr="00921776" w:rsidRDefault="000805E3">
      <w:pPr>
        <w:rPr>
          <w:b/>
          <w:u w:val="single"/>
        </w:rPr>
      </w:pPr>
      <w:r w:rsidRPr="00921776">
        <w:rPr>
          <w:b/>
          <w:u w:val="single"/>
        </w:rPr>
        <w:t>AC 1.5:</w:t>
      </w:r>
    </w:p>
    <w:p w:rsidR="000805E3" w:rsidRDefault="000805E3" w:rsidP="00921776">
      <w:pPr>
        <w:jc w:val="left"/>
      </w:pPr>
      <w:r>
        <w:rPr>
          <w:noProof/>
          <w:lang w:eastAsia="en-GB"/>
        </w:rPr>
        <w:drawing>
          <wp:inline distT="0" distB="0" distL="0" distR="0" wp14:anchorId="55FCC556" wp14:editId="09BA652B">
            <wp:extent cx="6537960" cy="3878580"/>
            <wp:effectExtent l="0" t="0" r="15240" b="7620"/>
            <wp:docPr id="1" name="Chart 1"/>
            <wp:cNvGraphicFramePr/>
            <a:graphic xmlns:a="http://schemas.openxmlformats.org/drawingml/2006/main">
              <a:graphicData uri="http://schemas.openxmlformats.org/drawingml/2006/chart">
                <c:chart xmlns:c="http://schemas.openxmlformats.org/drawingml/2006/chart" xmlns:r="http://schemas.openxmlformats.org/officeDocument/2006/relationships" r:id="rId7"/>
              </a:graphicData>
            </a:graphic>
          </wp:inline>
        </w:drawing>
      </w:r>
    </w:p>
    <w:p w:rsidR="00F151EB" w:rsidRDefault="00F151EB"/>
    <w:p w:rsidR="00F151EB" w:rsidRDefault="000805E3">
      <w:r>
        <w:rPr>
          <w:noProof/>
          <w:lang w:eastAsia="en-GB"/>
        </w:rPr>
        <w:lastRenderedPageBreak/>
        <w:drawing>
          <wp:inline distT="0" distB="0" distL="0" distR="0" wp14:anchorId="1BDB86DF" wp14:editId="2CAAD111">
            <wp:extent cx="6454140" cy="4869180"/>
            <wp:effectExtent l="0" t="0" r="3810" b="7620"/>
            <wp:docPr id="2" name="Chart 2"/>
            <wp:cNvGraphicFramePr/>
            <a:graphic xmlns:a="http://schemas.openxmlformats.org/drawingml/2006/main">
              <a:graphicData uri="http://schemas.openxmlformats.org/drawingml/2006/chart">
                <c:chart xmlns:c="http://schemas.openxmlformats.org/drawingml/2006/chart" xmlns:r="http://schemas.openxmlformats.org/officeDocument/2006/relationships" r:id="rId8"/>
              </a:graphicData>
            </a:graphic>
          </wp:inline>
        </w:drawing>
      </w:r>
    </w:p>
    <w:p w:rsidR="00F151EB" w:rsidRDefault="00F151EB"/>
    <w:p w:rsidR="00773EF1" w:rsidRPr="00921776" w:rsidRDefault="00DD0EDA" w:rsidP="007F50B4">
      <w:pPr>
        <w:rPr>
          <w:rFonts w:asciiTheme="minorHAnsi" w:hAnsiTheme="minorHAnsi"/>
        </w:rPr>
      </w:pPr>
      <w:r w:rsidRPr="00921776">
        <w:rPr>
          <w:rFonts w:asciiTheme="minorHAnsi" w:hAnsiTheme="minorHAnsi"/>
        </w:rPr>
        <w:t>Looking</w:t>
      </w:r>
      <w:r w:rsidR="00C61367">
        <w:rPr>
          <w:rFonts w:asciiTheme="minorHAnsi" w:hAnsiTheme="minorHAnsi"/>
        </w:rPr>
        <w:t xml:space="preserve"> at the data from the two diagrammatical forms</w:t>
      </w:r>
      <w:r w:rsidRPr="00921776">
        <w:rPr>
          <w:rFonts w:asciiTheme="minorHAnsi" w:hAnsiTheme="minorHAnsi"/>
        </w:rPr>
        <w:t xml:space="preserve"> above, it is clear to pinpoint the weaknesses in the organisation and which areas require more attention than others. Graph 2 clearly shows that more than half of the organisation has a low average </w:t>
      </w:r>
      <w:r w:rsidR="009C4AB2" w:rsidRPr="00921776">
        <w:rPr>
          <w:rFonts w:asciiTheme="minorHAnsi" w:hAnsiTheme="minorHAnsi"/>
        </w:rPr>
        <w:t xml:space="preserve">in </w:t>
      </w:r>
      <w:r w:rsidRPr="00921776">
        <w:rPr>
          <w:rFonts w:asciiTheme="minorHAnsi" w:hAnsiTheme="minorHAnsi"/>
        </w:rPr>
        <w:t>length of service and Graph 1 clearly presents the potential reasons for this. The data shows that the top reason of employee resignation in the organisation is in relation to pay and benefits, this could be due to a lack of communication of benefits available or poor introduction</w:t>
      </w:r>
      <w:r w:rsidR="0005389B" w:rsidRPr="00921776">
        <w:rPr>
          <w:rFonts w:asciiTheme="minorHAnsi" w:hAnsiTheme="minorHAnsi"/>
        </w:rPr>
        <w:t xml:space="preserve"> of them</w:t>
      </w:r>
      <w:r w:rsidRPr="00921776">
        <w:rPr>
          <w:rFonts w:asciiTheme="minorHAnsi" w:hAnsiTheme="minorHAnsi"/>
        </w:rPr>
        <w:t xml:space="preserve">. </w:t>
      </w:r>
      <w:r w:rsidR="00306C2A" w:rsidRPr="00921776">
        <w:rPr>
          <w:rFonts w:asciiTheme="minorHAnsi" w:hAnsiTheme="minorHAnsi"/>
        </w:rPr>
        <w:t xml:space="preserve">The organisation can improve on this by periodically reviewing pay policies and ensuring they are fair and transparent to employees. Conducting a market analysis and employee surveys can also help to ensure the organisation is paying its employees correctly and allows </w:t>
      </w:r>
      <w:r w:rsidR="007F50B4" w:rsidRPr="00921776">
        <w:rPr>
          <w:rFonts w:asciiTheme="minorHAnsi" w:hAnsiTheme="minorHAnsi"/>
        </w:rPr>
        <w:t>employees to provide feedback on what they like and dislike</w:t>
      </w:r>
      <w:r w:rsidR="00EF6453" w:rsidRPr="00921776">
        <w:rPr>
          <w:rFonts w:asciiTheme="minorHAnsi" w:hAnsiTheme="minorHAnsi"/>
        </w:rPr>
        <w:t xml:space="preserve"> (Indeed, 2023)</w:t>
      </w:r>
      <w:r w:rsidR="007F50B4" w:rsidRPr="00921776">
        <w:rPr>
          <w:rFonts w:asciiTheme="minorHAnsi" w:hAnsiTheme="minorHAnsi"/>
        </w:rPr>
        <w:t xml:space="preserve">. </w:t>
      </w:r>
      <w:r w:rsidR="0005389B" w:rsidRPr="00921776">
        <w:rPr>
          <w:rFonts w:asciiTheme="minorHAnsi" w:hAnsiTheme="minorHAnsi"/>
        </w:rPr>
        <w:t>It is also important to ensure that the people professionals have the financial awareness, knowledge and skills to make informed-decisions regarding pay and benefits, therefore some training sessions may need to be introduced. Finally it is important that employees are aware of the packages available and that</w:t>
      </w:r>
      <w:r w:rsidR="00773EF1" w:rsidRPr="00921776">
        <w:rPr>
          <w:rFonts w:asciiTheme="minorHAnsi" w:hAnsiTheme="minorHAnsi"/>
        </w:rPr>
        <w:t xml:space="preserve"> the organisation is communicating effectively how these can be accessed and how they are changing.</w:t>
      </w:r>
      <w:r w:rsidR="00B5411D" w:rsidRPr="00921776">
        <w:rPr>
          <w:rFonts w:asciiTheme="minorHAnsi" w:hAnsiTheme="minorHAnsi"/>
        </w:rPr>
        <w:t xml:space="preserve"> (Cotton, 2023).</w:t>
      </w:r>
      <w:r w:rsidR="00773EF1" w:rsidRPr="00921776">
        <w:rPr>
          <w:rFonts w:asciiTheme="minorHAnsi" w:hAnsiTheme="minorHAnsi"/>
        </w:rPr>
        <w:t xml:space="preserve"> </w:t>
      </w:r>
    </w:p>
    <w:p w:rsidR="00773EF1" w:rsidRPr="00921776" w:rsidRDefault="00773EF1" w:rsidP="007F50B4">
      <w:pPr>
        <w:rPr>
          <w:rFonts w:asciiTheme="minorHAnsi" w:hAnsiTheme="minorHAnsi"/>
        </w:rPr>
      </w:pPr>
      <w:r w:rsidRPr="00921776">
        <w:rPr>
          <w:rFonts w:asciiTheme="minorHAnsi" w:hAnsiTheme="minorHAnsi"/>
        </w:rPr>
        <w:t>Following this, another large reason for employee resignation is ill health</w:t>
      </w:r>
      <w:r w:rsidR="00F342A0" w:rsidRPr="00921776">
        <w:rPr>
          <w:rFonts w:asciiTheme="minorHAnsi" w:hAnsiTheme="minorHAnsi"/>
        </w:rPr>
        <w:t xml:space="preserve">, the organisation can improve on this by giving the employees more flexibility over how they do their work and when and where they work, as research suggests that high demand and low job control </w:t>
      </w:r>
      <w:r w:rsidR="00F342A0" w:rsidRPr="00921776">
        <w:rPr>
          <w:rFonts w:asciiTheme="minorHAnsi" w:hAnsiTheme="minorHAnsi"/>
        </w:rPr>
        <w:lastRenderedPageBreak/>
        <w:t>increase the risk of cardiovascular complications, diabetes and mental health issues</w:t>
      </w:r>
      <w:r w:rsidR="00E045C0" w:rsidRPr="00921776">
        <w:rPr>
          <w:rFonts w:asciiTheme="minorHAnsi" w:hAnsiTheme="minorHAnsi"/>
        </w:rPr>
        <w:t xml:space="preserve"> (Kelly, 2021)</w:t>
      </w:r>
      <w:r w:rsidR="00F342A0" w:rsidRPr="00921776">
        <w:rPr>
          <w:rFonts w:asciiTheme="minorHAnsi" w:hAnsiTheme="minorHAnsi"/>
        </w:rPr>
        <w:t>.</w:t>
      </w:r>
      <w:r w:rsidR="00B23CE8" w:rsidRPr="00921776">
        <w:rPr>
          <w:rFonts w:asciiTheme="minorHAnsi" w:hAnsiTheme="minorHAnsi"/>
        </w:rPr>
        <w:t xml:space="preserve"> The organisation should also ensure the employees with long term health conditions are able to easily access information such as </w:t>
      </w:r>
      <w:r w:rsidR="00932959" w:rsidRPr="00921776">
        <w:rPr>
          <w:rFonts w:asciiTheme="minorHAnsi" w:hAnsiTheme="minorHAnsi"/>
        </w:rPr>
        <w:t>the work adjustments available, their rights under the Equality Act, health insurance benefits and occupational health services</w:t>
      </w:r>
      <w:r w:rsidR="00A337BD" w:rsidRPr="00921776">
        <w:rPr>
          <w:rFonts w:asciiTheme="minorHAnsi" w:hAnsiTheme="minorHAnsi"/>
        </w:rPr>
        <w:t xml:space="preserve"> (CIPD, 2022)</w:t>
      </w:r>
      <w:r w:rsidR="00932959" w:rsidRPr="00921776">
        <w:rPr>
          <w:rFonts w:asciiTheme="minorHAnsi" w:hAnsiTheme="minorHAnsi"/>
        </w:rPr>
        <w:t>.</w:t>
      </w:r>
    </w:p>
    <w:p w:rsidR="009C4AB2" w:rsidRPr="00921776" w:rsidRDefault="009C4AB2" w:rsidP="007F50B4">
      <w:pPr>
        <w:rPr>
          <w:rFonts w:asciiTheme="minorHAnsi" w:hAnsiTheme="minorHAnsi"/>
        </w:rPr>
      </w:pPr>
      <w:r w:rsidRPr="00921776">
        <w:rPr>
          <w:rFonts w:asciiTheme="minorHAnsi" w:hAnsiTheme="minorHAnsi"/>
        </w:rPr>
        <w:t>The data above also presents ‘job not as expected’ being an equally large reasoning in employee resignations. To avoid this, the organisation should set job expectat</w:t>
      </w:r>
      <w:r w:rsidR="00902FBF" w:rsidRPr="00921776">
        <w:rPr>
          <w:rFonts w:asciiTheme="minorHAnsi" w:hAnsiTheme="minorHAnsi"/>
        </w:rPr>
        <w:t>ions early when recruiting new s</w:t>
      </w:r>
      <w:r w:rsidRPr="00921776">
        <w:rPr>
          <w:rFonts w:asciiTheme="minorHAnsi" w:hAnsiTheme="minorHAnsi"/>
        </w:rPr>
        <w:t xml:space="preserve">taff, the job description should include the outcomes that the employee will be responsible </w:t>
      </w:r>
      <w:r w:rsidR="00902FBF" w:rsidRPr="00921776">
        <w:rPr>
          <w:rFonts w:asciiTheme="minorHAnsi" w:hAnsiTheme="minorHAnsi"/>
        </w:rPr>
        <w:t>for, why these are important and how they will align with the organisations values and strategy – this will help employees to clearly understand what they will be focusing on</w:t>
      </w:r>
      <w:r w:rsidR="006847E0" w:rsidRPr="00921776">
        <w:rPr>
          <w:rFonts w:asciiTheme="minorHAnsi" w:hAnsiTheme="minorHAnsi"/>
        </w:rPr>
        <w:t xml:space="preserve"> (O’Connell, 2020)</w:t>
      </w:r>
      <w:r w:rsidR="00902FBF" w:rsidRPr="00921776">
        <w:rPr>
          <w:rFonts w:asciiTheme="minorHAnsi" w:hAnsiTheme="minorHAnsi"/>
        </w:rPr>
        <w:t>.</w:t>
      </w:r>
    </w:p>
    <w:p w:rsidR="00902FBF" w:rsidRPr="00921776" w:rsidRDefault="00902FBF" w:rsidP="007F50B4">
      <w:pPr>
        <w:rPr>
          <w:rFonts w:asciiTheme="minorHAnsi" w:hAnsiTheme="minorHAnsi"/>
        </w:rPr>
      </w:pPr>
      <w:r w:rsidRPr="00921776">
        <w:rPr>
          <w:rFonts w:asciiTheme="minorHAnsi" w:hAnsiTheme="minorHAnsi"/>
        </w:rPr>
        <w:t xml:space="preserve">It is also important that the organisation is aware of emerging risks in the data such as the increase in resignations due to career change. This could be due to career switching becoming more acceptable since the pandemic as employees are becoming more loyal to their career rather than their organisation and seek greater purpose that doesn’t provide burnout. </w:t>
      </w:r>
      <w:r w:rsidR="00A75295" w:rsidRPr="00921776">
        <w:rPr>
          <w:rFonts w:asciiTheme="minorHAnsi" w:hAnsiTheme="minorHAnsi"/>
        </w:rPr>
        <w:t>Therefore further research and solutions on this topic should be focused on by the organisation</w:t>
      </w:r>
      <w:r w:rsidR="0085201D" w:rsidRPr="00921776">
        <w:rPr>
          <w:rFonts w:asciiTheme="minorHAnsi" w:hAnsiTheme="minorHAnsi"/>
        </w:rPr>
        <w:t xml:space="preserve"> (Christian, 2022)</w:t>
      </w:r>
      <w:r w:rsidR="00A75295" w:rsidRPr="00921776">
        <w:rPr>
          <w:rFonts w:asciiTheme="minorHAnsi" w:hAnsiTheme="minorHAnsi"/>
        </w:rPr>
        <w:t xml:space="preserve">. </w:t>
      </w:r>
    </w:p>
    <w:p w:rsidR="00A75295" w:rsidRPr="00921776" w:rsidRDefault="00A75295" w:rsidP="007F50B4">
      <w:pPr>
        <w:rPr>
          <w:rFonts w:asciiTheme="minorHAnsi" w:hAnsiTheme="minorHAnsi"/>
        </w:rPr>
      </w:pPr>
      <w:r w:rsidRPr="00921776">
        <w:rPr>
          <w:rFonts w:asciiTheme="minorHAnsi" w:hAnsiTheme="minorHAnsi"/>
        </w:rPr>
        <w:t>All of the issues revealed link to how the organisation must increase its ability to communicate effectively with its employees, an internal communication specialist may be required to support clear communication</w:t>
      </w:r>
      <w:r w:rsidR="00C61367">
        <w:rPr>
          <w:rFonts w:asciiTheme="minorHAnsi" w:hAnsiTheme="minorHAnsi"/>
        </w:rPr>
        <w:t xml:space="preserve"> and</w:t>
      </w:r>
      <w:r w:rsidRPr="00921776">
        <w:rPr>
          <w:rFonts w:asciiTheme="minorHAnsi" w:hAnsiTheme="minorHAnsi"/>
        </w:rPr>
        <w:t xml:space="preserve"> technology communication channels may need to be reviewed to ensure</w:t>
      </w:r>
      <w:r w:rsidR="00C61367">
        <w:rPr>
          <w:rFonts w:asciiTheme="minorHAnsi" w:hAnsiTheme="minorHAnsi"/>
        </w:rPr>
        <w:t xml:space="preserve"> that</w:t>
      </w:r>
      <w:bookmarkStart w:id="0" w:name="_GoBack"/>
      <w:bookmarkEnd w:id="0"/>
      <w:r w:rsidRPr="00921776">
        <w:rPr>
          <w:rFonts w:asciiTheme="minorHAnsi" w:hAnsiTheme="minorHAnsi"/>
        </w:rPr>
        <w:t xml:space="preserve"> they are accessible for everyone</w:t>
      </w:r>
      <w:r w:rsidR="00C1582D" w:rsidRPr="00921776">
        <w:rPr>
          <w:rFonts w:asciiTheme="minorHAnsi" w:hAnsiTheme="minorHAnsi"/>
        </w:rPr>
        <w:t xml:space="preserve"> (Peters, 2022)</w:t>
      </w:r>
      <w:r w:rsidRPr="00921776">
        <w:rPr>
          <w:rFonts w:asciiTheme="minorHAnsi" w:hAnsiTheme="minorHAnsi"/>
        </w:rPr>
        <w:t xml:space="preserve">. </w:t>
      </w:r>
    </w:p>
    <w:p w:rsidR="009C4AB2" w:rsidRPr="007F50B4" w:rsidRDefault="009C4AB2" w:rsidP="007F50B4"/>
    <w:p w:rsidR="000805E3" w:rsidRDefault="000805E3"/>
    <w:p w:rsidR="000805E3" w:rsidRDefault="000805E3"/>
    <w:p w:rsidR="000805E3" w:rsidRDefault="000805E3"/>
    <w:p w:rsidR="000805E3" w:rsidRDefault="000805E3"/>
    <w:p w:rsidR="000805E3" w:rsidRDefault="000805E3"/>
    <w:p w:rsidR="000805E3" w:rsidRDefault="000805E3"/>
    <w:p w:rsidR="000805E3" w:rsidRDefault="000805E3"/>
    <w:p w:rsidR="000805E3" w:rsidRDefault="000805E3"/>
    <w:p w:rsidR="000805E3" w:rsidRDefault="000805E3"/>
    <w:p w:rsidR="000805E3" w:rsidRDefault="000805E3"/>
    <w:p w:rsidR="000805E3" w:rsidRDefault="000805E3"/>
    <w:p w:rsidR="000805E3" w:rsidRDefault="000805E3"/>
    <w:p w:rsidR="00F151EB" w:rsidRDefault="00F151EB"/>
    <w:p w:rsidR="00921776" w:rsidRDefault="00921776"/>
    <w:p w:rsidR="00921776" w:rsidRDefault="00921776"/>
    <w:p w:rsidR="0006218B" w:rsidRPr="00921776" w:rsidRDefault="0006218B" w:rsidP="00921776">
      <w:pPr>
        <w:jc w:val="center"/>
        <w:rPr>
          <w:rFonts w:asciiTheme="minorHAnsi" w:hAnsiTheme="minorHAnsi"/>
          <w:b/>
          <w:u w:val="single"/>
        </w:rPr>
      </w:pPr>
      <w:r w:rsidRPr="00921776">
        <w:rPr>
          <w:rFonts w:asciiTheme="minorHAnsi" w:hAnsiTheme="minorHAnsi"/>
          <w:b/>
          <w:u w:val="single"/>
        </w:rPr>
        <w:lastRenderedPageBreak/>
        <w:t>REFERENCES:</w:t>
      </w:r>
    </w:p>
    <w:p w:rsidR="00921776" w:rsidRPr="00D426E4" w:rsidRDefault="00921776" w:rsidP="002C434D">
      <w:pPr>
        <w:pStyle w:val="ListParagraph"/>
        <w:numPr>
          <w:ilvl w:val="0"/>
          <w:numId w:val="6"/>
        </w:numPr>
        <w:autoSpaceDE/>
        <w:autoSpaceDN/>
        <w:adjustRightInd/>
        <w:spacing w:before="0" w:after="200"/>
        <w:contextualSpacing/>
        <w:jc w:val="left"/>
        <w:rPr>
          <w:b/>
        </w:rPr>
      </w:pPr>
      <w:r>
        <w:rPr>
          <w:rFonts w:ascii="avenir-regular-class" w:hAnsi="avenir-regular-class"/>
          <w:color w:val="333333"/>
          <w:sz w:val="23"/>
          <w:szCs w:val="23"/>
          <w:shd w:val="clear" w:color="auto" w:fill="FBFBFB"/>
        </w:rPr>
        <w:t>Bond, H. (2022) </w:t>
      </w:r>
      <w:r>
        <w:rPr>
          <w:rFonts w:ascii="avenir-regular-class" w:hAnsi="avenir-regular-class"/>
          <w:i/>
          <w:iCs/>
          <w:color w:val="333333"/>
          <w:sz w:val="23"/>
          <w:szCs w:val="23"/>
          <w:shd w:val="clear" w:color="auto" w:fill="FBFBFB"/>
        </w:rPr>
        <w:t>HR and Standards</w:t>
      </w:r>
      <w:r>
        <w:rPr>
          <w:rFonts w:ascii="avenir-regular-class" w:hAnsi="avenir-regular-class"/>
          <w:color w:val="333333"/>
          <w:sz w:val="23"/>
          <w:szCs w:val="23"/>
          <w:shd w:val="clear" w:color="auto" w:fill="FBFBFB"/>
        </w:rPr>
        <w:t xml:space="preserve">. Available at: </w:t>
      </w:r>
      <w:hyperlink r:id="rId9" w:history="1">
        <w:r w:rsidRPr="00146766">
          <w:rPr>
            <w:rStyle w:val="Hyperlink"/>
            <w:rFonts w:ascii="avenir-regular-class" w:hAnsi="avenir-regular-class"/>
            <w:sz w:val="23"/>
            <w:szCs w:val="23"/>
            <w:shd w:val="clear" w:color="auto" w:fill="FBFBFB"/>
          </w:rPr>
          <w:t>https://www.cipd.org/uk/knowledge/factsheets/hr-standards-factsheet/</w:t>
        </w:r>
      </w:hyperlink>
      <w:r>
        <w:rPr>
          <w:rFonts w:ascii="avenir-regular-class" w:hAnsi="avenir-regular-class"/>
          <w:color w:val="333333"/>
          <w:sz w:val="23"/>
          <w:szCs w:val="23"/>
          <w:shd w:val="clear" w:color="auto" w:fill="FBFBFB"/>
        </w:rPr>
        <w:t xml:space="preserve"> (Accessed: 15 December 2023).</w:t>
      </w:r>
    </w:p>
    <w:p w:rsidR="00921776" w:rsidRPr="006C50BF" w:rsidRDefault="00921776" w:rsidP="0006218B">
      <w:pPr>
        <w:pStyle w:val="ListParagraph"/>
        <w:numPr>
          <w:ilvl w:val="0"/>
          <w:numId w:val="6"/>
        </w:numPr>
      </w:pPr>
      <w:r>
        <w:rPr>
          <w:rFonts w:ascii="avenir-regular-class" w:hAnsi="avenir-regular-class"/>
          <w:color w:val="333333"/>
          <w:sz w:val="23"/>
          <w:szCs w:val="23"/>
          <w:shd w:val="clear" w:color="auto" w:fill="FBFBFB"/>
        </w:rPr>
        <w:t>Brown, B. </w:t>
      </w:r>
      <w:r>
        <w:rPr>
          <w:rFonts w:ascii="avenir-regular-class" w:hAnsi="avenir-regular-class"/>
          <w:i/>
          <w:iCs/>
          <w:color w:val="333333"/>
          <w:sz w:val="23"/>
          <w:szCs w:val="23"/>
          <w:shd w:val="clear" w:color="auto" w:fill="FBFBFB"/>
        </w:rPr>
        <w:t>et al.</w:t>
      </w:r>
      <w:r>
        <w:rPr>
          <w:rFonts w:ascii="avenir-regular-class" w:hAnsi="avenir-regular-class"/>
          <w:color w:val="333333"/>
          <w:sz w:val="23"/>
          <w:szCs w:val="23"/>
          <w:shd w:val="clear" w:color="auto" w:fill="FBFBFB"/>
        </w:rPr>
        <w:t> (2011) </w:t>
      </w:r>
      <w:r>
        <w:rPr>
          <w:rFonts w:ascii="avenir-regular-class" w:hAnsi="avenir-regular-class"/>
          <w:i/>
          <w:iCs/>
          <w:color w:val="333333"/>
          <w:sz w:val="23"/>
          <w:szCs w:val="23"/>
          <w:shd w:val="clear" w:color="auto" w:fill="FBFBFB"/>
        </w:rPr>
        <w:t>Are you ready for the era of 'big data'?</w:t>
      </w:r>
      <w:r>
        <w:rPr>
          <w:rFonts w:ascii="avenir-regular-class" w:hAnsi="avenir-regular-class"/>
          <w:color w:val="333333"/>
          <w:sz w:val="23"/>
          <w:szCs w:val="23"/>
          <w:shd w:val="clear" w:color="auto" w:fill="FBFBFB"/>
        </w:rPr>
        <w:t xml:space="preserve">. Available at: </w:t>
      </w:r>
      <w:hyperlink r:id="rId10" w:history="1">
        <w:r w:rsidRPr="00B30C8A">
          <w:rPr>
            <w:rStyle w:val="Hyperlink"/>
            <w:rFonts w:ascii="avenir-regular-class" w:hAnsi="avenir-regular-class"/>
            <w:sz w:val="23"/>
            <w:szCs w:val="23"/>
            <w:shd w:val="clear" w:color="auto" w:fill="FBFBFB"/>
          </w:rPr>
          <w:t>https://www.mckinsey.com/capabilities/strategy-and-corporate-finance/our-insights/</w:t>
        </w:r>
      </w:hyperlink>
      <w:r>
        <w:rPr>
          <w:rFonts w:ascii="avenir-regular-class" w:hAnsi="avenir-regular-class"/>
          <w:color w:val="333333"/>
          <w:sz w:val="23"/>
          <w:szCs w:val="23"/>
          <w:shd w:val="clear" w:color="auto" w:fill="FBFBFB"/>
        </w:rPr>
        <w:t xml:space="preserve"> (Accessed: 5 December 2023).</w:t>
      </w:r>
    </w:p>
    <w:p w:rsidR="00921776" w:rsidRPr="00C1582D" w:rsidRDefault="00921776" w:rsidP="002C434D">
      <w:pPr>
        <w:pStyle w:val="ListParagraph"/>
        <w:numPr>
          <w:ilvl w:val="0"/>
          <w:numId w:val="6"/>
        </w:numPr>
        <w:autoSpaceDE/>
        <w:autoSpaceDN/>
        <w:adjustRightInd/>
        <w:spacing w:before="0" w:after="200"/>
        <w:contextualSpacing/>
        <w:jc w:val="left"/>
        <w:rPr>
          <w:b/>
        </w:rPr>
      </w:pPr>
      <w:r>
        <w:rPr>
          <w:rFonts w:ascii="avenir-regular-class" w:hAnsi="avenir-regular-class"/>
          <w:color w:val="333333"/>
          <w:sz w:val="23"/>
          <w:szCs w:val="23"/>
          <w:shd w:val="clear" w:color="auto" w:fill="FBFBFB"/>
        </w:rPr>
        <w:t>Christian, A. (2022) </w:t>
      </w:r>
      <w:r>
        <w:rPr>
          <w:rFonts w:ascii="avenir-regular-class" w:hAnsi="avenir-regular-class"/>
          <w:i/>
          <w:iCs/>
          <w:color w:val="333333"/>
          <w:sz w:val="23"/>
          <w:szCs w:val="23"/>
          <w:shd w:val="clear" w:color="auto" w:fill="FBFBFB"/>
        </w:rPr>
        <w:t>Why people are industry hopping</w:t>
      </w:r>
      <w:r>
        <w:rPr>
          <w:rFonts w:ascii="avenir-regular-class" w:hAnsi="avenir-regular-class"/>
          <w:color w:val="333333"/>
          <w:sz w:val="23"/>
          <w:szCs w:val="23"/>
          <w:shd w:val="clear" w:color="auto" w:fill="FBFBFB"/>
        </w:rPr>
        <w:t xml:space="preserve">. Available at: </w:t>
      </w:r>
      <w:hyperlink r:id="rId11" w:history="1">
        <w:r w:rsidRPr="00204991">
          <w:rPr>
            <w:rStyle w:val="Hyperlink"/>
            <w:rFonts w:ascii="avenir-regular-class" w:hAnsi="avenir-regular-class"/>
            <w:sz w:val="23"/>
            <w:szCs w:val="23"/>
            <w:shd w:val="clear" w:color="auto" w:fill="FBFBFB"/>
          </w:rPr>
          <w:t>https://www.bbc.com/worklife/article/20220905-whye-people-are-industry-hopping</w:t>
        </w:r>
      </w:hyperlink>
      <w:r>
        <w:rPr>
          <w:rFonts w:ascii="avenir-regular-class" w:hAnsi="avenir-regular-class"/>
          <w:color w:val="333333"/>
          <w:sz w:val="23"/>
          <w:szCs w:val="23"/>
          <w:shd w:val="clear" w:color="auto" w:fill="FBFBFB"/>
        </w:rPr>
        <w:t xml:space="preserve"> </w:t>
      </w:r>
      <w:r>
        <w:rPr>
          <w:rFonts w:ascii="avenir-regular-class" w:hAnsi="avenir-regular-class"/>
          <w:color w:val="333333"/>
          <w:sz w:val="23"/>
          <w:szCs w:val="23"/>
          <w:shd w:val="clear" w:color="auto" w:fill="FBFBFB"/>
        </w:rPr>
        <w:t>(Accessed: 17 December 2023).</w:t>
      </w:r>
    </w:p>
    <w:p w:rsidR="00921776" w:rsidRPr="006847E0" w:rsidRDefault="00921776" w:rsidP="002C434D">
      <w:pPr>
        <w:pStyle w:val="ListParagraph"/>
        <w:numPr>
          <w:ilvl w:val="0"/>
          <w:numId w:val="6"/>
        </w:numPr>
        <w:autoSpaceDE/>
        <w:autoSpaceDN/>
        <w:adjustRightInd/>
        <w:spacing w:before="0" w:after="200"/>
        <w:contextualSpacing/>
        <w:jc w:val="left"/>
        <w:rPr>
          <w:b/>
        </w:rPr>
      </w:pPr>
      <w:r>
        <w:rPr>
          <w:rFonts w:ascii="avenir-regular-class" w:hAnsi="avenir-regular-class"/>
          <w:color w:val="333333"/>
          <w:sz w:val="23"/>
          <w:szCs w:val="23"/>
          <w:shd w:val="clear" w:color="auto" w:fill="FBFBFB"/>
        </w:rPr>
        <w:t>CIPD (2022) </w:t>
      </w:r>
      <w:r>
        <w:rPr>
          <w:rFonts w:ascii="avenir-regular-class" w:hAnsi="avenir-regular-class"/>
          <w:i/>
          <w:iCs/>
          <w:color w:val="333333"/>
          <w:sz w:val="23"/>
          <w:szCs w:val="23"/>
          <w:shd w:val="clear" w:color="auto" w:fill="FBFBFB"/>
        </w:rPr>
        <w:t>Long-term health conditions: Guidance for people professionals to support employees</w:t>
      </w:r>
      <w:r>
        <w:rPr>
          <w:rFonts w:ascii="avenir-regular-class" w:hAnsi="avenir-regular-class"/>
          <w:color w:val="333333"/>
          <w:sz w:val="23"/>
          <w:szCs w:val="23"/>
          <w:shd w:val="clear" w:color="auto" w:fill="FBFBFB"/>
        </w:rPr>
        <w:t xml:space="preserve">. Available at: </w:t>
      </w:r>
      <w:hyperlink r:id="rId12" w:history="1">
        <w:r w:rsidRPr="00204991">
          <w:rPr>
            <w:rStyle w:val="Hyperlink"/>
            <w:rFonts w:ascii="avenir-regular-class" w:hAnsi="avenir-regular-class"/>
            <w:sz w:val="23"/>
            <w:szCs w:val="23"/>
            <w:shd w:val="clear" w:color="auto" w:fill="FBFBFB"/>
          </w:rPr>
          <w:t>https://www.cipd.org/uk/knowledge/guides/support-long-term-health-conditions/</w:t>
        </w:r>
      </w:hyperlink>
      <w:r>
        <w:rPr>
          <w:rFonts w:ascii="avenir-regular-class" w:hAnsi="avenir-regular-class"/>
          <w:color w:val="333333"/>
          <w:sz w:val="23"/>
          <w:szCs w:val="23"/>
          <w:shd w:val="clear" w:color="auto" w:fill="FBFBFB"/>
        </w:rPr>
        <w:t xml:space="preserve"> </w:t>
      </w:r>
      <w:r>
        <w:rPr>
          <w:rFonts w:ascii="avenir-regular-class" w:hAnsi="avenir-regular-class"/>
          <w:color w:val="333333"/>
          <w:sz w:val="23"/>
          <w:szCs w:val="23"/>
          <w:shd w:val="clear" w:color="auto" w:fill="FBFBFB"/>
        </w:rPr>
        <w:t>(Accessed: 17 December 2023).</w:t>
      </w:r>
    </w:p>
    <w:p w:rsidR="00921776" w:rsidRPr="00520F7F" w:rsidRDefault="00921776" w:rsidP="0006218B">
      <w:pPr>
        <w:pStyle w:val="ListParagraph"/>
        <w:numPr>
          <w:ilvl w:val="0"/>
          <w:numId w:val="6"/>
        </w:numPr>
      </w:pPr>
      <w:r>
        <w:rPr>
          <w:rFonts w:ascii="avenir-regular-class" w:hAnsi="avenir-regular-class"/>
          <w:color w:val="333333"/>
          <w:sz w:val="23"/>
          <w:szCs w:val="23"/>
          <w:shd w:val="clear" w:color="auto" w:fill="FBFBFB"/>
        </w:rPr>
        <w:t>CIPD (2022) </w:t>
      </w:r>
      <w:r>
        <w:rPr>
          <w:rFonts w:ascii="avenir-regular-class" w:hAnsi="avenir-regular-class"/>
          <w:i/>
          <w:iCs/>
          <w:color w:val="333333"/>
          <w:sz w:val="23"/>
          <w:szCs w:val="23"/>
          <w:shd w:val="clear" w:color="auto" w:fill="FBFBFB"/>
        </w:rPr>
        <w:t>People Analytics</w:t>
      </w:r>
      <w:r>
        <w:rPr>
          <w:rFonts w:ascii="avenir-regular-class" w:hAnsi="avenir-regular-class"/>
          <w:color w:val="333333"/>
          <w:sz w:val="23"/>
          <w:szCs w:val="23"/>
          <w:shd w:val="clear" w:color="auto" w:fill="FBFBFB"/>
        </w:rPr>
        <w:t xml:space="preserve">. Available at: </w:t>
      </w:r>
      <w:hyperlink r:id="rId13" w:history="1">
        <w:r w:rsidRPr="00B30C8A">
          <w:rPr>
            <w:rStyle w:val="Hyperlink"/>
            <w:rFonts w:ascii="avenir-regular-class" w:hAnsi="avenir-regular-class"/>
            <w:sz w:val="23"/>
            <w:szCs w:val="23"/>
            <w:shd w:val="clear" w:color="auto" w:fill="FBFBFB"/>
          </w:rPr>
          <w:t>https://www.cipd.org/uk/knowledge/factsheets/analytics-factsheet/</w:t>
        </w:r>
      </w:hyperlink>
      <w:r>
        <w:rPr>
          <w:rFonts w:ascii="avenir-regular-class" w:hAnsi="avenir-regular-class"/>
          <w:color w:val="333333"/>
          <w:sz w:val="23"/>
          <w:szCs w:val="23"/>
          <w:shd w:val="clear" w:color="auto" w:fill="FBFBFB"/>
        </w:rPr>
        <w:t xml:space="preserve"> (Accessed: 5 December 2023).</w:t>
      </w:r>
    </w:p>
    <w:p w:rsidR="00921776" w:rsidRPr="006A3995" w:rsidRDefault="00921776" w:rsidP="002C434D">
      <w:pPr>
        <w:pStyle w:val="ListParagraph"/>
        <w:numPr>
          <w:ilvl w:val="0"/>
          <w:numId w:val="6"/>
        </w:numPr>
        <w:autoSpaceDE/>
        <w:autoSpaceDN/>
        <w:adjustRightInd/>
        <w:spacing w:before="0" w:after="200"/>
        <w:contextualSpacing/>
        <w:jc w:val="left"/>
        <w:rPr>
          <w:b/>
        </w:rPr>
      </w:pPr>
      <w:r>
        <w:rPr>
          <w:rFonts w:ascii="avenir-regular-class" w:hAnsi="avenir-regular-class"/>
          <w:color w:val="333333"/>
          <w:sz w:val="23"/>
          <w:szCs w:val="23"/>
          <w:shd w:val="clear" w:color="auto" w:fill="FBFBFB"/>
        </w:rPr>
        <w:t>CIPD (2023) </w:t>
      </w:r>
      <w:r>
        <w:rPr>
          <w:rFonts w:ascii="avenir-regular-class" w:hAnsi="avenir-regular-class"/>
          <w:i/>
          <w:iCs/>
          <w:color w:val="333333"/>
          <w:sz w:val="23"/>
          <w:szCs w:val="23"/>
          <w:shd w:val="clear" w:color="auto" w:fill="FBFBFB"/>
        </w:rPr>
        <w:t>Commercial Drive</w:t>
      </w:r>
      <w:r>
        <w:rPr>
          <w:rFonts w:ascii="avenir-regular-class" w:hAnsi="avenir-regular-class"/>
          <w:color w:val="333333"/>
          <w:sz w:val="23"/>
          <w:szCs w:val="23"/>
          <w:shd w:val="clear" w:color="auto" w:fill="FBFBFB"/>
        </w:rPr>
        <w:t xml:space="preserve">. Available at: </w:t>
      </w:r>
      <w:hyperlink r:id="rId14" w:history="1">
        <w:r w:rsidRPr="00146766">
          <w:rPr>
            <w:rStyle w:val="Hyperlink"/>
            <w:rFonts w:ascii="avenir-regular-class" w:hAnsi="avenir-regular-class"/>
            <w:sz w:val="23"/>
            <w:szCs w:val="23"/>
            <w:shd w:val="clear" w:color="auto" w:fill="FBFBFB"/>
          </w:rPr>
          <w:t>https://www.cipd.org/uk/the-people-profession/the-profession-map</w:t>
        </w:r>
      </w:hyperlink>
      <w:r>
        <w:rPr>
          <w:rFonts w:ascii="avenir-regular-class" w:hAnsi="avenir-regular-class"/>
          <w:color w:val="333333"/>
          <w:sz w:val="23"/>
          <w:szCs w:val="23"/>
          <w:shd w:val="clear" w:color="auto" w:fill="FBFBFB"/>
        </w:rPr>
        <w:t xml:space="preserve"> (Accessed: 15 December 2023).</w:t>
      </w:r>
    </w:p>
    <w:p w:rsidR="00921776" w:rsidRPr="0075118D" w:rsidRDefault="00921776" w:rsidP="0006218B">
      <w:pPr>
        <w:pStyle w:val="ListParagraph"/>
        <w:numPr>
          <w:ilvl w:val="0"/>
          <w:numId w:val="6"/>
        </w:numPr>
      </w:pPr>
      <w:r>
        <w:rPr>
          <w:rFonts w:ascii="avenir-regular-class" w:hAnsi="avenir-regular-class"/>
          <w:color w:val="333333"/>
          <w:sz w:val="23"/>
          <w:szCs w:val="23"/>
          <w:shd w:val="clear" w:color="auto" w:fill="FBFBFB"/>
        </w:rPr>
        <w:t>CIPD (2023) </w:t>
      </w:r>
      <w:r>
        <w:rPr>
          <w:rFonts w:ascii="avenir-regular-class" w:hAnsi="avenir-regular-class"/>
          <w:i/>
          <w:iCs/>
          <w:color w:val="333333"/>
          <w:sz w:val="23"/>
          <w:szCs w:val="23"/>
          <w:shd w:val="clear" w:color="auto" w:fill="FBFBFB"/>
        </w:rPr>
        <w:t>Evidence-based HR: Make better decisions and step up your influence</w:t>
      </w:r>
      <w:r>
        <w:rPr>
          <w:rFonts w:ascii="avenir-regular-class" w:hAnsi="avenir-regular-class"/>
          <w:color w:val="333333"/>
          <w:sz w:val="23"/>
          <w:szCs w:val="23"/>
          <w:shd w:val="clear" w:color="auto" w:fill="FBFBFB"/>
        </w:rPr>
        <w:t xml:space="preserve">. Available at: </w:t>
      </w:r>
      <w:hyperlink r:id="rId15" w:history="1">
        <w:r w:rsidRPr="00B30C8A">
          <w:rPr>
            <w:rStyle w:val="Hyperlink"/>
            <w:rFonts w:ascii="avenir-regular-class" w:hAnsi="avenir-regular-class"/>
            <w:sz w:val="23"/>
            <w:szCs w:val="23"/>
            <w:shd w:val="clear" w:color="auto" w:fill="FBFBFB"/>
          </w:rPr>
          <w:t>https://www.cipd.org/uk/knowledge/guides/evidence-based-profession/</w:t>
        </w:r>
      </w:hyperlink>
      <w:r>
        <w:rPr>
          <w:rFonts w:ascii="avenir-regular-class" w:hAnsi="avenir-regular-class"/>
          <w:color w:val="333333"/>
          <w:sz w:val="23"/>
          <w:szCs w:val="23"/>
          <w:shd w:val="clear" w:color="auto" w:fill="FBFBFB"/>
        </w:rPr>
        <w:t xml:space="preserve"> (Accessed: 4 December 2023).</w:t>
      </w:r>
    </w:p>
    <w:p w:rsidR="00921776" w:rsidRPr="00521F96" w:rsidRDefault="00921776" w:rsidP="002C434D">
      <w:pPr>
        <w:pStyle w:val="ListParagraph"/>
        <w:numPr>
          <w:ilvl w:val="0"/>
          <w:numId w:val="6"/>
        </w:numPr>
        <w:autoSpaceDE/>
        <w:autoSpaceDN/>
        <w:adjustRightInd/>
        <w:spacing w:before="0" w:after="200"/>
        <w:contextualSpacing/>
        <w:jc w:val="left"/>
        <w:rPr>
          <w:b/>
        </w:rPr>
      </w:pPr>
      <w:r>
        <w:rPr>
          <w:rFonts w:ascii="avenir-regular-class" w:hAnsi="avenir-regular-class"/>
          <w:color w:val="333333"/>
          <w:sz w:val="23"/>
          <w:szCs w:val="23"/>
          <w:shd w:val="clear" w:color="auto" w:fill="FBFBFB"/>
        </w:rPr>
        <w:t>CIPD (2023) </w:t>
      </w:r>
      <w:r>
        <w:rPr>
          <w:rFonts w:ascii="avenir-regular-class" w:hAnsi="avenir-regular-class"/>
          <w:i/>
          <w:iCs/>
          <w:color w:val="333333"/>
          <w:sz w:val="23"/>
          <w:szCs w:val="23"/>
          <w:shd w:val="clear" w:color="auto" w:fill="FBFBFB"/>
        </w:rPr>
        <w:t>Principles-led</w:t>
      </w:r>
      <w:r>
        <w:rPr>
          <w:rFonts w:ascii="avenir-regular-class" w:hAnsi="avenir-regular-class"/>
          <w:color w:val="333333"/>
          <w:sz w:val="23"/>
          <w:szCs w:val="23"/>
          <w:shd w:val="clear" w:color="auto" w:fill="FBFBFB"/>
        </w:rPr>
        <w:t xml:space="preserve">. Available at: </w:t>
      </w:r>
      <w:hyperlink r:id="rId16" w:history="1">
        <w:r w:rsidRPr="00146766">
          <w:rPr>
            <w:rStyle w:val="Hyperlink"/>
            <w:rFonts w:ascii="avenir-regular-class" w:hAnsi="avenir-regular-class"/>
            <w:sz w:val="23"/>
            <w:szCs w:val="23"/>
            <w:shd w:val="clear" w:color="auto" w:fill="FBFBFB"/>
          </w:rPr>
          <w:t>https://www.cipd.org/uk/the-people-profession/the-profession-map/</w:t>
        </w:r>
      </w:hyperlink>
      <w:r>
        <w:rPr>
          <w:rFonts w:ascii="avenir-regular-class" w:hAnsi="avenir-regular-class"/>
          <w:color w:val="333333"/>
          <w:sz w:val="23"/>
          <w:szCs w:val="23"/>
          <w:shd w:val="clear" w:color="auto" w:fill="FBFBFB"/>
        </w:rPr>
        <w:t xml:space="preserve"> (Accessed: 15 December 2023).</w:t>
      </w:r>
    </w:p>
    <w:p w:rsidR="00921776" w:rsidRPr="00F21E75" w:rsidRDefault="00921776" w:rsidP="002C434D">
      <w:pPr>
        <w:pStyle w:val="ListParagraph"/>
        <w:numPr>
          <w:ilvl w:val="0"/>
          <w:numId w:val="6"/>
        </w:numPr>
        <w:autoSpaceDE/>
        <w:autoSpaceDN/>
        <w:adjustRightInd/>
        <w:spacing w:before="0" w:after="200"/>
        <w:contextualSpacing/>
        <w:jc w:val="left"/>
        <w:rPr>
          <w:b/>
        </w:rPr>
      </w:pPr>
      <w:r>
        <w:rPr>
          <w:rFonts w:ascii="avenir-regular-class" w:hAnsi="avenir-regular-class"/>
          <w:color w:val="333333"/>
          <w:sz w:val="23"/>
          <w:szCs w:val="23"/>
          <w:shd w:val="clear" w:color="auto" w:fill="FBFBFB"/>
        </w:rPr>
        <w:t>Cotton, C. (2023) </w:t>
      </w:r>
      <w:r>
        <w:rPr>
          <w:rFonts w:ascii="avenir-regular-class" w:hAnsi="avenir-regular-class"/>
          <w:i/>
          <w:iCs/>
          <w:color w:val="333333"/>
          <w:sz w:val="23"/>
          <w:szCs w:val="23"/>
          <w:shd w:val="clear" w:color="auto" w:fill="FBFBFB"/>
        </w:rPr>
        <w:t>Employee benefits: an introduction</w:t>
      </w:r>
      <w:r>
        <w:rPr>
          <w:rFonts w:ascii="avenir-regular-class" w:hAnsi="avenir-regular-class"/>
          <w:color w:val="333333"/>
          <w:sz w:val="23"/>
          <w:szCs w:val="23"/>
          <w:shd w:val="clear" w:color="auto" w:fill="FBFBFB"/>
        </w:rPr>
        <w:t xml:space="preserve">. Available at: </w:t>
      </w:r>
      <w:hyperlink r:id="rId17" w:history="1">
        <w:r w:rsidRPr="00204991">
          <w:rPr>
            <w:rStyle w:val="Hyperlink"/>
            <w:rFonts w:ascii="avenir-regular-class" w:hAnsi="avenir-regular-class"/>
            <w:sz w:val="23"/>
            <w:szCs w:val="23"/>
            <w:shd w:val="clear" w:color="auto" w:fill="FBFBFB"/>
          </w:rPr>
          <w:t>https://www.cipd.org/uk/knowledge/factsheets/benefits-factsheet/</w:t>
        </w:r>
      </w:hyperlink>
      <w:r>
        <w:rPr>
          <w:rFonts w:ascii="avenir-regular-class" w:hAnsi="avenir-regular-class"/>
          <w:color w:val="333333"/>
          <w:sz w:val="23"/>
          <w:szCs w:val="23"/>
          <w:shd w:val="clear" w:color="auto" w:fill="FBFBFB"/>
        </w:rPr>
        <w:t xml:space="preserve"> </w:t>
      </w:r>
      <w:r>
        <w:rPr>
          <w:rFonts w:ascii="avenir-regular-class" w:hAnsi="avenir-regular-class"/>
          <w:color w:val="333333"/>
          <w:sz w:val="23"/>
          <w:szCs w:val="23"/>
          <w:shd w:val="clear" w:color="auto" w:fill="FBFBFB"/>
        </w:rPr>
        <w:t>(Accessed: 17 December 2023).</w:t>
      </w:r>
    </w:p>
    <w:p w:rsidR="00921776" w:rsidRPr="00E6417C" w:rsidRDefault="00921776" w:rsidP="002C434D">
      <w:pPr>
        <w:pStyle w:val="ListParagraph"/>
        <w:numPr>
          <w:ilvl w:val="0"/>
          <w:numId w:val="6"/>
        </w:numPr>
        <w:autoSpaceDE/>
        <w:autoSpaceDN/>
        <w:adjustRightInd/>
        <w:spacing w:before="0" w:after="200"/>
        <w:contextualSpacing/>
        <w:jc w:val="left"/>
        <w:rPr>
          <w:b/>
        </w:rPr>
      </w:pPr>
      <w:r>
        <w:rPr>
          <w:rFonts w:ascii="avenir-regular-class" w:hAnsi="avenir-regular-class"/>
          <w:color w:val="333333"/>
          <w:sz w:val="23"/>
          <w:szCs w:val="23"/>
          <w:shd w:val="clear" w:color="auto" w:fill="FBFBFB"/>
        </w:rPr>
        <w:t>George, S. (2023) </w:t>
      </w:r>
      <w:r>
        <w:rPr>
          <w:rFonts w:ascii="avenir-regular-class" w:hAnsi="avenir-regular-class"/>
          <w:i/>
          <w:iCs/>
          <w:color w:val="333333"/>
          <w:sz w:val="23"/>
          <w:szCs w:val="23"/>
          <w:shd w:val="clear" w:color="auto" w:fill="FBFBFB"/>
        </w:rPr>
        <w:t>HR Policies</w:t>
      </w:r>
      <w:r>
        <w:rPr>
          <w:rFonts w:ascii="avenir-regular-class" w:hAnsi="avenir-regular-class"/>
          <w:color w:val="333333"/>
          <w:sz w:val="23"/>
          <w:szCs w:val="23"/>
          <w:shd w:val="clear" w:color="auto" w:fill="FBFBFB"/>
        </w:rPr>
        <w:t xml:space="preserve">. Available at: </w:t>
      </w:r>
      <w:hyperlink r:id="rId18" w:history="1">
        <w:r w:rsidRPr="00C82DBF">
          <w:rPr>
            <w:rStyle w:val="Hyperlink"/>
            <w:rFonts w:ascii="avenir-regular-class" w:hAnsi="avenir-regular-class"/>
            <w:sz w:val="23"/>
            <w:szCs w:val="23"/>
            <w:shd w:val="clear" w:color="auto" w:fill="FBFBFB"/>
          </w:rPr>
          <w:t>https://www.cipd.org/uk/knowledge/factsheets/hr-policies-factsheet/</w:t>
        </w:r>
      </w:hyperlink>
      <w:r>
        <w:rPr>
          <w:rFonts w:ascii="avenir-regular-class" w:hAnsi="avenir-regular-class"/>
          <w:color w:val="333333"/>
          <w:sz w:val="23"/>
          <w:szCs w:val="23"/>
          <w:shd w:val="clear" w:color="auto" w:fill="FBFBFB"/>
        </w:rPr>
        <w:t xml:space="preserve"> (Accessed: 8 December 2023).</w:t>
      </w:r>
    </w:p>
    <w:p w:rsidR="00921776" w:rsidRPr="002E42C8" w:rsidRDefault="00921776" w:rsidP="002C434D">
      <w:pPr>
        <w:pStyle w:val="ListParagraph"/>
        <w:numPr>
          <w:ilvl w:val="0"/>
          <w:numId w:val="6"/>
        </w:numPr>
        <w:autoSpaceDE/>
        <w:autoSpaceDN/>
        <w:adjustRightInd/>
        <w:spacing w:before="0" w:after="200"/>
        <w:contextualSpacing/>
        <w:jc w:val="left"/>
        <w:rPr>
          <w:b/>
        </w:rPr>
      </w:pPr>
      <w:r>
        <w:rPr>
          <w:rFonts w:ascii="avenir-regular-class" w:hAnsi="avenir-regular-class"/>
          <w:color w:val="333333"/>
          <w:sz w:val="23"/>
          <w:szCs w:val="23"/>
          <w:shd w:val="clear" w:color="auto" w:fill="FBFBFB"/>
        </w:rPr>
        <w:t>Gibson, G. (2017) </w:t>
      </w:r>
      <w:r>
        <w:rPr>
          <w:rFonts w:ascii="avenir-regular-class" w:hAnsi="avenir-regular-class"/>
          <w:i/>
          <w:iCs/>
          <w:color w:val="333333"/>
          <w:sz w:val="23"/>
          <w:szCs w:val="23"/>
          <w:shd w:val="clear" w:color="auto" w:fill="FBFBFB"/>
        </w:rPr>
        <w:t>Taking a customer-focused approach to HR service delivery</w:t>
      </w:r>
      <w:r>
        <w:rPr>
          <w:rFonts w:ascii="avenir-regular-class" w:hAnsi="avenir-regular-class"/>
          <w:color w:val="333333"/>
          <w:sz w:val="23"/>
          <w:szCs w:val="23"/>
          <w:shd w:val="clear" w:color="auto" w:fill="FBFBFB"/>
        </w:rPr>
        <w:t xml:space="preserve">. Available at: </w:t>
      </w:r>
      <w:hyperlink r:id="rId19" w:history="1">
        <w:r w:rsidRPr="00146766">
          <w:rPr>
            <w:rStyle w:val="Hyperlink"/>
            <w:rFonts w:ascii="avenir-regular-class" w:hAnsi="avenir-regular-class"/>
            <w:sz w:val="23"/>
            <w:szCs w:val="23"/>
            <w:shd w:val="clear" w:color="auto" w:fill="FBFBFB"/>
          </w:rPr>
          <w:t>https://www.linkedin.com/pulse/taking-customer-focused-approach-hr-service-delivery</w:t>
        </w:r>
      </w:hyperlink>
      <w:r>
        <w:rPr>
          <w:rFonts w:ascii="avenir-regular-class" w:hAnsi="avenir-regular-class"/>
          <w:color w:val="333333"/>
          <w:sz w:val="23"/>
          <w:szCs w:val="23"/>
          <w:shd w:val="clear" w:color="auto" w:fill="FBFBFB"/>
        </w:rPr>
        <w:t xml:space="preserve"> (Accessed: 15 December 2023).</w:t>
      </w:r>
    </w:p>
    <w:p w:rsidR="00921776" w:rsidRPr="00201618" w:rsidRDefault="00921776" w:rsidP="0006218B">
      <w:pPr>
        <w:pStyle w:val="ListParagraph"/>
        <w:numPr>
          <w:ilvl w:val="0"/>
          <w:numId w:val="6"/>
        </w:numPr>
      </w:pPr>
      <w:r>
        <w:rPr>
          <w:rFonts w:ascii="avenir-regular-class" w:hAnsi="avenir-regular-class"/>
          <w:color w:val="333333"/>
          <w:sz w:val="23"/>
          <w:szCs w:val="23"/>
          <w:shd w:val="clear" w:color="auto" w:fill="FBFBFB"/>
        </w:rPr>
        <w:t>Gifford, J. </w:t>
      </w:r>
      <w:r>
        <w:rPr>
          <w:rFonts w:ascii="avenir-regular-class" w:hAnsi="avenir-regular-class"/>
          <w:i/>
          <w:iCs/>
          <w:color w:val="333333"/>
          <w:sz w:val="23"/>
          <w:szCs w:val="23"/>
          <w:shd w:val="clear" w:color="auto" w:fill="FBFBFB"/>
        </w:rPr>
        <w:t>et al.</w:t>
      </w:r>
      <w:r>
        <w:rPr>
          <w:rFonts w:ascii="avenir-regular-class" w:hAnsi="avenir-regular-class"/>
          <w:color w:val="333333"/>
          <w:sz w:val="23"/>
          <w:szCs w:val="23"/>
          <w:shd w:val="clear" w:color="auto" w:fill="FBFBFB"/>
        </w:rPr>
        <w:t> (2023) </w:t>
      </w:r>
      <w:r>
        <w:rPr>
          <w:rFonts w:ascii="avenir-regular-class" w:hAnsi="avenir-regular-class"/>
          <w:i/>
          <w:iCs/>
          <w:color w:val="333333"/>
          <w:sz w:val="23"/>
          <w:szCs w:val="23"/>
          <w:shd w:val="clear" w:color="auto" w:fill="FBFBFB"/>
        </w:rPr>
        <w:t>Building an evidence-based people profession</w:t>
      </w:r>
      <w:r>
        <w:rPr>
          <w:rFonts w:ascii="avenir-regular-class" w:hAnsi="avenir-regular-class"/>
          <w:color w:val="333333"/>
          <w:sz w:val="23"/>
          <w:szCs w:val="23"/>
          <w:shd w:val="clear" w:color="auto" w:fill="FBFBFB"/>
        </w:rPr>
        <w:t xml:space="preserve">. Available at: </w:t>
      </w:r>
      <w:hyperlink r:id="rId20" w:history="1">
        <w:r w:rsidRPr="00B30C8A">
          <w:rPr>
            <w:rStyle w:val="Hyperlink"/>
            <w:rFonts w:ascii="avenir-regular-class" w:hAnsi="avenir-regular-class"/>
            <w:sz w:val="23"/>
            <w:szCs w:val="23"/>
            <w:shd w:val="clear" w:color="auto" w:fill="FBFBFB"/>
          </w:rPr>
          <w:t>https://www.cipd.org/uk/views-and-insights/thought-leadership/insight/</w:t>
        </w:r>
      </w:hyperlink>
      <w:r>
        <w:rPr>
          <w:rFonts w:ascii="avenir-regular-class" w:hAnsi="avenir-regular-class"/>
          <w:color w:val="333333"/>
          <w:sz w:val="23"/>
          <w:szCs w:val="23"/>
          <w:shd w:val="clear" w:color="auto" w:fill="FBFBFB"/>
        </w:rPr>
        <w:t xml:space="preserve"> (Accessed: 4 December 2023).</w:t>
      </w:r>
    </w:p>
    <w:p w:rsidR="00921776" w:rsidRPr="00B00713" w:rsidRDefault="00921776" w:rsidP="0006218B">
      <w:pPr>
        <w:pStyle w:val="ListParagraph"/>
        <w:numPr>
          <w:ilvl w:val="0"/>
          <w:numId w:val="6"/>
        </w:numPr>
      </w:pPr>
      <w:r>
        <w:rPr>
          <w:rFonts w:ascii="avenir-regular-class" w:hAnsi="avenir-regular-class"/>
          <w:color w:val="333333"/>
          <w:sz w:val="23"/>
          <w:szCs w:val="23"/>
          <w:shd w:val="clear" w:color="auto" w:fill="FBFBFB"/>
        </w:rPr>
        <w:t>Haak, T. (2019) </w:t>
      </w:r>
      <w:r>
        <w:rPr>
          <w:rFonts w:ascii="avenir-regular-class" w:hAnsi="avenir-regular-class"/>
          <w:i/>
          <w:iCs/>
          <w:color w:val="333333"/>
          <w:sz w:val="23"/>
          <w:szCs w:val="23"/>
          <w:shd w:val="clear" w:color="auto" w:fill="FBFBFB"/>
        </w:rPr>
        <w:t>10 Trends in workforce analytics for 2019</w:t>
      </w:r>
      <w:r>
        <w:rPr>
          <w:rFonts w:ascii="avenir-regular-class" w:hAnsi="avenir-regular-class"/>
          <w:color w:val="333333"/>
          <w:sz w:val="23"/>
          <w:szCs w:val="23"/>
          <w:shd w:val="clear" w:color="auto" w:fill="FBFBFB"/>
        </w:rPr>
        <w:t xml:space="preserve">. Available at: </w:t>
      </w:r>
      <w:hyperlink r:id="rId21" w:history="1">
        <w:r w:rsidRPr="00B30C8A">
          <w:rPr>
            <w:rStyle w:val="Hyperlink"/>
            <w:rFonts w:ascii="avenir-regular-class" w:hAnsi="avenir-regular-class"/>
            <w:sz w:val="23"/>
            <w:szCs w:val="23"/>
            <w:shd w:val="clear" w:color="auto" w:fill="FBFBFB"/>
          </w:rPr>
          <w:t>https://www.aihr.com/blog/10-trends-in-workforce-analytics/</w:t>
        </w:r>
      </w:hyperlink>
      <w:r>
        <w:rPr>
          <w:rFonts w:ascii="avenir-regular-class" w:hAnsi="avenir-regular-class"/>
          <w:color w:val="333333"/>
          <w:sz w:val="23"/>
          <w:szCs w:val="23"/>
          <w:shd w:val="clear" w:color="auto" w:fill="FBFBFB"/>
        </w:rPr>
        <w:t xml:space="preserve"> (Accessed: 5 December 2023).</w:t>
      </w:r>
    </w:p>
    <w:p w:rsidR="00921776" w:rsidRPr="00591770" w:rsidRDefault="00921776" w:rsidP="002C434D">
      <w:pPr>
        <w:pStyle w:val="ListParagraph"/>
        <w:numPr>
          <w:ilvl w:val="0"/>
          <w:numId w:val="6"/>
        </w:numPr>
        <w:autoSpaceDE/>
        <w:autoSpaceDN/>
        <w:adjustRightInd/>
        <w:spacing w:before="0" w:after="200"/>
        <w:contextualSpacing/>
        <w:jc w:val="left"/>
        <w:rPr>
          <w:b/>
        </w:rPr>
      </w:pPr>
      <w:r>
        <w:rPr>
          <w:rFonts w:ascii="avenir-regular-class" w:hAnsi="avenir-regular-class"/>
          <w:color w:val="333333"/>
          <w:sz w:val="23"/>
          <w:szCs w:val="23"/>
          <w:shd w:val="clear" w:color="auto" w:fill="FBFBFB"/>
        </w:rPr>
        <w:t>Indeed (2023) </w:t>
      </w:r>
      <w:r>
        <w:rPr>
          <w:rFonts w:ascii="avenir-regular-class" w:hAnsi="avenir-regular-class"/>
          <w:i/>
          <w:iCs/>
          <w:color w:val="333333"/>
          <w:sz w:val="23"/>
          <w:szCs w:val="23"/>
          <w:shd w:val="clear" w:color="auto" w:fill="FBFBFB"/>
        </w:rPr>
        <w:t>10 Key HR Policies and Procedures including examples</w:t>
      </w:r>
      <w:r>
        <w:rPr>
          <w:rFonts w:ascii="avenir-regular-class" w:hAnsi="avenir-regular-class"/>
          <w:color w:val="333333"/>
          <w:sz w:val="23"/>
          <w:szCs w:val="23"/>
          <w:shd w:val="clear" w:color="auto" w:fill="FBFBFB"/>
        </w:rPr>
        <w:t xml:space="preserve">. Available at: </w:t>
      </w:r>
      <w:hyperlink r:id="rId22" w:history="1">
        <w:r w:rsidRPr="00146766">
          <w:rPr>
            <w:rStyle w:val="Hyperlink"/>
            <w:rFonts w:ascii="avenir-regular-class" w:hAnsi="avenir-regular-class"/>
            <w:sz w:val="23"/>
            <w:szCs w:val="23"/>
            <w:shd w:val="clear" w:color="auto" w:fill="FBFBFB"/>
          </w:rPr>
          <w:t>https://uk.indeed.com/career-advice/career-development/hr-policies</w:t>
        </w:r>
      </w:hyperlink>
      <w:r>
        <w:rPr>
          <w:rFonts w:ascii="avenir-regular-class" w:hAnsi="avenir-regular-class"/>
          <w:color w:val="333333"/>
          <w:sz w:val="23"/>
          <w:szCs w:val="23"/>
          <w:shd w:val="clear" w:color="auto" w:fill="FBFBFB"/>
        </w:rPr>
        <w:t xml:space="preserve"> (Accessed: 8 December 2023).</w:t>
      </w:r>
    </w:p>
    <w:p w:rsidR="00921776" w:rsidRPr="00B5411D" w:rsidRDefault="00921776" w:rsidP="002C434D">
      <w:pPr>
        <w:pStyle w:val="ListParagraph"/>
        <w:numPr>
          <w:ilvl w:val="0"/>
          <w:numId w:val="6"/>
        </w:numPr>
        <w:autoSpaceDE/>
        <w:autoSpaceDN/>
        <w:adjustRightInd/>
        <w:spacing w:before="0" w:after="200"/>
        <w:contextualSpacing/>
        <w:jc w:val="left"/>
        <w:rPr>
          <w:b/>
        </w:rPr>
      </w:pPr>
      <w:r>
        <w:rPr>
          <w:rFonts w:ascii="avenir-regular-class" w:hAnsi="avenir-regular-class"/>
          <w:color w:val="333333"/>
          <w:sz w:val="23"/>
          <w:szCs w:val="23"/>
          <w:shd w:val="clear" w:color="auto" w:fill="FBFBFB"/>
        </w:rPr>
        <w:t>Indeed (2023) </w:t>
      </w:r>
      <w:r>
        <w:rPr>
          <w:rFonts w:ascii="avenir-regular-class" w:hAnsi="avenir-regular-class"/>
          <w:i/>
          <w:iCs/>
          <w:color w:val="333333"/>
          <w:sz w:val="23"/>
          <w:szCs w:val="23"/>
          <w:shd w:val="clear" w:color="auto" w:fill="FBFBFB"/>
        </w:rPr>
        <w:t>How to improve compensation and benefits for employees</w:t>
      </w:r>
      <w:r>
        <w:rPr>
          <w:rFonts w:ascii="avenir-regular-class" w:hAnsi="avenir-regular-class"/>
          <w:color w:val="333333"/>
          <w:sz w:val="23"/>
          <w:szCs w:val="23"/>
          <w:shd w:val="clear" w:color="auto" w:fill="FBFBFB"/>
        </w:rPr>
        <w:t xml:space="preserve">. Available at: </w:t>
      </w:r>
      <w:hyperlink r:id="rId23" w:history="1">
        <w:r w:rsidRPr="00204991">
          <w:rPr>
            <w:rStyle w:val="Hyperlink"/>
            <w:rFonts w:ascii="avenir-regular-class" w:hAnsi="avenir-regular-class"/>
            <w:sz w:val="23"/>
            <w:szCs w:val="23"/>
            <w:shd w:val="clear" w:color="auto" w:fill="FBFBFB"/>
          </w:rPr>
          <w:t>https://ca.indeed.com/career-advice/career-development/compensation-and-benefits</w:t>
        </w:r>
      </w:hyperlink>
      <w:r>
        <w:rPr>
          <w:rFonts w:ascii="avenir-regular-class" w:hAnsi="avenir-regular-class"/>
          <w:color w:val="333333"/>
          <w:sz w:val="23"/>
          <w:szCs w:val="23"/>
          <w:shd w:val="clear" w:color="auto" w:fill="FBFBFB"/>
        </w:rPr>
        <w:t xml:space="preserve"> </w:t>
      </w:r>
      <w:r>
        <w:rPr>
          <w:rFonts w:ascii="avenir-regular-class" w:hAnsi="avenir-regular-class"/>
          <w:color w:val="333333"/>
          <w:sz w:val="23"/>
          <w:szCs w:val="23"/>
          <w:shd w:val="clear" w:color="auto" w:fill="FBFBFB"/>
        </w:rPr>
        <w:t>(Accessed: 17 December 2023).</w:t>
      </w:r>
    </w:p>
    <w:p w:rsidR="00921776" w:rsidRPr="00D05426" w:rsidRDefault="00921776" w:rsidP="002C434D">
      <w:pPr>
        <w:pStyle w:val="ListParagraph"/>
        <w:numPr>
          <w:ilvl w:val="0"/>
          <w:numId w:val="6"/>
        </w:numPr>
        <w:autoSpaceDE/>
        <w:autoSpaceDN/>
        <w:adjustRightInd/>
        <w:spacing w:before="0" w:after="200"/>
        <w:contextualSpacing/>
        <w:jc w:val="left"/>
        <w:rPr>
          <w:b/>
        </w:rPr>
      </w:pPr>
      <w:r>
        <w:rPr>
          <w:rFonts w:ascii="avenir-regular-class" w:hAnsi="avenir-regular-class"/>
          <w:color w:val="333333"/>
          <w:sz w:val="23"/>
          <w:szCs w:val="23"/>
          <w:shd w:val="clear" w:color="auto" w:fill="FBFBFB"/>
        </w:rPr>
        <w:lastRenderedPageBreak/>
        <w:t>InsideHR (2023) </w:t>
      </w:r>
      <w:r>
        <w:rPr>
          <w:rFonts w:ascii="avenir-regular-class" w:hAnsi="avenir-regular-class"/>
          <w:i/>
          <w:iCs/>
          <w:color w:val="333333"/>
          <w:sz w:val="23"/>
          <w:szCs w:val="23"/>
          <w:shd w:val="clear" w:color="auto" w:fill="FBFBFB"/>
        </w:rPr>
        <w:t>10 Steps for HR: how to build a strong customer culture</w:t>
      </w:r>
      <w:r>
        <w:rPr>
          <w:rFonts w:ascii="avenir-regular-class" w:hAnsi="avenir-regular-class"/>
          <w:color w:val="333333"/>
          <w:sz w:val="23"/>
          <w:szCs w:val="23"/>
          <w:shd w:val="clear" w:color="auto" w:fill="FBFBFB"/>
        </w:rPr>
        <w:t xml:space="preserve">. Available at: </w:t>
      </w:r>
      <w:hyperlink r:id="rId24" w:history="1">
        <w:r w:rsidRPr="00146766">
          <w:rPr>
            <w:rStyle w:val="Hyperlink"/>
            <w:rFonts w:ascii="avenir-regular-class" w:hAnsi="avenir-regular-class"/>
            <w:sz w:val="23"/>
            <w:szCs w:val="23"/>
            <w:shd w:val="clear" w:color="auto" w:fill="FBFBFB"/>
          </w:rPr>
          <w:t>https://www.insidehr.com.au/10-steps-to-building-a-customer-focused-culture/</w:t>
        </w:r>
      </w:hyperlink>
      <w:r>
        <w:rPr>
          <w:rFonts w:ascii="avenir-regular-class" w:hAnsi="avenir-regular-class"/>
          <w:color w:val="333333"/>
          <w:sz w:val="23"/>
          <w:szCs w:val="23"/>
          <w:shd w:val="clear" w:color="auto" w:fill="FBFBFB"/>
        </w:rPr>
        <w:t xml:space="preserve"> (Accessed: 15 December 2023).</w:t>
      </w:r>
    </w:p>
    <w:p w:rsidR="00921776" w:rsidRPr="00A337BD" w:rsidRDefault="00921776" w:rsidP="002C434D">
      <w:pPr>
        <w:pStyle w:val="ListParagraph"/>
        <w:numPr>
          <w:ilvl w:val="0"/>
          <w:numId w:val="6"/>
        </w:numPr>
        <w:autoSpaceDE/>
        <w:autoSpaceDN/>
        <w:adjustRightInd/>
        <w:spacing w:before="0" w:after="200"/>
        <w:contextualSpacing/>
        <w:jc w:val="left"/>
        <w:rPr>
          <w:b/>
        </w:rPr>
      </w:pPr>
      <w:r>
        <w:rPr>
          <w:rFonts w:ascii="avenir-regular-class" w:hAnsi="avenir-regular-class"/>
          <w:color w:val="333333"/>
          <w:sz w:val="23"/>
          <w:szCs w:val="23"/>
          <w:shd w:val="clear" w:color="auto" w:fill="FBFBFB"/>
        </w:rPr>
        <w:t>Kelly, E. (2021) </w:t>
      </w:r>
      <w:r>
        <w:rPr>
          <w:rFonts w:ascii="avenir-regular-class" w:hAnsi="avenir-regular-class"/>
          <w:i/>
          <w:iCs/>
          <w:color w:val="333333"/>
          <w:sz w:val="23"/>
          <w:szCs w:val="23"/>
          <w:shd w:val="clear" w:color="auto" w:fill="FBFBFB"/>
        </w:rPr>
        <w:t>7 Strategies to improve your employee's health and wellbeing</w:t>
      </w:r>
      <w:r>
        <w:rPr>
          <w:rFonts w:ascii="avenir-regular-class" w:hAnsi="avenir-regular-class"/>
          <w:color w:val="333333"/>
          <w:sz w:val="23"/>
          <w:szCs w:val="23"/>
          <w:shd w:val="clear" w:color="auto" w:fill="FBFBFB"/>
        </w:rPr>
        <w:t xml:space="preserve">. Available at: </w:t>
      </w:r>
      <w:hyperlink r:id="rId25" w:history="1">
        <w:r w:rsidRPr="00204991">
          <w:rPr>
            <w:rStyle w:val="Hyperlink"/>
            <w:rFonts w:ascii="avenir-regular-class" w:hAnsi="avenir-regular-class"/>
            <w:sz w:val="23"/>
            <w:szCs w:val="23"/>
            <w:shd w:val="clear" w:color="auto" w:fill="FBFBFB"/>
          </w:rPr>
          <w:t>https://hbr.org/2021/10/7-strategies-to-improve-your-employees-health-and-well-being</w:t>
        </w:r>
      </w:hyperlink>
      <w:r>
        <w:rPr>
          <w:rFonts w:ascii="avenir-regular-class" w:hAnsi="avenir-regular-class"/>
          <w:color w:val="333333"/>
          <w:sz w:val="23"/>
          <w:szCs w:val="23"/>
          <w:shd w:val="clear" w:color="auto" w:fill="FBFBFB"/>
        </w:rPr>
        <w:t xml:space="preserve"> </w:t>
      </w:r>
      <w:r>
        <w:rPr>
          <w:rFonts w:ascii="avenir-regular-class" w:hAnsi="avenir-regular-class"/>
          <w:color w:val="333333"/>
          <w:sz w:val="23"/>
          <w:szCs w:val="23"/>
          <w:shd w:val="clear" w:color="auto" w:fill="FBFBFB"/>
        </w:rPr>
        <w:t>(Accessed: 17 December 2023).</w:t>
      </w:r>
    </w:p>
    <w:p w:rsidR="00921776" w:rsidRPr="00DC2F82" w:rsidRDefault="00921776" w:rsidP="002C434D">
      <w:pPr>
        <w:pStyle w:val="ListParagraph"/>
        <w:numPr>
          <w:ilvl w:val="0"/>
          <w:numId w:val="6"/>
        </w:numPr>
        <w:autoSpaceDE/>
        <w:autoSpaceDN/>
        <w:adjustRightInd/>
        <w:spacing w:before="0" w:after="200"/>
        <w:contextualSpacing/>
        <w:jc w:val="left"/>
        <w:rPr>
          <w:b/>
        </w:rPr>
      </w:pPr>
      <w:r>
        <w:rPr>
          <w:rFonts w:ascii="avenir-regular-class" w:hAnsi="avenir-regular-class"/>
          <w:color w:val="333333"/>
          <w:sz w:val="23"/>
          <w:szCs w:val="23"/>
          <w:shd w:val="clear" w:color="auto" w:fill="FBFBFB"/>
        </w:rPr>
        <w:t>Kokemuller, N. (2019) </w:t>
      </w:r>
      <w:r>
        <w:rPr>
          <w:rFonts w:ascii="avenir-regular-class" w:hAnsi="avenir-regular-class"/>
          <w:i/>
          <w:iCs/>
          <w:color w:val="333333"/>
          <w:sz w:val="23"/>
          <w:szCs w:val="23"/>
          <w:shd w:val="clear" w:color="auto" w:fill="FBFBFB"/>
        </w:rPr>
        <w:t>How does HR add value to an organisation?</w:t>
      </w:r>
      <w:r>
        <w:rPr>
          <w:rFonts w:ascii="avenir-regular-class" w:hAnsi="avenir-regular-class"/>
          <w:color w:val="333333"/>
          <w:sz w:val="23"/>
          <w:szCs w:val="23"/>
          <w:shd w:val="clear" w:color="auto" w:fill="FBFBFB"/>
        </w:rPr>
        <w:t xml:space="preserve"> Available at: </w:t>
      </w:r>
      <w:hyperlink r:id="rId26" w:history="1">
        <w:r w:rsidRPr="00146766">
          <w:rPr>
            <w:rStyle w:val="Hyperlink"/>
            <w:rFonts w:ascii="avenir-regular-class" w:hAnsi="avenir-regular-class"/>
            <w:sz w:val="23"/>
            <w:szCs w:val="23"/>
            <w:shd w:val="clear" w:color="auto" w:fill="FBFBFB"/>
          </w:rPr>
          <w:t>https://smallbusiness.chron.com/hr-add-value-organisation-50980.html</w:t>
        </w:r>
      </w:hyperlink>
      <w:r>
        <w:rPr>
          <w:rFonts w:ascii="avenir-regular-class" w:hAnsi="avenir-regular-class"/>
          <w:color w:val="333333"/>
          <w:sz w:val="23"/>
          <w:szCs w:val="23"/>
          <w:shd w:val="clear" w:color="auto" w:fill="FBFBFB"/>
        </w:rPr>
        <w:t xml:space="preserve"> (Accessed: 11 December 2023).</w:t>
      </w:r>
    </w:p>
    <w:p w:rsidR="00921776" w:rsidRPr="002C434D" w:rsidRDefault="00921776" w:rsidP="0006218B">
      <w:pPr>
        <w:pStyle w:val="ListParagraph"/>
        <w:numPr>
          <w:ilvl w:val="0"/>
          <w:numId w:val="6"/>
        </w:numPr>
      </w:pPr>
      <w:r>
        <w:rPr>
          <w:rFonts w:ascii="avenir-regular-class" w:hAnsi="avenir-regular-class"/>
          <w:color w:val="333333"/>
          <w:sz w:val="23"/>
          <w:szCs w:val="23"/>
          <w:shd w:val="clear" w:color="auto" w:fill="FBFBFB"/>
        </w:rPr>
        <w:t>Linkedin (2023) </w:t>
      </w:r>
      <w:r>
        <w:rPr>
          <w:rFonts w:ascii="avenir-regular-class" w:hAnsi="avenir-regular-class"/>
          <w:i/>
          <w:iCs/>
          <w:color w:val="333333"/>
          <w:sz w:val="23"/>
          <w:szCs w:val="23"/>
          <w:shd w:val="clear" w:color="auto" w:fill="FBFBFB"/>
        </w:rPr>
        <w:t>How to balance quantitative and qualitative data in HR metrics. </w:t>
      </w:r>
      <w:r>
        <w:rPr>
          <w:rFonts w:ascii="avenir-regular-class" w:hAnsi="avenir-regular-class"/>
          <w:color w:val="333333"/>
          <w:sz w:val="23"/>
          <w:szCs w:val="23"/>
          <w:shd w:val="clear" w:color="auto" w:fill="FBFBFB"/>
        </w:rPr>
        <w:t xml:space="preserve"> Available at: </w:t>
      </w:r>
      <w:hyperlink r:id="rId27" w:history="1">
        <w:r w:rsidRPr="00B30C8A">
          <w:rPr>
            <w:rStyle w:val="Hyperlink"/>
            <w:rFonts w:ascii="avenir-regular-class" w:hAnsi="avenir-regular-class"/>
            <w:sz w:val="23"/>
            <w:szCs w:val="23"/>
            <w:shd w:val="clear" w:color="auto" w:fill="FBFBFB"/>
          </w:rPr>
          <w:t>https://www.linkedin.com/advice/0/how-do-you-balance-quantitative-qualitative-4e</w:t>
        </w:r>
      </w:hyperlink>
      <w:r>
        <w:rPr>
          <w:rFonts w:ascii="avenir-regular-class" w:hAnsi="avenir-regular-class"/>
          <w:color w:val="333333"/>
          <w:sz w:val="23"/>
          <w:szCs w:val="23"/>
          <w:shd w:val="clear" w:color="auto" w:fill="FBFBFB"/>
        </w:rPr>
        <w:t xml:space="preserve"> (Accessed: 7 December 2023).</w:t>
      </w:r>
    </w:p>
    <w:p w:rsidR="00921776" w:rsidRPr="008C4C99" w:rsidRDefault="00921776" w:rsidP="002C434D">
      <w:pPr>
        <w:pStyle w:val="ListParagraph"/>
        <w:numPr>
          <w:ilvl w:val="0"/>
          <w:numId w:val="6"/>
        </w:numPr>
        <w:autoSpaceDE/>
        <w:autoSpaceDN/>
        <w:adjustRightInd/>
        <w:spacing w:before="0" w:after="200"/>
        <w:contextualSpacing/>
        <w:jc w:val="left"/>
        <w:rPr>
          <w:b/>
        </w:rPr>
      </w:pPr>
      <w:r>
        <w:rPr>
          <w:rFonts w:ascii="avenir-regular-class" w:hAnsi="avenir-regular-class"/>
          <w:color w:val="333333"/>
          <w:sz w:val="23"/>
          <w:szCs w:val="23"/>
          <w:shd w:val="clear" w:color="auto" w:fill="FBFBFB"/>
        </w:rPr>
        <w:t>Mallick, A. (2021) </w:t>
      </w:r>
      <w:r>
        <w:rPr>
          <w:rFonts w:ascii="avenir-regular-class" w:hAnsi="avenir-regular-class"/>
          <w:i/>
          <w:iCs/>
          <w:color w:val="333333"/>
          <w:sz w:val="23"/>
          <w:szCs w:val="23"/>
          <w:shd w:val="clear" w:color="auto" w:fill="FBFBFB"/>
        </w:rPr>
        <w:t>Role of Human Resources as Value Creator</w:t>
      </w:r>
      <w:r>
        <w:rPr>
          <w:rFonts w:ascii="avenir-regular-class" w:hAnsi="avenir-regular-class"/>
          <w:color w:val="333333"/>
          <w:sz w:val="23"/>
          <w:szCs w:val="23"/>
          <w:shd w:val="clear" w:color="auto" w:fill="FBFBFB"/>
        </w:rPr>
        <w:t xml:space="preserve">. Available at: </w:t>
      </w:r>
      <w:hyperlink r:id="rId28" w:history="1">
        <w:r w:rsidRPr="00146766">
          <w:rPr>
            <w:rStyle w:val="Hyperlink"/>
            <w:rFonts w:ascii="avenir-regular-class" w:hAnsi="avenir-regular-class"/>
            <w:sz w:val="23"/>
            <w:szCs w:val="23"/>
            <w:shd w:val="clear" w:color="auto" w:fill="FBFBFB"/>
          </w:rPr>
          <w:t>https://sightsinplus.com/hottopic/value/the-role-of-human-resources-as-value-creater/</w:t>
        </w:r>
      </w:hyperlink>
      <w:r>
        <w:rPr>
          <w:rFonts w:ascii="avenir-regular-class" w:hAnsi="avenir-regular-class"/>
          <w:color w:val="333333"/>
          <w:sz w:val="23"/>
          <w:szCs w:val="23"/>
          <w:shd w:val="clear" w:color="auto" w:fill="FBFBFB"/>
        </w:rPr>
        <w:t xml:space="preserve"> (Accessed: 11 December 2023).</w:t>
      </w:r>
    </w:p>
    <w:p w:rsidR="00921776" w:rsidRPr="0085201D" w:rsidRDefault="00921776" w:rsidP="002C434D">
      <w:pPr>
        <w:pStyle w:val="ListParagraph"/>
        <w:numPr>
          <w:ilvl w:val="0"/>
          <w:numId w:val="6"/>
        </w:numPr>
        <w:autoSpaceDE/>
        <w:autoSpaceDN/>
        <w:adjustRightInd/>
        <w:spacing w:before="0" w:after="200"/>
        <w:contextualSpacing/>
        <w:jc w:val="left"/>
        <w:rPr>
          <w:b/>
        </w:rPr>
      </w:pPr>
      <w:r>
        <w:rPr>
          <w:rFonts w:ascii="avenir-regular-class" w:hAnsi="avenir-regular-class"/>
          <w:color w:val="333333"/>
          <w:sz w:val="23"/>
          <w:szCs w:val="23"/>
          <w:shd w:val="clear" w:color="auto" w:fill="FBFBFB"/>
        </w:rPr>
        <w:t>O'Connell, B. (2020) </w:t>
      </w:r>
      <w:r>
        <w:rPr>
          <w:rFonts w:ascii="avenir-regular-class" w:hAnsi="avenir-regular-class"/>
          <w:i/>
          <w:iCs/>
          <w:color w:val="333333"/>
          <w:sz w:val="23"/>
          <w:szCs w:val="23"/>
          <w:shd w:val="clear" w:color="auto" w:fill="FBFBFB"/>
        </w:rPr>
        <w:t>6 Tips on setting expectations for employees</w:t>
      </w:r>
      <w:r>
        <w:rPr>
          <w:rFonts w:ascii="avenir-regular-class" w:hAnsi="avenir-regular-class"/>
          <w:color w:val="333333"/>
          <w:sz w:val="23"/>
          <w:szCs w:val="23"/>
          <w:shd w:val="clear" w:color="auto" w:fill="FBFBFB"/>
        </w:rPr>
        <w:t xml:space="preserve">. Available at: </w:t>
      </w:r>
      <w:hyperlink r:id="rId29" w:history="1">
        <w:r w:rsidRPr="00204991">
          <w:rPr>
            <w:rStyle w:val="Hyperlink"/>
            <w:rFonts w:ascii="avenir-regular-class" w:hAnsi="avenir-regular-class"/>
            <w:sz w:val="23"/>
            <w:szCs w:val="23"/>
            <w:shd w:val="clear" w:color="auto" w:fill="FBFBFB"/>
          </w:rPr>
          <w:t>https://www.shrm.org/resourcesandtools/hr-topics/people-managers/pages/</w:t>
        </w:r>
      </w:hyperlink>
      <w:r>
        <w:rPr>
          <w:rFonts w:ascii="avenir-regular-class" w:hAnsi="avenir-regular-class"/>
          <w:color w:val="333333"/>
          <w:sz w:val="23"/>
          <w:szCs w:val="23"/>
          <w:shd w:val="clear" w:color="auto" w:fill="FBFBFB"/>
        </w:rPr>
        <w:t xml:space="preserve"> </w:t>
      </w:r>
      <w:r>
        <w:rPr>
          <w:rFonts w:ascii="avenir-regular-class" w:hAnsi="avenir-regular-class"/>
          <w:color w:val="333333"/>
          <w:sz w:val="23"/>
          <w:szCs w:val="23"/>
          <w:shd w:val="clear" w:color="auto" w:fill="FBFBFB"/>
        </w:rPr>
        <w:t>(Accessed: 17 December 2023).</w:t>
      </w:r>
    </w:p>
    <w:p w:rsidR="00921776" w:rsidRPr="00921776" w:rsidRDefault="00921776" w:rsidP="00921776">
      <w:pPr>
        <w:pStyle w:val="ListParagraph"/>
        <w:numPr>
          <w:ilvl w:val="0"/>
          <w:numId w:val="6"/>
        </w:numPr>
        <w:autoSpaceDE/>
        <w:autoSpaceDN/>
        <w:adjustRightInd/>
        <w:spacing w:before="0" w:after="200"/>
        <w:contextualSpacing/>
        <w:jc w:val="left"/>
        <w:rPr>
          <w:b/>
        </w:rPr>
      </w:pPr>
      <w:r>
        <w:rPr>
          <w:rFonts w:ascii="avenir-regular-class" w:hAnsi="avenir-regular-class"/>
          <w:color w:val="333333"/>
          <w:sz w:val="23"/>
          <w:szCs w:val="23"/>
          <w:shd w:val="clear" w:color="auto" w:fill="FBFBFB"/>
        </w:rPr>
        <w:t>Peters, R. (2023) </w:t>
      </w:r>
      <w:r>
        <w:rPr>
          <w:rFonts w:ascii="avenir-regular-class" w:hAnsi="avenir-regular-class"/>
          <w:i/>
          <w:iCs/>
          <w:color w:val="333333"/>
          <w:sz w:val="23"/>
          <w:szCs w:val="23"/>
          <w:shd w:val="clear" w:color="auto" w:fill="FBFBFB"/>
        </w:rPr>
        <w:t>Employee communication</w:t>
      </w:r>
      <w:r>
        <w:rPr>
          <w:rFonts w:ascii="avenir-regular-class" w:hAnsi="avenir-regular-class"/>
          <w:color w:val="333333"/>
          <w:sz w:val="23"/>
          <w:szCs w:val="23"/>
          <w:shd w:val="clear" w:color="auto" w:fill="FBFBFB"/>
        </w:rPr>
        <w:t xml:space="preserve">. Available at: </w:t>
      </w:r>
      <w:hyperlink r:id="rId30" w:history="1">
        <w:r w:rsidRPr="00204991">
          <w:rPr>
            <w:rStyle w:val="Hyperlink"/>
            <w:rFonts w:ascii="avenir-regular-class" w:hAnsi="avenir-regular-class"/>
            <w:sz w:val="23"/>
            <w:szCs w:val="23"/>
            <w:shd w:val="clear" w:color="auto" w:fill="FBFBFB"/>
          </w:rPr>
          <w:t>https://www.cipd.org/uk/knowledge/factsheets/employee-communication/</w:t>
        </w:r>
      </w:hyperlink>
      <w:r>
        <w:rPr>
          <w:rFonts w:ascii="avenir-regular-class" w:hAnsi="avenir-regular-class"/>
          <w:color w:val="333333"/>
          <w:sz w:val="23"/>
          <w:szCs w:val="23"/>
          <w:shd w:val="clear" w:color="auto" w:fill="FBFBFB"/>
        </w:rPr>
        <w:t xml:space="preserve"> </w:t>
      </w:r>
      <w:r>
        <w:rPr>
          <w:rFonts w:ascii="avenir-regular-class" w:hAnsi="avenir-regular-class"/>
          <w:color w:val="333333"/>
          <w:sz w:val="23"/>
          <w:szCs w:val="23"/>
          <w:shd w:val="clear" w:color="auto" w:fill="FBFBFB"/>
        </w:rPr>
        <w:t>(Accessed: 17 December 2023).</w:t>
      </w:r>
    </w:p>
    <w:p w:rsidR="00921776" w:rsidRPr="00921776" w:rsidRDefault="00921776" w:rsidP="00921776">
      <w:pPr>
        <w:pStyle w:val="ListParagraph"/>
        <w:numPr>
          <w:ilvl w:val="0"/>
          <w:numId w:val="6"/>
        </w:numPr>
        <w:autoSpaceDE/>
        <w:autoSpaceDN/>
        <w:adjustRightInd/>
        <w:spacing w:before="0" w:after="200"/>
        <w:contextualSpacing/>
        <w:jc w:val="left"/>
        <w:rPr>
          <w:b/>
        </w:rPr>
      </w:pPr>
      <w:r w:rsidRPr="00921776">
        <w:rPr>
          <w:rFonts w:ascii="avenir-regular-class" w:hAnsi="avenir-regular-class"/>
          <w:color w:val="333333"/>
          <w:sz w:val="23"/>
          <w:szCs w:val="23"/>
          <w:shd w:val="clear" w:color="auto" w:fill="FBFBFB"/>
        </w:rPr>
        <w:t>Rousseau, E. (2021).</w:t>
      </w:r>
      <w:r w:rsidRPr="00921776">
        <w:rPr>
          <w:rFonts w:ascii="Calibri" w:hAnsi="Calibri" w:cs="Calibri"/>
          <w:color w:val="000000"/>
          <w:sz w:val="27"/>
          <w:szCs w:val="27"/>
        </w:rPr>
        <w:t> </w:t>
      </w:r>
      <w:r w:rsidRPr="00921776">
        <w:rPr>
          <w:rFonts w:ascii="avenir-regular-class" w:hAnsi="avenir-regular-class"/>
          <w:i/>
          <w:iCs/>
          <w:color w:val="333333"/>
          <w:sz w:val="23"/>
          <w:szCs w:val="23"/>
          <w:shd w:val="clear" w:color="auto" w:fill="FBFBFB"/>
        </w:rPr>
        <w:t xml:space="preserve">EVIDENCE-BASED </w:t>
      </w:r>
      <w:r w:rsidRPr="00921776">
        <w:rPr>
          <w:rFonts w:ascii="avenir-regular-class" w:hAnsi="avenir-regular-class"/>
          <w:i/>
          <w:iCs/>
          <w:color w:val="333333"/>
          <w:sz w:val="23"/>
          <w:szCs w:val="23"/>
          <w:shd w:val="clear" w:color="auto" w:fill="FBFBFB"/>
        </w:rPr>
        <w:t>MANAGEMENT:</w:t>
      </w:r>
      <w:r w:rsidRPr="00921776">
        <w:rPr>
          <w:rFonts w:ascii="avenir-regular-class" w:hAnsi="avenir-regular-class"/>
          <w:i/>
          <w:iCs/>
          <w:color w:val="333333"/>
          <w:sz w:val="23"/>
          <w:szCs w:val="23"/>
          <w:shd w:val="clear" w:color="auto" w:fill="FBFBFB"/>
        </w:rPr>
        <w:t xml:space="preserve"> how to use evidence to make better organizational decisions</w:t>
      </w:r>
      <w:r w:rsidRPr="00921776">
        <w:rPr>
          <w:rFonts w:ascii="Calibri" w:hAnsi="Calibri" w:cs="Calibri"/>
          <w:i/>
          <w:iCs/>
          <w:color w:val="000000"/>
          <w:sz w:val="27"/>
          <w:szCs w:val="27"/>
        </w:rPr>
        <w:t>.</w:t>
      </w:r>
      <w:r w:rsidRPr="00921776">
        <w:rPr>
          <w:rFonts w:ascii="Calibri" w:hAnsi="Calibri" w:cs="Calibri"/>
          <w:color w:val="000000"/>
          <w:sz w:val="27"/>
          <w:szCs w:val="27"/>
        </w:rPr>
        <w:t> </w:t>
      </w:r>
      <w:r w:rsidRPr="00921776">
        <w:rPr>
          <w:rFonts w:ascii="avenir-regular-class" w:hAnsi="avenir-regular-class"/>
          <w:color w:val="333333"/>
          <w:sz w:val="23"/>
          <w:szCs w:val="23"/>
          <w:shd w:val="clear" w:color="auto" w:fill="FBFBFB"/>
        </w:rPr>
        <w:t>S.L.: Kogan Page.</w:t>
      </w:r>
    </w:p>
    <w:p w:rsidR="00921776" w:rsidRPr="00FD0BF9" w:rsidRDefault="00921776" w:rsidP="002C434D">
      <w:pPr>
        <w:pStyle w:val="ListParagraph"/>
        <w:numPr>
          <w:ilvl w:val="0"/>
          <w:numId w:val="6"/>
        </w:numPr>
        <w:autoSpaceDE/>
        <w:autoSpaceDN/>
        <w:adjustRightInd/>
        <w:spacing w:before="0" w:after="200"/>
        <w:contextualSpacing/>
        <w:jc w:val="left"/>
        <w:rPr>
          <w:b/>
        </w:rPr>
      </w:pPr>
      <w:r>
        <w:rPr>
          <w:rFonts w:ascii="avenir-regular-class" w:hAnsi="avenir-regular-class"/>
          <w:color w:val="333333"/>
          <w:sz w:val="23"/>
          <w:szCs w:val="23"/>
          <w:shd w:val="clear" w:color="auto" w:fill="FBFBFB"/>
        </w:rPr>
        <w:t xml:space="preserve">SafeGraph (no date) </w:t>
      </w:r>
      <w:r>
        <w:rPr>
          <w:rFonts w:ascii="avenir-regular-class" w:hAnsi="avenir-regular-class"/>
          <w:i/>
          <w:color w:val="333333"/>
          <w:sz w:val="23"/>
          <w:szCs w:val="23"/>
          <w:shd w:val="clear" w:color="auto" w:fill="FBFBFB"/>
        </w:rPr>
        <w:t xml:space="preserve">Why accurate data is important for business operations. </w:t>
      </w:r>
      <w:r>
        <w:rPr>
          <w:rFonts w:ascii="avenir-regular-class" w:hAnsi="avenir-regular-class"/>
          <w:color w:val="333333"/>
          <w:sz w:val="23"/>
          <w:szCs w:val="23"/>
          <w:shd w:val="clear" w:color="auto" w:fill="FBFBFB"/>
        </w:rPr>
        <w:t xml:space="preserve">Available at: </w:t>
      </w:r>
      <w:hyperlink r:id="rId31" w:history="1">
        <w:r w:rsidRPr="00204991">
          <w:rPr>
            <w:rStyle w:val="Hyperlink"/>
            <w:rFonts w:ascii="avenir-regular-class" w:hAnsi="avenir-regular-class"/>
            <w:sz w:val="23"/>
            <w:szCs w:val="23"/>
            <w:shd w:val="clear" w:color="auto" w:fill="FBFBFB"/>
          </w:rPr>
          <w:t>https://www.safegraph.com/guides/why-accurate-data-is-important#</w:t>
        </w:r>
      </w:hyperlink>
      <w:r>
        <w:rPr>
          <w:rFonts w:ascii="avenir-regular-class" w:hAnsi="avenir-regular-class"/>
          <w:color w:val="333333"/>
          <w:sz w:val="23"/>
          <w:szCs w:val="23"/>
          <w:shd w:val="clear" w:color="auto" w:fill="FBFBFB"/>
        </w:rPr>
        <w:t xml:space="preserve"> (Accessed: 87 December 2023).</w:t>
      </w:r>
    </w:p>
    <w:p w:rsidR="00921776" w:rsidRPr="009B6479" w:rsidRDefault="00921776" w:rsidP="002C434D">
      <w:pPr>
        <w:pStyle w:val="ListParagraph"/>
        <w:numPr>
          <w:ilvl w:val="0"/>
          <w:numId w:val="6"/>
        </w:numPr>
        <w:autoSpaceDE/>
        <w:autoSpaceDN/>
        <w:adjustRightInd/>
        <w:spacing w:before="0" w:after="200"/>
        <w:contextualSpacing/>
        <w:jc w:val="left"/>
        <w:rPr>
          <w:b/>
        </w:rPr>
      </w:pPr>
      <w:r>
        <w:rPr>
          <w:rFonts w:ascii="avenir-regular-class" w:hAnsi="avenir-regular-class"/>
          <w:color w:val="333333"/>
          <w:sz w:val="23"/>
          <w:szCs w:val="23"/>
          <w:shd w:val="clear" w:color="auto" w:fill="FBFBFB"/>
        </w:rPr>
        <w:t>Suff, R. (2023) </w:t>
      </w:r>
      <w:r>
        <w:rPr>
          <w:rFonts w:ascii="avenir-regular-class" w:hAnsi="avenir-regular-class"/>
          <w:i/>
          <w:iCs/>
          <w:color w:val="333333"/>
          <w:sz w:val="23"/>
          <w:szCs w:val="23"/>
          <w:shd w:val="clear" w:color="auto" w:fill="FBFBFB"/>
        </w:rPr>
        <w:t>Discipline and Grievance at work</w:t>
      </w:r>
      <w:r>
        <w:rPr>
          <w:rFonts w:ascii="avenir-regular-class" w:hAnsi="avenir-regular-class"/>
          <w:color w:val="333333"/>
          <w:sz w:val="23"/>
          <w:szCs w:val="23"/>
          <w:shd w:val="clear" w:color="auto" w:fill="FBFBFB"/>
        </w:rPr>
        <w:t xml:space="preserve">. Available at: </w:t>
      </w:r>
      <w:hyperlink r:id="rId32" w:history="1">
        <w:r w:rsidRPr="00C82DBF">
          <w:rPr>
            <w:rStyle w:val="Hyperlink"/>
            <w:rFonts w:ascii="avenir-regular-class" w:hAnsi="avenir-regular-class"/>
            <w:sz w:val="23"/>
            <w:szCs w:val="23"/>
            <w:shd w:val="clear" w:color="auto" w:fill="FBFBFB"/>
          </w:rPr>
          <w:t>https://www.cipd.org/uk/knowledge/factsheets/discipline-factsheet/</w:t>
        </w:r>
      </w:hyperlink>
      <w:r>
        <w:rPr>
          <w:rFonts w:ascii="avenir-regular-class" w:hAnsi="avenir-regular-class"/>
          <w:color w:val="333333"/>
          <w:sz w:val="23"/>
          <w:szCs w:val="23"/>
          <w:shd w:val="clear" w:color="auto" w:fill="FBFBFB"/>
        </w:rPr>
        <w:t xml:space="preserve"> (Accessed: 8 December 2023).</w:t>
      </w:r>
    </w:p>
    <w:p w:rsidR="00921776" w:rsidRPr="00240F7F" w:rsidRDefault="00921776" w:rsidP="002C434D">
      <w:pPr>
        <w:pStyle w:val="ListParagraph"/>
        <w:numPr>
          <w:ilvl w:val="0"/>
          <w:numId w:val="6"/>
        </w:numPr>
        <w:autoSpaceDE/>
        <w:autoSpaceDN/>
        <w:adjustRightInd/>
        <w:spacing w:before="0" w:after="200"/>
        <w:contextualSpacing/>
        <w:jc w:val="left"/>
        <w:rPr>
          <w:b/>
        </w:rPr>
      </w:pPr>
      <w:r>
        <w:rPr>
          <w:rFonts w:ascii="avenir-regular-class" w:hAnsi="avenir-regular-class"/>
          <w:color w:val="333333"/>
          <w:sz w:val="23"/>
          <w:szCs w:val="23"/>
          <w:shd w:val="clear" w:color="auto" w:fill="FBFBFB"/>
        </w:rPr>
        <w:t>Waite, K. et al. (2021) </w:t>
      </w:r>
      <w:r>
        <w:rPr>
          <w:rFonts w:ascii="avenir-regular-class" w:hAnsi="avenir-regular-class"/>
          <w:i/>
          <w:iCs/>
          <w:color w:val="333333"/>
          <w:sz w:val="23"/>
          <w:szCs w:val="23"/>
          <w:shd w:val="clear" w:color="auto" w:fill="FBFBFB"/>
        </w:rPr>
        <w:t>People Practice: A Complete Guide</w:t>
      </w:r>
      <w:r>
        <w:rPr>
          <w:rFonts w:ascii="avenir-regular-class" w:hAnsi="avenir-regular-class"/>
          <w:color w:val="333333"/>
          <w:sz w:val="23"/>
          <w:szCs w:val="23"/>
          <w:shd w:val="clear" w:color="auto" w:fill="FBFBFB"/>
        </w:rPr>
        <w:t>. Great Britain and United States: Kogan Page Limited. </w:t>
      </w:r>
    </w:p>
    <w:p w:rsidR="00921776" w:rsidRPr="000C60A1" w:rsidRDefault="00921776" w:rsidP="0006218B">
      <w:pPr>
        <w:pStyle w:val="ListParagraph"/>
        <w:numPr>
          <w:ilvl w:val="0"/>
          <w:numId w:val="6"/>
        </w:numPr>
      </w:pPr>
      <w:r>
        <w:rPr>
          <w:rFonts w:ascii="avenir-regular-class" w:hAnsi="avenir-regular-class"/>
          <w:color w:val="333333"/>
          <w:sz w:val="23"/>
          <w:szCs w:val="23"/>
          <w:shd w:val="clear" w:color="auto" w:fill="FBFBFB"/>
        </w:rPr>
        <w:t>Webster, A. (2017) </w:t>
      </w:r>
      <w:r>
        <w:rPr>
          <w:rFonts w:ascii="avenir-regular-class" w:hAnsi="avenir-regular-class"/>
          <w:i/>
          <w:iCs/>
          <w:color w:val="333333"/>
          <w:sz w:val="23"/>
          <w:szCs w:val="23"/>
          <w:shd w:val="clear" w:color="auto" w:fill="FBFBFB"/>
        </w:rPr>
        <w:t>Compare and contrast performance management &amp; performance appraisal</w:t>
      </w:r>
      <w:r>
        <w:rPr>
          <w:rFonts w:ascii="avenir-regular-class" w:hAnsi="avenir-regular-class"/>
          <w:color w:val="333333"/>
          <w:sz w:val="23"/>
          <w:szCs w:val="23"/>
          <w:shd w:val="clear" w:color="auto" w:fill="FBFBFB"/>
        </w:rPr>
        <w:t xml:space="preserve">. Available at: </w:t>
      </w:r>
      <w:hyperlink r:id="rId33" w:history="1">
        <w:r w:rsidRPr="00B30C8A">
          <w:rPr>
            <w:rStyle w:val="Hyperlink"/>
            <w:rFonts w:ascii="avenir-regular-class" w:hAnsi="avenir-regular-class"/>
            <w:sz w:val="23"/>
            <w:szCs w:val="23"/>
            <w:shd w:val="clear" w:color="auto" w:fill="FBFBFB"/>
          </w:rPr>
          <w:t>https://www.pocketpence.co.uk/compare-performance-management-performance-appraisal/</w:t>
        </w:r>
      </w:hyperlink>
      <w:r>
        <w:rPr>
          <w:rFonts w:ascii="avenir-regular-class" w:hAnsi="avenir-regular-class"/>
          <w:color w:val="333333"/>
          <w:sz w:val="23"/>
          <w:szCs w:val="23"/>
          <w:shd w:val="clear" w:color="auto" w:fill="FBFBFB"/>
        </w:rPr>
        <w:t xml:space="preserve"> (Accessed: 5 December 2023).</w:t>
      </w:r>
    </w:p>
    <w:p w:rsidR="00921776" w:rsidRPr="001C5EC7" w:rsidRDefault="00921776" w:rsidP="002C434D">
      <w:pPr>
        <w:pStyle w:val="ListParagraph"/>
        <w:numPr>
          <w:ilvl w:val="0"/>
          <w:numId w:val="6"/>
        </w:numPr>
        <w:autoSpaceDE/>
        <w:autoSpaceDN/>
        <w:adjustRightInd/>
        <w:spacing w:before="0" w:after="200"/>
        <w:contextualSpacing/>
        <w:jc w:val="left"/>
        <w:rPr>
          <w:b/>
        </w:rPr>
      </w:pPr>
      <w:r>
        <w:rPr>
          <w:rFonts w:ascii="avenir-regular-class" w:hAnsi="avenir-regular-class"/>
          <w:color w:val="333333"/>
          <w:sz w:val="23"/>
          <w:szCs w:val="23"/>
          <w:shd w:val="clear" w:color="auto" w:fill="FBFBFB"/>
        </w:rPr>
        <w:t>Woolnough, R. (2017) </w:t>
      </w:r>
      <w:r>
        <w:rPr>
          <w:rFonts w:ascii="avenir-regular-class" w:hAnsi="avenir-regular-class"/>
          <w:i/>
          <w:iCs/>
          <w:color w:val="333333"/>
          <w:sz w:val="23"/>
          <w:szCs w:val="23"/>
          <w:shd w:val="clear" w:color="auto" w:fill="FBFBFB"/>
        </w:rPr>
        <w:t>What does CIPD's new professional standards framework mean for HR?</w:t>
      </w:r>
      <w:r>
        <w:rPr>
          <w:rFonts w:ascii="avenir-regular-class" w:hAnsi="avenir-regular-class"/>
          <w:color w:val="333333"/>
          <w:sz w:val="23"/>
          <w:szCs w:val="23"/>
          <w:shd w:val="clear" w:color="auto" w:fill="FBFBFB"/>
        </w:rPr>
        <w:t xml:space="preserve">. Available at: </w:t>
      </w:r>
      <w:hyperlink r:id="rId34" w:history="1">
        <w:r w:rsidRPr="00146766">
          <w:rPr>
            <w:rStyle w:val="Hyperlink"/>
            <w:rFonts w:ascii="avenir-regular-class" w:hAnsi="avenir-regular-class"/>
            <w:sz w:val="23"/>
            <w:szCs w:val="23"/>
            <w:shd w:val="clear" w:color="auto" w:fill="FBFBFB"/>
          </w:rPr>
          <w:t>https://www.personneltoday.com/hr/what-does-the-cipds-new-professional-framework-mean-for-hr/</w:t>
        </w:r>
      </w:hyperlink>
      <w:r>
        <w:rPr>
          <w:rFonts w:ascii="avenir-regular-class" w:hAnsi="avenir-regular-class"/>
          <w:color w:val="333333"/>
          <w:sz w:val="23"/>
          <w:szCs w:val="23"/>
          <w:shd w:val="clear" w:color="auto" w:fill="FBFBFB"/>
        </w:rPr>
        <w:t xml:space="preserve"> (Accessed: 15 December 2023).</w:t>
      </w:r>
    </w:p>
    <w:p w:rsidR="00921776" w:rsidRPr="00175AF3" w:rsidRDefault="00921776" w:rsidP="0006218B">
      <w:pPr>
        <w:pStyle w:val="ListParagraph"/>
        <w:numPr>
          <w:ilvl w:val="0"/>
          <w:numId w:val="6"/>
        </w:numPr>
      </w:pPr>
      <w:r w:rsidRPr="0006218B">
        <w:rPr>
          <w:rFonts w:ascii="avenir-regular-class" w:hAnsi="avenir-regular-class"/>
          <w:color w:val="333333"/>
          <w:sz w:val="23"/>
          <w:szCs w:val="23"/>
          <w:shd w:val="clear" w:color="auto" w:fill="FBFBFB"/>
        </w:rPr>
        <w:t>Young, J. (2023) </w:t>
      </w:r>
      <w:r w:rsidRPr="0006218B">
        <w:rPr>
          <w:rFonts w:ascii="avenir-regular-class" w:hAnsi="avenir-regular-class"/>
          <w:i/>
          <w:iCs/>
          <w:color w:val="333333"/>
          <w:sz w:val="23"/>
          <w:szCs w:val="23"/>
          <w:shd w:val="clear" w:color="auto" w:fill="FBFBFB"/>
        </w:rPr>
        <w:t>Evidence-based practice for effective decision-making</w:t>
      </w:r>
      <w:r w:rsidRPr="0006218B">
        <w:rPr>
          <w:rFonts w:ascii="avenir-regular-class" w:hAnsi="avenir-regular-class"/>
          <w:color w:val="333333"/>
          <w:sz w:val="23"/>
          <w:szCs w:val="23"/>
          <w:shd w:val="clear" w:color="auto" w:fill="FBFBFB"/>
        </w:rPr>
        <w:t xml:space="preserve">. Available at: </w:t>
      </w:r>
      <w:hyperlink r:id="rId35" w:history="1">
        <w:r w:rsidRPr="00B30C8A">
          <w:rPr>
            <w:rStyle w:val="Hyperlink"/>
            <w:rFonts w:ascii="avenir-regular-class" w:hAnsi="avenir-regular-class"/>
            <w:sz w:val="23"/>
            <w:szCs w:val="23"/>
            <w:shd w:val="clear" w:color="auto" w:fill="FBFBFB"/>
          </w:rPr>
          <w:t>https://www.cipd.org/uk/knowledge/factsheets/evidence-based-practice-factsheet/</w:t>
        </w:r>
      </w:hyperlink>
      <w:r>
        <w:rPr>
          <w:rFonts w:ascii="avenir-regular-class" w:hAnsi="avenir-regular-class"/>
          <w:color w:val="333333"/>
          <w:sz w:val="23"/>
          <w:szCs w:val="23"/>
          <w:shd w:val="clear" w:color="auto" w:fill="FBFBFB"/>
        </w:rPr>
        <w:t xml:space="preserve"> </w:t>
      </w:r>
      <w:r w:rsidRPr="0006218B">
        <w:rPr>
          <w:rFonts w:ascii="avenir-regular-class" w:hAnsi="avenir-regular-class"/>
          <w:color w:val="333333"/>
          <w:sz w:val="23"/>
          <w:szCs w:val="23"/>
          <w:shd w:val="clear" w:color="auto" w:fill="FBFBFB"/>
        </w:rPr>
        <w:t>(Accessed: 4 December 2023).</w:t>
      </w:r>
    </w:p>
    <w:p w:rsidR="00FD0BF9" w:rsidRPr="00FD0BF9" w:rsidRDefault="00FD0BF9" w:rsidP="00FD0BF9">
      <w:pPr>
        <w:pStyle w:val="NormalWeb"/>
        <w:rPr>
          <w:rFonts w:ascii="Calibri" w:hAnsi="Calibri" w:cs="Calibri"/>
          <w:color w:val="000000"/>
          <w:sz w:val="27"/>
          <w:szCs w:val="27"/>
        </w:rPr>
      </w:pPr>
    </w:p>
    <w:p w:rsidR="002C434D" w:rsidRDefault="002C434D" w:rsidP="002C434D">
      <w:pPr>
        <w:pStyle w:val="ListParagraph"/>
        <w:ind w:left="720" w:firstLine="0"/>
      </w:pPr>
    </w:p>
    <w:sectPr w:rsidR="002C434D" w:rsidSect="00921776">
      <w:headerReference w:type="default" r:id="rId36"/>
      <w:footerReference w:type="default" r:id="rId37"/>
      <w:pgSz w:w="11906" w:h="16838"/>
      <w:pgMar w:top="1440" w:right="1080" w:bottom="1440" w:left="108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C6265D" w:rsidRDefault="00C6265D" w:rsidP="00921776">
      <w:pPr>
        <w:spacing w:after="0" w:line="240" w:lineRule="auto"/>
      </w:pPr>
      <w:r>
        <w:separator/>
      </w:r>
    </w:p>
  </w:endnote>
  <w:endnote w:type="continuationSeparator" w:id="0">
    <w:p w:rsidR="00C6265D" w:rsidRDefault="00C6265D" w:rsidP="0092177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entury Gothic">
    <w:panose1 w:val="020B0502020202020204"/>
    <w:charset w:val="00"/>
    <w:family w:val="swiss"/>
    <w:pitch w:val="variable"/>
    <w:sig w:usb0="00000287" w:usb1="00000000" w:usb2="00000000" w:usb3="00000000" w:csb0="0000009F" w:csb1="00000000"/>
  </w:font>
  <w:font w:name="Arial">
    <w:panose1 w:val="020B0604020202020204"/>
    <w:charset w:val="00"/>
    <w:family w:val="swiss"/>
    <w:pitch w:val="variable"/>
    <w:sig w:usb0="E0002AFF" w:usb1="C0007843" w:usb2="00000009" w:usb3="00000000" w:csb0="000001FF" w:csb1="00000000"/>
  </w:font>
  <w:font w:name="Georgia">
    <w:panose1 w:val="02040502050405020303"/>
    <w:charset w:val="00"/>
    <w:family w:val="roman"/>
    <w:pitch w:val="variable"/>
    <w:sig w:usb0="00000287" w:usb1="00000000" w:usb2="00000000" w:usb3="00000000" w:csb0="0000009F" w:csb1="00000000"/>
  </w:font>
  <w:font w:name="avenir-regular-class">
    <w:altName w:val="Times New Roman"/>
    <w:panose1 w:val="00000000000000000000"/>
    <w:charset w:val="00"/>
    <w:family w:val="roman"/>
    <w:notTrueType/>
    <w:pitch w:val="default"/>
  </w:font>
  <w:font w:name="Calibri">
    <w:panose1 w:val="020F0502020204030204"/>
    <w:charset w:val="00"/>
    <w:family w:val="swiss"/>
    <w:pitch w:val="variable"/>
    <w:sig w:usb0="E0002AFF" w:usb1="4000ACFF" w:usb2="00000001"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W w:w="5000" w:type="pct"/>
      <w:jc w:val="center"/>
      <w:tblCellMar>
        <w:top w:w="144" w:type="dxa"/>
        <w:left w:w="115" w:type="dxa"/>
        <w:bottom w:w="144" w:type="dxa"/>
        <w:right w:w="115" w:type="dxa"/>
      </w:tblCellMar>
      <w:tblLook w:val="04A0" w:firstRow="1" w:lastRow="0" w:firstColumn="1" w:lastColumn="0" w:noHBand="0" w:noVBand="1"/>
    </w:tblPr>
    <w:tblGrid>
      <w:gridCol w:w="4879"/>
      <w:gridCol w:w="4867"/>
    </w:tblGrid>
    <w:tr w:rsidR="00921776">
      <w:trPr>
        <w:trHeight w:hRule="exact" w:val="115"/>
        <w:jc w:val="center"/>
      </w:trPr>
      <w:tc>
        <w:tcPr>
          <w:tcW w:w="4686" w:type="dxa"/>
          <w:shd w:val="clear" w:color="auto" w:fill="B31166" w:themeFill="accent1"/>
          <w:tcMar>
            <w:top w:w="0" w:type="dxa"/>
            <w:bottom w:w="0" w:type="dxa"/>
          </w:tcMar>
        </w:tcPr>
        <w:p w:rsidR="00921776" w:rsidRDefault="00921776">
          <w:pPr>
            <w:pStyle w:val="Header"/>
            <w:rPr>
              <w:caps/>
              <w:sz w:val="18"/>
            </w:rPr>
          </w:pPr>
        </w:p>
      </w:tc>
      <w:tc>
        <w:tcPr>
          <w:tcW w:w="4674" w:type="dxa"/>
          <w:shd w:val="clear" w:color="auto" w:fill="B31166" w:themeFill="accent1"/>
          <w:tcMar>
            <w:top w:w="0" w:type="dxa"/>
            <w:bottom w:w="0" w:type="dxa"/>
          </w:tcMar>
        </w:tcPr>
        <w:p w:rsidR="00921776" w:rsidRDefault="00921776">
          <w:pPr>
            <w:pStyle w:val="Header"/>
            <w:jc w:val="right"/>
            <w:rPr>
              <w:caps/>
              <w:sz w:val="18"/>
            </w:rPr>
          </w:pPr>
        </w:p>
      </w:tc>
    </w:tr>
    <w:tr w:rsidR="00921776">
      <w:trPr>
        <w:jc w:val="center"/>
      </w:trPr>
      <w:sdt>
        <w:sdtPr>
          <w:rPr>
            <w:caps/>
            <w:color w:val="808080" w:themeColor="background1" w:themeShade="80"/>
            <w:sz w:val="18"/>
            <w:szCs w:val="18"/>
          </w:rPr>
          <w:alias w:val="Author"/>
          <w:tag w:val=""/>
          <w:id w:val="1534151868"/>
          <w:placeholder>
            <w:docPart w:val="3339453984C54F4C9F02AD0FD3112C96"/>
          </w:placeholder>
          <w:dataBinding w:prefixMappings="xmlns:ns0='http://purl.org/dc/elements/1.1/' xmlns:ns1='http://schemas.openxmlformats.org/package/2006/metadata/core-properties' " w:xpath="/ns1:coreProperties[1]/ns0:creator[1]" w:storeItemID="{6C3C8BC8-F283-45AE-878A-BAB7291924A1}"/>
          <w:text/>
        </w:sdtPr>
        <w:sdtContent>
          <w:tc>
            <w:tcPr>
              <w:tcW w:w="4686" w:type="dxa"/>
              <w:shd w:val="clear" w:color="auto" w:fill="auto"/>
              <w:vAlign w:val="center"/>
            </w:tcPr>
            <w:p w:rsidR="00921776" w:rsidRDefault="00921776">
              <w:pPr>
                <w:pStyle w:val="Footer"/>
                <w:rPr>
                  <w:caps/>
                  <w:color w:val="808080" w:themeColor="background1" w:themeShade="80"/>
                  <w:sz w:val="18"/>
                  <w:szCs w:val="18"/>
                </w:rPr>
              </w:pPr>
              <w:r>
                <w:rPr>
                  <w:caps/>
                  <w:color w:val="808080" w:themeColor="background1" w:themeShade="80"/>
                  <w:sz w:val="18"/>
                  <w:szCs w:val="18"/>
                </w:rPr>
                <w:t>Kalnina, Jolanta</w:t>
              </w:r>
            </w:p>
          </w:tc>
        </w:sdtContent>
      </w:sdt>
      <w:tc>
        <w:tcPr>
          <w:tcW w:w="4674" w:type="dxa"/>
          <w:shd w:val="clear" w:color="auto" w:fill="auto"/>
          <w:vAlign w:val="center"/>
        </w:tcPr>
        <w:p w:rsidR="00921776" w:rsidRDefault="00921776">
          <w:pPr>
            <w:pStyle w:val="Footer"/>
            <w:jc w:val="right"/>
            <w:rPr>
              <w:caps/>
              <w:color w:val="808080" w:themeColor="background1" w:themeShade="80"/>
              <w:sz w:val="18"/>
              <w:szCs w:val="18"/>
            </w:rPr>
          </w:pPr>
          <w:r>
            <w:rPr>
              <w:caps/>
              <w:color w:val="808080" w:themeColor="background1" w:themeShade="80"/>
              <w:sz w:val="18"/>
              <w:szCs w:val="18"/>
            </w:rPr>
            <w:fldChar w:fldCharType="begin"/>
          </w:r>
          <w:r>
            <w:rPr>
              <w:caps/>
              <w:color w:val="808080" w:themeColor="background1" w:themeShade="80"/>
              <w:sz w:val="18"/>
              <w:szCs w:val="18"/>
            </w:rPr>
            <w:instrText xml:space="preserve"> PAGE   \* MERGEFORMAT </w:instrText>
          </w:r>
          <w:r>
            <w:rPr>
              <w:caps/>
              <w:color w:val="808080" w:themeColor="background1" w:themeShade="80"/>
              <w:sz w:val="18"/>
              <w:szCs w:val="18"/>
            </w:rPr>
            <w:fldChar w:fldCharType="separate"/>
          </w:r>
          <w:r w:rsidR="005B5B41">
            <w:rPr>
              <w:caps/>
              <w:noProof/>
              <w:color w:val="808080" w:themeColor="background1" w:themeShade="80"/>
              <w:sz w:val="18"/>
              <w:szCs w:val="18"/>
            </w:rPr>
            <w:t>1</w:t>
          </w:r>
          <w:r>
            <w:rPr>
              <w:caps/>
              <w:noProof/>
              <w:color w:val="808080" w:themeColor="background1" w:themeShade="80"/>
              <w:sz w:val="18"/>
              <w:szCs w:val="18"/>
            </w:rPr>
            <w:fldChar w:fldCharType="end"/>
          </w:r>
        </w:p>
      </w:tc>
    </w:tr>
  </w:tbl>
  <w:p w:rsidR="00921776" w:rsidRDefault="00921776">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C6265D" w:rsidRDefault="00C6265D" w:rsidP="00921776">
      <w:pPr>
        <w:spacing w:after="0" w:line="240" w:lineRule="auto"/>
      </w:pPr>
      <w:r>
        <w:separator/>
      </w:r>
    </w:p>
  </w:footnote>
  <w:footnote w:type="continuationSeparator" w:id="0">
    <w:p w:rsidR="00C6265D" w:rsidRDefault="00C6265D" w:rsidP="00921776">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7D5CBB" w:rsidRPr="007D5CBB" w:rsidRDefault="00921776" w:rsidP="007D5CBB">
    <w:pPr>
      <w:pStyle w:val="Header"/>
      <w:jc w:val="center"/>
      <w:rPr>
        <w:rFonts w:eastAsiaTheme="minorHAnsi"/>
        <w:szCs w:val="24"/>
      </w:rPr>
    </w:pPr>
    <w:r w:rsidRPr="00331BFF">
      <w:rPr>
        <w:rFonts w:eastAsiaTheme="minorHAnsi"/>
        <w:szCs w:val="24"/>
      </w:rPr>
      <w:t>Jolanta Kaln</w:t>
    </w:r>
    <w:r w:rsidR="007D5CBB">
      <w:rPr>
        <w:rFonts w:eastAsiaTheme="minorHAnsi"/>
        <w:szCs w:val="24"/>
      </w:rPr>
      <w:t xml:space="preserve">ina 1801540     </w:t>
    </w:r>
    <w:r w:rsidR="00F96CC3">
      <w:rPr>
        <w:rFonts w:eastAsiaTheme="minorHAnsi"/>
        <w:szCs w:val="24"/>
      </w:rPr>
      <w:t>Section One</w:t>
    </w:r>
    <w:r w:rsidR="007D5CBB">
      <w:rPr>
        <w:rFonts w:eastAsiaTheme="minorHAnsi"/>
        <w:szCs w:val="24"/>
      </w:rPr>
      <w:t xml:space="preserve"> W</w:t>
    </w:r>
    <w:r>
      <w:rPr>
        <w:rFonts w:eastAsiaTheme="minorHAnsi"/>
        <w:szCs w:val="24"/>
      </w:rPr>
      <w:t>ord Count</w:t>
    </w:r>
    <w:r>
      <w:rPr>
        <w:caps/>
        <w:noProof/>
        <w:color w:val="808080" w:themeColor="background1" w:themeShade="80"/>
        <w:sz w:val="20"/>
        <w:szCs w:val="20"/>
        <w:lang w:eastAsia="en-GB"/>
      </w:rPr>
      <mc:AlternateContent>
        <mc:Choice Requires="wpg">
          <w:drawing>
            <wp:anchor distT="0" distB="0" distL="114300" distR="114300" simplePos="0" relativeHeight="251659264" behindDoc="0" locked="0" layoutInCell="1" allowOverlap="1">
              <wp:simplePos x="0" y="0"/>
              <wp:positionH relativeFrom="page">
                <wp:align>left</wp:align>
              </wp:positionH>
              <mc:AlternateContent>
                <mc:Choice Requires="wp14">
                  <wp:positionV relativeFrom="page">
                    <wp14:pctPosVOffset>2300</wp14:pctPosVOffset>
                  </wp:positionV>
                </mc:Choice>
                <mc:Fallback>
                  <wp:positionV relativeFrom="page">
                    <wp:posOffset>245745</wp:posOffset>
                  </wp:positionV>
                </mc:Fallback>
              </mc:AlternateContent>
              <wp:extent cx="1700784" cy="1024128"/>
              <wp:effectExtent l="0" t="0" r="0" b="5080"/>
              <wp:wrapNone/>
              <wp:docPr id="158" name="Group 158"/>
              <wp:cNvGraphicFramePr/>
              <a:graphic xmlns:a="http://schemas.openxmlformats.org/drawingml/2006/main">
                <a:graphicData uri="http://schemas.microsoft.com/office/word/2010/wordprocessingGroup">
                  <wpg:wgp>
                    <wpg:cNvGrpSpPr/>
                    <wpg:grpSpPr>
                      <a:xfrm>
                        <a:off x="0" y="0"/>
                        <a:ext cx="1700784" cy="1024128"/>
                        <a:chOff x="0" y="0"/>
                        <a:chExt cx="1700784" cy="1024128"/>
                      </a:xfrm>
                    </wpg:grpSpPr>
                    <wpg:grpSp>
                      <wpg:cNvPr id="159" name="Group 159"/>
                      <wpg:cNvGrpSpPr/>
                      <wpg:grpSpPr>
                        <a:xfrm>
                          <a:off x="0" y="0"/>
                          <a:ext cx="1700784" cy="1024128"/>
                          <a:chOff x="0" y="0"/>
                          <a:chExt cx="1700784" cy="1024128"/>
                        </a:xfrm>
                      </wpg:grpSpPr>
                      <wps:wsp>
                        <wps:cNvPr id="160" name="Rectangle 160"/>
                        <wps:cNvSpPr/>
                        <wps:spPr>
                          <a:xfrm>
                            <a:off x="0" y="0"/>
                            <a:ext cx="1700784" cy="1024128"/>
                          </a:xfrm>
                          <a:prstGeom prst="rect">
                            <a:avLst/>
                          </a:prstGeom>
                          <a:solidFill>
                            <a:schemeClr val="bg1">
                              <a:alpha val="0"/>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61" name="Rectangle 1"/>
                        <wps:cNvSpPr/>
                        <wps:spPr>
                          <a:xfrm>
                            <a:off x="228600" y="0"/>
                            <a:ext cx="1463040" cy="1014984"/>
                          </a:xfrm>
                          <a:custGeom>
                            <a:avLst/>
                            <a:gdLst>
                              <a:gd name="connsiteX0" fmla="*/ 0 w 1462822"/>
                              <a:gd name="connsiteY0" fmla="*/ 0 h 1014481"/>
                              <a:gd name="connsiteX1" fmla="*/ 1462822 w 1462822"/>
                              <a:gd name="connsiteY1" fmla="*/ 0 h 1014481"/>
                              <a:gd name="connsiteX2" fmla="*/ 1462822 w 1462822"/>
                              <a:gd name="connsiteY2" fmla="*/ 1014481 h 1014481"/>
                              <a:gd name="connsiteX3" fmla="*/ 0 w 1462822"/>
                              <a:gd name="connsiteY3" fmla="*/ 1014481 h 1014481"/>
                              <a:gd name="connsiteX4" fmla="*/ 0 w 1462822"/>
                              <a:gd name="connsiteY4" fmla="*/ 0 h 1014481"/>
                              <a:gd name="connsiteX0" fmla="*/ 0 w 1462822"/>
                              <a:gd name="connsiteY0" fmla="*/ 0 h 1014481"/>
                              <a:gd name="connsiteX1" fmla="*/ 1462822 w 1462822"/>
                              <a:gd name="connsiteY1" fmla="*/ 0 h 1014481"/>
                              <a:gd name="connsiteX2" fmla="*/ 910372 w 1462822"/>
                              <a:gd name="connsiteY2" fmla="*/ 376306 h 1014481"/>
                              <a:gd name="connsiteX3" fmla="*/ 0 w 1462822"/>
                              <a:gd name="connsiteY3" fmla="*/ 1014481 h 1014481"/>
                              <a:gd name="connsiteX4" fmla="*/ 0 w 1462822"/>
                              <a:gd name="connsiteY4" fmla="*/ 0 h 1014481"/>
                            </a:gdLst>
                            <a:ahLst/>
                            <a:cxnLst>
                              <a:cxn ang="0">
                                <a:pos x="connsiteX0" y="connsiteY0"/>
                              </a:cxn>
                              <a:cxn ang="0">
                                <a:pos x="connsiteX1" y="connsiteY1"/>
                              </a:cxn>
                              <a:cxn ang="0">
                                <a:pos x="connsiteX2" y="connsiteY2"/>
                              </a:cxn>
                              <a:cxn ang="0">
                                <a:pos x="connsiteX3" y="connsiteY3"/>
                              </a:cxn>
                              <a:cxn ang="0">
                                <a:pos x="connsiteX4" y="connsiteY4"/>
                              </a:cxn>
                            </a:cxnLst>
                            <a:rect l="l" t="t" r="r" b="b"/>
                            <a:pathLst>
                              <a:path w="1462822" h="1014481">
                                <a:moveTo>
                                  <a:pt x="0" y="0"/>
                                </a:moveTo>
                                <a:lnTo>
                                  <a:pt x="1462822" y="0"/>
                                </a:lnTo>
                                <a:lnTo>
                                  <a:pt x="910372" y="376306"/>
                                </a:lnTo>
                                <a:lnTo>
                                  <a:pt x="0" y="1014481"/>
                                </a:lnTo>
                                <a:lnTo>
                                  <a:pt x="0" y="0"/>
                                </a:lnTo>
                                <a:close/>
                              </a:path>
                            </a:pathLst>
                          </a:custGeom>
                          <a:solidFill>
                            <a:schemeClr val="accent1"/>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62" name="Rectangle 162"/>
                        <wps:cNvSpPr/>
                        <wps:spPr>
                          <a:xfrm>
                            <a:off x="228600" y="0"/>
                            <a:ext cx="1472184" cy="1024128"/>
                          </a:xfrm>
                          <a:prstGeom prst="rect">
                            <a:avLst/>
                          </a:prstGeom>
                          <a:blipFill>
                            <a:blip r:embed="rId1"/>
                            <a:stretch>
                              <a:fillRect/>
                            </a:stretch>
                          </a:blip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grpSp>
                    <wps:wsp>
                      <wps:cNvPr id="163" name="Text Box 163"/>
                      <wps:cNvSpPr txBox="1"/>
                      <wps:spPr>
                        <a:xfrm flipH="1">
                          <a:off x="237067" y="18942"/>
                          <a:ext cx="442824" cy="375285"/>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rsidR="00921776" w:rsidRDefault="00921776">
                            <w:pPr>
                              <w:pStyle w:val="Header"/>
                              <w:jc w:val="right"/>
                              <w:rPr>
                                <w:color w:val="FFFFFF" w:themeColor="background1"/>
                                <w:sz w:val="24"/>
                                <w:szCs w:val="24"/>
                              </w:rPr>
                            </w:pPr>
                            <w:r>
                              <w:rPr>
                                <w:color w:val="FFFFFF" w:themeColor="background1"/>
                                <w:sz w:val="24"/>
                                <w:szCs w:val="24"/>
                              </w:rPr>
                              <w:fldChar w:fldCharType="begin"/>
                            </w:r>
                            <w:r>
                              <w:rPr>
                                <w:color w:val="FFFFFF" w:themeColor="background1"/>
                                <w:sz w:val="24"/>
                                <w:szCs w:val="24"/>
                              </w:rPr>
                              <w:instrText xml:space="preserve"> PAGE   \* MERGEFORMAT </w:instrText>
                            </w:r>
                            <w:r>
                              <w:rPr>
                                <w:color w:val="FFFFFF" w:themeColor="background1"/>
                                <w:sz w:val="24"/>
                                <w:szCs w:val="24"/>
                              </w:rPr>
                              <w:fldChar w:fldCharType="separate"/>
                            </w:r>
                            <w:r w:rsidR="005B5B41">
                              <w:rPr>
                                <w:noProof/>
                                <w:color w:val="FFFFFF" w:themeColor="background1"/>
                                <w:sz w:val="24"/>
                                <w:szCs w:val="24"/>
                              </w:rPr>
                              <w:t>1</w:t>
                            </w:r>
                            <w:r>
                              <w:rPr>
                                <w:noProof/>
                                <w:color w:val="FFFFFF" w:themeColor="background1"/>
                                <w:sz w:val="24"/>
                                <w:szCs w:val="24"/>
                              </w:rPr>
                              <w:fldChar w:fldCharType="end"/>
                            </w:r>
                          </w:p>
                        </w:txbxContent>
                      </wps:txbx>
                      <wps:bodyPr rot="0" spcFirstLastPara="0" vertOverflow="overflow" horzOverflow="overflow" vert="horz" wrap="square" lIns="91440" tIns="91440" rIns="91440" bIns="91440" numCol="1" spcCol="0" rtlCol="0" fromWordArt="0" anchor="ctr" anchorCtr="0" forceAA="0" compatLnSpc="1">
                        <a:prstTxWarp prst="textNoShape">
                          <a:avLst/>
                        </a:prstTxWarp>
                        <a:noAutofit/>
                      </wps:bodyPr>
                    </wps:wsp>
                  </wpg:wgp>
                </a:graphicData>
              </a:graphic>
              <wp14:sizeRelH relativeFrom="margin">
                <wp14:pctWidth>0</wp14:pctWidth>
              </wp14:sizeRelH>
              <wp14:sizeRelV relativeFrom="margin">
                <wp14:pctHeight>0</wp14:pctHeight>
              </wp14:sizeRelV>
            </wp:anchor>
          </w:drawing>
        </mc:Choice>
        <mc:Fallback>
          <w:pict>
            <v:group id="Group 158" o:spid="_x0000_s1026" style="position:absolute;left:0;text-align:left;margin-left:0;margin-top:0;width:133.9pt;height:80.65pt;z-index:251659264;mso-top-percent:23;mso-position-horizontal:left;mso-position-horizontal-relative:page;mso-position-vertical-relative:page;mso-top-percent:23;mso-width-relative:margin;mso-height-relative:margin" coordsize="17007,10241"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">
              <v:group id="Group 159" o:spid="_x0000_s1027" style="position:absolute;width:17007;height:10241" coordsize="17007,1024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">
                <v:rect id="Rectangle 160" o:spid="_x0000_s1028" style="position:absolute;width:17007;height:1024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" fillcolor="white [3212]" stroked="f" strokeweight="1.5pt">
                  <v:fill opacity="0"/>
                  <v:stroke endcap="round"/>
                </v:rect>
                <v:shape id="Rectangle 1" o:spid="_x0000_s1029" style="position:absolute;left:2286;width:14630;height:10149;visibility:visible;mso-wrap-style:square;v-text-anchor:middle" coordsize="1462822,101448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" path="m,l1462822,,910372,376306,,1014481,,xe" fillcolor="#b31166 [3204]" stroked="f" strokeweight="1.5pt">
                  <v:stroke endcap="round"/>
                  <v:path arrowok="t" o:connecttype="custom" o:connectlocs="0,0;1463040,0;910508,376493;0,1014984;0,0" o:connectangles="0,0,0,0,0"/>
                </v:shape>
                <v:rect id="Rectangle 162" o:spid="_x0000_s1030" style="position:absolute;left:2286;width:14721;height:1024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" stroked="f" strokeweight="1.5pt">
                  <v:fill r:id="rId2" o:title="" recolor="t" rotate="t" type="frame"/>
                  <v:stroke endcap="round"/>
                </v:rect>
              </v:group>
              <v:shapetype id="_x0000_t202" coordsize="21600,21600" o:spt="202" path="m,l,21600r21600,l21600,xe">
                <v:stroke joinstyle="miter"/>
                <v:path gradientshapeok="t" o:connecttype="rect"/>
              </v:shapetype>
              <v:shape id="Text Box 163" o:spid="_x0000_s1031" type="#_x0000_t202" style="position:absolute;left:2370;top:189;width:4428;height:3753;flip:x;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" filled="f" stroked="f" strokeweight=".5pt">
                <v:textbox inset=",7.2pt,,7.2pt">
                  <w:txbxContent>
                    <w:p w:rsidR="00921776" w:rsidRDefault="00921776">
                      <w:pPr>
                        <w:pStyle w:val="Header"/>
                        <w:jc w:val="right"/>
                        <w:rPr>
                          <w:color w:val="FFFFFF" w:themeColor="background1"/>
                          <w:sz w:val="24"/>
                          <w:szCs w:val="24"/>
                        </w:rPr>
                      </w:pPr>
                      <w:r>
                        <w:rPr>
                          <w:color w:val="FFFFFF" w:themeColor="background1"/>
                          <w:sz w:val="24"/>
                          <w:szCs w:val="24"/>
                        </w:rPr>
                        <w:fldChar w:fldCharType="begin"/>
                      </w:r>
                      <w:r>
                        <w:rPr>
                          <w:color w:val="FFFFFF" w:themeColor="background1"/>
                          <w:sz w:val="24"/>
                          <w:szCs w:val="24"/>
                        </w:rPr>
                        <w:instrText xml:space="preserve"> PAGE   \* MERGEFORMAT </w:instrText>
                      </w:r>
                      <w:r>
                        <w:rPr>
                          <w:color w:val="FFFFFF" w:themeColor="background1"/>
                          <w:sz w:val="24"/>
                          <w:szCs w:val="24"/>
                        </w:rPr>
                        <w:fldChar w:fldCharType="separate"/>
                      </w:r>
                      <w:r w:rsidR="005B5B41">
                        <w:rPr>
                          <w:noProof/>
                          <w:color w:val="FFFFFF" w:themeColor="background1"/>
                          <w:sz w:val="24"/>
                          <w:szCs w:val="24"/>
                        </w:rPr>
                        <w:t>1</w:t>
                      </w:r>
                      <w:r>
                        <w:rPr>
                          <w:noProof/>
                          <w:color w:val="FFFFFF" w:themeColor="background1"/>
                          <w:sz w:val="24"/>
                          <w:szCs w:val="24"/>
                        </w:rPr>
                        <w:fldChar w:fldCharType="end"/>
                      </w:r>
                    </w:p>
                  </w:txbxContent>
                </v:textbox>
              </v:shape>
              <w10:wrap anchorx="page" anchory="page"/>
            </v:group>
          </w:pict>
        </mc:Fallback>
      </mc:AlternateContent>
    </w:r>
    <w:r w:rsidR="007D5CBB">
      <w:rPr>
        <w:rFonts w:eastAsiaTheme="minorHAnsi"/>
        <w:szCs w:val="24"/>
      </w:rPr>
      <w:t>: 1,458                                                     Section Two Word Count:</w:t>
    </w:r>
    <w:r w:rsidR="00B31D23">
      <w:rPr>
        <w:rFonts w:eastAsiaTheme="minorHAnsi"/>
        <w:szCs w:val="24"/>
      </w:rPr>
      <w:t xml:space="preserve"> 506</w:t>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2F04EB5"/>
    <w:multiLevelType w:val="hybridMultilevel"/>
    <w:tmpl w:val="916C4C4C"/>
    <w:lvl w:ilvl="0" w:tplc="5AC0FA34">
      <w:start w:val="1"/>
      <w:numFmt w:val="bullet"/>
      <w:lvlText w:val=""/>
      <w:lvlJc w:val="left"/>
      <w:pPr>
        <w:ind w:left="720" w:hanging="360"/>
      </w:pPr>
      <w:rPr>
        <w:rFonts w:ascii="Wingdings" w:hAnsi="Wingdings" w:hint="default"/>
        <w:color w:val="520D5D"/>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F7117ED"/>
    <w:multiLevelType w:val="hybridMultilevel"/>
    <w:tmpl w:val="6B46DF5E"/>
    <w:lvl w:ilvl="0" w:tplc="22AC99B6">
      <w:start w:val="1"/>
      <w:numFmt w:val="bullet"/>
      <w:pStyle w:val="Listparag"/>
      <w:lvlText w:val=""/>
      <w:lvlJc w:val="left"/>
      <w:pPr>
        <w:ind w:left="720" w:hanging="360"/>
      </w:pPr>
      <w:rPr>
        <w:rFonts w:ascii="Wingdings" w:hAnsi="Wingdings" w:hint="default"/>
        <w:color w:val="B31166" w:themeColor="accent1"/>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33F86EC0"/>
    <w:multiLevelType w:val="hybridMultilevel"/>
    <w:tmpl w:val="7AF0B6B6"/>
    <w:lvl w:ilvl="0" w:tplc="F9A6D886">
      <w:start w:val="1"/>
      <w:numFmt w:val="bullet"/>
      <w:lvlText w:val=""/>
      <w:lvlJc w:val="left"/>
      <w:pPr>
        <w:ind w:left="720" w:hanging="360"/>
      </w:pPr>
      <w:rPr>
        <w:rFonts w:ascii="Wingdings" w:hAnsi="Wingdings" w:hint="default"/>
        <w:color w:val="520D5D"/>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3" w15:restartNumberingAfterBreak="0">
    <w:nsid w:val="34DD4187"/>
    <w:multiLevelType w:val="hybridMultilevel"/>
    <w:tmpl w:val="0DFCF57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43851ADA"/>
    <w:multiLevelType w:val="hybridMultilevel"/>
    <w:tmpl w:val="7C4CF6E2"/>
    <w:lvl w:ilvl="0" w:tplc="E578A9EC">
      <w:start w:val="1"/>
      <w:numFmt w:val="bullet"/>
      <w:lvlText w:val=""/>
      <w:lvlJc w:val="left"/>
      <w:pPr>
        <w:ind w:left="1440" w:hanging="360"/>
      </w:pPr>
      <w:rPr>
        <w:rFonts w:ascii="Wingdings" w:hAnsi="Wingdings" w:hint="default"/>
        <w:color w:val="520D5D"/>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5" w15:restartNumberingAfterBreak="0">
    <w:nsid w:val="5E301B63"/>
    <w:multiLevelType w:val="hybridMultilevel"/>
    <w:tmpl w:val="CAF6D5D6"/>
    <w:lvl w:ilvl="0" w:tplc="B8180E00">
      <w:numFmt w:val="bullet"/>
      <w:lvlText w:val="-"/>
      <w:lvlJc w:val="left"/>
      <w:pPr>
        <w:ind w:left="720" w:hanging="360"/>
      </w:pPr>
      <w:rPr>
        <w:rFonts w:ascii="Times New Roman" w:eastAsia="Times New Roman" w:hAnsi="Times New Roman" w:cs="Times New Roman"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6" w15:restartNumberingAfterBreak="0">
    <w:nsid w:val="60BF506E"/>
    <w:multiLevelType w:val="hybridMultilevel"/>
    <w:tmpl w:val="944E1158"/>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num w:numId="1">
    <w:abstractNumId w:val="1"/>
  </w:num>
  <w:num w:numId="2">
    <w:abstractNumId w:val="2"/>
  </w:num>
  <w:num w:numId="3">
    <w:abstractNumId w:val="0"/>
  </w:num>
  <w:num w:numId="4">
    <w:abstractNumId w:val="4"/>
  </w:num>
  <w:num w:numId="5">
    <w:abstractNumId w:val="5"/>
  </w:num>
  <w:num w:numId="6">
    <w:abstractNumId w:val="3"/>
  </w:num>
  <w:num w:numId="7">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E1506"/>
    <w:rsid w:val="0005389B"/>
    <w:rsid w:val="0006218B"/>
    <w:rsid w:val="000805E3"/>
    <w:rsid w:val="0009510E"/>
    <w:rsid w:val="000A7A05"/>
    <w:rsid w:val="000C5C3A"/>
    <w:rsid w:val="000C60A1"/>
    <w:rsid w:val="000E3480"/>
    <w:rsid w:val="001021A5"/>
    <w:rsid w:val="001144D9"/>
    <w:rsid w:val="00126029"/>
    <w:rsid w:val="00175AF3"/>
    <w:rsid w:val="001B665B"/>
    <w:rsid w:val="001C117A"/>
    <w:rsid w:val="001C5EC7"/>
    <w:rsid w:val="001F683F"/>
    <w:rsid w:val="00201618"/>
    <w:rsid w:val="0021462E"/>
    <w:rsid w:val="00231BC8"/>
    <w:rsid w:val="00240F7F"/>
    <w:rsid w:val="0025011D"/>
    <w:rsid w:val="0027423B"/>
    <w:rsid w:val="002C23CE"/>
    <w:rsid w:val="002C434D"/>
    <w:rsid w:val="002E42C8"/>
    <w:rsid w:val="002F1E76"/>
    <w:rsid w:val="00304503"/>
    <w:rsid w:val="00306C2A"/>
    <w:rsid w:val="00307257"/>
    <w:rsid w:val="00335F0E"/>
    <w:rsid w:val="00337E8C"/>
    <w:rsid w:val="00395763"/>
    <w:rsid w:val="003A6884"/>
    <w:rsid w:val="003B46A2"/>
    <w:rsid w:val="003F4FC2"/>
    <w:rsid w:val="00414E9A"/>
    <w:rsid w:val="00434070"/>
    <w:rsid w:val="004667CE"/>
    <w:rsid w:val="00471078"/>
    <w:rsid w:val="00520F7F"/>
    <w:rsid w:val="00521F96"/>
    <w:rsid w:val="005618C1"/>
    <w:rsid w:val="00581FEA"/>
    <w:rsid w:val="00591770"/>
    <w:rsid w:val="005A1E85"/>
    <w:rsid w:val="005A2F07"/>
    <w:rsid w:val="005B5B41"/>
    <w:rsid w:val="006634E8"/>
    <w:rsid w:val="006847E0"/>
    <w:rsid w:val="00686487"/>
    <w:rsid w:val="006A3995"/>
    <w:rsid w:val="006C50BF"/>
    <w:rsid w:val="006C6C36"/>
    <w:rsid w:val="006E53A1"/>
    <w:rsid w:val="006E59E1"/>
    <w:rsid w:val="0075118D"/>
    <w:rsid w:val="0075688C"/>
    <w:rsid w:val="007659FB"/>
    <w:rsid w:val="00773EF1"/>
    <w:rsid w:val="0079523B"/>
    <w:rsid w:val="007A12E7"/>
    <w:rsid w:val="007D5CBB"/>
    <w:rsid w:val="007E0C90"/>
    <w:rsid w:val="007F475B"/>
    <w:rsid w:val="007F50B4"/>
    <w:rsid w:val="00820509"/>
    <w:rsid w:val="00841794"/>
    <w:rsid w:val="0085201D"/>
    <w:rsid w:val="0089420F"/>
    <w:rsid w:val="008C4C99"/>
    <w:rsid w:val="008D0FDB"/>
    <w:rsid w:val="00902FBF"/>
    <w:rsid w:val="00921776"/>
    <w:rsid w:val="0093114D"/>
    <w:rsid w:val="00932959"/>
    <w:rsid w:val="00987203"/>
    <w:rsid w:val="009B6479"/>
    <w:rsid w:val="009C4AB2"/>
    <w:rsid w:val="009E6079"/>
    <w:rsid w:val="009F5682"/>
    <w:rsid w:val="00A337BD"/>
    <w:rsid w:val="00A55621"/>
    <w:rsid w:val="00A75295"/>
    <w:rsid w:val="00AA4A08"/>
    <w:rsid w:val="00AB7DEE"/>
    <w:rsid w:val="00AF7954"/>
    <w:rsid w:val="00B00713"/>
    <w:rsid w:val="00B1264E"/>
    <w:rsid w:val="00B23CE8"/>
    <w:rsid w:val="00B31D23"/>
    <w:rsid w:val="00B33D7A"/>
    <w:rsid w:val="00B5411D"/>
    <w:rsid w:val="00B81956"/>
    <w:rsid w:val="00BA640A"/>
    <w:rsid w:val="00C1547B"/>
    <w:rsid w:val="00C1582D"/>
    <w:rsid w:val="00C300E0"/>
    <w:rsid w:val="00C4034D"/>
    <w:rsid w:val="00C61367"/>
    <w:rsid w:val="00C6265D"/>
    <w:rsid w:val="00CB248E"/>
    <w:rsid w:val="00CB63AD"/>
    <w:rsid w:val="00CD28C4"/>
    <w:rsid w:val="00D03D5E"/>
    <w:rsid w:val="00D05426"/>
    <w:rsid w:val="00D21A9B"/>
    <w:rsid w:val="00D426E4"/>
    <w:rsid w:val="00D72863"/>
    <w:rsid w:val="00D855EA"/>
    <w:rsid w:val="00D9562C"/>
    <w:rsid w:val="00DB685D"/>
    <w:rsid w:val="00DC2F82"/>
    <w:rsid w:val="00DD0EDA"/>
    <w:rsid w:val="00DD3D01"/>
    <w:rsid w:val="00E045C0"/>
    <w:rsid w:val="00E31FA2"/>
    <w:rsid w:val="00E358AE"/>
    <w:rsid w:val="00E6417C"/>
    <w:rsid w:val="00EF6453"/>
    <w:rsid w:val="00F151EB"/>
    <w:rsid w:val="00F21E75"/>
    <w:rsid w:val="00F34032"/>
    <w:rsid w:val="00F342A0"/>
    <w:rsid w:val="00F34D7E"/>
    <w:rsid w:val="00F36AC2"/>
    <w:rsid w:val="00F90A37"/>
    <w:rsid w:val="00F96CC3"/>
    <w:rsid w:val="00FC25E3"/>
    <w:rsid w:val="00FD0BF9"/>
    <w:rsid w:val="00FE150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178A3CF"/>
  <w15:chartTrackingRefBased/>
  <w15:docId w15:val="{D8FD6A57-419F-485E-9D9E-6007072FC69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FE1506"/>
    <w:pPr>
      <w:autoSpaceDE w:val="0"/>
      <w:autoSpaceDN w:val="0"/>
      <w:adjustRightInd w:val="0"/>
      <w:spacing w:line="264" w:lineRule="auto"/>
      <w:jc w:val="both"/>
    </w:pPr>
    <w:rPr>
      <w:rFonts w:ascii="Arial" w:eastAsia="Arial" w:hAnsi="Arial" w:cs="Arial"/>
      <w:color w:val="000000" w:themeColor="text1"/>
    </w:rPr>
  </w:style>
  <w:style w:type="paragraph" w:styleId="Heading1">
    <w:name w:val="heading 1"/>
    <w:basedOn w:val="Normal"/>
    <w:link w:val="Heading1Char"/>
    <w:uiPriority w:val="9"/>
    <w:qFormat/>
    <w:rsid w:val="00FE1506"/>
    <w:pPr>
      <w:spacing w:before="240" w:after="360"/>
      <w:outlineLvl w:val="0"/>
    </w:pPr>
    <w:rPr>
      <w:rFonts w:ascii="Georgia" w:hAnsi="Georgia"/>
      <w:i/>
      <w:iCs/>
      <w:color w:val="B31166" w:themeColor="accent1"/>
      <w:sz w:val="48"/>
      <w:szCs w:val="48"/>
    </w:rPr>
  </w:style>
  <w:style w:type="paragraph" w:styleId="Heading2">
    <w:name w:val="heading 2"/>
    <w:basedOn w:val="Normal"/>
    <w:link w:val="Heading2Char"/>
    <w:uiPriority w:val="9"/>
    <w:unhideWhenUsed/>
    <w:qFormat/>
    <w:rsid w:val="00FE1506"/>
    <w:pPr>
      <w:ind w:left="392"/>
      <w:outlineLvl w:val="1"/>
    </w:pPr>
    <w:rPr>
      <w:b/>
      <w:bCs/>
      <w:sz w:val="32"/>
      <w:szCs w:val="32"/>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FE1506"/>
    <w:rPr>
      <w:rFonts w:ascii="Georgia" w:eastAsia="Arial" w:hAnsi="Georgia" w:cs="Arial"/>
      <w:i/>
      <w:iCs/>
      <w:color w:val="B31166" w:themeColor="accent1"/>
      <w:sz w:val="48"/>
      <w:szCs w:val="48"/>
    </w:rPr>
  </w:style>
  <w:style w:type="character" w:customStyle="1" w:styleId="Heading2Char">
    <w:name w:val="Heading 2 Char"/>
    <w:basedOn w:val="DefaultParagraphFont"/>
    <w:link w:val="Heading2"/>
    <w:uiPriority w:val="9"/>
    <w:rsid w:val="00FE1506"/>
    <w:rPr>
      <w:rFonts w:ascii="Arial" w:eastAsia="Arial" w:hAnsi="Arial" w:cs="Arial"/>
      <w:b/>
      <w:bCs/>
      <w:color w:val="000000" w:themeColor="text1"/>
      <w:sz w:val="32"/>
      <w:szCs w:val="32"/>
    </w:rPr>
  </w:style>
  <w:style w:type="paragraph" w:styleId="ListParagraph">
    <w:name w:val="List Paragraph"/>
    <w:basedOn w:val="Normal"/>
    <w:link w:val="ListParagraphChar"/>
    <w:uiPriority w:val="34"/>
    <w:qFormat/>
    <w:rsid w:val="00FE1506"/>
    <w:pPr>
      <w:spacing w:before="120"/>
      <w:ind w:left="1953" w:hanging="360"/>
    </w:pPr>
  </w:style>
  <w:style w:type="paragraph" w:customStyle="1" w:styleId="Listparag">
    <w:name w:val="List parag"/>
    <w:basedOn w:val="ListParagraph"/>
    <w:link w:val="ListparagChar"/>
    <w:qFormat/>
    <w:rsid w:val="00FE1506"/>
    <w:pPr>
      <w:numPr>
        <w:numId w:val="1"/>
      </w:numPr>
      <w:tabs>
        <w:tab w:val="num" w:pos="360"/>
      </w:tabs>
      <w:autoSpaceDE/>
      <w:autoSpaceDN/>
      <w:spacing w:before="0" w:after="120"/>
      <w:ind w:left="1953"/>
    </w:pPr>
    <w:rPr>
      <w:rFonts w:eastAsia="Times New Roman"/>
      <w:szCs w:val="24"/>
      <w:lang w:eastAsia="en-GB"/>
    </w:rPr>
  </w:style>
  <w:style w:type="character" w:customStyle="1" w:styleId="ListparagChar">
    <w:name w:val="List parag Char"/>
    <w:basedOn w:val="DefaultParagraphFont"/>
    <w:link w:val="Listparag"/>
    <w:rsid w:val="00FE1506"/>
    <w:rPr>
      <w:rFonts w:ascii="Arial" w:eastAsia="Times New Roman" w:hAnsi="Arial" w:cs="Arial"/>
      <w:color w:val="000000" w:themeColor="text1"/>
      <w:szCs w:val="24"/>
      <w:lang w:eastAsia="en-GB"/>
    </w:rPr>
  </w:style>
  <w:style w:type="character" w:customStyle="1" w:styleId="ListParagraphChar">
    <w:name w:val="List Paragraph Char"/>
    <w:basedOn w:val="DefaultParagraphFont"/>
    <w:link w:val="ListParagraph"/>
    <w:uiPriority w:val="34"/>
    <w:rsid w:val="00FE1506"/>
    <w:rPr>
      <w:rFonts w:ascii="Arial" w:eastAsia="Arial" w:hAnsi="Arial" w:cs="Arial"/>
      <w:color w:val="000000" w:themeColor="text1"/>
    </w:rPr>
  </w:style>
  <w:style w:type="character" w:styleId="Hyperlink">
    <w:name w:val="Hyperlink"/>
    <w:basedOn w:val="DefaultParagraphFont"/>
    <w:uiPriority w:val="99"/>
    <w:unhideWhenUsed/>
    <w:rsid w:val="0025011D"/>
    <w:rPr>
      <w:color w:val="0000FF"/>
      <w:u w:val="single"/>
    </w:rPr>
  </w:style>
  <w:style w:type="paragraph" w:styleId="NoSpacing">
    <w:name w:val="No Spacing"/>
    <w:uiPriority w:val="1"/>
    <w:qFormat/>
    <w:rsid w:val="00DB685D"/>
    <w:pPr>
      <w:autoSpaceDE w:val="0"/>
      <w:autoSpaceDN w:val="0"/>
      <w:adjustRightInd w:val="0"/>
      <w:spacing w:after="0" w:line="240" w:lineRule="auto"/>
      <w:jc w:val="both"/>
    </w:pPr>
    <w:rPr>
      <w:rFonts w:ascii="Arial" w:eastAsia="Arial" w:hAnsi="Arial" w:cs="Arial"/>
      <w:color w:val="000000" w:themeColor="text1"/>
    </w:rPr>
  </w:style>
  <w:style w:type="character" w:styleId="FollowedHyperlink">
    <w:name w:val="FollowedHyperlink"/>
    <w:basedOn w:val="DefaultParagraphFont"/>
    <w:uiPriority w:val="99"/>
    <w:semiHidden/>
    <w:unhideWhenUsed/>
    <w:rsid w:val="0006218B"/>
    <w:rPr>
      <w:color w:val="A5A5A5" w:themeColor="followedHyperlink"/>
      <w:u w:val="single"/>
    </w:rPr>
  </w:style>
  <w:style w:type="paragraph" w:styleId="NormalWeb">
    <w:name w:val="Normal (Web)"/>
    <w:basedOn w:val="Normal"/>
    <w:uiPriority w:val="99"/>
    <w:unhideWhenUsed/>
    <w:rsid w:val="00FD0BF9"/>
    <w:pPr>
      <w:autoSpaceDE/>
      <w:autoSpaceDN/>
      <w:adjustRightInd/>
      <w:spacing w:before="100" w:beforeAutospacing="1" w:after="100" w:afterAutospacing="1" w:line="240" w:lineRule="auto"/>
      <w:jc w:val="left"/>
    </w:pPr>
    <w:rPr>
      <w:rFonts w:ascii="Times New Roman" w:eastAsia="Times New Roman" w:hAnsi="Times New Roman" w:cs="Times New Roman"/>
      <w:color w:val="auto"/>
      <w:sz w:val="24"/>
      <w:szCs w:val="24"/>
      <w:lang w:eastAsia="en-GB"/>
    </w:rPr>
  </w:style>
  <w:style w:type="paragraph" w:styleId="Title">
    <w:name w:val="Title"/>
    <w:basedOn w:val="Normal"/>
    <w:next w:val="Normal"/>
    <w:link w:val="TitleChar"/>
    <w:uiPriority w:val="10"/>
    <w:qFormat/>
    <w:rsid w:val="00921776"/>
    <w:pPr>
      <w:pBdr>
        <w:bottom w:val="single" w:sz="8" w:space="4" w:color="B31166" w:themeColor="accent1"/>
      </w:pBdr>
      <w:autoSpaceDE/>
      <w:autoSpaceDN/>
      <w:adjustRightInd/>
      <w:spacing w:after="300" w:line="240" w:lineRule="auto"/>
      <w:contextualSpacing/>
      <w:jc w:val="left"/>
    </w:pPr>
    <w:rPr>
      <w:rFonts w:asciiTheme="majorHAnsi" w:eastAsiaTheme="majorEastAsia" w:hAnsiTheme="majorHAnsi" w:cstheme="majorBidi"/>
      <w:color w:val="2C2442" w:themeColor="text2" w:themeShade="BF"/>
      <w:spacing w:val="5"/>
      <w:sz w:val="52"/>
      <w:szCs w:val="52"/>
    </w:rPr>
  </w:style>
  <w:style w:type="character" w:customStyle="1" w:styleId="TitleChar">
    <w:name w:val="Title Char"/>
    <w:basedOn w:val="DefaultParagraphFont"/>
    <w:link w:val="Title"/>
    <w:uiPriority w:val="10"/>
    <w:rsid w:val="00921776"/>
    <w:rPr>
      <w:rFonts w:asciiTheme="majorHAnsi" w:eastAsiaTheme="majorEastAsia" w:hAnsiTheme="majorHAnsi" w:cstheme="majorBidi"/>
      <w:color w:val="2C2442" w:themeColor="text2" w:themeShade="BF"/>
      <w:spacing w:val="5"/>
      <w:sz w:val="52"/>
      <w:szCs w:val="52"/>
    </w:rPr>
  </w:style>
  <w:style w:type="paragraph" w:styleId="Header">
    <w:name w:val="header"/>
    <w:basedOn w:val="Normal"/>
    <w:link w:val="HeaderChar"/>
    <w:uiPriority w:val="99"/>
    <w:unhideWhenUsed/>
    <w:rsid w:val="00921776"/>
    <w:pPr>
      <w:tabs>
        <w:tab w:val="center" w:pos="4513"/>
        <w:tab w:val="right" w:pos="9026"/>
      </w:tabs>
      <w:spacing w:after="0" w:line="240" w:lineRule="auto"/>
    </w:pPr>
  </w:style>
  <w:style w:type="character" w:customStyle="1" w:styleId="HeaderChar">
    <w:name w:val="Header Char"/>
    <w:basedOn w:val="DefaultParagraphFont"/>
    <w:link w:val="Header"/>
    <w:uiPriority w:val="99"/>
    <w:rsid w:val="00921776"/>
    <w:rPr>
      <w:rFonts w:ascii="Arial" w:eastAsia="Arial" w:hAnsi="Arial" w:cs="Arial"/>
      <w:color w:val="000000" w:themeColor="text1"/>
    </w:rPr>
  </w:style>
  <w:style w:type="paragraph" w:styleId="Footer">
    <w:name w:val="footer"/>
    <w:basedOn w:val="Normal"/>
    <w:link w:val="FooterChar"/>
    <w:uiPriority w:val="99"/>
    <w:unhideWhenUsed/>
    <w:rsid w:val="00921776"/>
    <w:pPr>
      <w:tabs>
        <w:tab w:val="center" w:pos="4513"/>
        <w:tab w:val="right" w:pos="9026"/>
      </w:tabs>
      <w:spacing w:after="0" w:line="240" w:lineRule="auto"/>
    </w:pPr>
  </w:style>
  <w:style w:type="character" w:customStyle="1" w:styleId="FooterChar">
    <w:name w:val="Footer Char"/>
    <w:basedOn w:val="DefaultParagraphFont"/>
    <w:link w:val="Footer"/>
    <w:uiPriority w:val="99"/>
    <w:rsid w:val="00921776"/>
    <w:rPr>
      <w:rFonts w:ascii="Arial" w:eastAsia="Arial" w:hAnsi="Arial" w:cs="Arial"/>
      <w:color w:val="000000" w:themeColor="text1"/>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56728867">
      <w:bodyDiv w:val="1"/>
      <w:marLeft w:val="0"/>
      <w:marRight w:val="0"/>
      <w:marTop w:val="0"/>
      <w:marBottom w:val="0"/>
      <w:divBdr>
        <w:top w:val="none" w:sz="0" w:space="0" w:color="auto"/>
        <w:left w:val="none" w:sz="0" w:space="0" w:color="auto"/>
        <w:bottom w:val="none" w:sz="0" w:space="0" w:color="auto"/>
        <w:right w:val="none" w:sz="0" w:space="0" w:color="auto"/>
      </w:divBdr>
    </w:div>
    <w:div w:id="502165812">
      <w:bodyDiv w:val="1"/>
      <w:marLeft w:val="0"/>
      <w:marRight w:val="0"/>
      <w:marTop w:val="0"/>
      <w:marBottom w:val="0"/>
      <w:divBdr>
        <w:top w:val="none" w:sz="0" w:space="0" w:color="auto"/>
        <w:left w:val="none" w:sz="0" w:space="0" w:color="auto"/>
        <w:bottom w:val="none" w:sz="0" w:space="0" w:color="auto"/>
        <w:right w:val="none" w:sz="0" w:space="0" w:color="auto"/>
      </w:divBdr>
    </w:div>
    <w:div w:id="648482363">
      <w:bodyDiv w:val="1"/>
      <w:marLeft w:val="0"/>
      <w:marRight w:val="0"/>
      <w:marTop w:val="0"/>
      <w:marBottom w:val="0"/>
      <w:divBdr>
        <w:top w:val="none" w:sz="0" w:space="0" w:color="auto"/>
        <w:left w:val="none" w:sz="0" w:space="0" w:color="auto"/>
        <w:bottom w:val="none" w:sz="0" w:space="0" w:color="auto"/>
        <w:right w:val="none" w:sz="0" w:space="0" w:color="auto"/>
      </w:divBdr>
    </w:div>
    <w:div w:id="1177311650">
      <w:bodyDiv w:val="1"/>
      <w:marLeft w:val="0"/>
      <w:marRight w:val="0"/>
      <w:marTop w:val="0"/>
      <w:marBottom w:val="0"/>
      <w:divBdr>
        <w:top w:val="none" w:sz="0" w:space="0" w:color="auto"/>
        <w:left w:val="none" w:sz="0" w:space="0" w:color="auto"/>
        <w:bottom w:val="none" w:sz="0" w:space="0" w:color="auto"/>
        <w:right w:val="none" w:sz="0" w:space="0" w:color="auto"/>
      </w:divBdr>
    </w:div>
    <w:div w:id="1807510319">
      <w:bodyDiv w:val="1"/>
      <w:marLeft w:val="0"/>
      <w:marRight w:val="0"/>
      <w:marTop w:val="0"/>
      <w:marBottom w:val="0"/>
      <w:divBdr>
        <w:top w:val="none" w:sz="0" w:space="0" w:color="auto"/>
        <w:left w:val="none" w:sz="0" w:space="0" w:color="auto"/>
        <w:bottom w:val="none" w:sz="0" w:space="0" w:color="auto"/>
        <w:right w:val="none" w:sz="0" w:space="0" w:color="auto"/>
      </w:divBdr>
    </w:div>
    <w:div w:id="201375393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hyperlink" Target="https://www.cipd.org/uk/knowledge/factsheets/analytics-factsheet/" TargetMode="External"/><Relationship Id="rId18" Type="http://schemas.openxmlformats.org/officeDocument/2006/relationships/hyperlink" Target="https://www.cipd.org/uk/knowledge/factsheets/hr-policies-factsheet/" TargetMode="External"/><Relationship Id="rId26" Type="http://schemas.openxmlformats.org/officeDocument/2006/relationships/hyperlink" Target="https://smallbusiness.chron.com/hr-add-value-organisation-50980.html" TargetMode="External"/><Relationship Id="rId39" Type="http://schemas.openxmlformats.org/officeDocument/2006/relationships/glossaryDocument" Target="glossary/document.xml"/><Relationship Id="rId21" Type="http://schemas.openxmlformats.org/officeDocument/2006/relationships/hyperlink" Target="https://www.aihr.com/blog/10-trends-in-workforce-analytics/" TargetMode="External"/><Relationship Id="rId34" Type="http://schemas.openxmlformats.org/officeDocument/2006/relationships/hyperlink" Target="https://www.personneltoday.com/hr/what-does-the-cipds-new-professional-framework-mean-for-hr/" TargetMode="External"/><Relationship Id="rId7" Type="http://schemas.openxmlformats.org/officeDocument/2006/relationships/chart" Target="charts/chart1.xml"/><Relationship Id="rId12" Type="http://schemas.openxmlformats.org/officeDocument/2006/relationships/hyperlink" Target="https://www.cipd.org/uk/knowledge/guides/support-long-term-health-conditions/" TargetMode="External"/><Relationship Id="rId17" Type="http://schemas.openxmlformats.org/officeDocument/2006/relationships/hyperlink" Target="https://www.cipd.org/uk/knowledge/factsheets/benefits-factsheet/" TargetMode="External"/><Relationship Id="rId25" Type="http://schemas.openxmlformats.org/officeDocument/2006/relationships/hyperlink" Target="https://hbr.org/2021/10/7-strategies-to-improve-your-employees-health-and-well-being" TargetMode="External"/><Relationship Id="rId33" Type="http://schemas.openxmlformats.org/officeDocument/2006/relationships/hyperlink" Target="https://www.pocketpence.co.uk/compare-performance-management-performance-appraisal/" TargetMode="External"/><Relationship Id="rId38" Type="http://schemas.openxmlformats.org/officeDocument/2006/relationships/fontTable" Target="fontTable.xml"/><Relationship Id="rId2" Type="http://schemas.openxmlformats.org/officeDocument/2006/relationships/styles" Target="styles.xml"/><Relationship Id="rId16" Type="http://schemas.openxmlformats.org/officeDocument/2006/relationships/hyperlink" Target="https://www.cipd.org/uk/the-people-profession/the-profession-map/" TargetMode="External"/><Relationship Id="rId20" Type="http://schemas.openxmlformats.org/officeDocument/2006/relationships/hyperlink" Target="https://www.cipd.org/uk/views-and-insights/thought-leadership/insight/" TargetMode="External"/><Relationship Id="rId29" Type="http://schemas.openxmlformats.org/officeDocument/2006/relationships/hyperlink" Target="https://www.shrm.org/resourcesandtools/hr-topics/people-managers/pages/" TargetMode="Externa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www.bbc.com/worklife/article/20220905-whye-people-are-industry-hopping" TargetMode="External"/><Relationship Id="rId24" Type="http://schemas.openxmlformats.org/officeDocument/2006/relationships/hyperlink" Target="https://www.insidehr.com.au/10-steps-to-building-a-customer-focused-culture/" TargetMode="External"/><Relationship Id="rId32" Type="http://schemas.openxmlformats.org/officeDocument/2006/relationships/hyperlink" Target="https://www.cipd.org/uk/knowledge/factsheets/discipline-factsheet/" TargetMode="External"/><Relationship Id="rId37" Type="http://schemas.openxmlformats.org/officeDocument/2006/relationships/footer" Target="footer1.xml"/><Relationship Id="rId40" Type="http://schemas.openxmlformats.org/officeDocument/2006/relationships/theme" Target="theme/theme1.xml"/><Relationship Id="rId5" Type="http://schemas.openxmlformats.org/officeDocument/2006/relationships/footnotes" Target="footnotes.xml"/><Relationship Id="rId15" Type="http://schemas.openxmlformats.org/officeDocument/2006/relationships/hyperlink" Target="https://www.cipd.org/uk/knowledge/guides/evidence-based-profession/" TargetMode="External"/><Relationship Id="rId23" Type="http://schemas.openxmlformats.org/officeDocument/2006/relationships/hyperlink" Target="https://ca.indeed.com/career-advice/career-development/compensation-and-benefits" TargetMode="External"/><Relationship Id="rId28" Type="http://schemas.openxmlformats.org/officeDocument/2006/relationships/hyperlink" Target="https://sightsinplus.com/hottopic/value/the-role-of-human-resources-as-value-creater/" TargetMode="External"/><Relationship Id="rId36" Type="http://schemas.openxmlformats.org/officeDocument/2006/relationships/header" Target="header1.xml"/><Relationship Id="rId10" Type="http://schemas.openxmlformats.org/officeDocument/2006/relationships/hyperlink" Target="https://www.mckinsey.com/capabilities/strategy-and-corporate-finance/our-insights/" TargetMode="External"/><Relationship Id="rId19" Type="http://schemas.openxmlformats.org/officeDocument/2006/relationships/hyperlink" Target="https://www.linkedin.com/pulse/taking-customer-focused-approach-hr-service-delivery" TargetMode="External"/><Relationship Id="rId31" Type="http://schemas.openxmlformats.org/officeDocument/2006/relationships/hyperlink" Target="https://www.safegraph.com/guides/why-accurate-data-is-important#" TargetMode="External"/><Relationship Id="rId4" Type="http://schemas.openxmlformats.org/officeDocument/2006/relationships/webSettings" Target="webSettings.xml"/><Relationship Id="rId9" Type="http://schemas.openxmlformats.org/officeDocument/2006/relationships/hyperlink" Target="https://www.cipd.org/uk/knowledge/factsheets/hr-standards-factsheet/" TargetMode="External"/><Relationship Id="rId14" Type="http://schemas.openxmlformats.org/officeDocument/2006/relationships/hyperlink" Target="https://www.cipd.org/uk/the-people-profession/the-profession-map" TargetMode="External"/><Relationship Id="rId22" Type="http://schemas.openxmlformats.org/officeDocument/2006/relationships/hyperlink" Target="https://uk.indeed.com/career-advice/career-development/hr-policies" TargetMode="External"/><Relationship Id="rId27" Type="http://schemas.openxmlformats.org/officeDocument/2006/relationships/hyperlink" Target="https://www.linkedin.com/advice/0/how-do-you-balance-quantitative-qualitative-4e" TargetMode="External"/><Relationship Id="rId30" Type="http://schemas.openxmlformats.org/officeDocument/2006/relationships/hyperlink" Target="https://www.cipd.org/uk/knowledge/factsheets/employee-communication/" TargetMode="External"/><Relationship Id="rId35" Type="http://schemas.openxmlformats.org/officeDocument/2006/relationships/hyperlink" Target="https://www.cipd.org/uk/knowledge/factsheets/evidence-based-practice-factsheet/" TargetMode="External"/><Relationship Id="rId8" Type="http://schemas.openxmlformats.org/officeDocument/2006/relationships/chart" Target="charts/chart2.xml"/><Relationship Id="rId3" Type="http://schemas.openxmlformats.org/officeDocument/2006/relationships/settings" Target="settings.xml"/></Relationships>
</file>

<file path=word/_rels/header1.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png"/></Relationships>
</file>

<file path=word/charts/_rels/chart1.xml.rels><?xml version="1.0" encoding="UTF-8" standalone="yes"?>
<Relationships xmlns="http://schemas.openxmlformats.org/package/2006/relationships"><Relationship Id="rId3" Type="http://schemas.openxmlformats.org/officeDocument/2006/relationships/oleObject" Target="Book1" TargetMode="External"/><Relationship Id="rId2" Type="http://schemas.microsoft.com/office/2011/relationships/chartColorStyle" Target="colors1.xml"/><Relationship Id="rId1" Type="http://schemas.microsoft.com/office/2011/relationships/chartStyle" Target="style1.xml"/></Relationships>
</file>

<file path=word/charts/_rels/chart2.xml.rels><?xml version="1.0" encoding="UTF-8" standalone="yes"?>
<Relationships xmlns="http://schemas.openxmlformats.org/package/2006/relationships"><Relationship Id="rId3" Type="http://schemas.openxmlformats.org/officeDocument/2006/relationships/oleObject" Target="Book3" TargetMode="External"/><Relationship Id="rId2" Type="http://schemas.microsoft.com/office/2011/relationships/chartColorStyle" Target="colors2.xml"/><Relationship Id="rId1" Type="http://schemas.microsoft.com/office/2011/relationships/chartStyle" Target="style2.xml"/></Relationships>
</file>

<file path=word/charts/chart1.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7"/>
    </mc:Choice>
    <mc:Fallback>
      <c:style val="7"/>
    </mc:Fallback>
  </mc:AlternateContent>
  <c:chart>
    <c:title>
      <c:tx>
        <c:rich>
          <a:bodyPr rot="0" spcFirstLastPara="1" vertOverflow="ellipsis" vert="horz" wrap="square" anchor="ctr" anchorCtr="1"/>
          <a:lstStyle/>
          <a:p>
            <a:pPr>
              <a:defRPr sz="1800" b="0" i="0" u="none" strike="noStrike" kern="1200" cap="none" spc="0" baseline="0">
                <a:ln w="0"/>
                <a:solidFill>
                  <a:schemeClr val="tx1"/>
                </a:solidFill>
                <a:effectLst>
                  <a:outerShdw blurRad="38100" dist="19050" dir="2700000" algn="tl" rotWithShape="0">
                    <a:schemeClr val="dk1">
                      <a:alpha val="40000"/>
                    </a:schemeClr>
                  </a:outerShdw>
                </a:effectLst>
                <a:latin typeface="+mn-lt"/>
                <a:ea typeface="+mn-ea"/>
                <a:cs typeface="+mn-cs"/>
              </a:defRPr>
            </a:pPr>
            <a:r>
              <a:rPr lang="en-US" b="1" u="sng"/>
              <a:t>Reasons</a:t>
            </a:r>
            <a:r>
              <a:rPr lang="en-US" b="1" u="sng" baseline="0"/>
              <a:t> for Employees Leaving</a:t>
            </a:r>
            <a:endParaRPr lang="en-US" b="1" u="sng"/>
          </a:p>
        </c:rich>
      </c:tx>
      <c:overlay val="0"/>
      <c:spPr>
        <a:noFill/>
        <a:ln>
          <a:noFill/>
        </a:ln>
        <a:effectLst/>
      </c:spPr>
      <c:txPr>
        <a:bodyPr rot="0" spcFirstLastPara="1" vertOverflow="ellipsis" vert="horz" wrap="square" anchor="ctr" anchorCtr="1"/>
        <a:lstStyle/>
        <a:p>
          <a:pPr>
            <a:defRPr sz="1800" b="0" i="0" u="none" strike="noStrike" kern="1200" cap="none" spc="0" baseline="0">
              <a:ln w="0"/>
              <a:solidFill>
                <a:schemeClr val="tx1"/>
              </a:solidFill>
              <a:effectLst>
                <a:outerShdw blurRad="38100" dist="19050" dir="2700000" algn="tl" rotWithShape="0">
                  <a:schemeClr val="dk1">
                    <a:alpha val="40000"/>
                  </a:schemeClr>
                </a:outerShdw>
              </a:effectLst>
              <a:latin typeface="+mn-lt"/>
              <a:ea typeface="+mn-ea"/>
              <a:cs typeface="+mn-cs"/>
            </a:defRPr>
          </a:pPr>
          <a:endParaRPr lang="en-US"/>
        </a:p>
      </c:txPr>
    </c:title>
    <c:autoTitleDeleted val="0"/>
    <c:plotArea>
      <c:layout/>
      <c:barChart>
        <c:barDir val="bar"/>
        <c:grouping val="clustered"/>
        <c:varyColors val="0"/>
        <c:ser>
          <c:idx val="0"/>
          <c:order val="0"/>
          <c:tx>
            <c:strRef>
              <c:f>Sheet1!$B$1</c:f>
              <c:strCache>
                <c:ptCount val="1"/>
                <c:pt idx="0">
                  <c:v>Percentage (%)</c:v>
                </c:pt>
              </c:strCache>
            </c:strRef>
          </c:tx>
          <c:spPr>
            <a:solidFill>
              <a:schemeClr val="accent5">
                <a:alpha val="85000"/>
              </a:schemeClr>
            </a:solidFill>
            <a:ln w="9525" cap="flat" cmpd="sng" algn="ctr">
              <a:solidFill>
                <a:schemeClr val="lt1">
                  <a:alpha val="50000"/>
                </a:schemeClr>
              </a:solidFill>
              <a:round/>
            </a:ln>
            <a:effectLst/>
          </c:spPr>
          <c:invertIfNegative val="0"/>
          <c:dLbls>
            <c:spPr>
              <a:noFill/>
              <a:ln>
                <a:noFill/>
              </a:ln>
              <a:effectLst/>
            </c:spPr>
            <c:txPr>
              <a:bodyPr rot="0" spcFirstLastPara="1" vertOverflow="ellipsis" vert="horz" wrap="square" anchor="ctr" anchorCtr="1"/>
              <a:lstStyle/>
              <a:p>
                <a:pPr>
                  <a:defRPr sz="900" b="0" i="0" u="none" strike="noStrike" kern="1200" cap="none" spc="0" baseline="0">
                    <a:ln w="0"/>
                    <a:solidFill>
                      <a:schemeClr val="tx1"/>
                    </a:solidFill>
                    <a:effectLst>
                      <a:outerShdw blurRad="38100" dist="19050" dir="2700000" algn="tl" rotWithShape="0">
                        <a:schemeClr val="dk1">
                          <a:alpha val="40000"/>
                        </a:schemeClr>
                      </a:outerShdw>
                    </a:effectLst>
                    <a:latin typeface="+mn-lt"/>
                    <a:ea typeface="+mn-ea"/>
                    <a:cs typeface="+mn-cs"/>
                  </a:defRPr>
                </a:pPr>
                <a:endParaRPr lang="en-US"/>
              </a:p>
            </c:txPr>
            <c:dLblPos val="outEnd"/>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a:solidFill>
                        <a:schemeClr val="dk1">
                          <a:lumMod val="50000"/>
                          <a:lumOff val="50000"/>
                        </a:schemeClr>
                      </a:solidFill>
                    </a:ln>
                    <a:effectLst/>
                  </c:spPr>
                </c15:leaderLines>
              </c:ext>
            </c:extLst>
          </c:dLbls>
          <c:cat>
            <c:strRef>
              <c:f>Sheet1!$A$2:$A$16</c:f>
              <c:strCache>
                <c:ptCount val="15"/>
                <c:pt idx="0">
                  <c:v>Failed Probation Period</c:v>
                </c:pt>
                <c:pt idx="1">
                  <c:v>Redundancy</c:v>
                </c:pt>
                <c:pt idx="2">
                  <c:v>Resignation - Caring Responsibilities</c:v>
                </c:pt>
                <c:pt idx="3">
                  <c:v>Resignation - Whilst under Investigation</c:v>
                </c:pt>
                <c:pt idx="4">
                  <c:v>End of Contract</c:v>
                </c:pt>
                <c:pt idx="5">
                  <c:v>Maternity non returner</c:v>
                </c:pt>
                <c:pt idx="6">
                  <c:v>Resignation - Moving from the Area</c:v>
                </c:pt>
                <c:pt idx="7">
                  <c:v>Dismissal - Summary</c:v>
                </c:pt>
                <c:pt idx="8">
                  <c:v>Retirement</c:v>
                </c:pt>
                <c:pt idx="9">
                  <c:v>Resignation - Promotion</c:v>
                </c:pt>
                <c:pt idx="10">
                  <c:v>Resignation - Change of Career</c:v>
                </c:pt>
                <c:pt idx="11">
                  <c:v>Ill Health</c:v>
                </c:pt>
                <c:pt idx="12">
                  <c:v>Resignation - Job not as expected</c:v>
                </c:pt>
                <c:pt idx="13">
                  <c:v>Resignation</c:v>
                </c:pt>
                <c:pt idx="14">
                  <c:v>Resignation - Pay / Benefits related</c:v>
                </c:pt>
              </c:strCache>
            </c:strRef>
          </c:cat>
          <c:val>
            <c:numRef>
              <c:f>Sheet1!$B$2:$B$16</c:f>
              <c:numCache>
                <c:formatCode>General</c:formatCode>
                <c:ptCount val="15"/>
                <c:pt idx="0">
                  <c:v>1.81</c:v>
                </c:pt>
                <c:pt idx="1">
                  <c:v>1.81</c:v>
                </c:pt>
                <c:pt idx="2">
                  <c:v>1.81</c:v>
                </c:pt>
                <c:pt idx="3">
                  <c:v>1.81</c:v>
                </c:pt>
                <c:pt idx="4">
                  <c:v>3.63</c:v>
                </c:pt>
                <c:pt idx="5">
                  <c:v>3.63</c:v>
                </c:pt>
                <c:pt idx="6">
                  <c:v>3.63</c:v>
                </c:pt>
                <c:pt idx="7">
                  <c:v>5.45</c:v>
                </c:pt>
                <c:pt idx="8">
                  <c:v>4.45</c:v>
                </c:pt>
                <c:pt idx="9">
                  <c:v>7.27</c:v>
                </c:pt>
                <c:pt idx="10">
                  <c:v>9.1</c:v>
                </c:pt>
                <c:pt idx="11">
                  <c:v>10.9</c:v>
                </c:pt>
                <c:pt idx="12">
                  <c:v>10.9</c:v>
                </c:pt>
                <c:pt idx="13">
                  <c:v>12.72</c:v>
                </c:pt>
                <c:pt idx="14">
                  <c:v>18.18</c:v>
                </c:pt>
              </c:numCache>
            </c:numRef>
          </c:val>
          <c:extLst>
            <c:ext xmlns:c16="http://schemas.microsoft.com/office/drawing/2014/chart" uri="{C3380CC4-5D6E-409C-BE32-E72D297353CC}">
              <c16:uniqueId val="{00000000-0183-4025-9C8C-C65F27508B59}"/>
            </c:ext>
          </c:extLst>
        </c:ser>
        <c:dLbls>
          <c:dLblPos val="outEnd"/>
          <c:showLegendKey val="0"/>
          <c:showVal val="1"/>
          <c:showCatName val="0"/>
          <c:showSerName val="0"/>
          <c:showPercent val="0"/>
          <c:showBubbleSize val="0"/>
        </c:dLbls>
        <c:gapWidth val="65"/>
        <c:axId val="2091495359"/>
        <c:axId val="2091493279"/>
      </c:barChart>
      <c:catAx>
        <c:axId val="2091495359"/>
        <c:scaling>
          <c:orientation val="minMax"/>
        </c:scaling>
        <c:delete val="0"/>
        <c:axPos val="l"/>
        <c:title>
          <c:tx>
            <c:rich>
              <a:bodyPr rot="-5400000" spcFirstLastPara="1" vertOverflow="ellipsis" vert="horz" wrap="square" anchor="ctr" anchorCtr="1"/>
              <a:lstStyle/>
              <a:p>
                <a:pPr>
                  <a:defRPr sz="900" b="0" i="0" u="none" strike="noStrike" kern="1200" cap="none" spc="0" baseline="0">
                    <a:ln w="0"/>
                    <a:solidFill>
                      <a:schemeClr val="tx1"/>
                    </a:solidFill>
                    <a:effectLst>
                      <a:outerShdw blurRad="38100" dist="19050" dir="2700000" algn="tl" rotWithShape="0">
                        <a:schemeClr val="dk1">
                          <a:alpha val="40000"/>
                        </a:schemeClr>
                      </a:outerShdw>
                    </a:effectLst>
                    <a:latin typeface="+mn-lt"/>
                    <a:ea typeface="+mn-ea"/>
                    <a:cs typeface="+mn-cs"/>
                  </a:defRPr>
                </a:pPr>
                <a:r>
                  <a:rPr lang="en-GB" b="1"/>
                  <a:t>Reasons</a:t>
                </a:r>
                <a:r>
                  <a:rPr lang="en-GB" b="1" baseline="0"/>
                  <a:t> for Leaving</a:t>
                </a:r>
                <a:endParaRPr lang="en-GB" b="1"/>
              </a:p>
            </c:rich>
          </c:tx>
          <c:overlay val="0"/>
          <c:spPr>
            <a:noFill/>
            <a:ln>
              <a:noFill/>
            </a:ln>
            <a:effectLst/>
          </c:spPr>
          <c:txPr>
            <a:bodyPr rot="-5400000" spcFirstLastPara="1" vertOverflow="ellipsis" vert="horz" wrap="square" anchor="ctr" anchorCtr="1"/>
            <a:lstStyle/>
            <a:p>
              <a:pPr>
                <a:defRPr sz="900" b="0" i="0" u="none" strike="noStrike" kern="1200" cap="none" spc="0" baseline="0">
                  <a:ln w="0"/>
                  <a:solidFill>
                    <a:schemeClr val="tx1"/>
                  </a:solidFill>
                  <a:effectLst>
                    <a:outerShdw blurRad="38100" dist="19050" dir="2700000" algn="tl" rotWithShape="0">
                      <a:schemeClr val="dk1">
                        <a:alpha val="40000"/>
                      </a:schemeClr>
                    </a:outerShdw>
                  </a:effectLst>
                  <a:latin typeface="+mn-lt"/>
                  <a:ea typeface="+mn-ea"/>
                  <a:cs typeface="+mn-cs"/>
                </a:defRPr>
              </a:pPr>
              <a:endParaRPr lang="en-US"/>
            </a:p>
          </c:txPr>
        </c:title>
        <c:numFmt formatCode="General" sourceLinked="1"/>
        <c:majorTickMark val="none"/>
        <c:minorTickMark val="none"/>
        <c:tickLblPos val="nextTo"/>
        <c:spPr>
          <a:noFill/>
          <a:ln w="19050" cap="flat" cmpd="sng" algn="ctr">
            <a:solidFill>
              <a:schemeClr val="dk1">
                <a:lumMod val="75000"/>
                <a:lumOff val="25000"/>
              </a:schemeClr>
            </a:solidFill>
            <a:round/>
          </a:ln>
          <a:effectLst/>
        </c:spPr>
        <c:txPr>
          <a:bodyPr rot="-60000000" spcFirstLastPara="1" vertOverflow="ellipsis" vert="horz" wrap="square" anchor="ctr" anchorCtr="1"/>
          <a:lstStyle/>
          <a:p>
            <a:pPr>
              <a:defRPr sz="900" b="0" i="0" u="none" strike="noStrike" kern="1200" cap="none" spc="0" baseline="0">
                <a:ln w="0"/>
                <a:solidFill>
                  <a:schemeClr val="tx1"/>
                </a:solidFill>
                <a:effectLst>
                  <a:outerShdw blurRad="38100" dist="19050" dir="2700000" algn="tl" rotWithShape="0">
                    <a:schemeClr val="dk1">
                      <a:alpha val="40000"/>
                    </a:schemeClr>
                  </a:outerShdw>
                </a:effectLst>
                <a:latin typeface="+mn-lt"/>
                <a:ea typeface="+mn-ea"/>
                <a:cs typeface="+mn-cs"/>
              </a:defRPr>
            </a:pPr>
            <a:endParaRPr lang="en-US"/>
          </a:p>
        </c:txPr>
        <c:crossAx val="2091493279"/>
        <c:crosses val="autoZero"/>
        <c:auto val="1"/>
        <c:lblAlgn val="ctr"/>
        <c:lblOffset val="100"/>
        <c:noMultiLvlLbl val="0"/>
      </c:catAx>
      <c:valAx>
        <c:axId val="2091493279"/>
        <c:scaling>
          <c:orientation val="minMax"/>
        </c:scaling>
        <c:delete val="0"/>
        <c:axPos val="b"/>
        <c:majorGridlines>
          <c:spPr>
            <a:ln w="9525" cap="flat" cmpd="sng" algn="ctr">
              <a:gradFill>
                <a:gsLst>
                  <a:gs pos="100000">
                    <a:schemeClr val="dk1">
                      <a:lumMod val="95000"/>
                      <a:lumOff val="5000"/>
                      <a:alpha val="42000"/>
                    </a:schemeClr>
                  </a:gs>
                  <a:gs pos="0">
                    <a:schemeClr val="lt1">
                      <a:lumMod val="75000"/>
                      <a:alpha val="36000"/>
                    </a:schemeClr>
                  </a:gs>
                </a:gsLst>
                <a:lin ang="5400000" scaled="0"/>
              </a:gradFill>
              <a:round/>
            </a:ln>
            <a:effectLst/>
          </c:spPr>
        </c:majorGridlines>
        <c:title>
          <c:tx>
            <c:rich>
              <a:bodyPr rot="0" spcFirstLastPara="1" vertOverflow="ellipsis" vert="horz" wrap="square" anchor="ctr" anchorCtr="1"/>
              <a:lstStyle/>
              <a:p>
                <a:pPr>
                  <a:defRPr sz="900" b="0" i="0" u="none" strike="noStrike" kern="1200" cap="none" spc="0" baseline="0">
                    <a:ln w="0"/>
                    <a:solidFill>
                      <a:schemeClr val="tx1"/>
                    </a:solidFill>
                    <a:effectLst>
                      <a:outerShdw blurRad="38100" dist="19050" dir="2700000" algn="tl" rotWithShape="0">
                        <a:schemeClr val="dk1">
                          <a:alpha val="40000"/>
                        </a:schemeClr>
                      </a:outerShdw>
                    </a:effectLst>
                    <a:latin typeface="+mn-lt"/>
                    <a:ea typeface="+mn-ea"/>
                    <a:cs typeface="+mn-cs"/>
                  </a:defRPr>
                </a:pPr>
                <a:r>
                  <a:rPr lang="en-GB" b="1"/>
                  <a:t>Percentage</a:t>
                </a:r>
                <a:r>
                  <a:rPr lang="en-GB" b="1" baseline="0"/>
                  <a:t> (%)</a:t>
                </a:r>
                <a:endParaRPr lang="en-GB" b="1"/>
              </a:p>
            </c:rich>
          </c:tx>
          <c:overlay val="0"/>
          <c:spPr>
            <a:noFill/>
            <a:ln>
              <a:noFill/>
            </a:ln>
            <a:effectLst/>
          </c:spPr>
          <c:txPr>
            <a:bodyPr rot="0" spcFirstLastPara="1" vertOverflow="ellipsis" vert="horz" wrap="square" anchor="ctr" anchorCtr="1"/>
            <a:lstStyle/>
            <a:p>
              <a:pPr>
                <a:defRPr sz="900" b="0" i="0" u="none" strike="noStrike" kern="1200" cap="none" spc="0" baseline="0">
                  <a:ln w="0"/>
                  <a:solidFill>
                    <a:schemeClr val="tx1"/>
                  </a:solidFill>
                  <a:effectLst>
                    <a:outerShdw blurRad="38100" dist="19050" dir="2700000" algn="tl" rotWithShape="0">
                      <a:schemeClr val="dk1">
                        <a:alpha val="40000"/>
                      </a:schemeClr>
                    </a:outerShdw>
                  </a:effectLst>
                  <a:latin typeface="+mn-lt"/>
                  <a:ea typeface="+mn-ea"/>
                  <a:cs typeface="+mn-cs"/>
                </a:defRPr>
              </a:pPr>
              <a:endParaRPr lang="en-US"/>
            </a:p>
          </c:txPr>
        </c:title>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cap="none" spc="0" baseline="0">
                <a:ln w="0"/>
                <a:solidFill>
                  <a:schemeClr val="tx1"/>
                </a:solidFill>
                <a:effectLst>
                  <a:outerShdw blurRad="38100" dist="19050" dir="2700000" algn="tl" rotWithShape="0">
                    <a:schemeClr val="dk1">
                      <a:alpha val="40000"/>
                    </a:schemeClr>
                  </a:outerShdw>
                </a:effectLst>
                <a:latin typeface="+mn-lt"/>
                <a:ea typeface="+mn-ea"/>
                <a:cs typeface="+mn-cs"/>
              </a:defRPr>
            </a:pPr>
            <a:endParaRPr lang="en-US"/>
          </a:p>
        </c:txPr>
        <c:crossAx val="2091495359"/>
        <c:crosses val="autoZero"/>
        <c:crossBetween val="between"/>
      </c:valAx>
      <c:spPr>
        <a:noFill/>
        <a:ln>
          <a:noFill/>
        </a:ln>
        <a:effectLst/>
      </c:spPr>
    </c:plotArea>
    <c:plotVisOnly val="1"/>
    <c:dispBlanksAs val="gap"/>
    <c:showDLblsOverMax val="0"/>
  </c:chart>
  <c:spPr>
    <a:solidFill>
      <a:schemeClr val="tx2">
        <a:lumMod val="40000"/>
        <a:lumOff val="60000"/>
      </a:schemeClr>
    </a:solidFill>
    <a:ln w="9525" cap="flat" cmpd="sng" algn="ctr">
      <a:solidFill>
        <a:schemeClr val="dk1">
          <a:lumMod val="25000"/>
          <a:lumOff val="75000"/>
        </a:schemeClr>
      </a:solidFill>
      <a:round/>
    </a:ln>
    <a:effectLst/>
  </c:spPr>
  <c:txPr>
    <a:bodyPr/>
    <a:lstStyle/>
    <a:p>
      <a:pPr>
        <a:defRPr b="0" cap="none" spc="0">
          <a:ln w="0"/>
          <a:solidFill>
            <a:schemeClr val="tx1"/>
          </a:solidFill>
          <a:effectLst>
            <a:outerShdw blurRad="38100" dist="19050" dir="2700000" algn="tl" rotWithShape="0">
              <a:schemeClr val="dk1">
                <a:alpha val="40000"/>
              </a:schemeClr>
            </a:outerShdw>
          </a:effectLst>
        </a:defRPr>
      </a:pPr>
      <a:endParaRPr lang="en-US"/>
    </a:p>
  </c:txPr>
  <c:externalData r:id="rId3">
    <c:autoUpdate val="0"/>
  </c:externalData>
</c:chartSpace>
</file>

<file path=word/charts/chart2.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7"/>
    </mc:Choice>
    <mc:Fallback>
      <c:style val="7"/>
    </mc:Fallback>
  </mc:AlternateContent>
  <c:chart>
    <c:title>
      <c:tx>
        <c:rich>
          <a:bodyPr rot="0" spcFirstLastPara="1" vertOverflow="ellipsis" vert="horz" wrap="square" anchor="ctr" anchorCtr="1"/>
          <a:lstStyle/>
          <a:p>
            <a:pPr>
              <a:defRPr sz="1800" b="0" i="0" u="none" strike="noStrike" kern="1200" cap="none" spc="0" baseline="0">
                <a:ln w="0"/>
                <a:solidFill>
                  <a:schemeClr val="tx1"/>
                </a:solidFill>
                <a:effectLst>
                  <a:outerShdw blurRad="38100" dist="19050" dir="2700000" algn="tl" rotWithShape="0">
                    <a:schemeClr val="dk1">
                      <a:alpha val="40000"/>
                    </a:schemeClr>
                  </a:outerShdw>
                </a:effectLst>
                <a:latin typeface="+mn-lt"/>
                <a:ea typeface="+mn-ea"/>
                <a:cs typeface="+mn-cs"/>
              </a:defRPr>
            </a:pPr>
            <a:r>
              <a:rPr lang="en-US" b="1" u="sng"/>
              <a:t>Average Length of Service in</a:t>
            </a:r>
            <a:r>
              <a:rPr lang="en-US" b="1" u="sng" baseline="0"/>
              <a:t> Teams</a:t>
            </a:r>
            <a:endParaRPr lang="en-US" b="1" u="sng"/>
          </a:p>
        </c:rich>
      </c:tx>
      <c:overlay val="0"/>
      <c:spPr>
        <a:noFill/>
        <a:ln>
          <a:noFill/>
        </a:ln>
        <a:effectLst/>
      </c:spPr>
      <c:txPr>
        <a:bodyPr rot="0" spcFirstLastPara="1" vertOverflow="ellipsis" vert="horz" wrap="square" anchor="ctr" anchorCtr="1"/>
        <a:lstStyle/>
        <a:p>
          <a:pPr>
            <a:defRPr sz="1800" b="0" i="0" u="none" strike="noStrike" kern="1200" cap="none" spc="0" baseline="0">
              <a:ln w="0"/>
              <a:solidFill>
                <a:schemeClr val="tx1"/>
              </a:solidFill>
              <a:effectLst>
                <a:outerShdw blurRad="38100" dist="19050" dir="2700000" algn="tl" rotWithShape="0">
                  <a:schemeClr val="dk1">
                    <a:alpha val="40000"/>
                  </a:schemeClr>
                </a:outerShdw>
              </a:effectLst>
              <a:latin typeface="+mn-lt"/>
              <a:ea typeface="+mn-ea"/>
              <a:cs typeface="+mn-cs"/>
            </a:defRPr>
          </a:pPr>
          <a:endParaRPr lang="en-US"/>
        </a:p>
      </c:txPr>
    </c:title>
    <c:autoTitleDeleted val="0"/>
    <c:plotArea>
      <c:layout/>
      <c:lineChart>
        <c:grouping val="standard"/>
        <c:varyColors val="0"/>
        <c:ser>
          <c:idx val="0"/>
          <c:order val="0"/>
          <c:tx>
            <c:strRef>
              <c:f>Sheet1!$B$1</c:f>
              <c:strCache>
                <c:ptCount val="1"/>
                <c:pt idx="0">
                  <c:v>Average Length of Service (Months)</c:v>
                </c:pt>
              </c:strCache>
            </c:strRef>
          </c:tx>
          <c:spPr>
            <a:ln w="38100" cap="flat" cmpd="dbl" algn="ctr">
              <a:solidFill>
                <a:schemeClr val="accent5"/>
              </a:solidFill>
              <a:miter lim="800000"/>
            </a:ln>
            <a:effectLst/>
          </c:spPr>
          <c:marker>
            <c:symbol val="none"/>
          </c:marker>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cap="none" spc="0" baseline="0">
                    <a:ln w="0"/>
                    <a:solidFill>
                      <a:schemeClr val="tx1"/>
                    </a:solidFill>
                    <a:effectLst>
                      <a:outerShdw blurRad="38100" dist="19050" dir="2700000" algn="tl" rotWithShape="0">
                        <a:schemeClr val="dk1">
                          <a:alpha val="40000"/>
                        </a:schemeClr>
                      </a:outerShdw>
                    </a:effectLst>
                    <a:latin typeface="+mn-lt"/>
                    <a:ea typeface="+mn-ea"/>
                    <a:cs typeface="+mn-cs"/>
                  </a:defRPr>
                </a:pPr>
                <a:endParaRPr lang="en-US"/>
              </a:p>
            </c:txPr>
            <c:dLblPos val="t"/>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a:solidFill>
                        <a:schemeClr val="tx1">
                          <a:lumMod val="35000"/>
                          <a:lumOff val="65000"/>
                        </a:schemeClr>
                      </a:solidFill>
                    </a:ln>
                    <a:effectLst/>
                  </c:spPr>
                </c15:leaderLines>
              </c:ext>
            </c:extLst>
          </c:dLbls>
          <c:cat>
            <c:strRef>
              <c:f>Sheet1!$A$2:$A$15</c:f>
              <c:strCache>
                <c:ptCount val="14"/>
                <c:pt idx="0">
                  <c:v>Regeneration</c:v>
                </c:pt>
                <c:pt idx="1">
                  <c:v>Lettings</c:v>
                </c:pt>
                <c:pt idx="2">
                  <c:v>Supported Housing</c:v>
                </c:pt>
                <c:pt idx="3">
                  <c:v>Income</c:v>
                </c:pt>
                <c:pt idx="4">
                  <c:v>Finance</c:v>
                </c:pt>
                <c:pt idx="5">
                  <c:v>Green Spaces</c:v>
                </c:pt>
                <c:pt idx="6">
                  <c:v>Tenancy Team</c:v>
                </c:pt>
                <c:pt idx="7">
                  <c:v>People Services</c:v>
                </c:pt>
                <c:pt idx="8">
                  <c:v>Housing</c:v>
                </c:pt>
                <c:pt idx="9">
                  <c:v>Community Engagement and Partnerships</c:v>
                </c:pt>
                <c:pt idx="10">
                  <c:v>Governance</c:v>
                </c:pt>
                <c:pt idx="11">
                  <c:v>Customer Services</c:v>
                </c:pt>
                <c:pt idx="12">
                  <c:v>Business Services</c:v>
                </c:pt>
                <c:pt idx="13">
                  <c:v>Property Team</c:v>
                </c:pt>
              </c:strCache>
            </c:strRef>
          </c:cat>
          <c:val>
            <c:numRef>
              <c:f>Sheet1!$B$2:$B$15</c:f>
              <c:numCache>
                <c:formatCode>General</c:formatCode>
                <c:ptCount val="14"/>
                <c:pt idx="0">
                  <c:v>11</c:v>
                </c:pt>
                <c:pt idx="1">
                  <c:v>14.5</c:v>
                </c:pt>
                <c:pt idx="2">
                  <c:v>21.3</c:v>
                </c:pt>
                <c:pt idx="3">
                  <c:v>22</c:v>
                </c:pt>
                <c:pt idx="4">
                  <c:v>23.5</c:v>
                </c:pt>
                <c:pt idx="5">
                  <c:v>24.1</c:v>
                </c:pt>
                <c:pt idx="6">
                  <c:v>26</c:v>
                </c:pt>
                <c:pt idx="7">
                  <c:v>33</c:v>
                </c:pt>
                <c:pt idx="8">
                  <c:v>73</c:v>
                </c:pt>
                <c:pt idx="9">
                  <c:v>74.599999999999994</c:v>
                </c:pt>
                <c:pt idx="10">
                  <c:v>79</c:v>
                </c:pt>
                <c:pt idx="11">
                  <c:v>89.25</c:v>
                </c:pt>
                <c:pt idx="12">
                  <c:v>94.5</c:v>
                </c:pt>
                <c:pt idx="13">
                  <c:v>95.4</c:v>
                </c:pt>
              </c:numCache>
            </c:numRef>
          </c:val>
          <c:smooth val="0"/>
          <c:extLst>
            <c:ext xmlns:c16="http://schemas.microsoft.com/office/drawing/2014/chart" uri="{C3380CC4-5D6E-409C-BE32-E72D297353CC}">
              <c16:uniqueId val="{00000000-E8A3-4232-A096-2F2789A07CF7}"/>
            </c:ext>
          </c:extLst>
        </c:ser>
        <c:dLbls>
          <c:dLblPos val="t"/>
          <c:showLegendKey val="0"/>
          <c:showVal val="1"/>
          <c:showCatName val="0"/>
          <c:showSerName val="0"/>
          <c:showPercent val="0"/>
          <c:showBubbleSize val="0"/>
        </c:dLbls>
        <c:smooth val="0"/>
        <c:axId val="640958079"/>
        <c:axId val="644412895"/>
      </c:lineChart>
      <c:catAx>
        <c:axId val="640958079"/>
        <c:scaling>
          <c:orientation val="minMax"/>
        </c:scaling>
        <c:delete val="0"/>
        <c:axPos val="b"/>
        <c:majorGridlines>
          <c:spPr>
            <a:ln w="9525" cap="flat" cmpd="sng" algn="ctr">
              <a:solidFill>
                <a:schemeClr val="tx1">
                  <a:lumMod val="15000"/>
                  <a:lumOff val="85000"/>
                  <a:alpha val="32000"/>
                </a:schemeClr>
              </a:solidFill>
              <a:round/>
            </a:ln>
            <a:effectLst/>
          </c:spPr>
        </c:majorGridlines>
        <c:title>
          <c:tx>
            <c:rich>
              <a:bodyPr rot="0" spcFirstLastPara="1" vertOverflow="ellipsis" vert="horz" wrap="square" anchor="ctr" anchorCtr="1"/>
              <a:lstStyle/>
              <a:p>
                <a:pPr>
                  <a:defRPr sz="900" b="0" i="0" u="none" strike="noStrike" kern="1200" cap="none" spc="0" baseline="0">
                    <a:ln w="0"/>
                    <a:solidFill>
                      <a:schemeClr val="tx1"/>
                    </a:solidFill>
                    <a:effectLst>
                      <a:outerShdw blurRad="38100" dist="19050" dir="2700000" algn="tl" rotWithShape="0">
                        <a:schemeClr val="dk1">
                          <a:alpha val="40000"/>
                        </a:schemeClr>
                      </a:outerShdw>
                    </a:effectLst>
                    <a:latin typeface="+mn-lt"/>
                    <a:ea typeface="+mn-ea"/>
                    <a:cs typeface="+mn-cs"/>
                  </a:defRPr>
                </a:pPr>
                <a:r>
                  <a:rPr lang="en-GB" b="1"/>
                  <a:t>Team</a:t>
                </a:r>
              </a:p>
            </c:rich>
          </c:tx>
          <c:overlay val="0"/>
          <c:spPr>
            <a:noFill/>
            <a:ln>
              <a:noFill/>
            </a:ln>
            <a:effectLst/>
          </c:spPr>
          <c:txPr>
            <a:bodyPr rot="0" spcFirstLastPara="1" vertOverflow="ellipsis" vert="horz" wrap="square" anchor="ctr" anchorCtr="1"/>
            <a:lstStyle/>
            <a:p>
              <a:pPr>
                <a:defRPr sz="900" b="0" i="0" u="none" strike="noStrike" kern="1200" cap="none" spc="0" baseline="0">
                  <a:ln w="0"/>
                  <a:solidFill>
                    <a:schemeClr val="tx1"/>
                  </a:solidFill>
                  <a:effectLst>
                    <a:outerShdw blurRad="38100" dist="19050" dir="2700000" algn="tl" rotWithShape="0">
                      <a:schemeClr val="dk1">
                        <a:alpha val="40000"/>
                      </a:schemeClr>
                    </a:outerShdw>
                  </a:effectLst>
                  <a:latin typeface="+mn-lt"/>
                  <a:ea typeface="+mn-ea"/>
                  <a:cs typeface="+mn-cs"/>
                </a:defRPr>
              </a:pPr>
              <a:endParaRPr lang="en-US"/>
            </a:p>
          </c:txPr>
        </c:title>
        <c:numFmt formatCode="General" sourceLinked="1"/>
        <c:majorTickMark val="none"/>
        <c:minorTickMark val="none"/>
        <c:tickLblPos val="nextTo"/>
        <c:spPr>
          <a:noFill/>
          <a:ln w="3175" cap="flat" cmpd="sng" algn="ctr">
            <a:solidFill>
              <a:schemeClr val="tx1">
                <a:lumMod val="15000"/>
                <a:lumOff val="85000"/>
              </a:schemeClr>
            </a:solidFill>
            <a:round/>
            <a:tailEnd type="none" w="med" len="lg"/>
          </a:ln>
          <a:effectLst/>
        </c:spPr>
        <c:txPr>
          <a:bodyPr rot="-60000000" spcFirstLastPara="1" vertOverflow="ellipsis" vert="horz" wrap="square" anchor="ctr" anchorCtr="1"/>
          <a:lstStyle/>
          <a:p>
            <a:pPr>
              <a:defRPr sz="900" b="0" i="0" u="none" strike="noStrike" kern="1200" cap="none" spc="0" baseline="0">
                <a:ln w="0"/>
                <a:solidFill>
                  <a:schemeClr val="tx1"/>
                </a:solidFill>
                <a:effectLst>
                  <a:outerShdw blurRad="38100" dist="19050" dir="2700000" algn="tl" rotWithShape="0">
                    <a:schemeClr val="dk1">
                      <a:alpha val="40000"/>
                    </a:schemeClr>
                  </a:outerShdw>
                </a:effectLst>
                <a:latin typeface="+mn-lt"/>
                <a:ea typeface="+mn-ea"/>
                <a:cs typeface="+mn-cs"/>
              </a:defRPr>
            </a:pPr>
            <a:endParaRPr lang="en-US"/>
          </a:p>
        </c:txPr>
        <c:crossAx val="644412895"/>
        <c:crosses val="autoZero"/>
        <c:auto val="1"/>
        <c:lblAlgn val="ctr"/>
        <c:lblOffset val="100"/>
        <c:noMultiLvlLbl val="0"/>
      </c:catAx>
      <c:valAx>
        <c:axId val="644412895"/>
        <c:scaling>
          <c:orientation val="minMax"/>
        </c:scaling>
        <c:delete val="0"/>
        <c:axPos val="l"/>
        <c:majorGridlines>
          <c:spPr>
            <a:ln w="9525" cap="flat" cmpd="sng" algn="ctr">
              <a:solidFill>
                <a:schemeClr val="tx1">
                  <a:lumMod val="15000"/>
                  <a:lumOff val="85000"/>
                  <a:alpha val="32000"/>
                </a:schemeClr>
              </a:solidFill>
              <a:round/>
            </a:ln>
            <a:effectLst/>
          </c:spPr>
        </c:majorGridlines>
        <c:title>
          <c:tx>
            <c:rich>
              <a:bodyPr rot="-5400000" spcFirstLastPara="1" vertOverflow="ellipsis" vert="horz" wrap="square" anchor="ctr" anchorCtr="1"/>
              <a:lstStyle/>
              <a:p>
                <a:pPr>
                  <a:defRPr sz="900" b="0" i="0" u="none" strike="noStrike" kern="1200" cap="none" spc="0" baseline="0">
                    <a:ln w="0"/>
                    <a:solidFill>
                      <a:schemeClr val="tx1"/>
                    </a:solidFill>
                    <a:effectLst>
                      <a:outerShdw blurRad="38100" dist="19050" dir="2700000" algn="tl" rotWithShape="0">
                        <a:schemeClr val="dk1">
                          <a:alpha val="40000"/>
                        </a:schemeClr>
                      </a:outerShdw>
                    </a:effectLst>
                    <a:latin typeface="+mn-lt"/>
                    <a:ea typeface="+mn-ea"/>
                    <a:cs typeface="+mn-cs"/>
                  </a:defRPr>
                </a:pPr>
                <a:r>
                  <a:rPr lang="en-GB" b="1"/>
                  <a:t>Months</a:t>
                </a:r>
              </a:p>
            </c:rich>
          </c:tx>
          <c:overlay val="0"/>
          <c:spPr>
            <a:noFill/>
            <a:ln>
              <a:noFill/>
            </a:ln>
            <a:effectLst/>
          </c:spPr>
          <c:txPr>
            <a:bodyPr rot="-5400000" spcFirstLastPara="1" vertOverflow="ellipsis" vert="horz" wrap="square" anchor="ctr" anchorCtr="1"/>
            <a:lstStyle/>
            <a:p>
              <a:pPr>
                <a:defRPr sz="900" b="0" i="0" u="none" strike="noStrike" kern="1200" cap="none" spc="0" baseline="0">
                  <a:ln w="0"/>
                  <a:solidFill>
                    <a:schemeClr val="tx1"/>
                  </a:solidFill>
                  <a:effectLst>
                    <a:outerShdw blurRad="38100" dist="19050" dir="2700000" algn="tl" rotWithShape="0">
                      <a:schemeClr val="dk1">
                        <a:alpha val="40000"/>
                      </a:schemeClr>
                    </a:outerShdw>
                  </a:effectLst>
                  <a:latin typeface="+mn-lt"/>
                  <a:ea typeface="+mn-ea"/>
                  <a:cs typeface="+mn-cs"/>
                </a:defRPr>
              </a:pPr>
              <a:endParaRPr lang="en-US"/>
            </a:p>
          </c:txPr>
        </c:title>
        <c:numFmt formatCode="General" sourceLinked="1"/>
        <c:majorTickMark val="none"/>
        <c:minorTickMark val="none"/>
        <c:tickLblPos val="nextTo"/>
        <c:spPr>
          <a:noFill/>
          <a:ln w="3175" cap="flat" cmpd="sng" algn="ctr">
            <a:solidFill>
              <a:schemeClr val="tx1">
                <a:lumMod val="15000"/>
                <a:lumOff val="85000"/>
              </a:schemeClr>
            </a:solidFill>
            <a:round/>
            <a:tailEnd type="none" w="med" len="lg"/>
          </a:ln>
          <a:effectLst/>
        </c:spPr>
        <c:txPr>
          <a:bodyPr rot="-60000000" spcFirstLastPara="1" vertOverflow="ellipsis" vert="horz" wrap="square" anchor="ctr" anchorCtr="1"/>
          <a:lstStyle/>
          <a:p>
            <a:pPr>
              <a:defRPr sz="900" b="0" i="0" u="none" strike="noStrike" kern="1200" cap="none" spc="0" baseline="0">
                <a:ln w="0"/>
                <a:solidFill>
                  <a:schemeClr val="tx1"/>
                </a:solidFill>
                <a:effectLst>
                  <a:outerShdw blurRad="38100" dist="19050" dir="2700000" algn="tl" rotWithShape="0">
                    <a:schemeClr val="dk1">
                      <a:alpha val="40000"/>
                    </a:schemeClr>
                  </a:outerShdw>
                </a:effectLst>
                <a:latin typeface="+mn-lt"/>
                <a:ea typeface="+mn-ea"/>
                <a:cs typeface="+mn-cs"/>
              </a:defRPr>
            </a:pPr>
            <a:endParaRPr lang="en-US"/>
          </a:p>
        </c:txPr>
        <c:crossAx val="640958079"/>
        <c:crosses val="autoZero"/>
        <c:crossBetween val="between"/>
      </c:valAx>
      <c:spPr>
        <a:noFill/>
        <a:ln>
          <a:noFill/>
        </a:ln>
        <a:effectLst/>
      </c:spPr>
    </c:plotArea>
    <c:legend>
      <c:legendPos val="t"/>
      <c:overlay val="0"/>
      <c:spPr>
        <a:noFill/>
        <a:ln>
          <a:noFill/>
        </a:ln>
        <a:effectLst/>
      </c:spPr>
      <c:txPr>
        <a:bodyPr rot="0" spcFirstLastPara="1" vertOverflow="ellipsis" vert="horz" wrap="square" anchor="ctr" anchorCtr="1"/>
        <a:lstStyle/>
        <a:p>
          <a:pPr>
            <a:defRPr sz="900" b="0" i="0" u="none" strike="noStrike" kern="1200" cap="none" spc="0" baseline="0">
              <a:ln w="0"/>
              <a:solidFill>
                <a:schemeClr val="tx1"/>
              </a:solidFill>
              <a:effectLst>
                <a:outerShdw blurRad="38100" dist="19050" dir="2700000" algn="tl" rotWithShape="0">
                  <a:schemeClr val="dk1">
                    <a:alpha val="40000"/>
                  </a:schemeClr>
                </a:outerShdw>
              </a:effectLst>
              <a:latin typeface="+mn-lt"/>
              <a:ea typeface="+mn-ea"/>
              <a:cs typeface="+mn-cs"/>
            </a:defRPr>
          </a:pPr>
          <a:endParaRPr lang="en-US"/>
        </a:p>
      </c:txPr>
    </c:legend>
    <c:plotVisOnly val="1"/>
    <c:dispBlanksAs val="gap"/>
    <c:showDLblsOverMax val="0"/>
  </c:chart>
  <c:spPr>
    <a:solidFill>
      <a:schemeClr val="tx2">
        <a:lumMod val="40000"/>
        <a:lumOff val="60000"/>
      </a:schemeClr>
    </a:solidFill>
    <a:ln w="9525" cap="flat" cmpd="sng" algn="ctr">
      <a:solidFill>
        <a:schemeClr val="tx1">
          <a:lumMod val="15000"/>
          <a:lumOff val="85000"/>
        </a:schemeClr>
      </a:solidFill>
      <a:round/>
    </a:ln>
    <a:effectLst/>
  </c:spPr>
  <c:txPr>
    <a:bodyPr/>
    <a:lstStyle/>
    <a:p>
      <a:pPr>
        <a:defRPr b="0" cap="none" spc="0">
          <a:ln w="0"/>
          <a:solidFill>
            <a:schemeClr val="tx1"/>
          </a:solidFill>
          <a:effectLst>
            <a:outerShdw blurRad="38100" dist="19050" dir="2700000" algn="tl" rotWithShape="0">
              <a:schemeClr val="dk1">
                <a:alpha val="40000"/>
              </a:schemeClr>
            </a:outerShdw>
          </a:effectLst>
        </a:defRPr>
      </a:pPr>
      <a:endParaRPr lang="en-US"/>
    </a:p>
  </c:txPr>
  <c:externalData r:id="rId3">
    <c:autoUpdate val="0"/>
  </c:externalData>
</c:chartSpace>
</file>

<file path=word/charts/colors1.xml><?xml version="1.0" encoding="utf-8"?>
<cs:colorStyle xmlns:cs="http://schemas.microsoft.com/office/drawing/2012/chartStyle" xmlns:a="http://schemas.openxmlformats.org/drawingml/2006/main" meth="withinLinearReversed" id="25">
  <a:schemeClr val="accent5"/>
</cs:colorStyle>
</file>

<file path=word/charts/colors2.xml><?xml version="1.0" encoding="utf-8"?>
<cs:colorStyle xmlns:cs="http://schemas.microsoft.com/office/drawing/2012/chartStyle" xmlns:a="http://schemas.openxmlformats.org/drawingml/2006/main" meth="withinLinearReversed" id="25">
  <a:schemeClr val="accent5"/>
</cs:colorStyle>
</file>

<file path=word/charts/style1.xml><?xml version="1.0" encoding="utf-8"?>
<cs:chartStyle xmlns:cs="http://schemas.microsoft.com/office/drawing/2012/chartStyle" xmlns:a="http://schemas.openxmlformats.org/drawingml/2006/main" id="218">
  <cs:axisTitle>
    <cs:lnRef idx="0"/>
    <cs:fillRef idx="0"/>
    <cs:effectRef idx="0"/>
    <cs:fontRef idx="minor">
      <a:schemeClr val="dk1">
        <a:lumMod val="75000"/>
        <a:lumOff val="25000"/>
      </a:schemeClr>
    </cs:fontRef>
    <cs:defRPr sz="900" b="1" kern="1200"/>
  </cs:axisTitle>
  <cs:categoryAxis>
    <cs:lnRef idx="0"/>
    <cs:fillRef idx="0"/>
    <cs:effectRef idx="0"/>
    <cs:fontRef idx="minor">
      <a:schemeClr val="dk1">
        <a:lumMod val="75000"/>
        <a:lumOff val="25000"/>
      </a:schemeClr>
    </cs:fontRef>
    <cs:spPr>
      <a:ln w="19050" cap="flat" cmpd="sng" algn="ctr">
        <a:solidFill>
          <a:schemeClr val="dk1">
            <a:lumMod val="75000"/>
            <a:lumOff val="25000"/>
          </a:schemeClr>
        </a:solidFill>
        <a:round/>
      </a:ln>
    </cs:spPr>
    <cs:defRPr sz="900" kern="1200" cap="all" baseline="0"/>
  </cs:categoryAxis>
  <cs:chartArea>
    <cs:lnRef idx="0"/>
    <cs:fillRef idx="0"/>
    <cs:effectRef idx="0"/>
    <cs:fontRef idx="minor">
      <a:schemeClr val="dk1"/>
    </cs:fontRef>
    <cs:spPr>
      <a:gradFill flip="none" rotWithShape="1">
        <a:gsLst>
          <a:gs pos="0">
            <a:schemeClr val="lt1"/>
          </a:gs>
          <a:gs pos="39000">
            <a:schemeClr val="lt1"/>
          </a:gs>
          <a:gs pos="100000">
            <a:schemeClr val="lt1">
              <a:lumMod val="75000"/>
            </a:schemeClr>
          </a:gs>
        </a:gsLst>
        <a:path path="circle">
          <a:fillToRect l="50000" t="-80000" r="50000" b="180000"/>
        </a:path>
        <a:tileRect/>
      </a:gradFill>
      <a:ln w="9525" cap="flat" cmpd="sng" algn="ctr">
        <a:solidFill>
          <a:schemeClr val="dk1">
            <a:lumMod val="25000"/>
            <a:lumOff val="75000"/>
          </a:schemeClr>
        </a:solidFill>
        <a:round/>
      </a:ln>
    </cs:spPr>
    <cs:defRPr sz="900" kern="1200"/>
  </cs:chartArea>
  <cs:dataLabel>
    <cs:lnRef idx="0"/>
    <cs:fillRef idx="0"/>
    <cs:effectRef idx="0"/>
    <cs:fontRef idx="minor">
      <a:schemeClr val="lt1"/>
    </cs:fontRef>
    <cs:defRPr sz="900" b="1" i="0" u="none" strike="noStrike" kern="1200" baseline="0"/>
  </cs:dataLabel>
  <cs:dataLabelCallout>
    <cs:lnRef idx="0"/>
    <cs:fillRef idx="0"/>
    <cs:effectRef idx="0"/>
    <cs:fontRef idx="minor">
      <a:schemeClr val="lt1"/>
    </cs:fontRef>
    <cs:spPr>
      <a:solidFill>
        <a:schemeClr val="dk1">
          <a:lumMod val="65000"/>
          <a:lumOff val="35000"/>
          <a:alpha val="75000"/>
        </a:schemeClr>
      </a:solidFill>
    </cs:spPr>
    <cs:defRPr sz="900" b="1" kern="1200"/>
    <cs:bodyPr rot="0" spcFirstLastPara="1" vertOverflow="clip" horzOverflow="clip" vert="horz" wrap="square" lIns="36576" tIns="18288" rIns="36576" bIns="18288" anchor="ctr" anchorCtr="1">
      <a:spAutoFit/>
    </cs:bodyPr>
  </cs:dataLabelCallout>
  <cs:dataPoint>
    <cs:lnRef idx="0"/>
    <cs:fillRef idx="0">
      <cs:styleClr val="auto"/>
    </cs:fillRef>
    <cs:effectRef idx="0"/>
    <cs:fontRef idx="minor">
      <a:schemeClr val="dk1"/>
    </cs:fontRef>
    <cs:spPr>
      <a:solidFill>
        <a:schemeClr val="phClr">
          <a:alpha val="85000"/>
        </a:schemeClr>
      </a:solidFill>
      <a:ln w="9525" cap="flat" cmpd="sng" algn="ctr">
        <a:solidFill>
          <a:schemeClr val="lt1">
            <a:alpha val="50000"/>
          </a:schemeClr>
        </a:solidFill>
        <a:round/>
      </a:ln>
    </cs:spPr>
  </cs:dataPoint>
  <cs:dataPoint3D>
    <cs:lnRef idx="0"/>
    <cs:fillRef idx="0">
      <cs:styleClr val="auto"/>
    </cs:fillRef>
    <cs:effectRef idx="0"/>
    <cs:fontRef idx="minor">
      <a:schemeClr val="dk1"/>
    </cs:fontRef>
    <cs:spPr>
      <a:solidFill>
        <a:schemeClr val="phClr">
          <a:alpha val="85000"/>
        </a:schemeClr>
      </a:solidFill>
      <a:ln w="9525" cap="flat" cmpd="sng" algn="ctr">
        <a:solidFill>
          <a:schemeClr val="lt1">
            <a:alpha val="50000"/>
          </a:schemeClr>
        </a:solidFill>
        <a:round/>
      </a:ln>
    </cs:spPr>
  </cs:dataPoint3D>
  <cs:dataPointLine>
    <cs:lnRef idx="0">
      <cs:styleClr val="auto"/>
    </cs:lnRef>
    <cs:fillRef idx="0"/>
    <cs:effectRef idx="0"/>
    <cs:fontRef idx="minor">
      <a:schemeClr val="dk1"/>
    </cs:fontRef>
    <cs:spPr>
      <a:ln w="31750" cap="rnd">
        <a:solidFill>
          <a:schemeClr val="phClr">
            <a:alpha val="85000"/>
          </a:schemeClr>
        </a:solidFill>
        <a:round/>
      </a:ln>
    </cs:spPr>
  </cs:dataPointLine>
  <cs:dataPointMarker>
    <cs:lnRef idx="0"/>
    <cs:fillRef idx="0">
      <cs:styleClr val="auto"/>
    </cs:fillRef>
    <cs:effectRef idx="0"/>
    <cs:fontRef idx="minor">
      <a:schemeClr val="dk1"/>
    </cs:fontRef>
    <cs:spPr>
      <a:solidFill>
        <a:schemeClr val="phClr">
          <a:alpha val="85000"/>
        </a:schemeClr>
      </a:solidFill>
    </cs:spPr>
  </cs:dataPointMarker>
  <cs:dataPointMarkerLayout symbol="circle" size="6"/>
  <cs:dataPointWireframe>
    <cs:lnRef idx="0">
      <cs:styleClr val="auto"/>
    </cs:lnRef>
    <cs:fillRef idx="0"/>
    <cs:effectRef idx="0"/>
    <cs:fontRef idx="minor">
      <a:schemeClr val="dk1"/>
    </cs:fontRef>
    <cs:spPr>
      <a:ln w="9525" cap="rnd">
        <a:solidFill>
          <a:schemeClr val="phClr"/>
        </a:solidFill>
        <a:round/>
      </a:ln>
    </cs:spPr>
  </cs:dataPointWireframe>
  <cs:dataTable>
    <cs:lnRef idx="0"/>
    <cs:fillRef idx="0"/>
    <cs:effectRef idx="0"/>
    <cs:fontRef idx="minor">
      <a:schemeClr val="dk1">
        <a:lumMod val="75000"/>
        <a:lumOff val="25000"/>
      </a:schemeClr>
    </cs:fontRef>
    <cs:spPr>
      <a:ln w="9525">
        <a:solidFill>
          <a:schemeClr val="dk1">
            <a:lumMod val="35000"/>
            <a:lumOff val="65000"/>
          </a:schemeClr>
        </a:solidFill>
      </a:ln>
    </cs:spPr>
    <cs:defRPr sz="900" kern="1200"/>
  </cs:dataTable>
  <cs:downBar>
    <cs:lnRef idx="0"/>
    <cs:fillRef idx="0"/>
    <cs:effectRef idx="0"/>
    <cs:fontRef idx="minor">
      <a:schemeClr val="dk1"/>
    </cs:fontRef>
    <cs:spPr>
      <a:solidFill>
        <a:schemeClr val="dk1">
          <a:lumMod val="50000"/>
          <a:lumOff val="50000"/>
        </a:schemeClr>
      </a:solidFill>
      <a:ln w="9525">
        <a:solidFill>
          <a:schemeClr val="dk1">
            <a:lumMod val="65000"/>
            <a:lumOff val="35000"/>
          </a:schemeClr>
        </a:solidFill>
      </a:ln>
    </cs:spPr>
  </cs:downBar>
  <cs:dropLine>
    <cs:lnRef idx="0"/>
    <cs:fillRef idx="0"/>
    <cs:effectRef idx="0"/>
    <cs:fontRef idx="minor">
      <a:schemeClr val="dk1"/>
    </cs:fontRef>
    <cs:spPr>
      <a:ln w="9525">
        <a:solidFill>
          <a:schemeClr val="dk1">
            <a:lumMod val="35000"/>
            <a:lumOff val="65000"/>
          </a:schemeClr>
        </a:solidFill>
        <a:prstDash val="dash"/>
      </a:ln>
    </cs:spPr>
  </cs:dropLine>
  <cs:errorBar>
    <cs:lnRef idx="0"/>
    <cs:fillRef idx="0"/>
    <cs:effectRef idx="0"/>
    <cs:fontRef idx="minor">
      <a:schemeClr val="dk1"/>
    </cs:fontRef>
    <cs:spPr>
      <a:ln w="9525">
        <a:solidFill>
          <a:schemeClr val="dk1">
            <a:lumMod val="65000"/>
            <a:lumOff val="35000"/>
          </a:schemeClr>
        </a:solidFill>
        <a:round/>
      </a:ln>
    </cs:spPr>
  </cs:errorBar>
  <cs:floor>
    <cs:lnRef idx="0"/>
    <cs:fillRef idx="0"/>
    <cs:effectRef idx="0"/>
    <cs:fontRef idx="minor">
      <a:schemeClr val="dk1"/>
    </cs:fontRef>
  </cs:floor>
  <cs:gridlineMajor>
    <cs:lnRef idx="0"/>
    <cs:fillRef idx="0"/>
    <cs:effectRef idx="0"/>
    <cs:fontRef idx="minor">
      <a:schemeClr val="dk1"/>
    </cs:fontRef>
    <cs:spPr>
      <a:ln w="9525" cap="flat" cmpd="sng" algn="ctr">
        <a:gradFill>
          <a:gsLst>
            <a:gs pos="100000">
              <a:schemeClr val="dk1">
                <a:lumMod val="95000"/>
                <a:lumOff val="5000"/>
                <a:alpha val="42000"/>
              </a:schemeClr>
            </a:gs>
            <a:gs pos="0">
              <a:schemeClr val="lt1">
                <a:lumMod val="75000"/>
                <a:alpha val="36000"/>
              </a:schemeClr>
            </a:gs>
          </a:gsLst>
          <a:lin ang="5400000" scaled="0"/>
        </a:gradFill>
        <a:round/>
      </a:ln>
    </cs:spPr>
  </cs:gridlineMajor>
  <cs:gridlineMinor>
    <cs:lnRef idx="0"/>
    <cs:fillRef idx="0"/>
    <cs:effectRef idx="0"/>
    <cs:fontRef idx="minor">
      <a:schemeClr val="dk1"/>
    </cs:fontRef>
    <cs:spPr>
      <a:ln>
        <a:gradFill>
          <a:gsLst>
            <a:gs pos="100000">
              <a:schemeClr val="dk1">
                <a:lumMod val="95000"/>
                <a:lumOff val="5000"/>
                <a:alpha val="42000"/>
              </a:schemeClr>
            </a:gs>
            <a:gs pos="0">
              <a:schemeClr val="lt1">
                <a:lumMod val="75000"/>
                <a:alpha val="36000"/>
              </a:schemeClr>
            </a:gs>
          </a:gsLst>
          <a:lin ang="5400000" scaled="0"/>
        </a:gradFill>
      </a:ln>
    </cs:spPr>
  </cs:gridlineMinor>
  <cs:hiLoLine>
    <cs:lnRef idx="0"/>
    <cs:fillRef idx="0"/>
    <cs:effectRef idx="0"/>
    <cs:fontRef idx="minor">
      <a:schemeClr val="dk1"/>
    </cs:fontRef>
    <cs:spPr>
      <a:ln w="9525">
        <a:solidFill>
          <a:schemeClr val="dk1">
            <a:lumMod val="35000"/>
            <a:lumOff val="65000"/>
          </a:schemeClr>
        </a:solidFill>
        <a:prstDash val="dash"/>
      </a:ln>
    </cs:spPr>
  </cs:hiLoLine>
  <cs:leaderLine>
    <cs:lnRef idx="0"/>
    <cs:fillRef idx="0"/>
    <cs:effectRef idx="0"/>
    <cs:fontRef idx="minor">
      <a:schemeClr val="dk1"/>
    </cs:fontRef>
    <cs:spPr>
      <a:ln w="9525">
        <a:solidFill>
          <a:schemeClr val="dk1">
            <a:lumMod val="50000"/>
            <a:lumOff val="50000"/>
          </a:schemeClr>
        </a:solidFill>
      </a:ln>
    </cs:spPr>
  </cs:leaderLine>
  <cs:legend>
    <cs:lnRef idx="0"/>
    <cs:fillRef idx="0"/>
    <cs:effectRef idx="0"/>
    <cs:fontRef idx="minor">
      <a:schemeClr val="dk1">
        <a:lumMod val="75000"/>
        <a:lumOff val="25000"/>
      </a:schemeClr>
    </cs:fontRef>
    <cs:spPr>
      <a:solidFill>
        <a:schemeClr val="lt1">
          <a:lumMod val="95000"/>
          <a:alpha val="39000"/>
        </a:schemeClr>
      </a:solidFill>
    </cs:spPr>
    <cs:defRPr sz="900" kern="1200"/>
  </cs:legend>
  <cs:plotArea>
    <cs:lnRef idx="0"/>
    <cs:fillRef idx="0"/>
    <cs:effectRef idx="0"/>
    <cs:fontRef idx="minor">
      <a:schemeClr val="dk1"/>
    </cs:fontRef>
  </cs:plotArea>
  <cs:plotArea3D>
    <cs:lnRef idx="0"/>
    <cs:fillRef idx="0"/>
    <cs:effectRef idx="0"/>
    <cs:fontRef idx="minor">
      <a:schemeClr val="dk1"/>
    </cs:fontRef>
  </cs:plotArea3D>
  <cs:seriesAxis>
    <cs:lnRef idx="0"/>
    <cs:fillRef idx="0"/>
    <cs:effectRef idx="0"/>
    <cs:fontRef idx="minor">
      <a:schemeClr val="dk1">
        <a:lumMod val="75000"/>
        <a:lumOff val="25000"/>
      </a:schemeClr>
    </cs:fontRef>
    <cs:spPr>
      <a:ln w="31750" cap="flat" cmpd="sng" algn="ctr">
        <a:solidFill>
          <a:schemeClr val="dk1">
            <a:lumMod val="75000"/>
            <a:lumOff val="25000"/>
          </a:schemeClr>
        </a:solidFill>
        <a:round/>
      </a:ln>
    </cs:spPr>
    <cs:defRPr sz="900" kern="1200"/>
  </cs:seriesAxis>
  <cs:seriesLine>
    <cs:lnRef idx="0"/>
    <cs:fillRef idx="0"/>
    <cs:effectRef idx="0"/>
    <cs:fontRef idx="minor">
      <a:schemeClr val="dk1"/>
    </cs:fontRef>
    <cs:spPr>
      <a:ln w="9525">
        <a:solidFill>
          <a:schemeClr val="dk1">
            <a:lumMod val="50000"/>
            <a:lumOff val="50000"/>
          </a:schemeClr>
        </a:solidFill>
        <a:round/>
      </a:ln>
    </cs:spPr>
  </cs:seriesLine>
  <cs:title>
    <cs:lnRef idx="0"/>
    <cs:fillRef idx="0"/>
    <cs:effectRef idx="0"/>
    <cs:fontRef idx="minor">
      <a:schemeClr val="dk1">
        <a:lumMod val="75000"/>
        <a:lumOff val="25000"/>
      </a:schemeClr>
    </cs:fontRef>
    <cs:defRPr sz="1800" b="1" kern="1200" baseline="0"/>
  </cs:title>
  <cs:trendline>
    <cs:lnRef idx="0">
      <cs:styleClr val="auto"/>
    </cs:lnRef>
    <cs:fillRef idx="0"/>
    <cs:effectRef idx="0"/>
    <cs:fontRef idx="minor">
      <a:schemeClr val="dk1"/>
    </cs:fontRef>
    <cs:spPr>
      <a:ln w="19050" cap="rnd">
        <a:solidFill>
          <a:schemeClr val="phClr"/>
        </a:solidFill>
      </a:ln>
    </cs:spPr>
  </cs:trendline>
  <cs:trendlineLabel>
    <cs:lnRef idx="0"/>
    <cs:fillRef idx="0"/>
    <cs:effectRef idx="0"/>
    <cs:fontRef idx="minor">
      <a:schemeClr val="dk1">
        <a:lumMod val="75000"/>
        <a:lumOff val="25000"/>
      </a:schemeClr>
    </cs:fontRef>
    <cs:defRPr sz="900" kern="1200"/>
  </cs:trendlineLabel>
  <cs:upBar>
    <cs:lnRef idx="0"/>
    <cs:fillRef idx="0"/>
    <cs:effectRef idx="0"/>
    <cs:fontRef idx="minor">
      <a:schemeClr val="dk1"/>
    </cs:fontRef>
    <cs:spPr>
      <a:solidFill>
        <a:schemeClr val="lt1"/>
      </a:solidFill>
      <a:ln w="9525">
        <a:solidFill>
          <a:schemeClr val="dk1">
            <a:lumMod val="65000"/>
            <a:lumOff val="35000"/>
          </a:schemeClr>
        </a:solidFill>
      </a:ln>
    </cs:spPr>
  </cs:upBar>
  <cs:valueAxis>
    <cs:lnRef idx="0"/>
    <cs:fillRef idx="0"/>
    <cs:effectRef idx="0"/>
    <cs:fontRef idx="minor">
      <a:schemeClr val="dk1">
        <a:lumMod val="75000"/>
        <a:lumOff val="25000"/>
      </a:schemeClr>
    </cs:fontRef>
    <cs:spPr>
      <a:ln>
        <a:noFill/>
      </a:ln>
    </cs:spPr>
    <cs:defRPr sz="900" kern="1200"/>
  </cs:valueAxis>
  <cs:wall>
    <cs:lnRef idx="0"/>
    <cs:fillRef idx="0"/>
    <cs:effectRef idx="0"/>
    <cs:fontRef idx="minor">
      <a:schemeClr val="dk1"/>
    </cs:fontRef>
  </cs:wall>
</cs:chartStyle>
</file>

<file path=word/charts/style2.xml><?xml version="1.0" encoding="utf-8"?>
<cs:chartStyle xmlns:cs="http://schemas.microsoft.com/office/drawing/2012/chartStyle" xmlns:a="http://schemas.openxmlformats.org/drawingml/2006/main" id="237">
  <cs:axisTitle>
    <cs:lnRef idx="0"/>
    <cs:fillRef idx="0"/>
    <cs:effectRef idx="0"/>
    <cs:fontRef idx="minor">
      <a:schemeClr val="tx1">
        <a:lumMod val="65000"/>
        <a:lumOff val="35000"/>
      </a:schemeClr>
    </cs:fontRef>
    <cs:defRPr sz="900" kern="1200" cap="all"/>
  </cs:axisTitle>
  <cs:categoryAxis>
    <cs:lnRef idx="0"/>
    <cs:fillRef idx="0"/>
    <cs:effectRef idx="0"/>
    <cs:fontRef idx="minor">
      <a:schemeClr val="tx1">
        <a:lumMod val="65000"/>
        <a:lumOff val="35000"/>
      </a:schemeClr>
    </cs:fontRef>
    <cs:spPr>
      <a:ln w="3175" cap="flat" cmpd="sng" algn="ctr">
        <a:solidFill>
          <a:schemeClr val="tx1">
            <a:lumMod val="15000"/>
            <a:lumOff val="85000"/>
          </a:schemeClr>
        </a:solidFill>
        <a:round/>
        <a:tailEnd type="none" w="med" len="lg"/>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9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0">
      <cs:styleClr val="auto"/>
    </cs:fillRef>
    <cs:effectRef idx="0"/>
    <cs:fontRef idx="minor">
      <a:schemeClr val="tx1"/>
    </cs:fontRef>
    <cs:spPr>
      <a:solidFill>
        <a:schemeClr val="phClr"/>
      </a:solidFill>
    </cs:spPr>
  </cs:dataPoint>
  <cs:dataPoint3D>
    <cs:lnRef idx="0"/>
    <cs:fillRef idx="0">
      <cs:styleClr val="auto"/>
    </cs:fillRef>
    <cs:effectRef idx="0"/>
    <cs:fontRef idx="minor">
      <a:schemeClr val="tx1"/>
    </cs:fontRef>
    <cs:spPr>
      <a:solidFill>
        <a:schemeClr val="phClr"/>
      </a:solidFill>
    </cs:spPr>
  </cs:dataPoint3D>
  <cs:dataPointLine>
    <cs:lnRef idx="0">
      <cs:styleClr val="auto"/>
    </cs:lnRef>
    <cs:fillRef idx="0"/>
    <cs:effectRef idx="0"/>
    <cs:fontRef idx="minor">
      <a:schemeClr val="tx1"/>
    </cs:fontRef>
    <cs:spPr>
      <a:ln w="38100" cap="flat" cmpd="dbl" algn="ctr">
        <a:solidFill>
          <a:schemeClr val="phClr"/>
        </a:solidFill>
        <a:miter lim="800000"/>
      </a:ln>
    </cs:spPr>
  </cs:dataPointLine>
  <cs:dataPointMarker>
    <cs:lnRef idx="0">
      <cs:styleClr val="auto"/>
    </cs:lnRef>
    <cs:fillRef idx="0">
      <cs:styleClr val="auto"/>
    </cs:fillRef>
    <cs:effectRef idx="0"/>
    <cs:fontRef idx="minor">
      <a:schemeClr val="tx1"/>
    </cs:fontRef>
    <cs:spPr>
      <a:solidFill>
        <a:schemeClr val="phClr"/>
      </a:solidFill>
      <a:ln w="9525" cap="flat" cmpd="sng" algn="ctr">
        <a:solidFill>
          <a:schemeClr val="lt1"/>
        </a:solidFill>
        <a:round/>
      </a:ln>
    </cs:spPr>
  </cs:dataPointMarker>
  <cs:dataPointMarkerLayout symbol="circle" size="6"/>
  <cs:dataPointWireframe>
    <cs:lnRef idx="0">
      <cs:styleClr val="auto"/>
    </cs:lnRef>
    <cs:fillRef idx="0"/>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ln w="9525">
        <a:solidFill>
          <a:schemeClr val="tx1">
            <a:lumMod val="15000"/>
            <a:lumOff val="85000"/>
          </a:schemeClr>
        </a:solidFill>
      </a:ln>
    </cs:spPr>
    <cs:defRPr sz="900" kern="1200"/>
  </cs:dataTable>
  <cs:downBar>
    <cs:lnRef idx="0"/>
    <cs:fillRef idx="0"/>
    <cs:effectRef idx="0"/>
    <cs:fontRef idx="minor">
      <a:schemeClr val="tx1"/>
    </cs:fontRef>
    <cs:spPr>
      <a:solidFill>
        <a:schemeClr val="dk1">
          <a:lumMod val="75000"/>
          <a:lumOff val="25000"/>
        </a:schemeClr>
      </a:solidFill>
      <a:ln w="9525">
        <a:solidFill>
          <a:schemeClr val="tx1">
            <a:lumMod val="65000"/>
            <a:lumOff val="35000"/>
          </a:schemeClr>
        </a:solidFill>
      </a:ln>
    </cs:spPr>
  </cs:downBar>
  <cs:dropLine>
    <cs:lnRef idx="0"/>
    <cs:fillRef idx="0"/>
    <cs:effectRef idx="0"/>
    <cs:fontRef idx="minor">
      <a:schemeClr val="tx1"/>
    </cs:fontRef>
    <cs:spPr>
      <a:ln w="9525">
        <a:solidFill>
          <a:schemeClr val="tx1">
            <a:lumMod val="35000"/>
            <a:lumOff val="65000"/>
          </a:schemeClr>
        </a:solidFill>
      </a:ln>
    </cs:spPr>
  </cs:dropLine>
  <cs:errorBar>
    <cs:lnRef idx="0"/>
    <cs:fillRef idx="0"/>
    <cs:effectRef idx="0"/>
    <cs:fontRef idx="minor">
      <a:schemeClr val="tx1"/>
    </cs:fontRef>
    <cs:spPr>
      <a:ln w="9525">
        <a:solidFill>
          <a:schemeClr val="tx1">
            <a:lumMod val="65000"/>
            <a:lumOff val="35000"/>
          </a:schemeClr>
        </a:solidFill>
      </a:ln>
    </cs:spPr>
  </cs:errorBar>
  <cs:floor>
    <cs:lnRef idx="0"/>
    <cs:fillRef idx="0"/>
    <cs:effectRef idx="0"/>
    <cs:fontRef idx="minor">
      <a:schemeClr val="tx1"/>
    </cs:fontRef>
  </cs:floor>
  <cs:gridlineMajor>
    <cs:lnRef idx="0"/>
    <cs:fillRef idx="0"/>
    <cs:effectRef idx="0"/>
    <cs:fontRef idx="minor">
      <a:schemeClr val="tx1"/>
    </cs:fontRef>
    <cs:spPr>
      <a:ln w="9525" cap="flat" cmpd="sng" algn="ctr">
        <a:solidFill>
          <a:schemeClr val="tx1">
            <a:lumMod val="15000"/>
            <a:lumOff val="85000"/>
            <a:alpha val="32000"/>
          </a:schemeClr>
        </a:solidFill>
        <a:round/>
      </a:ln>
    </cs:spPr>
  </cs:gridlineMajor>
  <cs:gridlineMinor>
    <cs:lnRef idx="0"/>
    <cs:fillRef idx="0"/>
    <cs:effectRef idx="0"/>
    <cs:fontRef idx="minor">
      <a:schemeClr val="tx1"/>
    </cs:fontRef>
    <cs:spPr>
      <a:ln>
        <a:solidFill>
          <a:schemeClr val="tx1">
            <a:lumMod val="5000"/>
            <a:lumOff val="95000"/>
            <a:alpha val="32000"/>
          </a:schemeClr>
        </a:solidFill>
      </a:ln>
    </cs:spPr>
  </cs:gridlineMinor>
  <cs:hiLoLine>
    <cs:lnRef idx="0"/>
    <cs:fillRef idx="0"/>
    <cs:effectRef idx="0"/>
    <cs:fontRef idx="minor">
      <a:schemeClr val="tx1"/>
    </cs:fontRef>
    <cs:spPr>
      <a:ln w="9525">
        <a:solidFill>
          <a:schemeClr val="tx1"/>
        </a:solidFill>
      </a:ln>
    </cs:spPr>
  </cs:hiLoLine>
  <cs:leaderLine>
    <cs:lnRef idx="0"/>
    <cs:fillRef idx="0"/>
    <cs:effectRef idx="0"/>
    <cs:fontRef idx="minor">
      <a:schemeClr val="tx1"/>
    </cs:fontRef>
    <cs:spPr>
      <a:ln w="9525">
        <a:solidFill>
          <a:schemeClr val="tx1">
            <a:lumMod val="35000"/>
            <a:lumOff val="65000"/>
          </a:schemeClr>
        </a:solidFill>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cs:fontRef>
    <cs:spPr>
      <a:ln w="3175" cap="flat" cmpd="sng" algn="ctr">
        <a:solidFill>
          <a:schemeClr val="tx1">
            <a:lumMod val="15000"/>
            <a:lumOff val="85000"/>
          </a:schemeClr>
        </a:solidFill>
        <a:round/>
        <a:tailEnd type="none" w="med" len="lg"/>
      </a:ln>
    </cs:spPr>
    <cs:defRPr sz="900" kern="1200"/>
  </cs:seriesAxis>
  <cs:seriesLine>
    <cs:lnRef idx="0"/>
    <cs:fillRef idx="0"/>
    <cs:effectRef idx="0"/>
    <cs:fontRef idx="minor">
      <a:schemeClr val="tx1"/>
    </cs:fontRef>
    <cs:spPr>
      <a:ln w="9525">
        <a:solidFill>
          <a:schemeClr val="tx1">
            <a:lumMod val="35000"/>
            <a:lumOff val="65000"/>
          </a:schemeClr>
        </a:solidFill>
      </a:ln>
    </cs:spPr>
  </cs:seriesLine>
  <cs:title>
    <cs:lnRef idx="0"/>
    <cs:fillRef idx="0"/>
    <cs:effectRef idx="0"/>
    <cs:fontRef idx="minor">
      <a:schemeClr val="tx1">
        <a:lumMod val="50000"/>
        <a:lumOff val="50000"/>
      </a:schemeClr>
    </cs:fontRef>
    <cs:defRPr sz="1800" b="1" kern="1200" cap="all" spc="150" baseline="0"/>
  </cs:title>
  <cs:trendline>
    <cs:lnRef idx="0">
      <cs:styleClr val="auto"/>
    </cs:lnRef>
    <cs:fillRef idx="0"/>
    <cs:effectRef idx="0"/>
    <cs:fontRef idx="minor">
      <a:schemeClr val="tx1"/>
    </cs:fontRef>
    <cs:spPr>
      <a:ln w="12700" cap="rnd"/>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a:solidFill>
          <a:schemeClr val="tx1">
            <a:lumMod val="65000"/>
            <a:lumOff val="35000"/>
          </a:schemeClr>
        </a:solidFill>
      </a:ln>
    </cs:spPr>
  </cs:upBar>
  <cs:valueAxis>
    <cs:lnRef idx="0"/>
    <cs:fillRef idx="0"/>
    <cs:effectRef idx="0"/>
    <cs:fontRef idx="minor">
      <a:schemeClr val="tx1">
        <a:lumMod val="65000"/>
        <a:lumOff val="35000"/>
      </a:schemeClr>
    </cs:fontRef>
    <cs:spPr>
      <a:ln w="3175" cap="flat" cmpd="sng" algn="ctr">
        <a:solidFill>
          <a:schemeClr val="tx1">
            <a:lumMod val="15000"/>
            <a:lumOff val="85000"/>
          </a:schemeClr>
        </a:solidFill>
        <a:round/>
        <a:tailEnd type="none" w="med" len="lg"/>
      </a:ln>
    </cs:spPr>
    <cs:defRPr sz="900" kern="1200"/>
  </cs:valueAxis>
  <cs:wall>
    <cs:lnRef idx="0"/>
    <cs:fillRef idx="0"/>
    <cs:effectRef idx="0"/>
    <cs:fontRef idx="minor">
      <a:schemeClr val="tx1"/>
    </cs:fontRef>
  </cs:wall>
</cs:chartStyle>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docParts>
    <w:docPart>
      <w:docPartPr>
        <w:name w:val="3339453984C54F4C9F02AD0FD3112C96"/>
        <w:category>
          <w:name w:val="General"/>
          <w:gallery w:val="placeholder"/>
        </w:category>
        <w:types>
          <w:type w:val="bbPlcHdr"/>
        </w:types>
        <w:behaviors>
          <w:behavior w:val="content"/>
        </w:behaviors>
        <w:guid w:val="{C33EE9DB-B050-451E-830F-4C0CD7A71954}"/>
      </w:docPartPr>
      <w:docPartBody>
        <w:p w:rsidR="00000000" w:rsidRDefault="003E6DC9" w:rsidP="003E6DC9">
          <w:pPr>
            <w:pStyle w:val="3339453984C54F4C9F02AD0FD3112C96"/>
          </w:pPr>
          <w:r>
            <w:rPr>
              <w:rStyle w:val="PlaceholderText"/>
            </w:rPr>
            <w:t>[Author]</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entury Gothic">
    <w:panose1 w:val="020B0502020202020204"/>
    <w:charset w:val="00"/>
    <w:family w:val="swiss"/>
    <w:pitch w:val="variable"/>
    <w:sig w:usb0="00000287" w:usb1="00000000" w:usb2="00000000" w:usb3="00000000" w:csb0="0000009F" w:csb1="00000000"/>
  </w:font>
  <w:font w:name="Arial">
    <w:panose1 w:val="020B0604020202020204"/>
    <w:charset w:val="00"/>
    <w:family w:val="swiss"/>
    <w:pitch w:val="variable"/>
    <w:sig w:usb0="E0002AFF" w:usb1="C0007843" w:usb2="00000009" w:usb3="00000000" w:csb0="000001FF" w:csb1="00000000"/>
  </w:font>
  <w:font w:name="Georgia">
    <w:panose1 w:val="02040502050405020303"/>
    <w:charset w:val="00"/>
    <w:family w:val="roman"/>
    <w:pitch w:val="variable"/>
    <w:sig w:usb0="00000287" w:usb1="00000000" w:usb2="00000000" w:usb3="00000000" w:csb0="0000009F" w:csb1="00000000"/>
  </w:font>
  <w:font w:name="avenir-regular-class">
    <w:altName w:val="Times New Roman"/>
    <w:panose1 w:val="00000000000000000000"/>
    <w:charset w:val="00"/>
    <w:family w:val="roman"/>
    <w:notTrueType/>
    <w:pitch w:val="default"/>
  </w:font>
  <w:font w:name="Calibri">
    <w:panose1 w:val="020F0502020204030204"/>
    <w:charset w:val="00"/>
    <w:family w:val="swiss"/>
    <w:pitch w:val="variable"/>
    <w:sig w:usb0="E0002AFF" w:usb1="4000ACFF" w:usb2="00000001" w:usb3="00000000" w:csb0="000001FF" w:csb1="00000000"/>
  </w:font>
  <w:font w:name="Calibri Light">
    <w:panose1 w:val="020F0302020204030204"/>
    <w:charset w:val="00"/>
    <w:family w:val="swiss"/>
    <w:pitch w:val="variable"/>
    <w:sig w:usb0="A0002AEF" w:usb1="4000207B" w:usb2="00000000"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E6DC9"/>
    <w:rsid w:val="003E6DC9"/>
    <w:rsid w:val="00A72B7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sz w:val="22"/>
        <w:szCs w:val="22"/>
        <w:lang w:val="en-GB" w:eastAsia="en-GB"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basedOn w:val="DefaultParagraphFont"/>
    <w:uiPriority w:val="99"/>
    <w:semiHidden/>
    <w:rsid w:val="003E6DC9"/>
    <w:rPr>
      <w:color w:val="808080"/>
    </w:rPr>
  </w:style>
  <w:style w:type="paragraph" w:customStyle="1" w:styleId="3339453984C54F4C9F02AD0FD3112C96">
    <w:name w:val="3339453984C54F4C9F02AD0FD3112C96"/>
    <w:rsid w:val="003E6DC9"/>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theme/_rels/theme1.xml.rels><?xml version="1.0" encoding="UTF-8" standalone="yes"?>
<Relationships xmlns="http://schemas.openxmlformats.org/package/2006/relationships"><Relationship Id="rId1" Type="http://schemas.openxmlformats.org/officeDocument/2006/relationships/image" Target="../media/image3.jpeg"/></Relationships>
</file>

<file path=word/theme/theme1.xml><?xml version="1.0" encoding="utf-8"?>
<a:theme xmlns:a="http://schemas.openxmlformats.org/drawingml/2006/main" name="Ion Boardroom">
  <a:themeElements>
    <a:clrScheme name="Ion Boardroom">
      <a:dk1>
        <a:sysClr val="windowText" lastClr="000000"/>
      </a:dk1>
      <a:lt1>
        <a:sysClr val="window" lastClr="FFFFFF"/>
      </a:lt1>
      <a:dk2>
        <a:srgbClr val="3B3059"/>
      </a:dk2>
      <a:lt2>
        <a:srgbClr val="EBEBEB"/>
      </a:lt2>
      <a:accent1>
        <a:srgbClr val="B31166"/>
      </a:accent1>
      <a:accent2>
        <a:srgbClr val="E33D6F"/>
      </a:accent2>
      <a:accent3>
        <a:srgbClr val="E45F3C"/>
      </a:accent3>
      <a:accent4>
        <a:srgbClr val="E9943A"/>
      </a:accent4>
      <a:accent5>
        <a:srgbClr val="9B6BF2"/>
      </a:accent5>
      <a:accent6>
        <a:srgbClr val="D53DD0"/>
      </a:accent6>
      <a:hlink>
        <a:srgbClr val="8F8F8F"/>
      </a:hlink>
      <a:folHlink>
        <a:srgbClr val="A5A5A5"/>
      </a:folHlink>
    </a:clrScheme>
    <a:fontScheme name="Ion Boardroom">
      <a:majorFont>
        <a:latin typeface="Century Gothic" panose="020B0502020202020204"/>
        <a:ea typeface=""/>
        <a:cs typeface=""/>
        <a:font script="Jpan" typeface="メイリオ"/>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entury Gothic" panose="020B0502020202020204"/>
        <a:ea typeface=""/>
        <a:cs typeface=""/>
        <a:font script="Jpan" typeface="メイリオ"/>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Ion Boardroom">
      <a:fillStyleLst>
        <a:solidFill>
          <a:schemeClr val="phClr"/>
        </a:solidFill>
        <a:gradFill rotWithShape="1">
          <a:gsLst>
            <a:gs pos="0">
              <a:schemeClr val="phClr">
                <a:tint val="64000"/>
                <a:lumMod val="118000"/>
              </a:schemeClr>
            </a:gs>
            <a:gs pos="100000">
              <a:schemeClr val="phClr">
                <a:tint val="92000"/>
                <a:alpha val="100000"/>
                <a:lumMod val="110000"/>
              </a:schemeClr>
            </a:gs>
          </a:gsLst>
          <a:lin ang="5400000" scaled="0"/>
        </a:gradFill>
        <a:gradFill rotWithShape="1">
          <a:gsLst>
            <a:gs pos="0">
              <a:schemeClr val="phClr">
                <a:tint val="98000"/>
                <a:lumMod val="114000"/>
              </a:schemeClr>
            </a:gs>
            <a:gs pos="100000">
              <a:schemeClr val="phClr">
                <a:shade val="90000"/>
                <a:lumMod val="84000"/>
              </a:schemeClr>
            </a:gs>
          </a:gsLst>
          <a:lin ang="5400000" scaled="0"/>
        </a:gradFill>
      </a:fillStyleLst>
      <a:lnStyleLst>
        <a:ln w="9525" cap="rnd" cmpd="sng" algn="ctr">
          <a:solidFill>
            <a:schemeClr val="phClr"/>
          </a:solidFill>
          <a:prstDash val="solid"/>
        </a:ln>
        <a:ln w="19050" cap="rnd" cmpd="sng" algn="ctr">
          <a:solidFill>
            <a:schemeClr val="phClr"/>
          </a:solidFill>
          <a:prstDash val="solid"/>
        </a:ln>
        <a:ln w="28575" cap="rnd" cmpd="sng" algn="ctr">
          <a:solidFill>
            <a:schemeClr val="phClr"/>
          </a:solidFill>
          <a:prstDash val="solid"/>
        </a:ln>
      </a:lnStyleLst>
      <a:effectStyleLst>
        <a:effectStyle>
          <a:effectLst/>
        </a:effectStyle>
        <a:effectStyle>
          <a:effectLst>
            <a:outerShdw blurRad="38100" dist="25400" dir="5400000" rotWithShape="0">
              <a:srgbClr val="000000">
                <a:alpha val="45000"/>
              </a:srgbClr>
            </a:outerShdw>
          </a:effectLst>
        </a:effectStyle>
        <a:effectStyle>
          <a:effectLst>
            <a:outerShdw blurRad="63500" dist="38100" dir="5400000" rotWithShape="0">
              <a:srgbClr val="000000">
                <a:alpha val="60000"/>
              </a:srgbClr>
            </a:outerShdw>
          </a:effectLst>
          <a:scene3d>
            <a:camera prst="orthographicFront">
              <a:rot lat="0" lon="0" rev="0"/>
            </a:camera>
            <a:lightRig rig="threePt" dir="tl"/>
          </a:scene3d>
          <a:sp3d prstMaterial="plastic">
            <a:bevelT w="0" h="0"/>
          </a:sp3d>
        </a:effectStyle>
      </a:effectStyleLst>
      <a:bgFillStyleLst>
        <a:solidFill>
          <a:schemeClr val="phClr"/>
        </a:solidFill>
        <a:gradFill rotWithShape="1">
          <a:gsLst>
            <a:gs pos="0">
              <a:schemeClr val="phClr">
                <a:tint val="98000"/>
                <a:hueMod val="124000"/>
                <a:satMod val="148000"/>
                <a:lumMod val="124000"/>
              </a:schemeClr>
            </a:gs>
            <a:gs pos="100000">
              <a:schemeClr val="phClr">
                <a:shade val="76000"/>
                <a:hueMod val="89000"/>
                <a:satMod val="164000"/>
                <a:lumMod val="56000"/>
              </a:schemeClr>
            </a:gs>
          </a:gsLst>
          <a:path path="circle">
            <a:fillToRect l="45000" t="65000" r="125000" b="100000"/>
          </a:path>
        </a:gradFill>
        <a:blipFill rotWithShape="1">
          <a:blip xmlns:r="http://schemas.openxmlformats.org/officeDocument/2006/relationships" r:embed="rId1">
            <a:duotone>
              <a:schemeClr val="phClr">
                <a:shade val="69000"/>
                <a:hueMod val="91000"/>
                <a:satMod val="164000"/>
                <a:lumMod val="74000"/>
              </a:schemeClr>
              <a:schemeClr val="phClr">
                <a:hueMod val="124000"/>
                <a:satMod val="140000"/>
                <a:lumMod val="142000"/>
              </a:schemeClr>
            </a:duotone>
          </a:blip>
          <a:stretch/>
        </a:blipFill>
      </a:bgFillStyleLst>
    </a:fmtScheme>
  </a:themeElements>
  <a:objectDefaults/>
  <a:extraClrSchemeLst/>
  <a:extLst>
    <a:ext uri="{05A4C25C-085E-4340-85A3-A5531E510DB2}">
      <thm15:themeFamily xmlns:thm15="http://schemas.microsoft.com/office/thememl/2012/main" name="Ion Boardroom" id="{FC33163D-4339-46B1-8EED-24C834239D99}" vid="{B8502691-933B-45FE-8764-BA278511EF27}"/>
    </a:ext>
  </a:extLst>
</a:theme>
</file>

<file path=docProps/app.xml><?xml version="1.0" encoding="utf-8"?>
<Properties xmlns="http://schemas.openxmlformats.org/officeDocument/2006/extended-properties" xmlns:vt="http://schemas.openxmlformats.org/officeDocument/2006/docPropsVTypes">
  <Template>Normal.dotm</Template>
  <TotalTime>0</TotalTime>
  <Pages>9</Pages>
  <Words>3206</Words>
  <Characters>18278</Characters>
  <Application>Microsoft Office Word</Application>
  <DocSecurity>0</DocSecurity>
  <Lines>152</Lines>
  <Paragraphs>42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21442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Kalnina, Jolanta</dc:creator>
  <cp:keywords/>
  <dc:description/>
  <cp:lastModifiedBy>Kalnina, Jolanta</cp:lastModifiedBy>
  <cp:revision>2</cp:revision>
  <dcterms:created xsi:type="dcterms:W3CDTF">2023-12-18T21:05:00Z</dcterms:created>
  <dcterms:modified xsi:type="dcterms:W3CDTF">2023-12-18T21:05:00Z</dcterms:modified>
</cp:coreProperties>
</file>