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4B51E8" w:rsidR="00F23197" w:rsidRDefault="00F23197" w14:paraId="0A1CBE4D" w14:textId="77777777">
      <w:pPr>
        <w:spacing w:before="0" w:after="160" w:line="259" w:lineRule="auto"/>
        <w:ind w:firstLine="0"/>
        <w:jc w:val="left"/>
        <w:rPr>
          <w:rFonts w:cs="Times New Roman"/>
          <w:color w:val="auto"/>
          <w:szCs w:val="24"/>
        </w:rPr>
      </w:pPr>
    </w:p>
    <w:p w:rsidRPr="004B51E8" w:rsidR="00F23197" w:rsidRDefault="00F23197" w14:paraId="0BBD3A76" w14:textId="77777777">
      <w:pPr>
        <w:spacing w:before="0" w:after="160" w:line="259" w:lineRule="auto"/>
        <w:ind w:firstLine="0"/>
        <w:jc w:val="left"/>
        <w:rPr>
          <w:rFonts w:cs="Times New Roman"/>
          <w:color w:val="auto"/>
          <w:szCs w:val="24"/>
        </w:rPr>
      </w:pPr>
    </w:p>
    <w:p w:rsidRPr="004B51E8" w:rsidR="00F23197" w:rsidRDefault="00F23197" w14:paraId="757873F7" w14:textId="77777777">
      <w:pPr>
        <w:spacing w:before="0" w:after="160" w:line="259" w:lineRule="auto"/>
        <w:ind w:firstLine="0"/>
        <w:jc w:val="left"/>
        <w:rPr>
          <w:rFonts w:cs="Times New Roman"/>
          <w:color w:val="auto"/>
          <w:szCs w:val="24"/>
        </w:rPr>
      </w:pPr>
    </w:p>
    <w:p w:rsidRPr="004B51E8" w:rsidR="00F23197" w:rsidRDefault="00F23197" w14:paraId="2905C64A" w14:textId="77777777">
      <w:pPr>
        <w:spacing w:before="0" w:after="160" w:line="259" w:lineRule="auto"/>
        <w:ind w:firstLine="0"/>
        <w:jc w:val="left"/>
        <w:rPr>
          <w:rFonts w:cs="Times New Roman"/>
          <w:color w:val="auto"/>
          <w:szCs w:val="24"/>
        </w:rPr>
      </w:pPr>
    </w:p>
    <w:p w:rsidRPr="004B51E8" w:rsidR="00F23197" w:rsidRDefault="00F23197" w14:paraId="5D94CC96" w14:textId="77777777">
      <w:pPr>
        <w:spacing w:before="0" w:after="160" w:line="259" w:lineRule="auto"/>
        <w:ind w:firstLine="0"/>
        <w:jc w:val="left"/>
        <w:rPr>
          <w:rFonts w:cs="Times New Roman"/>
          <w:color w:val="auto"/>
          <w:szCs w:val="24"/>
        </w:rPr>
      </w:pPr>
    </w:p>
    <w:p w:rsidRPr="004B51E8" w:rsidR="00F23197" w:rsidRDefault="00F23197" w14:paraId="3079902D" w14:textId="77777777">
      <w:pPr>
        <w:spacing w:before="0" w:after="160" w:line="259" w:lineRule="auto"/>
        <w:ind w:firstLine="0"/>
        <w:jc w:val="left"/>
        <w:rPr>
          <w:rFonts w:cs="Times New Roman"/>
          <w:color w:val="auto"/>
          <w:szCs w:val="24"/>
        </w:rPr>
      </w:pPr>
    </w:p>
    <w:p w:rsidRPr="004B51E8" w:rsidR="00F23197" w:rsidRDefault="00F23197" w14:paraId="429CE796" w14:textId="77777777">
      <w:pPr>
        <w:spacing w:before="0" w:after="160" w:line="259" w:lineRule="auto"/>
        <w:ind w:firstLine="0"/>
        <w:jc w:val="left"/>
        <w:rPr>
          <w:rFonts w:cs="Times New Roman"/>
          <w:color w:val="auto"/>
          <w:szCs w:val="24"/>
        </w:rPr>
      </w:pPr>
    </w:p>
    <w:p w:rsidRPr="004B51E8" w:rsidR="00F23197" w:rsidP="00F23197" w:rsidRDefault="00CF181A" w14:paraId="186D4C26" w14:textId="77777777">
      <w:pPr>
        <w:spacing w:before="0" w:after="160" w:line="259" w:lineRule="auto"/>
        <w:ind w:firstLine="0"/>
        <w:jc w:val="center"/>
        <w:rPr>
          <w:rFonts w:cs="Times New Roman"/>
          <w:color w:val="auto"/>
          <w:szCs w:val="24"/>
        </w:rPr>
      </w:pPr>
      <w:r w:rsidRPr="004B51E8">
        <w:rPr>
          <w:rFonts w:cs="Times New Roman"/>
          <w:color w:val="auto"/>
          <w:szCs w:val="24"/>
        </w:rPr>
        <w:t>Introduction to Health Promotion</w:t>
      </w:r>
    </w:p>
    <w:p w:rsidRPr="004B51E8" w:rsidR="00F23197" w:rsidP="74F37FC1" w:rsidRDefault="00CF181A" w14:paraId="340EFB70" w14:textId="79852762">
      <w:pPr>
        <w:spacing w:before="0" w:after="160" w:line="259" w:lineRule="auto"/>
        <w:ind w:firstLine="0"/>
        <w:jc w:val="center"/>
        <w:rPr>
          <w:rFonts w:cs="Times New Roman"/>
          <w:color w:val="auto"/>
        </w:rPr>
      </w:pPr>
      <w:r w:rsidRPr="74F37FC1">
        <w:rPr>
          <w:rFonts w:cs="Times New Roman"/>
          <w:color w:val="auto"/>
        </w:rPr>
        <w:t>[S</w:t>
      </w:r>
      <w:r w:rsidRPr="74F37FC1" w:rsidR="50355DA3">
        <w:rPr>
          <w:rFonts w:cs="Times New Roman"/>
          <w:color w:val="auto"/>
        </w:rPr>
        <w:t>haron Roberts-2114727</w:t>
      </w:r>
      <w:r w:rsidRPr="74F37FC1">
        <w:rPr>
          <w:rFonts w:cs="Times New Roman"/>
          <w:color w:val="auto"/>
        </w:rPr>
        <w:t>]</w:t>
      </w:r>
    </w:p>
    <w:p w:rsidRPr="004B51E8" w:rsidR="00F23197" w:rsidP="74F37FC1" w:rsidRDefault="00F23197" w14:paraId="3DD0C2EA" w14:textId="5E0CAF53">
      <w:pPr>
        <w:spacing w:before="0" w:after="160" w:line="259" w:lineRule="auto"/>
        <w:ind w:firstLine="0"/>
        <w:jc w:val="center"/>
        <w:rPr>
          <w:rFonts w:cs="Times New Roman"/>
          <w:color w:val="auto"/>
        </w:rPr>
      </w:pPr>
    </w:p>
    <w:sdt>
      <w:sdtPr>
        <w:rPr>
          <w:rFonts w:ascii="Times New Roman" w:hAnsi="Times New Roman" w:eastAsia="Calibri" w:cs="Calibri"/>
          <w:color w:val="000000"/>
          <w:sz w:val="24"/>
          <w:szCs w:val="22"/>
        </w:rPr>
        <w:id w:val="717539768"/>
        <w:docPartObj>
          <w:docPartGallery w:val="Table of Contents"/>
          <w:docPartUnique/>
        </w:docPartObj>
      </w:sdtPr>
      <w:sdtContent>
        <w:p w:rsidRPr="004B51E8" w:rsidR="00F23197" w:rsidRDefault="00F23197" w14:paraId="0CD272F0" w14:textId="77777777">
          <w:pPr>
            <w:pStyle w:val="TOCHeading"/>
            <w:rPr>
              <w:rFonts w:ascii="Times New Roman" w:hAnsi="Times New Roman" w:cs="Times New Roman"/>
              <w:color w:val="auto"/>
              <w:sz w:val="24"/>
              <w:szCs w:val="24"/>
            </w:rPr>
          </w:pPr>
        </w:p>
        <w:p w:rsidRPr="004B51E8" w:rsidR="00F23197" w:rsidP="560A0DEA" w:rsidRDefault="00CF181A" w14:paraId="00901232" w14:textId="77777777">
          <w:pPr>
            <w:spacing w:before="0" w:after="160" w:line="259" w:lineRule="auto"/>
            <w:ind w:firstLine="0"/>
            <w:jc w:val="left"/>
            <w:rPr>
              <w:rFonts w:cs="Times New Roman" w:eastAsiaTheme="majorEastAsia"/>
              <w:color w:val="auto"/>
            </w:rPr>
          </w:pPr>
          <w:r w:rsidRPr="560A0DEA">
            <w:rPr>
              <w:rFonts w:cs="Times New Roman"/>
              <w:color w:val="auto"/>
            </w:rPr>
            <w:br w:type="page"/>
          </w:r>
        </w:p>
        <w:p w:rsidRPr="004B51E8" w:rsidR="00F23197" w:rsidP="560A0DEA" w:rsidRDefault="2A21B568" w14:paraId="3216B3B3" w14:textId="77777777">
          <w:pPr>
            <w:pStyle w:val="Heading1"/>
            <w:jc w:val="center"/>
            <w:rPr>
              <w:rFonts w:cs="Times New Roman"/>
            </w:rPr>
          </w:pPr>
          <w:bookmarkStart w:name="_Toc1691889276" w:id="0"/>
          <w:r w:rsidRPr="560A0DEA">
            <w:rPr>
              <w:rFonts w:cs="Times New Roman"/>
            </w:rPr>
            <w:t>TABLE OF CONTENTS</w:t>
          </w:r>
          <w:bookmarkEnd w:id="0"/>
        </w:p>
        <w:p w:rsidR="00CF181A" w:rsidP="560A0DEA" w:rsidRDefault="560A0DEA" w14:paraId="2BF8A1F6" w14:textId="49C4EC01">
          <w:pPr>
            <w:pStyle w:val="TOC1"/>
            <w:tabs>
              <w:tab w:val="right" w:leader="dot" w:pos="9360"/>
            </w:tabs>
            <w:rPr>
              <w:noProof/>
              <w:color w:val="000000" w:themeColor="text1"/>
              <w:szCs w:val="24"/>
            </w:rPr>
          </w:pPr>
          <w:r>
            <w:fldChar w:fldCharType="begin"/>
          </w:r>
          <w:r w:rsidR="00CF181A">
            <w:instrText>TOC \o "1-3" \h \z \u</w:instrText>
          </w:r>
          <w:r>
            <w:fldChar w:fldCharType="separate"/>
          </w:r>
          <w:hyperlink w:anchor="_Toc1691889276">
            <w:r w:rsidRPr="560A0DEA">
              <w:rPr>
                <w:rStyle w:val="Hyperlink"/>
              </w:rPr>
              <w:t>TABLE OF CONTENTS</w:t>
            </w:r>
            <w:r w:rsidR="00CF181A">
              <w:tab/>
            </w:r>
            <w:r w:rsidR="00CF181A">
              <w:fldChar w:fldCharType="begin"/>
            </w:r>
            <w:r w:rsidR="00CF181A">
              <w:instrText>PAGEREF _Toc1691889276 \h</w:instrText>
            </w:r>
            <w:r w:rsidR="00CF181A">
              <w:fldChar w:fldCharType="separate"/>
            </w:r>
            <w:r w:rsidRPr="560A0DEA">
              <w:rPr>
                <w:rStyle w:val="Hyperlink"/>
              </w:rPr>
              <w:t>1</w:t>
            </w:r>
            <w:r w:rsidR="00CF181A">
              <w:fldChar w:fldCharType="end"/>
            </w:r>
          </w:hyperlink>
        </w:p>
        <w:p w:rsidR="00CF181A" w:rsidP="560A0DEA" w:rsidRDefault="008178FA" w14:paraId="7C6A27BA" w14:textId="5518C887">
          <w:pPr>
            <w:pStyle w:val="TOC1"/>
            <w:tabs>
              <w:tab w:val="right" w:leader="dot" w:pos="9360"/>
            </w:tabs>
            <w:rPr>
              <w:noProof/>
              <w:color w:val="000000" w:themeColor="text1"/>
              <w:szCs w:val="24"/>
            </w:rPr>
          </w:pPr>
          <w:hyperlink w:anchor="_Toc284885899">
            <w:r w:rsidRPr="560A0DEA" w:rsidR="560A0DEA">
              <w:rPr>
                <w:rStyle w:val="Hyperlink"/>
              </w:rPr>
              <w:t>Introduction</w:t>
            </w:r>
            <w:r w:rsidR="00A62DC8">
              <w:tab/>
            </w:r>
            <w:r w:rsidR="00A62DC8">
              <w:fldChar w:fldCharType="begin"/>
            </w:r>
            <w:r w:rsidR="00A62DC8">
              <w:instrText>PAGEREF _Toc284885899 \h</w:instrText>
            </w:r>
            <w:r w:rsidR="00A62DC8">
              <w:fldChar w:fldCharType="separate"/>
            </w:r>
            <w:r w:rsidRPr="560A0DEA" w:rsidR="560A0DEA">
              <w:rPr>
                <w:rStyle w:val="Hyperlink"/>
              </w:rPr>
              <w:t>2</w:t>
            </w:r>
            <w:r w:rsidR="00A62DC8">
              <w:fldChar w:fldCharType="end"/>
            </w:r>
          </w:hyperlink>
        </w:p>
        <w:p w:rsidR="00CF181A" w:rsidP="560A0DEA" w:rsidRDefault="008178FA" w14:paraId="0F830C76" w14:textId="162DFC06">
          <w:pPr>
            <w:pStyle w:val="TOC1"/>
            <w:tabs>
              <w:tab w:val="right" w:leader="dot" w:pos="9360"/>
            </w:tabs>
            <w:rPr>
              <w:noProof/>
              <w:color w:val="000000" w:themeColor="text1"/>
              <w:szCs w:val="24"/>
            </w:rPr>
          </w:pPr>
          <w:hyperlink w:anchor="_Toc502571459">
            <w:r w:rsidRPr="560A0DEA" w:rsidR="560A0DEA">
              <w:rPr>
                <w:rStyle w:val="Hyperlink"/>
              </w:rPr>
              <w:t>Communicable Disease</w:t>
            </w:r>
            <w:r w:rsidR="00A62DC8">
              <w:tab/>
            </w:r>
            <w:r w:rsidR="00A62DC8">
              <w:fldChar w:fldCharType="begin"/>
            </w:r>
            <w:r w:rsidR="00A62DC8">
              <w:instrText>PAGEREF _Toc502571459 \h</w:instrText>
            </w:r>
            <w:r w:rsidR="00A62DC8">
              <w:fldChar w:fldCharType="separate"/>
            </w:r>
            <w:r w:rsidRPr="560A0DEA" w:rsidR="560A0DEA">
              <w:rPr>
                <w:rStyle w:val="Hyperlink"/>
              </w:rPr>
              <w:t>3</w:t>
            </w:r>
            <w:r w:rsidR="00A62DC8">
              <w:fldChar w:fldCharType="end"/>
            </w:r>
          </w:hyperlink>
        </w:p>
        <w:p w:rsidR="00CF181A" w:rsidP="560A0DEA" w:rsidRDefault="008178FA" w14:paraId="3181CCBB" w14:textId="78104C48">
          <w:pPr>
            <w:pStyle w:val="TOC1"/>
            <w:tabs>
              <w:tab w:val="right" w:leader="dot" w:pos="9360"/>
            </w:tabs>
            <w:rPr>
              <w:noProof/>
              <w:color w:val="000000" w:themeColor="text1"/>
              <w:szCs w:val="24"/>
            </w:rPr>
          </w:pPr>
          <w:hyperlink w:anchor="_Toc298702577">
            <w:r w:rsidRPr="560A0DEA" w:rsidR="560A0DEA">
              <w:rPr>
                <w:rStyle w:val="Hyperlink"/>
              </w:rPr>
              <w:t>Non-communicable disease</w:t>
            </w:r>
            <w:r w:rsidR="00A62DC8">
              <w:tab/>
            </w:r>
            <w:r w:rsidR="00A62DC8">
              <w:fldChar w:fldCharType="begin"/>
            </w:r>
            <w:r w:rsidR="00A62DC8">
              <w:instrText>PAGEREF _Toc298702577 \h</w:instrText>
            </w:r>
            <w:r w:rsidR="00A62DC8">
              <w:fldChar w:fldCharType="separate"/>
            </w:r>
            <w:r w:rsidRPr="560A0DEA" w:rsidR="560A0DEA">
              <w:rPr>
                <w:rStyle w:val="Hyperlink"/>
              </w:rPr>
              <w:t>8</w:t>
            </w:r>
            <w:r w:rsidR="00A62DC8">
              <w:fldChar w:fldCharType="end"/>
            </w:r>
          </w:hyperlink>
        </w:p>
        <w:p w:rsidR="560A0DEA" w:rsidP="560A0DEA" w:rsidRDefault="008178FA" w14:paraId="2C8A7159" w14:textId="34021890">
          <w:pPr>
            <w:pStyle w:val="TOC1"/>
            <w:tabs>
              <w:tab w:val="right" w:leader="dot" w:pos="9360"/>
            </w:tabs>
            <w:rPr>
              <w:color w:val="000000" w:themeColor="text1"/>
              <w:szCs w:val="24"/>
            </w:rPr>
          </w:pPr>
          <w:hyperlink w:anchor="_Toc553334322">
            <w:r w:rsidRPr="560A0DEA" w:rsidR="560A0DEA">
              <w:rPr>
                <w:rStyle w:val="Hyperlink"/>
              </w:rPr>
              <w:t>Recommendation</w:t>
            </w:r>
            <w:r w:rsidR="560A0DEA">
              <w:tab/>
            </w:r>
            <w:r w:rsidR="560A0DEA">
              <w:fldChar w:fldCharType="begin"/>
            </w:r>
            <w:r w:rsidR="560A0DEA">
              <w:instrText>PAGEREF _Toc553334322 \h</w:instrText>
            </w:r>
            <w:r w:rsidR="560A0DEA">
              <w:fldChar w:fldCharType="separate"/>
            </w:r>
            <w:r w:rsidRPr="560A0DEA" w:rsidR="560A0DEA">
              <w:rPr>
                <w:rStyle w:val="Hyperlink"/>
              </w:rPr>
              <w:t>11</w:t>
            </w:r>
            <w:r w:rsidR="560A0DEA">
              <w:fldChar w:fldCharType="end"/>
            </w:r>
          </w:hyperlink>
        </w:p>
        <w:p w:rsidR="560A0DEA" w:rsidP="560A0DEA" w:rsidRDefault="008178FA" w14:paraId="6EC6CF9E" w14:textId="09E18901">
          <w:pPr>
            <w:pStyle w:val="TOC1"/>
            <w:tabs>
              <w:tab w:val="right" w:leader="dot" w:pos="9360"/>
            </w:tabs>
            <w:rPr>
              <w:color w:val="000000" w:themeColor="text1"/>
              <w:szCs w:val="24"/>
            </w:rPr>
          </w:pPr>
          <w:hyperlink w:anchor="_Toc620373541">
            <w:r w:rsidRPr="560A0DEA" w:rsidR="560A0DEA">
              <w:rPr>
                <w:rStyle w:val="Hyperlink"/>
              </w:rPr>
              <w:t>References</w:t>
            </w:r>
            <w:r w:rsidR="560A0DEA">
              <w:tab/>
            </w:r>
            <w:r w:rsidR="560A0DEA">
              <w:fldChar w:fldCharType="begin"/>
            </w:r>
            <w:r w:rsidR="560A0DEA">
              <w:instrText>PAGEREF _Toc620373541 \h</w:instrText>
            </w:r>
            <w:r w:rsidR="560A0DEA">
              <w:fldChar w:fldCharType="separate"/>
            </w:r>
            <w:r w:rsidRPr="560A0DEA" w:rsidR="560A0DEA">
              <w:rPr>
                <w:rStyle w:val="Hyperlink"/>
              </w:rPr>
              <w:t>12</w:t>
            </w:r>
            <w:r w:rsidR="560A0DEA">
              <w:fldChar w:fldCharType="end"/>
            </w:r>
          </w:hyperlink>
          <w:r w:rsidR="560A0DEA">
            <w:fldChar w:fldCharType="end"/>
          </w:r>
        </w:p>
      </w:sdtContent>
    </w:sdt>
    <w:p w:rsidRPr="004B51E8" w:rsidR="00F23197" w:rsidP="560A0DEA" w:rsidRDefault="00F23197" w14:paraId="5B97EECF" w14:textId="77777777">
      <w:pPr>
        <w:rPr>
          <w:rFonts w:cs="Times New Roman"/>
          <w:color w:val="auto"/>
        </w:rPr>
      </w:pPr>
    </w:p>
    <w:p w:rsidRPr="004B51E8" w:rsidR="00F23197" w:rsidRDefault="00F23197" w14:paraId="6EB162F9" w14:textId="77777777">
      <w:pPr>
        <w:spacing w:before="0" w:after="160" w:line="259" w:lineRule="auto"/>
        <w:ind w:firstLine="0"/>
        <w:jc w:val="left"/>
        <w:rPr>
          <w:rFonts w:cs="Times New Roman" w:eastAsiaTheme="majorEastAsia"/>
          <w:b/>
          <w:color w:val="auto"/>
          <w:szCs w:val="24"/>
        </w:rPr>
      </w:pPr>
    </w:p>
    <w:p w:rsidRPr="004B51E8" w:rsidR="00F23197" w:rsidRDefault="00CF181A" w14:paraId="262EDA40" w14:textId="77777777">
      <w:pPr>
        <w:spacing w:before="0" w:after="160" w:line="259" w:lineRule="auto"/>
        <w:ind w:firstLine="0"/>
        <w:jc w:val="left"/>
        <w:rPr>
          <w:rFonts w:cs="Times New Roman" w:eastAsiaTheme="majorEastAsia"/>
          <w:b/>
          <w:color w:val="auto"/>
          <w:szCs w:val="24"/>
        </w:rPr>
      </w:pPr>
      <w:r w:rsidRPr="004B51E8">
        <w:rPr>
          <w:rFonts w:cs="Times New Roman"/>
          <w:color w:val="auto"/>
          <w:szCs w:val="24"/>
        </w:rPr>
        <w:br w:type="page"/>
      </w:r>
    </w:p>
    <w:p w:rsidR="00AF7340" w:rsidP="560A0DEA" w:rsidRDefault="08212FC6" w14:paraId="6E77A363" w14:textId="77777777">
      <w:pPr>
        <w:pStyle w:val="Heading1"/>
        <w:rPr>
          <w:rFonts w:cs="Times New Roman"/>
        </w:rPr>
      </w:pPr>
      <w:bookmarkStart w:name="_Toc284885899" w:id="1"/>
      <w:r w:rsidRPr="560A0DEA">
        <w:rPr>
          <w:rFonts w:cs="Times New Roman"/>
        </w:rPr>
        <w:t>Introduction</w:t>
      </w:r>
      <w:bookmarkEnd w:id="1"/>
    </w:p>
    <w:p w:rsidRPr="00AF7340" w:rsidR="00AF7340" w:rsidP="00AF7340" w:rsidRDefault="08212FC6" w14:paraId="7EC3FA82" w14:textId="4127A84B">
      <w:r>
        <w:t xml:space="preserve">Many health and medical </w:t>
      </w:r>
      <w:r w:rsidR="1E74EC66">
        <w:t>organizations</w:t>
      </w:r>
      <w:r>
        <w:t xml:space="preserve"> collect data, but the data is not routinely shared. Patients, enrollees, members, and respondents have difficulty </w:t>
      </w:r>
      <w:r w:rsidR="009F9450">
        <w:t>supplying</w:t>
      </w:r>
      <w:r>
        <w:t xml:space="preserve"> data on race, ethnicity, and language. Improve the issue by clearly expressing the aim of data gathering and educating staff, leaders, and the general public on the need of using suitable collection methodologies (Marchant et al., 2020). Despite this, several </w:t>
      </w:r>
      <w:r w:rsidR="52EF30AD">
        <w:t>organizations</w:t>
      </w:r>
      <w:r>
        <w:t xml:space="preserve"> are constrained by health information technology, needing internal dissent management. Indirect estimating approaches may be used to supplement direct data collection efforts when paired with a probabilistic mindset.</w:t>
      </w:r>
    </w:p>
    <w:p w:rsidRPr="004B51E8" w:rsidR="00CC5575" w:rsidP="560A0DEA" w:rsidRDefault="2A21B568" w14:paraId="3F6E3CA5" w14:textId="77777777">
      <w:pPr>
        <w:pStyle w:val="Heading1"/>
        <w:rPr>
          <w:rFonts w:cs="Times New Roman"/>
        </w:rPr>
      </w:pPr>
      <w:bookmarkStart w:name="_Toc502571459" w:id="2"/>
      <w:r w:rsidRPr="560A0DEA">
        <w:rPr>
          <w:rFonts w:cs="Times New Roman"/>
        </w:rPr>
        <w:t>Communicable Disease</w:t>
      </w:r>
      <w:bookmarkEnd w:id="2"/>
    </w:p>
    <w:p w:rsidRPr="004B51E8" w:rsidR="00BB32AC" w:rsidP="00BB32AC" w:rsidRDefault="00CF181A" w14:paraId="031963AE" w14:textId="77777777">
      <w:pPr>
        <w:rPr>
          <w:rFonts w:cs="Times New Roman"/>
          <w:color w:val="auto"/>
          <w:szCs w:val="24"/>
        </w:rPr>
      </w:pPr>
      <w:r w:rsidRPr="004B51E8">
        <w:rPr>
          <w:rFonts w:cs="Times New Roman"/>
          <w:color w:val="auto"/>
          <w:szCs w:val="24"/>
        </w:rPr>
        <w:t>Public Health Wales' epidemiological research arm, the Communicable Disease Surveillance Centre (CDSC), is part of the National Public Health Service of Wales. Infectious disease surveillance, outbreak investigations, health intelligence dissemination, and applied research are some of the ways it keeps the public safe from infection. Investigations are carried out by Communicable Disease Control Consultants stationed in Health Protection Teams throughout Wales and the three Regional Epidemiologists at CDSC</w:t>
      </w:r>
      <w:r w:rsidRPr="004B51E8" w:rsidR="00B14D1A">
        <w:rPr>
          <w:rFonts w:cs="Times New Roman"/>
          <w:color w:val="auto"/>
          <w:szCs w:val="24"/>
        </w:rPr>
        <w:t xml:space="preserve"> (</w:t>
      </w:r>
      <w:r w:rsidRPr="004B51E8" w:rsidR="00B14D1A">
        <w:rPr>
          <w:rFonts w:cs="Times New Roman"/>
          <w:color w:val="auto"/>
          <w:szCs w:val="24"/>
          <w:shd w:val="clear" w:color="auto" w:fill="FFFFFF"/>
        </w:rPr>
        <w:t>Morgan et al., 2019</w:t>
      </w:r>
      <w:r w:rsidRPr="004B51E8" w:rsidR="00B14D1A">
        <w:rPr>
          <w:rFonts w:cs="Times New Roman"/>
          <w:color w:val="auto"/>
          <w:szCs w:val="24"/>
        </w:rPr>
        <w:t>)</w:t>
      </w:r>
      <w:r w:rsidRPr="004B51E8">
        <w:rPr>
          <w:rFonts w:cs="Times New Roman"/>
          <w:color w:val="auto"/>
          <w:szCs w:val="24"/>
        </w:rPr>
        <w:t>.</w:t>
      </w:r>
    </w:p>
    <w:p w:rsidRPr="004B51E8" w:rsidR="00BB32AC" w:rsidP="00BB32AC" w:rsidRDefault="00CF181A" w14:paraId="0011C69B" w14:textId="77777777">
      <w:pPr>
        <w:rPr>
          <w:rFonts w:cs="Times New Roman"/>
          <w:color w:val="auto"/>
          <w:szCs w:val="24"/>
        </w:rPr>
      </w:pPr>
      <w:r w:rsidRPr="004B51E8">
        <w:rPr>
          <w:rFonts w:cs="Times New Roman"/>
          <w:color w:val="auto"/>
          <w:szCs w:val="24"/>
        </w:rPr>
        <w:t>The virus that causes hepatitis C to invade the liver is to blame. If left untreated, it may sometimes cause serious liver damage that can be life-threatening. Many people who suffer from this condition are now able to lead regular lives because of modern medication. Over 118,000 people in the UK are expected to have chronic hepatitis C by 2019</w:t>
      </w:r>
      <w:r w:rsidRPr="004B51E8" w:rsidR="00B14D1A">
        <w:rPr>
          <w:rFonts w:cs="Times New Roman"/>
          <w:color w:val="auto"/>
          <w:szCs w:val="24"/>
        </w:rPr>
        <w:t xml:space="preserve"> (</w:t>
      </w:r>
      <w:r w:rsidRPr="004B51E8" w:rsidR="00B14D1A">
        <w:rPr>
          <w:rFonts w:cs="Times New Roman"/>
          <w:color w:val="auto"/>
          <w:szCs w:val="24"/>
          <w:shd w:val="clear" w:color="auto" w:fill="FFFFFF"/>
        </w:rPr>
        <w:t>Richards-Belle et al., 2020</w:t>
      </w:r>
      <w:r w:rsidRPr="004B51E8" w:rsidR="00B14D1A">
        <w:rPr>
          <w:rFonts w:cs="Times New Roman"/>
          <w:color w:val="auto"/>
          <w:szCs w:val="24"/>
        </w:rPr>
        <w:t>)</w:t>
      </w:r>
      <w:r w:rsidRPr="004B51E8">
        <w:rPr>
          <w:rFonts w:cs="Times New Roman"/>
          <w:color w:val="auto"/>
          <w:szCs w:val="24"/>
        </w:rPr>
        <w:t>. If you come into contact with an infected person's blood, you may get infected yourself.</w:t>
      </w:r>
    </w:p>
    <w:p w:rsidRPr="004B51E8" w:rsidR="00BB32AC" w:rsidP="00BB32AC" w:rsidRDefault="00CF181A" w14:paraId="44FCEB39" w14:textId="77777777">
      <w:pPr>
        <w:rPr>
          <w:rFonts w:cs="Times New Roman"/>
          <w:color w:val="auto"/>
          <w:szCs w:val="24"/>
        </w:rPr>
      </w:pPr>
      <w:r w:rsidRPr="004B51E8">
        <w:rPr>
          <w:rFonts w:cs="Times New Roman"/>
          <w:color w:val="auto"/>
          <w:szCs w:val="24"/>
        </w:rPr>
        <w:t>What are the signs and symptoms of Hepatitis C?</w:t>
      </w:r>
    </w:p>
    <w:p w:rsidRPr="004B51E8" w:rsidR="00BB32AC" w:rsidP="560A0DEA" w:rsidRDefault="2A21B568" w14:paraId="35D8BC0C" w14:textId="2E862E92">
      <w:pPr>
        <w:rPr>
          <w:rFonts w:cs="Times New Roman"/>
          <w:color w:val="auto"/>
        </w:rPr>
      </w:pPr>
      <w:r w:rsidRPr="560A0DEA">
        <w:rPr>
          <w:rFonts w:cs="Times New Roman"/>
          <w:color w:val="auto"/>
        </w:rPr>
        <w:t xml:space="preserve">Histoplasmosis C might go unnoticed for years until it has a major impact on liver function. As a consequence, </w:t>
      </w:r>
      <w:r w:rsidRPr="560A0DEA" w:rsidR="2E206139">
        <w:rPr>
          <w:rFonts w:cs="Times New Roman"/>
          <w:color w:val="auto"/>
        </w:rPr>
        <w:t>many</w:t>
      </w:r>
      <w:r w:rsidRPr="560A0DEA">
        <w:rPr>
          <w:rFonts w:cs="Times New Roman"/>
          <w:color w:val="auto"/>
        </w:rPr>
        <w:t xml:space="preserve"> people get sick and die as a result. Symptoms may be mistaken as the result of a different illness when they first arise</w:t>
      </w:r>
      <w:r w:rsidRPr="560A0DEA" w:rsidR="0A505A50">
        <w:rPr>
          <w:rFonts w:cs="Times New Roman"/>
          <w:color w:val="auto"/>
        </w:rPr>
        <w:t xml:space="preserve"> (</w:t>
      </w:r>
      <w:r w:rsidRPr="560A0DEA" w:rsidR="0A505A50">
        <w:rPr>
          <w:rFonts w:cs="Times New Roman"/>
          <w:color w:val="auto"/>
          <w:shd w:val="clear" w:color="auto" w:fill="FFFFFF"/>
        </w:rPr>
        <w:t>Morgan et al., 2019</w:t>
      </w:r>
      <w:r w:rsidRPr="560A0DEA" w:rsidR="0A505A50">
        <w:rPr>
          <w:rFonts w:cs="Times New Roman"/>
          <w:color w:val="auto"/>
        </w:rPr>
        <w:t>)</w:t>
      </w:r>
      <w:r w:rsidRPr="560A0DEA">
        <w:rPr>
          <w:rFonts w:cs="Times New Roman"/>
          <w:color w:val="auto"/>
        </w:rPr>
        <w:t>.</w:t>
      </w:r>
    </w:p>
    <w:p w:rsidRPr="004B51E8" w:rsidR="00CF5DBF" w:rsidP="00BB32AC" w:rsidRDefault="00CF181A" w14:paraId="56B2F92A" w14:textId="77777777">
      <w:pPr>
        <w:rPr>
          <w:rFonts w:cs="Times New Roman"/>
          <w:color w:val="auto"/>
          <w:szCs w:val="24"/>
        </w:rPr>
      </w:pPr>
      <w:r w:rsidRPr="004B51E8">
        <w:rPr>
          <w:rFonts w:cs="Times New Roman"/>
          <w:color w:val="auto"/>
          <w:szCs w:val="24"/>
        </w:rPr>
        <w:t>Muscle aches and a high temperature (fever) are among flu-like symptoms, as well as persistent exhaustion, loss of appetite, and stomach discomfort. Only a hepatitis C test can definitively confirm whether these symptoms are the result of the virus. If you have persistent hepatitis C symptoms or if there is a reasonable chance that you are infected, you should seek medical assistance</w:t>
      </w:r>
      <w:r w:rsidRPr="004B51E8" w:rsidR="00B14D1A">
        <w:rPr>
          <w:rFonts w:cs="Times New Roman"/>
          <w:color w:val="auto"/>
          <w:szCs w:val="24"/>
        </w:rPr>
        <w:t xml:space="preserve"> (</w:t>
      </w:r>
      <w:r w:rsidRPr="004B51E8" w:rsidR="00B14D1A">
        <w:rPr>
          <w:rFonts w:cs="Times New Roman"/>
          <w:color w:val="auto"/>
          <w:szCs w:val="24"/>
          <w:shd w:val="clear" w:color="auto" w:fill="FFFFFF"/>
        </w:rPr>
        <w:t>Hallingberg et al., 2020</w:t>
      </w:r>
      <w:r w:rsidRPr="004B51E8" w:rsidR="00B14D1A">
        <w:rPr>
          <w:rFonts w:cs="Times New Roman"/>
          <w:color w:val="auto"/>
          <w:szCs w:val="24"/>
        </w:rPr>
        <w:t>)</w:t>
      </w:r>
      <w:r w:rsidRPr="004B51E8">
        <w:rPr>
          <w:rFonts w:cs="Times New Roman"/>
          <w:color w:val="auto"/>
          <w:szCs w:val="24"/>
        </w:rPr>
        <w:t xml:space="preserve">. There is a blood test that may be done to see whether you have the disease. General practitioners, sexual health clinics, genitourinary medicine (GUM) clinics, and drug treatment institutions all provide hepatitis C testing for patients. </w:t>
      </w:r>
    </w:p>
    <w:p w:rsidR="007B1AFA" w:rsidP="00BB32AC" w:rsidRDefault="00CF181A" w14:paraId="2B0DB42C" w14:textId="77777777">
      <w:pPr>
        <w:rPr>
          <w:rFonts w:cs="Times New Roman"/>
          <w:color w:val="auto"/>
          <w:szCs w:val="24"/>
        </w:rPr>
      </w:pPr>
      <w:r w:rsidRPr="004B51E8">
        <w:rPr>
          <w:rFonts w:cs="Times New Roman"/>
          <w:color w:val="auto"/>
          <w:szCs w:val="24"/>
        </w:rPr>
        <w:t>A healthy liver and the prevention of infection transmission are both possible outcomes of early identification and treatment. Medications that stop the virus from multiplying in the body may be used to treat hepatitis C. It is common for them to be given to patients over a period of weeks. Before recently, most people would have taken pegylated interferon (injected weekly) and ribavirin (a daily pill) (a capsule or tablet). Tablet-based treatments are now widely available. There is evidence that new hepatitis C drugs are more effective, acceptable, and shorten treatment time. Two of these are sofosbuvir and daclatasvir. 90% of those with hepatitis C might be cured with the latest medications</w:t>
      </w:r>
      <w:r w:rsidRPr="004B51E8" w:rsidR="00B14D1A">
        <w:rPr>
          <w:rFonts w:cs="Times New Roman"/>
          <w:color w:val="auto"/>
          <w:szCs w:val="24"/>
        </w:rPr>
        <w:t xml:space="preserve"> (</w:t>
      </w:r>
      <w:r w:rsidRPr="004B51E8" w:rsidR="00B14D1A">
        <w:rPr>
          <w:rFonts w:cs="Times New Roman"/>
          <w:color w:val="auto"/>
          <w:szCs w:val="24"/>
          <w:shd w:val="clear" w:color="auto" w:fill="FFFFFF"/>
        </w:rPr>
        <w:t>Hallingberg et al., 2020</w:t>
      </w:r>
      <w:r w:rsidRPr="004B51E8" w:rsidR="00B14D1A">
        <w:rPr>
          <w:rFonts w:cs="Times New Roman"/>
          <w:color w:val="auto"/>
          <w:szCs w:val="24"/>
        </w:rPr>
        <w:t>)</w:t>
      </w:r>
      <w:r w:rsidRPr="004B51E8">
        <w:rPr>
          <w:rFonts w:cs="Times New Roman"/>
          <w:color w:val="auto"/>
          <w:szCs w:val="24"/>
        </w:rPr>
        <w:t>. Keep in mind that the infection won't go away and that you still need to be cautious about contracting it again.</w:t>
      </w:r>
    </w:p>
    <w:p w:rsidR="00B8325F" w:rsidP="00B8325F" w:rsidRDefault="00B8325F" w14:paraId="47C5D5C0" w14:textId="77777777">
      <w:r>
        <w:t>According to the latest recent estimates, around 174,000 persons in the United Kingdom had chronic HCV infection in 2015. (95 percent credible interval 161,000 to 188,000). As seen in Figure 1. According to the most current projections, the frequency has decreased in recent years, and is expected to decrease by around 130,000 cases in 2019.</w:t>
      </w:r>
    </w:p>
    <w:p w:rsidR="00B8325F" w:rsidP="00B8325F" w:rsidRDefault="00B8325F" w14:paraId="0BA5F175" w14:textId="77777777">
      <w:pPr>
        <w:jc w:val="center"/>
      </w:pPr>
      <w:r>
        <w:rPr>
          <w:noProof/>
        </w:rPr>
        <w:drawing>
          <wp:inline distT="0" distB="0" distL="0" distR="0" wp14:anchorId="5D44554E" wp14:editId="21897D9C">
            <wp:extent cx="5724525" cy="4933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4525" cy="4933950"/>
                    </a:xfrm>
                    <a:prstGeom prst="rect">
                      <a:avLst/>
                    </a:prstGeom>
                  </pic:spPr>
                </pic:pic>
              </a:graphicData>
            </a:graphic>
          </wp:inline>
        </w:drawing>
      </w:r>
    </w:p>
    <w:p w:rsidR="00B8325F" w:rsidP="00B8325F" w:rsidRDefault="713388F9" w14:paraId="782CCCA6" w14:textId="4268C653">
      <w:r>
        <w:t xml:space="preserve">Forecasting prevalence in the United Kingdom is continually being improved by tracking changes over time using a variety of routine surveillance data sources. This information is being used to fine-tune the modelling technique. RNA testing has been incorporated as part of the UAM PWID survey, which </w:t>
      </w:r>
      <w:r w:rsidR="21CA2538">
        <w:t>supplies</w:t>
      </w:r>
      <w:r>
        <w:t xml:space="preserve"> direct information on the prevalence of chronic PWID in the study population. It is likely that a larger proportion of individuals treated well with </w:t>
      </w:r>
      <w:r w:rsidR="37014857">
        <w:t>interferon,</w:t>
      </w:r>
      <w:r>
        <w:t xml:space="preserve"> or a better rate of spontaneous clearance resulted in a lower </w:t>
      </w:r>
      <w:r w:rsidR="7E0B3A3E">
        <w:t>predicted</w:t>
      </w:r>
      <w:r>
        <w:t xml:space="preserve"> chronic prevalence in prior models that employed adjusted antibody prevalence. According to the modified model, 132,000 chronic infections (95 percent CrI: 118,000, 146,000) were </w:t>
      </w:r>
      <w:r w:rsidR="198E6EE9">
        <w:t>predicted</w:t>
      </w:r>
      <w:r>
        <w:t xml:space="preserve"> for 2018, implying a 14,000 decrease in chronic prevalence from 2018 to 2019</w:t>
      </w:r>
      <w:r w:rsidR="2A21B568">
        <w:t xml:space="preserve"> </w:t>
      </w:r>
      <w:r w:rsidRPr="560A0DEA" w:rsidR="2A21B568">
        <w:rPr>
          <w:rFonts w:cs="Times New Roman"/>
          <w:color w:val="auto"/>
        </w:rPr>
        <w:t>(</w:t>
      </w:r>
      <w:r w:rsidRPr="560A0DEA" w:rsidR="2A21B568">
        <w:rPr>
          <w:rFonts w:cs="Times New Roman"/>
          <w:color w:val="auto"/>
          <w:shd w:val="clear" w:color="auto" w:fill="FFFFFF"/>
        </w:rPr>
        <w:t>Morgan et al., 2019</w:t>
      </w:r>
      <w:r w:rsidRPr="560A0DEA" w:rsidR="2A21B568">
        <w:rPr>
          <w:rFonts w:cs="Times New Roman"/>
          <w:color w:val="auto"/>
        </w:rPr>
        <w:t>)</w:t>
      </w:r>
      <w:r>
        <w:t>. Approximately one-tenth of the population.</w:t>
      </w:r>
    </w:p>
    <w:p w:rsidR="00B8325F" w:rsidP="00B8325F" w:rsidRDefault="00B8325F" w14:paraId="69B3F084" w14:textId="77777777">
      <w:r>
        <w:t>In the United Kingdom, more than 90% of all laboratory testing for risk factors demonstrates that injecting drugs is a risk factor for HCV infection (59 percent in Northern Ireland). While general drug injection in the UK has decreased, owing mostly to heroin usage, there has been an upsurge in the injection of certain drugs, most notably stimulants and particularly cocaine or crack, in various sections of the nation</w:t>
      </w:r>
      <w:r w:rsidR="00CF181A">
        <w:t xml:space="preserve"> </w:t>
      </w:r>
      <w:r w:rsidR="00CF181A">
        <w:rPr>
          <w:rFonts w:cs="Times New Roman"/>
          <w:color w:val="auto"/>
          <w:szCs w:val="24"/>
        </w:rPr>
        <w:t>(</w:t>
      </w:r>
      <w:r w:rsidR="00CF181A">
        <w:rPr>
          <w:rFonts w:cs="Times New Roman"/>
          <w:color w:val="auto"/>
          <w:szCs w:val="24"/>
          <w:shd w:val="clear" w:color="auto" w:fill="FFFFFF"/>
        </w:rPr>
        <w:t>Lucarotti and Burke, 2018</w:t>
      </w:r>
      <w:r w:rsidR="00CF181A">
        <w:rPr>
          <w:rFonts w:cs="Times New Roman"/>
          <w:color w:val="auto"/>
          <w:szCs w:val="24"/>
        </w:rPr>
        <w:t>)</w:t>
      </w:r>
      <w:r>
        <w:t>. These medicines have been linked to increased injection frequency, injection site damage, and viral and bacterial infection.</w:t>
      </w:r>
    </w:p>
    <w:p w:rsidR="00B8325F" w:rsidP="00B8325F" w:rsidRDefault="713388F9" w14:paraId="371EEDAB" w14:textId="527A519A">
      <w:r>
        <w:t>In 2019, around 54% of PWID in England, Wales, and Northern Ireland (figure 2a), as well as 55% of PWID in Scotland (figure 2b), had evidence of previous HCV infection, while slightly less than 25% had evidence of current infection (HCV RNA positive)</w:t>
      </w:r>
      <w:r w:rsidR="2A21B568">
        <w:t xml:space="preserve"> </w:t>
      </w:r>
      <w:r w:rsidRPr="560A0DEA" w:rsidR="2A21B568">
        <w:rPr>
          <w:rFonts w:cs="Times New Roman"/>
          <w:color w:val="auto"/>
        </w:rPr>
        <w:t>(</w:t>
      </w:r>
      <w:r w:rsidRPr="560A0DEA" w:rsidR="2A21B568">
        <w:rPr>
          <w:rFonts w:cs="Times New Roman"/>
          <w:color w:val="auto"/>
          <w:shd w:val="clear" w:color="auto" w:fill="FFFFFF"/>
        </w:rPr>
        <w:t>Richards-Belle et al., 2020</w:t>
      </w:r>
      <w:r w:rsidRPr="560A0DEA" w:rsidR="2A21B568">
        <w:rPr>
          <w:rFonts w:cs="Times New Roman"/>
          <w:color w:val="auto"/>
        </w:rPr>
        <w:t>)</w:t>
      </w:r>
      <w:r>
        <w:t xml:space="preserve">. These results are based on two studies of PWID in the United Kingdom (the UAM </w:t>
      </w:r>
      <w:r w:rsidR="7DA57465">
        <w:t>Survey (</w:t>
      </w:r>
      <w:r>
        <w:t xml:space="preserve">2) and the Needle Exchange Surveillance Initiative (NESI) </w:t>
      </w:r>
      <w:r w:rsidR="4EE4DD25">
        <w:t>Survey (</w:t>
      </w:r>
      <w:r>
        <w:t>3).</w:t>
      </w:r>
    </w:p>
    <w:p w:rsidR="00B8325F" w:rsidP="00B8325F" w:rsidRDefault="00B8325F" w14:paraId="38907A4F" w14:textId="77777777"/>
    <w:p w:rsidR="00B8325F" w:rsidP="00B8325F" w:rsidRDefault="00B8325F" w14:paraId="19B10397" w14:textId="77777777">
      <w:r>
        <w:rPr>
          <w:noProof/>
        </w:rPr>
        <w:drawing>
          <wp:inline distT="0" distB="0" distL="0" distR="0" wp14:anchorId="32A48F35" wp14:editId="6E16AD4E">
            <wp:extent cx="5943600" cy="35001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500120"/>
                    </a:xfrm>
                    <a:prstGeom prst="rect">
                      <a:avLst/>
                    </a:prstGeom>
                  </pic:spPr>
                </pic:pic>
              </a:graphicData>
            </a:graphic>
          </wp:inline>
        </w:drawing>
      </w:r>
    </w:p>
    <w:p w:rsidR="00B8325F" w:rsidP="00B8325F" w:rsidRDefault="00B8325F" w14:paraId="36E377FF" w14:textId="77777777">
      <w:r>
        <w:t>HCV treatment and prevention must include a broad variety of hepatitis-related services, including testing, treatment, and follow-up care, as well as rehabilitative and harm-reduction programmes for persons who inject drugs (PWID). HCV may be eradicated as a significant public health risk by 2030 if the response to the GHSS for viral hepatitis meets the plan's service coverage objectives. It is theoretically conceivable to remove HCV as a significant public health concern in the UK through lowering HCV-related mortality and avoiding new infections</w:t>
      </w:r>
      <w:r w:rsidR="00CF181A">
        <w:t xml:space="preserve"> </w:t>
      </w:r>
      <w:r w:rsidR="00CF181A">
        <w:rPr>
          <w:rFonts w:cs="Times New Roman"/>
          <w:color w:val="auto"/>
          <w:szCs w:val="24"/>
        </w:rPr>
        <w:t>(</w:t>
      </w:r>
      <w:r w:rsidR="00CF181A">
        <w:rPr>
          <w:rFonts w:cs="Times New Roman"/>
          <w:color w:val="auto"/>
          <w:szCs w:val="24"/>
          <w:shd w:val="clear" w:color="auto" w:fill="FFFFFF"/>
        </w:rPr>
        <w:t>Marchant et al., 2020</w:t>
      </w:r>
      <w:r w:rsidR="00CF181A">
        <w:rPr>
          <w:rFonts w:cs="Times New Roman"/>
          <w:color w:val="auto"/>
          <w:szCs w:val="24"/>
        </w:rPr>
        <w:t>)</w:t>
      </w:r>
      <w:r>
        <w:t>. There are three major areas where funding varies throughout the United Kingdom: To reach SVR, we must raise the proportion of infected individuals who are diagnosed and informed of their diseases, as well as the proportion of infected individuals who seek and complete treatment. These three objectives are mutually incompatible.</w:t>
      </w:r>
    </w:p>
    <w:p w:rsidR="00B8325F" w:rsidP="00B8325F" w:rsidRDefault="713388F9" w14:paraId="4F7F37B2" w14:textId="0F81EA2A">
      <w:r>
        <w:t xml:space="preserve">Harm reduction strategies, such as access to clean injecting equipment and successful drug addiction treatment, may help prevent and manage HCV infection in PWID (27-32). Preventing HCV transmission needs access to clean injecting equipment and opioid substitution therapy (OST), both of which have been shown to </w:t>
      </w:r>
      <w:r w:rsidR="7305AD9D">
        <w:t>minimize</w:t>
      </w:r>
      <w:r>
        <w:t xml:space="preserve"> the risk of reinfection after treatment</w:t>
      </w:r>
      <w:r w:rsidR="2A21B568">
        <w:t xml:space="preserve"> </w:t>
      </w:r>
      <w:r w:rsidRPr="560A0DEA" w:rsidR="2A21B568">
        <w:rPr>
          <w:rFonts w:cs="Times New Roman"/>
          <w:color w:val="auto"/>
        </w:rPr>
        <w:t>(</w:t>
      </w:r>
      <w:r w:rsidRPr="560A0DEA" w:rsidR="2A21B568">
        <w:rPr>
          <w:rFonts w:cs="Times New Roman"/>
          <w:color w:val="auto"/>
          <w:shd w:val="clear" w:color="auto" w:fill="FFFFFF"/>
        </w:rPr>
        <w:t>Hallingberg et al., 2020</w:t>
      </w:r>
      <w:r w:rsidRPr="560A0DEA" w:rsidR="2A21B568">
        <w:rPr>
          <w:rFonts w:cs="Times New Roman"/>
          <w:color w:val="auto"/>
        </w:rPr>
        <w:t>)</w:t>
      </w:r>
      <w:r>
        <w:t>. According to new findings, low dead space syringes (which have a smaller dead space than normal syringes) may also be used in place of conventional needles to lower the risk of HCV transmission.</w:t>
      </w:r>
    </w:p>
    <w:p w:rsidRPr="004B51E8" w:rsidR="00B8325F" w:rsidP="560A0DEA" w:rsidRDefault="713388F9" w14:paraId="5E887B22" w14:textId="79666784">
      <w:pPr>
        <w:rPr>
          <w:rFonts w:cs="Times New Roman"/>
          <w:color w:val="auto"/>
        </w:rPr>
      </w:pPr>
      <w:r w:rsidR="713388F9">
        <w:rPr/>
        <w:t xml:space="preserve">Only 19 per</w:t>
      </w:r>
      <w:r w:rsidR="28381936">
        <w:rPr/>
        <w:t xml:space="preserve"> cent (13.1 million) of persons living with hepatitis C are aware of their infection, </w:t>
      </w:r>
      <w:r w:rsidR="28381936">
        <w:rPr/>
        <w:t>Ven</w:t>
      </w:r>
      <w:r w:rsidR="03B36890">
        <w:rPr/>
        <w:t xml:space="preserve"> though</w:t>
      </w:r>
      <w:r w:rsidR="713388F9">
        <w:rPr/>
        <w:t xml:space="preserve"> early diagnosis is critical for effective treatment and care. Even while infection awareness is far higher in the United Kingdom than the worldwide average of 19%, many individuals </w:t>
      </w:r>
      <w:r w:rsidR="713388F9">
        <w:rPr/>
        <w:t xml:space="preserve">remain</w:t>
      </w:r>
      <w:r w:rsidR="713388F9">
        <w:rPr/>
        <w:t xml:space="preserve"> unable to obtain treatment and care choices after a positive test result. In the most recent study, UAM researchers discovered that 51% of PWID were aware of their HCV antibody positivity status. According to </w:t>
      </w:r>
      <w:r w:rsidR="6639C950">
        <w:rPr/>
        <w:t xml:space="preserve">recent research</w:t>
      </w:r>
      <w:r w:rsidR="713388F9">
        <w:rPr/>
        <w:t xml:space="preserve">, PWID in the United Kingdom are less aware of their HCV RNA positive infection than they were in 2017</w:t>
      </w:r>
      <w:r w:rsidR="2A21B568">
        <w:rPr/>
        <w:t xml:space="preserve"> </w:t>
      </w:r>
      <w:r w:rsidRPr="560A0DEA" w:rsidR="2A21B568">
        <w:rPr>
          <w:rFonts w:cs="Times New Roman"/>
          <w:color w:val="auto"/>
        </w:rPr>
        <w:t>(</w:t>
      </w:r>
      <w:r w:rsidRPr="560A0DEA" w:rsidR="2A21B568">
        <w:rPr>
          <w:rFonts w:cs="Times New Roman"/>
          <w:color w:val="auto"/>
          <w:shd w:val="clear" w:color="auto" w:fill="FFFFFF"/>
        </w:rPr>
        <w:t>Richards-Belle et al., 2020</w:t>
      </w:r>
      <w:r w:rsidRPr="560A0DEA" w:rsidR="2A21B568">
        <w:rPr>
          <w:rFonts w:cs="Times New Roman"/>
          <w:color w:val="auto"/>
        </w:rPr>
        <w:t>)</w:t>
      </w:r>
      <w:r w:rsidR="713388F9">
        <w:rPr/>
        <w:t>.</w:t>
      </w:r>
    </w:p>
    <w:p w:rsidR="00CC5575" w:rsidP="560A0DEA" w:rsidRDefault="2A21B568" w14:paraId="34E8AE87" w14:textId="77777777">
      <w:pPr>
        <w:pStyle w:val="Heading1"/>
        <w:rPr>
          <w:rFonts w:cs="Times New Roman"/>
        </w:rPr>
      </w:pPr>
      <w:bookmarkStart w:name="_Toc298702577" w:id="3"/>
      <w:r w:rsidRPr="560A0DEA">
        <w:rPr>
          <w:rFonts w:cs="Times New Roman"/>
        </w:rPr>
        <w:t>Non-communicable disease</w:t>
      </w:r>
      <w:bookmarkEnd w:id="3"/>
    </w:p>
    <w:p w:rsidRPr="004B51E8" w:rsidR="00CF5DBF" w:rsidP="560A0DEA" w:rsidRDefault="3E0FC52F" w14:paraId="5D7C4F73" w14:textId="64D50B40">
      <w:pPr>
        <w:rPr>
          <w:rFonts w:cs="Times New Roman"/>
          <w:color w:val="auto"/>
        </w:rPr>
      </w:pPr>
      <w:r w:rsidRPr="560A0DEA">
        <w:rPr>
          <w:rFonts w:cs="Times New Roman"/>
          <w:color w:val="auto"/>
        </w:rPr>
        <w:t xml:space="preserve">The UK is expected to have over 4 million Type 2 diabetics by 2025, and up to 5.5 million by 2030. These results are shocking; type 2 diabetes is one of the most significant issues facing the UK today, with many people receiving full care from the National Health Service. When diabetes is </w:t>
      </w:r>
      <w:r w:rsidRPr="560A0DEA" w:rsidR="04D0A11D">
        <w:rPr>
          <w:rFonts w:cs="Times New Roman"/>
          <w:color w:val="auto"/>
        </w:rPr>
        <w:t>recognized</w:t>
      </w:r>
      <w:r w:rsidRPr="560A0DEA">
        <w:rPr>
          <w:rFonts w:cs="Times New Roman"/>
          <w:color w:val="auto"/>
        </w:rPr>
        <w:t xml:space="preserve"> as a problem, the UK has the lowest control rate in Europe. No one knows why. However, it is evident that this may harm people's life. The NHS spends 3.5 times more on diabetics with problems than without. </w:t>
      </w:r>
      <w:r w:rsidRPr="560A0DEA" w:rsidR="2A21B568">
        <w:rPr>
          <w:rFonts w:cs="Times New Roman"/>
          <w:color w:val="auto"/>
        </w:rPr>
        <w:t>Around 7% of the UK population now has diabetes, including over 1 million adults with undiagnosed type 2 diabetes, 40 000 children with diabetes, and an additional 3000 children diagnosed each year (</w:t>
      </w:r>
      <w:r w:rsidRPr="560A0DEA" w:rsidR="2A21B568">
        <w:rPr>
          <w:rFonts w:cs="Times New Roman"/>
          <w:color w:val="auto"/>
          <w:shd w:val="clear" w:color="auto" w:fill="FFFFFF"/>
        </w:rPr>
        <w:t>Richards-Belle et al., 2020</w:t>
      </w:r>
      <w:r w:rsidRPr="560A0DEA" w:rsidR="2A21B568">
        <w:rPr>
          <w:rFonts w:cs="Times New Roman"/>
          <w:color w:val="auto"/>
        </w:rPr>
        <w:t>). Structured training was delivered to 49% of patients with type 1 diabetes and 90% of patients with type 2 diabetes, respectively. Many people with diabetes have difficulty obtaining medicine or self-monitoring devices. According to the CDC, 57% of people with type 1 diabetes and 42% of those with type 2 diabetes do not get all eight of their recommended yearly health exams. Around 40% of people with diabetes have a negative impact on their psychological wellbeing. A microvascular problem was discovered in one-third of patients with type 2 diabetes. Each week, diabetes causes 530 heart attacks and 175 amputations. Diabetes-related disorders consume around 10% of the National Health Service's yearly budget</w:t>
      </w:r>
      <w:r w:rsidRPr="560A0DEA" w:rsidR="0A505A50">
        <w:rPr>
          <w:rFonts w:cs="Times New Roman"/>
          <w:color w:val="auto"/>
        </w:rPr>
        <w:t xml:space="preserve"> (</w:t>
      </w:r>
      <w:r w:rsidRPr="560A0DEA" w:rsidR="0A505A50">
        <w:rPr>
          <w:rFonts w:cs="Times New Roman"/>
          <w:color w:val="auto"/>
          <w:shd w:val="clear" w:color="auto" w:fill="FFFFFF"/>
        </w:rPr>
        <w:t>Marchant et al., 2020</w:t>
      </w:r>
      <w:r w:rsidRPr="560A0DEA" w:rsidR="0A505A50">
        <w:rPr>
          <w:rFonts w:cs="Times New Roman"/>
          <w:color w:val="auto"/>
        </w:rPr>
        <w:t>)</w:t>
      </w:r>
      <w:r w:rsidRPr="560A0DEA" w:rsidR="2A21B568">
        <w:rPr>
          <w:rFonts w:cs="Times New Roman"/>
          <w:color w:val="auto"/>
        </w:rPr>
        <w:t xml:space="preserve">. Insulin, a pancreatic hormone, is responsible for blood sugar regulation (a gland behind the stomach). Food enters the circulation after digestion and is delivered to the cells by insulin, where it is broken down to create energy. </w:t>
      </w:r>
    </w:p>
    <w:p w:rsidR="00BB32AC" w:rsidP="560A0DEA" w:rsidRDefault="2A21B568" w14:paraId="0500E9E3" w14:textId="5A8864B1">
      <w:pPr>
        <w:rPr>
          <w:rFonts w:cs="Times New Roman"/>
          <w:color w:val="auto"/>
        </w:rPr>
      </w:pPr>
      <w:r w:rsidRPr="560A0DEA">
        <w:rPr>
          <w:rFonts w:cs="Times New Roman"/>
          <w:color w:val="auto"/>
        </w:rPr>
        <w:t xml:space="preserve">People with diabetes cannot </w:t>
      </w:r>
      <w:r w:rsidRPr="560A0DEA" w:rsidR="5245E505">
        <w:rPr>
          <w:rFonts w:cs="Times New Roman"/>
          <w:color w:val="auto"/>
        </w:rPr>
        <w:t>utilize</w:t>
      </w:r>
      <w:r w:rsidRPr="560A0DEA">
        <w:rPr>
          <w:rFonts w:cs="Times New Roman"/>
          <w:color w:val="auto"/>
        </w:rPr>
        <w:t xml:space="preserve"> glucose as an energy source due to their systems' inability to metabolise it. The glucose cannot be delivered adequately due to a shortage of insulin or a decrease in the efficacy of insulin. Type 1 diabetes cannot be avoided with dietary or physical activity changes. When left untreated for an extended length of time, some persons with hepatitis C may develop liver scarring (cirrhosis). This may eventually result in the liver malfunctioning. Liver failure (when the liver loses the majority of </w:t>
      </w:r>
      <w:r w:rsidRPr="560A0DEA" w:rsidR="0D06E624">
        <w:rPr>
          <w:rFonts w:cs="Times New Roman"/>
          <w:color w:val="auto"/>
        </w:rPr>
        <w:t>all</w:t>
      </w:r>
      <w:r w:rsidRPr="560A0DEA">
        <w:rPr>
          <w:rFonts w:cs="Times New Roman"/>
          <w:color w:val="auto"/>
        </w:rPr>
        <w:t xml:space="preserve"> its functions) and liver cancer (when the liver becomes inoperable) are two instances of potentially fatal disorders</w:t>
      </w:r>
      <w:r w:rsidRPr="560A0DEA" w:rsidR="2EBE4AE9">
        <w:rPr>
          <w:rFonts w:cs="Times New Roman"/>
          <w:color w:val="auto"/>
        </w:rPr>
        <w:t xml:space="preserve"> (</w:t>
      </w:r>
      <w:r w:rsidRPr="560A0DEA" w:rsidR="2EBE4AE9">
        <w:rPr>
          <w:rFonts w:cs="Times New Roman"/>
          <w:color w:val="auto"/>
          <w:shd w:val="clear" w:color="auto" w:fill="FFFFFF"/>
        </w:rPr>
        <w:t>Marchant et al., 2020</w:t>
      </w:r>
      <w:r w:rsidRPr="560A0DEA" w:rsidR="2EBE4AE9">
        <w:rPr>
          <w:rFonts w:cs="Times New Roman"/>
          <w:color w:val="auto"/>
        </w:rPr>
        <w:t>)</w:t>
      </w:r>
      <w:r w:rsidRPr="560A0DEA">
        <w:rPr>
          <w:rFonts w:cs="Times New Roman"/>
          <w:color w:val="auto"/>
        </w:rPr>
        <w:t>. Immediate hepatitis C therapy may help lower the likelihood of developing these complications.</w:t>
      </w:r>
    </w:p>
    <w:p w:rsidRPr="00276658" w:rsidR="00276658" w:rsidP="560A0DEA" w:rsidRDefault="3E0FC52F" w14:paraId="0F196DA7" w14:textId="797505A8">
      <w:pPr>
        <w:rPr>
          <w:rFonts w:cs="Times New Roman"/>
          <w:color w:val="auto"/>
        </w:rPr>
      </w:pPr>
      <w:r w:rsidRPr="560A0DEA">
        <w:rPr>
          <w:rFonts w:cs="Times New Roman"/>
          <w:color w:val="auto"/>
        </w:rPr>
        <w:t xml:space="preserve">The government and other health </w:t>
      </w:r>
      <w:r w:rsidRPr="560A0DEA" w:rsidR="0AD1B462">
        <w:rPr>
          <w:rFonts w:cs="Times New Roman"/>
          <w:color w:val="auto"/>
        </w:rPr>
        <w:t>organizations</w:t>
      </w:r>
      <w:r w:rsidRPr="560A0DEA">
        <w:rPr>
          <w:rFonts w:cs="Times New Roman"/>
          <w:color w:val="auto"/>
        </w:rPr>
        <w:t xml:space="preserve"> should work together to develop policies that safeguard the population from infectious diseases regardless of social class, income, gender, or ethnic origin. This essay will discuss serious health disparities in the UK.</w:t>
      </w:r>
      <w:r w:rsidRPr="560A0DEA" w:rsidR="2A21B568">
        <w:rPr>
          <w:rFonts w:cs="Times New Roman"/>
          <w:color w:val="auto"/>
        </w:rPr>
        <w:t xml:space="preserve"> </w:t>
      </w:r>
      <w:r w:rsidRPr="560A0DEA">
        <w:rPr>
          <w:rFonts w:cs="Times New Roman"/>
          <w:color w:val="auto"/>
        </w:rPr>
        <w:t xml:space="preserve">Type 1 diabetes is </w:t>
      </w:r>
      <w:r w:rsidRPr="560A0DEA" w:rsidR="5B1FE533">
        <w:rPr>
          <w:rFonts w:cs="Times New Roman"/>
          <w:color w:val="auto"/>
        </w:rPr>
        <w:t>categorized</w:t>
      </w:r>
      <w:r w:rsidRPr="560A0DEA">
        <w:rPr>
          <w:rFonts w:cs="Times New Roman"/>
          <w:color w:val="auto"/>
        </w:rPr>
        <w:t xml:space="preserve"> as follows: A lack of insulin causes type 1 diabetes, whereas a lack of insulin or insulin resistance causes type 2 diabetes. Around 95% of diabetics have type 2, the most common form. Untreated diabetes may cause heart disease, ischemic stroke, blindness, and kidney damage. This disease may reduce life expectancy by up to 10 years. The majority of people with type 2 diabetes may control their disease by changing their diet and increasing their exercise.</w:t>
      </w:r>
    </w:p>
    <w:p w:rsidRPr="00276658" w:rsidR="00276658" w:rsidP="00276658" w:rsidRDefault="00276658" w14:paraId="5D905E62" w14:textId="77777777">
      <w:pPr>
        <w:rPr>
          <w:rFonts w:cs="Times New Roman"/>
          <w:color w:val="auto"/>
          <w:szCs w:val="24"/>
        </w:rPr>
      </w:pPr>
      <w:r w:rsidRPr="00276658">
        <w:rPr>
          <w:rFonts w:cs="Times New Roman"/>
          <w:color w:val="auto"/>
          <w:szCs w:val="24"/>
        </w:rPr>
        <w:t>Diabetes affects 2.6 million people in the UK, with another 1.1 million undiagnosed. The illness is so mild that approximately half of those who have it are unaware they have it. Men are more than twice as likely as women to go undiagnosed with diabetes. Diabetes is one of the most prevalent chronic diseases that may be lethal if not properly treated. It is presently the fourth leading cause of mortality in most developed countries, impacting 285 million people.</w:t>
      </w:r>
    </w:p>
    <w:p w:rsidRPr="00276658" w:rsidR="00276658" w:rsidP="560A0DEA" w:rsidRDefault="3E0FC52F" w14:paraId="0681B0B8" w14:textId="6DD2560C">
      <w:pPr>
        <w:rPr>
          <w:rFonts w:cs="Times New Roman"/>
          <w:color w:val="auto"/>
        </w:rPr>
      </w:pPr>
      <w:r w:rsidRPr="560A0DEA">
        <w:rPr>
          <w:rFonts w:cs="Times New Roman"/>
          <w:color w:val="auto"/>
        </w:rPr>
        <w:t xml:space="preserve">Diabetes presently costs the NHS 10% of its total budget, or £286 each second. In the absence of innovative measures to reduce the disease's effect, diabetes and its complications impose a great strain </w:t>
      </w:r>
      <w:r w:rsidRPr="560A0DEA" w:rsidR="2A21B568">
        <w:rPr>
          <w:rFonts w:cs="Times New Roman"/>
          <w:color w:val="auto"/>
        </w:rPr>
        <w:t>on resources (</w:t>
      </w:r>
      <w:r w:rsidRPr="560A0DEA">
        <w:rPr>
          <w:rFonts w:cs="Times New Roman"/>
          <w:color w:val="auto"/>
        </w:rPr>
        <w:t>Diabetes.co.uk).</w:t>
      </w:r>
      <w:r w:rsidRPr="560A0DEA" w:rsidR="2A21B568">
        <w:rPr>
          <w:rFonts w:cs="Times New Roman"/>
          <w:color w:val="auto"/>
        </w:rPr>
        <w:t xml:space="preserve"> </w:t>
      </w:r>
      <w:r w:rsidRPr="560A0DEA">
        <w:rPr>
          <w:rFonts w:cs="Times New Roman"/>
          <w:color w:val="auto"/>
        </w:rPr>
        <w:t xml:space="preserve">Modern industrialization and </w:t>
      </w:r>
      <w:r w:rsidRPr="560A0DEA" w:rsidR="10060885">
        <w:rPr>
          <w:rFonts w:cs="Times New Roman"/>
          <w:color w:val="auto"/>
        </w:rPr>
        <w:t>urbanization</w:t>
      </w:r>
      <w:r w:rsidRPr="560A0DEA">
        <w:rPr>
          <w:rFonts w:cs="Times New Roman"/>
          <w:color w:val="auto"/>
        </w:rPr>
        <w:t xml:space="preserve"> have changed people's daily routines and eating habits, resulting in a rise in obesity. Up to 80% of diabetics are obese upon diagnosis. Experts say rising levels of obesity are more likely a consequence of sedentary lives and </w:t>
      </w:r>
      <w:r w:rsidRPr="560A0DEA" w:rsidR="015ACFD9">
        <w:rPr>
          <w:rFonts w:cs="Times New Roman"/>
          <w:color w:val="auto"/>
        </w:rPr>
        <w:t>westernized</w:t>
      </w:r>
      <w:r w:rsidRPr="560A0DEA">
        <w:rPr>
          <w:rFonts w:cs="Times New Roman"/>
          <w:color w:val="auto"/>
        </w:rPr>
        <w:t xml:space="preserve"> eating habits. A 2008 survey found that the UK had the highest obesity rates in Europe, with 24% of individuals obese, a ratio that tends to rise with age. You should be aware that England, unlike other countries, uses official weight and height measurements rather than self-reported statistics. With ageing and rising obesity rates, type 2 diabetes is expected to rise in the UK.</w:t>
      </w:r>
    </w:p>
    <w:p w:rsidRPr="00276658" w:rsidR="00276658" w:rsidP="560A0DEA" w:rsidRDefault="3E0FC52F" w14:paraId="38653186" w14:textId="453086AB">
      <w:pPr>
        <w:rPr>
          <w:rFonts w:cs="Times New Roman"/>
          <w:color w:val="auto"/>
        </w:rPr>
      </w:pPr>
      <w:r w:rsidRPr="560A0DEA">
        <w:rPr>
          <w:rFonts w:cs="Times New Roman"/>
          <w:color w:val="auto"/>
        </w:rPr>
        <w:t xml:space="preserve">The link between poverty and sickness has long been established. In the UK, patients with type 2 diabetes are more likely to be over </w:t>
      </w:r>
      <w:r w:rsidRPr="560A0DEA" w:rsidR="134BF8D0">
        <w:rPr>
          <w:rFonts w:cs="Times New Roman"/>
          <w:color w:val="auto"/>
        </w:rPr>
        <w:t>40</w:t>
      </w:r>
      <w:r w:rsidRPr="560A0DEA">
        <w:rPr>
          <w:rFonts w:cs="Times New Roman"/>
          <w:color w:val="auto"/>
        </w:rPr>
        <w:t xml:space="preserve"> of a </w:t>
      </w:r>
      <w:r w:rsidRPr="560A0DEA" w:rsidR="75E16909">
        <w:rPr>
          <w:rFonts w:cs="Times New Roman"/>
          <w:color w:val="auto"/>
        </w:rPr>
        <w:t>minority ethnicity</w:t>
      </w:r>
      <w:r w:rsidRPr="560A0DEA">
        <w:rPr>
          <w:rFonts w:cs="Times New Roman"/>
          <w:color w:val="auto"/>
        </w:rPr>
        <w:t>, or poor. Patients with type 2 diabetes who reside in low-income areas have higher mortality and morbidity rates. The link between deprivation and type 2 diabetes has been established in the US, but not elsewhere. Unlike the UK, Finland, Italy, and Ireland have no substantial differences in socioeconomic groupings. The study's inability to identify a large influence of socioeconomic disadvantage might have been explained in several ways</w:t>
      </w:r>
      <w:r w:rsidRPr="560A0DEA" w:rsidR="2A21B568">
        <w:rPr>
          <w:rFonts w:cs="Times New Roman"/>
          <w:color w:val="auto"/>
        </w:rPr>
        <w:t xml:space="preserve"> (</w:t>
      </w:r>
      <w:r w:rsidRPr="560A0DEA" w:rsidR="2A21B568">
        <w:rPr>
          <w:rFonts w:cs="Times New Roman"/>
          <w:color w:val="auto"/>
          <w:shd w:val="clear" w:color="auto" w:fill="FFFFFF"/>
        </w:rPr>
        <w:t>Richards-Belle et al., 2020</w:t>
      </w:r>
      <w:r w:rsidRPr="560A0DEA" w:rsidR="2A21B568">
        <w:rPr>
          <w:rFonts w:cs="Times New Roman"/>
          <w:color w:val="auto"/>
        </w:rPr>
        <w:t>)</w:t>
      </w:r>
      <w:r w:rsidRPr="560A0DEA">
        <w:rPr>
          <w:rFonts w:cs="Times New Roman"/>
          <w:color w:val="auto"/>
        </w:rPr>
        <w:t>. A diabetic patient who misses a doctor's appointment is handled differently. Patients with diabetes who cannot go to surgery seldom skip checkups and evaluations, resulting in worse treatment quality.</w:t>
      </w:r>
    </w:p>
    <w:p w:rsidR="00AF7340" w:rsidP="560A0DEA" w:rsidRDefault="3E0FC52F" w14:paraId="1D29C1BD" w14:textId="73AEE29B">
      <w:pPr>
        <w:rPr>
          <w:rFonts w:cs="Times New Roman"/>
          <w:color w:val="auto"/>
        </w:rPr>
      </w:pPr>
      <w:r w:rsidRPr="560A0DEA">
        <w:rPr>
          <w:rFonts w:cs="Times New Roman"/>
          <w:color w:val="auto"/>
        </w:rPr>
        <w:t xml:space="preserve">Until recently, only a few experts provided in-home care for diabetes, and they only saw diabetics when treatment was required. District nurses have traditionally been considered as generalists capable of treating a wide range of diseases, hence lacking </w:t>
      </w:r>
      <w:r w:rsidRPr="560A0DEA" w:rsidR="480911F4">
        <w:rPr>
          <w:rFonts w:cs="Times New Roman"/>
          <w:color w:val="auto"/>
        </w:rPr>
        <w:t>specialization</w:t>
      </w:r>
      <w:r w:rsidRPr="560A0DEA">
        <w:rPr>
          <w:rFonts w:cs="Times New Roman"/>
          <w:color w:val="auto"/>
        </w:rPr>
        <w:t xml:space="preserve"> in any one condition</w:t>
      </w:r>
      <w:r w:rsidRPr="560A0DEA" w:rsidR="2A21B568">
        <w:rPr>
          <w:rFonts w:cs="Times New Roman"/>
          <w:color w:val="auto"/>
        </w:rPr>
        <w:t xml:space="preserve"> (</w:t>
      </w:r>
      <w:r w:rsidRPr="560A0DEA" w:rsidR="2A21B568">
        <w:rPr>
          <w:rFonts w:cs="Times New Roman"/>
          <w:color w:val="auto"/>
          <w:shd w:val="clear" w:color="auto" w:fill="FFFFFF"/>
        </w:rPr>
        <w:t>Morgan et al., 2019</w:t>
      </w:r>
      <w:r w:rsidRPr="560A0DEA" w:rsidR="2A21B568">
        <w:rPr>
          <w:rFonts w:cs="Times New Roman"/>
          <w:color w:val="auto"/>
        </w:rPr>
        <w:t>)</w:t>
      </w:r>
      <w:r w:rsidRPr="560A0DEA">
        <w:rPr>
          <w:rFonts w:cs="Times New Roman"/>
          <w:color w:val="auto"/>
        </w:rPr>
        <w:t>. Experts say district nurses' lack of knowledge about diabetes jeopardises diabetic patients' treatment. In 2004, a Community Matron job was created to help patients with chronic disorders manage their illnesses more effectively, reducing hospitalizations.</w:t>
      </w:r>
    </w:p>
    <w:p w:rsidR="00AF7340" w:rsidRDefault="00AF7340" w14:paraId="65FA4441" w14:textId="77777777">
      <w:pPr>
        <w:spacing w:before="0" w:after="160" w:line="259" w:lineRule="auto"/>
        <w:ind w:firstLine="0"/>
        <w:jc w:val="left"/>
        <w:rPr>
          <w:rFonts w:cs="Times New Roman"/>
          <w:color w:val="auto"/>
          <w:szCs w:val="24"/>
        </w:rPr>
      </w:pPr>
      <w:r>
        <w:rPr>
          <w:rFonts w:cs="Times New Roman"/>
          <w:color w:val="auto"/>
          <w:szCs w:val="24"/>
        </w:rPr>
        <w:br w:type="page"/>
      </w:r>
    </w:p>
    <w:p w:rsidR="00276658" w:rsidP="00AF7340" w:rsidRDefault="08212FC6" w14:paraId="4D194E39" w14:textId="77777777">
      <w:pPr>
        <w:pStyle w:val="Heading1"/>
      </w:pPr>
      <w:bookmarkStart w:name="_Toc553334322" w:id="4"/>
      <w:r>
        <w:t>Recommendation</w:t>
      </w:r>
      <w:bookmarkEnd w:id="4"/>
    </w:p>
    <w:p w:rsidRPr="00AE79D4" w:rsidR="00AE79D4" w:rsidP="00AE79D4" w:rsidRDefault="1F1B7610" w14:paraId="5EDACE07" w14:textId="14C1A82E">
      <w:r>
        <w:t xml:space="preserve">The </w:t>
      </w:r>
      <w:r w:rsidR="5D9BE4DF">
        <w:t>WHO (World Health Organization)</w:t>
      </w:r>
      <w:r>
        <w:t xml:space="preserve"> and other UN agencies may collaborate in a worldwide effort to </w:t>
      </w:r>
      <w:r w:rsidR="2E2DADE0">
        <w:t>minimize</w:t>
      </w:r>
      <w:r>
        <w:t xml:space="preserve"> the incidence of NCDs. It is critical to monitor and </w:t>
      </w:r>
      <w:r w:rsidR="4E53C7D8">
        <w:t>analyze</w:t>
      </w:r>
      <w:r>
        <w:t xml:space="preserve"> the development of NCDs on a national, regional, and global scale. These </w:t>
      </w:r>
      <w:r w:rsidR="008B3C02">
        <w:t>organizations</w:t>
      </w:r>
      <w:r>
        <w:t xml:space="preserve"> may give financing for research and facilitate cooperation between academic institutions and national and international health authorities. Tobacco usage must be </w:t>
      </w:r>
      <w:r w:rsidR="6F69A6E1">
        <w:t>decreased since</w:t>
      </w:r>
      <w:r>
        <w:t xml:space="preserve"> it is associated with all four major NCDs. When individuals choose to abstain from tobacco products and create a smoke-free environment, the World Health Organization (WHO) assists them. WHO also has legal authority to safeguard its tobacco control programmes from industry interference. Each country's government is required to develop a national economic strategy. There are </w:t>
      </w:r>
      <w:r w:rsidR="5A8300D8">
        <w:t>several</w:t>
      </w:r>
      <w:r>
        <w:t xml:space="preserve"> low-cost and </w:t>
      </w:r>
      <w:r w:rsidR="57F3B68E">
        <w:t>highly successful</w:t>
      </w:r>
      <w:r>
        <w:t xml:space="preserve"> strategies for preventing and managing NCDs. To reduce one's chance of receiving or transferring disease-causing germs, the following precautions may be taken:</w:t>
      </w:r>
    </w:p>
    <w:p w:rsidRPr="00AE79D4" w:rsidR="00D80711" w:rsidP="560A0DEA" w:rsidRDefault="1F1B7610" w14:paraId="0B1EBCE9" w14:textId="7B9E3E25">
      <w:pPr>
        <w:rPr>
          <w:rFonts w:eastAsiaTheme="majorEastAsia"/>
          <w:b/>
          <w:bCs/>
          <w:color w:val="auto"/>
        </w:rPr>
      </w:pPr>
      <w:r>
        <w:t xml:space="preserve">Maintaining </w:t>
      </w:r>
      <w:r w:rsidR="21F7317C">
        <w:t>an important level</w:t>
      </w:r>
      <w:r>
        <w:t xml:space="preserve"> of cleanliness while handling food to avoid consuming contaminated food, such as sanitizing doorknobs and kitchen surfaces at all costs, wild animals should be avoided. Taking all antimalarial drugs available while travelling to a malaria-risk area. </w:t>
      </w:r>
      <w:r w:rsidR="00AE79D4">
        <w:br w:type="page"/>
      </w:r>
    </w:p>
    <w:p w:rsidRPr="004B51E8" w:rsidR="0007568A" w:rsidP="560A0DEA" w:rsidRDefault="2A21B568" w14:paraId="3541EC5E" w14:textId="77777777">
      <w:pPr>
        <w:pStyle w:val="Heading1"/>
        <w:rPr>
          <w:rFonts w:cs="Times New Roman"/>
        </w:rPr>
      </w:pPr>
      <w:bookmarkStart w:name="_Toc620373541" w:id="5"/>
      <w:r w:rsidRPr="560A0DEA">
        <w:rPr>
          <w:rFonts w:cs="Times New Roman"/>
        </w:rPr>
        <w:t>References</w:t>
      </w:r>
      <w:bookmarkEnd w:id="5"/>
    </w:p>
    <w:p w:rsidRPr="004B51E8" w:rsidR="004B51E8" w:rsidP="004B51E8" w:rsidRDefault="00CF181A" w14:paraId="3D15B50E" w14:textId="77777777">
      <w:pPr>
        <w:ind w:left="720" w:hanging="720"/>
        <w:rPr>
          <w:rFonts w:cs="Times New Roman"/>
          <w:color w:val="auto"/>
          <w:szCs w:val="24"/>
          <w:shd w:val="clear" w:color="auto" w:fill="FFFFFF"/>
        </w:rPr>
      </w:pPr>
      <w:r w:rsidRPr="004B51E8">
        <w:rPr>
          <w:rFonts w:cs="Times New Roman"/>
          <w:color w:val="auto"/>
          <w:szCs w:val="24"/>
          <w:shd w:val="clear" w:color="auto" w:fill="FFFFFF"/>
        </w:rPr>
        <w:t xml:space="preserve">Demmler, J.C., Atkinson, M.D., Reinhold, E.J., Choy, E., Lyons, R.A. and Brophy, S.T., 2019. Diagnosed Prevalence of Ehlers-Danlos syndrome and hypermobility spectrum disorder in Wales, UK: a national electronic cohort study and case-control comparison. </w:t>
      </w:r>
      <w:r w:rsidRPr="004B51E8">
        <w:rPr>
          <w:rFonts w:cs="Times New Roman"/>
          <w:i/>
          <w:iCs/>
          <w:color w:val="auto"/>
          <w:szCs w:val="24"/>
          <w:shd w:val="clear" w:color="auto" w:fill="FFFFFF"/>
        </w:rPr>
        <w:t>BMJ Open</w:t>
      </w:r>
      <w:r w:rsidRPr="004B51E8">
        <w:rPr>
          <w:rFonts w:cs="Times New Roman"/>
          <w:color w:val="auto"/>
          <w:szCs w:val="24"/>
          <w:shd w:val="clear" w:color="auto" w:fill="FFFFFF"/>
        </w:rPr>
        <w:t>, </w:t>
      </w:r>
      <w:r w:rsidRPr="004B51E8">
        <w:rPr>
          <w:rFonts w:cs="Times New Roman"/>
          <w:i/>
          <w:iCs/>
          <w:color w:val="auto"/>
          <w:szCs w:val="24"/>
          <w:shd w:val="clear" w:color="auto" w:fill="FFFFFF"/>
        </w:rPr>
        <w:t>9</w:t>
      </w:r>
      <w:r w:rsidRPr="004B51E8">
        <w:rPr>
          <w:rFonts w:cs="Times New Roman"/>
          <w:color w:val="auto"/>
          <w:szCs w:val="24"/>
          <w:shd w:val="clear" w:color="auto" w:fill="FFFFFF"/>
        </w:rPr>
        <w:t>(11), p.e031365.</w:t>
      </w:r>
    </w:p>
    <w:p w:rsidRPr="004B51E8" w:rsidR="004B51E8" w:rsidP="560A0DEA" w:rsidRDefault="2A21B568" w14:paraId="04CFAAF0" w14:textId="1F6F312A">
      <w:pPr>
        <w:ind w:left="720" w:hanging="720"/>
        <w:rPr>
          <w:rFonts w:cs="Times New Roman"/>
          <w:color w:val="auto"/>
          <w:shd w:val="clear" w:color="auto" w:fill="FFFFFF"/>
        </w:rPr>
      </w:pPr>
      <w:r w:rsidRPr="560A0DEA">
        <w:rPr>
          <w:rFonts w:cs="Times New Roman"/>
          <w:color w:val="auto"/>
          <w:shd w:val="clear" w:color="auto" w:fill="FFFFFF"/>
        </w:rPr>
        <w:t xml:space="preserve">Hallberg, B., Maynard, O.M., Bauld, L., Brown, R., Gray, L., Lowthian, E., MacKintosh, A.M., Moore, L., Munafo, M.R. and Moore, G., 2020. Have e-cigarettes </w:t>
      </w:r>
      <w:r w:rsidRPr="560A0DEA" w:rsidR="095B96E1">
        <w:rPr>
          <w:rFonts w:cs="Times New Roman"/>
          <w:color w:val="auto"/>
          <w:shd w:val="clear" w:color="auto" w:fill="FFFFFF"/>
        </w:rPr>
        <w:t>renormalized</w:t>
      </w:r>
      <w:r w:rsidRPr="560A0DEA">
        <w:rPr>
          <w:rFonts w:cs="Times New Roman"/>
          <w:color w:val="auto"/>
          <w:shd w:val="clear" w:color="auto" w:fill="FFFFFF"/>
        </w:rPr>
        <w:t xml:space="preserve"> or displaced youth smoking? Results of a segmented regression analysis of repeated cross-sectional survey data in England, Scotland and Wales. </w:t>
      </w:r>
      <w:r w:rsidRPr="560A0DEA">
        <w:rPr>
          <w:rFonts w:cs="Times New Roman"/>
          <w:i/>
          <w:iCs/>
          <w:color w:val="auto"/>
          <w:shd w:val="clear" w:color="auto" w:fill="FFFFFF"/>
        </w:rPr>
        <w:t>Tobacco Control</w:t>
      </w:r>
      <w:r w:rsidRPr="560A0DEA">
        <w:rPr>
          <w:rFonts w:cs="Times New Roman"/>
          <w:color w:val="auto"/>
          <w:shd w:val="clear" w:color="auto" w:fill="FFFFFF"/>
        </w:rPr>
        <w:t>, </w:t>
      </w:r>
      <w:r w:rsidRPr="560A0DEA">
        <w:rPr>
          <w:rFonts w:cs="Times New Roman"/>
          <w:i/>
          <w:iCs/>
          <w:color w:val="auto"/>
          <w:shd w:val="clear" w:color="auto" w:fill="FFFFFF"/>
        </w:rPr>
        <w:t>29</w:t>
      </w:r>
      <w:r w:rsidRPr="560A0DEA">
        <w:rPr>
          <w:rFonts w:cs="Times New Roman"/>
          <w:color w:val="auto"/>
          <w:shd w:val="clear" w:color="auto" w:fill="FFFFFF"/>
        </w:rPr>
        <w:t>(2), pp.207-216.</w:t>
      </w:r>
    </w:p>
    <w:p w:rsidRPr="004B51E8" w:rsidR="004B51E8" w:rsidP="004B51E8" w:rsidRDefault="00CF181A" w14:paraId="2DDD6C4A" w14:textId="77777777">
      <w:pPr>
        <w:ind w:left="720" w:hanging="720"/>
        <w:rPr>
          <w:rFonts w:cs="Times New Roman"/>
          <w:color w:val="auto"/>
          <w:szCs w:val="24"/>
          <w:shd w:val="clear" w:color="auto" w:fill="FFFFFF"/>
        </w:rPr>
      </w:pPr>
      <w:r w:rsidRPr="004B51E8">
        <w:rPr>
          <w:rFonts w:cs="Times New Roman"/>
          <w:color w:val="auto"/>
          <w:szCs w:val="24"/>
          <w:shd w:val="clear" w:color="auto" w:fill="FFFFFF"/>
        </w:rPr>
        <w:t>Keen, P., Gray, R.T., Telfer, B., Guy, R., Schmidt, H.M., Whittaker, B., Holden, J., Holt, M., Kelleher, A., Wilson, D. and Callander, D., 2018. The 2016 HIV diagnosis and care cascade in New South Wales, Australia: meeting the UNAIDS 90</w:t>
      </w:r>
      <w:r w:rsidRPr="004B51E8">
        <w:rPr>
          <w:rFonts w:ascii="Cambria Math" w:hAnsi="Cambria Math" w:cs="Cambria Math"/>
          <w:color w:val="auto"/>
          <w:szCs w:val="24"/>
          <w:shd w:val="clear" w:color="auto" w:fill="FFFFFF"/>
        </w:rPr>
        <w:t>‐</w:t>
      </w:r>
      <w:r w:rsidRPr="004B51E8">
        <w:rPr>
          <w:rFonts w:cs="Times New Roman"/>
          <w:color w:val="auto"/>
          <w:szCs w:val="24"/>
          <w:shd w:val="clear" w:color="auto" w:fill="FFFFFF"/>
        </w:rPr>
        <w:t>90</w:t>
      </w:r>
      <w:r w:rsidRPr="004B51E8">
        <w:rPr>
          <w:rFonts w:ascii="Cambria Math" w:hAnsi="Cambria Math" w:cs="Cambria Math"/>
          <w:color w:val="auto"/>
          <w:szCs w:val="24"/>
          <w:shd w:val="clear" w:color="auto" w:fill="FFFFFF"/>
        </w:rPr>
        <w:t>‐</w:t>
      </w:r>
      <w:r w:rsidRPr="004B51E8">
        <w:rPr>
          <w:rFonts w:cs="Times New Roman"/>
          <w:color w:val="auto"/>
          <w:szCs w:val="24"/>
          <w:shd w:val="clear" w:color="auto" w:fill="FFFFFF"/>
        </w:rPr>
        <w:t>90 targets. </w:t>
      </w:r>
      <w:r w:rsidRPr="004B51E8">
        <w:rPr>
          <w:rFonts w:cs="Times New Roman"/>
          <w:i/>
          <w:iCs/>
          <w:color w:val="auto"/>
          <w:szCs w:val="24"/>
          <w:shd w:val="clear" w:color="auto" w:fill="FFFFFF"/>
        </w:rPr>
        <w:t>Journal of the International AIDS Society</w:t>
      </w:r>
      <w:r w:rsidRPr="004B51E8">
        <w:rPr>
          <w:rFonts w:cs="Times New Roman"/>
          <w:color w:val="auto"/>
          <w:szCs w:val="24"/>
          <w:shd w:val="clear" w:color="auto" w:fill="FFFFFF"/>
        </w:rPr>
        <w:t>, </w:t>
      </w:r>
      <w:r w:rsidRPr="004B51E8">
        <w:rPr>
          <w:rFonts w:cs="Times New Roman"/>
          <w:i/>
          <w:iCs/>
          <w:color w:val="auto"/>
          <w:szCs w:val="24"/>
          <w:shd w:val="clear" w:color="auto" w:fill="FFFFFF"/>
        </w:rPr>
        <w:t>21</w:t>
      </w:r>
      <w:r w:rsidRPr="004B51E8">
        <w:rPr>
          <w:rFonts w:cs="Times New Roman"/>
          <w:color w:val="auto"/>
          <w:szCs w:val="24"/>
          <w:shd w:val="clear" w:color="auto" w:fill="FFFFFF"/>
        </w:rPr>
        <w:t>(4), p.e25109.</w:t>
      </w:r>
    </w:p>
    <w:p w:rsidRPr="004B51E8" w:rsidR="004B51E8" w:rsidP="004B51E8" w:rsidRDefault="00CF181A" w14:paraId="22902814" w14:textId="77777777">
      <w:pPr>
        <w:ind w:left="720" w:hanging="720"/>
        <w:rPr>
          <w:rFonts w:cs="Times New Roman"/>
          <w:color w:val="auto"/>
          <w:szCs w:val="24"/>
          <w:shd w:val="clear" w:color="auto" w:fill="FFFFFF"/>
        </w:rPr>
      </w:pPr>
      <w:r w:rsidRPr="004B51E8">
        <w:rPr>
          <w:rFonts w:cs="Times New Roman"/>
          <w:color w:val="auto"/>
          <w:szCs w:val="24"/>
          <w:shd w:val="clear" w:color="auto" w:fill="FFFFFF"/>
        </w:rPr>
        <w:t>Lucarotti, P.S.K. and Burke, F.J.T., 2018. The ultimate guide to restoration longevity in England and Wales. Part 1: methodology. </w:t>
      </w:r>
      <w:r w:rsidRPr="004B51E8">
        <w:rPr>
          <w:rFonts w:cs="Times New Roman"/>
          <w:i/>
          <w:iCs/>
          <w:color w:val="auto"/>
          <w:szCs w:val="24"/>
          <w:shd w:val="clear" w:color="auto" w:fill="FFFFFF"/>
        </w:rPr>
        <w:t>British dental journal</w:t>
      </w:r>
      <w:r w:rsidRPr="004B51E8">
        <w:rPr>
          <w:rFonts w:cs="Times New Roman"/>
          <w:color w:val="auto"/>
          <w:szCs w:val="24"/>
          <w:shd w:val="clear" w:color="auto" w:fill="FFFFFF"/>
        </w:rPr>
        <w:t>, </w:t>
      </w:r>
      <w:r w:rsidRPr="004B51E8">
        <w:rPr>
          <w:rFonts w:cs="Times New Roman"/>
          <w:i/>
          <w:iCs/>
          <w:color w:val="auto"/>
          <w:szCs w:val="24"/>
          <w:shd w:val="clear" w:color="auto" w:fill="FFFFFF"/>
        </w:rPr>
        <w:t>224</w:t>
      </w:r>
      <w:r w:rsidRPr="004B51E8">
        <w:rPr>
          <w:rFonts w:cs="Times New Roman"/>
          <w:color w:val="auto"/>
          <w:szCs w:val="24"/>
          <w:shd w:val="clear" w:color="auto" w:fill="FFFFFF"/>
        </w:rPr>
        <w:t>(9), pp.709-716.</w:t>
      </w:r>
    </w:p>
    <w:p w:rsidRPr="004B51E8" w:rsidR="004B51E8" w:rsidP="004B51E8" w:rsidRDefault="00CF181A" w14:paraId="0F5E4EE6" w14:textId="77777777">
      <w:pPr>
        <w:ind w:left="720" w:hanging="720"/>
        <w:rPr>
          <w:rFonts w:cs="Times New Roman"/>
          <w:color w:val="auto"/>
          <w:szCs w:val="24"/>
          <w:shd w:val="clear" w:color="auto" w:fill="FFFFFF"/>
        </w:rPr>
      </w:pPr>
      <w:r w:rsidRPr="004B51E8">
        <w:rPr>
          <w:rFonts w:cs="Times New Roman"/>
          <w:color w:val="auto"/>
          <w:szCs w:val="24"/>
          <w:shd w:val="clear" w:color="auto" w:fill="FFFFFF"/>
        </w:rPr>
        <w:t>Marchant, A., Turner, S., Balbuena, L., Peters, E., Williams, D., Lloyd, K., Lyons, R. and John, A., 2020. Self-harm presentation across healthcare settings by sex in young people: an e-cohort study using routinely collected linked healthcare data in Wales, UK. </w:t>
      </w:r>
      <w:r w:rsidRPr="004B51E8">
        <w:rPr>
          <w:rFonts w:cs="Times New Roman"/>
          <w:i/>
          <w:iCs/>
          <w:color w:val="auto"/>
          <w:szCs w:val="24"/>
          <w:shd w:val="clear" w:color="auto" w:fill="FFFFFF"/>
        </w:rPr>
        <w:t>Archives of disease in childhood</w:t>
      </w:r>
      <w:r w:rsidRPr="004B51E8">
        <w:rPr>
          <w:rFonts w:cs="Times New Roman"/>
          <w:color w:val="auto"/>
          <w:szCs w:val="24"/>
          <w:shd w:val="clear" w:color="auto" w:fill="FFFFFF"/>
        </w:rPr>
        <w:t>, </w:t>
      </w:r>
      <w:r w:rsidRPr="004B51E8">
        <w:rPr>
          <w:rFonts w:cs="Times New Roman"/>
          <w:i/>
          <w:iCs/>
          <w:color w:val="auto"/>
          <w:szCs w:val="24"/>
          <w:shd w:val="clear" w:color="auto" w:fill="FFFFFF"/>
        </w:rPr>
        <w:t>105</w:t>
      </w:r>
      <w:r w:rsidRPr="004B51E8">
        <w:rPr>
          <w:rFonts w:cs="Times New Roman"/>
          <w:color w:val="auto"/>
          <w:szCs w:val="24"/>
          <w:shd w:val="clear" w:color="auto" w:fill="FFFFFF"/>
        </w:rPr>
        <w:t>(4), pp.347-354.</w:t>
      </w:r>
    </w:p>
    <w:p w:rsidRPr="004B51E8" w:rsidR="004B51E8" w:rsidP="560A0DEA" w:rsidRDefault="2A21B568" w14:paraId="300599E8" w14:textId="2844D2AE">
      <w:pPr>
        <w:ind w:left="720" w:hanging="720"/>
        <w:rPr>
          <w:rFonts w:cs="Times New Roman"/>
          <w:color w:val="auto"/>
          <w:shd w:val="clear" w:color="auto" w:fill="FFFFFF"/>
        </w:rPr>
      </w:pPr>
      <w:r w:rsidRPr="560A0DEA">
        <w:rPr>
          <w:rFonts w:cs="Times New Roman"/>
          <w:color w:val="auto"/>
          <w:shd w:val="clear" w:color="auto" w:fill="FFFFFF"/>
        </w:rPr>
        <w:t xml:space="preserve">Morgan, K., Melendez-Torres, G.J., Bond, A., Hawkins, J., Hewitt, G., Murphy, S. and Moore, G., 2019. Socio-economic inequalities in adolescent summer holiday experiences, and mental wellbeing on return to school: analysis of the school health research network/health </w:t>
      </w:r>
      <w:r w:rsidRPr="560A0DEA" w:rsidR="2A7B1B39">
        <w:rPr>
          <w:rFonts w:cs="Times New Roman"/>
          <w:color w:val="auto"/>
          <w:shd w:val="clear" w:color="auto" w:fill="FFFFFF"/>
        </w:rPr>
        <w:t>behaviour</w:t>
      </w:r>
      <w:r w:rsidRPr="560A0DEA">
        <w:rPr>
          <w:rFonts w:cs="Times New Roman"/>
          <w:color w:val="auto"/>
          <w:shd w:val="clear" w:color="auto" w:fill="FFFFFF"/>
        </w:rPr>
        <w:t xml:space="preserve"> in school-aged children survey in Wales. </w:t>
      </w:r>
      <w:r w:rsidRPr="560A0DEA">
        <w:rPr>
          <w:rFonts w:cs="Times New Roman"/>
          <w:i/>
          <w:iCs/>
          <w:color w:val="auto"/>
          <w:shd w:val="clear" w:color="auto" w:fill="FFFFFF"/>
        </w:rPr>
        <w:t>International journal of environmental research and public health</w:t>
      </w:r>
      <w:r w:rsidRPr="560A0DEA">
        <w:rPr>
          <w:rFonts w:cs="Times New Roman"/>
          <w:color w:val="auto"/>
          <w:shd w:val="clear" w:color="auto" w:fill="FFFFFF"/>
        </w:rPr>
        <w:t>, </w:t>
      </w:r>
      <w:r w:rsidRPr="560A0DEA">
        <w:rPr>
          <w:rFonts w:cs="Times New Roman"/>
          <w:i/>
          <w:iCs/>
          <w:color w:val="auto"/>
          <w:shd w:val="clear" w:color="auto" w:fill="FFFFFF"/>
        </w:rPr>
        <w:t>16</w:t>
      </w:r>
      <w:r w:rsidRPr="560A0DEA">
        <w:rPr>
          <w:rFonts w:cs="Times New Roman"/>
          <w:color w:val="auto"/>
          <w:shd w:val="clear" w:color="auto" w:fill="FFFFFF"/>
        </w:rPr>
        <w:t>(7), p.1107.</w:t>
      </w:r>
    </w:p>
    <w:p w:rsidRPr="004B51E8" w:rsidR="004B51E8" w:rsidP="004B51E8" w:rsidRDefault="00CF181A" w14:paraId="61EE36A4" w14:textId="77777777">
      <w:pPr>
        <w:ind w:left="720" w:hanging="720"/>
        <w:rPr>
          <w:rFonts w:cs="Times New Roman"/>
          <w:color w:val="auto"/>
          <w:szCs w:val="24"/>
        </w:rPr>
      </w:pPr>
      <w:r w:rsidRPr="004B51E8">
        <w:rPr>
          <w:rFonts w:cs="Times New Roman"/>
          <w:color w:val="auto"/>
          <w:szCs w:val="24"/>
          <w:shd w:val="clear" w:color="auto" w:fill="FFFFFF"/>
        </w:rPr>
        <w:t>O’Connell, S., Palmer, R., Withers, K., Saha, N., Puntoni, S. and Carolan-Rees, G., 2018. Requirements for the collection of electronic PROMS either “in clinic” or “at home” as part of the PROMs, PREMs and Effectiveness Programme (PPEP) in Wales: a feasibility study using a generic PROM tool. </w:t>
      </w:r>
      <w:r w:rsidRPr="004B51E8">
        <w:rPr>
          <w:rFonts w:cs="Times New Roman"/>
          <w:i/>
          <w:iCs/>
          <w:color w:val="auto"/>
          <w:szCs w:val="24"/>
          <w:shd w:val="clear" w:color="auto" w:fill="FFFFFF"/>
        </w:rPr>
        <w:t>Pilot and Feasibility Studies</w:t>
      </w:r>
      <w:r w:rsidRPr="004B51E8">
        <w:rPr>
          <w:rFonts w:cs="Times New Roman"/>
          <w:color w:val="auto"/>
          <w:szCs w:val="24"/>
          <w:shd w:val="clear" w:color="auto" w:fill="FFFFFF"/>
        </w:rPr>
        <w:t>, </w:t>
      </w:r>
      <w:r w:rsidRPr="004B51E8">
        <w:rPr>
          <w:rFonts w:cs="Times New Roman"/>
          <w:i/>
          <w:iCs/>
          <w:color w:val="auto"/>
          <w:szCs w:val="24"/>
          <w:shd w:val="clear" w:color="auto" w:fill="FFFFFF"/>
        </w:rPr>
        <w:t>4</w:t>
      </w:r>
      <w:r w:rsidRPr="004B51E8">
        <w:rPr>
          <w:rFonts w:cs="Times New Roman"/>
          <w:color w:val="auto"/>
          <w:szCs w:val="24"/>
          <w:shd w:val="clear" w:color="auto" w:fill="FFFFFF"/>
        </w:rPr>
        <w:t>(1), pp.1-13.</w:t>
      </w:r>
    </w:p>
    <w:p w:rsidRPr="004B51E8" w:rsidR="004B51E8" w:rsidP="004B51E8" w:rsidRDefault="00CF181A" w14:paraId="0AB317DC" w14:textId="77777777">
      <w:pPr>
        <w:ind w:left="720" w:hanging="720"/>
        <w:rPr>
          <w:rFonts w:cs="Times New Roman"/>
          <w:color w:val="auto"/>
          <w:szCs w:val="24"/>
          <w:shd w:val="clear" w:color="auto" w:fill="FFFFFF"/>
        </w:rPr>
      </w:pPr>
      <w:r w:rsidRPr="004B51E8">
        <w:rPr>
          <w:rFonts w:cs="Times New Roman"/>
          <w:color w:val="auto"/>
          <w:szCs w:val="24"/>
          <w:shd w:val="clear" w:color="auto" w:fill="FFFFFF"/>
        </w:rPr>
        <w:t>Richards-Belle, A., Orzechowska, I., Gould, D.W., Thomas, K., Doidge, J.C., Mouncey, P.R., Christian, M.D., Shankar-Hari, M., Harrison, D.A. and Rowan, K.M., 2020. COVID-19 in critical care: epidemiology of the first epidemic wave across England, Wales and Northern Ireland. </w:t>
      </w:r>
      <w:r w:rsidRPr="004B51E8">
        <w:rPr>
          <w:rFonts w:cs="Times New Roman"/>
          <w:i/>
          <w:iCs/>
          <w:color w:val="auto"/>
          <w:szCs w:val="24"/>
          <w:shd w:val="clear" w:color="auto" w:fill="FFFFFF"/>
        </w:rPr>
        <w:t>Intensive care medicine</w:t>
      </w:r>
      <w:r w:rsidRPr="004B51E8">
        <w:rPr>
          <w:rFonts w:cs="Times New Roman"/>
          <w:color w:val="auto"/>
          <w:szCs w:val="24"/>
          <w:shd w:val="clear" w:color="auto" w:fill="FFFFFF"/>
        </w:rPr>
        <w:t>, </w:t>
      </w:r>
      <w:r w:rsidRPr="004B51E8">
        <w:rPr>
          <w:rFonts w:cs="Times New Roman"/>
          <w:i/>
          <w:iCs/>
          <w:color w:val="auto"/>
          <w:szCs w:val="24"/>
          <w:shd w:val="clear" w:color="auto" w:fill="FFFFFF"/>
        </w:rPr>
        <w:t>46</w:t>
      </w:r>
      <w:r w:rsidRPr="004B51E8">
        <w:rPr>
          <w:rFonts w:cs="Times New Roman"/>
          <w:color w:val="auto"/>
          <w:szCs w:val="24"/>
          <w:shd w:val="clear" w:color="auto" w:fill="FFFFFF"/>
        </w:rPr>
        <w:t>(11), pp.2035-2047.</w:t>
      </w:r>
    </w:p>
    <w:p w:rsidRPr="004B51E8" w:rsidR="004B51E8" w:rsidP="004B51E8" w:rsidRDefault="00CF181A" w14:paraId="13A70414" w14:textId="77777777">
      <w:pPr>
        <w:ind w:left="720" w:hanging="720"/>
        <w:rPr>
          <w:rFonts w:cs="Times New Roman"/>
          <w:color w:val="auto"/>
          <w:szCs w:val="24"/>
          <w:shd w:val="clear" w:color="auto" w:fill="FFFFFF"/>
        </w:rPr>
      </w:pPr>
      <w:r w:rsidRPr="004B51E8">
        <w:rPr>
          <w:rFonts w:cs="Times New Roman"/>
          <w:color w:val="auto"/>
          <w:szCs w:val="24"/>
          <w:shd w:val="clear" w:color="auto" w:fill="FFFFFF"/>
        </w:rPr>
        <w:t>Xu, X.M., Vestesson, E., Paley, L., Desikan, A., Wonderling, D., Hoffman, A., Wolfe, C.D., Rudd, A.G. and Bray, B.D., 2018. The economic burden of stroke care in England, Wales and Northern Ireland: Using a national stroke register to estimate and report patient-level health economic outcomes in stroke. </w:t>
      </w:r>
      <w:r w:rsidRPr="004B51E8">
        <w:rPr>
          <w:rFonts w:cs="Times New Roman"/>
          <w:i/>
          <w:iCs/>
          <w:color w:val="auto"/>
          <w:szCs w:val="24"/>
          <w:shd w:val="clear" w:color="auto" w:fill="FFFFFF"/>
        </w:rPr>
        <w:t>European Stroke Journal</w:t>
      </w:r>
      <w:r w:rsidRPr="004B51E8">
        <w:rPr>
          <w:rFonts w:cs="Times New Roman"/>
          <w:color w:val="auto"/>
          <w:szCs w:val="24"/>
          <w:shd w:val="clear" w:color="auto" w:fill="FFFFFF"/>
        </w:rPr>
        <w:t>, </w:t>
      </w:r>
      <w:r w:rsidRPr="004B51E8">
        <w:rPr>
          <w:rFonts w:cs="Times New Roman"/>
          <w:i/>
          <w:iCs/>
          <w:color w:val="auto"/>
          <w:szCs w:val="24"/>
          <w:shd w:val="clear" w:color="auto" w:fill="FFFFFF"/>
        </w:rPr>
        <w:t>3</w:t>
      </w:r>
      <w:r w:rsidRPr="004B51E8">
        <w:rPr>
          <w:rFonts w:cs="Times New Roman"/>
          <w:color w:val="auto"/>
          <w:szCs w:val="24"/>
          <w:shd w:val="clear" w:color="auto" w:fill="FFFFFF"/>
        </w:rPr>
        <w:t>(1), pp.82-91.</w:t>
      </w:r>
    </w:p>
    <w:p w:rsidRPr="004B51E8" w:rsidR="00F23197" w:rsidP="00F23197" w:rsidRDefault="00F23197" w14:paraId="09542CBD" w14:textId="77777777">
      <w:pPr>
        <w:rPr>
          <w:rFonts w:cs="Times New Roman"/>
          <w:color w:val="auto"/>
          <w:szCs w:val="24"/>
        </w:rPr>
      </w:pPr>
    </w:p>
    <w:p w:rsidRPr="004B51E8" w:rsidR="00CC5575" w:rsidRDefault="00CC5575" w14:paraId="7D450E59" w14:textId="77777777">
      <w:pPr>
        <w:rPr>
          <w:rFonts w:cs="Times New Roman"/>
          <w:color w:val="auto"/>
          <w:szCs w:val="24"/>
        </w:rPr>
      </w:pPr>
    </w:p>
    <w:sectPr w:rsidRPr="004B51E8" w:rsidR="00CC5575">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altName w:val="游明朝"/>
    <w:panose1 w:val="00000000000000000000"/>
    <w:charset w:val="80"/>
    <w:family w:val="roman"/>
    <w:notTrueType/>
    <w:pitch w:val="default"/>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69655885-2004318071 196950646-2004318071 1970828279-2004318071 688244298-2004318071 1570032790-2004318071 813273133-2004318071 1117579158-2004318071 409816102-2004318071 873397104-2038769506 1037091562-1577889619 215118576-2004318071 9441842-2004318071 840348595-2004318071 737714678-1237642241 2087331770-1427687559 260246646-372112390 830590139-2014334024 747270489-872552592 1858523038-165775617 1536683727-2004318071 1857118969-2004318071 640604736-2004318071 1853334371-2004318071 2126772866-1093118027 1064189093-2004318071 51995566-2004318071 1164955-2004318071 1157425977-2004318071 903396364-780545682 1454569770-2004318071 722318380-2004318071 1204147648-2004318071 195424629-2004318071 2016201894-1114162771 1773400196-2004318071 924773803-1383747994 948992591-2004318071 431031191-2004318071 920877055-2004318071 1333737394-260172330 1586002722-2144600356 887664263-2004318071 1568427891-1691683648 83945955-1518888113 253324711-2037712296 1569742434-2004318071 109162680-1842501132 946155910-1160808107 489275837-1940841115 1710900289-2004318071 1293504057-2004318071 1591397895-348235822 186563817-2073968165 893512798-2004318071 1024832782-2004318071 80718576-527380778 769485898-2004318071 579872788-2004318071 257838822-2004318071 805673448-675599022 1643001508-2004318071 179509212-2004318071 329712660-2004318071 156511421-2004318071 2101677657-2004318071"/>
  </int:OnDemandWorkflows>
  <int:IntelligenceSettings>
    <int:extLst>
      <oel:ext uri="74B372B9-2EFF-4315-9A3F-32BA87CA82B1">
        <int:Goals Version="1" Formality="1"/>
      </oel:ext>
    </int:extLst>
  </int:IntelligenceSettings>
  <int:Manifest>
    <int:WordHash hashCode="OrtZNwJC/JiGrS" id="IMQCfw1e"/>
    <int:WordHash hashCode="b/5UBUL73AXAPw" id="0rpgHSjE"/>
    <int:ParagraphRange paragraphId="1586002722" textId="2004318071" start="515" length="17" invalidationStart="515" invalidationLength="17" id="Wc6BmyDP"/>
    <int:WordHash hashCode="VRyAVr/dM977IK" id="fythFIoS"/>
    <int:ParagraphRange paragraphId="946155910" textId="1160808107" start="150" length="9" invalidationStart="150" invalidationLength="9" id="FfkZZL12"/>
    <int:WordHash hashCode="dNl2TIW3Rejzos" id="s4OGBvK1"/>
    <int:WordHash hashCode="l5aAn32uSC0xI8" id="BM6ActV5"/>
    <int:WordHash hashCode="BP722YIMEjO0Sh" id="B4AoHvUF"/>
    <int:WordHash hashCode="jJo/hcAO4VcqjI" id="F5O4C07s"/>
    <int:WordHash hashCode="bDcM736sRQonT2" id="jJTv9fcT"/>
    <int:WordHash hashCode="wqSkv22Fzkir1l" id="YaCyCTE6"/>
    <int:WordHash hashCode="ZADR9L/lRmi3VN" id="h9KcHrWR"/>
    <int:WordHash hashCode="v3jXqOAVqWKVSe" id="l15OQvRJ"/>
    <int:WordHash hashCode="CkR3Skr0WvoTD5" id="4aifpYM0"/>
    <int:WordHash hashCode="ni8UUdXdlt6RIo" id="vP8nhwfy"/>
    <int:WordHash hashCode="y7YcMpWQia7nE7" id="303T8JNG"/>
    <int:WordHash hashCode="pZGmU5Q5PUeaBE" id="fyZutR0N"/>
    <int:WordHash hashCode="uIyUSC9qTHHMPh" id="jAPAn2wY"/>
    <int:WordHash hashCode="vVH1TR8/IWDg+t" id="NlBV30hQ"/>
    <int:WordHash hashCode="kmMiHdNZO5rjQT" id="xeFUOf1E"/>
    <int:WordHash hashCode="nooB8ljuYJMKIn" id="Vq27jgwz"/>
    <int:WordHash hashCode="SradH0SdDJdch8" id="WZgGk7fQ"/>
    <int:WordHash hashCode="SMFwPIHakRGYAb" id="grevsFfo"/>
    <int:WordHash hashCode="NV8o8sDDh63WIx" id="FNTXITu5"/>
    <int:WordHash hashCode="e3+TZqNgMaC5Vf" id="zfg6Wshh"/>
    <int:WordHash hashCode="dkmkRuVDysnpuX" id="87Twouul"/>
    <int:WordHash hashCode="RqhmcRGM7U3nVn" id="iaq8fbja"/>
    <int:WordHash hashCode="IEEkdmk2qlIoq+" id="wvi7jZtx"/>
    <int:WordHash hashCode="l2TkQHig1bomBB" id="Bkl3c0Pq"/>
    <int:WordHash hashCode="x77W14PIdcCS1J" id="JQ4DQ7n6"/>
    <int:WordHash hashCode="nXwmG7h54FcyMR" id="BghUK0MQ"/>
    <int:WordHash hashCode="lmUxPYJeK+dhwS" id="sTlXwtUp"/>
    <int:WordHash hashCode="1kJt1joOTbIwuD" id="2k9WyA3r"/>
    <int:WordHash hashCode="m/D4/19di8v/ud" id="yDDm054z"/>
    <int:WordHash hashCode="jI2dZKd8NRxqr/" id="2Ne8l9Md"/>
    <int:WordHash hashCode="GnfUFiJMu+d6Q5" id="5WSZCSay"/>
    <int:WordHash hashCode="XnBZUbOy6FEQ0N" id="fBg1iuvv"/>
    <int:WordHash hashCode="vGZVDOTcHHKR61" id="EgUG8O82"/>
    <int:WordHash hashCode="CX0hGJ8RMcEHFT" id="KxYtHwFY"/>
    <int:WordHash hashCode="+iYCjDpszgsUO2" id="8soQ1uVT"/>
    <int:WordHash hashCode="iJ+9IqWiyHfWIN" id="vAP9cD0C"/>
    <int:WordHash hashCode="tWMsZX6qtRnLdn" id="rxDaa5nd"/>
    <int:WordHash hashCode="BSLx1Pzlhb2Shf" id="6U5TuAAF"/>
    <int:EntireDocument id="FGHxlgyZ"/>
  </int:Manifest>
  <int:Observations>
    <int:Content id="IMQCfw1e">
      <int:Rejection type="LegacyProofing"/>
    </int:Content>
    <int:Content id="0rpgHSjE">
      <int:Rejection type="LegacyProofing"/>
    </int:Content>
    <int:Content id="Wc6BmyDP">
      <int:Rejection type="LegacyProofing"/>
    </int:Content>
    <int:Content id="fythFIoS">
      <int:Rejection type="AugLoop_Text_Critique"/>
    </int:Content>
    <int:Content id="FfkZZL12">
      <int:Rejection type="LegacyProofing"/>
    </int:Content>
    <int:Content id="s4OGBvK1">
      <int:Rejection type="LegacyProofing"/>
    </int:Content>
    <int:Content id="BM6ActV5">
      <int:Rejection type="AugLoop_Text_Critique"/>
    </int:Content>
    <int:Content id="B4AoHvUF">
      <int:Rejection type="AugLoop_Text_Critique"/>
    </int:Content>
    <int:Content id="F5O4C07s">
      <int:Rejection type="AugLoop_Text_Critique"/>
    </int:Content>
    <int:Content id="jJTv9fcT">
      <int:Rejection type="AugLoop_Text_Critique"/>
    </int:Content>
    <int:Content id="YaCyCTE6">
      <int:Rejection type="AugLoop_Text_Critique"/>
    </int:Content>
    <int:Content id="h9KcHrWR">
      <int:Rejection type="LegacyProofing"/>
    </int:Content>
    <int:Content id="l15OQvRJ">
      <int:Rejection type="LegacyProofing"/>
    </int:Content>
    <int:Content id="4aifpYM0">
      <int:Rejection type="LegacyProofing"/>
    </int:Content>
    <int:Content id="vP8nhwfy">
      <int:Rejection type="LegacyProofing"/>
    </int:Content>
    <int:Content id="303T8JNG">
      <int:Rejection type="LegacyProofing"/>
    </int:Content>
    <int:Content id="fyZutR0N">
      <int:Rejection type="AugLoop_Text_Critique"/>
    </int:Content>
    <int:Content id="jAPAn2wY">
      <int:Rejection type="AugLoop_Text_Critique"/>
    </int:Content>
    <int:Content id="NlBV30hQ">
      <int:Rejection type="AugLoop_Text_Critique"/>
    </int:Content>
    <int:Content id="xeFUOf1E">
      <int:Rejection type="AugLoop_Text_Critique"/>
    </int:Content>
    <int:Content id="Vq27jgwz">
      <int:Rejection type="AugLoop_Text_Critique"/>
    </int:Content>
    <int:Content id="WZgGk7fQ">
      <int:Rejection type="AugLoop_Text_Critique"/>
    </int:Content>
    <int:Content id="grevsFfo">
      <int:Rejection type="AugLoop_Text_Critique"/>
    </int:Content>
    <int:Content id="FNTXITu5">
      <int:Rejection type="AugLoop_Text_Critique"/>
    </int:Content>
    <int:Content id="zfg6Wshh">
      <int:Rejection type="AugLoop_Text_Critique"/>
    </int:Content>
    <int:Content id="87Twouul">
      <int:Rejection type="AugLoop_Text_Critique"/>
    </int:Content>
    <int:Content id="iaq8fbja">
      <int:Rejection type="AugLoop_Text_Critique"/>
    </int:Content>
    <int:Content id="wvi7jZtx">
      <int:Rejection type="AugLoop_Text_Critique"/>
    </int:Content>
    <int:Content id="Bkl3c0Pq">
      <int:Rejection type="AugLoop_Text_Critique"/>
    </int:Content>
    <int:Content id="JQ4DQ7n6">
      <int:Rejection type="AugLoop_Text_Critique"/>
    </int:Content>
    <int:Content id="BghUK0MQ">
      <int:Rejection type="AugLoop_Text_Critique"/>
    </int:Content>
    <int:Content id="sTlXwtUp">
      <int:Rejection type="AugLoop_Text_Critique"/>
    </int:Content>
    <int:Content id="2k9WyA3r">
      <int:Rejection type="AugLoop_Text_Critique"/>
    </int:Content>
    <int:Content id="yDDm054z">
      <int:Rejection type="AugLoop_Text_Critique"/>
    </int:Content>
    <int:Content id="2Ne8l9Md">
      <int:Rejection type="AugLoop_Text_Critique"/>
    </int:Content>
    <int:Content id="5WSZCSay">
      <int:Rejection type="AugLoop_Text_Critique"/>
    </int:Content>
    <int:Content id="fBg1iuvv">
      <int:Rejection type="AugLoop_Text_Critique"/>
    </int:Content>
    <int:Content id="EgUG8O82">
      <int:Rejection type="AugLoop_Text_Critique"/>
    </int:Content>
    <int:Content id="KxYtHwFY">
      <int:Rejection type="AugLoop_Text_Critique"/>
    </int:Content>
    <int:Content id="8soQ1uVT">
      <int:Rejection type="AugLoop_Text_Critique"/>
    </int:Content>
    <int:Content id="vAP9cD0C">
      <int:Rejection type="LegacyProofing"/>
    </int:Content>
    <int:Content id="rxDaa5nd">
      <int:Rejection type="LegacyProofing"/>
    </int:Content>
    <int:Content id="6U5TuAAF">
      <int:Rejection type="LegacyProofing"/>
    </int:Content>
    <int:Content id="FGHxlgyZ">
      <int:extLst>
        <oel:ext uri="E302BA01-7950-474C-9AD3-286E660C40A8">
          <int:SimilaritySummary Version="1" RunId="1642429925825" TilesCheckedInThisRun="46" TotalNumOfTiles="46" SimilarityAnnotationCount="0" NumWords="0" NumFlaggedWords="0"/>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6FB7"/>
    <w:multiLevelType w:val="hybridMultilevel"/>
    <w:tmpl w:val="1CA8BCC8"/>
    <w:lvl w:ilvl="0" w:tplc="FACC0CB2">
      <w:start w:val="1"/>
      <w:numFmt w:val="bullet"/>
      <w:lvlText w:val=""/>
      <w:lvlJc w:val="left"/>
      <w:pPr>
        <w:ind w:left="1440" w:hanging="360"/>
      </w:pPr>
      <w:rPr>
        <w:rFonts w:hint="default" w:ascii="Symbol" w:hAnsi="Symbol"/>
      </w:rPr>
    </w:lvl>
    <w:lvl w:ilvl="1" w:tplc="878C74C4" w:tentative="1">
      <w:start w:val="1"/>
      <w:numFmt w:val="bullet"/>
      <w:lvlText w:val="o"/>
      <w:lvlJc w:val="left"/>
      <w:pPr>
        <w:ind w:left="2160" w:hanging="360"/>
      </w:pPr>
      <w:rPr>
        <w:rFonts w:hint="default" w:ascii="Courier New" w:hAnsi="Courier New" w:cs="Courier New"/>
      </w:rPr>
    </w:lvl>
    <w:lvl w:ilvl="2" w:tplc="0326413E" w:tentative="1">
      <w:start w:val="1"/>
      <w:numFmt w:val="bullet"/>
      <w:lvlText w:val=""/>
      <w:lvlJc w:val="left"/>
      <w:pPr>
        <w:ind w:left="2880" w:hanging="360"/>
      </w:pPr>
      <w:rPr>
        <w:rFonts w:hint="default" w:ascii="Wingdings" w:hAnsi="Wingdings"/>
      </w:rPr>
    </w:lvl>
    <w:lvl w:ilvl="3" w:tplc="5824F2B4" w:tentative="1">
      <w:start w:val="1"/>
      <w:numFmt w:val="bullet"/>
      <w:lvlText w:val=""/>
      <w:lvlJc w:val="left"/>
      <w:pPr>
        <w:ind w:left="3600" w:hanging="360"/>
      </w:pPr>
      <w:rPr>
        <w:rFonts w:hint="default" w:ascii="Symbol" w:hAnsi="Symbol"/>
      </w:rPr>
    </w:lvl>
    <w:lvl w:ilvl="4" w:tplc="7D8604BE" w:tentative="1">
      <w:start w:val="1"/>
      <w:numFmt w:val="bullet"/>
      <w:lvlText w:val="o"/>
      <w:lvlJc w:val="left"/>
      <w:pPr>
        <w:ind w:left="4320" w:hanging="360"/>
      </w:pPr>
      <w:rPr>
        <w:rFonts w:hint="default" w:ascii="Courier New" w:hAnsi="Courier New" w:cs="Courier New"/>
      </w:rPr>
    </w:lvl>
    <w:lvl w:ilvl="5" w:tplc="46741F74" w:tentative="1">
      <w:start w:val="1"/>
      <w:numFmt w:val="bullet"/>
      <w:lvlText w:val=""/>
      <w:lvlJc w:val="left"/>
      <w:pPr>
        <w:ind w:left="5040" w:hanging="360"/>
      </w:pPr>
      <w:rPr>
        <w:rFonts w:hint="default" w:ascii="Wingdings" w:hAnsi="Wingdings"/>
      </w:rPr>
    </w:lvl>
    <w:lvl w:ilvl="6" w:tplc="1278DC2C" w:tentative="1">
      <w:start w:val="1"/>
      <w:numFmt w:val="bullet"/>
      <w:lvlText w:val=""/>
      <w:lvlJc w:val="left"/>
      <w:pPr>
        <w:ind w:left="5760" w:hanging="360"/>
      </w:pPr>
      <w:rPr>
        <w:rFonts w:hint="default" w:ascii="Symbol" w:hAnsi="Symbol"/>
      </w:rPr>
    </w:lvl>
    <w:lvl w:ilvl="7" w:tplc="45CE7CCC" w:tentative="1">
      <w:start w:val="1"/>
      <w:numFmt w:val="bullet"/>
      <w:lvlText w:val="o"/>
      <w:lvlJc w:val="left"/>
      <w:pPr>
        <w:ind w:left="6480" w:hanging="360"/>
      </w:pPr>
      <w:rPr>
        <w:rFonts w:hint="default" w:ascii="Courier New" w:hAnsi="Courier New" w:cs="Courier New"/>
      </w:rPr>
    </w:lvl>
    <w:lvl w:ilvl="8" w:tplc="0A98EDD6" w:tentative="1">
      <w:start w:val="1"/>
      <w:numFmt w:val="bullet"/>
      <w:lvlText w:val=""/>
      <w:lvlJc w:val="left"/>
      <w:pPr>
        <w:ind w:left="7200" w:hanging="360"/>
      </w:pPr>
      <w:rPr>
        <w:rFonts w:hint="default" w:ascii="Wingdings" w:hAnsi="Wingdings"/>
      </w:rPr>
    </w:lvl>
  </w:abstractNum>
  <w:abstractNum w:abstractNumId="1" w15:restartNumberingAfterBreak="0">
    <w:nsid w:val="507150A6"/>
    <w:multiLevelType w:val="hybridMultilevel"/>
    <w:tmpl w:val="8C9CD5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1A86F59"/>
    <w:multiLevelType w:val="hybridMultilevel"/>
    <w:tmpl w:val="02061E50"/>
    <w:lvl w:ilvl="0" w:tplc="7E96D30A">
      <w:start w:val="1"/>
      <w:numFmt w:val="bullet"/>
      <w:lvlText w:val=""/>
      <w:lvlJc w:val="left"/>
      <w:pPr>
        <w:ind w:left="1440" w:hanging="360"/>
      </w:pPr>
      <w:rPr>
        <w:rFonts w:hint="default" w:ascii="Symbol" w:hAnsi="Symbol"/>
      </w:rPr>
    </w:lvl>
    <w:lvl w:ilvl="1" w:tplc="E0F81B26" w:tentative="1">
      <w:start w:val="1"/>
      <w:numFmt w:val="bullet"/>
      <w:lvlText w:val="o"/>
      <w:lvlJc w:val="left"/>
      <w:pPr>
        <w:ind w:left="2160" w:hanging="360"/>
      </w:pPr>
      <w:rPr>
        <w:rFonts w:hint="default" w:ascii="Courier New" w:hAnsi="Courier New" w:cs="Courier New"/>
      </w:rPr>
    </w:lvl>
    <w:lvl w:ilvl="2" w:tplc="C9B48CEC" w:tentative="1">
      <w:start w:val="1"/>
      <w:numFmt w:val="bullet"/>
      <w:lvlText w:val=""/>
      <w:lvlJc w:val="left"/>
      <w:pPr>
        <w:ind w:left="2880" w:hanging="360"/>
      </w:pPr>
      <w:rPr>
        <w:rFonts w:hint="default" w:ascii="Wingdings" w:hAnsi="Wingdings"/>
      </w:rPr>
    </w:lvl>
    <w:lvl w:ilvl="3" w:tplc="D99AAA7A" w:tentative="1">
      <w:start w:val="1"/>
      <w:numFmt w:val="bullet"/>
      <w:lvlText w:val=""/>
      <w:lvlJc w:val="left"/>
      <w:pPr>
        <w:ind w:left="3600" w:hanging="360"/>
      </w:pPr>
      <w:rPr>
        <w:rFonts w:hint="default" w:ascii="Symbol" w:hAnsi="Symbol"/>
      </w:rPr>
    </w:lvl>
    <w:lvl w:ilvl="4" w:tplc="9C9A6EEE" w:tentative="1">
      <w:start w:val="1"/>
      <w:numFmt w:val="bullet"/>
      <w:lvlText w:val="o"/>
      <w:lvlJc w:val="left"/>
      <w:pPr>
        <w:ind w:left="4320" w:hanging="360"/>
      </w:pPr>
      <w:rPr>
        <w:rFonts w:hint="default" w:ascii="Courier New" w:hAnsi="Courier New" w:cs="Courier New"/>
      </w:rPr>
    </w:lvl>
    <w:lvl w:ilvl="5" w:tplc="19AC307A" w:tentative="1">
      <w:start w:val="1"/>
      <w:numFmt w:val="bullet"/>
      <w:lvlText w:val=""/>
      <w:lvlJc w:val="left"/>
      <w:pPr>
        <w:ind w:left="5040" w:hanging="360"/>
      </w:pPr>
      <w:rPr>
        <w:rFonts w:hint="default" w:ascii="Wingdings" w:hAnsi="Wingdings"/>
      </w:rPr>
    </w:lvl>
    <w:lvl w:ilvl="6" w:tplc="0AAA8CB2" w:tentative="1">
      <w:start w:val="1"/>
      <w:numFmt w:val="bullet"/>
      <w:lvlText w:val=""/>
      <w:lvlJc w:val="left"/>
      <w:pPr>
        <w:ind w:left="5760" w:hanging="360"/>
      </w:pPr>
      <w:rPr>
        <w:rFonts w:hint="default" w:ascii="Symbol" w:hAnsi="Symbol"/>
      </w:rPr>
    </w:lvl>
    <w:lvl w:ilvl="7" w:tplc="23BC65C8" w:tentative="1">
      <w:start w:val="1"/>
      <w:numFmt w:val="bullet"/>
      <w:lvlText w:val="o"/>
      <w:lvlJc w:val="left"/>
      <w:pPr>
        <w:ind w:left="6480" w:hanging="360"/>
      </w:pPr>
      <w:rPr>
        <w:rFonts w:hint="default" w:ascii="Courier New" w:hAnsi="Courier New" w:cs="Courier New"/>
      </w:rPr>
    </w:lvl>
    <w:lvl w:ilvl="8" w:tplc="49B404EA" w:tentative="1">
      <w:start w:val="1"/>
      <w:numFmt w:val="bullet"/>
      <w:lvlText w:val=""/>
      <w:lvlJc w:val="left"/>
      <w:pPr>
        <w:ind w:left="720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A3"/>
    <w:rsid w:val="000200BC"/>
    <w:rsid w:val="0007568A"/>
    <w:rsid w:val="00231E7E"/>
    <w:rsid w:val="002521EE"/>
    <w:rsid w:val="00276658"/>
    <w:rsid w:val="00433975"/>
    <w:rsid w:val="004B51E8"/>
    <w:rsid w:val="007B1AFA"/>
    <w:rsid w:val="008178FA"/>
    <w:rsid w:val="008B3C02"/>
    <w:rsid w:val="00992E10"/>
    <w:rsid w:val="009F9450"/>
    <w:rsid w:val="00A066BB"/>
    <w:rsid w:val="00A62DC8"/>
    <w:rsid w:val="00AE79D4"/>
    <w:rsid w:val="00AF7340"/>
    <w:rsid w:val="00B14D1A"/>
    <w:rsid w:val="00B8325F"/>
    <w:rsid w:val="00BB32AC"/>
    <w:rsid w:val="00C1092E"/>
    <w:rsid w:val="00CC5575"/>
    <w:rsid w:val="00CF181A"/>
    <w:rsid w:val="00CF5DBF"/>
    <w:rsid w:val="00D80711"/>
    <w:rsid w:val="00F23197"/>
    <w:rsid w:val="00F246A3"/>
    <w:rsid w:val="015ACFD9"/>
    <w:rsid w:val="03B36890"/>
    <w:rsid w:val="04BD28FA"/>
    <w:rsid w:val="04D0A11D"/>
    <w:rsid w:val="05C0932D"/>
    <w:rsid w:val="0632879E"/>
    <w:rsid w:val="08212FC6"/>
    <w:rsid w:val="095B96E1"/>
    <w:rsid w:val="0A07C3C3"/>
    <w:rsid w:val="0A505A50"/>
    <w:rsid w:val="0AD1B462"/>
    <w:rsid w:val="0D06E624"/>
    <w:rsid w:val="10060885"/>
    <w:rsid w:val="10BD1FF5"/>
    <w:rsid w:val="12058117"/>
    <w:rsid w:val="134BF8D0"/>
    <w:rsid w:val="138FB0FF"/>
    <w:rsid w:val="13AF3250"/>
    <w:rsid w:val="14931B32"/>
    <w:rsid w:val="16A131A2"/>
    <w:rsid w:val="16BB3597"/>
    <w:rsid w:val="18F5622D"/>
    <w:rsid w:val="197E85C2"/>
    <w:rsid w:val="198E6EE9"/>
    <w:rsid w:val="1BDF225B"/>
    <w:rsid w:val="1C5BC6D9"/>
    <w:rsid w:val="1D020DDF"/>
    <w:rsid w:val="1E74EC66"/>
    <w:rsid w:val="1EE2AC76"/>
    <w:rsid w:val="1F1B7610"/>
    <w:rsid w:val="1F374368"/>
    <w:rsid w:val="1F4DD934"/>
    <w:rsid w:val="21CA2538"/>
    <w:rsid w:val="21F7317C"/>
    <w:rsid w:val="223FEB8F"/>
    <w:rsid w:val="23FA4122"/>
    <w:rsid w:val="27AAC6C1"/>
    <w:rsid w:val="28381936"/>
    <w:rsid w:val="29996EE9"/>
    <w:rsid w:val="2A21B568"/>
    <w:rsid w:val="2A7B1B39"/>
    <w:rsid w:val="2BD12159"/>
    <w:rsid w:val="2E206139"/>
    <w:rsid w:val="2E2DADE0"/>
    <w:rsid w:val="2EBE4AE9"/>
    <w:rsid w:val="2F68C25B"/>
    <w:rsid w:val="32355F18"/>
    <w:rsid w:val="32460372"/>
    <w:rsid w:val="325AD4B6"/>
    <w:rsid w:val="337DC03A"/>
    <w:rsid w:val="33CBEEA8"/>
    <w:rsid w:val="37014857"/>
    <w:rsid w:val="372E45D9"/>
    <w:rsid w:val="3760FA3A"/>
    <w:rsid w:val="38BB9DEA"/>
    <w:rsid w:val="3A23805D"/>
    <w:rsid w:val="3A9574CE"/>
    <w:rsid w:val="3B68B956"/>
    <w:rsid w:val="3C3F2607"/>
    <w:rsid w:val="3E0FC52F"/>
    <w:rsid w:val="3F1C671E"/>
    <w:rsid w:val="3FEFABA6"/>
    <w:rsid w:val="46956BC9"/>
    <w:rsid w:val="4798D5FC"/>
    <w:rsid w:val="47DDCCEB"/>
    <w:rsid w:val="480911F4"/>
    <w:rsid w:val="484FC15C"/>
    <w:rsid w:val="48B11173"/>
    <w:rsid w:val="4CD6B3AC"/>
    <w:rsid w:val="4D3803C3"/>
    <w:rsid w:val="4DE172F2"/>
    <w:rsid w:val="4E53C7D8"/>
    <w:rsid w:val="4EE4DD25"/>
    <w:rsid w:val="4F5067F3"/>
    <w:rsid w:val="50355DA3"/>
    <w:rsid w:val="510082CF"/>
    <w:rsid w:val="5245E505"/>
    <w:rsid w:val="52BAD862"/>
    <w:rsid w:val="52DA59B3"/>
    <w:rsid w:val="52EF30AD"/>
    <w:rsid w:val="560A0DEA"/>
    <w:rsid w:val="57F3B68E"/>
    <w:rsid w:val="5A8300D8"/>
    <w:rsid w:val="5B1FE533"/>
    <w:rsid w:val="5B374740"/>
    <w:rsid w:val="5D9BE4DF"/>
    <w:rsid w:val="658D8D02"/>
    <w:rsid w:val="6639C950"/>
    <w:rsid w:val="677C352A"/>
    <w:rsid w:val="679BB67B"/>
    <w:rsid w:val="680DAAEC"/>
    <w:rsid w:val="68E4179D"/>
    <w:rsid w:val="6B2FE2F2"/>
    <w:rsid w:val="6BA1D763"/>
    <w:rsid w:val="6D98076F"/>
    <w:rsid w:val="6E41769E"/>
    <w:rsid w:val="6F69A6E1"/>
    <w:rsid w:val="703D9AF7"/>
    <w:rsid w:val="705D1C48"/>
    <w:rsid w:val="70EE920A"/>
    <w:rsid w:val="713388F9"/>
    <w:rsid w:val="721771DB"/>
    <w:rsid w:val="7236F32C"/>
    <w:rsid w:val="728C3037"/>
    <w:rsid w:val="7305AD9D"/>
    <w:rsid w:val="734B4478"/>
    <w:rsid w:val="73F8D0A3"/>
    <w:rsid w:val="74F37FC1"/>
    <w:rsid w:val="75E16909"/>
    <w:rsid w:val="76E6BFB1"/>
    <w:rsid w:val="78E08B6A"/>
    <w:rsid w:val="78FF00C4"/>
    <w:rsid w:val="7BFBC32C"/>
    <w:rsid w:val="7D90A321"/>
    <w:rsid w:val="7DA57465"/>
    <w:rsid w:val="7E0B3A3E"/>
    <w:rsid w:val="7F5FC9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94478"/>
  <w15:chartTrackingRefBased/>
  <w15:docId w15:val="{2D66E736-CDB4-47D3-A5E5-10022C4B6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Calibri"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92E10"/>
    <w:pPr>
      <w:spacing w:before="120" w:after="120" w:line="480" w:lineRule="auto"/>
      <w:ind w:firstLine="720"/>
      <w:jc w:val="both"/>
    </w:pPr>
    <w:rPr>
      <w:rFonts w:ascii="Times New Roman" w:hAnsi="Times New Roman" w:cs="Calibri"/>
      <w:color w:val="000000"/>
      <w:sz w:val="24"/>
    </w:rPr>
  </w:style>
  <w:style w:type="paragraph" w:styleId="Heading1">
    <w:name w:val="heading 1"/>
    <w:basedOn w:val="Normal"/>
    <w:next w:val="Normal"/>
    <w:link w:val="Heading1Char"/>
    <w:uiPriority w:val="9"/>
    <w:qFormat/>
    <w:rsid w:val="00231E7E"/>
    <w:pPr>
      <w:keepNext/>
      <w:keepLines/>
      <w:ind w:firstLine="0"/>
      <w:jc w:val="left"/>
      <w:outlineLvl w:val="0"/>
    </w:pPr>
    <w:rPr>
      <w:rFonts w:eastAsiaTheme="majorEastAsia" w:cstheme="majorBidi"/>
      <w:b/>
      <w:color w:val="auto"/>
      <w:szCs w:val="32"/>
    </w:rPr>
  </w:style>
  <w:style w:type="paragraph" w:styleId="Heading2">
    <w:name w:val="heading 2"/>
    <w:basedOn w:val="Normal"/>
    <w:next w:val="Normal"/>
    <w:link w:val="Heading2Char"/>
    <w:uiPriority w:val="9"/>
    <w:semiHidden/>
    <w:unhideWhenUsed/>
    <w:qFormat/>
    <w:rsid w:val="007B1AF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31E7E"/>
    <w:rPr>
      <w:rFonts w:ascii="Times New Roman" w:hAnsi="Times New Roman" w:eastAsiaTheme="majorEastAsia" w:cstheme="majorBidi"/>
      <w:b/>
      <w:sz w:val="24"/>
      <w:szCs w:val="32"/>
    </w:rPr>
  </w:style>
  <w:style w:type="character" w:styleId="Heading2Char" w:customStyle="1">
    <w:name w:val="Heading 2 Char"/>
    <w:basedOn w:val="DefaultParagraphFont"/>
    <w:link w:val="Heading2"/>
    <w:uiPriority w:val="9"/>
    <w:semiHidden/>
    <w:rsid w:val="007B1AFA"/>
    <w:rPr>
      <w:rFonts w:asciiTheme="majorHAnsi" w:hAnsiTheme="majorHAnsi" w:eastAsiaTheme="majorEastAsia" w:cstheme="majorBidi"/>
      <w:color w:val="2E74B5" w:themeColor="accent1" w:themeShade="BF"/>
      <w:sz w:val="26"/>
      <w:szCs w:val="26"/>
    </w:rPr>
  </w:style>
  <w:style w:type="paragraph" w:styleId="ListParagraph">
    <w:name w:val="List Paragraph"/>
    <w:basedOn w:val="Normal"/>
    <w:uiPriority w:val="34"/>
    <w:qFormat/>
    <w:rsid w:val="007B1AFA"/>
    <w:pPr>
      <w:ind w:left="720"/>
      <w:contextualSpacing/>
    </w:pPr>
  </w:style>
  <w:style w:type="paragraph" w:styleId="TOCHeading">
    <w:name w:val="TOC Heading"/>
    <w:basedOn w:val="Heading1"/>
    <w:next w:val="Normal"/>
    <w:uiPriority w:val="39"/>
    <w:unhideWhenUsed/>
    <w:qFormat/>
    <w:rsid w:val="00F23197"/>
    <w:pPr>
      <w:spacing w:before="240"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23197"/>
    <w:pPr>
      <w:spacing w:after="100"/>
    </w:pPr>
  </w:style>
  <w:style w:type="character" w:styleId="Hyperlink">
    <w:name w:val="Hyperlink"/>
    <w:basedOn w:val="DefaultParagraphFont"/>
    <w:uiPriority w:val="99"/>
    <w:unhideWhenUsed/>
    <w:rsid w:val="00F231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microsoft.com/office/2019/09/relationships/intelligence" Target="intelligence.xml" Id="R11ae6ec8ccd543ea"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glossaryDocument" Target="glossary/document.xml" Id="R9cdd6a3caab34e1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fa8159e-b066-4381-9731-0f5e4a8d78f8}"/>
      </w:docPartPr>
      <w:docPartBody>
        <w:p w14:paraId="2838193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92956-1DC2-404C-AC47-1CCAEA59655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Abid Hussain</dc:creator>
  <keywords/>
  <lastModifiedBy>Sharon Roberts (2114727)</lastModifiedBy>
  <revision>6</revision>
  <dcterms:created xsi:type="dcterms:W3CDTF">2022-01-17T14:17:00.0000000Z</dcterms:created>
  <dcterms:modified xsi:type="dcterms:W3CDTF">2022-01-17T14:34:50.2177234Z</dcterms:modified>
</coreProperties>
</file>